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1CB48" w14:textId="77777777" w:rsidR="00754F5C" w:rsidRDefault="00332FDF">
      <w:pPr>
        <w:pStyle w:val="Default"/>
        <w:jc w:val="center"/>
        <w:rPr>
          <w:b/>
          <w:i/>
          <w:iCs/>
        </w:rPr>
      </w:pPr>
      <w:r>
        <w:rPr>
          <w:b/>
          <w:i/>
          <w:iCs/>
        </w:rPr>
        <w:t>Child Nutrition Program Waiver Request</w:t>
      </w:r>
    </w:p>
    <w:p w14:paraId="27F06AB7" w14:textId="77777777" w:rsidR="00754F5C" w:rsidRDefault="00332FDF">
      <w:pPr>
        <w:pStyle w:val="Default"/>
        <w:jc w:val="center"/>
        <w:rPr>
          <w:b/>
          <w:i/>
          <w:iCs/>
        </w:rPr>
      </w:pPr>
      <w:r>
        <w:rPr>
          <w:b/>
          <w:i/>
          <w:iCs/>
        </w:rPr>
        <w:t>Maine Child Nutrition DOE</w:t>
      </w:r>
    </w:p>
    <w:p w14:paraId="4D3AB4FD" w14:textId="77777777" w:rsidR="00754F5C" w:rsidRDefault="00332FDF">
      <w:pPr>
        <w:pStyle w:val="Default"/>
        <w:jc w:val="center"/>
        <w:rPr>
          <w:b/>
          <w:i/>
          <w:iCs/>
        </w:rPr>
      </w:pPr>
      <w:r>
        <w:rPr>
          <w:b/>
          <w:i/>
          <w:iCs/>
        </w:rPr>
        <w:t>Master waiver request for multi-programs</w:t>
      </w:r>
    </w:p>
    <w:p w14:paraId="603E24D3" w14:textId="77777777" w:rsidR="00754F5C" w:rsidRDefault="00754F5C">
      <w:pPr>
        <w:pStyle w:val="Default"/>
        <w:jc w:val="center"/>
        <w:rPr>
          <w:b/>
          <w:i/>
          <w:iCs/>
        </w:rPr>
      </w:pPr>
    </w:p>
    <w:p w14:paraId="4B17A777" w14:textId="77777777" w:rsidR="00754F5C" w:rsidRDefault="00332FDF">
      <w:pPr>
        <w:pStyle w:val="Default"/>
        <w:jc w:val="center"/>
        <w:rPr>
          <w:b/>
          <w:i/>
          <w:iCs/>
        </w:rPr>
      </w:pPr>
      <w:r>
        <w:rPr>
          <w:b/>
          <w:i/>
          <w:iCs/>
        </w:rPr>
        <w:t>Submitted January 3, 2022</w:t>
      </w:r>
    </w:p>
    <w:p w14:paraId="658060E3" w14:textId="77777777" w:rsidR="00754F5C" w:rsidRDefault="00754F5C">
      <w:pPr>
        <w:pStyle w:val="Default"/>
        <w:jc w:val="center"/>
        <w:rPr>
          <w:b/>
        </w:rPr>
      </w:pPr>
    </w:p>
    <w:p w14:paraId="0911CA72" w14:textId="77777777" w:rsidR="00754F5C" w:rsidRDefault="00754F5C">
      <w:pPr>
        <w:pStyle w:val="Default"/>
        <w:rPr>
          <w:b/>
          <w:bCs/>
        </w:rPr>
      </w:pPr>
    </w:p>
    <w:p w14:paraId="0A903310" w14:textId="77777777" w:rsidR="00754F5C" w:rsidRDefault="00332FDF">
      <w:pPr>
        <w:pStyle w:val="Default"/>
        <w:rPr>
          <w:b/>
          <w:bCs/>
        </w:rPr>
      </w:pPr>
      <w:r>
        <w:rPr>
          <w:b/>
          <w:bCs/>
        </w:rPr>
        <w:t xml:space="preserve">1.State agency submitting waiver request and responsible State agency staff contact information: </w:t>
      </w:r>
    </w:p>
    <w:p w14:paraId="59039067" w14:textId="77777777" w:rsidR="00754F5C" w:rsidRDefault="00332FDF">
      <w:pPr>
        <w:pStyle w:val="Default"/>
        <w:rPr>
          <w:bCs/>
        </w:rPr>
      </w:pPr>
      <w:r>
        <w:rPr>
          <w:bCs/>
        </w:rPr>
        <w:t xml:space="preserve">Maine Child Nutrition Department of Education, Walter Beesley </w:t>
      </w:r>
      <w:hyperlink r:id="rId11" w:history="1">
        <w:r>
          <w:rPr>
            <w:rStyle w:val="Hyperlink"/>
            <w:bCs/>
          </w:rPr>
          <w:t>walter.beesley@maine.gov</w:t>
        </w:r>
      </w:hyperlink>
      <w:r>
        <w:rPr>
          <w:bCs/>
        </w:rPr>
        <w:t xml:space="preserve"> 207-624-6875</w:t>
      </w:r>
    </w:p>
    <w:p w14:paraId="78C7A3F8" w14:textId="77777777" w:rsidR="00754F5C" w:rsidRDefault="00754F5C">
      <w:pPr>
        <w:pStyle w:val="Default"/>
        <w:rPr>
          <w:bCs/>
        </w:rPr>
      </w:pPr>
    </w:p>
    <w:p w14:paraId="1DEA5828" w14:textId="77777777" w:rsidR="00754F5C" w:rsidRDefault="00332FDF">
      <w:pPr>
        <w:pStyle w:val="Default"/>
        <w:rPr>
          <w:bCs/>
        </w:rPr>
      </w:pPr>
      <w:r>
        <w:rPr>
          <w:bCs/>
        </w:rPr>
        <w:t>Walter Be</w:t>
      </w:r>
      <w:r>
        <w:rPr>
          <w:bCs/>
        </w:rPr>
        <w:t>esley</w:t>
      </w:r>
    </w:p>
    <w:p w14:paraId="4244C222" w14:textId="77777777" w:rsidR="00754F5C" w:rsidRDefault="00332FDF">
      <w:pPr>
        <w:pStyle w:val="Default"/>
        <w:rPr>
          <w:bCs/>
        </w:rPr>
      </w:pPr>
      <w:r>
        <w:rPr>
          <w:bCs/>
        </w:rPr>
        <w:t>Child Nutrition DOE</w:t>
      </w:r>
      <w:r>
        <w:rPr>
          <w:bCs/>
        </w:rPr>
        <w:tab/>
      </w:r>
    </w:p>
    <w:p w14:paraId="62D876C1" w14:textId="77777777" w:rsidR="00754F5C" w:rsidRDefault="00332FDF">
      <w:pPr>
        <w:pStyle w:val="Default"/>
        <w:rPr>
          <w:bCs/>
        </w:rPr>
      </w:pPr>
      <w:r>
        <w:rPr>
          <w:bCs/>
        </w:rPr>
        <w:t>136 State House Station</w:t>
      </w:r>
    </w:p>
    <w:p w14:paraId="2550B33D" w14:textId="77777777" w:rsidR="00754F5C" w:rsidRDefault="00332FDF">
      <w:pPr>
        <w:pStyle w:val="Default"/>
      </w:pPr>
      <w:r>
        <w:rPr>
          <w:bCs/>
        </w:rPr>
        <w:t>Augusta, ME 04333-0136</w:t>
      </w:r>
    </w:p>
    <w:p w14:paraId="23F8FEEF" w14:textId="77777777" w:rsidR="00754F5C" w:rsidRDefault="00754F5C">
      <w:pPr>
        <w:pStyle w:val="Default"/>
      </w:pPr>
    </w:p>
    <w:p w14:paraId="2258CD26" w14:textId="77777777" w:rsidR="00754F5C" w:rsidRDefault="00332FDF">
      <w:pPr>
        <w:spacing w:after="12" w:line="248" w:lineRule="auto"/>
        <w:ind w:right="550"/>
        <w:contextualSpacing/>
        <w:rPr>
          <w:rFonts w:ascii="Times New Roman" w:eastAsia="Times New Roman" w:hAnsi="Times New Roman" w:cs="Times New Roman"/>
          <w:bCs/>
          <w:color w:val="000000"/>
          <w:sz w:val="24"/>
          <w:szCs w:val="24"/>
        </w:rPr>
      </w:pPr>
      <w:r>
        <w:rPr>
          <w:rFonts w:ascii="Times New Roman" w:hAnsi="Times New Roman" w:cs="Times New Roman"/>
          <w:b/>
          <w:bCs/>
          <w:sz w:val="24"/>
          <w:szCs w:val="24"/>
        </w:rPr>
        <w:t>2. Region:</w:t>
      </w:r>
      <w:r>
        <w:rPr>
          <w:rFonts w:ascii="Times New Roman" w:hAnsi="Times New Roman" w:cs="Times New Roman"/>
          <w:bCs/>
          <w:sz w:val="24"/>
          <w:szCs w:val="24"/>
        </w:rPr>
        <w:t xml:space="preserve"> </w:t>
      </w:r>
      <w:r>
        <w:rPr>
          <w:rFonts w:ascii="Times New Roman" w:eastAsia="Times New Roman" w:hAnsi="Times New Roman" w:cs="Times New Roman"/>
          <w:bCs/>
          <w:color w:val="000000"/>
          <w:sz w:val="24"/>
          <w:szCs w:val="24"/>
        </w:rPr>
        <w:t>Northeast</w:t>
      </w:r>
    </w:p>
    <w:p w14:paraId="43C2F8BB" w14:textId="77777777" w:rsidR="00754F5C" w:rsidRDefault="00754F5C">
      <w:pPr>
        <w:pStyle w:val="Default"/>
      </w:pPr>
    </w:p>
    <w:p w14:paraId="29CCF42E" w14:textId="77777777" w:rsidR="00754F5C" w:rsidRDefault="00332FDF">
      <w:pPr>
        <w:pStyle w:val="Default"/>
        <w:rPr>
          <w:bCs/>
        </w:rPr>
      </w:pPr>
      <w:r>
        <w:rPr>
          <w:b/>
          <w:bCs/>
        </w:rPr>
        <w:t xml:space="preserve">3. Eligible service providers participating in waiver and affirmation that they are in good standing:  </w:t>
      </w:r>
      <w:r>
        <w:rPr>
          <w:bCs/>
        </w:rPr>
        <w:t>This would be for the Maine State Agency, Maine Department of Education Child Nutrition (MDOE) and eligible sponsors of CACFP, NSLP, SFSP in good standin</w:t>
      </w:r>
      <w:r>
        <w:rPr>
          <w:bCs/>
        </w:rPr>
        <w:t xml:space="preserve">g.  </w:t>
      </w:r>
    </w:p>
    <w:p w14:paraId="36C03ECF" w14:textId="77777777" w:rsidR="00754F5C" w:rsidRDefault="00754F5C">
      <w:pPr>
        <w:pStyle w:val="Default"/>
      </w:pPr>
    </w:p>
    <w:p w14:paraId="08366A96" w14:textId="77777777" w:rsidR="00754F5C" w:rsidRDefault="00332FDF">
      <w:pPr>
        <w:rPr>
          <w:rFonts w:ascii="Times New Roman" w:hAnsi="Times New Roman" w:cs="Times New Roman"/>
          <w:sz w:val="24"/>
          <w:szCs w:val="24"/>
        </w:rPr>
      </w:pPr>
      <w:r>
        <w:rPr>
          <w:rFonts w:ascii="Times New Roman" w:hAnsi="Times New Roman" w:cs="Times New Roman"/>
          <w:b/>
          <w:bCs/>
          <w:sz w:val="24"/>
          <w:szCs w:val="24"/>
        </w:rPr>
        <w:t xml:space="preserve">4. Description of the challenge the State agency is seeking to solve, the goal of the waiver to improve services under the Program, and the expected outcomes if the waiver is granted. [Section 12(l)(2)(A)(iii) and 12(l)(2)(A)(iv) of the NSLA]: </w:t>
      </w:r>
      <w:r>
        <w:rPr>
          <w:rFonts w:ascii="Times New Roman" w:hAnsi="Times New Roman" w:cs="Times New Roman"/>
          <w:bCs/>
          <w:sz w:val="24"/>
          <w:szCs w:val="24"/>
        </w:rPr>
        <w:t>In lig</w:t>
      </w:r>
      <w:r>
        <w:rPr>
          <w:rFonts w:ascii="Times New Roman" w:hAnsi="Times New Roman" w:cs="Times New Roman"/>
          <w:bCs/>
          <w:sz w:val="24"/>
          <w:szCs w:val="24"/>
        </w:rPr>
        <w:t xml:space="preserve">ht of the exceptional circumstances of the COVID-19 Public Health Emergency, MDOE is requesting to waive several </w:t>
      </w:r>
      <w:r>
        <w:rPr>
          <w:rFonts w:ascii="Times New Roman" w:hAnsi="Times New Roman" w:cs="Times New Roman"/>
          <w:sz w:val="24"/>
          <w:szCs w:val="24"/>
        </w:rPr>
        <w:t>program monitoring and assistance and sponsoring organization monitoring requirements for the following USDA Programs: SFSP, CACFP, NSLP, and U</w:t>
      </w:r>
      <w:r>
        <w:rPr>
          <w:rFonts w:ascii="Times New Roman" w:hAnsi="Times New Roman" w:cs="Times New Roman"/>
          <w:sz w:val="24"/>
          <w:szCs w:val="24"/>
        </w:rPr>
        <w:t xml:space="preserve">SDA Food Program. </w:t>
      </w:r>
    </w:p>
    <w:p w14:paraId="2AA3B8BC" w14:textId="77777777" w:rsidR="00754F5C" w:rsidRDefault="00332FDF">
      <w:pPr>
        <w:rPr>
          <w:rFonts w:ascii="Times New Roman" w:hAnsi="Times New Roman" w:cs="Times New Roman"/>
          <w:sz w:val="24"/>
          <w:szCs w:val="24"/>
        </w:rPr>
      </w:pPr>
      <w:r>
        <w:rPr>
          <w:rFonts w:ascii="Times New Roman" w:hAnsi="Times New Roman" w:cs="Times New Roman"/>
          <w:sz w:val="24"/>
          <w:szCs w:val="24"/>
        </w:rPr>
        <w:t>This waiver would apply to monitoring of schools and institutions operating during this time of uncertainty and COVID-19.With</w:t>
      </w:r>
      <w:r>
        <w:rPr>
          <w:rFonts w:ascii="Times New Roman" w:hAnsi="Times New Roman" w:cs="Times New Roman"/>
          <w:sz w:val="24"/>
          <w:szCs w:val="24"/>
        </w:rPr>
        <w:t xml:space="preserve"> sponsors adapting to COVID-19 outbreaks by shifting amongst remote, onsite and even closed statuses, flexibility is a must.  Parents and family supporters may be unemployed, laid off or working reduced hours and, as a result, find it difficult to provide </w:t>
      </w:r>
      <w:r>
        <w:rPr>
          <w:rFonts w:ascii="Times New Roman" w:hAnsi="Times New Roman" w:cs="Times New Roman"/>
          <w:sz w:val="24"/>
          <w:szCs w:val="24"/>
        </w:rPr>
        <w:t>for their family.  Maine still has several restrictions, which has resulted in closed businesses and customer limitations.  With colder weather coming and a recent increase in cases, MDOE expects more restrictions and closures. The dining and tourist indus</w:t>
      </w:r>
      <w:r>
        <w:rPr>
          <w:rFonts w:ascii="Times New Roman" w:hAnsi="Times New Roman" w:cs="Times New Roman"/>
          <w:sz w:val="24"/>
          <w:szCs w:val="24"/>
        </w:rPr>
        <w:t>tries have taken a devastating hit, effecting the Maine economy.  Many parents are working from home and having meals for their children has proved to be very important given the many thanks received.  Flexibility is needed to ensure that children have acc</w:t>
      </w:r>
      <w:r>
        <w:rPr>
          <w:rFonts w:ascii="Times New Roman" w:hAnsi="Times New Roman" w:cs="Times New Roman"/>
          <w:sz w:val="24"/>
          <w:szCs w:val="24"/>
        </w:rPr>
        <w:t xml:space="preserve">ess to good nutritious meals as much as possible.  This also provides the children with comfort and some stability in their upside-down lives. </w:t>
      </w:r>
    </w:p>
    <w:p w14:paraId="65F2DFA2" w14:textId="77777777" w:rsidR="00754F5C" w:rsidRDefault="00332FDF">
      <w:pPr>
        <w:rPr>
          <w:rFonts w:ascii="Times New Roman" w:hAnsi="Times New Roman" w:cs="Times New Roman"/>
          <w:bCs/>
          <w:sz w:val="24"/>
          <w:szCs w:val="24"/>
        </w:rPr>
      </w:pPr>
      <w:r>
        <w:rPr>
          <w:rFonts w:ascii="Times New Roman" w:hAnsi="Times New Roman" w:cs="Times New Roman"/>
          <w:sz w:val="24"/>
          <w:szCs w:val="24"/>
        </w:rPr>
        <w:t xml:space="preserve">It should be noted that MDOE has accepted all Nationwide waivers. </w:t>
      </w:r>
    </w:p>
    <w:p w14:paraId="317A33CD" w14:textId="77777777" w:rsidR="00754F5C" w:rsidRDefault="00332FDF">
      <w:pPr>
        <w:pStyle w:val="Default"/>
        <w:rPr>
          <w:bCs/>
        </w:rPr>
      </w:pPr>
      <w:r>
        <w:rPr>
          <w:bCs/>
        </w:rPr>
        <w:t>MDOE is also asking to continue to waive m</w:t>
      </w:r>
      <w:r>
        <w:rPr>
          <w:bCs/>
        </w:rPr>
        <w:t xml:space="preserve">onitoring requirements 7 CFR 225.15(d)(2) &amp; 7 CFR 225.15(d)(3) for SFSP sponsors. The documents traditionally used for the first week and comprehensive four-week visit forms for this process are no longer applicable due to the </w:t>
      </w:r>
      <w:r>
        <w:rPr>
          <w:bCs/>
        </w:rPr>
        <w:lastRenderedPageBreak/>
        <w:t>numerous waivers in place. Ra</w:t>
      </w:r>
      <w:r>
        <w:rPr>
          <w:bCs/>
        </w:rPr>
        <w:t>ther than have Sponsors complete these forms, MDOE will provide guidance and Technical Assistance on the need to monitor that program requirements and approved flexibilities are adhered to. The following is a sample of training and technical assistance opp</w:t>
      </w:r>
      <w:r>
        <w:rPr>
          <w:bCs/>
        </w:rPr>
        <w:t>ortunities:</w:t>
      </w:r>
    </w:p>
    <w:p w14:paraId="3822132B" w14:textId="77777777" w:rsidR="00754F5C" w:rsidRDefault="00332FDF">
      <w:pPr>
        <w:pStyle w:val="ListParagraph"/>
        <w:numPr>
          <w:ilvl w:val="1"/>
          <w:numId w:val="4"/>
        </w:numPr>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Weekly email communications to sponsors</w:t>
      </w:r>
    </w:p>
    <w:p w14:paraId="0E462E58" w14:textId="77777777" w:rsidR="00754F5C" w:rsidRDefault="00332FDF">
      <w:pPr>
        <w:pStyle w:val="ListParagraph"/>
        <w:numPr>
          <w:ilvl w:val="2"/>
          <w:numId w:val="4"/>
        </w:numPr>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A recent communication provided guidance on what must be in place for meals sent home, including waivers used. </w:t>
      </w:r>
    </w:p>
    <w:p w14:paraId="356C91A7" w14:textId="77777777" w:rsidR="00754F5C" w:rsidRDefault="00332FDF">
      <w:pPr>
        <w:pStyle w:val="ListParagraph"/>
        <w:numPr>
          <w:ilvl w:val="1"/>
          <w:numId w:val="4"/>
        </w:numPr>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Webinars</w:t>
      </w:r>
    </w:p>
    <w:p w14:paraId="211C898A" w14:textId="77777777" w:rsidR="00754F5C" w:rsidRDefault="00332FDF">
      <w:pPr>
        <w:pStyle w:val="ListParagraph"/>
        <w:numPr>
          <w:ilvl w:val="2"/>
          <w:numId w:val="4"/>
        </w:numPr>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Topics have historically included regular updates and overviews on flexibilities gr</w:t>
      </w:r>
      <w:r>
        <w:rPr>
          <w:rFonts w:ascii="Times New Roman" w:hAnsi="Times New Roman" w:cs="Times New Roman"/>
          <w:sz w:val="24"/>
          <w:szCs w:val="24"/>
        </w:rPr>
        <w:t>anted and processes to follow.</w:t>
      </w:r>
    </w:p>
    <w:p w14:paraId="5ED52CC0" w14:textId="77777777" w:rsidR="00754F5C" w:rsidRDefault="00332FDF">
      <w:pPr>
        <w:pStyle w:val="ListParagraph"/>
        <w:numPr>
          <w:ilvl w:val="1"/>
          <w:numId w:val="4"/>
        </w:numPr>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Annual SFSP Sponsor Training (virtual)</w:t>
      </w:r>
    </w:p>
    <w:p w14:paraId="3322B5BD" w14:textId="77777777" w:rsidR="00754F5C" w:rsidRDefault="00332FDF">
      <w:pPr>
        <w:pStyle w:val="ListParagraph"/>
        <w:numPr>
          <w:ilvl w:val="2"/>
          <w:numId w:val="4"/>
        </w:numPr>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This will include training on the flexibilities in place  </w:t>
      </w:r>
    </w:p>
    <w:p w14:paraId="55A2F464" w14:textId="77777777" w:rsidR="00754F5C" w:rsidRDefault="00332FDF">
      <w:pPr>
        <w:pStyle w:val="ListParagraph"/>
        <w:numPr>
          <w:ilvl w:val="1"/>
          <w:numId w:val="4"/>
        </w:numPr>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SFSP review training</w:t>
      </w:r>
    </w:p>
    <w:p w14:paraId="67868D46" w14:textId="77777777" w:rsidR="00754F5C" w:rsidRDefault="00332FDF">
      <w:pPr>
        <w:pStyle w:val="ListParagraph"/>
        <w:numPr>
          <w:ilvl w:val="2"/>
          <w:numId w:val="4"/>
        </w:numPr>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This will include training on the flexibilities in place and how they will be reviewed    </w:t>
      </w:r>
    </w:p>
    <w:p w14:paraId="2FE69451" w14:textId="77777777" w:rsidR="00754F5C" w:rsidRDefault="00332FDF">
      <w:pPr>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It is import</w:t>
      </w:r>
      <w:r>
        <w:rPr>
          <w:rFonts w:ascii="Times New Roman" w:hAnsi="Times New Roman" w:cs="Times New Roman"/>
          <w:sz w:val="24"/>
          <w:szCs w:val="24"/>
        </w:rPr>
        <w:t>ant to note that sponsors are still instructed to safely monitor their programs to ensure regulations and waiver flexibilities are adhered too; this request is to remove the requirement that the traditional forms be completed as this is a burdensome proces</w:t>
      </w:r>
      <w:r>
        <w:rPr>
          <w:rFonts w:ascii="Times New Roman" w:hAnsi="Times New Roman" w:cs="Times New Roman"/>
          <w:sz w:val="24"/>
          <w:szCs w:val="24"/>
        </w:rPr>
        <w:t xml:space="preserve">s for sponsors at this time.  </w:t>
      </w:r>
    </w:p>
    <w:p w14:paraId="3BD4B1C1" w14:textId="77777777" w:rsidR="00754F5C" w:rsidRDefault="00754F5C">
      <w:pPr>
        <w:pStyle w:val="ListParagraph"/>
        <w:rPr>
          <w:rFonts w:ascii="Times New Roman" w:hAnsi="Times New Roman" w:cs="Times New Roman"/>
          <w:sz w:val="24"/>
          <w:szCs w:val="24"/>
        </w:rPr>
      </w:pPr>
    </w:p>
    <w:p w14:paraId="69B41A25" w14:textId="77777777" w:rsidR="00754F5C" w:rsidRDefault="00332FD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Maine has 100 institutions with agreements to operate the CACFP in 244 centers and 574 family day care homes. The CACFP SA offers trainings and technical assistance to provide timely and relevant information to all instituti</w:t>
      </w:r>
      <w:r>
        <w:rPr>
          <w:rFonts w:ascii="Times New Roman" w:hAnsi="Times New Roman" w:cs="Times New Roman"/>
          <w:sz w:val="24"/>
          <w:szCs w:val="24"/>
        </w:rPr>
        <w:t xml:space="preserve">ons as they navigate the many changes and challenges that the public health emergency has presented. The number of institutions changes as sponsors open and close due to COVID or business closing. </w:t>
      </w:r>
    </w:p>
    <w:p w14:paraId="3D5BDFE6" w14:textId="77777777" w:rsidR="00754F5C" w:rsidRDefault="00754F5C">
      <w:pPr>
        <w:pStyle w:val="ListParagraph"/>
        <w:rPr>
          <w:rFonts w:ascii="Times New Roman" w:hAnsi="Times New Roman" w:cs="Times New Roman"/>
          <w:sz w:val="24"/>
          <w:szCs w:val="24"/>
        </w:rPr>
      </w:pPr>
    </w:p>
    <w:p w14:paraId="08A947F6" w14:textId="77777777" w:rsidR="00754F5C" w:rsidRDefault="00332FD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The CACFP SA had 103 participating institutions prior to COVID-19. The review schedule for the 2021 year consisted of 38 reviews, </w:t>
      </w:r>
    </w:p>
    <w:p w14:paraId="613A4DD4" w14:textId="77777777" w:rsidR="00754F5C" w:rsidRDefault="00332FD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The 2022 review schedule consists of 38 reviews.</w:t>
      </w:r>
    </w:p>
    <w:p w14:paraId="14C8B754" w14:textId="77777777" w:rsidR="00754F5C" w:rsidRDefault="00754F5C">
      <w:pPr>
        <w:pStyle w:val="ListParagraph"/>
        <w:ind w:left="1440"/>
        <w:rPr>
          <w:rFonts w:ascii="Times New Roman" w:hAnsi="Times New Roman" w:cs="Times New Roman"/>
          <w:sz w:val="24"/>
          <w:szCs w:val="24"/>
        </w:rPr>
      </w:pPr>
    </w:p>
    <w:p w14:paraId="732DC7E9" w14:textId="77777777" w:rsidR="00754F5C" w:rsidRDefault="00332FDF">
      <w:pPr>
        <w:pStyle w:val="ListParagraph"/>
        <w:numPr>
          <w:ilvl w:val="0"/>
          <w:numId w:val="4"/>
        </w:numPr>
        <w:spacing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NSLP Maine has 218 districts operating the NSLP.  All have been in regular </w:t>
      </w:r>
      <w:r>
        <w:rPr>
          <w:rFonts w:ascii="Times New Roman" w:hAnsi="Times New Roman" w:cs="Times New Roman"/>
          <w:sz w:val="24"/>
          <w:szCs w:val="24"/>
        </w:rPr>
        <w:t xml:space="preserve">contact with MDOE as times change.  Maine currently has 218 Seamless Summer Option (SSO) programs.   </w:t>
      </w:r>
    </w:p>
    <w:p w14:paraId="3E5B30E7" w14:textId="77777777" w:rsidR="00754F5C" w:rsidRDefault="00754F5C">
      <w:pPr>
        <w:spacing w:line="256" w:lineRule="auto"/>
        <w:contextualSpacing/>
        <w:rPr>
          <w:rFonts w:ascii="Times New Roman" w:hAnsi="Times New Roman" w:cs="Times New Roman"/>
          <w:sz w:val="24"/>
          <w:szCs w:val="24"/>
        </w:rPr>
      </w:pPr>
    </w:p>
    <w:p w14:paraId="4B6FE01D" w14:textId="2294FFDB" w:rsidR="00754F5C" w:rsidRDefault="00332FDF">
      <w:pPr>
        <w:spacing w:line="256" w:lineRule="auto"/>
        <w:contextualSpacing/>
        <w:rPr>
          <w:rFonts w:ascii="Times New Roman" w:hAnsi="Times New Roman" w:cs="Times New Roman"/>
          <w:sz w:val="24"/>
          <w:szCs w:val="24"/>
        </w:rPr>
      </w:pPr>
      <w:r>
        <w:rPr>
          <w:rFonts w:ascii="Times New Roman" w:hAnsi="Times New Roman" w:cs="Times New Roman"/>
          <w:sz w:val="24"/>
          <w:szCs w:val="24"/>
        </w:rPr>
        <w:t>Whereas COVID continues to increase and site visits are not possible due to local and state restrictions Administrative reviews will be</w:t>
      </w:r>
      <w:r>
        <w:rPr>
          <w:rFonts w:ascii="Times New Roman" w:hAnsi="Times New Roman" w:cs="Times New Roman"/>
          <w:sz w:val="24"/>
          <w:szCs w:val="24"/>
        </w:rPr>
        <w:t xml:space="preserve"> done via desk audi</w:t>
      </w:r>
      <w:r>
        <w:rPr>
          <w:rFonts w:ascii="Times New Roman" w:hAnsi="Times New Roman" w:cs="Times New Roman"/>
          <w:sz w:val="24"/>
          <w:szCs w:val="24"/>
        </w:rPr>
        <w:t>t.  The reference to school year is the graduation year.  For example, SY22 is July1, 2021 to June 30, 2022.  This is true in all cases when a school year SY is given. Sponsor/SFA monitoring because COVID Admin reviews will be desk audits for all programs.</w:t>
      </w:r>
      <w:r>
        <w:rPr>
          <w:rFonts w:ascii="Times New Roman" w:hAnsi="Times New Roman" w:cs="Times New Roman"/>
          <w:sz w:val="24"/>
          <w:szCs w:val="24"/>
        </w:rPr>
        <w:t xml:space="preserve">  </w:t>
      </w:r>
    </w:p>
    <w:p w14:paraId="1DF59C58" w14:textId="77777777" w:rsidR="00754F5C" w:rsidRDefault="00754F5C">
      <w:pPr>
        <w:spacing w:line="256" w:lineRule="auto"/>
        <w:contextualSpacing/>
        <w:rPr>
          <w:rFonts w:ascii="Times New Roman" w:hAnsi="Times New Roman" w:cs="Times New Roman"/>
          <w:sz w:val="24"/>
          <w:szCs w:val="24"/>
        </w:rPr>
      </w:pPr>
    </w:p>
    <w:p w14:paraId="727B8D58" w14:textId="77777777" w:rsidR="00754F5C" w:rsidRDefault="00332FDF">
      <w:p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The NSLP Administrative Review timing and cycle was put on hold</w:t>
      </w:r>
      <w:r>
        <w:rPr>
          <w:rFonts w:ascii="Times New Roman" w:hAnsi="Times New Roman" w:cs="Times New Roman"/>
          <w:color w:val="FF0000"/>
          <w:sz w:val="24"/>
          <w:szCs w:val="24"/>
        </w:rPr>
        <w:t xml:space="preserve"> </w:t>
      </w:r>
      <w:r>
        <w:rPr>
          <w:rFonts w:ascii="Times New Roman" w:hAnsi="Times New Roman" w:cs="Times New Roman"/>
          <w:sz w:val="24"/>
          <w:szCs w:val="24"/>
        </w:rPr>
        <w:t>for SY21. School Year SY is</w:t>
      </w:r>
      <w:r>
        <w:rPr>
          <w:rFonts w:ascii="Times New Roman" w:hAnsi="Times New Roman" w:cs="Times New Roman"/>
          <w:sz w:val="24"/>
          <w:szCs w:val="24"/>
        </w:rPr>
        <w:t xml:space="preserve"> the year of graduation typically June.  Admin reviews resumed SY22 (July 1</w:t>
      </w:r>
      <w:r>
        <w:rPr>
          <w:rFonts w:ascii="Times New Roman" w:hAnsi="Times New Roman" w:cs="Times New Roman"/>
          <w:sz w:val="24"/>
          <w:szCs w:val="24"/>
          <w:vertAlign w:val="superscript"/>
        </w:rPr>
        <w:t>st</w:t>
      </w:r>
      <w:r>
        <w:rPr>
          <w:rFonts w:ascii="Times New Roman" w:hAnsi="Times New Roman" w:cs="Times New Roman"/>
          <w:sz w:val="24"/>
          <w:szCs w:val="24"/>
        </w:rPr>
        <w:t>, 2021). Remotely, following the guidance from USDA regional office.  All past re</w:t>
      </w:r>
      <w:r>
        <w:rPr>
          <w:rFonts w:ascii="Times New Roman" w:hAnsi="Times New Roman" w:cs="Times New Roman"/>
          <w:sz w:val="24"/>
          <w:szCs w:val="24"/>
        </w:rPr>
        <w:t xml:space="preserve">views SY20 still open </w:t>
      </w:r>
      <w:r>
        <w:rPr>
          <w:rFonts w:ascii="Times New Roman" w:hAnsi="Times New Roman" w:cs="Times New Roman"/>
          <w:sz w:val="24"/>
          <w:szCs w:val="24"/>
        </w:rPr>
        <w:lastRenderedPageBreak/>
        <w:t xml:space="preserve">will be completed with a claim validation review SY22.  Maine will continue to offer T/A, webinars, electronic materials and procurement reviews during SY22. </w:t>
      </w:r>
    </w:p>
    <w:p w14:paraId="08EA5DB6" w14:textId="77777777" w:rsidR="00754F5C" w:rsidRDefault="00754F5C">
      <w:pPr>
        <w:spacing w:line="256" w:lineRule="auto"/>
        <w:contextualSpacing/>
        <w:rPr>
          <w:rFonts w:ascii="Times New Roman" w:hAnsi="Times New Roman" w:cs="Times New Roman"/>
          <w:sz w:val="24"/>
          <w:szCs w:val="24"/>
        </w:rPr>
      </w:pPr>
    </w:p>
    <w:p w14:paraId="2219C298" w14:textId="77777777" w:rsidR="00754F5C" w:rsidRDefault="00332FDF">
      <w:pPr>
        <w:pStyle w:val="Default"/>
        <w:rPr>
          <w:bCs/>
        </w:rPr>
      </w:pPr>
      <w:r>
        <w:rPr>
          <w:b/>
          <w:bCs/>
        </w:rPr>
        <w:t>5. Specific Program requirements to be waived (include statutory and regul</w:t>
      </w:r>
      <w:r>
        <w:rPr>
          <w:b/>
          <w:bCs/>
        </w:rPr>
        <w:t xml:space="preserve">atory citations). [Section 12(l)(2)(A)(i) of the NSLA]: </w:t>
      </w:r>
    </w:p>
    <w:p w14:paraId="514B12E4" w14:textId="77777777" w:rsidR="00754F5C" w:rsidRDefault="00754F5C">
      <w:pPr>
        <w:pStyle w:val="Default"/>
        <w:rPr>
          <w:bCs/>
        </w:rPr>
      </w:pPr>
    </w:p>
    <w:p w14:paraId="48208E38" w14:textId="77777777" w:rsidR="00754F5C" w:rsidRDefault="00332FDF">
      <w:pPr>
        <w:pStyle w:val="Default"/>
        <w:rPr>
          <w:bCs/>
        </w:rPr>
      </w:pPr>
      <w:r>
        <w:rPr>
          <w:bCs/>
        </w:rPr>
        <w:t>SFSP</w:t>
      </w:r>
    </w:p>
    <w:p w14:paraId="23FCC892" w14:textId="77777777" w:rsidR="00754F5C" w:rsidRDefault="00332FDF">
      <w:pPr>
        <w:pStyle w:val="ListParagraph"/>
        <w:numPr>
          <w:ilvl w:val="1"/>
          <w:numId w:val="2"/>
        </w:numPr>
        <w:spacing w:after="160" w:line="259" w:lineRule="auto"/>
        <w:contextualSpacing/>
        <w:rPr>
          <w:rFonts w:ascii="Times New Roman" w:hAnsi="Times New Roman" w:cs="Times New Roman"/>
          <w:sz w:val="24"/>
          <w:szCs w:val="24"/>
        </w:rPr>
      </w:pPr>
      <w:r>
        <w:rPr>
          <w:rFonts w:ascii="Times New Roman" w:hAnsi="Times New Roman" w:cs="Times New Roman"/>
          <w:b/>
          <w:sz w:val="24"/>
          <w:szCs w:val="24"/>
        </w:rPr>
        <w:t>[7 CFR 225.7(d)(2)(ii)(A)]</w:t>
      </w:r>
      <w:r>
        <w:rPr>
          <w:rFonts w:ascii="Times New Roman" w:hAnsi="Times New Roman" w:cs="Times New Roman"/>
          <w:sz w:val="24"/>
          <w:szCs w:val="24"/>
        </w:rPr>
        <w:t xml:space="preserve"> Review new sponsors within the first year of operating.</w:t>
      </w:r>
    </w:p>
    <w:p w14:paraId="33A754CB" w14:textId="77777777" w:rsidR="00754F5C" w:rsidRDefault="00332FDF">
      <w:pPr>
        <w:pStyle w:val="ListParagraph"/>
        <w:numPr>
          <w:ilvl w:val="1"/>
          <w:numId w:val="2"/>
        </w:numPr>
        <w:spacing w:after="160" w:line="259" w:lineRule="auto"/>
        <w:contextualSpacing/>
        <w:rPr>
          <w:rFonts w:ascii="Times New Roman" w:hAnsi="Times New Roman" w:cs="Times New Roman"/>
          <w:sz w:val="24"/>
          <w:szCs w:val="24"/>
        </w:rPr>
      </w:pPr>
      <w:r>
        <w:rPr>
          <w:rFonts w:ascii="Times New Roman" w:hAnsi="Times New Roman" w:cs="Times New Roman"/>
          <w:b/>
          <w:sz w:val="24"/>
          <w:szCs w:val="24"/>
        </w:rPr>
        <w:t xml:space="preserve">[7 CFR 225.7(d)(2)(ii)(B)] </w:t>
      </w:r>
      <w:r>
        <w:rPr>
          <w:rFonts w:ascii="Times New Roman" w:hAnsi="Times New Roman" w:cs="Times New Roman"/>
          <w:sz w:val="24"/>
          <w:szCs w:val="24"/>
        </w:rPr>
        <w:t xml:space="preserve">Annually review sponsors whose reimbursements count as half the aggregate from </w:t>
      </w:r>
      <w:r>
        <w:rPr>
          <w:rFonts w:ascii="Times New Roman" w:hAnsi="Times New Roman" w:cs="Times New Roman"/>
          <w:sz w:val="24"/>
          <w:szCs w:val="24"/>
        </w:rPr>
        <w:t>the previous year.</w:t>
      </w:r>
    </w:p>
    <w:p w14:paraId="356CBBB9" w14:textId="77777777" w:rsidR="00754F5C" w:rsidRDefault="00332FDF">
      <w:pPr>
        <w:pStyle w:val="ListParagraph"/>
        <w:numPr>
          <w:ilvl w:val="1"/>
          <w:numId w:val="2"/>
        </w:numPr>
        <w:spacing w:after="160" w:line="259" w:lineRule="auto"/>
        <w:contextualSpacing/>
        <w:rPr>
          <w:rFonts w:ascii="Times New Roman" w:hAnsi="Times New Roman" w:cs="Times New Roman"/>
          <w:sz w:val="24"/>
          <w:szCs w:val="24"/>
        </w:rPr>
      </w:pPr>
      <w:r>
        <w:rPr>
          <w:rFonts w:ascii="Times New Roman" w:hAnsi="Times New Roman" w:cs="Times New Roman"/>
          <w:b/>
          <w:sz w:val="24"/>
          <w:szCs w:val="24"/>
        </w:rPr>
        <w:t xml:space="preserve"> [7 CFR 225.7(d)(2)(ii)(D)]</w:t>
      </w:r>
      <w:r>
        <w:rPr>
          <w:rFonts w:ascii="Times New Roman" w:hAnsi="Times New Roman" w:cs="Times New Roman"/>
          <w:sz w:val="24"/>
          <w:szCs w:val="24"/>
        </w:rPr>
        <w:t xml:space="preserve"> Review every sponsor at least once every three years.</w:t>
      </w:r>
    </w:p>
    <w:p w14:paraId="276A8917" w14:textId="77777777" w:rsidR="00754F5C" w:rsidRDefault="00332FDF">
      <w:pPr>
        <w:pStyle w:val="ListParagraph"/>
        <w:numPr>
          <w:ilvl w:val="1"/>
          <w:numId w:val="2"/>
        </w:numPr>
        <w:spacing w:after="160" w:line="259" w:lineRule="auto"/>
        <w:contextualSpacing/>
        <w:rPr>
          <w:rFonts w:ascii="Times New Roman" w:hAnsi="Times New Roman" w:cs="Times New Roman"/>
          <w:sz w:val="24"/>
          <w:szCs w:val="24"/>
        </w:rPr>
      </w:pPr>
      <w:r>
        <w:rPr>
          <w:rFonts w:ascii="Times New Roman" w:hAnsi="Times New Roman" w:cs="Times New Roman"/>
          <w:b/>
          <w:sz w:val="24"/>
          <w:szCs w:val="24"/>
        </w:rPr>
        <w:t xml:space="preserve"> [7 CFR 225.7(d)(2)(iii)(3)]</w:t>
      </w:r>
      <w:r>
        <w:rPr>
          <w:rFonts w:ascii="Times New Roman" w:hAnsi="Times New Roman" w:cs="Times New Roman"/>
          <w:sz w:val="24"/>
          <w:szCs w:val="24"/>
        </w:rPr>
        <w:t xml:space="preserve"> Conduct follow up reviews of sponsors and sites as necessary. </w:t>
      </w:r>
    </w:p>
    <w:p w14:paraId="3D1A0BE0" w14:textId="77777777" w:rsidR="00754F5C" w:rsidRDefault="00332FDF">
      <w:pPr>
        <w:pStyle w:val="ListParagraph"/>
        <w:numPr>
          <w:ilvl w:val="1"/>
          <w:numId w:val="2"/>
        </w:numPr>
        <w:spacing w:after="160" w:line="259" w:lineRule="auto"/>
        <w:contextualSpacing/>
        <w:rPr>
          <w:rFonts w:ascii="Times New Roman" w:hAnsi="Times New Roman" w:cs="Times New Roman"/>
          <w:sz w:val="24"/>
          <w:szCs w:val="24"/>
        </w:rPr>
      </w:pPr>
      <w:r>
        <w:rPr>
          <w:rFonts w:ascii="Times New Roman" w:hAnsi="Times New Roman" w:cs="Times New Roman"/>
          <w:b/>
          <w:sz w:val="24"/>
          <w:szCs w:val="24"/>
        </w:rPr>
        <w:t>[7 CFR 225.7(d)(2)(iii)(6)]</w:t>
      </w:r>
      <w:r>
        <w:rPr>
          <w:rFonts w:ascii="Times New Roman" w:hAnsi="Times New Roman" w:cs="Times New Roman"/>
          <w:sz w:val="24"/>
          <w:szCs w:val="24"/>
        </w:rPr>
        <w:t xml:space="preserve"> Inspect FSMC facilities. </w:t>
      </w:r>
    </w:p>
    <w:p w14:paraId="2B466605" w14:textId="77777777" w:rsidR="00754F5C" w:rsidRDefault="00332FDF">
      <w:pPr>
        <w:pStyle w:val="ListParagraph"/>
        <w:numPr>
          <w:ilvl w:val="0"/>
          <w:numId w:val="3"/>
        </w:numPr>
        <w:spacing w:after="160" w:line="259" w:lineRule="auto"/>
        <w:contextualSpacing/>
        <w:rPr>
          <w:rFonts w:ascii="Times New Roman" w:hAnsi="Times New Roman" w:cs="Times New Roman"/>
          <w:sz w:val="24"/>
          <w:szCs w:val="24"/>
        </w:rPr>
      </w:pPr>
      <w:r>
        <w:rPr>
          <w:rFonts w:ascii="Times New Roman" w:hAnsi="Times New Roman" w:cs="Times New Roman"/>
          <w:b/>
          <w:sz w:val="24"/>
          <w:szCs w:val="24"/>
        </w:rPr>
        <w:t xml:space="preserve"> [7 CFR 2</w:t>
      </w:r>
      <w:r>
        <w:rPr>
          <w:rFonts w:ascii="Times New Roman" w:hAnsi="Times New Roman" w:cs="Times New Roman"/>
          <w:b/>
          <w:sz w:val="24"/>
          <w:szCs w:val="24"/>
        </w:rPr>
        <w:t>25.15(d)(2)]</w:t>
      </w:r>
      <w:r>
        <w:rPr>
          <w:rFonts w:ascii="Times New Roman" w:hAnsi="Times New Roman" w:cs="Times New Roman"/>
          <w:sz w:val="24"/>
          <w:szCs w:val="24"/>
        </w:rPr>
        <w:t xml:space="preserve"> Visit sites at least once during the first week of operation.</w:t>
      </w:r>
    </w:p>
    <w:p w14:paraId="46C498E5" w14:textId="77777777" w:rsidR="00754F5C" w:rsidRDefault="00332FDF">
      <w:pPr>
        <w:pStyle w:val="ListParagraph"/>
        <w:numPr>
          <w:ilvl w:val="0"/>
          <w:numId w:val="3"/>
        </w:numPr>
        <w:spacing w:after="160" w:line="259" w:lineRule="auto"/>
        <w:contextualSpacing/>
        <w:rPr>
          <w:rFonts w:ascii="Times New Roman" w:hAnsi="Times New Roman" w:cs="Times New Roman"/>
          <w:sz w:val="24"/>
          <w:szCs w:val="24"/>
        </w:rPr>
      </w:pPr>
      <w:r>
        <w:rPr>
          <w:rFonts w:ascii="Times New Roman" w:hAnsi="Times New Roman" w:cs="Times New Roman"/>
          <w:b/>
          <w:sz w:val="24"/>
          <w:szCs w:val="24"/>
        </w:rPr>
        <w:t>[7 CFR 225.15(d)(3)]</w:t>
      </w:r>
      <w:r>
        <w:rPr>
          <w:rFonts w:ascii="Times New Roman" w:hAnsi="Times New Roman" w:cs="Times New Roman"/>
          <w:sz w:val="24"/>
          <w:szCs w:val="24"/>
        </w:rPr>
        <w:t xml:space="preserve"> Review food service operations at each site at least once during the first four weeks of operation. </w:t>
      </w:r>
    </w:p>
    <w:p w14:paraId="7F2A632D" w14:textId="77777777" w:rsidR="00754F5C" w:rsidRDefault="00754F5C">
      <w:pPr>
        <w:pStyle w:val="ListParagraph"/>
        <w:rPr>
          <w:rFonts w:ascii="Times New Roman" w:hAnsi="Times New Roman" w:cs="Times New Roman"/>
          <w:sz w:val="24"/>
          <w:szCs w:val="24"/>
        </w:rPr>
      </w:pPr>
    </w:p>
    <w:p w14:paraId="182BBB52" w14:textId="77777777" w:rsidR="00754F5C" w:rsidRDefault="00754F5C">
      <w:pPr>
        <w:pStyle w:val="ListParagraph"/>
        <w:spacing w:after="160" w:line="259" w:lineRule="auto"/>
        <w:ind w:left="1080"/>
        <w:contextualSpacing/>
        <w:rPr>
          <w:rFonts w:ascii="Times New Roman" w:hAnsi="Times New Roman" w:cs="Times New Roman"/>
          <w:sz w:val="24"/>
          <w:szCs w:val="24"/>
        </w:rPr>
      </w:pPr>
    </w:p>
    <w:p w14:paraId="60BE09EF" w14:textId="77777777" w:rsidR="00754F5C" w:rsidRDefault="00332FDF">
      <w:pPr>
        <w:contextualSpacing/>
        <w:rPr>
          <w:rFonts w:ascii="Times New Roman" w:hAnsi="Times New Roman" w:cs="Times New Roman"/>
          <w:sz w:val="24"/>
          <w:szCs w:val="24"/>
        </w:rPr>
      </w:pPr>
      <w:r>
        <w:rPr>
          <w:rFonts w:ascii="Times New Roman" w:hAnsi="Times New Roman" w:cs="Times New Roman"/>
          <w:sz w:val="24"/>
          <w:szCs w:val="24"/>
        </w:rPr>
        <w:t>NSLP</w:t>
      </w:r>
    </w:p>
    <w:p w14:paraId="75900B29" w14:textId="77777777" w:rsidR="00754F5C" w:rsidRDefault="00332FDF">
      <w:pPr>
        <w:rPr>
          <w:rFonts w:ascii="Times New Roman" w:hAnsi="Times New Roman" w:cs="Times New Roman"/>
          <w:sz w:val="24"/>
          <w:szCs w:val="24"/>
        </w:rPr>
      </w:pPr>
      <w:r>
        <w:rPr>
          <w:rFonts w:ascii="Times New Roman" w:hAnsi="Times New Roman" w:cs="Times New Roman"/>
          <w:sz w:val="24"/>
          <w:szCs w:val="24"/>
        </w:rPr>
        <w:t xml:space="preserve">The following are waiver requests for the </w:t>
      </w:r>
      <w:r>
        <w:rPr>
          <w:rFonts w:ascii="Times New Roman" w:hAnsi="Times New Roman" w:cs="Times New Roman"/>
          <w:sz w:val="24"/>
          <w:szCs w:val="24"/>
        </w:rPr>
        <w:t>NSLP Maine asks to waive:</w:t>
      </w:r>
    </w:p>
    <w:p w14:paraId="32090EF8" w14:textId="77777777" w:rsidR="00754F5C" w:rsidRDefault="00332FDF">
      <w:pPr>
        <w:pStyle w:val="ListParagraph"/>
        <w:numPr>
          <w:ilvl w:val="0"/>
          <w:numId w:val="5"/>
        </w:numPr>
        <w:spacing w:after="160" w:line="259" w:lineRule="auto"/>
        <w:contextualSpacing/>
        <w:rPr>
          <w:rFonts w:ascii="Times New Roman" w:hAnsi="Times New Roman" w:cs="Times New Roman"/>
          <w:sz w:val="24"/>
          <w:szCs w:val="24"/>
        </w:rPr>
      </w:pPr>
      <w:r>
        <w:rPr>
          <w:rFonts w:ascii="Times New Roman" w:hAnsi="Times New Roman" w:cs="Times New Roman"/>
          <w:b/>
          <w:bCs/>
          <w:sz w:val="24"/>
          <w:szCs w:val="24"/>
        </w:rPr>
        <w:t>7CFR 210.18 (c)</w:t>
      </w:r>
      <w:r>
        <w:rPr>
          <w:rFonts w:ascii="Times New Roman" w:hAnsi="Times New Roman" w:cs="Times New Roman"/>
          <w:sz w:val="24"/>
          <w:szCs w:val="24"/>
        </w:rPr>
        <w:t xml:space="preserve"> The Administrative Review timing and cycle. </w:t>
      </w:r>
    </w:p>
    <w:p w14:paraId="2090094D" w14:textId="77777777" w:rsidR="00754F5C" w:rsidRDefault="00332FDF">
      <w:pPr>
        <w:pStyle w:val="ListParagraph"/>
        <w:numPr>
          <w:ilvl w:val="0"/>
          <w:numId w:val="5"/>
        </w:numPr>
        <w:spacing w:after="160" w:line="259" w:lineRule="auto"/>
        <w:contextualSpacing/>
        <w:rPr>
          <w:rFonts w:ascii="Times New Roman" w:hAnsi="Times New Roman" w:cs="Times New Roman"/>
          <w:sz w:val="24"/>
          <w:szCs w:val="24"/>
        </w:rPr>
      </w:pPr>
      <w:r>
        <w:rPr>
          <w:rFonts w:ascii="Times New Roman" w:hAnsi="Times New Roman" w:cs="Times New Roman"/>
          <w:b/>
          <w:bCs/>
          <w:sz w:val="24"/>
          <w:szCs w:val="24"/>
        </w:rPr>
        <w:t>7CFR 210.19 (a)(5) R</w:t>
      </w:r>
      <w:r>
        <w:rPr>
          <w:rFonts w:ascii="Times New Roman" w:hAnsi="Times New Roman" w:cs="Times New Roman"/>
          <w:color w:val="000000"/>
          <w:sz w:val="24"/>
          <w:szCs w:val="24"/>
          <w:shd w:val="clear" w:color="auto" w:fill="FFFFFF"/>
        </w:rPr>
        <w:t>eview of each school food authority contracting with a food service management company, at least once during each 3-year period. </w:t>
      </w:r>
      <w:r>
        <w:rPr>
          <w:rFonts w:ascii="Times New Roman" w:hAnsi="Times New Roman" w:cs="Times New Roman"/>
          <w:sz w:val="24"/>
          <w:szCs w:val="24"/>
        </w:rPr>
        <w:t xml:space="preserve"> </w:t>
      </w:r>
    </w:p>
    <w:p w14:paraId="50C19435" w14:textId="77777777" w:rsidR="00754F5C" w:rsidRDefault="00332FDF">
      <w:pPr>
        <w:pStyle w:val="ListParagraph"/>
        <w:numPr>
          <w:ilvl w:val="0"/>
          <w:numId w:val="5"/>
        </w:numPr>
        <w:spacing w:after="160" w:line="252"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7 CFR 210.8(a)(1) </w:t>
      </w:r>
      <w:r>
        <w:rPr>
          <w:rFonts w:ascii="Times New Roman" w:hAnsi="Times New Roman" w:cs="Times New Roman"/>
          <w:b/>
          <w:bCs/>
          <w:sz w:val="24"/>
          <w:szCs w:val="24"/>
        </w:rPr>
        <w:t>&amp; 220.11(d)(1)]</w:t>
      </w:r>
      <w:r>
        <w:rPr>
          <w:rFonts w:ascii="Times New Roman" w:hAnsi="Times New Roman" w:cs="Times New Roman"/>
          <w:sz w:val="24"/>
          <w:szCs w:val="24"/>
        </w:rPr>
        <w:t xml:space="preserve"> SFA reviews by February 1. </w:t>
      </w:r>
    </w:p>
    <w:p w14:paraId="2D5F88CD" w14:textId="77777777" w:rsidR="00754F5C" w:rsidRDefault="00332FDF">
      <w:pPr>
        <w:pStyle w:val="ListParagraph"/>
        <w:numPr>
          <w:ilvl w:val="0"/>
          <w:numId w:val="5"/>
        </w:numPr>
        <w:spacing w:after="160" w:line="252"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7 CFR 210.9 (c)(7)]</w:t>
      </w:r>
      <w:r>
        <w:rPr>
          <w:rFonts w:ascii="Times New Roman" w:hAnsi="Times New Roman" w:cs="Times New Roman"/>
          <w:sz w:val="24"/>
          <w:szCs w:val="24"/>
        </w:rPr>
        <w:t xml:space="preserve"> Afterschool care reviews.</w:t>
      </w:r>
    </w:p>
    <w:p w14:paraId="450FE841" w14:textId="77777777" w:rsidR="00754F5C" w:rsidRDefault="00754F5C">
      <w:pPr>
        <w:pStyle w:val="ListParagraph"/>
        <w:spacing w:after="160" w:line="259" w:lineRule="auto"/>
        <w:ind w:left="1440"/>
        <w:contextualSpacing/>
        <w:jc w:val="both"/>
        <w:rPr>
          <w:rFonts w:ascii="Times New Roman" w:hAnsi="Times New Roman" w:cs="Times New Roman"/>
          <w:b/>
          <w:sz w:val="24"/>
          <w:szCs w:val="24"/>
        </w:rPr>
      </w:pPr>
    </w:p>
    <w:p w14:paraId="0E4DDFE8" w14:textId="77777777" w:rsidR="00754F5C" w:rsidRDefault="00754F5C">
      <w:pPr>
        <w:pStyle w:val="ListParagraph"/>
        <w:rPr>
          <w:rFonts w:ascii="Times New Roman" w:hAnsi="Times New Roman" w:cs="Times New Roman"/>
          <w:b/>
          <w:sz w:val="24"/>
          <w:szCs w:val="24"/>
        </w:rPr>
      </w:pPr>
    </w:p>
    <w:p w14:paraId="5C937609" w14:textId="77777777" w:rsidR="00754F5C" w:rsidRDefault="00754F5C">
      <w:pPr>
        <w:pStyle w:val="ListParagraph"/>
        <w:spacing w:after="160" w:line="259" w:lineRule="auto"/>
        <w:ind w:left="1440"/>
        <w:contextualSpacing/>
        <w:jc w:val="both"/>
        <w:rPr>
          <w:rFonts w:ascii="Times New Roman" w:hAnsi="Times New Roman" w:cs="Times New Roman"/>
          <w:b/>
          <w:sz w:val="24"/>
          <w:szCs w:val="24"/>
        </w:rPr>
      </w:pPr>
    </w:p>
    <w:p w14:paraId="20241E4C" w14:textId="77777777" w:rsidR="00754F5C" w:rsidRDefault="00332FDF">
      <w:p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CACFP</w:t>
      </w:r>
    </w:p>
    <w:p w14:paraId="24AB1A16" w14:textId="77777777" w:rsidR="00754F5C" w:rsidRDefault="00332FDF">
      <w:pPr>
        <w:rPr>
          <w:rFonts w:ascii="Times New Roman" w:hAnsi="Times New Roman" w:cs="Times New Roman"/>
          <w:sz w:val="24"/>
          <w:szCs w:val="24"/>
        </w:rPr>
      </w:pPr>
      <w:r>
        <w:rPr>
          <w:rFonts w:ascii="Times New Roman" w:hAnsi="Times New Roman" w:cs="Times New Roman"/>
          <w:sz w:val="24"/>
          <w:szCs w:val="24"/>
        </w:rPr>
        <w:t>MDOE requests that the following CACFP monitoring requirements be waived:</w:t>
      </w:r>
    </w:p>
    <w:p w14:paraId="5314749D" w14:textId="77777777" w:rsidR="00754F5C" w:rsidRDefault="00332FDF">
      <w:pPr>
        <w:pStyle w:val="ListParagraph"/>
        <w:numPr>
          <w:ilvl w:val="0"/>
          <w:numId w:val="5"/>
        </w:numPr>
        <w:spacing w:after="160" w:line="259" w:lineRule="auto"/>
        <w:contextualSpacing/>
        <w:rPr>
          <w:rFonts w:ascii="Times New Roman" w:hAnsi="Times New Roman" w:cs="Times New Roman"/>
          <w:sz w:val="24"/>
          <w:szCs w:val="24"/>
        </w:rPr>
      </w:pPr>
      <w:r>
        <w:rPr>
          <w:rFonts w:ascii="Times New Roman" w:hAnsi="Times New Roman" w:cs="Times New Roman"/>
          <w:b/>
          <w:bCs/>
          <w:sz w:val="24"/>
          <w:szCs w:val="24"/>
        </w:rPr>
        <w:t>7CFR 226.6(m)(3)(vii)</w:t>
      </w:r>
      <w:r>
        <w:rPr>
          <w:rFonts w:ascii="Times New Roman" w:hAnsi="Times New Roman" w:cs="Times New Roman"/>
          <w:sz w:val="24"/>
          <w:szCs w:val="24"/>
        </w:rPr>
        <w:t xml:space="preserve"> the requirement that monitoring of independent sites includes</w:t>
      </w:r>
      <w:r>
        <w:rPr>
          <w:rFonts w:ascii="Times New Roman" w:hAnsi="Times New Roman" w:cs="Times New Roman"/>
          <w:sz w:val="24"/>
          <w:szCs w:val="24"/>
        </w:rPr>
        <w:t xml:space="preserve"> the observation of a meal service.</w:t>
      </w:r>
    </w:p>
    <w:p w14:paraId="52CA94D5" w14:textId="77777777" w:rsidR="00754F5C" w:rsidRDefault="00332FDF">
      <w:pPr>
        <w:pStyle w:val="ListParagraph"/>
        <w:numPr>
          <w:ilvl w:val="0"/>
          <w:numId w:val="5"/>
        </w:numPr>
        <w:spacing w:after="160" w:line="259" w:lineRule="auto"/>
        <w:contextualSpacing/>
        <w:rPr>
          <w:rFonts w:ascii="Times New Roman" w:hAnsi="Times New Roman" w:cs="Times New Roman"/>
          <w:sz w:val="24"/>
          <w:szCs w:val="24"/>
        </w:rPr>
      </w:pPr>
      <w:r>
        <w:rPr>
          <w:rFonts w:ascii="Times New Roman" w:hAnsi="Times New Roman" w:cs="Times New Roman"/>
          <w:b/>
          <w:bCs/>
          <w:sz w:val="24"/>
          <w:szCs w:val="24"/>
        </w:rPr>
        <w:t>7CFR 226.6(m)(6)</w:t>
      </w:r>
      <w:r>
        <w:rPr>
          <w:rFonts w:ascii="Times New Roman" w:hAnsi="Times New Roman" w:cs="Times New Roman"/>
          <w:sz w:val="24"/>
          <w:szCs w:val="24"/>
        </w:rPr>
        <w:t xml:space="preserve"> the requirement to annually review at least 33.3% of all institutions. </w:t>
      </w:r>
    </w:p>
    <w:p w14:paraId="40BC9B80" w14:textId="77777777" w:rsidR="00754F5C" w:rsidRDefault="00332FDF">
      <w:pPr>
        <w:pStyle w:val="ListParagraph"/>
        <w:numPr>
          <w:ilvl w:val="0"/>
          <w:numId w:val="5"/>
        </w:numPr>
        <w:spacing w:after="160" w:line="259" w:lineRule="auto"/>
        <w:contextualSpacing/>
        <w:rPr>
          <w:rFonts w:ascii="Times New Roman" w:hAnsi="Times New Roman" w:cs="Times New Roman"/>
          <w:sz w:val="24"/>
          <w:szCs w:val="24"/>
        </w:rPr>
      </w:pPr>
      <w:r>
        <w:rPr>
          <w:rFonts w:ascii="Times New Roman" w:hAnsi="Times New Roman" w:cs="Times New Roman"/>
          <w:b/>
          <w:bCs/>
          <w:sz w:val="24"/>
          <w:szCs w:val="24"/>
        </w:rPr>
        <w:t xml:space="preserve">7 CFR 226.6(m)(6)(i) </w:t>
      </w:r>
      <w:r>
        <w:rPr>
          <w:rFonts w:ascii="Times New Roman" w:hAnsi="Times New Roman" w:cs="Times New Roman"/>
          <w:sz w:val="24"/>
          <w:szCs w:val="24"/>
        </w:rPr>
        <w:t xml:space="preserve">the requirement that independent centers and sponsoring organizations of 1 to 100 facilities must be </w:t>
      </w:r>
      <w:r>
        <w:rPr>
          <w:rFonts w:ascii="Times New Roman" w:hAnsi="Times New Roman" w:cs="Times New Roman"/>
          <w:sz w:val="24"/>
          <w:szCs w:val="24"/>
        </w:rPr>
        <w:t>reviewed at least once every three years.</w:t>
      </w:r>
    </w:p>
    <w:p w14:paraId="1EA65B76" w14:textId="77777777" w:rsidR="00754F5C" w:rsidRDefault="00332FDF">
      <w:pPr>
        <w:pStyle w:val="ListParagraph"/>
        <w:numPr>
          <w:ilvl w:val="0"/>
          <w:numId w:val="5"/>
        </w:numPr>
        <w:spacing w:after="160" w:line="259" w:lineRule="auto"/>
        <w:contextualSpacing/>
        <w:rPr>
          <w:rFonts w:ascii="Times New Roman" w:hAnsi="Times New Roman" w:cs="Times New Roman"/>
          <w:sz w:val="24"/>
          <w:szCs w:val="24"/>
        </w:rPr>
      </w:pPr>
      <w:r>
        <w:rPr>
          <w:rFonts w:ascii="Times New Roman" w:hAnsi="Times New Roman" w:cs="Times New Roman"/>
          <w:b/>
          <w:bCs/>
          <w:sz w:val="24"/>
          <w:szCs w:val="24"/>
        </w:rPr>
        <w:t>7CFR 226.16(d)(4)(ii)</w:t>
      </w:r>
      <w:r>
        <w:rPr>
          <w:rFonts w:ascii="Times New Roman" w:hAnsi="Times New Roman" w:cs="Times New Roman"/>
          <w:sz w:val="24"/>
          <w:szCs w:val="24"/>
        </w:rPr>
        <w:t xml:space="preserve"> the requirement that sponsoring institutions conduct a reconciliation of meal counts.</w:t>
      </w:r>
    </w:p>
    <w:p w14:paraId="6F0F8F29" w14:textId="77777777" w:rsidR="00754F5C" w:rsidRDefault="00332FDF">
      <w:pPr>
        <w:pStyle w:val="ListParagraph"/>
        <w:numPr>
          <w:ilvl w:val="0"/>
          <w:numId w:val="5"/>
        </w:numPr>
        <w:spacing w:after="160" w:line="259" w:lineRule="auto"/>
        <w:contextualSpacing/>
        <w:rPr>
          <w:rFonts w:ascii="Times New Roman" w:hAnsi="Times New Roman" w:cs="Times New Roman"/>
          <w:sz w:val="24"/>
          <w:szCs w:val="24"/>
        </w:rPr>
      </w:pPr>
      <w:r>
        <w:rPr>
          <w:rFonts w:ascii="Times New Roman" w:hAnsi="Times New Roman" w:cs="Times New Roman"/>
          <w:b/>
          <w:bCs/>
          <w:sz w:val="24"/>
          <w:szCs w:val="24"/>
        </w:rPr>
        <w:lastRenderedPageBreak/>
        <w:t>7CFR 226.16(d)(4)(iii)(A)</w:t>
      </w:r>
      <w:r>
        <w:rPr>
          <w:rFonts w:ascii="Times New Roman" w:hAnsi="Times New Roman" w:cs="Times New Roman"/>
          <w:sz w:val="24"/>
          <w:szCs w:val="24"/>
        </w:rPr>
        <w:t xml:space="preserve"> the requirement that sponsors conduct unannounced visits.</w:t>
      </w:r>
    </w:p>
    <w:p w14:paraId="42F41B2B" w14:textId="77777777" w:rsidR="00754F5C" w:rsidRDefault="00332FDF">
      <w:pPr>
        <w:pStyle w:val="ListParagraph"/>
        <w:numPr>
          <w:ilvl w:val="0"/>
          <w:numId w:val="5"/>
        </w:numPr>
        <w:spacing w:after="160" w:line="259" w:lineRule="auto"/>
        <w:contextualSpacing/>
        <w:rPr>
          <w:rFonts w:ascii="Times New Roman" w:hAnsi="Times New Roman" w:cs="Times New Roman"/>
          <w:sz w:val="24"/>
          <w:szCs w:val="24"/>
        </w:rPr>
      </w:pPr>
      <w:r>
        <w:rPr>
          <w:rFonts w:ascii="Times New Roman" w:hAnsi="Times New Roman" w:cs="Times New Roman"/>
          <w:b/>
          <w:bCs/>
          <w:sz w:val="24"/>
          <w:szCs w:val="24"/>
        </w:rPr>
        <w:t>7CFR 226.16(d)(4)(iii)</w:t>
      </w:r>
      <w:r>
        <w:rPr>
          <w:rFonts w:ascii="Times New Roman" w:hAnsi="Times New Roman" w:cs="Times New Roman"/>
          <w:b/>
          <w:bCs/>
          <w:sz w:val="24"/>
          <w:szCs w:val="24"/>
        </w:rPr>
        <w:t>(B)</w:t>
      </w:r>
      <w:r>
        <w:rPr>
          <w:rFonts w:ascii="Times New Roman" w:hAnsi="Times New Roman" w:cs="Times New Roman"/>
          <w:sz w:val="24"/>
          <w:szCs w:val="24"/>
        </w:rPr>
        <w:t xml:space="preserve"> the requirement that sponsors observe a meal service.</w:t>
      </w:r>
    </w:p>
    <w:p w14:paraId="29C32374" w14:textId="77777777" w:rsidR="00754F5C" w:rsidRDefault="00332FDF">
      <w:pPr>
        <w:pStyle w:val="ListParagraph"/>
        <w:numPr>
          <w:ilvl w:val="0"/>
          <w:numId w:val="5"/>
        </w:numPr>
        <w:spacing w:after="160" w:line="259" w:lineRule="auto"/>
        <w:contextualSpacing/>
        <w:rPr>
          <w:rFonts w:ascii="Times New Roman" w:hAnsi="Times New Roman" w:cs="Times New Roman"/>
          <w:sz w:val="24"/>
          <w:szCs w:val="24"/>
        </w:rPr>
      </w:pPr>
      <w:r>
        <w:rPr>
          <w:rFonts w:ascii="Times New Roman" w:hAnsi="Times New Roman" w:cs="Times New Roman"/>
          <w:b/>
          <w:bCs/>
          <w:sz w:val="24"/>
          <w:szCs w:val="24"/>
        </w:rPr>
        <w:t>7CFR 226.16(d)(4)(iii)(D)</w:t>
      </w:r>
      <w:r>
        <w:rPr>
          <w:rFonts w:ascii="Times New Roman" w:hAnsi="Times New Roman" w:cs="Times New Roman"/>
          <w:sz w:val="24"/>
          <w:szCs w:val="24"/>
        </w:rPr>
        <w:t xml:space="preserve"> the requirement that not more than 6 months elapse between sponsor reviews.</w:t>
      </w:r>
    </w:p>
    <w:p w14:paraId="3E33E305" w14:textId="77777777" w:rsidR="00754F5C" w:rsidRDefault="00754F5C">
      <w:pPr>
        <w:spacing w:after="160" w:line="259" w:lineRule="auto"/>
        <w:contextualSpacing/>
        <w:rPr>
          <w:rFonts w:ascii="Times New Roman" w:hAnsi="Times New Roman" w:cs="Times New Roman"/>
          <w:sz w:val="24"/>
          <w:szCs w:val="24"/>
        </w:rPr>
      </w:pPr>
    </w:p>
    <w:p w14:paraId="67991466" w14:textId="77777777" w:rsidR="00754F5C" w:rsidRDefault="00332FDF">
      <w:pPr>
        <w:pStyle w:val="Default"/>
        <w:rPr>
          <w:bCs/>
        </w:rPr>
      </w:pPr>
      <w:r>
        <w:rPr>
          <w:b/>
          <w:bCs/>
        </w:rPr>
        <w:t xml:space="preserve">6. Detailed description of alternative procedures and anticipated impact on Program operations, including technology, State systems, and monitoring: </w:t>
      </w:r>
      <w:r>
        <w:rPr>
          <w:bCs/>
        </w:rPr>
        <w:t xml:space="preserve"> </w:t>
      </w:r>
    </w:p>
    <w:p w14:paraId="76B0883C" w14:textId="77777777" w:rsidR="00754F5C" w:rsidRDefault="00754F5C">
      <w:pPr>
        <w:pStyle w:val="Default"/>
        <w:rPr>
          <w:bCs/>
        </w:rPr>
      </w:pPr>
    </w:p>
    <w:p w14:paraId="6D675750" w14:textId="77777777" w:rsidR="00754F5C" w:rsidRDefault="00332FDF">
      <w:pPr>
        <w:pStyle w:val="Default"/>
        <w:rPr>
          <w:bCs/>
        </w:rPr>
      </w:pPr>
      <w:r>
        <w:rPr>
          <w:bCs/>
        </w:rPr>
        <w:t>There are no anticipated impacts on technology or state systems. There will be an impact for all program</w:t>
      </w:r>
      <w:r>
        <w:rPr>
          <w:bCs/>
        </w:rPr>
        <w:t>s on staffing demands and unexpected tasks.  Monitoring continues in all programs with constant communication and review of any requested documents.  Daily MDOE staff meetings include the sharing of information among the programs which has been very useful</w:t>
      </w:r>
      <w:r>
        <w:rPr>
          <w:bCs/>
        </w:rPr>
        <w:t xml:space="preserve"> overall.  It also creates the opportunity to share monitoring outcomes with Child Nutrition staff.   In all cases the goal is to minimize contact and possible exposure to all.  Maine has and is required to keep this as a focus for staff and children.  </w:t>
      </w:r>
    </w:p>
    <w:p w14:paraId="308D7919" w14:textId="77777777" w:rsidR="00754F5C" w:rsidRDefault="00754F5C">
      <w:pPr>
        <w:pStyle w:val="Default"/>
        <w:rPr>
          <w:bCs/>
        </w:rPr>
      </w:pPr>
    </w:p>
    <w:p w14:paraId="3E6B7040" w14:textId="77777777" w:rsidR="00754F5C" w:rsidRDefault="00332FDF">
      <w:pPr>
        <w:pStyle w:val="Default"/>
        <w:rPr>
          <w:b/>
        </w:rPr>
      </w:pPr>
      <w:r>
        <w:rPr>
          <w:b/>
        </w:rPr>
        <w:t>S</w:t>
      </w:r>
      <w:r>
        <w:rPr>
          <w:b/>
        </w:rPr>
        <w:t>FSP</w:t>
      </w:r>
    </w:p>
    <w:p w14:paraId="3ABE1B9F" w14:textId="77777777" w:rsidR="00754F5C" w:rsidRDefault="00332FDF">
      <w:pPr>
        <w:pStyle w:val="Default"/>
        <w:rPr>
          <w:bCs/>
        </w:rPr>
      </w:pPr>
      <w:r>
        <w:rPr>
          <w:bCs/>
        </w:rPr>
        <w:t xml:space="preserve">Due to the public health emergency, MDOE is planning to conduct SFSP desk audits </w:t>
      </w:r>
      <w:r>
        <w:rPr>
          <w:bCs/>
        </w:rPr>
        <w:t>of summer sponsors and will use a claim as a review period (most recent claim). Paperwork will be submitted by sponsors as part of the review and the process will inclu</w:t>
      </w:r>
      <w:r>
        <w:rPr>
          <w:bCs/>
        </w:rPr>
        <w:t xml:space="preserve">de regular communication with sponsors. Due to remote working locations, confidential material, such as meal benefit applications, are not allowed under Maine Data and Confidential policy.  This will need to be considered when the reviews are planned. </w:t>
      </w:r>
    </w:p>
    <w:p w14:paraId="2A366A78" w14:textId="77777777" w:rsidR="00754F5C" w:rsidRDefault="00754F5C">
      <w:pPr>
        <w:pStyle w:val="Default"/>
        <w:rPr>
          <w:bCs/>
        </w:rPr>
      </w:pPr>
    </w:p>
    <w:p w14:paraId="049F50EB" w14:textId="77777777" w:rsidR="00754F5C" w:rsidRDefault="00332FDF">
      <w:pPr>
        <w:pStyle w:val="Default"/>
        <w:rPr>
          <w:bCs/>
        </w:rPr>
      </w:pPr>
      <w:r>
        <w:rPr>
          <w:bCs/>
        </w:rPr>
        <w:t>MD</w:t>
      </w:r>
      <w:r>
        <w:rPr>
          <w:bCs/>
        </w:rPr>
        <w:t>OE understands that program integrity must be upheld during this time. So rather than meeting the traditional requirement, MDOE will review according to this plan:</w:t>
      </w:r>
    </w:p>
    <w:p w14:paraId="6EEFFA3F" w14:textId="77777777" w:rsidR="00754F5C" w:rsidRDefault="00332FDF">
      <w:pPr>
        <w:pStyle w:val="Default"/>
        <w:numPr>
          <w:ilvl w:val="0"/>
          <w:numId w:val="1"/>
        </w:numPr>
        <w:rPr>
          <w:bCs/>
        </w:rPr>
      </w:pPr>
      <w:r>
        <w:rPr>
          <w:bCs/>
        </w:rPr>
        <w:t>All experienced sponsors who are required to be reviewed based on the 3-year cycle (37 spons</w:t>
      </w:r>
      <w:r>
        <w:rPr>
          <w:bCs/>
        </w:rPr>
        <w:t>ors meet this requirement)</w:t>
      </w:r>
    </w:p>
    <w:p w14:paraId="0760298B" w14:textId="77777777" w:rsidR="00754F5C" w:rsidRDefault="00332FDF">
      <w:pPr>
        <w:pStyle w:val="Default"/>
        <w:numPr>
          <w:ilvl w:val="0"/>
          <w:numId w:val="1"/>
        </w:numPr>
        <w:rPr>
          <w:bCs/>
        </w:rPr>
      </w:pPr>
      <w:r>
        <w:rPr>
          <w:bCs/>
        </w:rPr>
        <w:t>Sponsors who experienced significant operational concerns the prior summer</w:t>
      </w:r>
    </w:p>
    <w:p w14:paraId="0F266748" w14:textId="77777777" w:rsidR="00754F5C" w:rsidRDefault="00332FDF">
      <w:pPr>
        <w:pStyle w:val="Default"/>
        <w:numPr>
          <w:ilvl w:val="0"/>
          <w:numId w:val="1"/>
        </w:numPr>
        <w:rPr>
          <w:bCs/>
        </w:rPr>
      </w:pPr>
      <w:r>
        <w:rPr>
          <w:bCs/>
        </w:rPr>
        <w:t>New sponsors who are operating in 2022 if:</w:t>
      </w:r>
    </w:p>
    <w:p w14:paraId="4F54E7F5" w14:textId="77777777" w:rsidR="00754F5C" w:rsidRDefault="00332FDF">
      <w:pPr>
        <w:pStyle w:val="Default"/>
        <w:numPr>
          <w:ilvl w:val="1"/>
          <w:numId w:val="1"/>
        </w:numPr>
        <w:rPr>
          <w:bCs/>
        </w:rPr>
      </w:pPr>
      <w:r>
        <w:rPr>
          <w:bCs/>
        </w:rPr>
        <w:t>They are a non-SFA</w:t>
      </w:r>
    </w:p>
    <w:p w14:paraId="075381B1" w14:textId="77777777" w:rsidR="00754F5C" w:rsidRDefault="00332FDF">
      <w:pPr>
        <w:pStyle w:val="Default"/>
        <w:numPr>
          <w:ilvl w:val="1"/>
          <w:numId w:val="1"/>
        </w:numPr>
        <w:rPr>
          <w:bCs/>
        </w:rPr>
      </w:pPr>
      <w:r>
        <w:rPr>
          <w:bCs/>
        </w:rPr>
        <w:t>They are an SFA who has experienced operational concerns in the past</w:t>
      </w:r>
    </w:p>
    <w:p w14:paraId="29A3150E" w14:textId="77777777" w:rsidR="00754F5C" w:rsidRDefault="00754F5C">
      <w:pPr>
        <w:pStyle w:val="Default"/>
        <w:ind w:left="1440"/>
        <w:rPr>
          <w:bCs/>
        </w:rPr>
      </w:pPr>
    </w:p>
    <w:p w14:paraId="706B84F0" w14:textId="77777777" w:rsidR="00754F5C" w:rsidRDefault="00332FDF">
      <w:pPr>
        <w:spacing w:line="256" w:lineRule="auto"/>
        <w:contextualSpacing/>
        <w:rPr>
          <w:rFonts w:ascii="Times New Roman" w:hAnsi="Times New Roman" w:cs="Times New Roman"/>
          <w:sz w:val="24"/>
          <w:szCs w:val="24"/>
        </w:rPr>
      </w:pPr>
      <w:r>
        <w:rPr>
          <w:rFonts w:ascii="Times New Roman" w:hAnsi="Times New Roman" w:cs="Times New Roman"/>
          <w:bCs/>
          <w:sz w:val="24"/>
          <w:szCs w:val="24"/>
        </w:rPr>
        <w:t>Using a similar plan i</w:t>
      </w:r>
      <w:r>
        <w:rPr>
          <w:rFonts w:ascii="Times New Roman" w:hAnsi="Times New Roman" w:cs="Times New Roman"/>
          <w:bCs/>
          <w:sz w:val="24"/>
          <w:szCs w:val="24"/>
        </w:rPr>
        <w:t xml:space="preserve">n 2020 and 2021, MDOE successfully reviewed sponsors off site.  </w:t>
      </w:r>
    </w:p>
    <w:p w14:paraId="67D7D6A2" w14:textId="77777777" w:rsidR="00754F5C" w:rsidRDefault="00332FDF">
      <w:pPr>
        <w:pStyle w:val="Default"/>
        <w:rPr>
          <w:bCs/>
        </w:rPr>
      </w:pPr>
      <w:r>
        <w:rPr>
          <w:bCs/>
        </w:rPr>
        <w:t>Approximately 40 sponsors, or more, will receive a SFSP review based on the above plan. This includes estimated 37 those sponsors</w:t>
      </w:r>
      <w:r>
        <w:rPr>
          <w:rStyle w:val="CommentReference"/>
          <w:color w:val="auto"/>
          <w:sz w:val="24"/>
          <w:szCs w:val="24"/>
        </w:rPr>
        <w:t xml:space="preserve"> o</w:t>
      </w:r>
      <w:r>
        <w:rPr>
          <w:bCs/>
        </w:rPr>
        <w:t>n cycle plus any new non-SFA sponsors. To further ensure pro</w:t>
      </w:r>
      <w:r>
        <w:rPr>
          <w:bCs/>
        </w:rPr>
        <w:t xml:space="preserve">gram integrity, additional reviews will be added for sponsors flagged as high risk, those with operational concerns brought forward by staff. Currently, one SFA sponsor uses a FSMC. The facility used is the school district, which has been inspected in the </w:t>
      </w:r>
      <w:r>
        <w:rPr>
          <w:bCs/>
        </w:rPr>
        <w:t>past as part of Administrative reviews. This year, the district is also getting a remote Administrative Review.</w:t>
      </w:r>
    </w:p>
    <w:p w14:paraId="5E51F0F9" w14:textId="77777777" w:rsidR="00754F5C" w:rsidRDefault="00332FDF">
      <w:pPr>
        <w:pStyle w:val="Default"/>
        <w:rPr>
          <w:bCs/>
        </w:rPr>
      </w:pPr>
      <w:r>
        <w:rPr>
          <w:bCs/>
        </w:rPr>
        <w:t>This plan will allow for review of program integrity and proper use of federal funds as questions related to these topics are included in the re</w:t>
      </w:r>
      <w:r>
        <w:rPr>
          <w:bCs/>
        </w:rPr>
        <w:t xml:space="preserve">view process. For instance, documentation to support claims is requested and questions are asked about the meal counting and claiming process.  </w:t>
      </w:r>
      <w:r>
        <w:rPr>
          <w:bCs/>
        </w:rPr>
        <w:lastRenderedPageBreak/>
        <w:t>These questions also allow staff to assess compliance with regulations and flexibilities. For further informatio</w:t>
      </w:r>
      <w:r>
        <w:rPr>
          <w:bCs/>
        </w:rPr>
        <w:t xml:space="preserve">n on how program integrity will be upheld please see details outlined in the following section. </w:t>
      </w:r>
    </w:p>
    <w:p w14:paraId="08965E6C" w14:textId="77777777" w:rsidR="00754F5C" w:rsidRDefault="00754F5C">
      <w:pPr>
        <w:pStyle w:val="Default"/>
        <w:rPr>
          <w:bCs/>
        </w:rPr>
      </w:pPr>
    </w:p>
    <w:p w14:paraId="0BB1002C" w14:textId="77777777" w:rsidR="00754F5C" w:rsidRDefault="00332FDF">
      <w:pPr>
        <w:pStyle w:val="Default"/>
        <w:rPr>
          <w:b/>
        </w:rPr>
      </w:pPr>
      <w:r>
        <w:rPr>
          <w:b/>
        </w:rPr>
        <w:t>NSLP</w:t>
      </w:r>
    </w:p>
    <w:p w14:paraId="20604E89" w14:textId="77777777" w:rsidR="00754F5C" w:rsidRDefault="00332FDF">
      <w:pPr>
        <w:pStyle w:val="Default"/>
        <w:rPr>
          <w:bCs/>
        </w:rPr>
      </w:pPr>
      <w:r>
        <w:rPr>
          <w:bCs/>
        </w:rPr>
        <w:t>The NSLP Administrative Reviews began SY22 (July 1</w:t>
      </w:r>
      <w:r>
        <w:rPr>
          <w:bCs/>
          <w:vertAlign w:val="superscript"/>
        </w:rPr>
        <w:t>st</w:t>
      </w:r>
      <w:r>
        <w:rPr>
          <w:bCs/>
        </w:rPr>
        <w:t>, 2021) remotely with any SY20 (July 1, 2019- June 30, 2020) Administrative Reviews not completed and</w:t>
      </w:r>
      <w:r>
        <w:rPr>
          <w:bCs/>
        </w:rPr>
        <w:t xml:space="preserve"> SY21 (July1, 2020-June 30,2021) Administrative Reviews.  During SY 21 procurement reviews continued which provided constant contact with sponsors and business offices. </w:t>
      </w:r>
    </w:p>
    <w:p w14:paraId="29B19A3D" w14:textId="77777777" w:rsidR="00754F5C" w:rsidRDefault="00754F5C">
      <w:pPr>
        <w:pStyle w:val="Default"/>
        <w:rPr>
          <w:bCs/>
        </w:rPr>
      </w:pPr>
    </w:p>
    <w:p w14:paraId="1D76E00B" w14:textId="77777777" w:rsidR="00754F5C" w:rsidRDefault="00332FDF">
      <w:pPr>
        <w:rPr>
          <w:rFonts w:ascii="Times New Roman" w:hAnsi="Times New Roman" w:cs="Times New Roman"/>
          <w:bCs/>
          <w:sz w:val="24"/>
          <w:szCs w:val="24"/>
        </w:rPr>
      </w:pPr>
      <w:r>
        <w:rPr>
          <w:rFonts w:ascii="Times New Roman" w:hAnsi="Times New Roman" w:cs="Times New Roman"/>
          <w:bCs/>
          <w:sz w:val="24"/>
          <w:szCs w:val="24"/>
        </w:rPr>
        <w:t>Ensuring Program Integrity: For all programs (CACFP, SFSP, NSLP, and the USDA Food Program) staff provides T/A in several areas by phone, virtual meetings and webinars.  Trainings are directed to Food Service Departments and sponsor Administration.  Webina</w:t>
      </w:r>
      <w:r>
        <w:rPr>
          <w:rFonts w:ascii="Times New Roman" w:hAnsi="Times New Roman" w:cs="Times New Roman"/>
          <w:bCs/>
          <w:sz w:val="24"/>
          <w:szCs w:val="24"/>
        </w:rPr>
        <w:t>rs take place at least monthly on current hot topics or recent USDA releases or areas we see a need.  Virtual meetings occur as we see issues or districts struggling. The tentative plan is to hold these meetings monthly or more often as needed.  This is de</w:t>
      </w:r>
      <w:r>
        <w:rPr>
          <w:rFonts w:ascii="Times New Roman" w:hAnsi="Times New Roman" w:cs="Times New Roman"/>
          <w:bCs/>
          <w:sz w:val="24"/>
          <w:szCs w:val="24"/>
        </w:rPr>
        <w:t>termined by late reporting, changes in staff, and other high-risk indicators.  Phone calls are as needed.  Staff is in constant communications with our districts.  Staff generate calls based on feedback from DOE, partners, paperwork submitted, media and so</w:t>
      </w:r>
      <w:r>
        <w:rPr>
          <w:rFonts w:ascii="Times New Roman" w:hAnsi="Times New Roman" w:cs="Times New Roman"/>
          <w:bCs/>
          <w:sz w:val="24"/>
          <w:szCs w:val="24"/>
        </w:rPr>
        <w:t>cial media.  Staff and Food Service Directors have an excellent relationship and generally accept our calls as friendly and helpful.  During the daily morning meeting at MDOE, staff shares any information about sponsors in all three programs and the direct</w:t>
      </w:r>
      <w:r>
        <w:rPr>
          <w:rFonts w:ascii="Times New Roman" w:hAnsi="Times New Roman" w:cs="Times New Roman"/>
          <w:bCs/>
          <w:sz w:val="24"/>
          <w:szCs w:val="24"/>
        </w:rPr>
        <w:t xml:space="preserve">or shares anything from the Department level about a district.  MDOE feel we are in great communication with local sponsors to know what is happening and possible issues. MDOE has an excellent customer service program for all sponsors. </w:t>
      </w:r>
      <w:r>
        <w:rPr>
          <w:rFonts w:ascii="Times New Roman" w:hAnsi="Times New Roman" w:cs="Times New Roman"/>
          <w:sz w:val="24"/>
          <w:szCs w:val="24"/>
        </w:rPr>
        <w:t>We continue to monit</w:t>
      </w:r>
      <w:r>
        <w:rPr>
          <w:rFonts w:ascii="Times New Roman" w:hAnsi="Times New Roman" w:cs="Times New Roman"/>
          <w:sz w:val="24"/>
          <w:szCs w:val="24"/>
        </w:rPr>
        <w:t xml:space="preserve">or questionable monthly claims. District’s that have a large change in meals served or a large reimbursement compared to other months is flagged and a reviewer assigned to follow-up. </w:t>
      </w:r>
      <w:r>
        <w:rPr>
          <w:rFonts w:ascii="Times New Roman" w:hAnsi="Times New Roman" w:cs="Times New Roman"/>
          <w:bCs/>
          <w:sz w:val="24"/>
          <w:szCs w:val="24"/>
        </w:rPr>
        <w:t xml:space="preserve">This ensures program integrity is upheld and reimbursements are reviewed </w:t>
      </w:r>
      <w:r>
        <w:rPr>
          <w:rFonts w:ascii="Times New Roman" w:hAnsi="Times New Roman" w:cs="Times New Roman"/>
          <w:bCs/>
          <w:sz w:val="24"/>
          <w:szCs w:val="24"/>
        </w:rPr>
        <w:t xml:space="preserve">for potentially fraudulent activity or misuse of Federal funds. </w:t>
      </w:r>
    </w:p>
    <w:p w14:paraId="747DBD37" w14:textId="77777777" w:rsidR="00754F5C" w:rsidRDefault="00754F5C">
      <w:pPr>
        <w:pStyle w:val="Default"/>
        <w:rPr>
          <w:bCs/>
        </w:rPr>
      </w:pPr>
    </w:p>
    <w:p w14:paraId="16D0E22A" w14:textId="77777777" w:rsidR="00754F5C" w:rsidRDefault="00332FDF">
      <w:pPr>
        <w:pStyle w:val="Default"/>
        <w:rPr>
          <w:b/>
        </w:rPr>
      </w:pPr>
      <w:r>
        <w:rPr>
          <w:b/>
        </w:rPr>
        <w:t>CACFP</w:t>
      </w:r>
    </w:p>
    <w:p w14:paraId="66813069" w14:textId="77777777" w:rsidR="00754F5C" w:rsidRDefault="00754F5C">
      <w:pPr>
        <w:pStyle w:val="Default"/>
        <w:rPr>
          <w:b/>
        </w:rPr>
      </w:pPr>
    </w:p>
    <w:p w14:paraId="052B0D1B" w14:textId="77777777" w:rsidR="00754F5C" w:rsidRDefault="00332FDF">
      <w:pPr>
        <w:rPr>
          <w:rFonts w:ascii="Times New Roman" w:hAnsi="Times New Roman" w:cs="Times New Roman"/>
          <w:sz w:val="24"/>
          <w:szCs w:val="24"/>
        </w:rPr>
      </w:pPr>
      <w:r>
        <w:rPr>
          <w:rFonts w:ascii="Times New Roman" w:hAnsi="Times New Roman" w:cs="Times New Roman"/>
          <w:sz w:val="24"/>
          <w:szCs w:val="24"/>
        </w:rPr>
        <w:t>The CACFP SA is conducting a very thorough desk audit of institutions due for review in the 2022 agreement year. Integrity will be upheld through this review process as we are taking an in-depth look at all review components.  The CACFP SA requested, revie</w:t>
      </w:r>
      <w:r>
        <w:rPr>
          <w:rFonts w:ascii="Times New Roman" w:hAnsi="Times New Roman" w:cs="Times New Roman"/>
          <w:sz w:val="24"/>
          <w:szCs w:val="24"/>
        </w:rPr>
        <w:t>wed and approved written monitoring plans from DCH sponsors to ensure that their monitoring and oversight of the sponsored facilities ensures program integrity is maintained.</w:t>
      </w:r>
    </w:p>
    <w:p w14:paraId="5FA279EE" w14:textId="77777777" w:rsidR="00754F5C" w:rsidRDefault="00332FDF">
      <w:pPr>
        <w:rPr>
          <w:rFonts w:ascii="Times New Roman" w:hAnsi="Times New Roman" w:cs="Times New Roman"/>
          <w:sz w:val="24"/>
          <w:szCs w:val="24"/>
        </w:rPr>
      </w:pPr>
      <w:r>
        <w:rPr>
          <w:rFonts w:ascii="Times New Roman" w:hAnsi="Times New Roman" w:cs="Times New Roman"/>
          <w:sz w:val="24"/>
          <w:szCs w:val="24"/>
        </w:rPr>
        <w:t>The CACFP SA offers regular webinars that cover CACFP updates and requirements. T</w:t>
      </w:r>
      <w:r>
        <w:rPr>
          <w:rFonts w:ascii="Times New Roman" w:hAnsi="Times New Roman" w:cs="Times New Roman"/>
          <w:sz w:val="24"/>
          <w:szCs w:val="24"/>
        </w:rPr>
        <w:t>he webinars are recorded and are available on the DOE website for those who cannot listen to the live event. Webinar topics vary greatly and are often chosen by CACFP SA staff through the review/desk audit process. When SA staff discover that a CACFP requi</w:t>
      </w:r>
      <w:r>
        <w:rPr>
          <w:rFonts w:ascii="Times New Roman" w:hAnsi="Times New Roman" w:cs="Times New Roman"/>
          <w:sz w:val="24"/>
          <w:szCs w:val="24"/>
        </w:rPr>
        <w:t>rement is frequently identified as a review finding, technical assistance is given to the individual institutions and webinars are created to address common findings. Institutions that have numerous review findings and/or require a lot of technical assista</w:t>
      </w:r>
      <w:r>
        <w:rPr>
          <w:rFonts w:ascii="Times New Roman" w:hAnsi="Times New Roman" w:cs="Times New Roman"/>
          <w:sz w:val="24"/>
          <w:szCs w:val="24"/>
        </w:rPr>
        <w:t xml:space="preserve">nce are targeted for a follow-up review in the next agreement year. CACFP Basic Training is also conducted on a quarterly basis; this training is an in-depth look at meal pattern and record-keeping requirements and helps new applicants as </w:t>
      </w:r>
      <w:r>
        <w:rPr>
          <w:rFonts w:ascii="Times New Roman" w:hAnsi="Times New Roman" w:cs="Times New Roman"/>
          <w:sz w:val="24"/>
          <w:szCs w:val="24"/>
        </w:rPr>
        <w:lastRenderedPageBreak/>
        <w:t>well as new staff</w:t>
      </w:r>
      <w:r>
        <w:rPr>
          <w:rFonts w:ascii="Times New Roman" w:hAnsi="Times New Roman" w:cs="Times New Roman"/>
          <w:sz w:val="24"/>
          <w:szCs w:val="24"/>
        </w:rPr>
        <w:t xml:space="preserve"> at participating institutions by describing the day-to-day operation requirements of the CACFP. These trainings are required for new applicants and are offered to new staff members at participating institutions; the trainings are also required as part of </w:t>
      </w:r>
      <w:r>
        <w:rPr>
          <w:rFonts w:ascii="Times New Roman" w:hAnsi="Times New Roman" w:cs="Times New Roman"/>
          <w:sz w:val="24"/>
          <w:szCs w:val="24"/>
        </w:rPr>
        <w:t>a corrective action plan for staff with CACFP duties when an institution has review/audit findings that demonstrate a lack of the basic knowledge required to be compliant with CACFP requirements. The CACFP SA is currently creating ounce equivalents trainin</w:t>
      </w:r>
      <w:r>
        <w:rPr>
          <w:rFonts w:ascii="Times New Roman" w:hAnsi="Times New Roman" w:cs="Times New Roman"/>
          <w:sz w:val="24"/>
          <w:szCs w:val="24"/>
        </w:rPr>
        <w:t>g, new on-site review software training and a training to help participants understand the annual in-house training requirements. In addition to the planned trainings and on-going assistance, the CACFP SA will monitor trends to determine areas that require</w:t>
      </w:r>
      <w:r>
        <w:rPr>
          <w:rFonts w:ascii="Times New Roman" w:hAnsi="Times New Roman" w:cs="Times New Roman"/>
          <w:sz w:val="24"/>
          <w:szCs w:val="24"/>
        </w:rPr>
        <w:t xml:space="preserve"> additional training.</w:t>
      </w:r>
    </w:p>
    <w:p w14:paraId="772C9758" w14:textId="77777777" w:rsidR="00754F5C" w:rsidRDefault="00332FDF">
      <w:pPr>
        <w:rPr>
          <w:rFonts w:ascii="Times New Roman" w:hAnsi="Times New Roman" w:cs="Times New Roman"/>
          <w:sz w:val="24"/>
          <w:szCs w:val="24"/>
        </w:rPr>
      </w:pPr>
      <w:r>
        <w:rPr>
          <w:rFonts w:ascii="Times New Roman" w:hAnsi="Times New Roman" w:cs="Times New Roman"/>
          <w:sz w:val="24"/>
          <w:szCs w:val="24"/>
        </w:rPr>
        <w:t>The CACFP SA conducts in-depth interviews in-lieu of observation of a meal service. The SA conducts in-depth interviews with each review, and these interviews include questions that require detailed answers regarding all review requir</w:t>
      </w:r>
      <w:r>
        <w:rPr>
          <w:rFonts w:ascii="Times New Roman" w:hAnsi="Times New Roman" w:cs="Times New Roman"/>
          <w:sz w:val="24"/>
          <w:szCs w:val="24"/>
        </w:rPr>
        <w:t>ements that would normally be done by observation. This includes asking for specifics about how serving size requirements are ensured: Who measures the serving sizes for each child/age group? Have they been properly trained regarding the minimum serving si</w:t>
      </w:r>
      <w:r>
        <w:rPr>
          <w:rFonts w:ascii="Times New Roman" w:hAnsi="Times New Roman" w:cs="Times New Roman"/>
          <w:sz w:val="24"/>
          <w:szCs w:val="24"/>
        </w:rPr>
        <w:t>ze requirements? Do they use the food chart as a guide when measuring food? Do they use measuring cups and/or spoodles? These detailed answers are documented and the CACFP staff offers technical assistance if any answer is not sufficient to meet Program ru</w:t>
      </w:r>
      <w:r>
        <w:rPr>
          <w:rFonts w:ascii="Times New Roman" w:hAnsi="Times New Roman" w:cs="Times New Roman"/>
          <w:sz w:val="24"/>
          <w:szCs w:val="24"/>
        </w:rPr>
        <w:t xml:space="preserve">les and regulations. We ask these types of questions (where an answer leads to an additional question) about all aspects of the review that were previously accomplished by observation. Some states are requiring pictures or videos of review components that </w:t>
      </w:r>
      <w:r>
        <w:rPr>
          <w:rFonts w:ascii="Times New Roman" w:hAnsi="Times New Roman" w:cs="Times New Roman"/>
          <w:sz w:val="24"/>
          <w:szCs w:val="24"/>
        </w:rPr>
        <w:t xml:space="preserve">would normally require observation; however, we prefer the in-depth interview for several reasons: 1. The Governor of Maine has allowed childcare providers to accept additional children in excess of their normal licensed capacity during this unprecedented </w:t>
      </w:r>
      <w:r>
        <w:rPr>
          <w:rFonts w:ascii="Times New Roman" w:hAnsi="Times New Roman" w:cs="Times New Roman"/>
          <w:sz w:val="24"/>
          <w:szCs w:val="24"/>
        </w:rPr>
        <w:t>time thus placing extra responsibility on the providers; 2. Many childcare providers, especially the independent institutions, do not have the technology required to submit photos or videos; and those that have the equipment are not always tech-savvy enoug</w:t>
      </w:r>
      <w:r>
        <w:rPr>
          <w:rFonts w:ascii="Times New Roman" w:hAnsi="Times New Roman" w:cs="Times New Roman"/>
          <w:sz w:val="24"/>
          <w:szCs w:val="24"/>
        </w:rPr>
        <w:t>h to understand how to use it; 3. Providers have the extra responsibility of assisting school-age children with remote learning, ensuring social distancing for children who want to hug or hold hands with their friends and do not understand the need to avoi</w:t>
      </w:r>
      <w:r>
        <w:rPr>
          <w:rFonts w:ascii="Times New Roman" w:hAnsi="Times New Roman" w:cs="Times New Roman"/>
          <w:sz w:val="24"/>
          <w:szCs w:val="24"/>
        </w:rPr>
        <w:t>d that behavior, ensuring that children keep masks on their faces and wash their hands more frequently than was required before the public health emergency, and the responsibility of disinfecting surfaces frequently throughout the day; and 4. Photos and vi</w:t>
      </w:r>
      <w:r>
        <w:rPr>
          <w:rFonts w:ascii="Times New Roman" w:hAnsi="Times New Roman" w:cs="Times New Roman"/>
          <w:sz w:val="24"/>
          <w:szCs w:val="24"/>
        </w:rPr>
        <w:t xml:space="preserve">deos are less apt to present a clear idea of the actual workings of the site due to poor lighting, shadows and camera angles. In-depth interviews that allow the SA staff to document clear and detailed descriptions of institution practices help SA staff to </w:t>
      </w:r>
      <w:r>
        <w:rPr>
          <w:rFonts w:ascii="Times New Roman" w:hAnsi="Times New Roman" w:cs="Times New Roman"/>
          <w:sz w:val="24"/>
          <w:szCs w:val="24"/>
        </w:rPr>
        <w:t>discover any gaps in required practices.</w:t>
      </w:r>
    </w:p>
    <w:p w14:paraId="04B6FCCA" w14:textId="77777777" w:rsidR="00754F5C" w:rsidRDefault="00332FD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38 institution reviews scheduled for 2022 are either on the regular 3-year cycle, new institutions that need to be reviewed in their first year of operation or reviews that are being re-done from the 2021 year b</w:t>
      </w:r>
      <w:r>
        <w:rPr>
          <w:rFonts w:ascii="Times New Roman" w:eastAsia="Times New Roman" w:hAnsi="Times New Roman" w:cs="Times New Roman"/>
          <w:color w:val="000000"/>
          <w:sz w:val="24"/>
          <w:szCs w:val="24"/>
        </w:rPr>
        <w:t xml:space="preserve">ecause they had numerous findings. </w:t>
      </w:r>
    </w:p>
    <w:p w14:paraId="7B0C818F" w14:textId="77777777" w:rsidR="00754F5C" w:rsidRDefault="00332FD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Requiring sponsors to conduct a reconciliation of meal counts requires day of review observation of the children in attendance. The barriers regarding providers submitted photos or videos are the same as those presented </w:t>
      </w:r>
      <w:r>
        <w:rPr>
          <w:rFonts w:ascii="Times New Roman" w:eastAsia="Times New Roman" w:hAnsi="Times New Roman" w:cs="Times New Roman"/>
          <w:color w:val="000000"/>
          <w:sz w:val="24"/>
          <w:szCs w:val="24"/>
        </w:rPr>
        <w:t xml:space="preserve">above. Sponsors would be given a review form that is created by the SA to ensure that the questions they ask in-lieu of on-site observations are thorough and descriptive. Sponsors will offer immediate technical assistance for any sites/providers that fail </w:t>
      </w:r>
      <w:r>
        <w:rPr>
          <w:rFonts w:ascii="Times New Roman" w:eastAsia="Times New Roman" w:hAnsi="Times New Roman" w:cs="Times New Roman"/>
          <w:color w:val="000000"/>
          <w:sz w:val="24"/>
          <w:szCs w:val="24"/>
        </w:rPr>
        <w:t xml:space="preserve">to offer adequate answers. Sponsors would still be required to compare meal counts to attendance and </w:t>
      </w:r>
      <w:r>
        <w:rPr>
          <w:rFonts w:ascii="Times New Roman" w:eastAsia="Times New Roman" w:hAnsi="Times New Roman" w:cs="Times New Roman"/>
          <w:color w:val="000000"/>
          <w:sz w:val="24"/>
          <w:szCs w:val="24"/>
        </w:rPr>
        <w:lastRenderedPageBreak/>
        <w:t>enrollment but would not be required to verify day-of-visit attendance. Reconciliation of meal counts would resume with the resumption of on-site monitorin</w:t>
      </w:r>
      <w:r>
        <w:rPr>
          <w:rFonts w:ascii="Times New Roman" w:eastAsia="Times New Roman" w:hAnsi="Times New Roman" w:cs="Times New Roman"/>
          <w:color w:val="000000"/>
          <w:sz w:val="24"/>
          <w:szCs w:val="24"/>
        </w:rPr>
        <w:t>g.</w:t>
      </w:r>
    </w:p>
    <w:p w14:paraId="29D34349" w14:textId="77777777" w:rsidR="00754F5C" w:rsidRDefault="00332FD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Most sponsors continue to conduct unannounced visits through desk audits; however, at least 1 FDCH sponsor has let us know that when they attempted to conduct unannounced phone interviews, providers were not answering their phones and were calling back </w:t>
      </w:r>
      <w:r>
        <w:rPr>
          <w:rFonts w:ascii="Times New Roman" w:eastAsia="Times New Roman" w:hAnsi="Times New Roman" w:cs="Times New Roman"/>
          <w:color w:val="000000"/>
          <w:sz w:val="24"/>
          <w:szCs w:val="24"/>
        </w:rPr>
        <w:t>after the FDCH staff had gone home for the day. This flexibility is requested to cover circumstances such as these where a sponsor has attempted to conduct unannounced visits unsuccessfully and has resorted to conducting those visits on a scheduled day and</w:t>
      </w:r>
      <w:r>
        <w:rPr>
          <w:rFonts w:ascii="Times New Roman" w:eastAsia="Times New Roman" w:hAnsi="Times New Roman" w:cs="Times New Roman"/>
          <w:color w:val="000000"/>
          <w:sz w:val="24"/>
          <w:szCs w:val="24"/>
        </w:rPr>
        <w:t xml:space="preserve"> time. The importance of unannounced visits is understood and will be resumed as soon as possible.</w:t>
      </w:r>
    </w:p>
    <w:p w14:paraId="28C91692" w14:textId="77777777" w:rsidR="00754F5C" w:rsidRDefault="00332FDF">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plan for observation of a meal service by sponsors is the same as the plan for observation of a meal service by the State Agency. </w:t>
      </w:r>
    </w:p>
    <w:p w14:paraId="4573AAB7" w14:textId="77777777" w:rsidR="00754F5C" w:rsidRDefault="00754F5C">
      <w:pPr>
        <w:contextualSpacing/>
        <w:rPr>
          <w:rFonts w:ascii="Times New Roman" w:eastAsia="Times New Roman" w:hAnsi="Times New Roman" w:cs="Times New Roman"/>
          <w:color w:val="000000"/>
          <w:sz w:val="24"/>
          <w:szCs w:val="24"/>
        </w:rPr>
      </w:pPr>
    </w:p>
    <w:p w14:paraId="016919DB" w14:textId="77777777" w:rsidR="00754F5C" w:rsidRDefault="00332FDF">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Sponsors may find the</w:t>
      </w:r>
      <w:r>
        <w:rPr>
          <w:rFonts w:ascii="Times New Roman" w:eastAsia="Times New Roman" w:hAnsi="Times New Roman" w:cs="Times New Roman"/>
          <w:color w:val="000000"/>
          <w:sz w:val="24"/>
          <w:szCs w:val="24"/>
        </w:rPr>
        <w:t xml:space="preserve"> requirement that not more than 6 months elapse between monitoring visits to be impossible to meet because several sites and providers throughout the state have closed due to COVID-19 and have not yet re-opened.</w:t>
      </w:r>
    </w:p>
    <w:p w14:paraId="3811A533" w14:textId="77777777" w:rsidR="00754F5C" w:rsidRDefault="00332FDF">
      <w:pPr>
        <w:pStyle w:val="Default"/>
        <w:rPr>
          <w:b/>
        </w:rPr>
      </w:pPr>
      <w:r>
        <w:rPr>
          <w:b/>
        </w:rPr>
        <w:t>Training Topics:</w:t>
      </w:r>
    </w:p>
    <w:p w14:paraId="17FB69AD" w14:textId="77777777" w:rsidR="00754F5C" w:rsidRDefault="00332FDF">
      <w:pPr>
        <w:pStyle w:val="Default"/>
        <w:rPr>
          <w:bCs/>
        </w:rPr>
      </w:pPr>
      <w:r>
        <w:rPr>
          <w:bCs/>
        </w:rPr>
        <w:t>In addition to Technical As</w:t>
      </w:r>
      <w:r>
        <w:rPr>
          <w:bCs/>
        </w:rPr>
        <w:t>sistance being available, training topics are planned around areas necessary to uphold program integrity. Training topics have been chosen as a result of FNS SFSP Management Evaluation feedback, findings from SY2020 SFSP compliance reviews, and other crite</w:t>
      </w:r>
      <w:r>
        <w:rPr>
          <w:bCs/>
        </w:rPr>
        <w:t xml:space="preserve">ria, including overall benefit for the field, and subjects surrounding program integrity and allowable use of Federal funds. Topics include: </w:t>
      </w:r>
    </w:p>
    <w:p w14:paraId="2311D01D" w14:textId="77777777" w:rsidR="00754F5C" w:rsidRDefault="00332FDF">
      <w:pPr>
        <w:pStyle w:val="Default"/>
        <w:rPr>
          <w:bCs/>
        </w:rPr>
      </w:pPr>
      <w:bookmarkStart w:id="0" w:name="_Hlk59198012"/>
      <w:r>
        <w:rPr>
          <w:bCs/>
        </w:rPr>
        <w:t>- Completing the 2022 SFSP application packet, which includes guidance on how to complete a proper budget</w:t>
      </w:r>
    </w:p>
    <w:p w14:paraId="7D69C033" w14:textId="77777777" w:rsidR="00754F5C" w:rsidRDefault="00332FDF">
      <w:pPr>
        <w:pStyle w:val="Default"/>
        <w:rPr>
          <w:bCs/>
        </w:rPr>
      </w:pPr>
      <w:r>
        <w:rPr>
          <w:bCs/>
        </w:rPr>
        <w:t>- Inform</w:t>
      </w:r>
      <w:r>
        <w:rPr>
          <w:bCs/>
        </w:rPr>
        <w:t xml:space="preserve">al Procurement </w:t>
      </w:r>
    </w:p>
    <w:p w14:paraId="5CFF524C" w14:textId="77777777" w:rsidR="00754F5C" w:rsidRDefault="00332FDF">
      <w:pPr>
        <w:pStyle w:val="Default"/>
        <w:rPr>
          <w:bCs/>
        </w:rPr>
      </w:pPr>
      <w:r>
        <w:rPr>
          <w:bCs/>
        </w:rPr>
        <w:t>- Food Safety</w:t>
      </w:r>
    </w:p>
    <w:p w14:paraId="4A050B7F" w14:textId="77777777" w:rsidR="00754F5C" w:rsidRDefault="00332FDF">
      <w:pPr>
        <w:pStyle w:val="Default"/>
        <w:rPr>
          <w:bCs/>
        </w:rPr>
      </w:pPr>
      <w:r>
        <w:rPr>
          <w:bCs/>
        </w:rPr>
        <w:t>- Local Foods</w:t>
      </w:r>
    </w:p>
    <w:p w14:paraId="3E96D177" w14:textId="77777777" w:rsidR="00754F5C" w:rsidRDefault="00332FDF">
      <w:pPr>
        <w:pStyle w:val="Default"/>
        <w:rPr>
          <w:bCs/>
        </w:rPr>
      </w:pPr>
      <w:r>
        <w:rPr>
          <w:bCs/>
        </w:rPr>
        <w:t xml:space="preserve">- SFSP meal pattern compliance </w:t>
      </w:r>
    </w:p>
    <w:p w14:paraId="3AEEA343" w14:textId="77777777" w:rsidR="00754F5C" w:rsidRDefault="00332FDF">
      <w:pPr>
        <w:pStyle w:val="Default"/>
        <w:rPr>
          <w:bCs/>
        </w:rPr>
      </w:pPr>
      <w:r>
        <w:rPr>
          <w:bCs/>
        </w:rPr>
        <w:t xml:space="preserve">- Meal counting and claiming </w:t>
      </w:r>
    </w:p>
    <w:p w14:paraId="6FFA23CB" w14:textId="77777777" w:rsidR="00754F5C" w:rsidRDefault="00332FDF">
      <w:pPr>
        <w:pStyle w:val="Default"/>
        <w:rPr>
          <w:bCs/>
        </w:rPr>
      </w:pPr>
      <w:r>
        <w:rPr>
          <w:bCs/>
        </w:rPr>
        <w:t xml:space="preserve">- Waivers </w:t>
      </w:r>
    </w:p>
    <w:bookmarkEnd w:id="0"/>
    <w:p w14:paraId="6A3C1682" w14:textId="77777777" w:rsidR="00754F5C" w:rsidRDefault="00754F5C">
      <w:pPr>
        <w:pStyle w:val="Default"/>
        <w:rPr>
          <w:bCs/>
        </w:rPr>
      </w:pPr>
    </w:p>
    <w:p w14:paraId="1E386B7F" w14:textId="77777777" w:rsidR="00754F5C" w:rsidRDefault="00332FDF">
      <w:pPr>
        <w:pStyle w:val="Default"/>
        <w:rPr>
          <w:bCs/>
        </w:rPr>
      </w:pPr>
      <w:r>
        <w:rPr>
          <w:bCs/>
        </w:rPr>
        <w:t>Training for the few NSLP will consist of</w:t>
      </w:r>
    </w:p>
    <w:p w14:paraId="75809AAF" w14:textId="77777777" w:rsidR="00754F5C" w:rsidRDefault="00332FDF">
      <w:pPr>
        <w:pStyle w:val="Default"/>
        <w:rPr>
          <w:bCs/>
        </w:rPr>
      </w:pPr>
      <w:r>
        <w:rPr>
          <w:bCs/>
        </w:rPr>
        <w:t>- Annual Participation Packet</w:t>
      </w:r>
    </w:p>
    <w:p w14:paraId="61BB2A93" w14:textId="77777777" w:rsidR="00754F5C" w:rsidRDefault="00332FDF">
      <w:pPr>
        <w:pStyle w:val="Default"/>
        <w:rPr>
          <w:bCs/>
        </w:rPr>
      </w:pPr>
      <w:r>
        <w:rPr>
          <w:bCs/>
        </w:rPr>
        <w:t>-Procurement</w:t>
      </w:r>
    </w:p>
    <w:p w14:paraId="645D451B" w14:textId="77777777" w:rsidR="00754F5C" w:rsidRDefault="00332FDF">
      <w:pPr>
        <w:pStyle w:val="Default"/>
        <w:rPr>
          <w:bCs/>
        </w:rPr>
      </w:pPr>
      <w:r>
        <w:rPr>
          <w:bCs/>
        </w:rPr>
        <w:t>- Food Safety</w:t>
      </w:r>
    </w:p>
    <w:p w14:paraId="693118BD" w14:textId="77777777" w:rsidR="00754F5C" w:rsidRDefault="00332FDF">
      <w:pPr>
        <w:pStyle w:val="Default"/>
        <w:rPr>
          <w:bCs/>
        </w:rPr>
      </w:pPr>
      <w:r>
        <w:rPr>
          <w:bCs/>
        </w:rPr>
        <w:t>- Local Foods</w:t>
      </w:r>
    </w:p>
    <w:p w14:paraId="1B8EF523" w14:textId="77777777" w:rsidR="00754F5C" w:rsidRDefault="00332FDF">
      <w:pPr>
        <w:pStyle w:val="Default"/>
        <w:rPr>
          <w:bCs/>
        </w:rPr>
      </w:pPr>
      <w:r>
        <w:rPr>
          <w:bCs/>
        </w:rPr>
        <w:t>- NSLP meal pattern compl</w:t>
      </w:r>
      <w:r>
        <w:rPr>
          <w:bCs/>
        </w:rPr>
        <w:t xml:space="preserve">iance </w:t>
      </w:r>
    </w:p>
    <w:p w14:paraId="565EF776" w14:textId="77777777" w:rsidR="00754F5C" w:rsidRDefault="00332FDF">
      <w:pPr>
        <w:pStyle w:val="Default"/>
        <w:rPr>
          <w:bCs/>
        </w:rPr>
      </w:pPr>
      <w:r>
        <w:rPr>
          <w:bCs/>
        </w:rPr>
        <w:t>- Accountability/program integrity</w:t>
      </w:r>
    </w:p>
    <w:p w14:paraId="1448491B" w14:textId="77777777" w:rsidR="00754F5C" w:rsidRDefault="00332FDF">
      <w:pPr>
        <w:pStyle w:val="Default"/>
        <w:rPr>
          <w:bCs/>
        </w:rPr>
      </w:pPr>
      <w:r>
        <w:rPr>
          <w:bCs/>
        </w:rPr>
        <w:t xml:space="preserve">-Meal Distribution </w:t>
      </w:r>
    </w:p>
    <w:p w14:paraId="34293F1E" w14:textId="77777777" w:rsidR="00754F5C" w:rsidRDefault="00332FDF">
      <w:pPr>
        <w:pStyle w:val="Default"/>
        <w:rPr>
          <w:bCs/>
        </w:rPr>
      </w:pPr>
      <w:r>
        <w:rPr>
          <w:bCs/>
        </w:rPr>
        <w:t xml:space="preserve">- Waivers </w:t>
      </w:r>
    </w:p>
    <w:p w14:paraId="2D671F1E" w14:textId="77777777" w:rsidR="00754F5C" w:rsidRDefault="00332FDF">
      <w:pPr>
        <w:pStyle w:val="Default"/>
        <w:rPr>
          <w:bCs/>
        </w:rPr>
      </w:pPr>
      <w:r>
        <w:rPr>
          <w:bCs/>
        </w:rPr>
        <w:t>-Claim filing</w:t>
      </w:r>
    </w:p>
    <w:p w14:paraId="682184BB" w14:textId="77777777" w:rsidR="00754F5C" w:rsidRDefault="00332FDF">
      <w:pPr>
        <w:pStyle w:val="Default"/>
        <w:rPr>
          <w:bCs/>
        </w:rPr>
      </w:pPr>
      <w:r>
        <w:rPr>
          <w:bCs/>
        </w:rPr>
        <w:t>-Wellness policy</w:t>
      </w:r>
    </w:p>
    <w:p w14:paraId="68EDFB08" w14:textId="77777777" w:rsidR="00754F5C" w:rsidRDefault="00332FDF">
      <w:pPr>
        <w:pStyle w:val="Default"/>
        <w:rPr>
          <w:bCs/>
        </w:rPr>
      </w:pPr>
      <w:r>
        <w:rPr>
          <w:bCs/>
        </w:rPr>
        <w:t>-Civil Rights</w:t>
      </w:r>
    </w:p>
    <w:p w14:paraId="0CC460D7" w14:textId="77777777" w:rsidR="00754F5C" w:rsidRDefault="00332FDF">
      <w:pPr>
        <w:pStyle w:val="Default"/>
        <w:rPr>
          <w:bCs/>
        </w:rPr>
      </w:pPr>
      <w:r>
        <w:rPr>
          <w:bCs/>
        </w:rPr>
        <w:t>-USDA Food</w:t>
      </w:r>
    </w:p>
    <w:p w14:paraId="64C3C00A" w14:textId="77777777" w:rsidR="00754F5C" w:rsidRDefault="00754F5C">
      <w:pPr>
        <w:pStyle w:val="Default"/>
        <w:rPr>
          <w:bCs/>
        </w:rPr>
      </w:pPr>
    </w:p>
    <w:p w14:paraId="44AB38B8" w14:textId="77777777" w:rsidR="00754F5C" w:rsidRDefault="00754F5C">
      <w:pPr>
        <w:pStyle w:val="Default"/>
        <w:rPr>
          <w:bCs/>
        </w:rPr>
      </w:pPr>
    </w:p>
    <w:p w14:paraId="77ABB2B2" w14:textId="77777777" w:rsidR="00754F5C" w:rsidRDefault="00332FDF">
      <w:pPr>
        <w:pStyle w:val="Default"/>
        <w:rPr>
          <w:bCs/>
        </w:rPr>
      </w:pPr>
      <w:r>
        <w:rPr>
          <w:b/>
        </w:rPr>
        <w:t xml:space="preserve">Oversite of SFSP Claims to monitor for any misuse of Federal funds, identify fraudulent activities and ensure program </w:t>
      </w:r>
      <w:r>
        <w:rPr>
          <w:b/>
        </w:rPr>
        <w:t>integrity is upheld</w:t>
      </w:r>
    </w:p>
    <w:p w14:paraId="10F35E4A" w14:textId="77777777" w:rsidR="00754F5C" w:rsidRDefault="00332FDF">
      <w:pPr>
        <w:pStyle w:val="Default"/>
        <w:rPr>
          <w:bCs/>
        </w:rPr>
      </w:pPr>
      <w:r>
        <w:rPr>
          <w:bCs/>
        </w:rPr>
        <w:t>MDOE will include a comprehensive SFSP claim review for each SFSP sponsor receiving an offsite desk audit for Summer 2022 operations. Claim reviews were successful in 2021 and included MDOE staff reviewing daily and consolidated meal co</w:t>
      </w:r>
      <w:r>
        <w:rPr>
          <w:bCs/>
        </w:rPr>
        <w:t xml:space="preserve">unt documentation for all sites under the sponsor chosen for a compliance review.   </w:t>
      </w:r>
    </w:p>
    <w:p w14:paraId="6374E7AA" w14:textId="77777777" w:rsidR="00754F5C" w:rsidRDefault="00754F5C">
      <w:pPr>
        <w:pStyle w:val="Default"/>
        <w:rPr>
          <w:bCs/>
        </w:rPr>
      </w:pPr>
    </w:p>
    <w:p w14:paraId="16E85A19" w14:textId="77777777" w:rsidR="00754F5C" w:rsidRDefault="00332FDF">
      <w:pPr>
        <w:pStyle w:val="Default"/>
        <w:rPr>
          <w:bCs/>
        </w:rPr>
      </w:pPr>
      <w:r>
        <w:rPr>
          <w:bCs/>
        </w:rPr>
        <w:t>In addition, the staff member who oversees the finances for MDOE Child Nutrition will monitor pending claims for reimbursement via the monthly manifest and communicate wi</w:t>
      </w:r>
      <w:r>
        <w:rPr>
          <w:bCs/>
        </w:rPr>
        <w:t xml:space="preserve">th the Assistant Director any concerns regarding pending payments. This information will be brought forward to the team at team meetings, which currently occur daily. For instance, areas of concern may be significant variances in month to month SFSP claim </w:t>
      </w:r>
      <w:r>
        <w:rPr>
          <w:bCs/>
        </w:rPr>
        <w:t>amounts or a significant increase in meal counts that deems follow-up from MDOE. At that point, the team will discuss next steps and follow-up accordingly. A team member, most likely a Child Nutrition reviewer, will request information from the food servic</w:t>
      </w:r>
      <w:r>
        <w:rPr>
          <w:bCs/>
        </w:rPr>
        <w:t>e contact at the sponsoring organization to investigate further. Sponsor administration will be brought in if necessary, for example, if the food service contact is not able to provide information or is not able to be reached. In addition, NERO will be com</w:t>
      </w:r>
      <w:r>
        <w:rPr>
          <w:bCs/>
        </w:rPr>
        <w:t>municated with as needed.  The current reporting system has built in edit checks as required by USDA regulations to ensure compliance as well.  These are the same edit checks used in the traditional summer and have worked prior years during the summer.</w:t>
      </w:r>
    </w:p>
    <w:p w14:paraId="6AD535CA" w14:textId="77777777" w:rsidR="00754F5C" w:rsidRDefault="00754F5C">
      <w:pPr>
        <w:pStyle w:val="Default"/>
      </w:pPr>
    </w:p>
    <w:p w14:paraId="107D75E1" w14:textId="77777777" w:rsidR="00754F5C" w:rsidRDefault="00332FDF">
      <w:pPr>
        <w:pStyle w:val="Default"/>
        <w:rPr>
          <w:color w:val="auto"/>
        </w:rPr>
      </w:pPr>
      <w:r>
        <w:rPr>
          <w:b/>
          <w:bCs/>
          <w:color w:val="auto"/>
        </w:rPr>
        <w:t>7.</w:t>
      </w:r>
      <w:r>
        <w:rPr>
          <w:b/>
          <w:bCs/>
          <w:color w:val="auto"/>
        </w:rPr>
        <w:t xml:space="preserve"> Description of any steps the State has taken to address regulatory barriers at the State level. [Section 12(l)(2)(A)(ii) of the NSLA]: </w:t>
      </w:r>
      <w:r>
        <w:rPr>
          <w:bCs/>
          <w:color w:val="auto"/>
        </w:rPr>
        <w:t xml:space="preserve">There are currently no state level regulatory barriers that would impact this issue. </w:t>
      </w:r>
    </w:p>
    <w:p w14:paraId="381FF701" w14:textId="77777777" w:rsidR="00754F5C" w:rsidRDefault="00754F5C">
      <w:pPr>
        <w:pStyle w:val="Default"/>
        <w:rPr>
          <w:color w:val="auto"/>
        </w:rPr>
      </w:pPr>
    </w:p>
    <w:p w14:paraId="3D53B908" w14:textId="77777777" w:rsidR="00754F5C" w:rsidRDefault="00332FDF">
      <w:pPr>
        <w:pStyle w:val="Default"/>
        <w:rPr>
          <w:color w:val="auto"/>
        </w:rPr>
      </w:pPr>
      <w:r>
        <w:rPr>
          <w:b/>
          <w:bCs/>
          <w:color w:val="auto"/>
        </w:rPr>
        <w:t>8. Anticipated challenges State o</w:t>
      </w:r>
      <w:r>
        <w:rPr>
          <w:b/>
          <w:bCs/>
          <w:color w:val="auto"/>
        </w:rPr>
        <w:t xml:space="preserve">r eligible service providers may face with the waiver implementation: </w:t>
      </w:r>
      <w:r>
        <w:rPr>
          <w:color w:val="auto"/>
        </w:rPr>
        <w:t xml:space="preserve">The only challenge is communication/training sometimes.  Other than that, there are no challenges anticipated. </w:t>
      </w:r>
    </w:p>
    <w:p w14:paraId="4FEE2F50" w14:textId="77777777" w:rsidR="00754F5C" w:rsidRDefault="00754F5C">
      <w:pPr>
        <w:pStyle w:val="Default"/>
        <w:rPr>
          <w:color w:val="auto"/>
        </w:rPr>
      </w:pPr>
    </w:p>
    <w:p w14:paraId="7F99EDDF" w14:textId="77777777" w:rsidR="00754F5C" w:rsidRDefault="00332FDF">
      <w:pPr>
        <w:pStyle w:val="Default"/>
        <w:spacing w:after="307"/>
        <w:rPr>
          <w:color w:val="auto"/>
        </w:rPr>
      </w:pPr>
      <w:r>
        <w:rPr>
          <w:b/>
          <w:bCs/>
          <w:color w:val="auto"/>
        </w:rPr>
        <w:t>9. Description of how the waiver will not increase the overall cost of th</w:t>
      </w:r>
      <w:r>
        <w:rPr>
          <w:b/>
          <w:bCs/>
          <w:color w:val="auto"/>
        </w:rPr>
        <w:t xml:space="preserve">e Program to the Federal Government. If there are anticipated increases, confirm that the costs will be paid from non-Federal funds. [Section 12(l)(1)(A)(iii) of the NSLA]: </w:t>
      </w:r>
      <w:r>
        <w:rPr>
          <w:bCs/>
          <w:color w:val="auto"/>
        </w:rPr>
        <w:t>The only additional cost MDOE anticipates is the hiring of additional staff to revi</w:t>
      </w:r>
      <w:r>
        <w:rPr>
          <w:bCs/>
          <w:color w:val="auto"/>
        </w:rPr>
        <w:t>ew waivers and any follow-up USDA requests.</w:t>
      </w:r>
    </w:p>
    <w:p w14:paraId="4F476DBC" w14:textId="77777777" w:rsidR="00754F5C" w:rsidRDefault="00332FDF">
      <w:pPr>
        <w:pStyle w:val="Default"/>
        <w:rPr>
          <w:bCs/>
          <w:color w:val="auto"/>
        </w:rPr>
      </w:pPr>
      <w:r>
        <w:rPr>
          <w:b/>
          <w:bCs/>
          <w:color w:val="auto"/>
        </w:rPr>
        <w:t xml:space="preserve">10. Anticipated waiver implementation date and time period: Start date upon approval by FNS/USDA for all programs.  </w:t>
      </w:r>
      <w:r>
        <w:rPr>
          <w:color w:val="auto"/>
        </w:rPr>
        <w:t>End date for NSLP June 30, 2022, CACFP and SFSP September 30, 2022.</w:t>
      </w:r>
      <w:r>
        <w:rPr>
          <w:b/>
          <w:bCs/>
          <w:color w:val="auto"/>
        </w:rPr>
        <w:t xml:space="preserve"> </w:t>
      </w:r>
    </w:p>
    <w:p w14:paraId="0249AA87" w14:textId="77777777" w:rsidR="00754F5C" w:rsidRDefault="00754F5C">
      <w:pPr>
        <w:pStyle w:val="Default"/>
        <w:rPr>
          <w:color w:val="auto"/>
        </w:rPr>
      </w:pPr>
    </w:p>
    <w:p w14:paraId="5F1FBFBA" w14:textId="77777777" w:rsidR="00754F5C" w:rsidRDefault="00332FDF">
      <w:pPr>
        <w:pStyle w:val="Default"/>
        <w:rPr>
          <w:bCs/>
        </w:rPr>
      </w:pPr>
      <w:r>
        <w:rPr>
          <w:b/>
          <w:bCs/>
          <w:color w:val="auto"/>
        </w:rPr>
        <w:t>11. Proposed monitoring an</w:t>
      </w:r>
      <w:r>
        <w:rPr>
          <w:b/>
          <w:bCs/>
          <w:color w:val="auto"/>
        </w:rPr>
        <w:t xml:space="preserve">d review procedures: </w:t>
      </w:r>
      <w:r>
        <w:rPr>
          <w:color w:val="auto"/>
        </w:rPr>
        <w:t>M</w:t>
      </w:r>
      <w:r>
        <w:rPr>
          <w:bCs/>
          <w:color w:val="auto"/>
        </w:rPr>
        <w:t xml:space="preserve">DOE staff will continue to monitor the implementation of this waiver. </w:t>
      </w:r>
      <w:r>
        <w:rPr>
          <w:bCs/>
        </w:rPr>
        <w:t>To ensure program integrity for all programs, MDOE will, to the maximum extent practicable, continue monitoring activities of program operations for misuse of funds</w:t>
      </w:r>
      <w:r>
        <w:rPr>
          <w:bCs/>
        </w:rPr>
        <w:t xml:space="preserve"> and fraudulent activities.  This includes conducting desk reviews during SY22, attending trainings conducted by sponsors, reviewing sample monthly claims for errors, regular sponsor communication, social media checks, and regional organization meetings.  </w:t>
      </w:r>
      <w:r>
        <w:rPr>
          <w:bCs/>
        </w:rPr>
        <w:t xml:space="preserve">Staff is unable to </w:t>
      </w:r>
      <w:r>
        <w:rPr>
          <w:bCs/>
        </w:rPr>
        <w:lastRenderedPageBreak/>
        <w:t>make site visits due to Maine Executive Orders, employee safety and Maine directives.  Staff will monitor claims and payment manifest monthly prior to payment release for consistent meal counts and reimbursement for fraudulent claims and</w:t>
      </w:r>
      <w:r>
        <w:rPr>
          <w:bCs/>
        </w:rPr>
        <w:t xml:space="preserve"> program integrity.  Child Nutrition (NSLP, SFSP, CACFP, and USDA Food Program) communicates daily at the Child Nutrition team level, weekly Department meetings, weekly MDOE leadership meetings and monthly MDOE directors’ meetings.  Information is about di</w:t>
      </w:r>
      <w:r>
        <w:rPr>
          <w:bCs/>
        </w:rPr>
        <w:t xml:space="preserve">strict changes and issues among the districts is shared at these meetings.  The Director of Child Nutrition attends the weekly district business managers meeting currently and works with the Maine School Management Association.  </w:t>
      </w:r>
    </w:p>
    <w:p w14:paraId="600B35BC" w14:textId="77777777" w:rsidR="00754F5C" w:rsidRDefault="00754F5C">
      <w:pPr>
        <w:pStyle w:val="Default"/>
        <w:rPr>
          <w:bCs/>
        </w:rPr>
      </w:pPr>
    </w:p>
    <w:p w14:paraId="2919651C" w14:textId="77777777" w:rsidR="00754F5C" w:rsidRDefault="00332FDF">
      <w:pPr>
        <w:pStyle w:val="Default"/>
        <w:rPr>
          <w:bCs/>
        </w:rPr>
      </w:pPr>
      <w:r>
        <w:rPr>
          <w:bCs/>
        </w:rPr>
        <w:t>Staff are not able to tra</w:t>
      </w:r>
      <w:r>
        <w:rPr>
          <w:bCs/>
        </w:rPr>
        <w:t>vel due to State restrictions because of COVID and DOE policy does not allow confidential material to be accessed when working remotely.  Confidential material must be handled in the office with the limited staff on-site.  Staff will do our best in talking</w:t>
      </w:r>
      <w:r>
        <w:rPr>
          <w:bCs/>
        </w:rPr>
        <w:t xml:space="preserve"> to districts and attending functions.   We also keep in touch with social media and parent comments/pictures.  All State Agency work is being done remotely for sponsors, MDOE and NERO. The small staff of Maine is at maximum capacity managing Federal and S</w:t>
      </w:r>
      <w:r>
        <w:rPr>
          <w:bCs/>
        </w:rPr>
        <w:t>tate requests, hunger advocates, local District administration and monitoring all of our programs, CACFP, NSLP, SFSP, and USDA Food.  A list will be maintained by director of high-risk districts as defined in our Policy approved by NERO.  Risks in part inc</w:t>
      </w:r>
      <w:r>
        <w:rPr>
          <w:bCs/>
        </w:rPr>
        <w:t>lude staff turnover, media reports, parent reports, legal reports, vendor reports and audit findings.  All districts deemed high risk will be recorded as such and appropriate action will be determined such as calls, desk audit and/or assigned to an on-site</w:t>
      </w:r>
      <w:r>
        <w:rPr>
          <w:bCs/>
        </w:rPr>
        <w:t xml:space="preserve"> visit as soon as possible.  </w:t>
      </w:r>
    </w:p>
    <w:p w14:paraId="4E48A7A8" w14:textId="77777777" w:rsidR="00754F5C" w:rsidRDefault="00754F5C">
      <w:pPr>
        <w:pStyle w:val="Default"/>
        <w:rPr>
          <w:bCs/>
        </w:rPr>
      </w:pPr>
    </w:p>
    <w:p w14:paraId="0862ACCC" w14:textId="77777777" w:rsidR="00EC13BC" w:rsidRDefault="00332FDF">
      <w:pPr>
        <w:pStyle w:val="Default"/>
        <w:rPr>
          <w:bCs/>
        </w:rPr>
      </w:pPr>
      <w:r>
        <w:rPr>
          <w:bCs/>
        </w:rPr>
        <w:t xml:space="preserve">All trainings are posted on Child Nutrition </w:t>
      </w:r>
      <w:r>
        <w:rPr>
          <w:bCs/>
        </w:rPr>
        <w:t xml:space="preserve">web page, </w:t>
      </w:r>
      <w:hyperlink r:id="rId12" w:history="1">
        <w:r w:rsidR="00EC13BC" w:rsidRPr="006E3336">
          <w:rPr>
            <w:rStyle w:val="Hyperlink"/>
            <w:bCs/>
          </w:rPr>
          <w:t>https://www.maine.gov/doe/schools/nutrition/training</w:t>
        </w:r>
      </w:hyperlink>
      <w:r w:rsidR="00EC13BC">
        <w:rPr>
          <w:bCs/>
        </w:rPr>
        <w:t xml:space="preserve">. </w:t>
      </w:r>
    </w:p>
    <w:p w14:paraId="50554864" w14:textId="68A4767E" w:rsidR="00754F5C" w:rsidRDefault="00332FDF">
      <w:pPr>
        <w:pStyle w:val="Default"/>
        <w:rPr>
          <w:color w:val="auto"/>
        </w:rPr>
      </w:pPr>
      <w:r>
        <w:rPr>
          <w:bCs/>
        </w:rPr>
        <w:t>Main</w:t>
      </w:r>
      <w:r>
        <w:rPr>
          <w:bCs/>
        </w:rPr>
        <w:t>e feels the constant, rapid and different methods of communication is essential and the best method to prevent misuse of funds, fraudulent activities and maintain program integrity.  We use all virtual methods discussed in this request as well as our Child</w:t>
      </w:r>
      <w:r>
        <w:rPr>
          <w:bCs/>
        </w:rPr>
        <w:t xml:space="preserve"> Nutrition list serve and CACFP list serve which is two-way communication all can see.  It also is used for our weekly updates to the more than 500 members.  The list serve is for Maine school’s food service staff and local administration.  Maine staff has</w:t>
      </w:r>
      <w:r>
        <w:rPr>
          <w:bCs/>
        </w:rPr>
        <w:t xml:space="preserve"> an excellent rapport with all Maine districts. MDOE Child Nutrition operates in a fair and friendly method, therefore we are well respected.  The training topics offered address program integrity and proper use of funds.</w:t>
      </w:r>
    </w:p>
    <w:p w14:paraId="72C6FADE" w14:textId="77777777" w:rsidR="00754F5C" w:rsidRDefault="00754F5C">
      <w:pPr>
        <w:pStyle w:val="Default"/>
        <w:rPr>
          <w:color w:val="auto"/>
        </w:rPr>
      </w:pPr>
    </w:p>
    <w:p w14:paraId="56930EFB" w14:textId="77777777" w:rsidR="00754F5C" w:rsidRDefault="00332FDF">
      <w:pPr>
        <w:pStyle w:val="Default"/>
        <w:rPr>
          <w:color w:val="auto"/>
        </w:rPr>
      </w:pPr>
      <w:r>
        <w:rPr>
          <w:b/>
          <w:bCs/>
          <w:color w:val="auto"/>
        </w:rPr>
        <w:t>12. Proposed reporting requiremen</w:t>
      </w:r>
      <w:r>
        <w:rPr>
          <w:b/>
          <w:bCs/>
          <w:color w:val="auto"/>
        </w:rPr>
        <w:t xml:space="preserve">ts (include type of data and due date(s) to FNS): </w:t>
      </w:r>
      <w:r>
        <w:rPr>
          <w:bCs/>
          <w:color w:val="auto"/>
        </w:rPr>
        <w:t xml:space="preserve"> Within 1 year after the date the waiver is approved, MDOE will report a summary of the use of this waiver by MDOE and a description of whether and how this waiver resulted in improved services to program p</w:t>
      </w:r>
      <w:r>
        <w:rPr>
          <w:bCs/>
          <w:color w:val="auto"/>
        </w:rPr>
        <w:t xml:space="preserve">articipants.   </w:t>
      </w:r>
    </w:p>
    <w:p w14:paraId="62B2A898" w14:textId="77777777" w:rsidR="00754F5C" w:rsidRDefault="00754F5C">
      <w:pPr>
        <w:pStyle w:val="Default"/>
        <w:rPr>
          <w:color w:val="auto"/>
        </w:rPr>
      </w:pPr>
    </w:p>
    <w:p w14:paraId="00D4EC5A" w14:textId="6E943CD3" w:rsidR="00754F5C" w:rsidRDefault="00332FDF">
      <w:pPr>
        <w:pStyle w:val="Default"/>
        <w:rPr>
          <w:bCs/>
          <w:color w:val="auto"/>
        </w:rPr>
      </w:pPr>
      <w:r>
        <w:rPr>
          <w:b/>
          <w:bCs/>
          <w:color w:val="auto"/>
        </w:rPr>
        <w:t xml:space="preserve">13. Link to or a copy of the public notice informing the public about the proposed waiver [Section 12(l)(1)(A)(ii) of the NSLA]: </w:t>
      </w:r>
      <w:r>
        <w:rPr>
          <w:bCs/>
          <w:color w:val="auto"/>
        </w:rPr>
        <w:t xml:space="preserve">This will be shared on the MDOE Child Nutrition website. </w:t>
      </w:r>
      <w:hyperlink r:id="rId13" w:history="1">
        <w:r w:rsidR="00EC13BC" w:rsidRPr="006E3336">
          <w:rPr>
            <w:rStyle w:val="Hyperlink"/>
            <w:bCs/>
          </w:rPr>
          <w:t>https://www.maine.gov/doe/schools/nutrition/laws/covid19waiverrequests</w:t>
        </w:r>
      </w:hyperlink>
      <w:r w:rsidR="00EC13BC">
        <w:rPr>
          <w:bCs/>
          <w:color w:val="auto"/>
        </w:rPr>
        <w:t xml:space="preserve"> </w:t>
      </w:r>
    </w:p>
    <w:p w14:paraId="10CD759A" w14:textId="77777777" w:rsidR="00EC13BC" w:rsidRDefault="00EC13BC">
      <w:pPr>
        <w:pStyle w:val="Default"/>
        <w:rPr>
          <w:color w:val="auto"/>
        </w:rPr>
      </w:pPr>
    </w:p>
    <w:p w14:paraId="034E785B" w14:textId="77777777" w:rsidR="00332FDF" w:rsidRDefault="00332FDF">
      <w:pPr>
        <w:pStyle w:val="Default"/>
        <w:rPr>
          <w:b/>
          <w:bCs/>
          <w:color w:val="auto"/>
        </w:rPr>
      </w:pPr>
    </w:p>
    <w:p w14:paraId="6957CA36" w14:textId="77777777" w:rsidR="00332FDF" w:rsidRDefault="00332FDF">
      <w:pPr>
        <w:pStyle w:val="Default"/>
        <w:rPr>
          <w:b/>
          <w:bCs/>
          <w:color w:val="auto"/>
        </w:rPr>
      </w:pPr>
    </w:p>
    <w:p w14:paraId="4E4C8A9A" w14:textId="77777777" w:rsidR="00332FDF" w:rsidRDefault="00332FDF">
      <w:pPr>
        <w:pStyle w:val="Default"/>
        <w:rPr>
          <w:b/>
          <w:bCs/>
          <w:color w:val="auto"/>
        </w:rPr>
      </w:pPr>
    </w:p>
    <w:p w14:paraId="3C667A74" w14:textId="77777777" w:rsidR="00332FDF" w:rsidRDefault="00332FDF">
      <w:pPr>
        <w:pStyle w:val="Default"/>
        <w:rPr>
          <w:b/>
          <w:bCs/>
          <w:color w:val="auto"/>
        </w:rPr>
      </w:pPr>
    </w:p>
    <w:p w14:paraId="037BF76A" w14:textId="696E0298" w:rsidR="00754F5C" w:rsidRDefault="00332FDF">
      <w:pPr>
        <w:pStyle w:val="Default"/>
        <w:rPr>
          <w:color w:val="auto"/>
        </w:rPr>
      </w:pPr>
      <w:r>
        <w:rPr>
          <w:b/>
          <w:bCs/>
          <w:color w:val="auto"/>
        </w:rPr>
        <w:t xml:space="preserve">14. Signature and title of requesting official: </w:t>
      </w:r>
    </w:p>
    <w:p w14:paraId="45CF5242" w14:textId="77777777" w:rsidR="00754F5C" w:rsidRDefault="00754F5C">
      <w:pPr>
        <w:pStyle w:val="Default"/>
        <w:rPr>
          <w:b/>
          <w:bCs/>
          <w:color w:val="auto"/>
        </w:rPr>
      </w:pPr>
    </w:p>
    <w:p w14:paraId="3D938E84" w14:textId="77777777" w:rsidR="00754F5C" w:rsidRDefault="00332FDF">
      <w:pPr>
        <w:pStyle w:val="Default"/>
        <w:rPr>
          <w:color w:val="auto"/>
        </w:rPr>
      </w:pPr>
      <w:r>
        <w:rPr>
          <w:b/>
          <w:bCs/>
          <w:color w:val="auto"/>
        </w:rPr>
        <w:t>Title</w:t>
      </w:r>
      <w:r>
        <w:rPr>
          <w:color w:val="auto"/>
        </w:rPr>
        <w:t xml:space="preserve">: </w:t>
      </w:r>
      <w:r>
        <w:rPr>
          <w:bCs/>
          <w:color w:val="auto"/>
        </w:rPr>
        <w:t>Director Child Nutrition</w:t>
      </w:r>
    </w:p>
    <w:p w14:paraId="60CF450E" w14:textId="77777777" w:rsidR="00754F5C" w:rsidRDefault="00754F5C">
      <w:pPr>
        <w:pStyle w:val="Default"/>
        <w:rPr>
          <w:color w:val="auto"/>
        </w:rPr>
      </w:pPr>
    </w:p>
    <w:p w14:paraId="0A990188" w14:textId="77777777" w:rsidR="00754F5C" w:rsidRDefault="00332FDF">
      <w:pPr>
        <w:pStyle w:val="Default"/>
        <w:rPr>
          <w:color w:val="auto"/>
        </w:rPr>
      </w:pPr>
      <w:r>
        <w:rPr>
          <w:color w:val="auto"/>
        </w:rPr>
        <w:lastRenderedPageBreak/>
        <w:t xml:space="preserve">Requesting official’s email address for transmission of response: </w:t>
      </w:r>
    </w:p>
    <w:p w14:paraId="2ADC70E9" w14:textId="77777777" w:rsidR="00754F5C" w:rsidRDefault="00332FDF">
      <w:pPr>
        <w:pStyle w:val="Default"/>
        <w:rPr>
          <w:color w:val="auto"/>
        </w:rPr>
      </w:pPr>
      <w:hyperlink r:id="rId14" w:history="1">
        <w:r>
          <w:rPr>
            <w:rStyle w:val="Hyperlink"/>
          </w:rPr>
          <w:t>walter.beesley@maine.gov</w:t>
        </w:r>
      </w:hyperlink>
      <w:r>
        <w:rPr>
          <w:color w:val="auto"/>
        </w:rPr>
        <w:t xml:space="preserve"> </w:t>
      </w:r>
    </w:p>
    <w:p w14:paraId="65E45E74" w14:textId="77777777" w:rsidR="00754F5C" w:rsidRDefault="00754F5C">
      <w:pPr>
        <w:pStyle w:val="Default"/>
        <w:rPr>
          <w:color w:val="auto"/>
        </w:rPr>
      </w:pPr>
    </w:p>
    <w:p w14:paraId="050870BF" w14:textId="77777777" w:rsidR="00754F5C" w:rsidRDefault="00754F5C">
      <w:pPr>
        <w:pStyle w:val="Default"/>
        <w:rPr>
          <w:color w:val="auto"/>
        </w:rPr>
      </w:pPr>
    </w:p>
    <w:p w14:paraId="2FD9F261" w14:textId="77777777" w:rsidR="00754F5C" w:rsidRDefault="00754F5C">
      <w:pPr>
        <w:pStyle w:val="Default"/>
        <w:rPr>
          <w:color w:val="auto"/>
        </w:rPr>
      </w:pPr>
    </w:p>
    <w:p w14:paraId="57344668" w14:textId="77777777" w:rsidR="00754F5C" w:rsidRDefault="00332FDF">
      <w:pPr>
        <w:pStyle w:val="Default"/>
        <w:rPr>
          <w:color w:val="auto"/>
        </w:rPr>
      </w:pPr>
      <w:r>
        <w:rPr>
          <w:b/>
          <w:bCs/>
          <w:color w:val="auto"/>
        </w:rPr>
        <w:t xml:space="preserve">TO BE COMPLETED BY FNS REGIONAL OFFICE: </w:t>
      </w:r>
    </w:p>
    <w:p w14:paraId="0B7DF573" w14:textId="77777777" w:rsidR="00754F5C" w:rsidRDefault="00332FDF">
      <w:pPr>
        <w:pStyle w:val="Default"/>
        <w:rPr>
          <w:color w:val="auto"/>
        </w:rPr>
      </w:pPr>
      <w:r>
        <w:rPr>
          <w:i/>
          <w:iCs/>
          <w:color w:val="auto"/>
        </w:rPr>
        <w:t xml:space="preserve">FNS Regional Offices are requested to ensure the questions have been adequately addressed by the State agency and formulate an opinion and justification for a response to the waiver request based on their knowledge, experience and work with the State. </w:t>
      </w:r>
    </w:p>
    <w:p w14:paraId="7A3E054E" w14:textId="77777777" w:rsidR="00754F5C" w:rsidRDefault="00332FDF">
      <w:pPr>
        <w:pStyle w:val="Default"/>
        <w:rPr>
          <w:color w:val="auto"/>
        </w:rPr>
      </w:pPr>
      <w:r>
        <w:rPr>
          <w:b/>
          <w:bCs/>
          <w:color w:val="auto"/>
        </w:rPr>
        <w:t>Dat</w:t>
      </w:r>
      <w:r>
        <w:rPr>
          <w:b/>
          <w:bCs/>
          <w:color w:val="auto"/>
        </w:rPr>
        <w:t xml:space="preserve">e request was received at Regional Office: </w:t>
      </w:r>
    </w:p>
    <w:p w14:paraId="385E7AF2" w14:textId="77777777" w:rsidR="00754F5C" w:rsidRDefault="00332FDF">
      <w:pPr>
        <w:pStyle w:val="Default"/>
        <w:rPr>
          <w:color w:val="auto"/>
        </w:rPr>
      </w:pPr>
      <w:r>
        <w:rPr>
          <w:color w:val="auto"/>
        </w:rPr>
        <w:t xml:space="preserve"> </w:t>
      </w:r>
      <w:r>
        <w:rPr>
          <w:b/>
          <w:bCs/>
          <w:color w:val="auto"/>
        </w:rPr>
        <w:t xml:space="preserve">Check this box to confirm that the State agency has provided public notice in accordance with Section 12(l)(1)(A)(ii) of the NSLA </w:t>
      </w:r>
    </w:p>
    <w:p w14:paraId="1B9F6843" w14:textId="77777777" w:rsidR="00754F5C" w:rsidRDefault="00754F5C">
      <w:pPr>
        <w:pStyle w:val="Default"/>
        <w:rPr>
          <w:color w:val="auto"/>
        </w:rPr>
      </w:pPr>
    </w:p>
    <w:p w14:paraId="4D6F9DB8" w14:textId="77777777" w:rsidR="00754F5C" w:rsidRDefault="00332FDF">
      <w:pPr>
        <w:pStyle w:val="Default"/>
        <w:rPr>
          <w:b/>
          <w:bCs/>
          <w:color w:val="auto"/>
        </w:rPr>
      </w:pPr>
      <w:r>
        <w:rPr>
          <w:color w:val="auto"/>
        </w:rPr>
        <w:t xml:space="preserve"> </w:t>
      </w:r>
      <w:r>
        <w:rPr>
          <w:b/>
          <w:bCs/>
          <w:color w:val="auto"/>
        </w:rPr>
        <w:t xml:space="preserve">Regional Office Analysis and Recommendations: </w:t>
      </w:r>
    </w:p>
    <w:p w14:paraId="4E026B58" w14:textId="77777777" w:rsidR="00754F5C" w:rsidRDefault="00332FDF">
      <w:pPr>
        <w:contextualSpacing/>
        <w:jc w:val="center"/>
        <w:rPr>
          <w:rFonts w:ascii="Times New Roman" w:hAnsi="Times New Roman" w:cs="Times New Roman"/>
          <w:b/>
          <w:sz w:val="24"/>
          <w:szCs w:val="24"/>
        </w:rPr>
      </w:pPr>
      <w:r>
        <w:rPr>
          <w:rFonts w:ascii="Times New Roman" w:hAnsi="Times New Roman" w:cs="Times New Roman"/>
          <w:b/>
          <w:sz w:val="24"/>
          <w:szCs w:val="24"/>
        </w:rPr>
        <w:t>Child Nutrition Programs Moni</w:t>
      </w:r>
      <w:r>
        <w:rPr>
          <w:rFonts w:ascii="Times New Roman" w:hAnsi="Times New Roman" w:cs="Times New Roman"/>
          <w:b/>
          <w:sz w:val="24"/>
          <w:szCs w:val="24"/>
        </w:rPr>
        <w:t>toring and Oversight Plan Checklist</w:t>
      </w:r>
    </w:p>
    <w:p w14:paraId="4DDCDE18" w14:textId="77777777" w:rsidR="00754F5C" w:rsidRDefault="00754F5C">
      <w:pPr>
        <w:contextualSpacing/>
        <w:jc w:val="center"/>
        <w:rPr>
          <w:rFonts w:ascii="Times New Roman" w:hAnsi="Times New Roman" w:cs="Times New Roman"/>
          <w:b/>
          <w:sz w:val="24"/>
          <w:szCs w:val="24"/>
        </w:rPr>
      </w:pPr>
    </w:p>
    <w:p w14:paraId="2D41115E" w14:textId="77777777" w:rsidR="00754F5C" w:rsidRDefault="00754F5C">
      <w:pPr>
        <w:pStyle w:val="Default"/>
        <w:rPr>
          <w:color w:val="auto"/>
        </w:rPr>
      </w:pPr>
    </w:p>
    <w:p w14:paraId="3444040A" w14:textId="77777777" w:rsidR="00754F5C" w:rsidRDefault="00754F5C">
      <w:pPr>
        <w:rPr>
          <w:rFonts w:ascii="Times New Roman" w:hAnsi="Times New Roman" w:cs="Times New Roman"/>
          <w:sz w:val="24"/>
          <w:szCs w:val="24"/>
        </w:rPr>
      </w:pPr>
    </w:p>
    <w:p w14:paraId="305BB2A6" w14:textId="77777777" w:rsidR="00754F5C" w:rsidRDefault="00332FDF">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r>
    </w:p>
    <w:sectPr w:rsidR="00754F5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919A6" w14:textId="77777777" w:rsidR="00754F5C" w:rsidRDefault="00332FDF">
      <w:pPr>
        <w:spacing w:after="0"/>
      </w:pPr>
      <w:r>
        <w:separator/>
      </w:r>
    </w:p>
  </w:endnote>
  <w:endnote w:type="continuationSeparator" w:id="0">
    <w:p w14:paraId="73FDCF56" w14:textId="77777777" w:rsidR="00754F5C" w:rsidRDefault="00332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5CB8E" w14:textId="77777777" w:rsidR="00754F5C" w:rsidRDefault="00754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F3FA8" w14:textId="77777777" w:rsidR="00754F5C" w:rsidRDefault="00754F5C">
    <w:pPr>
      <w:pStyle w:val="Footer"/>
      <w:tabs>
        <w:tab w:val="clear" w:pos="9360"/>
        <w:tab w:val="right" w:pos="9720"/>
      </w:tabs>
      <w:ind w:right="-720" w:hanging="540"/>
      <w:rPr>
        <w:rFonts w:ascii="Book Antiqua" w:hAnsi="Book Antiqua"/>
        <w:color w:val="3333F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C32DB" w14:textId="77777777" w:rsidR="00754F5C" w:rsidRDefault="00754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45D60" w14:textId="77777777" w:rsidR="00754F5C" w:rsidRDefault="00332FDF">
      <w:pPr>
        <w:spacing w:after="0"/>
      </w:pPr>
      <w:r>
        <w:separator/>
      </w:r>
    </w:p>
  </w:footnote>
  <w:footnote w:type="continuationSeparator" w:id="0">
    <w:p w14:paraId="4B4508F2" w14:textId="77777777" w:rsidR="00754F5C" w:rsidRDefault="00332F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C109E" w14:textId="77777777" w:rsidR="00754F5C" w:rsidRDefault="00754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4C176" w14:textId="77777777" w:rsidR="00754F5C" w:rsidRDefault="00754F5C">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0ED11" w14:textId="77777777" w:rsidR="00754F5C" w:rsidRDefault="00754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1150"/>
    <w:multiLevelType w:val="hybridMultilevel"/>
    <w:tmpl w:val="C8A62242"/>
    <w:lvl w:ilvl="0" w:tplc="CD20041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E25E5"/>
    <w:multiLevelType w:val="hybridMultilevel"/>
    <w:tmpl w:val="E0966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5A4199"/>
    <w:multiLevelType w:val="hybridMultilevel"/>
    <w:tmpl w:val="963CE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E7720D"/>
    <w:multiLevelType w:val="hybridMultilevel"/>
    <w:tmpl w:val="1F7E8BCE"/>
    <w:lvl w:ilvl="0" w:tplc="ECFE8CAA">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F8511B"/>
    <w:multiLevelType w:val="hybridMultilevel"/>
    <w:tmpl w:val="1390D84C"/>
    <w:lvl w:ilvl="0" w:tplc="ECFE8CAA">
      <w:start w:val="1"/>
      <w:numFmt w:val="bullet"/>
      <w:lvlText w:val=""/>
      <w:lvlJc w:val="left"/>
      <w:pPr>
        <w:ind w:left="360" w:hanging="360"/>
      </w:pPr>
      <w:rPr>
        <w:rFonts w:ascii="Wingdings" w:hAnsi="Wingdings" w:cs="Wingdings" w:hint="default"/>
      </w:rPr>
    </w:lvl>
    <w:lvl w:ilvl="1" w:tplc="ECFE8CAA">
      <w:start w:val="1"/>
      <w:numFmt w:val="bullet"/>
      <w:lvlText w:val=""/>
      <w:lvlJc w:val="left"/>
      <w:pPr>
        <w:ind w:left="1080" w:hanging="360"/>
      </w:pPr>
      <w:rPr>
        <w:rFonts w:ascii="Wingdings" w:hAnsi="Wingdings"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155937"/>
    <w:multiLevelType w:val="hybridMultilevel"/>
    <w:tmpl w:val="9CDAD75A"/>
    <w:lvl w:ilvl="0" w:tplc="ECFE8CAA">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5C"/>
    <w:rsid w:val="00332FDF"/>
    <w:rsid w:val="00754F5C"/>
    <w:rsid w:val="00D37F98"/>
    <w:rsid w:val="00EC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354247"/>
  <w15:docId w15:val="{BFF7A453-F421-42C1-A0A4-C67F457B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1"/>
    <w:qFormat/>
    <w:pPr>
      <w:spacing w:after="0"/>
      <w:ind w:left="720"/>
    </w:pPr>
    <w:rPr>
      <w:rFonts w:ascii="Calibri" w:hAnsi="Calibri" w:cs="Calibri"/>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609672">
      <w:bodyDiv w:val="1"/>
      <w:marLeft w:val="0"/>
      <w:marRight w:val="0"/>
      <w:marTop w:val="0"/>
      <w:marBottom w:val="0"/>
      <w:divBdr>
        <w:top w:val="none" w:sz="0" w:space="0" w:color="auto"/>
        <w:left w:val="none" w:sz="0" w:space="0" w:color="auto"/>
        <w:bottom w:val="none" w:sz="0" w:space="0" w:color="auto"/>
        <w:right w:val="none" w:sz="0" w:space="0" w:color="auto"/>
      </w:divBdr>
    </w:div>
    <w:div w:id="420029744">
      <w:bodyDiv w:val="1"/>
      <w:marLeft w:val="0"/>
      <w:marRight w:val="0"/>
      <w:marTop w:val="0"/>
      <w:marBottom w:val="0"/>
      <w:divBdr>
        <w:top w:val="none" w:sz="0" w:space="0" w:color="auto"/>
        <w:left w:val="none" w:sz="0" w:space="0" w:color="auto"/>
        <w:bottom w:val="none" w:sz="0" w:space="0" w:color="auto"/>
        <w:right w:val="none" w:sz="0" w:space="0" w:color="auto"/>
      </w:divBdr>
    </w:div>
    <w:div w:id="641229461">
      <w:bodyDiv w:val="1"/>
      <w:marLeft w:val="0"/>
      <w:marRight w:val="0"/>
      <w:marTop w:val="0"/>
      <w:marBottom w:val="0"/>
      <w:divBdr>
        <w:top w:val="none" w:sz="0" w:space="0" w:color="auto"/>
        <w:left w:val="none" w:sz="0" w:space="0" w:color="auto"/>
        <w:bottom w:val="none" w:sz="0" w:space="0" w:color="auto"/>
        <w:right w:val="none" w:sz="0" w:space="0" w:color="auto"/>
      </w:divBdr>
    </w:div>
    <w:div w:id="113267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gov/doe/schools/nutrition/laws/covid19waiver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ine.gov/doe/schools/nutrition/train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lter.beesley@maine.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ter.beesley@main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255FEE-C191-4267-AEB6-3DE947036E43}">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C2D39B0178F84DA69F0BBA25548897" ma:contentTypeVersion="12" ma:contentTypeDescription="Create a new document." ma:contentTypeScope="" ma:versionID="098607fa20a315b643a488237a11e667">
  <xsd:schema xmlns:xsd="http://www.w3.org/2001/XMLSchema" xmlns:xs="http://www.w3.org/2001/XMLSchema" xmlns:p="http://schemas.microsoft.com/office/2006/metadata/properties" xmlns:ns3="41285d5e-1d4a-4b60-9144-d05889ad5420" xmlns:ns4="b96f8a47-fd97-409c-936d-fd747e96ffdf" targetNamespace="http://schemas.microsoft.com/office/2006/metadata/properties" ma:root="true" ma:fieldsID="a7e92ab7cf8f336cce81b0ec7645c204" ns3:_="" ns4:_="">
    <xsd:import namespace="41285d5e-1d4a-4b60-9144-d05889ad5420"/>
    <xsd:import namespace="b96f8a47-fd97-409c-936d-fd747e96ff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85d5e-1d4a-4b60-9144-d05889ad5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6f8a47-fd97-409c-936d-fd747e96ff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AF97A-9F9A-4C72-B400-6180C697114B}">
  <ds:schemaRefs>
    <ds:schemaRef ds:uri="http://schemas.openxmlformats.org/officeDocument/2006/bibliography"/>
  </ds:schemaRefs>
</ds:datastoreItem>
</file>

<file path=customXml/itemProps2.xml><?xml version="1.0" encoding="utf-8"?>
<ds:datastoreItem xmlns:ds="http://schemas.openxmlformats.org/officeDocument/2006/customXml" ds:itemID="{2EF356AE-54F6-46C5-9B3C-BFDDAECBC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85d5e-1d4a-4b60-9144-d05889ad5420"/>
    <ds:schemaRef ds:uri="b96f8a47-fd97-409c-936d-fd747e96f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96892-D157-420F-AD01-8FB3B76CE1F1}">
  <ds:schemaRefs>
    <ds:schemaRef ds:uri="http://schemas.microsoft.com/sharepoint/v3/contenttype/forms"/>
  </ds:schemaRefs>
</ds:datastoreItem>
</file>

<file path=customXml/itemProps4.xml><?xml version="1.0" encoding="utf-8"?>
<ds:datastoreItem xmlns:ds="http://schemas.openxmlformats.org/officeDocument/2006/customXml" ds:itemID="{45022D7D-F6C0-4249-87DF-B178DCBE63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4017</Words>
  <Characters>22899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Ackroyd, Adriane</dc:creator>
  <cp:lastModifiedBy>Nadeau, Paula</cp:lastModifiedBy>
  <cp:revision>4</cp:revision>
  <cp:lastPrinted>2020-12-15T19:14:00Z</cp:lastPrinted>
  <dcterms:created xsi:type="dcterms:W3CDTF">2022-01-03T17:06:00Z</dcterms:created>
  <dcterms:modified xsi:type="dcterms:W3CDTF">2022-01-03T20:21:00Z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0x01010088C2D39B0178F84DA69F0BBA25548897</vt:lpwstr>
  </property>
</Properties>
</file>