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6459" w14:textId="692715DE" w:rsidR="00CC146E" w:rsidRDefault="00CC146E" w:rsidP="007B276F"/>
    <w:p w14:paraId="7F5F618D" w14:textId="77777777" w:rsidR="00CC146E" w:rsidRDefault="00CC146E" w:rsidP="007B276F"/>
    <w:p w14:paraId="092E5969" w14:textId="77777777" w:rsidR="007B276F" w:rsidRDefault="00B434E7" w:rsidP="00B434E7">
      <w:pPr>
        <w:jc w:val="center"/>
        <w:rPr>
          <w:b/>
          <w:bCs/>
        </w:rPr>
      </w:pPr>
      <w:r>
        <w:rPr>
          <w:b/>
          <w:noProof/>
          <w:sz w:val="32"/>
          <w:szCs w:val="32"/>
        </w:rPr>
        <w:drawing>
          <wp:inline distT="0" distB="0" distL="0" distR="0" wp14:anchorId="60256146" wp14:editId="1511A50E">
            <wp:extent cx="3761872" cy="1325880"/>
            <wp:effectExtent l="0" t="0" r="0" b="7620"/>
            <wp:docPr id="6" name="Picture 6" descr="official01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01R-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872" cy="1325880"/>
                    </a:xfrm>
                    <a:prstGeom prst="rect">
                      <a:avLst/>
                    </a:prstGeom>
                    <a:noFill/>
                    <a:ln>
                      <a:noFill/>
                    </a:ln>
                  </pic:spPr>
                </pic:pic>
              </a:graphicData>
            </a:graphic>
          </wp:inline>
        </w:drawing>
      </w:r>
    </w:p>
    <w:p w14:paraId="5228B5EF" w14:textId="77777777" w:rsidR="007B276F" w:rsidRDefault="00B77E96" w:rsidP="00B77E96">
      <w:pPr>
        <w:tabs>
          <w:tab w:val="left" w:pos="10665"/>
        </w:tabs>
        <w:rPr>
          <w:b/>
          <w:bCs/>
        </w:rPr>
      </w:pPr>
      <w:r>
        <w:rPr>
          <w:b/>
          <w:bCs/>
        </w:rPr>
        <w:tab/>
      </w:r>
    </w:p>
    <w:p w14:paraId="7ED872C7" w14:textId="77777777" w:rsidR="001C6375" w:rsidRDefault="001C6375" w:rsidP="001C6375">
      <w:pPr>
        <w:pStyle w:val="Heading3"/>
        <w:rPr>
          <w:sz w:val="48"/>
          <w:szCs w:val="48"/>
        </w:rPr>
      </w:pPr>
    </w:p>
    <w:p w14:paraId="50B83E25" w14:textId="77777777" w:rsidR="001C6375" w:rsidRDefault="001C6375" w:rsidP="001C6375">
      <w:pPr>
        <w:pStyle w:val="Heading3"/>
        <w:rPr>
          <w:sz w:val="48"/>
          <w:szCs w:val="48"/>
        </w:rPr>
      </w:pPr>
    </w:p>
    <w:p w14:paraId="4734E30A" w14:textId="77777777" w:rsidR="001C6375" w:rsidRPr="00B434E7" w:rsidRDefault="001C6375" w:rsidP="001C6375">
      <w:pPr>
        <w:pStyle w:val="Heading3"/>
        <w:rPr>
          <w:sz w:val="48"/>
          <w:szCs w:val="48"/>
        </w:rPr>
      </w:pPr>
      <w:r w:rsidRPr="00B434E7">
        <w:rPr>
          <w:sz w:val="48"/>
          <w:szCs w:val="48"/>
        </w:rPr>
        <w:t>Education-Related Legislation</w:t>
      </w:r>
    </w:p>
    <w:p w14:paraId="52F6C90E" w14:textId="31FC192E" w:rsidR="001C6375" w:rsidRPr="00B434E7" w:rsidRDefault="001C6375" w:rsidP="001C6375">
      <w:pPr>
        <w:jc w:val="center"/>
        <w:rPr>
          <w:sz w:val="48"/>
          <w:szCs w:val="48"/>
        </w:rPr>
      </w:pPr>
      <w:r w:rsidRPr="00B434E7">
        <w:rPr>
          <w:b/>
          <w:bCs/>
          <w:sz w:val="48"/>
          <w:szCs w:val="48"/>
        </w:rPr>
        <w:t>Enacted by the</w:t>
      </w:r>
    </w:p>
    <w:p w14:paraId="608BF06E" w14:textId="572A0358" w:rsidR="001C6375" w:rsidRPr="00B434E7" w:rsidRDefault="001C6375" w:rsidP="001C6375">
      <w:pPr>
        <w:jc w:val="center"/>
        <w:rPr>
          <w:b/>
          <w:bCs/>
          <w:sz w:val="48"/>
          <w:szCs w:val="48"/>
        </w:rPr>
      </w:pPr>
      <w:r w:rsidRPr="00B434E7">
        <w:rPr>
          <w:b/>
          <w:bCs/>
          <w:sz w:val="48"/>
          <w:szCs w:val="48"/>
        </w:rPr>
        <w:t>12</w:t>
      </w:r>
      <w:r w:rsidR="00135464">
        <w:rPr>
          <w:b/>
          <w:bCs/>
          <w:sz w:val="48"/>
          <w:szCs w:val="48"/>
        </w:rPr>
        <w:t>9</w:t>
      </w:r>
      <w:r w:rsidRPr="00B434E7">
        <w:rPr>
          <w:b/>
          <w:bCs/>
          <w:sz w:val="48"/>
          <w:szCs w:val="48"/>
        </w:rPr>
        <w:t>th Maine Legislature</w:t>
      </w:r>
    </w:p>
    <w:p w14:paraId="73939DB3" w14:textId="4F528041" w:rsidR="001C6375" w:rsidRPr="00B434E7" w:rsidRDefault="00135464" w:rsidP="001C6375">
      <w:pPr>
        <w:pStyle w:val="Heading3"/>
        <w:rPr>
          <w:sz w:val="48"/>
          <w:szCs w:val="48"/>
        </w:rPr>
      </w:pPr>
      <w:r>
        <w:rPr>
          <w:sz w:val="48"/>
          <w:szCs w:val="48"/>
        </w:rPr>
        <w:t xml:space="preserve">First </w:t>
      </w:r>
      <w:r w:rsidR="001C6375" w:rsidRPr="00B434E7">
        <w:rPr>
          <w:sz w:val="48"/>
          <w:szCs w:val="48"/>
        </w:rPr>
        <w:t>Regular Session</w:t>
      </w:r>
    </w:p>
    <w:p w14:paraId="0115D1E5" w14:textId="7C9EB60E" w:rsidR="001C6375" w:rsidRDefault="001C6375" w:rsidP="001C6375"/>
    <w:p w14:paraId="3D21E707" w14:textId="0936F15D" w:rsidR="00FB22F8" w:rsidRDefault="00FB22F8" w:rsidP="007B276F">
      <w:pPr>
        <w:rPr>
          <w:b/>
          <w:bCs/>
        </w:rPr>
      </w:pPr>
    </w:p>
    <w:p w14:paraId="6DF8DB5C" w14:textId="06F60A27" w:rsidR="00940CED" w:rsidRDefault="00940CED" w:rsidP="007B276F">
      <w:pPr>
        <w:rPr>
          <w:b/>
          <w:bCs/>
        </w:rPr>
      </w:pPr>
    </w:p>
    <w:p w14:paraId="7F043B2D" w14:textId="77777777" w:rsidR="00940CED" w:rsidRDefault="00940CED" w:rsidP="007B276F">
      <w:pPr>
        <w:rPr>
          <w:b/>
          <w:bCs/>
        </w:rPr>
      </w:pPr>
    </w:p>
    <w:p w14:paraId="605F16C5" w14:textId="77777777" w:rsidR="00FB22F8" w:rsidRDefault="00FB22F8" w:rsidP="007B276F">
      <w:pPr>
        <w:rPr>
          <w:b/>
          <w:bCs/>
        </w:rPr>
      </w:pPr>
    </w:p>
    <w:p w14:paraId="3AF97349" w14:textId="77777777" w:rsidR="00FB22F8" w:rsidRDefault="00FB22F8" w:rsidP="007B276F">
      <w:pPr>
        <w:rPr>
          <w:b/>
          <w:bCs/>
        </w:rPr>
      </w:pPr>
    </w:p>
    <w:p w14:paraId="0EC88AB1" w14:textId="77777777" w:rsidR="00FB22F8" w:rsidRDefault="00FB22F8" w:rsidP="007B276F">
      <w:pPr>
        <w:rPr>
          <w:b/>
          <w:bCs/>
        </w:rPr>
      </w:pPr>
    </w:p>
    <w:p w14:paraId="3E7D739B" w14:textId="77777777" w:rsidR="007B276F" w:rsidRDefault="007B276F" w:rsidP="007B276F">
      <w:pPr>
        <w:rPr>
          <w:b/>
          <w:bCs/>
        </w:rPr>
      </w:pPr>
    </w:p>
    <w:p w14:paraId="6DC8C9D6" w14:textId="77777777" w:rsidR="007B276F" w:rsidRDefault="007B276F" w:rsidP="007B276F">
      <w:pPr>
        <w:ind w:left="5040" w:firstLine="720"/>
        <w:rPr>
          <w:b/>
          <w:bCs/>
          <w:sz w:val="28"/>
          <w:szCs w:val="28"/>
        </w:rPr>
      </w:pPr>
      <w:r>
        <w:rPr>
          <w:b/>
          <w:bCs/>
          <w:sz w:val="28"/>
          <w:szCs w:val="28"/>
        </w:rPr>
        <w:t xml:space="preserve">Prepared by: </w:t>
      </w:r>
    </w:p>
    <w:p w14:paraId="4AF4105A" w14:textId="77777777" w:rsidR="007B276F" w:rsidRDefault="007B276F" w:rsidP="007B276F">
      <w:pPr>
        <w:ind w:left="6480" w:firstLine="720"/>
        <w:rPr>
          <w:b/>
          <w:bCs/>
          <w:sz w:val="28"/>
          <w:szCs w:val="28"/>
        </w:rPr>
      </w:pPr>
      <w:r>
        <w:rPr>
          <w:b/>
          <w:bCs/>
          <w:sz w:val="28"/>
          <w:szCs w:val="28"/>
        </w:rPr>
        <w:t xml:space="preserve">Maine </w:t>
      </w:r>
      <w:r w:rsidRPr="001125BD">
        <w:rPr>
          <w:b/>
          <w:bCs/>
          <w:sz w:val="28"/>
          <w:szCs w:val="28"/>
        </w:rPr>
        <w:t>Department of Education</w:t>
      </w:r>
    </w:p>
    <w:p w14:paraId="10241F0B" w14:textId="1C1444E6" w:rsidR="007B276F" w:rsidRPr="001125BD" w:rsidRDefault="00135464" w:rsidP="007B276F">
      <w:pPr>
        <w:ind w:left="6480" w:firstLine="720"/>
        <w:rPr>
          <w:b/>
          <w:bCs/>
          <w:sz w:val="28"/>
          <w:szCs w:val="28"/>
        </w:rPr>
      </w:pPr>
      <w:r>
        <w:rPr>
          <w:b/>
          <w:bCs/>
          <w:sz w:val="28"/>
          <w:szCs w:val="28"/>
        </w:rPr>
        <w:t>Pender Makin</w:t>
      </w:r>
      <w:r w:rsidR="00740A31">
        <w:rPr>
          <w:b/>
          <w:bCs/>
          <w:sz w:val="28"/>
          <w:szCs w:val="28"/>
        </w:rPr>
        <w:t>,</w:t>
      </w:r>
      <w:r w:rsidR="00B16BBF">
        <w:rPr>
          <w:b/>
          <w:bCs/>
          <w:sz w:val="28"/>
          <w:szCs w:val="28"/>
        </w:rPr>
        <w:t xml:space="preserve"> </w:t>
      </w:r>
      <w:r w:rsidR="00AD033B">
        <w:rPr>
          <w:b/>
          <w:bCs/>
          <w:sz w:val="28"/>
          <w:szCs w:val="28"/>
        </w:rPr>
        <w:t>Commissioner</w:t>
      </w:r>
    </w:p>
    <w:p w14:paraId="54C7B45F" w14:textId="42CF8792" w:rsidR="007B276F" w:rsidRDefault="007B276F" w:rsidP="007B276F">
      <w:pPr>
        <w:rPr>
          <w:b/>
          <w:bCs/>
          <w:sz w:val="22"/>
          <w:szCs w:val="22"/>
        </w:rPr>
      </w:pPr>
    </w:p>
    <w:p w14:paraId="2E90B1A6" w14:textId="65D2B36A" w:rsidR="00DC07BE" w:rsidRDefault="00DC07BE" w:rsidP="007B276F">
      <w:pPr>
        <w:rPr>
          <w:b/>
          <w:bCs/>
          <w:sz w:val="22"/>
          <w:szCs w:val="22"/>
        </w:rPr>
      </w:pPr>
    </w:p>
    <w:p w14:paraId="5F39DD32" w14:textId="703BAE19" w:rsidR="00DC07BE" w:rsidRDefault="00DC07BE" w:rsidP="007B276F">
      <w:pPr>
        <w:rPr>
          <w:b/>
          <w:bCs/>
          <w:sz w:val="22"/>
          <w:szCs w:val="22"/>
        </w:rPr>
      </w:pPr>
    </w:p>
    <w:p w14:paraId="3C92DF7B" w14:textId="32801BEE" w:rsidR="00DC07BE" w:rsidRDefault="00DC07BE" w:rsidP="007B276F">
      <w:pPr>
        <w:rPr>
          <w:b/>
          <w:bCs/>
          <w:sz w:val="22"/>
          <w:szCs w:val="22"/>
        </w:rPr>
      </w:pPr>
    </w:p>
    <w:p w14:paraId="77BC3FBE" w14:textId="77777777" w:rsidR="00DC07BE" w:rsidRPr="007B276F" w:rsidRDefault="00DC07BE" w:rsidP="007B276F">
      <w:pPr>
        <w:rPr>
          <w:b/>
          <w:bCs/>
          <w:sz w:val="22"/>
          <w:szCs w:val="22"/>
        </w:rPr>
      </w:pPr>
    </w:p>
    <w:p w14:paraId="0C5F9661" w14:textId="77777777" w:rsidR="007B276F" w:rsidRPr="007B276F" w:rsidRDefault="007B276F" w:rsidP="007B276F">
      <w:pPr>
        <w:jc w:val="center"/>
        <w:rPr>
          <w:b/>
          <w:sz w:val="28"/>
          <w:szCs w:val="28"/>
        </w:rPr>
      </w:pPr>
      <w:r w:rsidRPr="007B276F">
        <w:rPr>
          <w:b/>
          <w:sz w:val="28"/>
          <w:szCs w:val="28"/>
        </w:rPr>
        <w:t>Summary of Education</w:t>
      </w:r>
      <w:r w:rsidR="009E3A91">
        <w:rPr>
          <w:b/>
          <w:sz w:val="28"/>
          <w:szCs w:val="28"/>
        </w:rPr>
        <w:t>-</w:t>
      </w:r>
      <w:r w:rsidRPr="007B276F">
        <w:rPr>
          <w:b/>
          <w:sz w:val="28"/>
          <w:szCs w:val="28"/>
        </w:rPr>
        <w:t xml:space="preserve">Related Bills Enacted by the </w:t>
      </w:r>
    </w:p>
    <w:p w14:paraId="4A18B000" w14:textId="258030CF" w:rsidR="007B276F" w:rsidRPr="007B276F" w:rsidRDefault="00135464" w:rsidP="007B276F">
      <w:pPr>
        <w:jc w:val="center"/>
        <w:rPr>
          <w:b/>
          <w:sz w:val="28"/>
          <w:szCs w:val="28"/>
        </w:rPr>
      </w:pPr>
      <w:r>
        <w:rPr>
          <w:b/>
          <w:sz w:val="28"/>
          <w:szCs w:val="28"/>
        </w:rPr>
        <w:t xml:space="preserve">First </w:t>
      </w:r>
      <w:r w:rsidR="00E832F4">
        <w:rPr>
          <w:b/>
          <w:sz w:val="28"/>
          <w:szCs w:val="28"/>
        </w:rPr>
        <w:t>R</w:t>
      </w:r>
      <w:r w:rsidR="00C570A0">
        <w:rPr>
          <w:b/>
          <w:sz w:val="28"/>
          <w:szCs w:val="28"/>
        </w:rPr>
        <w:t>egular Session</w:t>
      </w:r>
      <w:r w:rsidR="007B276F" w:rsidRPr="007B276F">
        <w:rPr>
          <w:b/>
          <w:sz w:val="28"/>
          <w:szCs w:val="28"/>
        </w:rPr>
        <w:t xml:space="preserve"> of the</w:t>
      </w:r>
    </w:p>
    <w:p w14:paraId="3024C2A6" w14:textId="591F989A" w:rsidR="007B276F" w:rsidRPr="007B276F" w:rsidRDefault="007B276F" w:rsidP="007B276F">
      <w:pPr>
        <w:jc w:val="center"/>
        <w:rPr>
          <w:sz w:val="28"/>
          <w:szCs w:val="28"/>
        </w:rPr>
      </w:pPr>
      <w:r w:rsidRPr="007B276F">
        <w:rPr>
          <w:b/>
          <w:sz w:val="28"/>
          <w:szCs w:val="28"/>
        </w:rPr>
        <w:t>12</w:t>
      </w:r>
      <w:r w:rsidR="00135464">
        <w:rPr>
          <w:b/>
          <w:sz w:val="28"/>
          <w:szCs w:val="28"/>
        </w:rPr>
        <w:t>9</w:t>
      </w:r>
      <w:r w:rsidR="00C570A0">
        <w:rPr>
          <w:b/>
          <w:sz w:val="28"/>
          <w:szCs w:val="28"/>
        </w:rPr>
        <w:t>th</w:t>
      </w:r>
      <w:r w:rsidRPr="007B276F">
        <w:rPr>
          <w:b/>
          <w:sz w:val="28"/>
          <w:szCs w:val="28"/>
        </w:rPr>
        <w:t xml:space="preserve"> Maine Legislature</w:t>
      </w:r>
    </w:p>
    <w:p w14:paraId="0D4C1B32" w14:textId="77777777" w:rsidR="007B276F" w:rsidRPr="007B276F" w:rsidRDefault="007B276F" w:rsidP="007B276F">
      <w:pPr>
        <w:rPr>
          <w:sz w:val="22"/>
          <w:szCs w:val="22"/>
        </w:rPr>
      </w:pP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7265"/>
        <w:gridCol w:w="2250"/>
      </w:tblGrid>
      <w:tr w:rsidR="00114F14" w:rsidRPr="008D72F0" w14:paraId="5163F00C" w14:textId="44807D9F" w:rsidTr="00114F14">
        <w:trPr>
          <w:cantSplit/>
          <w:tblHeader/>
        </w:trPr>
        <w:tc>
          <w:tcPr>
            <w:tcW w:w="3080" w:type="dxa"/>
            <w:shd w:val="clear" w:color="auto" w:fill="CCCCCC"/>
          </w:tcPr>
          <w:p w14:paraId="3BBC0C2E" w14:textId="77777777" w:rsidR="00114F14" w:rsidRPr="008D72F0" w:rsidRDefault="00114F14" w:rsidP="008D72F0">
            <w:pPr>
              <w:jc w:val="center"/>
              <w:rPr>
                <w:b/>
                <w:sz w:val="22"/>
                <w:szCs w:val="22"/>
              </w:rPr>
            </w:pPr>
            <w:r w:rsidRPr="008D72F0">
              <w:rPr>
                <w:b/>
                <w:sz w:val="22"/>
                <w:szCs w:val="22"/>
              </w:rPr>
              <w:t>Title</w:t>
            </w:r>
          </w:p>
        </w:tc>
        <w:tc>
          <w:tcPr>
            <w:tcW w:w="7265" w:type="dxa"/>
            <w:shd w:val="clear" w:color="auto" w:fill="CCCCCC"/>
          </w:tcPr>
          <w:p w14:paraId="382C1156" w14:textId="77777777" w:rsidR="00114F14" w:rsidRPr="008D72F0" w:rsidRDefault="00114F14" w:rsidP="008D72F0">
            <w:pPr>
              <w:jc w:val="center"/>
              <w:rPr>
                <w:b/>
                <w:sz w:val="22"/>
                <w:szCs w:val="22"/>
              </w:rPr>
            </w:pPr>
            <w:r w:rsidRPr="008D72F0">
              <w:rPr>
                <w:b/>
                <w:sz w:val="22"/>
                <w:szCs w:val="22"/>
              </w:rPr>
              <w:t>Provisions</w:t>
            </w:r>
          </w:p>
          <w:p w14:paraId="0DA1D4CE" w14:textId="77777777" w:rsidR="00114F14" w:rsidRPr="008D72F0" w:rsidRDefault="00114F14" w:rsidP="00612623">
            <w:pPr>
              <w:ind w:left="498" w:hanging="180"/>
              <w:jc w:val="center"/>
              <w:rPr>
                <w:b/>
                <w:sz w:val="22"/>
                <w:szCs w:val="22"/>
              </w:rPr>
            </w:pPr>
          </w:p>
        </w:tc>
        <w:tc>
          <w:tcPr>
            <w:tcW w:w="2250" w:type="dxa"/>
            <w:shd w:val="clear" w:color="auto" w:fill="CCCCCC"/>
          </w:tcPr>
          <w:p w14:paraId="146D9E08" w14:textId="77777777" w:rsidR="00114F14" w:rsidRPr="008D72F0" w:rsidRDefault="00114F14" w:rsidP="008D72F0">
            <w:pPr>
              <w:jc w:val="center"/>
              <w:rPr>
                <w:b/>
                <w:sz w:val="22"/>
                <w:szCs w:val="22"/>
              </w:rPr>
            </w:pPr>
            <w:r w:rsidRPr="008D72F0">
              <w:rPr>
                <w:b/>
                <w:sz w:val="22"/>
                <w:szCs w:val="22"/>
              </w:rPr>
              <w:t>Effective Date</w:t>
            </w:r>
          </w:p>
          <w:p w14:paraId="4C545F6A" w14:textId="77777777" w:rsidR="00114F14" w:rsidRPr="008D72F0" w:rsidRDefault="00114F14" w:rsidP="008D72F0">
            <w:pPr>
              <w:jc w:val="center"/>
              <w:rPr>
                <w:b/>
                <w:sz w:val="22"/>
                <w:szCs w:val="22"/>
              </w:rPr>
            </w:pPr>
            <w:r w:rsidRPr="008D72F0">
              <w:rPr>
                <w:b/>
                <w:sz w:val="22"/>
                <w:szCs w:val="22"/>
              </w:rPr>
              <w:t>Action Required</w:t>
            </w:r>
          </w:p>
        </w:tc>
      </w:tr>
      <w:tr w:rsidR="00114F14" w:rsidRPr="008D72F0" w14:paraId="4E4B775B" w14:textId="528095E8" w:rsidTr="00114F14">
        <w:trPr>
          <w:trHeight w:val="863"/>
        </w:trPr>
        <w:tc>
          <w:tcPr>
            <w:tcW w:w="3080" w:type="dxa"/>
            <w:shd w:val="clear" w:color="auto" w:fill="auto"/>
          </w:tcPr>
          <w:p w14:paraId="4108D2DE" w14:textId="77777777" w:rsidR="00114F14" w:rsidRDefault="00114F14" w:rsidP="00184066">
            <w:pPr>
              <w:rPr>
                <w:b/>
              </w:rPr>
            </w:pPr>
            <w:r w:rsidRPr="00433A3D">
              <w:rPr>
                <w:b/>
              </w:rPr>
              <w:t>LD 19, Public Law 2019, Chapter 413</w:t>
            </w:r>
          </w:p>
          <w:p w14:paraId="5CB7C86E" w14:textId="4D06CE8A" w:rsidR="00114F14" w:rsidRPr="00433A3D" w:rsidRDefault="00114F14" w:rsidP="00184066">
            <w:pPr>
              <w:rPr>
                <w:i/>
              </w:rPr>
            </w:pPr>
            <w:r w:rsidRPr="00433A3D">
              <w:rPr>
                <w:i/>
              </w:rPr>
              <w:t xml:space="preserve">An Act </w:t>
            </w:r>
            <w:proofErr w:type="gramStart"/>
            <w:r w:rsidRPr="00433A3D">
              <w:rPr>
                <w:i/>
              </w:rPr>
              <w:t>To</w:t>
            </w:r>
            <w:proofErr w:type="gramEnd"/>
            <w:r w:rsidRPr="00433A3D">
              <w:rPr>
                <w:i/>
              </w:rPr>
              <w:t xml:space="preserve"> Require Newly Purchased Public School Buses To Be Equipped</w:t>
            </w:r>
            <w:r>
              <w:rPr>
                <w:i/>
              </w:rPr>
              <w:t xml:space="preserve"> with School Bus Crossing Arms </w:t>
            </w:r>
            <w:r w:rsidRPr="00433A3D">
              <w:rPr>
                <w:i/>
              </w:rPr>
              <w:t>(EMERGENCY)</w:t>
            </w:r>
          </w:p>
        </w:tc>
        <w:tc>
          <w:tcPr>
            <w:tcW w:w="7265" w:type="dxa"/>
            <w:shd w:val="clear" w:color="auto" w:fill="auto"/>
          </w:tcPr>
          <w:p w14:paraId="6CF0DF88" w14:textId="5FAF78F7" w:rsidR="00114F14" w:rsidRPr="00510BFA" w:rsidRDefault="00114F14" w:rsidP="00AC3EE7">
            <w:pPr>
              <w:pStyle w:val="ListBullet"/>
            </w:pPr>
            <w:r>
              <w:t>Requires all school buses with a model year of 2021 or newer be equipped with a school bus crossing arm.</w:t>
            </w:r>
          </w:p>
        </w:tc>
        <w:tc>
          <w:tcPr>
            <w:tcW w:w="2250" w:type="dxa"/>
            <w:shd w:val="clear" w:color="auto" w:fill="auto"/>
          </w:tcPr>
          <w:p w14:paraId="29E3CA7E" w14:textId="014F2882" w:rsidR="00114F14" w:rsidRPr="00433A3D" w:rsidRDefault="00114F14" w:rsidP="00CB291E">
            <w:pPr>
              <w:rPr>
                <w:sz w:val="22"/>
                <w:szCs w:val="22"/>
              </w:rPr>
            </w:pPr>
            <w:r>
              <w:rPr>
                <w:sz w:val="22"/>
                <w:szCs w:val="22"/>
              </w:rPr>
              <w:t>June 20, 2019</w:t>
            </w:r>
          </w:p>
        </w:tc>
      </w:tr>
      <w:tr w:rsidR="00114F14" w:rsidRPr="008D72F0" w14:paraId="2430CE43" w14:textId="703D3219" w:rsidTr="00114F14">
        <w:trPr>
          <w:trHeight w:val="791"/>
        </w:trPr>
        <w:tc>
          <w:tcPr>
            <w:tcW w:w="3080" w:type="dxa"/>
            <w:shd w:val="clear" w:color="auto" w:fill="auto"/>
          </w:tcPr>
          <w:p w14:paraId="31DD83DE" w14:textId="0E3BB1BC" w:rsidR="00114F14" w:rsidRPr="00F929DD" w:rsidRDefault="00114F14" w:rsidP="00F929DD">
            <w:pPr>
              <w:rPr>
                <w:b/>
                <w:lang w:val="en"/>
              </w:rPr>
            </w:pPr>
            <w:r>
              <w:rPr>
                <w:b/>
                <w:lang w:val="en"/>
              </w:rPr>
              <w:t>LD 40, Resolve 2019, Chapter 96</w:t>
            </w:r>
          </w:p>
          <w:p w14:paraId="5A325128" w14:textId="1A2F85F8" w:rsidR="00114F14" w:rsidRPr="00EE7A7C" w:rsidRDefault="00114F14" w:rsidP="00FE37C1">
            <w:pPr>
              <w:rPr>
                <w:i/>
              </w:rPr>
            </w:pPr>
            <w:r w:rsidRPr="009C714B">
              <w:rPr>
                <w:i/>
              </w:rPr>
              <w:t xml:space="preserve">Resolve, To Establish the Commission </w:t>
            </w:r>
            <w:proofErr w:type="gramStart"/>
            <w:r w:rsidRPr="009C714B">
              <w:rPr>
                <w:i/>
              </w:rPr>
              <w:t>To</w:t>
            </w:r>
            <w:proofErr w:type="gramEnd"/>
            <w:r w:rsidRPr="009C714B">
              <w:rPr>
                <w:i/>
              </w:rPr>
              <w:t xml:space="preserve"> Study Children's Mental Health (EMERGENCY)</w:t>
            </w:r>
          </w:p>
        </w:tc>
        <w:tc>
          <w:tcPr>
            <w:tcW w:w="7265" w:type="dxa"/>
            <w:shd w:val="clear" w:color="auto" w:fill="auto"/>
          </w:tcPr>
          <w:p w14:paraId="6C5A4576" w14:textId="77777777" w:rsidR="00114F14" w:rsidRDefault="00114F14" w:rsidP="00AC3EE7">
            <w:pPr>
              <w:pStyle w:val="ListBullet"/>
            </w:pPr>
            <w:r>
              <w:t xml:space="preserve">Directs a commission to be formed to study the mental health of children in Maine and federal and state </w:t>
            </w:r>
            <w:r w:rsidRPr="00AC3EE7">
              <w:t>laws</w:t>
            </w:r>
            <w:r>
              <w:t>, regulations, and policies governing the diagnosis and treatment of children with mental health issues.</w:t>
            </w:r>
          </w:p>
          <w:p w14:paraId="1A3D4821" w14:textId="7B0317D4" w:rsidR="00114F14" w:rsidRPr="000320A5" w:rsidRDefault="00114F14" w:rsidP="00AC3EE7">
            <w:pPr>
              <w:pStyle w:val="ListBullet"/>
            </w:pPr>
            <w:r w:rsidRPr="000320A5">
              <w:t xml:space="preserve">The </w:t>
            </w:r>
            <w:r>
              <w:t>Commission</w:t>
            </w:r>
            <w:r w:rsidRPr="000320A5">
              <w:t xml:space="preserve"> will have </w:t>
            </w:r>
            <w:r>
              <w:t>11</w:t>
            </w:r>
            <w:r w:rsidRPr="000320A5">
              <w:t xml:space="preserve"> members consisting of:</w:t>
            </w:r>
          </w:p>
          <w:p w14:paraId="46126827" w14:textId="313FC72B" w:rsidR="00114F14" w:rsidRDefault="00114F14" w:rsidP="00E47C42">
            <w:pPr>
              <w:pStyle w:val="ListBullet"/>
              <w:numPr>
                <w:ilvl w:val="0"/>
                <w:numId w:val="3"/>
              </w:numPr>
              <w:ind w:left="678"/>
            </w:pPr>
            <w:r>
              <w:t>Two members of the Senate;</w:t>
            </w:r>
          </w:p>
          <w:p w14:paraId="4757C5B0" w14:textId="570A56BC" w:rsidR="00114F14" w:rsidRDefault="00114F14" w:rsidP="00E47C42">
            <w:pPr>
              <w:pStyle w:val="ListBullet"/>
              <w:numPr>
                <w:ilvl w:val="0"/>
                <w:numId w:val="3"/>
              </w:numPr>
              <w:ind w:left="678"/>
            </w:pPr>
            <w:r>
              <w:t>Two members of the House;</w:t>
            </w:r>
          </w:p>
          <w:p w14:paraId="7D84C5FE" w14:textId="77777777" w:rsidR="00114F14" w:rsidRDefault="00114F14" w:rsidP="00E47C42">
            <w:pPr>
              <w:pStyle w:val="ListBullet"/>
              <w:numPr>
                <w:ilvl w:val="0"/>
                <w:numId w:val="3"/>
              </w:numPr>
              <w:ind w:left="678"/>
            </w:pPr>
            <w:r>
              <w:t>Two parents of children with mental illness, one appointed by the President of the Senate, one appointed by the Speaker of the House;</w:t>
            </w:r>
          </w:p>
          <w:p w14:paraId="397FDB59" w14:textId="77777777" w:rsidR="00114F14" w:rsidRDefault="00114F14" w:rsidP="00E47C42">
            <w:pPr>
              <w:pStyle w:val="ListBullet"/>
              <w:numPr>
                <w:ilvl w:val="0"/>
                <w:numId w:val="3"/>
              </w:numPr>
              <w:ind w:left="678"/>
            </w:pPr>
            <w:r>
              <w:t>Three representatives of providers of mental health services to children in Maine, two appointed by the President of the Senate, one appointed by the Speaker of the House;</w:t>
            </w:r>
          </w:p>
          <w:p w14:paraId="1D4E7032" w14:textId="5D0C2EA1" w:rsidR="00114F14" w:rsidRDefault="00114F14" w:rsidP="00E47C42">
            <w:pPr>
              <w:pStyle w:val="ListBullet"/>
              <w:numPr>
                <w:ilvl w:val="0"/>
                <w:numId w:val="3"/>
              </w:numPr>
              <w:ind w:left="678"/>
            </w:pPr>
            <w:r>
              <w:t>The Commissioner of Health &amp; Human Services or the Commissioner’s designee;</w:t>
            </w:r>
          </w:p>
          <w:p w14:paraId="6DBD0574" w14:textId="77777777" w:rsidR="00114F14" w:rsidRDefault="00114F14" w:rsidP="00E47C42">
            <w:pPr>
              <w:pStyle w:val="ListBullet"/>
              <w:numPr>
                <w:ilvl w:val="0"/>
                <w:numId w:val="3"/>
              </w:numPr>
              <w:ind w:left="678"/>
            </w:pPr>
            <w:r>
              <w:t>The Commissioner of Education or the Commissioner’s designee.</w:t>
            </w:r>
          </w:p>
          <w:p w14:paraId="50481891" w14:textId="77777777" w:rsidR="00114F14" w:rsidRDefault="00114F14" w:rsidP="00E47C42">
            <w:pPr>
              <w:pStyle w:val="ListBullet"/>
              <w:numPr>
                <w:ilvl w:val="0"/>
                <w:numId w:val="4"/>
              </w:numPr>
              <w:ind w:left="426" w:hanging="180"/>
            </w:pPr>
            <w:r>
              <w:t>Directs the Department of Health &amp; Human Services to provide staffing services.</w:t>
            </w:r>
          </w:p>
          <w:p w14:paraId="57606164" w14:textId="290D4846" w:rsidR="00114F14" w:rsidRPr="00510BFA" w:rsidRDefault="00114F14" w:rsidP="00E47C42">
            <w:pPr>
              <w:pStyle w:val="ListBullet"/>
              <w:numPr>
                <w:ilvl w:val="0"/>
                <w:numId w:val="4"/>
              </w:numPr>
              <w:ind w:left="426" w:hanging="180"/>
            </w:pPr>
            <w:r>
              <w:t>Directs the Commission to submit a report by December 4, 2019 on its findings &amp; recommendations, including proposed legislation to the Second Regular Session of the 129</w:t>
            </w:r>
            <w:r w:rsidRPr="00B17415">
              <w:rPr>
                <w:vertAlign w:val="superscript"/>
              </w:rPr>
              <w:t>th</w:t>
            </w:r>
            <w:r>
              <w:t xml:space="preserve"> Legislature.</w:t>
            </w:r>
          </w:p>
        </w:tc>
        <w:tc>
          <w:tcPr>
            <w:tcW w:w="2250" w:type="dxa"/>
            <w:shd w:val="clear" w:color="auto" w:fill="auto"/>
          </w:tcPr>
          <w:p w14:paraId="76E92A7E" w14:textId="77777777" w:rsidR="00114F14" w:rsidRPr="00AA1BFE" w:rsidRDefault="00114F14" w:rsidP="003977ED">
            <w:r w:rsidRPr="00AA1BFE">
              <w:t>June 26, 2019</w:t>
            </w:r>
          </w:p>
          <w:p w14:paraId="740EB87B" w14:textId="77777777" w:rsidR="00114F14" w:rsidRPr="00AA1BFE" w:rsidRDefault="00114F14" w:rsidP="003977ED"/>
          <w:p w14:paraId="1FC244B0" w14:textId="77777777" w:rsidR="00114F14" w:rsidRPr="00AA1BFE" w:rsidRDefault="00114F14" w:rsidP="003977ED">
            <w:r w:rsidRPr="00AA1BFE">
              <w:t>Participate as member of Commission.</w:t>
            </w:r>
          </w:p>
          <w:p w14:paraId="62305DFE" w14:textId="77777777" w:rsidR="00114F14" w:rsidRPr="00AA1BFE" w:rsidRDefault="00114F14" w:rsidP="003977ED"/>
          <w:p w14:paraId="167CA078" w14:textId="77777777" w:rsidR="00114F14" w:rsidRPr="00AA1BFE" w:rsidRDefault="00114F14" w:rsidP="003977ED"/>
          <w:p w14:paraId="1DD01A04" w14:textId="77777777" w:rsidR="00114F14" w:rsidRPr="00AA1BFE" w:rsidRDefault="00114F14" w:rsidP="003977ED"/>
          <w:p w14:paraId="12AE8A98" w14:textId="77777777" w:rsidR="00114F14" w:rsidRPr="00AA1BFE" w:rsidRDefault="00114F14" w:rsidP="003977ED"/>
          <w:p w14:paraId="50296DA8" w14:textId="77777777" w:rsidR="00114F14" w:rsidRPr="00AA1BFE" w:rsidRDefault="00114F14" w:rsidP="003977ED"/>
          <w:p w14:paraId="5BCD4040" w14:textId="77777777" w:rsidR="00114F14" w:rsidRPr="00AA1BFE" w:rsidRDefault="00114F14" w:rsidP="003977ED"/>
          <w:p w14:paraId="17D1DD75" w14:textId="77777777" w:rsidR="00114F14" w:rsidRPr="00AA1BFE" w:rsidRDefault="00114F14" w:rsidP="003977ED"/>
          <w:p w14:paraId="26C52626" w14:textId="77777777" w:rsidR="00114F14" w:rsidRPr="00AA1BFE" w:rsidRDefault="00114F14" w:rsidP="003977ED"/>
          <w:p w14:paraId="53DA06B6" w14:textId="77777777" w:rsidR="00114F14" w:rsidRPr="00AA1BFE" w:rsidRDefault="00114F14" w:rsidP="003977ED"/>
          <w:p w14:paraId="61023FD7" w14:textId="77777777" w:rsidR="00114F14" w:rsidRPr="00AA1BFE" w:rsidRDefault="00114F14" w:rsidP="003977ED"/>
          <w:p w14:paraId="5EAA7110" w14:textId="77777777" w:rsidR="00114F14" w:rsidRPr="00AA1BFE" w:rsidRDefault="00114F14" w:rsidP="003977ED"/>
          <w:p w14:paraId="26309E90" w14:textId="77777777" w:rsidR="00114F14" w:rsidRPr="00AA1BFE" w:rsidRDefault="00114F14" w:rsidP="003977ED"/>
          <w:p w14:paraId="218862A4" w14:textId="51587680" w:rsidR="00114F14" w:rsidRPr="00AA1BFE" w:rsidRDefault="00114F14" w:rsidP="003977ED">
            <w:r w:rsidRPr="00AA1BFE">
              <w:t>Commission to submit report to the Legislature by December 4, 2019.</w:t>
            </w:r>
          </w:p>
          <w:p w14:paraId="32FCD512" w14:textId="77777777" w:rsidR="00114F14" w:rsidRPr="00AA1BFE" w:rsidRDefault="00114F14" w:rsidP="003977ED"/>
          <w:p w14:paraId="27852ED1" w14:textId="13AECEB2" w:rsidR="00114F14" w:rsidRPr="00AA1BFE" w:rsidRDefault="00114F14" w:rsidP="003977ED"/>
        </w:tc>
      </w:tr>
      <w:tr w:rsidR="00114F14" w:rsidRPr="008D72F0" w14:paraId="0CE26B64" w14:textId="07EDADBD" w:rsidTr="00114F14">
        <w:trPr>
          <w:trHeight w:val="734"/>
        </w:trPr>
        <w:tc>
          <w:tcPr>
            <w:tcW w:w="3080" w:type="dxa"/>
            <w:shd w:val="clear" w:color="auto" w:fill="auto"/>
          </w:tcPr>
          <w:p w14:paraId="011A700C" w14:textId="77777777" w:rsidR="00114F14" w:rsidRDefault="00114F14" w:rsidP="00476797">
            <w:pPr>
              <w:rPr>
                <w:b/>
              </w:rPr>
            </w:pPr>
            <w:r>
              <w:rPr>
                <w:b/>
              </w:rPr>
              <w:t>LD 92, Public Law 2019, Chapter 27</w:t>
            </w:r>
          </w:p>
          <w:p w14:paraId="7B42B849" w14:textId="4E0CBCA9" w:rsidR="00114F14" w:rsidRPr="00116EAF" w:rsidRDefault="00114F14" w:rsidP="00476797">
            <w:pPr>
              <w:rPr>
                <w:i/>
              </w:rPr>
            </w:pPr>
            <w:r w:rsidRPr="00116EAF">
              <w:rPr>
                <w:i/>
              </w:rPr>
              <w:t xml:space="preserve">An Act </w:t>
            </w:r>
            <w:proofErr w:type="gramStart"/>
            <w:r w:rsidRPr="00116EAF">
              <w:rPr>
                <w:i/>
              </w:rPr>
              <w:t>To</w:t>
            </w:r>
            <w:proofErr w:type="gramEnd"/>
            <w:r w:rsidRPr="00116EAF">
              <w:rPr>
                <w:i/>
              </w:rPr>
              <w:t xml:space="preserve"> Amend Teacher Evaluation Requirements</w:t>
            </w:r>
          </w:p>
        </w:tc>
        <w:tc>
          <w:tcPr>
            <w:tcW w:w="7265" w:type="dxa"/>
            <w:tcBorders>
              <w:bottom w:val="single" w:sz="4" w:space="0" w:color="auto"/>
            </w:tcBorders>
            <w:shd w:val="clear" w:color="auto" w:fill="auto"/>
          </w:tcPr>
          <w:p w14:paraId="1D3DDF18" w14:textId="56F26698" w:rsidR="00114F14" w:rsidRDefault="00114F14" w:rsidP="00E47C42">
            <w:pPr>
              <w:pStyle w:val="ListBullet"/>
              <w:numPr>
                <w:ilvl w:val="0"/>
                <w:numId w:val="5"/>
              </w:numPr>
              <w:autoSpaceDE w:val="0"/>
              <w:autoSpaceDN w:val="0"/>
              <w:adjustRightInd w:val="0"/>
              <w:ind w:left="426" w:hanging="180"/>
              <w:rPr>
                <w:color w:val="000000"/>
              </w:rPr>
            </w:pPr>
            <w:r w:rsidRPr="003E226C">
              <w:t xml:space="preserve">Clarifies that, effective September 1, 2021, </w:t>
            </w:r>
            <w:r w:rsidRPr="003E226C">
              <w:rPr>
                <w:color w:val="000000"/>
              </w:rPr>
              <w:t>a</w:t>
            </w:r>
            <w:r w:rsidRPr="00AA2FB9">
              <w:rPr>
                <w:color w:val="000000"/>
              </w:rPr>
              <w:t xml:space="preserve"> school administrative unit (SAU) is not required to use student growth measures in educator evaluation requirements</w:t>
            </w:r>
          </w:p>
          <w:p w14:paraId="260C6F1E" w14:textId="3D7C59AB" w:rsidR="00114F14" w:rsidRDefault="00114F14" w:rsidP="00E47C42">
            <w:pPr>
              <w:pStyle w:val="ListBullet"/>
              <w:numPr>
                <w:ilvl w:val="0"/>
                <w:numId w:val="5"/>
              </w:numPr>
              <w:autoSpaceDE w:val="0"/>
              <w:autoSpaceDN w:val="0"/>
              <w:adjustRightInd w:val="0"/>
              <w:spacing w:before="120"/>
              <w:ind w:left="426" w:hanging="180"/>
              <w:rPr>
                <w:color w:val="000000"/>
              </w:rPr>
            </w:pPr>
            <w:r w:rsidRPr="00AA2FB9">
              <w:rPr>
                <w:color w:val="000000"/>
              </w:rPr>
              <w:t xml:space="preserve">Clarifies that a SAU’s steering committee include </w:t>
            </w:r>
            <w:proofErr w:type="gramStart"/>
            <w:r w:rsidRPr="00AA2FB9">
              <w:rPr>
                <w:color w:val="000000"/>
              </w:rPr>
              <w:t>a majority of</w:t>
            </w:r>
            <w:proofErr w:type="gramEnd"/>
            <w:r w:rsidRPr="00AA2FB9">
              <w:rPr>
                <w:color w:val="000000"/>
              </w:rPr>
              <w:t xml:space="preserve"> teachers chosen by the local bargaining unit and any revisions to the performance evaluation and professional growth system made by the steering committee must be reached by consensus.</w:t>
            </w:r>
          </w:p>
          <w:p w14:paraId="49A4D084" w14:textId="70F260EE" w:rsidR="00114F14" w:rsidRPr="00510BFA" w:rsidRDefault="00114F14" w:rsidP="00E47C42">
            <w:pPr>
              <w:pStyle w:val="ListBullet"/>
              <w:numPr>
                <w:ilvl w:val="0"/>
                <w:numId w:val="5"/>
              </w:numPr>
              <w:autoSpaceDE w:val="0"/>
              <w:autoSpaceDN w:val="0"/>
              <w:adjustRightInd w:val="0"/>
              <w:spacing w:before="120"/>
              <w:ind w:left="426" w:hanging="180"/>
            </w:pPr>
            <w:r>
              <w:rPr>
                <w:color w:val="000000"/>
              </w:rPr>
              <w:t xml:space="preserve">Directs the Department to provisionally adopt major substantive rule Chapter 180:  </w:t>
            </w:r>
            <w:r w:rsidRPr="001C4751">
              <w:rPr>
                <w:i/>
                <w:color w:val="000000"/>
              </w:rPr>
              <w:t xml:space="preserve">Performance Evaluation and Professional Growth Systems </w:t>
            </w:r>
            <w:r>
              <w:rPr>
                <w:color w:val="000000"/>
              </w:rPr>
              <w:t>by January 10, 2020 to carry out the provisions of this legislation.</w:t>
            </w:r>
          </w:p>
        </w:tc>
        <w:tc>
          <w:tcPr>
            <w:tcW w:w="2250" w:type="dxa"/>
            <w:shd w:val="clear" w:color="auto" w:fill="auto"/>
          </w:tcPr>
          <w:p w14:paraId="601817ED" w14:textId="77777777" w:rsidR="00114F14" w:rsidRDefault="00114F14" w:rsidP="00476797">
            <w:pPr>
              <w:rPr>
                <w:sz w:val="22"/>
                <w:szCs w:val="22"/>
              </w:rPr>
            </w:pPr>
            <w:r>
              <w:rPr>
                <w:sz w:val="22"/>
                <w:szCs w:val="22"/>
              </w:rPr>
              <w:t>September 19, 2019</w:t>
            </w:r>
          </w:p>
          <w:p w14:paraId="20F95434" w14:textId="77777777" w:rsidR="00114F14" w:rsidRDefault="00114F14" w:rsidP="00476797">
            <w:pPr>
              <w:rPr>
                <w:sz w:val="22"/>
                <w:szCs w:val="22"/>
              </w:rPr>
            </w:pPr>
          </w:p>
          <w:p w14:paraId="2376E975" w14:textId="77777777" w:rsidR="00114F14" w:rsidRDefault="00114F14" w:rsidP="00476797">
            <w:pPr>
              <w:rPr>
                <w:sz w:val="22"/>
                <w:szCs w:val="22"/>
              </w:rPr>
            </w:pPr>
          </w:p>
          <w:p w14:paraId="468A95F5" w14:textId="77777777" w:rsidR="00114F14" w:rsidRDefault="00114F14" w:rsidP="00476797">
            <w:pPr>
              <w:rPr>
                <w:sz w:val="22"/>
                <w:szCs w:val="22"/>
              </w:rPr>
            </w:pPr>
          </w:p>
          <w:p w14:paraId="766557BE" w14:textId="77777777" w:rsidR="00114F14" w:rsidRDefault="00114F14" w:rsidP="00476797">
            <w:pPr>
              <w:rPr>
                <w:sz w:val="22"/>
                <w:szCs w:val="22"/>
              </w:rPr>
            </w:pPr>
          </w:p>
          <w:p w14:paraId="3EBF42D5" w14:textId="3F352F53" w:rsidR="00114F14" w:rsidRDefault="00114F14" w:rsidP="00476797">
            <w:pPr>
              <w:rPr>
                <w:sz w:val="22"/>
                <w:szCs w:val="22"/>
              </w:rPr>
            </w:pPr>
            <w:r>
              <w:rPr>
                <w:sz w:val="22"/>
                <w:szCs w:val="22"/>
              </w:rPr>
              <w:t>September 1, 2021</w:t>
            </w:r>
          </w:p>
          <w:p w14:paraId="2313D8BE" w14:textId="77777777" w:rsidR="00114F14" w:rsidRDefault="00114F14" w:rsidP="00476797">
            <w:pPr>
              <w:rPr>
                <w:sz w:val="22"/>
                <w:szCs w:val="22"/>
              </w:rPr>
            </w:pPr>
          </w:p>
          <w:p w14:paraId="227C2D91" w14:textId="77777777" w:rsidR="00114F14" w:rsidRDefault="00114F14" w:rsidP="00476797">
            <w:pPr>
              <w:rPr>
                <w:sz w:val="22"/>
                <w:szCs w:val="22"/>
              </w:rPr>
            </w:pPr>
          </w:p>
          <w:p w14:paraId="0D73BA01" w14:textId="77777777" w:rsidR="00114F14" w:rsidRDefault="00114F14" w:rsidP="00476797">
            <w:pPr>
              <w:rPr>
                <w:sz w:val="22"/>
                <w:szCs w:val="22"/>
              </w:rPr>
            </w:pPr>
          </w:p>
          <w:p w14:paraId="52E02581" w14:textId="1975B803" w:rsidR="00114F14" w:rsidRPr="00433A3D" w:rsidRDefault="00114F14" w:rsidP="00476797">
            <w:pPr>
              <w:rPr>
                <w:sz w:val="22"/>
                <w:szCs w:val="22"/>
              </w:rPr>
            </w:pPr>
            <w:r>
              <w:rPr>
                <w:sz w:val="22"/>
                <w:szCs w:val="22"/>
              </w:rPr>
              <w:t>Provisionally adopt Rule Chapter 180 by January 10, 2020</w:t>
            </w:r>
          </w:p>
        </w:tc>
      </w:tr>
      <w:tr w:rsidR="00114F14" w:rsidRPr="008D72F0" w14:paraId="13DDE7A1" w14:textId="529271A6" w:rsidTr="00114F14">
        <w:trPr>
          <w:trHeight w:val="737"/>
        </w:trPr>
        <w:tc>
          <w:tcPr>
            <w:tcW w:w="3080" w:type="dxa"/>
            <w:shd w:val="clear" w:color="auto" w:fill="auto"/>
          </w:tcPr>
          <w:p w14:paraId="61AB6EEB" w14:textId="6C9EEEB2" w:rsidR="00114F14" w:rsidRDefault="00114F14" w:rsidP="00E16DF1">
            <w:pPr>
              <w:rPr>
                <w:b/>
              </w:rPr>
            </w:pPr>
            <w:r w:rsidRPr="001C4751">
              <w:rPr>
                <w:b/>
              </w:rPr>
              <w:t>LD 97, Resolve 2019, Chapte</w:t>
            </w:r>
            <w:r>
              <w:rPr>
                <w:b/>
              </w:rPr>
              <w:t>r 1</w:t>
            </w:r>
            <w:r w:rsidRPr="001C4751">
              <w:rPr>
                <w:b/>
              </w:rPr>
              <w:t>4</w:t>
            </w:r>
          </w:p>
          <w:p w14:paraId="495672EA" w14:textId="4887A4DF" w:rsidR="00114F14" w:rsidRPr="001C4751" w:rsidRDefault="00114F14" w:rsidP="00E16DF1">
            <w:pPr>
              <w:rPr>
                <w:i/>
              </w:rPr>
            </w:pPr>
            <w:r w:rsidRPr="001C4751">
              <w:rPr>
                <w:i/>
              </w:rPr>
              <w:t>Resolve, Regarding Legislative Review of Portions of Chapter 38: Suicide Awareness and Prevention in Maine Public Schools, a Major Substantive Rule of the Department of Education (EMERGENCY)</w:t>
            </w:r>
          </w:p>
        </w:tc>
        <w:tc>
          <w:tcPr>
            <w:tcW w:w="7265" w:type="dxa"/>
            <w:tcBorders>
              <w:top w:val="single" w:sz="4" w:space="0" w:color="auto"/>
            </w:tcBorders>
            <w:shd w:val="clear" w:color="auto" w:fill="auto"/>
          </w:tcPr>
          <w:p w14:paraId="79EAB165" w14:textId="332E8068" w:rsidR="00114F14" w:rsidRDefault="00114F14" w:rsidP="00E47C42">
            <w:pPr>
              <w:pStyle w:val="ListParagraph"/>
              <w:numPr>
                <w:ilvl w:val="0"/>
                <w:numId w:val="6"/>
              </w:numPr>
              <w:ind w:left="426" w:hanging="180"/>
              <w:rPr>
                <w:color w:val="000000"/>
              </w:rPr>
            </w:pPr>
            <w:r w:rsidRPr="001C4751">
              <w:rPr>
                <w:color w:val="000000"/>
              </w:rPr>
              <w:t xml:space="preserve">Authorizes the Department of Education to proceed to final adoption of a provisionally adopted </w:t>
            </w:r>
            <w:r>
              <w:rPr>
                <w:color w:val="000000"/>
              </w:rPr>
              <w:t>amended Rule Chapter 38</w:t>
            </w:r>
            <w:r w:rsidRPr="001C4751">
              <w:rPr>
                <w:color w:val="000000"/>
              </w:rPr>
              <w:t xml:space="preserve">:  </w:t>
            </w:r>
            <w:r w:rsidRPr="001C4751">
              <w:rPr>
                <w:i/>
              </w:rPr>
              <w:t>Suicide Awareness and Prevention in Maine Public Schools</w:t>
            </w:r>
            <w:r w:rsidRPr="003E226C">
              <w:t>, a Major Substantive Rule of the Department of Education</w:t>
            </w:r>
            <w:r w:rsidRPr="001C4751">
              <w:rPr>
                <w:color w:val="000000"/>
              </w:rPr>
              <w:t xml:space="preserve"> contingent upon the Department's making specified</w:t>
            </w:r>
            <w:r>
              <w:rPr>
                <w:color w:val="000000"/>
              </w:rPr>
              <w:t xml:space="preserve"> changes to the proposed rules. </w:t>
            </w:r>
          </w:p>
          <w:p w14:paraId="259EEBFF" w14:textId="123A5368" w:rsidR="00114F14" w:rsidRDefault="00114F14" w:rsidP="00E47C42">
            <w:pPr>
              <w:pStyle w:val="ListBullet"/>
              <w:numPr>
                <w:ilvl w:val="0"/>
                <w:numId w:val="6"/>
              </w:numPr>
              <w:ind w:left="426" w:hanging="180"/>
            </w:pPr>
            <w:r>
              <w:t>The rule must be amended in Section IV by:</w:t>
            </w:r>
          </w:p>
          <w:p w14:paraId="629E7C78" w14:textId="5EC11660" w:rsidR="00114F14" w:rsidRDefault="00114F14" w:rsidP="00E47C42">
            <w:pPr>
              <w:pStyle w:val="ListParagraph"/>
              <w:numPr>
                <w:ilvl w:val="0"/>
                <w:numId w:val="7"/>
              </w:numPr>
              <w:ind w:left="763"/>
              <w:rPr>
                <w:color w:val="000000"/>
              </w:rPr>
            </w:pPr>
            <w:r>
              <w:rPr>
                <w:color w:val="000000"/>
              </w:rPr>
              <w:t>Specifying that protocols must be based on best practices established &amp; maintained by the National Alliance on Mental Illness or a similar organization authorized by the Department of Health &amp; Human Services through its suicide prevention program.</w:t>
            </w:r>
          </w:p>
          <w:p w14:paraId="30845C95" w14:textId="006B3D00" w:rsidR="00114F14" w:rsidRDefault="00114F14" w:rsidP="00E47C42">
            <w:pPr>
              <w:pStyle w:val="ListParagraph"/>
              <w:numPr>
                <w:ilvl w:val="0"/>
                <w:numId w:val="7"/>
              </w:numPr>
              <w:ind w:left="763"/>
              <w:rPr>
                <w:color w:val="000000"/>
              </w:rPr>
            </w:pPr>
            <w:r>
              <w:rPr>
                <w:color w:val="000000"/>
              </w:rPr>
              <w:t>Providing that protocol development resources must provide templates, models and examples of forms, protocols and flow charts that may be adapted as needed by SAUs.</w:t>
            </w:r>
          </w:p>
          <w:p w14:paraId="2D0FD37C" w14:textId="416ECE72" w:rsidR="00114F14" w:rsidRDefault="00114F14" w:rsidP="00E47C42">
            <w:pPr>
              <w:pStyle w:val="ListParagraph"/>
              <w:numPr>
                <w:ilvl w:val="0"/>
                <w:numId w:val="7"/>
              </w:numPr>
              <w:ind w:left="763"/>
              <w:rPr>
                <w:color w:val="000000"/>
              </w:rPr>
            </w:pPr>
            <w:r>
              <w:rPr>
                <w:color w:val="000000"/>
              </w:rPr>
              <w:t>Requiring that SAUs must certify to DOE that the required protocols are in place.</w:t>
            </w:r>
          </w:p>
          <w:p w14:paraId="0CF63F09" w14:textId="75A6A3AB" w:rsidR="00114F14" w:rsidRPr="001C4751" w:rsidRDefault="00114F14" w:rsidP="00E47C42">
            <w:pPr>
              <w:pStyle w:val="ListParagraph"/>
              <w:numPr>
                <w:ilvl w:val="0"/>
                <w:numId w:val="7"/>
              </w:numPr>
              <w:ind w:left="763"/>
            </w:pPr>
            <w:r>
              <w:rPr>
                <w:color w:val="000000"/>
              </w:rPr>
              <w:t>Eliminating the provision that protocol guidance is available through the Maine Suicide Prevention Program.</w:t>
            </w:r>
          </w:p>
        </w:tc>
        <w:tc>
          <w:tcPr>
            <w:tcW w:w="2250" w:type="dxa"/>
            <w:shd w:val="clear" w:color="auto" w:fill="auto"/>
          </w:tcPr>
          <w:p w14:paraId="3BFA5C0B" w14:textId="77777777" w:rsidR="00114F14" w:rsidRDefault="00114F14" w:rsidP="00795A99">
            <w:pPr>
              <w:rPr>
                <w:sz w:val="22"/>
                <w:szCs w:val="22"/>
              </w:rPr>
            </w:pPr>
            <w:r>
              <w:rPr>
                <w:sz w:val="22"/>
                <w:szCs w:val="22"/>
              </w:rPr>
              <w:t>April 22, 2019</w:t>
            </w:r>
          </w:p>
          <w:p w14:paraId="56455115" w14:textId="77777777" w:rsidR="00114F14" w:rsidRDefault="00114F14" w:rsidP="00795A99">
            <w:pPr>
              <w:rPr>
                <w:sz w:val="22"/>
                <w:szCs w:val="22"/>
              </w:rPr>
            </w:pPr>
          </w:p>
          <w:p w14:paraId="0E7D5C09" w14:textId="370A7447" w:rsidR="00114F14" w:rsidRPr="00433A3D" w:rsidRDefault="00114F14" w:rsidP="00795A99">
            <w:pPr>
              <w:rPr>
                <w:sz w:val="22"/>
                <w:szCs w:val="22"/>
              </w:rPr>
            </w:pPr>
            <w:r>
              <w:rPr>
                <w:sz w:val="22"/>
                <w:szCs w:val="22"/>
              </w:rPr>
              <w:t>Finally adopted Rule Chapter 38 on July 5, 2019.</w:t>
            </w:r>
          </w:p>
        </w:tc>
      </w:tr>
      <w:tr w:rsidR="00114F14" w:rsidRPr="008D72F0" w14:paraId="1C7AE7F2" w14:textId="53829FD6" w:rsidTr="00114F14">
        <w:trPr>
          <w:trHeight w:val="737"/>
        </w:trPr>
        <w:tc>
          <w:tcPr>
            <w:tcW w:w="3080" w:type="dxa"/>
            <w:shd w:val="clear" w:color="auto" w:fill="auto"/>
          </w:tcPr>
          <w:p w14:paraId="0942F6FE" w14:textId="77777777" w:rsidR="00114F14" w:rsidRDefault="00114F14" w:rsidP="00E16DF1">
            <w:pPr>
              <w:rPr>
                <w:b/>
              </w:rPr>
            </w:pPr>
            <w:r>
              <w:rPr>
                <w:b/>
              </w:rPr>
              <w:t>LD 98, Resolve 2019, Chapter 8</w:t>
            </w:r>
          </w:p>
          <w:p w14:paraId="355C1363" w14:textId="54631F80" w:rsidR="00114F14" w:rsidRPr="006A036C" w:rsidRDefault="00114F14" w:rsidP="00E16DF1">
            <w:pPr>
              <w:rPr>
                <w:i/>
              </w:rPr>
            </w:pPr>
            <w:r w:rsidRPr="006A036C">
              <w:rPr>
                <w:i/>
              </w:rPr>
              <w:t>Resolve, Regarding Legislative Review of Portions of Chapter 122: Grant Application and Award Procedure: Fund for the Efficient Delivery of Educational Services, a Major Substantive Rule of the Department of Education (EMERGENCY)</w:t>
            </w:r>
          </w:p>
        </w:tc>
        <w:tc>
          <w:tcPr>
            <w:tcW w:w="7265" w:type="dxa"/>
            <w:shd w:val="clear" w:color="auto" w:fill="auto"/>
          </w:tcPr>
          <w:p w14:paraId="23719C91" w14:textId="27589397" w:rsidR="00114F14" w:rsidRDefault="00114F14" w:rsidP="00E47C42">
            <w:pPr>
              <w:pStyle w:val="ListParagraph"/>
              <w:numPr>
                <w:ilvl w:val="0"/>
                <w:numId w:val="6"/>
              </w:numPr>
              <w:ind w:left="426" w:hanging="180"/>
              <w:rPr>
                <w:color w:val="000000"/>
              </w:rPr>
            </w:pPr>
            <w:r w:rsidRPr="001C4751">
              <w:rPr>
                <w:color w:val="000000"/>
              </w:rPr>
              <w:t xml:space="preserve">Authorizes the Department of Education to proceed to final adoption of a provisionally adopted </w:t>
            </w:r>
            <w:r>
              <w:rPr>
                <w:color w:val="000000"/>
              </w:rPr>
              <w:t>amended Rule Chapter 122</w:t>
            </w:r>
            <w:r w:rsidRPr="001C4751">
              <w:rPr>
                <w:color w:val="000000"/>
              </w:rPr>
              <w:t xml:space="preserve">:  </w:t>
            </w:r>
            <w:r w:rsidRPr="006A036C">
              <w:rPr>
                <w:i/>
              </w:rPr>
              <w:t>Grant Application and Award Procedure: Fund for the Efficient Delivery of Educational Services</w:t>
            </w:r>
            <w:r w:rsidRPr="006A036C">
              <w:t>, a Major Substantive Rule of the Department of Education</w:t>
            </w:r>
            <w:r w:rsidRPr="001C4751">
              <w:rPr>
                <w:color w:val="000000"/>
              </w:rPr>
              <w:t xml:space="preserve"> contingent upon the Department's making specified</w:t>
            </w:r>
            <w:r>
              <w:rPr>
                <w:color w:val="000000"/>
              </w:rPr>
              <w:t xml:space="preserve"> changes to the proposed rules. </w:t>
            </w:r>
          </w:p>
          <w:p w14:paraId="1A2AF385" w14:textId="77777777" w:rsidR="00114F14" w:rsidRDefault="00114F14" w:rsidP="004C4649">
            <w:pPr>
              <w:pStyle w:val="ListBullet"/>
            </w:pPr>
            <w:r w:rsidRPr="004C4649">
              <w:t xml:space="preserve">The rule must be amended in Section 5 by amending the scoring of </w:t>
            </w:r>
            <w:r>
              <w:t>the:</w:t>
            </w:r>
          </w:p>
          <w:p w14:paraId="6A46527B" w14:textId="54C0D0C4" w:rsidR="00114F14" w:rsidRDefault="00114F14" w:rsidP="00E47C42">
            <w:pPr>
              <w:pStyle w:val="ListBullet"/>
              <w:numPr>
                <w:ilvl w:val="0"/>
                <w:numId w:val="11"/>
              </w:numPr>
              <w:ind w:left="834"/>
            </w:pPr>
            <w:r>
              <w:t>A</w:t>
            </w:r>
            <w:r w:rsidRPr="004C4649">
              <w:t xml:space="preserve">pplicant’s capacity (20%); </w:t>
            </w:r>
            <w:r>
              <w:t xml:space="preserve"> </w:t>
            </w:r>
          </w:p>
          <w:p w14:paraId="7DF960B2" w14:textId="15B9CF63" w:rsidR="00114F14" w:rsidRDefault="00114F14" w:rsidP="00E47C42">
            <w:pPr>
              <w:pStyle w:val="ListBullet"/>
              <w:numPr>
                <w:ilvl w:val="0"/>
                <w:numId w:val="11"/>
              </w:numPr>
              <w:ind w:left="786"/>
            </w:pPr>
            <w:r>
              <w:t>Programmatic criteria (50%);</w:t>
            </w:r>
          </w:p>
          <w:p w14:paraId="275B9FC3" w14:textId="18673A81" w:rsidR="00114F14" w:rsidRDefault="00114F14" w:rsidP="00E47C42">
            <w:pPr>
              <w:pStyle w:val="ListBullet"/>
              <w:numPr>
                <w:ilvl w:val="0"/>
                <w:numId w:val="11"/>
              </w:numPr>
              <w:ind w:left="786"/>
            </w:pPr>
            <w:r>
              <w:t>Budget and budget criteria (25%); and</w:t>
            </w:r>
          </w:p>
          <w:p w14:paraId="4B3C2A26" w14:textId="0184F7CA" w:rsidR="00114F14" w:rsidRDefault="00114F14" w:rsidP="00E47C42">
            <w:pPr>
              <w:pStyle w:val="ListBullet"/>
              <w:numPr>
                <w:ilvl w:val="0"/>
                <w:numId w:val="11"/>
              </w:numPr>
              <w:ind w:left="786"/>
            </w:pPr>
            <w:r>
              <w:t>Priority area (5%).</w:t>
            </w:r>
          </w:p>
          <w:p w14:paraId="76CC1206" w14:textId="34C7997F" w:rsidR="00114F14" w:rsidRDefault="00114F14" w:rsidP="004C4649">
            <w:pPr>
              <w:pStyle w:val="ListBullet"/>
            </w:pPr>
            <w:r>
              <w:t>The rule must be amended in Section 6 by:</w:t>
            </w:r>
          </w:p>
          <w:p w14:paraId="68586571" w14:textId="3F5548C8" w:rsidR="00114F14" w:rsidRDefault="00114F14" w:rsidP="00E47C42">
            <w:pPr>
              <w:pStyle w:val="ListBullet"/>
              <w:numPr>
                <w:ilvl w:val="0"/>
                <w:numId w:val="12"/>
              </w:numPr>
              <w:ind w:left="834"/>
            </w:pPr>
            <w:r>
              <w:t>Providing that a grant applicant or partner who receives an award in a given fiscal year may not be eligible for another grant award from the Fund until one fiscal year after the end of the program, function or service funded by the original grant and any subsequent application from that same applicant or partner must be for a new program, function or service that was not funded by the previous award.</w:t>
            </w:r>
          </w:p>
          <w:p w14:paraId="28607D08" w14:textId="1E00D610" w:rsidR="00114F14" w:rsidRPr="00510BFA" w:rsidRDefault="00114F14" w:rsidP="00E47C42">
            <w:pPr>
              <w:pStyle w:val="ListBullet"/>
              <w:numPr>
                <w:ilvl w:val="0"/>
                <w:numId w:val="12"/>
              </w:numPr>
              <w:ind w:left="786"/>
            </w:pPr>
            <w:r>
              <w:t>Provides that the replication of a project of similar scope or service previously funded by an award from the Fund is permissible by a new applicant and partners.</w:t>
            </w:r>
          </w:p>
        </w:tc>
        <w:tc>
          <w:tcPr>
            <w:tcW w:w="2250" w:type="dxa"/>
            <w:shd w:val="clear" w:color="auto" w:fill="auto"/>
          </w:tcPr>
          <w:p w14:paraId="5D374A32" w14:textId="03E47F67" w:rsidR="00114F14" w:rsidRDefault="00114F14" w:rsidP="00E16DF1">
            <w:pPr>
              <w:rPr>
                <w:sz w:val="22"/>
                <w:szCs w:val="22"/>
              </w:rPr>
            </w:pPr>
            <w:r>
              <w:rPr>
                <w:sz w:val="22"/>
                <w:szCs w:val="22"/>
              </w:rPr>
              <w:t>March 25, 2019</w:t>
            </w:r>
          </w:p>
          <w:p w14:paraId="2EA30900" w14:textId="77777777" w:rsidR="00114F14" w:rsidRDefault="00114F14" w:rsidP="00E16DF1">
            <w:pPr>
              <w:rPr>
                <w:sz w:val="22"/>
                <w:szCs w:val="22"/>
              </w:rPr>
            </w:pPr>
          </w:p>
          <w:p w14:paraId="0A72A73F" w14:textId="77777777" w:rsidR="00114F14" w:rsidRDefault="00114F14" w:rsidP="00E16DF1">
            <w:pPr>
              <w:rPr>
                <w:sz w:val="22"/>
                <w:szCs w:val="22"/>
              </w:rPr>
            </w:pPr>
          </w:p>
          <w:p w14:paraId="2D387B2F" w14:textId="77777777" w:rsidR="00114F14" w:rsidRDefault="00114F14" w:rsidP="00E16DF1">
            <w:pPr>
              <w:rPr>
                <w:sz w:val="22"/>
                <w:szCs w:val="22"/>
              </w:rPr>
            </w:pPr>
          </w:p>
          <w:p w14:paraId="18A95B00" w14:textId="36DB3149" w:rsidR="00114F14" w:rsidRPr="00433A3D" w:rsidRDefault="00114F14" w:rsidP="00E16DF1">
            <w:pPr>
              <w:rPr>
                <w:sz w:val="22"/>
                <w:szCs w:val="22"/>
              </w:rPr>
            </w:pPr>
            <w:r>
              <w:rPr>
                <w:sz w:val="22"/>
                <w:szCs w:val="22"/>
              </w:rPr>
              <w:t>Finally adopted Rule Chapter 122 on May 12, 2019</w:t>
            </w:r>
          </w:p>
        </w:tc>
      </w:tr>
      <w:tr w:rsidR="00114F14" w:rsidRPr="008D72F0" w14:paraId="3C059C6B" w14:textId="47EF144D" w:rsidTr="00114F14">
        <w:trPr>
          <w:trHeight w:val="737"/>
        </w:trPr>
        <w:tc>
          <w:tcPr>
            <w:tcW w:w="3080" w:type="dxa"/>
            <w:shd w:val="clear" w:color="auto" w:fill="auto"/>
          </w:tcPr>
          <w:p w14:paraId="554DFDFB" w14:textId="77777777" w:rsidR="00114F14" w:rsidRPr="00000769" w:rsidRDefault="00114F14" w:rsidP="00E16DF1">
            <w:pPr>
              <w:rPr>
                <w:b/>
              </w:rPr>
            </w:pPr>
            <w:r w:rsidRPr="00000769">
              <w:rPr>
                <w:b/>
              </w:rPr>
              <w:t>LD 103, Public Law 2019, Chapter 157</w:t>
            </w:r>
          </w:p>
          <w:p w14:paraId="34ECED3B" w14:textId="49A76825" w:rsidR="00114F14" w:rsidRPr="00BE21E2" w:rsidRDefault="00114F14" w:rsidP="00E16DF1">
            <w:pPr>
              <w:rPr>
                <w:i/>
              </w:rPr>
            </w:pPr>
            <w:r w:rsidRPr="00BE21E2">
              <w:rPr>
                <w:i/>
              </w:rPr>
              <w:t xml:space="preserve">An Act </w:t>
            </w:r>
            <w:proofErr w:type="gramStart"/>
            <w:r w:rsidRPr="00BE21E2">
              <w:rPr>
                <w:i/>
              </w:rPr>
              <w:t>To</w:t>
            </w:r>
            <w:proofErr w:type="gramEnd"/>
            <w:r w:rsidRPr="00BE21E2">
              <w:rPr>
                <w:i/>
              </w:rPr>
              <w:t xml:space="preserve"> Ensure the Integrity of For-profit Colleges and Universities</w:t>
            </w:r>
          </w:p>
        </w:tc>
        <w:tc>
          <w:tcPr>
            <w:tcW w:w="7265" w:type="dxa"/>
            <w:shd w:val="clear" w:color="auto" w:fill="auto"/>
          </w:tcPr>
          <w:p w14:paraId="1BA683B7" w14:textId="77777777" w:rsidR="00114F14" w:rsidRDefault="00114F14" w:rsidP="004C4649">
            <w:pPr>
              <w:pStyle w:val="ListBullet"/>
            </w:pPr>
            <w:r>
              <w:t>Defines “for-profit college or university” to mean a postsecondary institution that is regulated by the Department, is eligible to participate in federal student aid programs and is operated by a private, for-profit business.</w:t>
            </w:r>
          </w:p>
          <w:p w14:paraId="5F9A242C" w14:textId="0B673E35" w:rsidR="00114F14" w:rsidRDefault="00114F14" w:rsidP="004C4649">
            <w:pPr>
              <w:pStyle w:val="ListBullet"/>
            </w:pPr>
            <w:r>
              <w:t>Directs for-profit colleges and universities to report annually by July 1 to the Department information on the:</w:t>
            </w:r>
          </w:p>
          <w:p w14:paraId="6FAB63C7" w14:textId="23649709" w:rsidR="00114F14" w:rsidRDefault="00114F14" w:rsidP="00E47C42">
            <w:pPr>
              <w:pStyle w:val="ListBullet"/>
              <w:numPr>
                <w:ilvl w:val="0"/>
                <w:numId w:val="13"/>
              </w:numPr>
              <w:ind w:left="786" w:hanging="270"/>
            </w:pPr>
            <w:r>
              <w:t>Amount of funds spent on educational instruction, advertising and executive salaries;</w:t>
            </w:r>
          </w:p>
          <w:p w14:paraId="58FB4F28" w14:textId="16E76672" w:rsidR="00114F14" w:rsidRDefault="00114F14" w:rsidP="00E47C42">
            <w:pPr>
              <w:pStyle w:val="ListBullet"/>
              <w:numPr>
                <w:ilvl w:val="0"/>
                <w:numId w:val="14"/>
              </w:numPr>
              <w:ind w:left="786" w:hanging="270"/>
            </w:pPr>
            <w:r>
              <w:t>Percentage of previous year graduates who have employment in their field of study and percentage of those employed.</w:t>
            </w:r>
          </w:p>
          <w:p w14:paraId="4651EAAC" w14:textId="1E50F03B" w:rsidR="00114F14" w:rsidRDefault="00114F14" w:rsidP="00E47C42">
            <w:pPr>
              <w:pStyle w:val="ListBullet"/>
              <w:numPr>
                <w:ilvl w:val="0"/>
                <w:numId w:val="14"/>
              </w:numPr>
              <w:ind w:left="786" w:hanging="270"/>
            </w:pPr>
            <w:r>
              <w:t>Percentage of graduates in previous three calendar years who received federal student loans; percentage of those who have defaulted; percentage of those who loan balances declined.</w:t>
            </w:r>
          </w:p>
          <w:p w14:paraId="221CB837" w14:textId="281A6C88" w:rsidR="00114F14" w:rsidRDefault="00114F14" w:rsidP="00E47C42">
            <w:pPr>
              <w:pStyle w:val="ListBullet"/>
              <w:numPr>
                <w:ilvl w:val="0"/>
                <w:numId w:val="14"/>
              </w:numPr>
              <w:ind w:left="786" w:hanging="270"/>
            </w:pPr>
            <w:r>
              <w:t>Design of student support services including student complaints.</w:t>
            </w:r>
          </w:p>
          <w:p w14:paraId="642FCC52" w14:textId="0C68A61C" w:rsidR="00114F14" w:rsidRDefault="00114F14" w:rsidP="00B51559">
            <w:pPr>
              <w:pStyle w:val="ListBullet"/>
            </w:pPr>
            <w:r>
              <w:t>Directs the Commissioner to adopt rules to establish evaluation metrics that must be met by for-profit colleges and universities including spending priorities, accreditations, and student support services to determine adequate educational standards.</w:t>
            </w:r>
          </w:p>
          <w:p w14:paraId="02D183BA" w14:textId="50059136" w:rsidR="00114F14" w:rsidRPr="00510BFA" w:rsidRDefault="00114F14" w:rsidP="00B51559">
            <w:pPr>
              <w:pStyle w:val="ListBullet"/>
            </w:pPr>
            <w:r>
              <w:t xml:space="preserve">Authorizes the Commissioner, upon completion of the evaluation, and finding the for-profit college or university does not meet adequate educational standards, to terminate the degree-granting authority of a for-profit college or university. </w:t>
            </w:r>
          </w:p>
        </w:tc>
        <w:tc>
          <w:tcPr>
            <w:tcW w:w="2250" w:type="dxa"/>
            <w:shd w:val="clear" w:color="auto" w:fill="auto"/>
          </w:tcPr>
          <w:p w14:paraId="06D98570" w14:textId="77777777" w:rsidR="00114F14" w:rsidRDefault="00114F14" w:rsidP="00E16DF1">
            <w:pPr>
              <w:rPr>
                <w:sz w:val="22"/>
                <w:szCs w:val="22"/>
              </w:rPr>
            </w:pPr>
            <w:r>
              <w:rPr>
                <w:sz w:val="22"/>
                <w:szCs w:val="22"/>
              </w:rPr>
              <w:t>September 19, 2019</w:t>
            </w:r>
          </w:p>
          <w:p w14:paraId="0F759FD7" w14:textId="77777777" w:rsidR="00114F14" w:rsidRDefault="00114F14" w:rsidP="00E16DF1">
            <w:pPr>
              <w:rPr>
                <w:sz w:val="22"/>
                <w:szCs w:val="22"/>
              </w:rPr>
            </w:pPr>
          </w:p>
          <w:p w14:paraId="30832D42" w14:textId="77777777" w:rsidR="00114F14" w:rsidRDefault="00114F14" w:rsidP="00E16DF1">
            <w:pPr>
              <w:rPr>
                <w:sz w:val="22"/>
                <w:szCs w:val="22"/>
              </w:rPr>
            </w:pPr>
          </w:p>
          <w:p w14:paraId="67BD860A" w14:textId="77777777" w:rsidR="00114F14" w:rsidRDefault="00114F14" w:rsidP="00E16DF1">
            <w:pPr>
              <w:rPr>
                <w:sz w:val="22"/>
                <w:szCs w:val="22"/>
              </w:rPr>
            </w:pPr>
          </w:p>
          <w:p w14:paraId="2DB11932" w14:textId="72541A9B" w:rsidR="00114F14" w:rsidRPr="00433A3D" w:rsidRDefault="00114F14" w:rsidP="00E16DF1">
            <w:pPr>
              <w:rPr>
                <w:sz w:val="22"/>
                <w:szCs w:val="22"/>
              </w:rPr>
            </w:pPr>
            <w:r>
              <w:rPr>
                <w:sz w:val="22"/>
                <w:szCs w:val="22"/>
              </w:rPr>
              <w:t>Department to adopt rules pursuant to this LD.</w:t>
            </w:r>
          </w:p>
        </w:tc>
      </w:tr>
      <w:tr w:rsidR="00114F14" w:rsidRPr="008D72F0" w14:paraId="0EB03515" w14:textId="78D03845" w:rsidTr="00114F14">
        <w:trPr>
          <w:trHeight w:val="737"/>
        </w:trPr>
        <w:tc>
          <w:tcPr>
            <w:tcW w:w="3080" w:type="dxa"/>
            <w:shd w:val="clear" w:color="auto" w:fill="auto"/>
          </w:tcPr>
          <w:p w14:paraId="46F02DA3" w14:textId="77777777" w:rsidR="00114F14" w:rsidRPr="00000769" w:rsidRDefault="00114F14" w:rsidP="00E16DF1">
            <w:pPr>
              <w:rPr>
                <w:b/>
              </w:rPr>
            </w:pPr>
            <w:r w:rsidRPr="00000769">
              <w:rPr>
                <w:b/>
              </w:rPr>
              <w:t>LD 139, Public Law 2019, Chapter 66</w:t>
            </w:r>
          </w:p>
          <w:p w14:paraId="7C02A6EA" w14:textId="77777777" w:rsidR="00114F14" w:rsidRPr="00000769" w:rsidRDefault="00114F14" w:rsidP="00000769">
            <w:pPr>
              <w:rPr>
                <w:i/>
              </w:rPr>
            </w:pPr>
            <w:r w:rsidRPr="00000769">
              <w:rPr>
                <w:i/>
              </w:rPr>
              <w:t xml:space="preserve">An Act </w:t>
            </w:r>
            <w:proofErr w:type="gramStart"/>
            <w:r w:rsidRPr="00000769">
              <w:rPr>
                <w:i/>
              </w:rPr>
              <w:t>To</w:t>
            </w:r>
            <w:proofErr w:type="gramEnd"/>
            <w:r w:rsidRPr="00000769">
              <w:rPr>
                <w:i/>
              </w:rPr>
              <w:t xml:space="preserve"> Address the Unmet Workforce Needs of Employers and To Improve the Economic Future of Workers</w:t>
            </w:r>
          </w:p>
          <w:p w14:paraId="63955284" w14:textId="7AD48B47" w:rsidR="00114F14" w:rsidRPr="00000769" w:rsidRDefault="00114F14" w:rsidP="00E16DF1">
            <w:pPr>
              <w:rPr>
                <w:i/>
              </w:rPr>
            </w:pPr>
          </w:p>
        </w:tc>
        <w:tc>
          <w:tcPr>
            <w:tcW w:w="7265" w:type="dxa"/>
            <w:shd w:val="clear" w:color="auto" w:fill="auto"/>
          </w:tcPr>
          <w:p w14:paraId="0E71DB03" w14:textId="77777777" w:rsidR="00114F14" w:rsidRDefault="00114F14" w:rsidP="00E3232A">
            <w:pPr>
              <w:pStyle w:val="ListBullet"/>
            </w:pPr>
            <w:r>
              <w:t>Revises eligibility in the Competitive Skills Scholarship Program to include a person who has graduated from high school.</w:t>
            </w:r>
          </w:p>
          <w:p w14:paraId="5B6C6AF2" w14:textId="41505DCE" w:rsidR="00114F14" w:rsidRPr="00510BFA" w:rsidRDefault="00114F14" w:rsidP="00E3232A">
            <w:pPr>
              <w:pStyle w:val="ListBullet"/>
            </w:pPr>
            <w:r>
              <w:t xml:space="preserve">Removes the repeal date of January 1, 2020 so that the secondary student eligibility remains in the Competitive Skills Scholarship Program if the full-time student is enrolled in a career &amp; technical education program at a career &amp; technical education center or region. </w:t>
            </w:r>
          </w:p>
        </w:tc>
        <w:tc>
          <w:tcPr>
            <w:tcW w:w="2250" w:type="dxa"/>
            <w:shd w:val="clear" w:color="auto" w:fill="auto"/>
          </w:tcPr>
          <w:p w14:paraId="694FB867" w14:textId="7C91A785" w:rsidR="00114F14" w:rsidRPr="00433A3D" w:rsidRDefault="00114F14" w:rsidP="00E16DF1">
            <w:pPr>
              <w:rPr>
                <w:sz w:val="22"/>
                <w:szCs w:val="22"/>
              </w:rPr>
            </w:pPr>
            <w:r>
              <w:rPr>
                <w:sz w:val="22"/>
                <w:szCs w:val="22"/>
              </w:rPr>
              <w:t>September 19, 2019</w:t>
            </w:r>
          </w:p>
        </w:tc>
      </w:tr>
      <w:tr w:rsidR="00114F14" w:rsidRPr="008D72F0" w14:paraId="29B36610" w14:textId="77777777" w:rsidTr="00114F14">
        <w:trPr>
          <w:trHeight w:val="386"/>
        </w:trPr>
        <w:tc>
          <w:tcPr>
            <w:tcW w:w="3080" w:type="dxa"/>
            <w:shd w:val="clear" w:color="auto" w:fill="auto"/>
          </w:tcPr>
          <w:p w14:paraId="1064BAAC" w14:textId="77777777" w:rsidR="00114F14" w:rsidRPr="00A74017" w:rsidRDefault="00114F14" w:rsidP="00E16DF1">
            <w:pPr>
              <w:rPr>
                <w:b/>
              </w:rPr>
            </w:pPr>
            <w:r w:rsidRPr="00A74017">
              <w:rPr>
                <w:b/>
              </w:rPr>
              <w:t>LD 147, Public Law 2019, Chapter 52</w:t>
            </w:r>
          </w:p>
          <w:p w14:paraId="6F91859A" w14:textId="79CADFAF" w:rsidR="00114F14" w:rsidRPr="00A74017" w:rsidRDefault="00114F14" w:rsidP="00E16DF1">
            <w:pPr>
              <w:rPr>
                <w:i/>
              </w:rPr>
            </w:pPr>
            <w:r w:rsidRPr="00A74017">
              <w:rPr>
                <w:bCs/>
                <w:i/>
              </w:rPr>
              <w:t xml:space="preserve">An Act </w:t>
            </w:r>
            <w:proofErr w:type="gramStart"/>
            <w:r w:rsidRPr="00A74017">
              <w:rPr>
                <w:bCs/>
                <w:i/>
              </w:rPr>
              <w:t>To</w:t>
            </w:r>
            <w:proofErr w:type="gramEnd"/>
            <w:r w:rsidRPr="00A74017">
              <w:rPr>
                <w:bCs/>
                <w:i/>
              </w:rPr>
              <w:t xml:space="preserve"> Extend Internet Availability in Rural Maine (EMERGENCY)</w:t>
            </w:r>
          </w:p>
        </w:tc>
        <w:tc>
          <w:tcPr>
            <w:tcW w:w="7265" w:type="dxa"/>
            <w:shd w:val="clear" w:color="auto" w:fill="auto"/>
          </w:tcPr>
          <w:p w14:paraId="7BA99045" w14:textId="77777777" w:rsidR="00114F14" w:rsidRPr="00A74017" w:rsidRDefault="00114F14" w:rsidP="00AD070F">
            <w:pPr>
              <w:pStyle w:val="ListBullet"/>
            </w:pPr>
            <w:r w:rsidRPr="00A74017">
              <w:t>Specifies that the use of the fund for Internet access includes mobile Internet access through a portable wireless access point, or hotspot, that provides Internet access over a cellular network.</w:t>
            </w:r>
          </w:p>
          <w:p w14:paraId="3CBF47DA" w14:textId="6E9E8520" w:rsidR="00114F14" w:rsidRPr="00A74017" w:rsidRDefault="00114F14" w:rsidP="001F5A33">
            <w:pPr>
              <w:pStyle w:val="ListBullet"/>
            </w:pPr>
            <w:r w:rsidRPr="00A74017">
              <w:t xml:space="preserve">Provides, within existing resources, support for qualified libraries in rural areas of the State with greatest need, as determined in consultation with the State Librarian, the Commissioner of Education and the </w:t>
            </w:r>
            <w:proofErr w:type="spellStart"/>
            <w:r w:rsidRPr="00A74017">
              <w:t>ConnectME</w:t>
            </w:r>
            <w:proofErr w:type="spellEnd"/>
            <w:r w:rsidRPr="00A74017">
              <w:t xml:space="preserve"> Authority, to offer portable wireless access points, or hotspots, for mobile Internet access.</w:t>
            </w:r>
          </w:p>
        </w:tc>
        <w:tc>
          <w:tcPr>
            <w:tcW w:w="2250" w:type="dxa"/>
            <w:shd w:val="clear" w:color="auto" w:fill="auto"/>
          </w:tcPr>
          <w:p w14:paraId="1134470C" w14:textId="53D6833E" w:rsidR="00114F14" w:rsidRPr="00A74017" w:rsidRDefault="00114F14" w:rsidP="00E16DF1">
            <w:pPr>
              <w:rPr>
                <w:sz w:val="22"/>
                <w:szCs w:val="22"/>
              </w:rPr>
            </w:pPr>
            <w:r w:rsidRPr="00A74017">
              <w:rPr>
                <w:sz w:val="22"/>
                <w:szCs w:val="22"/>
              </w:rPr>
              <w:t>April 23, 2019</w:t>
            </w:r>
          </w:p>
        </w:tc>
      </w:tr>
      <w:tr w:rsidR="00114F14" w:rsidRPr="008D72F0" w14:paraId="4B7E72EB" w14:textId="42562998" w:rsidTr="00114F14">
        <w:trPr>
          <w:trHeight w:val="386"/>
        </w:trPr>
        <w:tc>
          <w:tcPr>
            <w:tcW w:w="3080" w:type="dxa"/>
            <w:shd w:val="clear" w:color="auto" w:fill="auto"/>
          </w:tcPr>
          <w:p w14:paraId="30966E49" w14:textId="77777777" w:rsidR="00114F14" w:rsidRDefault="00114F14" w:rsidP="00E16DF1">
            <w:pPr>
              <w:rPr>
                <w:b/>
              </w:rPr>
            </w:pPr>
            <w:r>
              <w:rPr>
                <w:b/>
              </w:rPr>
              <w:t>LD 150, Public Law 2019,</w:t>
            </w:r>
          </w:p>
          <w:p w14:paraId="0DB3649A" w14:textId="77777777" w:rsidR="00114F14" w:rsidRDefault="00114F14" w:rsidP="00E16DF1">
            <w:pPr>
              <w:rPr>
                <w:b/>
              </w:rPr>
            </w:pPr>
            <w:r>
              <w:rPr>
                <w:b/>
              </w:rPr>
              <w:t>Chapter 235</w:t>
            </w:r>
          </w:p>
          <w:p w14:paraId="770172C4" w14:textId="72E21231" w:rsidR="00114F14" w:rsidRPr="00000769" w:rsidRDefault="00114F14" w:rsidP="00E16DF1">
            <w:pPr>
              <w:rPr>
                <w:i/>
              </w:rPr>
            </w:pPr>
            <w:r w:rsidRPr="00000769">
              <w:rPr>
                <w:i/>
              </w:rPr>
              <w:t xml:space="preserve">An Act </w:t>
            </w:r>
            <w:proofErr w:type="gramStart"/>
            <w:r w:rsidRPr="00000769">
              <w:rPr>
                <w:i/>
              </w:rPr>
              <w:t>To</w:t>
            </w:r>
            <w:proofErr w:type="gramEnd"/>
            <w:r w:rsidRPr="00000769">
              <w:rPr>
                <w:i/>
              </w:rPr>
              <w:t xml:space="preserve"> Improve Attendance at Public Elementary Schools</w:t>
            </w:r>
          </w:p>
        </w:tc>
        <w:tc>
          <w:tcPr>
            <w:tcW w:w="7265" w:type="dxa"/>
            <w:shd w:val="clear" w:color="auto" w:fill="auto"/>
          </w:tcPr>
          <w:p w14:paraId="22EB533C" w14:textId="380B4B8E" w:rsidR="00114F14" w:rsidRPr="00A74017" w:rsidRDefault="00114F14" w:rsidP="00AD070F">
            <w:pPr>
              <w:pStyle w:val="ListBullet"/>
            </w:pPr>
            <w:r w:rsidRPr="00A74017">
              <w:t>Requires that a person 5 years of age or older and under 7 who is enrolled in and not withdrawn from a public day school must attend that school during the time it is in session.</w:t>
            </w:r>
          </w:p>
          <w:p w14:paraId="033E5000" w14:textId="77777777" w:rsidR="00114F14" w:rsidRPr="00A74017" w:rsidRDefault="00114F14" w:rsidP="005C7D70">
            <w:pPr>
              <w:pStyle w:val="ListBullet"/>
            </w:pPr>
            <w:r w:rsidRPr="00A74017">
              <w:t xml:space="preserve">Amends truancy laws to include as truant a student at least 6 years of age, enrolled in a public day school, and has not completed grade 6 and has the equivalent of 7 full days of unexcused absences or 5 consecutive days of unexcused absences during a school year. </w:t>
            </w:r>
          </w:p>
          <w:p w14:paraId="7A45A441" w14:textId="77777777" w:rsidR="00114F14" w:rsidRPr="00A74017" w:rsidRDefault="00114F14" w:rsidP="005C7D70">
            <w:pPr>
              <w:pStyle w:val="ListBullet"/>
            </w:pPr>
            <w:r w:rsidRPr="00A74017">
              <w:t>A person 5 years of age or older and under 7 is not required to meet the requirements for equivalent instruction (in a private school approved by the Department for attendance purposes, a private school recognized by the Department as providing equivalent instruction, a home instruction program that complies with program requirements or any other manner arranged for by the school board and approved by the Commissioner.</w:t>
            </w:r>
          </w:p>
          <w:p w14:paraId="53B66337" w14:textId="079B5DF6" w:rsidR="00114F14" w:rsidRPr="00A74017" w:rsidRDefault="00114F14" w:rsidP="00A94867">
            <w:pPr>
              <w:pStyle w:val="ListBullet"/>
              <w:autoSpaceDE w:val="0"/>
              <w:autoSpaceDN w:val="0"/>
              <w:adjustRightInd w:val="0"/>
            </w:pPr>
            <w:r w:rsidRPr="00A74017">
              <w:t xml:space="preserve">Compare LD 151, which was enacted as Public Law 2019, Chapter 508.    Public Law 2019, Chapter 508 amended Public Law 2019, Chapter 235 to avoid the enactment of conflicting </w:t>
            </w:r>
            <w:r w:rsidRPr="00A74017">
              <w:rPr>
                <w:rFonts w:ascii="Times-New-Roman" w:hAnsi="Times-New-Roman" w:cs="Times-New-Roman"/>
              </w:rPr>
              <w:t>statutory provisions by changing the age at which children must begin attending school from five years of age to six years of age.</w:t>
            </w:r>
          </w:p>
        </w:tc>
        <w:tc>
          <w:tcPr>
            <w:tcW w:w="2250" w:type="dxa"/>
            <w:shd w:val="clear" w:color="auto" w:fill="auto"/>
          </w:tcPr>
          <w:p w14:paraId="74A8476E" w14:textId="77777777" w:rsidR="00114F14" w:rsidRDefault="00114F14" w:rsidP="00E16DF1">
            <w:pPr>
              <w:rPr>
                <w:sz w:val="22"/>
                <w:szCs w:val="22"/>
              </w:rPr>
            </w:pPr>
            <w:r>
              <w:rPr>
                <w:sz w:val="22"/>
                <w:szCs w:val="22"/>
              </w:rPr>
              <w:t>September 19, 2019</w:t>
            </w:r>
          </w:p>
          <w:p w14:paraId="2346A494" w14:textId="77777777" w:rsidR="00114F14" w:rsidRDefault="00114F14" w:rsidP="00E16DF1">
            <w:pPr>
              <w:rPr>
                <w:sz w:val="22"/>
                <w:szCs w:val="22"/>
              </w:rPr>
            </w:pPr>
          </w:p>
          <w:p w14:paraId="39ACE733" w14:textId="77777777" w:rsidR="00114F14" w:rsidRDefault="00114F14" w:rsidP="00E16DF1">
            <w:pPr>
              <w:rPr>
                <w:sz w:val="22"/>
                <w:szCs w:val="22"/>
              </w:rPr>
            </w:pPr>
          </w:p>
          <w:p w14:paraId="17091F88" w14:textId="3031D5AF" w:rsidR="00114F14" w:rsidRPr="00433A3D" w:rsidRDefault="00114F14" w:rsidP="00E16DF1">
            <w:pPr>
              <w:rPr>
                <w:sz w:val="22"/>
                <w:szCs w:val="22"/>
              </w:rPr>
            </w:pPr>
          </w:p>
        </w:tc>
      </w:tr>
      <w:tr w:rsidR="00114F14" w:rsidRPr="008D72F0" w14:paraId="6A224DC2" w14:textId="77777777" w:rsidTr="00114F14">
        <w:trPr>
          <w:trHeight w:val="737"/>
        </w:trPr>
        <w:tc>
          <w:tcPr>
            <w:tcW w:w="3080" w:type="dxa"/>
            <w:shd w:val="clear" w:color="auto" w:fill="auto"/>
          </w:tcPr>
          <w:p w14:paraId="00065F1E" w14:textId="6751E744" w:rsidR="00114F14" w:rsidRDefault="00114F14" w:rsidP="00E16DF1">
            <w:pPr>
              <w:rPr>
                <w:b/>
              </w:rPr>
            </w:pPr>
            <w:r>
              <w:rPr>
                <w:b/>
              </w:rPr>
              <w:t>LD 151, Public Law 2019, Chapter 508</w:t>
            </w:r>
          </w:p>
          <w:p w14:paraId="101479D7" w14:textId="77777777" w:rsidR="00114F14" w:rsidRPr="00764C5C" w:rsidRDefault="00114F14" w:rsidP="00764C5C">
            <w:pPr>
              <w:rPr>
                <w:i/>
              </w:rPr>
            </w:pPr>
            <w:r w:rsidRPr="00764C5C">
              <w:rPr>
                <w:i/>
              </w:rPr>
              <w:t xml:space="preserve">An Act </w:t>
            </w:r>
            <w:proofErr w:type="gramStart"/>
            <w:r w:rsidRPr="00764C5C">
              <w:rPr>
                <w:i/>
              </w:rPr>
              <w:t>To</w:t>
            </w:r>
            <w:proofErr w:type="gramEnd"/>
            <w:r w:rsidRPr="00764C5C">
              <w:rPr>
                <w:i/>
              </w:rPr>
              <w:t xml:space="preserve"> Align State Law with Current Practice Regarding Required School Attendance</w:t>
            </w:r>
          </w:p>
          <w:p w14:paraId="08133806" w14:textId="242A2627" w:rsidR="00114F14" w:rsidRPr="00764C5C" w:rsidRDefault="00114F14" w:rsidP="00E16DF1">
            <w:pPr>
              <w:rPr>
                <w:i/>
              </w:rPr>
            </w:pPr>
          </w:p>
        </w:tc>
        <w:tc>
          <w:tcPr>
            <w:tcW w:w="7265" w:type="dxa"/>
            <w:shd w:val="clear" w:color="auto" w:fill="auto"/>
          </w:tcPr>
          <w:p w14:paraId="27CEB66B" w14:textId="6E705079" w:rsidR="00114F14" w:rsidRPr="00A74017" w:rsidRDefault="00114F14" w:rsidP="00AD070F">
            <w:pPr>
              <w:pStyle w:val="ListBullet"/>
            </w:pPr>
            <w:r w:rsidRPr="00A74017">
              <w:t>Amends the age of compulsory school attendance (or participation in formal education) from age 7 to age 6.</w:t>
            </w:r>
          </w:p>
          <w:p w14:paraId="55577358" w14:textId="77777777" w:rsidR="00114F14" w:rsidRPr="00A74017" w:rsidRDefault="00114F14" w:rsidP="00A94867">
            <w:pPr>
              <w:pStyle w:val="ListBullet"/>
            </w:pPr>
            <w:r w:rsidRPr="00A74017">
              <w:t>Public Law 2019, Chapter 508 changes the age at which children are required to begin attending school from seven years of age to six years of age. Public Law 2019, Chapter 508 also amended Public Law 2019, Chapter 235 (see LD 150) to avoid the enactment of conflicting statutory provisions by changing the age at which children must begin attending school from five years of age (in Public Law 2019, Chapter 235) to six years of age.</w:t>
            </w:r>
          </w:p>
          <w:p w14:paraId="6458E391" w14:textId="35EFA225" w:rsidR="00114F14" w:rsidRPr="00A74017" w:rsidRDefault="00114F14" w:rsidP="00DB1E7C">
            <w:pPr>
              <w:pStyle w:val="ListBullet"/>
            </w:pPr>
            <w:r w:rsidRPr="00A74017">
              <w:t xml:space="preserve">Requires the Commissioner to amend Rule Chapter 125:  </w:t>
            </w:r>
            <w:r w:rsidRPr="00A74017">
              <w:rPr>
                <w:i/>
              </w:rPr>
              <w:t>Basic Approval Standards: Public Schools and School Administrative Units</w:t>
            </w:r>
            <w:r w:rsidRPr="00A74017">
              <w:t xml:space="preserve"> to address developmentally appropriate educational practices for kindergarten to grade 2 to include classroom instruction with hands-on experiences and integration of learning experiences</w:t>
            </w:r>
          </w:p>
        </w:tc>
        <w:tc>
          <w:tcPr>
            <w:tcW w:w="2250" w:type="dxa"/>
            <w:shd w:val="clear" w:color="auto" w:fill="auto"/>
          </w:tcPr>
          <w:p w14:paraId="37189BCA" w14:textId="77777777" w:rsidR="00114F14" w:rsidRPr="00A74017" w:rsidRDefault="00114F14" w:rsidP="00E16DF1">
            <w:r w:rsidRPr="00A74017">
              <w:t>September 19, 2019</w:t>
            </w:r>
          </w:p>
          <w:p w14:paraId="7116FC83" w14:textId="77777777" w:rsidR="00114F14" w:rsidRPr="00A74017" w:rsidRDefault="00114F14" w:rsidP="00E16DF1"/>
          <w:p w14:paraId="18BE2107" w14:textId="77777777" w:rsidR="00114F14" w:rsidRPr="00A74017" w:rsidRDefault="00114F14" w:rsidP="00E16DF1"/>
          <w:p w14:paraId="411F2404" w14:textId="55ADCCA7" w:rsidR="00114F14" w:rsidRPr="00A74017" w:rsidRDefault="00114F14" w:rsidP="00E16DF1">
            <w:r w:rsidRPr="00A74017">
              <w:t>Department to provisionally adopt Rule Chapter 125 by January 10, 2020</w:t>
            </w:r>
          </w:p>
        </w:tc>
      </w:tr>
      <w:tr w:rsidR="00114F14" w:rsidRPr="008D72F0" w14:paraId="539CE462" w14:textId="0AF41210" w:rsidTr="00114F14">
        <w:trPr>
          <w:trHeight w:val="737"/>
        </w:trPr>
        <w:tc>
          <w:tcPr>
            <w:tcW w:w="3080" w:type="dxa"/>
            <w:shd w:val="clear" w:color="auto" w:fill="auto"/>
          </w:tcPr>
          <w:p w14:paraId="425BC3E9" w14:textId="77777777" w:rsidR="00114F14" w:rsidRDefault="00114F14" w:rsidP="00E16DF1">
            <w:pPr>
              <w:rPr>
                <w:b/>
              </w:rPr>
            </w:pPr>
            <w:r>
              <w:rPr>
                <w:b/>
              </w:rPr>
              <w:t>LD 152, Public Law 2019, Chapter 61</w:t>
            </w:r>
          </w:p>
          <w:p w14:paraId="66F457B0" w14:textId="77777777" w:rsidR="00114F14" w:rsidRPr="003D4A7B" w:rsidRDefault="00114F14" w:rsidP="003D4A7B">
            <w:pPr>
              <w:rPr>
                <w:i/>
              </w:rPr>
            </w:pPr>
            <w:r w:rsidRPr="003D4A7B">
              <w:rPr>
                <w:i/>
              </w:rPr>
              <w:t xml:space="preserve">An Act </w:t>
            </w:r>
            <w:proofErr w:type="gramStart"/>
            <w:r w:rsidRPr="003D4A7B">
              <w:rPr>
                <w:i/>
              </w:rPr>
              <w:t>To</w:t>
            </w:r>
            <w:proofErr w:type="gramEnd"/>
            <w:r w:rsidRPr="003D4A7B">
              <w:rPr>
                <w:i/>
              </w:rPr>
              <w:t xml:space="preserve"> Prohibit the Possession and Use of Electronic Smoking Devices on School Grounds</w:t>
            </w:r>
          </w:p>
          <w:p w14:paraId="7E6E6131" w14:textId="36A3BB78" w:rsidR="00114F14" w:rsidRPr="003D4A7B" w:rsidRDefault="00114F14" w:rsidP="00E16DF1">
            <w:pPr>
              <w:rPr>
                <w:i/>
              </w:rPr>
            </w:pPr>
          </w:p>
        </w:tc>
        <w:tc>
          <w:tcPr>
            <w:tcW w:w="7265" w:type="dxa"/>
            <w:shd w:val="clear" w:color="auto" w:fill="auto"/>
          </w:tcPr>
          <w:p w14:paraId="52AC743A" w14:textId="2E6711F0" w:rsidR="00114F14" w:rsidRDefault="00114F14" w:rsidP="007E5BD4">
            <w:pPr>
              <w:pStyle w:val="ListBullet"/>
            </w:pPr>
            <w:r>
              <w:t xml:space="preserve">Revises the definition of “tobacco product” to include smoking or having in one’s </w:t>
            </w:r>
            <w:proofErr w:type="gramStart"/>
            <w:r>
              <w:t>possession, and</w:t>
            </w:r>
            <w:proofErr w:type="gramEnd"/>
            <w:r>
              <w:t xml:space="preserve"> references the list of “tobacco products” in the Health and Welfare statutes which includes electronic smoking devices.           </w:t>
            </w:r>
          </w:p>
          <w:p w14:paraId="486DF8C7" w14:textId="74FE165A" w:rsidR="00114F14" w:rsidRDefault="00114F14" w:rsidP="007E5BD4">
            <w:pPr>
              <w:pStyle w:val="ListBullet"/>
            </w:pPr>
            <w:r>
              <w:t>Revises the definition of “tobacco use” to include both smoking or carrying or having in one’s possession a tobacco product.</w:t>
            </w:r>
          </w:p>
          <w:p w14:paraId="1F568CB1" w14:textId="1067B100" w:rsidR="00114F14" w:rsidRPr="00510BFA" w:rsidRDefault="00114F14" w:rsidP="007E5BD4">
            <w:pPr>
              <w:pStyle w:val="ListBullet"/>
            </w:pPr>
            <w:r>
              <w:t>Prohibits a person from engaging in tobacco use in the buildings or on grounds of any elementary school, secondary school, school bus or at any school-sponsored event at any time.</w:t>
            </w:r>
          </w:p>
        </w:tc>
        <w:tc>
          <w:tcPr>
            <w:tcW w:w="2250" w:type="dxa"/>
            <w:shd w:val="clear" w:color="auto" w:fill="auto"/>
          </w:tcPr>
          <w:p w14:paraId="3C29ACCB" w14:textId="3A95E11C" w:rsidR="00114F14" w:rsidRPr="00433A3D" w:rsidRDefault="00114F14" w:rsidP="00E16DF1">
            <w:pPr>
              <w:rPr>
                <w:sz w:val="22"/>
                <w:szCs w:val="22"/>
              </w:rPr>
            </w:pPr>
            <w:r>
              <w:rPr>
                <w:sz w:val="22"/>
                <w:szCs w:val="22"/>
              </w:rPr>
              <w:t>September 19, 2019</w:t>
            </w:r>
          </w:p>
        </w:tc>
      </w:tr>
      <w:tr w:rsidR="00114F14" w:rsidRPr="008D72F0" w14:paraId="18E20C57" w14:textId="6705163E" w:rsidTr="00114F14">
        <w:trPr>
          <w:trHeight w:val="737"/>
        </w:trPr>
        <w:tc>
          <w:tcPr>
            <w:tcW w:w="3080" w:type="dxa"/>
            <w:shd w:val="clear" w:color="auto" w:fill="auto"/>
          </w:tcPr>
          <w:p w14:paraId="02D76418" w14:textId="00414ABD" w:rsidR="00114F14" w:rsidRDefault="00114F14" w:rsidP="00E16DF1">
            <w:pPr>
              <w:rPr>
                <w:b/>
              </w:rPr>
            </w:pPr>
            <w:r>
              <w:rPr>
                <w:b/>
              </w:rPr>
              <w:t>LD 153, Public Law 2019, Chapter 158</w:t>
            </w:r>
          </w:p>
          <w:p w14:paraId="5BBD753A" w14:textId="77777777" w:rsidR="00114F14" w:rsidRPr="003D4A7B" w:rsidRDefault="00114F14" w:rsidP="003D4A7B">
            <w:pPr>
              <w:rPr>
                <w:i/>
              </w:rPr>
            </w:pPr>
            <w:r w:rsidRPr="003D4A7B">
              <w:rPr>
                <w:i/>
              </w:rPr>
              <w:t xml:space="preserve">An Act </w:t>
            </w:r>
            <w:proofErr w:type="gramStart"/>
            <w:r w:rsidRPr="003D4A7B">
              <w:rPr>
                <w:i/>
              </w:rPr>
              <w:t>To</w:t>
            </w:r>
            <w:proofErr w:type="gramEnd"/>
            <w:r w:rsidRPr="003D4A7B">
              <w:rPr>
                <w:i/>
              </w:rPr>
              <w:t xml:space="preserve"> Strengthen Testing for Lead in School Drinking Water</w:t>
            </w:r>
          </w:p>
          <w:p w14:paraId="6670403C" w14:textId="3C181481" w:rsidR="00114F14" w:rsidRPr="003D4A7B" w:rsidRDefault="00114F14" w:rsidP="00E16DF1">
            <w:pPr>
              <w:rPr>
                <w:i/>
              </w:rPr>
            </w:pPr>
          </w:p>
        </w:tc>
        <w:tc>
          <w:tcPr>
            <w:tcW w:w="7265" w:type="dxa"/>
            <w:shd w:val="clear" w:color="auto" w:fill="auto"/>
          </w:tcPr>
          <w:p w14:paraId="547501C6" w14:textId="7E3E4937" w:rsidR="00114F14" w:rsidRDefault="00114F14" w:rsidP="00FA0F13">
            <w:pPr>
              <w:pStyle w:val="ListBullet"/>
            </w:pPr>
            <w:r>
              <w:t>Specifies that this law pertains to private and public schools.</w:t>
            </w:r>
          </w:p>
          <w:p w14:paraId="368BB133" w14:textId="65EF0ED4" w:rsidR="00114F14" w:rsidRDefault="00114F14" w:rsidP="00FA0F13">
            <w:pPr>
              <w:pStyle w:val="ListBullet"/>
            </w:pPr>
            <w:r>
              <w:t>Provides that a school must test water used for drinking or culinary purposes for lead only to the extent that the Department of Health &amp; Human Services (DHHS) provides resources so that the school does not need additional expenditures from local revenue.</w:t>
            </w:r>
          </w:p>
          <w:p w14:paraId="68E3B012" w14:textId="51C3367F" w:rsidR="00114F14" w:rsidRDefault="00114F14" w:rsidP="00FA0F13">
            <w:pPr>
              <w:pStyle w:val="ListBullet"/>
            </w:pPr>
            <w:r>
              <w:t>Authorizes DHHS to seek additional resources if needed.</w:t>
            </w:r>
          </w:p>
          <w:p w14:paraId="5C8B4FB6" w14:textId="72D89287" w:rsidR="00114F14" w:rsidRDefault="00114F14" w:rsidP="00FA0F13">
            <w:pPr>
              <w:pStyle w:val="ListBullet"/>
            </w:pPr>
            <w:r>
              <w:t xml:space="preserve">Directs the DHHS to adopt major substantive rules to establish water lead levels, testing protocols, frequency, abatement or mitigation methods, guidance to reduce exposure to lead, and public notification procedures. </w:t>
            </w:r>
          </w:p>
          <w:p w14:paraId="1A794CE3" w14:textId="5EF1BCBF" w:rsidR="00114F14" w:rsidRPr="00510BFA" w:rsidRDefault="00114F14" w:rsidP="008F519C">
            <w:pPr>
              <w:pStyle w:val="ListBullet"/>
            </w:pPr>
            <w:r>
              <w:t>Beginning January 1, 2021, requires the Department of Health &amp; Human Services to report annually to the Joint Standing Committee on Health &amp; Human Services on lead testing in schools.</w:t>
            </w:r>
          </w:p>
        </w:tc>
        <w:tc>
          <w:tcPr>
            <w:tcW w:w="2250" w:type="dxa"/>
            <w:shd w:val="clear" w:color="auto" w:fill="auto"/>
          </w:tcPr>
          <w:p w14:paraId="07807948" w14:textId="77777777" w:rsidR="00114F14" w:rsidRPr="009C714B" w:rsidRDefault="00114F14" w:rsidP="0061408F">
            <w:pPr>
              <w:rPr>
                <w:sz w:val="22"/>
                <w:szCs w:val="22"/>
              </w:rPr>
            </w:pPr>
            <w:r w:rsidRPr="009C714B">
              <w:rPr>
                <w:sz w:val="22"/>
                <w:szCs w:val="22"/>
              </w:rPr>
              <w:t>September 19, 2019</w:t>
            </w:r>
          </w:p>
          <w:p w14:paraId="11277896" w14:textId="77777777" w:rsidR="00114F14" w:rsidRPr="009C714B" w:rsidRDefault="00114F14" w:rsidP="0061408F">
            <w:pPr>
              <w:rPr>
                <w:sz w:val="22"/>
                <w:szCs w:val="22"/>
              </w:rPr>
            </w:pPr>
          </w:p>
          <w:p w14:paraId="0168497A" w14:textId="77777777" w:rsidR="00114F14" w:rsidRPr="009C714B" w:rsidRDefault="00114F14" w:rsidP="0061408F">
            <w:pPr>
              <w:rPr>
                <w:sz w:val="22"/>
                <w:szCs w:val="22"/>
              </w:rPr>
            </w:pPr>
          </w:p>
          <w:p w14:paraId="108C20E3" w14:textId="77777777" w:rsidR="00114F14" w:rsidRPr="009C714B" w:rsidRDefault="00114F14" w:rsidP="0061408F">
            <w:pPr>
              <w:rPr>
                <w:sz w:val="22"/>
                <w:szCs w:val="22"/>
              </w:rPr>
            </w:pPr>
          </w:p>
          <w:p w14:paraId="3951ADA6" w14:textId="55DCF4FA" w:rsidR="00114F14" w:rsidRPr="009C714B" w:rsidRDefault="00114F14" w:rsidP="00EE3111">
            <w:pPr>
              <w:pStyle w:val="HTMLPreformatted"/>
              <w:rPr>
                <w:rFonts w:ascii="Times New Roman" w:hAnsi="Times New Roman" w:cs="Times New Roman"/>
                <w:color w:val="000000"/>
                <w:sz w:val="22"/>
                <w:szCs w:val="22"/>
              </w:rPr>
            </w:pPr>
            <w:bookmarkStart w:id="0" w:name="_Hlk16087654"/>
            <w:r w:rsidRPr="009C714B">
              <w:rPr>
                <w:rFonts w:ascii="Times New Roman" w:hAnsi="Times New Roman" w:cs="Times New Roman"/>
                <w:sz w:val="22"/>
                <w:szCs w:val="22"/>
              </w:rPr>
              <w:t xml:space="preserve">“NOTE” added to Department of Education Rule Chapter 64 </w:t>
            </w:r>
            <w:r w:rsidRPr="009C714B">
              <w:rPr>
                <w:rFonts w:ascii="Times New Roman" w:hAnsi="Times New Roman" w:cs="Times New Roman"/>
                <w:i/>
                <w:color w:val="000000"/>
                <w:sz w:val="22"/>
                <w:szCs w:val="22"/>
              </w:rPr>
              <w:t>Maine School Facilities</w:t>
            </w:r>
            <w:r w:rsidRPr="009C714B">
              <w:rPr>
                <w:rFonts w:ascii="Times New Roman" w:hAnsi="Times New Roman" w:cs="Times New Roman"/>
                <w:color w:val="000000"/>
                <w:sz w:val="22"/>
                <w:szCs w:val="22"/>
              </w:rPr>
              <w:t xml:space="preserve"> </w:t>
            </w:r>
            <w:r w:rsidRPr="009C714B">
              <w:rPr>
                <w:rFonts w:ascii="Times New Roman" w:hAnsi="Times New Roman" w:cs="Times New Roman"/>
                <w:i/>
                <w:color w:val="000000"/>
                <w:sz w:val="22"/>
                <w:szCs w:val="22"/>
              </w:rPr>
              <w:t>Program and School Revolving Renovation Fund</w:t>
            </w:r>
          </w:p>
          <w:p w14:paraId="3D7FF13C" w14:textId="22232177" w:rsidR="00114F14" w:rsidRPr="009C714B" w:rsidRDefault="00114F14" w:rsidP="0061408F">
            <w:pPr>
              <w:rPr>
                <w:sz w:val="22"/>
                <w:szCs w:val="22"/>
              </w:rPr>
            </w:pPr>
            <w:r w:rsidRPr="009C714B">
              <w:rPr>
                <w:sz w:val="22"/>
                <w:szCs w:val="22"/>
              </w:rPr>
              <w:t xml:space="preserve">Priority 1 Status  </w:t>
            </w:r>
            <w:bookmarkEnd w:id="0"/>
          </w:p>
        </w:tc>
      </w:tr>
      <w:tr w:rsidR="00114F14" w:rsidRPr="008D72F0" w14:paraId="3C998C42" w14:textId="4B2FCAA5" w:rsidTr="00114F14">
        <w:trPr>
          <w:trHeight w:val="737"/>
        </w:trPr>
        <w:tc>
          <w:tcPr>
            <w:tcW w:w="3080" w:type="dxa"/>
            <w:shd w:val="clear" w:color="auto" w:fill="auto"/>
          </w:tcPr>
          <w:p w14:paraId="2CACF0BF" w14:textId="784007A5" w:rsidR="00114F14" w:rsidRDefault="00114F14" w:rsidP="00E16DF1">
            <w:pPr>
              <w:rPr>
                <w:b/>
              </w:rPr>
            </w:pPr>
            <w:r>
              <w:rPr>
                <w:b/>
              </w:rPr>
              <w:t>LD 166. Public Law 2019, Chapter 318</w:t>
            </w:r>
          </w:p>
          <w:p w14:paraId="2678A4AC" w14:textId="7006B8DE" w:rsidR="00114F14" w:rsidRPr="00BE450E" w:rsidRDefault="00114F14" w:rsidP="00E16DF1">
            <w:pPr>
              <w:rPr>
                <w:i/>
              </w:rPr>
            </w:pPr>
            <w:r w:rsidRPr="00BE450E">
              <w:rPr>
                <w:i/>
              </w:rPr>
              <w:t xml:space="preserve">An Act </w:t>
            </w:r>
            <w:proofErr w:type="gramStart"/>
            <w:r w:rsidRPr="00BE450E">
              <w:rPr>
                <w:i/>
              </w:rPr>
              <w:t>To</w:t>
            </w:r>
            <w:proofErr w:type="gramEnd"/>
            <w:r w:rsidRPr="00BE450E">
              <w:rPr>
                <w:i/>
              </w:rPr>
              <w:t xml:space="preserve"> Protect Schoolchildren by Providing Additional Enforcement and Prevention Options for Unlawful Passing of a School Bus</w:t>
            </w:r>
          </w:p>
        </w:tc>
        <w:tc>
          <w:tcPr>
            <w:tcW w:w="7265" w:type="dxa"/>
            <w:shd w:val="clear" w:color="auto" w:fill="auto"/>
          </w:tcPr>
          <w:p w14:paraId="27002D3C" w14:textId="77777777" w:rsidR="00114F14" w:rsidRDefault="00114F14" w:rsidP="00E95034">
            <w:pPr>
              <w:pStyle w:val="ListBullet"/>
            </w:pPr>
            <w:r>
              <w:t xml:space="preserve">Authorizes the State or a municipality to use a traffic surveillance camera mounted on a school bus in conjunction with a lighted traffic-control device to prove or enforce a violation of passing a school bus. </w:t>
            </w:r>
          </w:p>
          <w:p w14:paraId="2BAA3BFD" w14:textId="77777777" w:rsidR="00114F14" w:rsidRDefault="00114F14" w:rsidP="00E95034">
            <w:pPr>
              <w:pStyle w:val="ListBullet"/>
            </w:pPr>
            <w:r>
              <w:t xml:space="preserve">Any photograph or other recorded image obtained by this camera is confidential and may only be released to a law enforcement officer </w:t>
            </w:r>
            <w:proofErr w:type="gramStart"/>
            <w:r>
              <w:t>for the purpose of</w:t>
            </w:r>
            <w:proofErr w:type="gramEnd"/>
            <w:r>
              <w:t xml:space="preserve"> an investigation, or a law enforcement officer, prosecutor, defendant or court for the purpose of a prosecution of a violation.</w:t>
            </w:r>
          </w:p>
          <w:p w14:paraId="51BDE6F4" w14:textId="15948C35" w:rsidR="00114F14" w:rsidRPr="00510BFA" w:rsidRDefault="00114F14" w:rsidP="004241F1">
            <w:pPr>
              <w:pStyle w:val="ListBullet"/>
            </w:pPr>
            <w:r>
              <w:t xml:space="preserve">Adds definitions of “stop arm” and “extended stop arm” (when activated extends 3 to 6 feet from the left side of a school bus) to school bus Motor Vehicle </w:t>
            </w:r>
            <w:r w:rsidRPr="00A74017">
              <w:t>statutes and “stop arms” are exempted from the measure of the width of the vehicle.</w:t>
            </w:r>
          </w:p>
        </w:tc>
        <w:tc>
          <w:tcPr>
            <w:tcW w:w="2250" w:type="dxa"/>
            <w:shd w:val="clear" w:color="auto" w:fill="auto"/>
          </w:tcPr>
          <w:p w14:paraId="302BB3C3" w14:textId="77777777" w:rsidR="00114F14" w:rsidRDefault="00114F14" w:rsidP="0061408F">
            <w:pPr>
              <w:rPr>
                <w:sz w:val="22"/>
                <w:szCs w:val="22"/>
              </w:rPr>
            </w:pPr>
            <w:r>
              <w:rPr>
                <w:sz w:val="22"/>
                <w:szCs w:val="22"/>
              </w:rPr>
              <w:t>September 19, 2019</w:t>
            </w:r>
          </w:p>
          <w:p w14:paraId="286F5D7A" w14:textId="77777777" w:rsidR="00114F14" w:rsidRDefault="00114F14" w:rsidP="0061408F">
            <w:pPr>
              <w:rPr>
                <w:sz w:val="22"/>
                <w:szCs w:val="22"/>
              </w:rPr>
            </w:pPr>
          </w:p>
          <w:p w14:paraId="585F51AC" w14:textId="77777777" w:rsidR="00114F14" w:rsidRDefault="00114F14" w:rsidP="0061408F">
            <w:pPr>
              <w:rPr>
                <w:sz w:val="22"/>
                <w:szCs w:val="22"/>
              </w:rPr>
            </w:pPr>
          </w:p>
          <w:p w14:paraId="4EA2B00C" w14:textId="478BA53D" w:rsidR="00114F14" w:rsidRPr="00433A3D" w:rsidRDefault="00114F14" w:rsidP="0061408F">
            <w:pPr>
              <w:rPr>
                <w:sz w:val="22"/>
                <w:szCs w:val="22"/>
              </w:rPr>
            </w:pPr>
          </w:p>
        </w:tc>
      </w:tr>
      <w:tr w:rsidR="00114F14" w:rsidRPr="008D72F0" w14:paraId="38A120CE" w14:textId="126D49C7" w:rsidTr="00114F14">
        <w:trPr>
          <w:trHeight w:val="737"/>
        </w:trPr>
        <w:tc>
          <w:tcPr>
            <w:tcW w:w="3080" w:type="dxa"/>
            <w:shd w:val="clear" w:color="auto" w:fill="auto"/>
          </w:tcPr>
          <w:p w14:paraId="4A3E6719" w14:textId="77777777" w:rsidR="00114F14" w:rsidRDefault="00114F14" w:rsidP="00844CA8">
            <w:pPr>
              <w:rPr>
                <w:b/>
              </w:rPr>
            </w:pPr>
            <w:r>
              <w:rPr>
                <w:b/>
              </w:rPr>
              <w:t>LD 167, Public Law 2019, Chapter 54</w:t>
            </w:r>
          </w:p>
          <w:p w14:paraId="34A1B88B" w14:textId="5365668C" w:rsidR="00114F14" w:rsidRPr="00206BE4" w:rsidRDefault="00114F14" w:rsidP="00844CA8">
            <w:pPr>
              <w:rPr>
                <w:i/>
              </w:rPr>
            </w:pPr>
            <w:r w:rsidRPr="00206BE4">
              <w:rPr>
                <w:i/>
              </w:rPr>
              <w:t xml:space="preserve">An Act </w:t>
            </w:r>
            <w:proofErr w:type="gramStart"/>
            <w:r w:rsidRPr="00206BE4">
              <w:rPr>
                <w:i/>
              </w:rPr>
              <w:t>To</w:t>
            </w:r>
            <w:proofErr w:type="gramEnd"/>
            <w:r w:rsidRPr="00206BE4">
              <w:rPr>
                <w:i/>
              </w:rPr>
              <w:t xml:space="preserve"> Prevent Food Shaming in Maine's Public Schools</w:t>
            </w:r>
          </w:p>
        </w:tc>
        <w:tc>
          <w:tcPr>
            <w:tcW w:w="7265" w:type="dxa"/>
            <w:shd w:val="clear" w:color="auto" w:fill="auto"/>
          </w:tcPr>
          <w:p w14:paraId="2F5BAB0A" w14:textId="77777777" w:rsidR="00114F14" w:rsidRDefault="00114F14" w:rsidP="00101EAE">
            <w:pPr>
              <w:pStyle w:val="ListBullet"/>
            </w:pPr>
            <w:r>
              <w:t>A public school may not:</w:t>
            </w:r>
          </w:p>
          <w:p w14:paraId="54BB4DEE" w14:textId="3B0BA5CE" w:rsidR="00114F14" w:rsidRDefault="00114F14" w:rsidP="00E47C42">
            <w:pPr>
              <w:pStyle w:val="ListBullet"/>
              <w:numPr>
                <w:ilvl w:val="0"/>
                <w:numId w:val="15"/>
              </w:numPr>
              <w:ind w:left="786"/>
            </w:pPr>
            <w:r>
              <w:t>Openly identify or otherwise stigmatize a student who cannot pay for a meal or who has payments due for previous meals.</w:t>
            </w:r>
          </w:p>
          <w:p w14:paraId="26B9228B" w14:textId="719AA025" w:rsidR="00114F14" w:rsidRDefault="00114F14" w:rsidP="00E47C42">
            <w:pPr>
              <w:pStyle w:val="ListBullet"/>
              <w:numPr>
                <w:ilvl w:val="0"/>
                <w:numId w:val="16"/>
              </w:numPr>
              <w:ind w:left="786"/>
            </w:pPr>
            <w:r>
              <w:t>Throw away a meal that has been served to the student</w:t>
            </w:r>
          </w:p>
          <w:p w14:paraId="53FEA413" w14:textId="630C70EA" w:rsidR="00114F14" w:rsidRDefault="00114F14" w:rsidP="00E47C42">
            <w:pPr>
              <w:pStyle w:val="ListBullet"/>
              <w:numPr>
                <w:ilvl w:val="0"/>
                <w:numId w:val="16"/>
              </w:numPr>
              <w:ind w:left="786"/>
            </w:pPr>
            <w:r>
              <w:t>Require a student to perform work as a means of paying for a meal or as punishment</w:t>
            </w:r>
          </w:p>
          <w:p w14:paraId="65067F94" w14:textId="5387F781" w:rsidR="00114F14" w:rsidRDefault="00114F14" w:rsidP="00E47C42">
            <w:pPr>
              <w:pStyle w:val="ListBullet"/>
              <w:numPr>
                <w:ilvl w:val="0"/>
                <w:numId w:val="16"/>
              </w:numPr>
              <w:ind w:left="786"/>
            </w:pPr>
            <w:r>
              <w:t>Refuse a meal to a student as a form of or as part of a disciplinary action.</w:t>
            </w:r>
          </w:p>
          <w:p w14:paraId="57E99B54" w14:textId="16FCCC8D" w:rsidR="00114F14" w:rsidRDefault="00114F14" w:rsidP="00CB38AC">
            <w:pPr>
              <w:pStyle w:val="ListBullet"/>
            </w:pPr>
            <w:r>
              <w:t xml:space="preserve">Requires that communications by a public school about a student’s meal debt be directly with the parent or guardian although if the student </w:t>
            </w:r>
            <w:proofErr w:type="spellStart"/>
            <w:r>
              <w:t>inquires</w:t>
            </w:r>
            <w:proofErr w:type="spellEnd"/>
            <w:r>
              <w:t xml:space="preserve"> about the meal debt the school may answer the student. </w:t>
            </w:r>
          </w:p>
          <w:p w14:paraId="3B3173FA" w14:textId="44F88F56" w:rsidR="00114F14" w:rsidRPr="00510BFA" w:rsidRDefault="00114F14" w:rsidP="00D56737">
            <w:pPr>
              <w:pStyle w:val="ListBullet"/>
            </w:pPr>
            <w:r>
              <w:t>Directs the Department to develop guidance for school administrative units relating to collection of student meal debt and best practices including information on an on-line system for payment of student meal debt.  This information is to be posted on the Department’s publicly accessible website.</w:t>
            </w:r>
          </w:p>
        </w:tc>
        <w:tc>
          <w:tcPr>
            <w:tcW w:w="2250" w:type="dxa"/>
            <w:shd w:val="clear" w:color="auto" w:fill="auto"/>
          </w:tcPr>
          <w:p w14:paraId="13372FB9" w14:textId="77777777" w:rsidR="00114F14" w:rsidRDefault="00114F14" w:rsidP="00844CA8">
            <w:pPr>
              <w:rPr>
                <w:sz w:val="22"/>
                <w:szCs w:val="22"/>
              </w:rPr>
            </w:pPr>
            <w:r>
              <w:rPr>
                <w:sz w:val="22"/>
                <w:szCs w:val="22"/>
              </w:rPr>
              <w:t>September 19, 2019</w:t>
            </w:r>
          </w:p>
          <w:p w14:paraId="1DDA0873" w14:textId="77777777" w:rsidR="00114F14" w:rsidRDefault="00114F14" w:rsidP="00844CA8">
            <w:pPr>
              <w:rPr>
                <w:sz w:val="22"/>
                <w:szCs w:val="22"/>
              </w:rPr>
            </w:pPr>
          </w:p>
          <w:p w14:paraId="47F1499A" w14:textId="7ED38E23" w:rsidR="00114F14" w:rsidRPr="00206BE4" w:rsidRDefault="00114F14" w:rsidP="00844CA8">
            <w:pPr>
              <w:rPr>
                <w:sz w:val="22"/>
                <w:szCs w:val="22"/>
              </w:rPr>
            </w:pPr>
          </w:p>
        </w:tc>
      </w:tr>
      <w:tr w:rsidR="00114F14" w:rsidRPr="008D72F0" w14:paraId="4222D236" w14:textId="6B130AF0" w:rsidTr="00114F14">
        <w:trPr>
          <w:trHeight w:val="737"/>
        </w:trPr>
        <w:tc>
          <w:tcPr>
            <w:tcW w:w="3080" w:type="dxa"/>
            <w:shd w:val="clear" w:color="auto" w:fill="auto"/>
          </w:tcPr>
          <w:p w14:paraId="0DF6CAA2" w14:textId="77777777" w:rsidR="00114F14" w:rsidRDefault="00114F14" w:rsidP="00AA1D57">
            <w:pPr>
              <w:rPr>
                <w:b/>
              </w:rPr>
            </w:pPr>
            <w:r>
              <w:rPr>
                <w:b/>
              </w:rPr>
              <w:t>LD 176, Public Law 2019, Chapter 421</w:t>
            </w:r>
          </w:p>
          <w:p w14:paraId="57E74C31" w14:textId="3735DCD3" w:rsidR="00114F14" w:rsidRPr="00206BE4" w:rsidRDefault="00114F14" w:rsidP="00AA1D57">
            <w:pPr>
              <w:rPr>
                <w:i/>
              </w:rPr>
            </w:pPr>
            <w:r w:rsidRPr="00206BE4">
              <w:rPr>
                <w:i/>
              </w:rPr>
              <w:t xml:space="preserve">An Act </w:t>
            </w:r>
            <w:proofErr w:type="gramStart"/>
            <w:r w:rsidRPr="00206BE4">
              <w:rPr>
                <w:i/>
              </w:rPr>
              <w:t>To</w:t>
            </w:r>
            <w:proofErr w:type="gramEnd"/>
            <w:r w:rsidRPr="00206BE4">
              <w:rPr>
                <w:i/>
              </w:rPr>
              <w:t xml:space="preserve"> Enhance Participation on the State Board of Education</w:t>
            </w:r>
          </w:p>
        </w:tc>
        <w:tc>
          <w:tcPr>
            <w:tcW w:w="7265" w:type="dxa"/>
            <w:shd w:val="clear" w:color="auto" w:fill="auto"/>
          </w:tcPr>
          <w:p w14:paraId="54BBC321" w14:textId="1500E076" w:rsidR="00114F14" w:rsidRPr="00A74017" w:rsidRDefault="00114F14" w:rsidP="00F609F3">
            <w:pPr>
              <w:pStyle w:val="ListBullet"/>
            </w:pPr>
            <w:r w:rsidRPr="00A74017">
              <w:t xml:space="preserve">Removes the restriction that a teacher or school administrator may not serve on the State Board of Education. </w:t>
            </w:r>
          </w:p>
          <w:p w14:paraId="5DAFB933" w14:textId="3DC284BE" w:rsidR="00114F14" w:rsidRPr="00A74017" w:rsidRDefault="00114F14" w:rsidP="00F609F3">
            <w:pPr>
              <w:pStyle w:val="ListBullet"/>
            </w:pPr>
            <w:r w:rsidRPr="00A74017">
              <w:t>Release time for an appointee educator to attend State Board meetings must be granted.</w:t>
            </w:r>
          </w:p>
          <w:p w14:paraId="182B1A1A" w14:textId="0C5F02AF" w:rsidR="00114F14" w:rsidRPr="00A74017" w:rsidRDefault="00114F14" w:rsidP="00CB38AC">
            <w:pPr>
              <w:pStyle w:val="ListBullet"/>
            </w:pPr>
            <w:r w:rsidRPr="00A74017">
              <w:t>Increases General Fund appropriations to the State Board of Education for the cost of substitute teachers needed when a teacher is granted release time to serve on the State Board of Education.</w:t>
            </w:r>
          </w:p>
        </w:tc>
        <w:tc>
          <w:tcPr>
            <w:tcW w:w="2250" w:type="dxa"/>
            <w:shd w:val="clear" w:color="auto" w:fill="auto"/>
          </w:tcPr>
          <w:p w14:paraId="48950AEC" w14:textId="7A51D7AE" w:rsidR="00114F14" w:rsidRPr="00A74017" w:rsidRDefault="00114F14" w:rsidP="00AA1D57">
            <w:pPr>
              <w:rPr>
                <w:sz w:val="22"/>
                <w:szCs w:val="22"/>
              </w:rPr>
            </w:pPr>
            <w:r w:rsidRPr="00A74017">
              <w:rPr>
                <w:sz w:val="22"/>
                <w:szCs w:val="22"/>
              </w:rPr>
              <w:t>September 19, 2019</w:t>
            </w:r>
          </w:p>
        </w:tc>
      </w:tr>
      <w:tr w:rsidR="00114F14" w:rsidRPr="008D72F0" w14:paraId="627188E8" w14:textId="5432821D" w:rsidTr="00114F14">
        <w:trPr>
          <w:trHeight w:val="737"/>
        </w:trPr>
        <w:tc>
          <w:tcPr>
            <w:tcW w:w="3080" w:type="dxa"/>
            <w:shd w:val="clear" w:color="auto" w:fill="auto"/>
          </w:tcPr>
          <w:p w14:paraId="42924610" w14:textId="77777777" w:rsidR="00114F14" w:rsidRDefault="00114F14" w:rsidP="00E55C3F">
            <w:pPr>
              <w:rPr>
                <w:b/>
              </w:rPr>
            </w:pPr>
            <w:r>
              <w:rPr>
                <w:b/>
              </w:rPr>
              <w:t>LD 206, Public Law 2019, Chapter 487</w:t>
            </w:r>
          </w:p>
          <w:p w14:paraId="5BC4617D" w14:textId="4EF54A16" w:rsidR="00114F14" w:rsidRPr="00206BE4" w:rsidRDefault="00114F14" w:rsidP="00B82941">
            <w:pPr>
              <w:rPr>
                <w:i/>
              </w:rPr>
            </w:pPr>
            <w:r w:rsidRPr="00206BE4">
              <w:rPr>
                <w:i/>
              </w:rPr>
              <w:t xml:space="preserve">An Act </w:t>
            </w:r>
            <w:proofErr w:type="gramStart"/>
            <w:r w:rsidRPr="00206BE4">
              <w:rPr>
                <w:i/>
              </w:rPr>
              <w:t>To</w:t>
            </w:r>
            <w:proofErr w:type="gramEnd"/>
            <w:r w:rsidRPr="00206BE4">
              <w:rPr>
                <w:i/>
              </w:rPr>
              <w:t xml:space="preserve"> Raise the University of Maine System Debt Ceiling</w:t>
            </w:r>
          </w:p>
        </w:tc>
        <w:tc>
          <w:tcPr>
            <w:tcW w:w="7265" w:type="dxa"/>
            <w:shd w:val="clear" w:color="auto" w:fill="auto"/>
          </w:tcPr>
          <w:p w14:paraId="3CA2F5AA" w14:textId="2CD35009" w:rsidR="00114F14" w:rsidRPr="00510BFA" w:rsidRDefault="00114F14" w:rsidP="005C4637">
            <w:pPr>
              <w:pStyle w:val="ListBullet"/>
            </w:pPr>
            <w:r>
              <w:t>Increases the University of Maine debt ceiling from $220,000,000 to $$350,000,000.</w:t>
            </w:r>
          </w:p>
        </w:tc>
        <w:tc>
          <w:tcPr>
            <w:tcW w:w="2250" w:type="dxa"/>
            <w:shd w:val="clear" w:color="auto" w:fill="auto"/>
          </w:tcPr>
          <w:p w14:paraId="3E67EF2D" w14:textId="29AC6262" w:rsidR="00114F14" w:rsidRPr="00433A3D" w:rsidRDefault="00114F14" w:rsidP="00E55C3F">
            <w:pPr>
              <w:rPr>
                <w:sz w:val="22"/>
                <w:szCs w:val="22"/>
              </w:rPr>
            </w:pPr>
            <w:r>
              <w:rPr>
                <w:sz w:val="22"/>
                <w:szCs w:val="22"/>
              </w:rPr>
              <w:t>September 19, 2019</w:t>
            </w:r>
          </w:p>
        </w:tc>
      </w:tr>
      <w:tr w:rsidR="00114F14" w:rsidRPr="008D72F0" w14:paraId="40313F14" w14:textId="77777777" w:rsidTr="00114F14">
        <w:trPr>
          <w:trHeight w:val="737"/>
        </w:trPr>
        <w:tc>
          <w:tcPr>
            <w:tcW w:w="3080" w:type="dxa"/>
            <w:shd w:val="clear" w:color="auto" w:fill="auto"/>
          </w:tcPr>
          <w:p w14:paraId="3157EBB0" w14:textId="77777777" w:rsidR="00114F14" w:rsidRDefault="00114F14" w:rsidP="00E55C3F">
            <w:pPr>
              <w:rPr>
                <w:b/>
              </w:rPr>
            </w:pPr>
            <w:r>
              <w:rPr>
                <w:b/>
              </w:rPr>
              <w:t>LD 247, Public Law 2019, Chapter 45</w:t>
            </w:r>
          </w:p>
          <w:p w14:paraId="325F7A4E" w14:textId="00C75B38" w:rsidR="00114F14" w:rsidRPr="00B82941" w:rsidRDefault="00114F14" w:rsidP="00B82941">
            <w:pPr>
              <w:rPr>
                <w:i/>
              </w:rPr>
            </w:pPr>
            <w:r w:rsidRPr="00B82941">
              <w:rPr>
                <w:i/>
              </w:rPr>
              <w:t xml:space="preserve">An Act </w:t>
            </w:r>
            <w:proofErr w:type="gramStart"/>
            <w:r w:rsidRPr="00B82941">
              <w:rPr>
                <w:i/>
              </w:rPr>
              <w:t>To</w:t>
            </w:r>
            <w:proofErr w:type="gramEnd"/>
            <w:r w:rsidRPr="00B82941">
              <w:rPr>
                <w:i/>
              </w:rPr>
              <w:t xml:space="preserve"> Increase the Amount of Time School Counselors and Social Workers Spend Providing Student</w:t>
            </w:r>
            <w:r>
              <w:rPr>
                <w:i/>
              </w:rPr>
              <w:t>s Direct and Indirect Counseling</w:t>
            </w:r>
          </w:p>
        </w:tc>
        <w:tc>
          <w:tcPr>
            <w:tcW w:w="7265" w:type="dxa"/>
            <w:shd w:val="clear" w:color="auto" w:fill="auto"/>
          </w:tcPr>
          <w:p w14:paraId="66B43E34" w14:textId="3FF83AAB" w:rsidR="00114F14" w:rsidRDefault="00114F14" w:rsidP="00DC07BE">
            <w:pPr>
              <w:pStyle w:val="ListBullet"/>
            </w:pPr>
            <w:r>
              <w:t xml:space="preserve">Requires each school counselor and school social worker to spend at least 80% of their time providing direct services to and indirect services on behalf of students and defines both direct and indirect services. </w:t>
            </w:r>
          </w:p>
          <w:p w14:paraId="13E3E193" w14:textId="5F4A5CD3" w:rsidR="00114F14" w:rsidRPr="00510BFA" w:rsidRDefault="00114F14" w:rsidP="00DC07BE">
            <w:pPr>
              <w:pStyle w:val="ListBullet"/>
            </w:pPr>
            <w:r>
              <w:t xml:space="preserve">Directs the Commissioner to adopt major substantive rules to include guidelines regarding the duties of school counselors including that a school counselor </w:t>
            </w:r>
            <w:proofErr w:type="gramStart"/>
            <w:r>
              <w:t>deliver</w:t>
            </w:r>
            <w:proofErr w:type="gramEnd"/>
            <w:r>
              <w:t xml:space="preserve"> a comprehensive school counseling program and the duties of school social workers. </w:t>
            </w:r>
          </w:p>
        </w:tc>
        <w:tc>
          <w:tcPr>
            <w:tcW w:w="2250" w:type="dxa"/>
            <w:shd w:val="clear" w:color="auto" w:fill="auto"/>
          </w:tcPr>
          <w:p w14:paraId="689A3997" w14:textId="77777777" w:rsidR="00114F14" w:rsidRDefault="00114F14" w:rsidP="00E55C3F">
            <w:pPr>
              <w:rPr>
                <w:sz w:val="22"/>
                <w:szCs w:val="22"/>
              </w:rPr>
            </w:pPr>
            <w:r>
              <w:rPr>
                <w:sz w:val="22"/>
                <w:szCs w:val="22"/>
              </w:rPr>
              <w:t>September 19, 2019</w:t>
            </w:r>
          </w:p>
          <w:p w14:paraId="6BBD9690" w14:textId="77777777" w:rsidR="00114F14" w:rsidRDefault="00114F14" w:rsidP="00E55C3F">
            <w:pPr>
              <w:rPr>
                <w:sz w:val="22"/>
                <w:szCs w:val="22"/>
              </w:rPr>
            </w:pPr>
          </w:p>
          <w:p w14:paraId="26A3AE31" w14:textId="77777777" w:rsidR="00114F14" w:rsidRDefault="00114F14" w:rsidP="00E55C3F">
            <w:pPr>
              <w:rPr>
                <w:sz w:val="22"/>
                <w:szCs w:val="22"/>
              </w:rPr>
            </w:pPr>
          </w:p>
          <w:p w14:paraId="285172B6" w14:textId="723D9378" w:rsidR="00114F14" w:rsidRPr="00433A3D" w:rsidRDefault="00114F14" w:rsidP="00E55C3F">
            <w:pPr>
              <w:rPr>
                <w:sz w:val="22"/>
                <w:szCs w:val="22"/>
              </w:rPr>
            </w:pPr>
            <w:r>
              <w:rPr>
                <w:sz w:val="22"/>
                <w:szCs w:val="22"/>
              </w:rPr>
              <w:t>Department to provisionally adopt major substantive rules by January 10, 2020</w:t>
            </w:r>
          </w:p>
        </w:tc>
      </w:tr>
      <w:tr w:rsidR="00114F14" w:rsidRPr="008D72F0" w14:paraId="22D3DBE6" w14:textId="77777777" w:rsidTr="00114F14">
        <w:trPr>
          <w:trHeight w:val="737"/>
        </w:trPr>
        <w:tc>
          <w:tcPr>
            <w:tcW w:w="3080" w:type="dxa"/>
            <w:shd w:val="clear" w:color="auto" w:fill="auto"/>
          </w:tcPr>
          <w:p w14:paraId="66283C05" w14:textId="77777777" w:rsidR="00114F14" w:rsidRDefault="00114F14" w:rsidP="00E55C3F">
            <w:pPr>
              <w:rPr>
                <w:b/>
              </w:rPr>
            </w:pPr>
            <w:r>
              <w:rPr>
                <w:b/>
              </w:rPr>
              <w:t>LD 278, Public Law 2019, Chapter 35</w:t>
            </w:r>
          </w:p>
          <w:p w14:paraId="096811C4" w14:textId="77777777" w:rsidR="00114F14" w:rsidRPr="00B82941" w:rsidRDefault="00114F14" w:rsidP="00B82941">
            <w:pPr>
              <w:rPr>
                <w:i/>
              </w:rPr>
            </w:pPr>
            <w:r w:rsidRPr="00B82941">
              <w:rPr>
                <w:i/>
              </w:rPr>
              <w:t>An Act Regarding Pay Equality</w:t>
            </w:r>
          </w:p>
          <w:p w14:paraId="0A665B3B" w14:textId="1FCF1368" w:rsidR="00114F14" w:rsidRPr="00B82941" w:rsidRDefault="00114F14" w:rsidP="00E55C3F">
            <w:pPr>
              <w:rPr>
                <w:i/>
              </w:rPr>
            </w:pPr>
          </w:p>
        </w:tc>
        <w:tc>
          <w:tcPr>
            <w:tcW w:w="7265" w:type="dxa"/>
            <w:shd w:val="clear" w:color="auto" w:fill="auto"/>
          </w:tcPr>
          <w:p w14:paraId="2600DB90" w14:textId="77777777" w:rsidR="00114F14" w:rsidRDefault="00114F14" w:rsidP="005C753E">
            <w:pPr>
              <w:pStyle w:val="ListBullet"/>
            </w:pPr>
            <w:r>
              <w:t xml:space="preserve">Prohibits an employer from inquiring about a prospective employee's compensation history until after an offer of employment that includes all terms of compensation has been negotiated and made to the prospective employee. </w:t>
            </w:r>
          </w:p>
          <w:p w14:paraId="2DA4C1C7" w14:textId="318B7EFE" w:rsidR="00114F14" w:rsidRDefault="00114F14" w:rsidP="00B438A9">
            <w:pPr>
              <w:pStyle w:val="ListBullet"/>
            </w:pPr>
            <w:r>
              <w:t>Creates an exception for compensation history sought pursuant to any federal or state law that specifically requires the disclosure or verification of compensation history for employment purposes.</w:t>
            </w:r>
          </w:p>
          <w:p w14:paraId="13C6AE25" w14:textId="05F5B6B2" w:rsidR="00114F14" w:rsidRPr="00510BFA" w:rsidRDefault="00114F14" w:rsidP="00B438A9">
            <w:pPr>
              <w:pStyle w:val="ListBullet"/>
            </w:pPr>
            <w:r>
              <w:t>Amends the Maine Human Rights Act to provide that evidence of unlawful employment discrimination includes instances of an employer inquiring about a prospective employee's compensation history before an offer of employment.</w:t>
            </w:r>
          </w:p>
        </w:tc>
        <w:tc>
          <w:tcPr>
            <w:tcW w:w="2250" w:type="dxa"/>
            <w:shd w:val="clear" w:color="auto" w:fill="auto"/>
          </w:tcPr>
          <w:p w14:paraId="48136E66" w14:textId="51A2BB90" w:rsidR="00114F14" w:rsidRPr="00433A3D" w:rsidRDefault="00114F14" w:rsidP="00E55C3F">
            <w:pPr>
              <w:rPr>
                <w:sz w:val="22"/>
                <w:szCs w:val="22"/>
              </w:rPr>
            </w:pPr>
            <w:r>
              <w:rPr>
                <w:sz w:val="22"/>
                <w:szCs w:val="22"/>
              </w:rPr>
              <w:t>September 19, 2019</w:t>
            </w:r>
          </w:p>
        </w:tc>
      </w:tr>
      <w:tr w:rsidR="00114F14" w:rsidRPr="008D72F0" w14:paraId="6E7AD7B8" w14:textId="77777777" w:rsidTr="00114F14">
        <w:trPr>
          <w:trHeight w:val="737"/>
        </w:trPr>
        <w:tc>
          <w:tcPr>
            <w:tcW w:w="3080" w:type="dxa"/>
            <w:shd w:val="clear" w:color="auto" w:fill="auto"/>
          </w:tcPr>
          <w:p w14:paraId="3896314E" w14:textId="7294D18D" w:rsidR="00114F14" w:rsidRDefault="00114F14" w:rsidP="00E55C3F">
            <w:pPr>
              <w:rPr>
                <w:b/>
              </w:rPr>
            </w:pPr>
            <w:r>
              <w:rPr>
                <w:b/>
              </w:rPr>
              <w:t>LD 283, Resolve 2019, Chapter 12</w:t>
            </w:r>
          </w:p>
          <w:p w14:paraId="2F0CF121" w14:textId="6BF829F0" w:rsidR="00114F14" w:rsidRPr="00B82941" w:rsidRDefault="00114F14" w:rsidP="00E55C3F">
            <w:pPr>
              <w:rPr>
                <w:i/>
              </w:rPr>
            </w:pPr>
            <w:r w:rsidRPr="00B82941">
              <w:rPr>
                <w:i/>
              </w:rPr>
              <w:t>Resolve, Regarding Legislative Review of Portions of Chapter 132: Learning Results: Parameters for Essential Instruction, a Major Substantive Rule of the Department of Education (EMERGENCY)</w:t>
            </w:r>
          </w:p>
        </w:tc>
        <w:tc>
          <w:tcPr>
            <w:tcW w:w="7265" w:type="dxa"/>
            <w:shd w:val="clear" w:color="auto" w:fill="auto"/>
          </w:tcPr>
          <w:p w14:paraId="1E8B52E9" w14:textId="2FBB4964" w:rsidR="00114F14" w:rsidRPr="00510BFA" w:rsidRDefault="00114F14" w:rsidP="00E47C42">
            <w:pPr>
              <w:pStyle w:val="ListParagraph"/>
              <w:numPr>
                <w:ilvl w:val="0"/>
                <w:numId w:val="6"/>
              </w:numPr>
              <w:ind w:left="426" w:hanging="180"/>
            </w:pPr>
            <w:r w:rsidRPr="001C4751">
              <w:rPr>
                <w:color w:val="000000"/>
              </w:rPr>
              <w:t xml:space="preserve">Authorizes the Department of Education to proceed to final adoption of a provisionally adopted </w:t>
            </w:r>
            <w:r>
              <w:rPr>
                <w:color w:val="000000"/>
              </w:rPr>
              <w:t>amended Rule Chapter 132</w:t>
            </w:r>
            <w:r w:rsidRPr="00B82941">
              <w:rPr>
                <w:i/>
              </w:rPr>
              <w:t xml:space="preserve"> Learning Results: Parameters for Essential Instruction</w:t>
            </w:r>
            <w:r w:rsidRPr="003E226C">
              <w:t>, a Major Substantive Rule of the Department of Education</w:t>
            </w:r>
            <w:r>
              <w:rPr>
                <w:color w:val="000000"/>
              </w:rPr>
              <w:t>.</w:t>
            </w:r>
          </w:p>
        </w:tc>
        <w:tc>
          <w:tcPr>
            <w:tcW w:w="2250" w:type="dxa"/>
            <w:shd w:val="clear" w:color="auto" w:fill="auto"/>
          </w:tcPr>
          <w:p w14:paraId="76D8D39F" w14:textId="77777777" w:rsidR="00114F14" w:rsidRDefault="00114F14" w:rsidP="00E55C3F">
            <w:pPr>
              <w:rPr>
                <w:sz w:val="22"/>
                <w:szCs w:val="22"/>
              </w:rPr>
            </w:pPr>
            <w:r>
              <w:rPr>
                <w:sz w:val="22"/>
                <w:szCs w:val="22"/>
              </w:rPr>
              <w:t>April 19, 2019</w:t>
            </w:r>
          </w:p>
          <w:p w14:paraId="1F8C4A92" w14:textId="77777777" w:rsidR="00114F14" w:rsidRDefault="00114F14" w:rsidP="00E55C3F">
            <w:pPr>
              <w:rPr>
                <w:sz w:val="22"/>
                <w:szCs w:val="22"/>
              </w:rPr>
            </w:pPr>
          </w:p>
          <w:p w14:paraId="61F878E7" w14:textId="58414293" w:rsidR="00114F14" w:rsidRPr="00433A3D" w:rsidRDefault="00114F14" w:rsidP="00E55C3F">
            <w:pPr>
              <w:rPr>
                <w:sz w:val="22"/>
                <w:szCs w:val="22"/>
              </w:rPr>
            </w:pPr>
            <w:r>
              <w:rPr>
                <w:sz w:val="22"/>
                <w:szCs w:val="22"/>
              </w:rPr>
              <w:t>Finally adopted Rule Chapter 132 on June 23, 2019</w:t>
            </w:r>
          </w:p>
        </w:tc>
      </w:tr>
      <w:tr w:rsidR="00114F14" w:rsidRPr="008D72F0" w14:paraId="1927FED4" w14:textId="77777777" w:rsidTr="00114F14">
        <w:trPr>
          <w:trHeight w:val="737"/>
        </w:trPr>
        <w:tc>
          <w:tcPr>
            <w:tcW w:w="3080" w:type="dxa"/>
            <w:shd w:val="clear" w:color="auto" w:fill="auto"/>
          </w:tcPr>
          <w:p w14:paraId="371FCAFA" w14:textId="77777777" w:rsidR="00114F14" w:rsidRDefault="00114F14" w:rsidP="00E55C3F">
            <w:pPr>
              <w:rPr>
                <w:b/>
              </w:rPr>
            </w:pPr>
            <w:r>
              <w:rPr>
                <w:b/>
              </w:rPr>
              <w:t>LD 287, Public Law 2019, Chapter 317</w:t>
            </w:r>
          </w:p>
          <w:p w14:paraId="47FC074D" w14:textId="00A0E288" w:rsidR="00114F14" w:rsidRPr="00297334" w:rsidRDefault="00114F14" w:rsidP="00E55C3F">
            <w:pPr>
              <w:rPr>
                <w:i/>
              </w:rPr>
            </w:pPr>
            <w:r w:rsidRPr="00297334">
              <w:rPr>
                <w:i/>
              </w:rPr>
              <w:t xml:space="preserve">An Act </w:t>
            </w:r>
            <w:proofErr w:type="gramStart"/>
            <w:r w:rsidRPr="00297334">
              <w:rPr>
                <w:i/>
              </w:rPr>
              <w:t>To</w:t>
            </w:r>
            <w:proofErr w:type="gramEnd"/>
            <w:r w:rsidRPr="00297334">
              <w:rPr>
                <w:i/>
              </w:rPr>
              <w:t xml:space="preserve"> Impose on Mental Health Professionals a Duty To Warn and Protect</w:t>
            </w:r>
          </w:p>
        </w:tc>
        <w:tc>
          <w:tcPr>
            <w:tcW w:w="7265" w:type="dxa"/>
            <w:shd w:val="clear" w:color="auto" w:fill="auto"/>
          </w:tcPr>
          <w:p w14:paraId="01F1D775" w14:textId="77777777" w:rsidR="00114F14" w:rsidRDefault="00114F14" w:rsidP="000D1D1A">
            <w:pPr>
              <w:pStyle w:val="ListBullet"/>
            </w:pPr>
            <w:r>
              <w:t>Clarifies the duty of certain professionals (physicians, osteopathic physicians, psychologists, alcohol and drug counselors, social workers, and counseling professionals) to warn and protect if a patient / client is likely to engage in physical violence by limiting the duty to cases in which there is a belief that the patient is likely to pose a serious risk of harm to self or others</w:t>
            </w:r>
          </w:p>
          <w:p w14:paraId="2AB0FE06" w14:textId="70EB277A" w:rsidR="00114F14" w:rsidRPr="00510BFA" w:rsidRDefault="00114F14" w:rsidP="000D1D1A">
            <w:pPr>
              <w:pStyle w:val="ListBullet"/>
            </w:pPr>
            <w:r>
              <w:t xml:space="preserve">The duty is discharged if the professional makes reasonable efforts to communicate the threat to a potential victim, notifies a law enforcement agency or seeks involuntary hospitalization of the patient / client. </w:t>
            </w:r>
          </w:p>
        </w:tc>
        <w:tc>
          <w:tcPr>
            <w:tcW w:w="2250" w:type="dxa"/>
            <w:shd w:val="clear" w:color="auto" w:fill="auto"/>
          </w:tcPr>
          <w:p w14:paraId="630DF8FB" w14:textId="62896793" w:rsidR="00114F14" w:rsidRPr="00433A3D" w:rsidRDefault="00114F14" w:rsidP="00E55C3F">
            <w:pPr>
              <w:rPr>
                <w:sz w:val="22"/>
                <w:szCs w:val="22"/>
              </w:rPr>
            </w:pPr>
            <w:r>
              <w:rPr>
                <w:sz w:val="22"/>
                <w:szCs w:val="22"/>
              </w:rPr>
              <w:t>September 19, 2019</w:t>
            </w:r>
          </w:p>
        </w:tc>
      </w:tr>
      <w:tr w:rsidR="00114F14" w:rsidRPr="008D72F0" w14:paraId="2695E3D5" w14:textId="77777777" w:rsidTr="00114F14">
        <w:trPr>
          <w:trHeight w:val="737"/>
        </w:trPr>
        <w:tc>
          <w:tcPr>
            <w:tcW w:w="3080" w:type="dxa"/>
            <w:shd w:val="clear" w:color="auto" w:fill="auto"/>
          </w:tcPr>
          <w:p w14:paraId="4F6E9E69" w14:textId="77777777" w:rsidR="00114F14" w:rsidRDefault="00114F14" w:rsidP="00E55C3F">
            <w:pPr>
              <w:rPr>
                <w:b/>
              </w:rPr>
            </w:pPr>
            <w:r>
              <w:rPr>
                <w:b/>
              </w:rPr>
              <w:t>LD 300, Public Law 2019, Chapter 193</w:t>
            </w:r>
          </w:p>
          <w:p w14:paraId="3607D053" w14:textId="60073FA3" w:rsidR="00114F14" w:rsidRPr="00297334" w:rsidRDefault="00114F14" w:rsidP="00E55C3F">
            <w:pPr>
              <w:rPr>
                <w:i/>
              </w:rPr>
            </w:pPr>
            <w:r w:rsidRPr="00297334">
              <w:rPr>
                <w:i/>
              </w:rPr>
              <w:t xml:space="preserve">An Act </w:t>
            </w:r>
            <w:proofErr w:type="gramStart"/>
            <w:r w:rsidRPr="00297334">
              <w:rPr>
                <w:i/>
              </w:rPr>
              <w:t>To</w:t>
            </w:r>
            <w:proofErr w:type="gramEnd"/>
            <w:r w:rsidRPr="00297334">
              <w:rPr>
                <w:i/>
              </w:rPr>
              <w:t xml:space="preserve"> Provide School Personnel Paid Hourly a Wage Pay Option</w:t>
            </w:r>
          </w:p>
        </w:tc>
        <w:tc>
          <w:tcPr>
            <w:tcW w:w="7265" w:type="dxa"/>
            <w:shd w:val="clear" w:color="auto" w:fill="auto"/>
          </w:tcPr>
          <w:p w14:paraId="354E579F" w14:textId="77777777" w:rsidR="00114F14" w:rsidRDefault="00114F14" w:rsidP="000D1D1A">
            <w:pPr>
              <w:pStyle w:val="ListBullet"/>
            </w:pPr>
            <w:r>
              <w:t>Requires a school administrative unit to provide school personnel who are paid on an hourly basis with the option of receiving pay over a period of 12 months or shorter.</w:t>
            </w:r>
          </w:p>
          <w:p w14:paraId="64CFD665" w14:textId="77777777" w:rsidR="00114F14" w:rsidRPr="00510BFA" w:rsidRDefault="00114F14" w:rsidP="00433A3D">
            <w:pPr>
              <w:pStyle w:val="ListBullet"/>
              <w:numPr>
                <w:ilvl w:val="0"/>
                <w:numId w:val="0"/>
              </w:numPr>
              <w:ind w:left="280"/>
            </w:pPr>
          </w:p>
        </w:tc>
        <w:tc>
          <w:tcPr>
            <w:tcW w:w="2250" w:type="dxa"/>
            <w:shd w:val="clear" w:color="auto" w:fill="auto"/>
          </w:tcPr>
          <w:p w14:paraId="1460BD28" w14:textId="65310869" w:rsidR="00114F14" w:rsidRPr="00433A3D" w:rsidRDefault="00114F14" w:rsidP="00E55C3F">
            <w:pPr>
              <w:rPr>
                <w:sz w:val="22"/>
                <w:szCs w:val="22"/>
              </w:rPr>
            </w:pPr>
            <w:r>
              <w:rPr>
                <w:sz w:val="22"/>
                <w:szCs w:val="22"/>
              </w:rPr>
              <w:t>September 19, 2019</w:t>
            </w:r>
          </w:p>
        </w:tc>
      </w:tr>
      <w:tr w:rsidR="00114F14" w:rsidRPr="008D72F0" w14:paraId="3E51B72F" w14:textId="77777777" w:rsidTr="00114F14">
        <w:trPr>
          <w:trHeight w:val="737"/>
        </w:trPr>
        <w:tc>
          <w:tcPr>
            <w:tcW w:w="3080" w:type="dxa"/>
            <w:shd w:val="clear" w:color="auto" w:fill="auto"/>
          </w:tcPr>
          <w:p w14:paraId="4082A9B2" w14:textId="77777777" w:rsidR="00114F14" w:rsidRDefault="00114F14" w:rsidP="00E55C3F">
            <w:pPr>
              <w:rPr>
                <w:b/>
              </w:rPr>
            </w:pPr>
            <w:r>
              <w:rPr>
                <w:b/>
              </w:rPr>
              <w:t>LD 307, Public Law 2019, Chapter 307</w:t>
            </w:r>
          </w:p>
          <w:p w14:paraId="63FF124C" w14:textId="16F27914" w:rsidR="00114F14" w:rsidRPr="00297334" w:rsidRDefault="00114F14" w:rsidP="00297334">
            <w:pPr>
              <w:rPr>
                <w:i/>
              </w:rPr>
            </w:pPr>
            <w:r w:rsidRPr="00297334">
              <w:rPr>
                <w:i/>
              </w:rPr>
              <w:t xml:space="preserve">An Act </w:t>
            </w:r>
            <w:proofErr w:type="gramStart"/>
            <w:r w:rsidRPr="00297334">
              <w:rPr>
                <w:i/>
              </w:rPr>
              <w:t>To</w:t>
            </w:r>
            <w:proofErr w:type="gramEnd"/>
            <w:r w:rsidRPr="00297334">
              <w:rPr>
                <w:i/>
              </w:rPr>
              <w:t xml:space="preserve"> Limit the Number of </w:t>
            </w:r>
            <w:r>
              <w:rPr>
                <w:i/>
              </w:rPr>
              <w:t>Charter S</w:t>
            </w:r>
            <w:r w:rsidRPr="00297334">
              <w:rPr>
                <w:i/>
              </w:rPr>
              <w:t>chools in Maine</w:t>
            </w:r>
          </w:p>
          <w:p w14:paraId="6C2AEB3D" w14:textId="4A0F1AC4" w:rsidR="00114F14" w:rsidRPr="00297334" w:rsidRDefault="00114F14" w:rsidP="00E55C3F">
            <w:pPr>
              <w:rPr>
                <w:i/>
              </w:rPr>
            </w:pPr>
          </w:p>
        </w:tc>
        <w:tc>
          <w:tcPr>
            <w:tcW w:w="7265" w:type="dxa"/>
            <w:shd w:val="clear" w:color="auto" w:fill="auto"/>
          </w:tcPr>
          <w:p w14:paraId="6B34DEAA" w14:textId="3B7BA36C" w:rsidR="00114F14" w:rsidRDefault="00114F14" w:rsidP="000E1F88">
            <w:pPr>
              <w:pStyle w:val="ListBullet"/>
            </w:pPr>
            <w:r>
              <w:t>Caps the total number of public charter schools in the Maine to 10.</w:t>
            </w:r>
          </w:p>
          <w:p w14:paraId="2447AAC2" w14:textId="0175CB3B" w:rsidR="00114F14" w:rsidRDefault="00114F14" w:rsidP="000E1F88">
            <w:pPr>
              <w:pStyle w:val="ListBullet"/>
            </w:pPr>
            <w:r>
              <w:t>Directs the Maine Charter School Commission to develop a process for the revocation or nonrenewal of a public charter school's charter that is not meeting required performance framework provisions.</w:t>
            </w:r>
          </w:p>
          <w:p w14:paraId="458F82FD" w14:textId="1B71D660" w:rsidR="00114F14" w:rsidRPr="00510BFA" w:rsidRDefault="00114F14" w:rsidP="000E1F88">
            <w:pPr>
              <w:pStyle w:val="ListBullet"/>
              <w:autoSpaceDE w:val="0"/>
              <w:autoSpaceDN w:val="0"/>
              <w:adjustRightInd w:val="0"/>
            </w:pPr>
            <w:r>
              <w:t>Directs the Maine Charter School Commission to report on the recommended process to the Joint Standing Committee on Education &amp; Cultural Affairs by January 1, 2020 and submit any suggested legislation for that implementation.</w:t>
            </w:r>
          </w:p>
        </w:tc>
        <w:tc>
          <w:tcPr>
            <w:tcW w:w="2250" w:type="dxa"/>
            <w:shd w:val="clear" w:color="auto" w:fill="auto"/>
          </w:tcPr>
          <w:p w14:paraId="7A507B9D" w14:textId="77777777" w:rsidR="00114F14" w:rsidRDefault="00114F14" w:rsidP="00E55C3F">
            <w:pPr>
              <w:rPr>
                <w:sz w:val="22"/>
                <w:szCs w:val="22"/>
              </w:rPr>
            </w:pPr>
            <w:r>
              <w:rPr>
                <w:sz w:val="22"/>
                <w:szCs w:val="22"/>
              </w:rPr>
              <w:t>September 19, 2019</w:t>
            </w:r>
          </w:p>
          <w:p w14:paraId="047A0E04" w14:textId="77777777" w:rsidR="00114F14" w:rsidRDefault="00114F14" w:rsidP="00E55C3F">
            <w:pPr>
              <w:rPr>
                <w:sz w:val="22"/>
                <w:szCs w:val="22"/>
              </w:rPr>
            </w:pPr>
          </w:p>
          <w:p w14:paraId="51C3901F" w14:textId="77777777" w:rsidR="00114F14" w:rsidRDefault="00114F14" w:rsidP="00E55C3F">
            <w:pPr>
              <w:rPr>
                <w:sz w:val="22"/>
                <w:szCs w:val="22"/>
              </w:rPr>
            </w:pPr>
          </w:p>
          <w:p w14:paraId="2DA0F941" w14:textId="5F7B4B74" w:rsidR="00114F14" w:rsidRPr="00433A3D" w:rsidRDefault="00114F14" w:rsidP="00E55C3F">
            <w:pPr>
              <w:rPr>
                <w:sz w:val="22"/>
                <w:szCs w:val="22"/>
              </w:rPr>
            </w:pPr>
            <w:r>
              <w:rPr>
                <w:sz w:val="22"/>
                <w:szCs w:val="22"/>
              </w:rPr>
              <w:t>Charter School Commission to submit report to Joint Standing Committee on Education &amp; Cultural Affairs by January 1, 2020</w:t>
            </w:r>
          </w:p>
        </w:tc>
      </w:tr>
      <w:tr w:rsidR="00114F14" w:rsidRPr="008D72F0" w14:paraId="39862A6A" w14:textId="77777777" w:rsidTr="00114F14">
        <w:trPr>
          <w:trHeight w:val="737"/>
        </w:trPr>
        <w:tc>
          <w:tcPr>
            <w:tcW w:w="3080" w:type="dxa"/>
            <w:shd w:val="clear" w:color="auto" w:fill="auto"/>
          </w:tcPr>
          <w:p w14:paraId="724EE6A9" w14:textId="77777777" w:rsidR="00114F14" w:rsidRDefault="00114F14" w:rsidP="00E55C3F">
            <w:pPr>
              <w:rPr>
                <w:b/>
              </w:rPr>
            </w:pPr>
            <w:bookmarkStart w:id="1" w:name="_Hlk16238353"/>
            <w:r>
              <w:rPr>
                <w:b/>
              </w:rPr>
              <w:t xml:space="preserve">LD 309, Resolve 2019, Chapter 70 </w:t>
            </w:r>
          </w:p>
          <w:p w14:paraId="73776707" w14:textId="4AB0F90E" w:rsidR="00114F14" w:rsidRPr="00711851" w:rsidRDefault="00114F14" w:rsidP="00E55C3F">
            <w:pPr>
              <w:rPr>
                <w:i/>
              </w:rPr>
            </w:pPr>
            <w:r w:rsidRPr="00711851">
              <w:rPr>
                <w:i/>
              </w:rPr>
              <w:t xml:space="preserve">Resolve, Directing the Department of Education </w:t>
            </w:r>
            <w:proofErr w:type="gramStart"/>
            <w:r w:rsidRPr="00711851">
              <w:rPr>
                <w:i/>
              </w:rPr>
              <w:t>To</w:t>
            </w:r>
            <w:proofErr w:type="gramEnd"/>
            <w:r w:rsidRPr="00711851">
              <w:rPr>
                <w:i/>
              </w:rPr>
              <w:t xml:space="preserve"> Direct a Study of the Regional Adjustment for School Administrative Units (EMERGENCY)</w:t>
            </w:r>
            <w:bookmarkEnd w:id="1"/>
          </w:p>
        </w:tc>
        <w:tc>
          <w:tcPr>
            <w:tcW w:w="7265" w:type="dxa"/>
            <w:shd w:val="clear" w:color="auto" w:fill="auto"/>
          </w:tcPr>
          <w:p w14:paraId="38809C81" w14:textId="4C91A796" w:rsidR="00114F14" w:rsidRDefault="00114F14" w:rsidP="004C6BBD">
            <w:pPr>
              <w:pStyle w:val="ListBullet"/>
            </w:pPr>
            <w:r w:rsidRPr="004C6BBD">
              <w:t xml:space="preserve">Directs </w:t>
            </w:r>
            <w:r>
              <w:t xml:space="preserve">the </w:t>
            </w:r>
            <w:r w:rsidRPr="004C6BBD">
              <w:t>Maine Education Policy Research Institute (MEPRI)</w:t>
            </w:r>
            <w:r>
              <w:t xml:space="preserve"> to include in their review of the Essential Programs and Services Funding Act the regional adjustment for school administrative units (SAUs) with an update of the data used to calculate the adjustment as well as how any adjustment to the funding formula would affect all SAUs and report to the Department.</w:t>
            </w:r>
          </w:p>
          <w:p w14:paraId="582A2E62" w14:textId="77777777" w:rsidR="00114F14" w:rsidRDefault="00114F14" w:rsidP="00A47773">
            <w:pPr>
              <w:pStyle w:val="ListBullet"/>
            </w:pPr>
            <w:r>
              <w:t xml:space="preserve">Requires the Department to submit the report to the Joint Standing Committee on Education &amp; Cultural Affairs by January 15, 2020. </w:t>
            </w:r>
          </w:p>
          <w:p w14:paraId="46B85C79" w14:textId="1A055554" w:rsidR="00114F14" w:rsidRPr="00510BFA" w:rsidRDefault="00114F14" w:rsidP="00A47773">
            <w:pPr>
              <w:pStyle w:val="ListBullet"/>
            </w:pPr>
            <w:r>
              <w:t>The Committee may submit legislation to the 2nd Regular Session of the 129th Legislature.</w:t>
            </w:r>
          </w:p>
        </w:tc>
        <w:tc>
          <w:tcPr>
            <w:tcW w:w="2250" w:type="dxa"/>
            <w:shd w:val="clear" w:color="auto" w:fill="auto"/>
          </w:tcPr>
          <w:p w14:paraId="7D11B8E6" w14:textId="77777777" w:rsidR="00114F14" w:rsidRDefault="00114F14" w:rsidP="00E55C3F">
            <w:pPr>
              <w:rPr>
                <w:sz w:val="22"/>
                <w:szCs w:val="22"/>
              </w:rPr>
            </w:pPr>
            <w:r>
              <w:rPr>
                <w:sz w:val="22"/>
                <w:szCs w:val="22"/>
              </w:rPr>
              <w:t>June 17, 2019</w:t>
            </w:r>
          </w:p>
          <w:p w14:paraId="042AB498" w14:textId="232DDBCE" w:rsidR="00114F14" w:rsidRDefault="00114F14" w:rsidP="00E55C3F">
            <w:pPr>
              <w:rPr>
                <w:sz w:val="22"/>
                <w:szCs w:val="22"/>
              </w:rPr>
            </w:pPr>
          </w:p>
          <w:p w14:paraId="3156206A" w14:textId="5C809BB7" w:rsidR="00114F14" w:rsidRDefault="00114F14" w:rsidP="00E55C3F">
            <w:pPr>
              <w:rPr>
                <w:sz w:val="22"/>
                <w:szCs w:val="22"/>
              </w:rPr>
            </w:pPr>
            <w:r>
              <w:rPr>
                <w:sz w:val="22"/>
                <w:szCs w:val="22"/>
              </w:rPr>
              <w:t>Department to submit report to the Joint Standing Committee on Education &amp; Cultural Affairs by January 15, 2020.</w:t>
            </w:r>
          </w:p>
          <w:p w14:paraId="29C05B36" w14:textId="0791DF24" w:rsidR="00114F14" w:rsidRPr="00433A3D" w:rsidRDefault="00114F14" w:rsidP="00E55C3F">
            <w:pPr>
              <w:rPr>
                <w:sz w:val="22"/>
                <w:szCs w:val="22"/>
              </w:rPr>
            </w:pPr>
          </w:p>
        </w:tc>
      </w:tr>
      <w:tr w:rsidR="00114F14" w:rsidRPr="008D72F0" w14:paraId="0ACA8627" w14:textId="77777777" w:rsidTr="00114F14">
        <w:trPr>
          <w:trHeight w:val="737"/>
        </w:trPr>
        <w:tc>
          <w:tcPr>
            <w:tcW w:w="3080" w:type="dxa"/>
            <w:shd w:val="clear" w:color="auto" w:fill="auto"/>
          </w:tcPr>
          <w:p w14:paraId="4BBAEBB3" w14:textId="77777777" w:rsidR="00114F14" w:rsidRDefault="00114F14" w:rsidP="00E55C3F">
            <w:pPr>
              <w:rPr>
                <w:b/>
              </w:rPr>
            </w:pPr>
            <w:r>
              <w:rPr>
                <w:b/>
              </w:rPr>
              <w:t>LD 345, Public Law 2019, Chapter 132</w:t>
            </w:r>
          </w:p>
          <w:p w14:paraId="1BF30B0B" w14:textId="77777777" w:rsidR="00114F14" w:rsidRDefault="00114F14" w:rsidP="00E55C3F">
            <w:pPr>
              <w:rPr>
                <w:i/>
              </w:rPr>
            </w:pPr>
            <w:r w:rsidRPr="00711851">
              <w:rPr>
                <w:i/>
              </w:rPr>
              <w:t xml:space="preserve">An Act </w:t>
            </w:r>
            <w:proofErr w:type="gramStart"/>
            <w:r w:rsidRPr="00711851">
              <w:rPr>
                <w:i/>
              </w:rPr>
              <w:t>To</w:t>
            </w:r>
            <w:proofErr w:type="gramEnd"/>
            <w:r w:rsidRPr="00711851">
              <w:rPr>
                <w:i/>
              </w:rPr>
              <w:t xml:space="preserve"> Help New Teachers Succeed</w:t>
            </w:r>
          </w:p>
          <w:p w14:paraId="35F493D3" w14:textId="3AF674FE" w:rsidR="00114F14" w:rsidRPr="00711851" w:rsidRDefault="00114F14" w:rsidP="00E55C3F">
            <w:pPr>
              <w:rPr>
                <w:i/>
              </w:rPr>
            </w:pPr>
          </w:p>
        </w:tc>
        <w:tc>
          <w:tcPr>
            <w:tcW w:w="7265" w:type="dxa"/>
            <w:shd w:val="clear" w:color="auto" w:fill="auto"/>
          </w:tcPr>
          <w:p w14:paraId="64591759" w14:textId="6E744304" w:rsidR="00114F14" w:rsidRDefault="00114F14" w:rsidP="009814A4">
            <w:pPr>
              <w:pStyle w:val="ListBullet"/>
            </w:pPr>
            <w:r>
              <w:t>Requires the superintendent to evaluate probationary teachers during, without limitation, each year of their employment as probationary teachers.</w:t>
            </w:r>
          </w:p>
          <w:p w14:paraId="02D7E1BE" w14:textId="3F4F5562" w:rsidR="00114F14" w:rsidRPr="00510BFA" w:rsidRDefault="00114F14" w:rsidP="006D055D">
            <w:pPr>
              <w:pStyle w:val="ListBullet"/>
            </w:pPr>
            <w:r>
              <w:t>R</w:t>
            </w:r>
            <w:r w:rsidRPr="006501F2">
              <w:t xml:space="preserve">equires that, beginning with teachers hired for the 2020-2021 school year, the probationary period </w:t>
            </w:r>
            <w:r>
              <w:t xml:space="preserve">drops from 3 years to </w:t>
            </w:r>
            <w:r w:rsidRPr="006501F2">
              <w:t>2 years</w:t>
            </w:r>
            <w:r>
              <w:t>.</w:t>
            </w:r>
          </w:p>
        </w:tc>
        <w:tc>
          <w:tcPr>
            <w:tcW w:w="2250" w:type="dxa"/>
            <w:shd w:val="clear" w:color="auto" w:fill="auto"/>
          </w:tcPr>
          <w:p w14:paraId="2EFBF291" w14:textId="5100E421" w:rsidR="00114F14" w:rsidRPr="00433A3D" w:rsidRDefault="00114F14" w:rsidP="00E55C3F">
            <w:pPr>
              <w:rPr>
                <w:sz w:val="22"/>
                <w:szCs w:val="22"/>
              </w:rPr>
            </w:pPr>
            <w:r>
              <w:rPr>
                <w:sz w:val="22"/>
                <w:szCs w:val="22"/>
              </w:rPr>
              <w:t>September 19, 2019</w:t>
            </w:r>
          </w:p>
        </w:tc>
      </w:tr>
      <w:tr w:rsidR="00114F14" w:rsidRPr="008D72F0" w14:paraId="4525049A" w14:textId="77777777" w:rsidTr="00114F14">
        <w:trPr>
          <w:trHeight w:val="737"/>
        </w:trPr>
        <w:tc>
          <w:tcPr>
            <w:tcW w:w="3080" w:type="dxa"/>
            <w:shd w:val="clear" w:color="auto" w:fill="auto"/>
          </w:tcPr>
          <w:p w14:paraId="0B8BA44B" w14:textId="77777777" w:rsidR="00114F14" w:rsidRDefault="00114F14" w:rsidP="00E55C3F">
            <w:pPr>
              <w:rPr>
                <w:b/>
              </w:rPr>
            </w:pPr>
            <w:r>
              <w:rPr>
                <w:b/>
              </w:rPr>
              <w:t>LD 350, Public Law 2019, Chapter 31</w:t>
            </w:r>
          </w:p>
          <w:p w14:paraId="33AE303F" w14:textId="7CD69F64" w:rsidR="00114F14" w:rsidRPr="006C29C3" w:rsidRDefault="00114F14" w:rsidP="00E55C3F">
            <w:pPr>
              <w:rPr>
                <w:i/>
              </w:rPr>
            </w:pPr>
            <w:r w:rsidRPr="006C29C3">
              <w:rPr>
                <w:i/>
              </w:rPr>
              <w:t xml:space="preserve">An Act </w:t>
            </w:r>
            <w:proofErr w:type="gramStart"/>
            <w:r w:rsidRPr="006C29C3">
              <w:rPr>
                <w:i/>
              </w:rPr>
              <w:t>To</w:t>
            </w:r>
            <w:proofErr w:type="gramEnd"/>
            <w:r w:rsidRPr="006C29C3">
              <w:rPr>
                <w:i/>
              </w:rPr>
              <w:t xml:space="preserve"> Exempt School Buses from Snow Tire Restrictions</w:t>
            </w:r>
          </w:p>
        </w:tc>
        <w:tc>
          <w:tcPr>
            <w:tcW w:w="7265" w:type="dxa"/>
            <w:shd w:val="clear" w:color="auto" w:fill="auto"/>
          </w:tcPr>
          <w:p w14:paraId="612D2375" w14:textId="57062146" w:rsidR="00114F14" w:rsidRPr="00E872B1" w:rsidRDefault="00114F14" w:rsidP="00E80E96">
            <w:pPr>
              <w:pStyle w:val="ListBullet"/>
              <w:rPr>
                <w:strike/>
              </w:rPr>
            </w:pPr>
            <w:r>
              <w:t>Allows school buses including those used for Head Start programs to run studded tires year-round.</w:t>
            </w:r>
          </w:p>
          <w:p w14:paraId="3C7DAAEB" w14:textId="77777777" w:rsidR="00114F14" w:rsidRPr="00510BFA" w:rsidRDefault="00114F14" w:rsidP="00433A3D">
            <w:pPr>
              <w:pStyle w:val="ListBullet"/>
              <w:numPr>
                <w:ilvl w:val="0"/>
                <w:numId w:val="0"/>
              </w:numPr>
              <w:ind w:left="280"/>
            </w:pPr>
          </w:p>
        </w:tc>
        <w:tc>
          <w:tcPr>
            <w:tcW w:w="2250" w:type="dxa"/>
            <w:shd w:val="clear" w:color="auto" w:fill="auto"/>
          </w:tcPr>
          <w:p w14:paraId="3C12CA08" w14:textId="1307EBC6" w:rsidR="00114F14" w:rsidRPr="00433A3D" w:rsidRDefault="00114F14" w:rsidP="00E55C3F">
            <w:pPr>
              <w:rPr>
                <w:sz w:val="22"/>
                <w:szCs w:val="22"/>
              </w:rPr>
            </w:pPr>
            <w:r>
              <w:rPr>
                <w:sz w:val="22"/>
                <w:szCs w:val="22"/>
              </w:rPr>
              <w:t>September 19, 2019</w:t>
            </w:r>
          </w:p>
        </w:tc>
      </w:tr>
      <w:tr w:rsidR="00114F14" w:rsidRPr="008D72F0" w14:paraId="4CD80D9E" w14:textId="77777777" w:rsidTr="00114F14">
        <w:trPr>
          <w:trHeight w:val="737"/>
        </w:trPr>
        <w:tc>
          <w:tcPr>
            <w:tcW w:w="3080" w:type="dxa"/>
            <w:shd w:val="clear" w:color="auto" w:fill="auto"/>
          </w:tcPr>
          <w:p w14:paraId="63F4A6AA" w14:textId="7ADF905A" w:rsidR="00114F14" w:rsidRPr="00A74017" w:rsidRDefault="00114F14" w:rsidP="00E55C3F">
            <w:pPr>
              <w:rPr>
                <w:b/>
              </w:rPr>
            </w:pPr>
            <w:r w:rsidRPr="00A74017">
              <w:rPr>
                <w:b/>
              </w:rPr>
              <w:t>LD 369, Public Law 2019, Chapter 156</w:t>
            </w:r>
          </w:p>
        </w:tc>
        <w:tc>
          <w:tcPr>
            <w:tcW w:w="7265" w:type="dxa"/>
            <w:shd w:val="clear" w:color="auto" w:fill="auto"/>
          </w:tcPr>
          <w:p w14:paraId="11A3FEB1" w14:textId="77777777" w:rsidR="00114F14" w:rsidRPr="00A74017" w:rsidRDefault="00114F14" w:rsidP="00122C09">
            <w:pPr>
              <w:pStyle w:val="ListBullet"/>
            </w:pPr>
            <w:r w:rsidRPr="00A74017">
              <w:t>Specifies that the provisions of this earned paid leave does not apply to an employee covered by a collective bargaining agreement during the period between January 1, 2021 and the expiration of the collective bargaining agreement;</w:t>
            </w:r>
          </w:p>
          <w:p w14:paraId="7B99A46E" w14:textId="336F931E" w:rsidR="00114F14" w:rsidRPr="00A74017" w:rsidRDefault="00114F14" w:rsidP="00331646">
            <w:pPr>
              <w:pStyle w:val="ListBullet"/>
            </w:pPr>
            <w:r w:rsidRPr="00A74017">
              <w:t>Requires an employer, except in a seasonal industry, that employs more than 10 employees for more than 120 days in any calendar year to permit each employee to earn paid leave based on the employee's base pay.</w:t>
            </w:r>
          </w:p>
          <w:p w14:paraId="50461841" w14:textId="77777777" w:rsidR="00114F14" w:rsidRPr="00A74017" w:rsidRDefault="00114F14" w:rsidP="00331646">
            <w:pPr>
              <w:pStyle w:val="ListBullet"/>
            </w:pPr>
            <w:r w:rsidRPr="00A74017">
              <w:t>Specifies that an employee is entitled to earn one hour of paid leave from a single employer for every 40 hours worked, up to 40 hours in one year of employment, with accrual of leave beginning at the start of employment.</w:t>
            </w:r>
          </w:p>
          <w:p w14:paraId="2C1D5F0A" w14:textId="77777777" w:rsidR="00114F14" w:rsidRPr="00A74017" w:rsidRDefault="00114F14" w:rsidP="00331646">
            <w:pPr>
              <w:pStyle w:val="ListBullet"/>
            </w:pPr>
            <w:r w:rsidRPr="00A74017">
              <w:t>Requires an employee to work for 120 days before an employer is required to permit use of accrued earned paid leave.</w:t>
            </w:r>
          </w:p>
          <w:p w14:paraId="7DD3CBE9" w14:textId="77777777" w:rsidR="00114F14" w:rsidRPr="00A74017" w:rsidRDefault="00114F14" w:rsidP="00331646">
            <w:pPr>
              <w:pStyle w:val="ListBullet"/>
            </w:pPr>
            <w:r w:rsidRPr="00A74017">
              <w:t>Requires an employer to pay an employee taking earned leave at least the same base rate of pay that employee received immediately prior to taking earned leave and provide the same benefits as those provided under established policies of the employer pertaining to other types of paid leave.</w:t>
            </w:r>
          </w:p>
          <w:p w14:paraId="0B549C06" w14:textId="77777777" w:rsidR="00114F14" w:rsidRPr="00A74017" w:rsidRDefault="00114F14" w:rsidP="00331646">
            <w:pPr>
              <w:pStyle w:val="ListBullet"/>
            </w:pPr>
            <w:r w:rsidRPr="00A74017">
              <w:t>Requires an employee, absent an emergency, illness or other sudden necessity for taking earned leave, to give reasonable notice to the employee's supervisor of the employee's intent to use leave.</w:t>
            </w:r>
          </w:p>
          <w:p w14:paraId="47F251A5" w14:textId="77777777" w:rsidR="00114F14" w:rsidRPr="00A74017" w:rsidRDefault="00114F14" w:rsidP="00331646">
            <w:pPr>
              <w:pStyle w:val="ListBullet"/>
            </w:pPr>
            <w:r w:rsidRPr="00A74017">
              <w:t xml:space="preserve">Specifies that an employee taking earned leave maintains any employee benefits accrued before the date on which the leave commenced, and the leave may not affect the employee's right to health insurance benefits on the same terms and conditions as applicable to similarly situated employees. </w:t>
            </w:r>
          </w:p>
          <w:p w14:paraId="3632FB03" w14:textId="7C230A7C" w:rsidR="00114F14" w:rsidRPr="00A74017" w:rsidRDefault="00114F14" w:rsidP="00331646">
            <w:pPr>
              <w:pStyle w:val="ListBullet"/>
            </w:pPr>
            <w:r w:rsidRPr="00A74017">
              <w:t xml:space="preserve">Allows for the imposition of penalties currently established in the M.R.S., Title 26, section 53. </w:t>
            </w:r>
          </w:p>
          <w:p w14:paraId="5CD47449" w14:textId="77777777" w:rsidR="00114F14" w:rsidRPr="00A74017" w:rsidRDefault="00114F14" w:rsidP="00331646">
            <w:pPr>
              <w:pStyle w:val="ListBullet"/>
            </w:pPr>
            <w:r w:rsidRPr="00A74017">
              <w:t>Preempts the authority of a municipality or other political subdivision to enact any ordinance or other rule purporting to have the force of law under its home rule or other authority regulating earned paid leave.</w:t>
            </w:r>
          </w:p>
          <w:p w14:paraId="5D7DF853" w14:textId="77777777" w:rsidR="00114F14" w:rsidRPr="00A74017" w:rsidRDefault="00114F14" w:rsidP="00331646">
            <w:pPr>
              <w:pStyle w:val="ListBullet"/>
            </w:pPr>
            <w:r w:rsidRPr="00A74017">
              <w:t>Provides the Department of Labor, Bureau of Labor Standards the exclusive authority to enforce the law and requires the Department of Labor to adopt routine technical rules to implement and enforce provisions regarding earned paid leave</w:t>
            </w:r>
          </w:p>
          <w:p w14:paraId="3BAAA259" w14:textId="23E7A292" w:rsidR="00114F14" w:rsidRPr="00A74017" w:rsidRDefault="00114F14" w:rsidP="00331646">
            <w:pPr>
              <w:pStyle w:val="ListBullet"/>
            </w:pPr>
            <w:r w:rsidRPr="00A74017">
              <w:t>Requires the Department of Labor, beginning January 1, 2022 and annually thereafter, to report progress to the Joint Standing Committee on Labor and Housing.</w:t>
            </w:r>
          </w:p>
        </w:tc>
        <w:tc>
          <w:tcPr>
            <w:tcW w:w="2250" w:type="dxa"/>
            <w:shd w:val="clear" w:color="auto" w:fill="auto"/>
          </w:tcPr>
          <w:p w14:paraId="1C22FAF7" w14:textId="146CADFC" w:rsidR="00114F14" w:rsidRPr="00A74017" w:rsidRDefault="00114F14" w:rsidP="00E55C3F">
            <w:pPr>
              <w:rPr>
                <w:sz w:val="22"/>
                <w:szCs w:val="22"/>
              </w:rPr>
            </w:pPr>
            <w:r w:rsidRPr="00A74017">
              <w:rPr>
                <w:sz w:val="22"/>
                <w:szCs w:val="22"/>
              </w:rPr>
              <w:t>January 1, 2021</w:t>
            </w:r>
          </w:p>
        </w:tc>
      </w:tr>
      <w:tr w:rsidR="00114F14" w:rsidRPr="008D72F0" w14:paraId="204DD6CA" w14:textId="77777777" w:rsidTr="00114F14">
        <w:trPr>
          <w:trHeight w:val="737"/>
        </w:trPr>
        <w:tc>
          <w:tcPr>
            <w:tcW w:w="3080" w:type="dxa"/>
            <w:shd w:val="clear" w:color="auto" w:fill="auto"/>
          </w:tcPr>
          <w:p w14:paraId="57B92515" w14:textId="77777777" w:rsidR="00114F14" w:rsidRDefault="00114F14" w:rsidP="00E55C3F">
            <w:pPr>
              <w:rPr>
                <w:b/>
              </w:rPr>
            </w:pPr>
            <w:r>
              <w:rPr>
                <w:b/>
              </w:rPr>
              <w:t>LD 375, Public Law 2019, Chapter 53</w:t>
            </w:r>
          </w:p>
          <w:p w14:paraId="65B9C5A1" w14:textId="333AA0C6" w:rsidR="00114F14" w:rsidRPr="001D4D07" w:rsidRDefault="00114F14" w:rsidP="001D4D07">
            <w:pPr>
              <w:rPr>
                <w:i/>
              </w:rPr>
            </w:pPr>
            <w:r w:rsidRPr="001D4D07">
              <w:rPr>
                <w:i/>
              </w:rPr>
              <w:t xml:space="preserve">An Act </w:t>
            </w:r>
            <w:proofErr w:type="gramStart"/>
            <w:r w:rsidRPr="001D4D07">
              <w:rPr>
                <w:i/>
              </w:rPr>
              <w:t>To</w:t>
            </w:r>
            <w:proofErr w:type="gramEnd"/>
            <w:r w:rsidRPr="001D4D07">
              <w:rPr>
                <w:i/>
              </w:rPr>
              <w:t xml:space="preserve"> Promote the Forest Products Industry in School Construction and Renovation Involving Heating Systems</w:t>
            </w:r>
          </w:p>
        </w:tc>
        <w:tc>
          <w:tcPr>
            <w:tcW w:w="7265" w:type="dxa"/>
            <w:shd w:val="clear" w:color="auto" w:fill="auto"/>
          </w:tcPr>
          <w:p w14:paraId="6EAFF1BC" w14:textId="77777777" w:rsidR="00114F14" w:rsidRPr="00595BEE" w:rsidRDefault="00114F14" w:rsidP="00122C09">
            <w:pPr>
              <w:pStyle w:val="ListBullet"/>
            </w:pPr>
            <w:r>
              <w:t>Requires that the State Board of Education, in approving school construction projects, consider heating systems that use renewable, locally sourced wood-based fuels and that benefit the State’s economy and reduce carbon dioxide emissions in all planning and design for new or substantially renovated schools.</w:t>
            </w:r>
          </w:p>
          <w:p w14:paraId="22DF9811" w14:textId="77777777" w:rsidR="00114F14" w:rsidRPr="00510BFA" w:rsidRDefault="00114F14" w:rsidP="00433A3D">
            <w:pPr>
              <w:pStyle w:val="ListBullet"/>
              <w:numPr>
                <w:ilvl w:val="0"/>
                <w:numId w:val="0"/>
              </w:numPr>
              <w:ind w:left="280"/>
            </w:pPr>
          </w:p>
        </w:tc>
        <w:tc>
          <w:tcPr>
            <w:tcW w:w="2250" w:type="dxa"/>
            <w:shd w:val="clear" w:color="auto" w:fill="auto"/>
          </w:tcPr>
          <w:p w14:paraId="76D99133" w14:textId="69C71F79" w:rsidR="00114F14" w:rsidRPr="00433A3D" w:rsidRDefault="00114F14" w:rsidP="00E55C3F">
            <w:pPr>
              <w:rPr>
                <w:sz w:val="22"/>
                <w:szCs w:val="22"/>
              </w:rPr>
            </w:pPr>
            <w:r>
              <w:rPr>
                <w:sz w:val="22"/>
                <w:szCs w:val="22"/>
              </w:rPr>
              <w:t>September 19, 2019</w:t>
            </w:r>
          </w:p>
        </w:tc>
      </w:tr>
      <w:tr w:rsidR="00114F14" w:rsidRPr="008D72F0" w14:paraId="1D7B90C0" w14:textId="77777777" w:rsidTr="00114F14">
        <w:trPr>
          <w:trHeight w:val="737"/>
        </w:trPr>
        <w:tc>
          <w:tcPr>
            <w:tcW w:w="3080" w:type="dxa"/>
            <w:shd w:val="clear" w:color="auto" w:fill="auto"/>
          </w:tcPr>
          <w:p w14:paraId="46B08EB8" w14:textId="77777777" w:rsidR="00114F14" w:rsidRDefault="00114F14" w:rsidP="00E55C3F">
            <w:pPr>
              <w:rPr>
                <w:b/>
              </w:rPr>
            </w:pPr>
            <w:r>
              <w:rPr>
                <w:b/>
              </w:rPr>
              <w:t>LD 376, Public Law 2019, Chapter 424</w:t>
            </w:r>
          </w:p>
          <w:p w14:paraId="757EDAB3" w14:textId="77777777" w:rsidR="00114F14" w:rsidRPr="00C5092A" w:rsidRDefault="00114F14" w:rsidP="00C5092A">
            <w:pPr>
              <w:rPr>
                <w:i/>
              </w:rPr>
            </w:pPr>
            <w:r w:rsidRPr="00C5092A">
              <w:rPr>
                <w:i/>
              </w:rPr>
              <w:t xml:space="preserve">An Act </w:t>
            </w:r>
            <w:proofErr w:type="gramStart"/>
            <w:r w:rsidRPr="00C5092A">
              <w:rPr>
                <w:i/>
              </w:rPr>
              <w:t>To</w:t>
            </w:r>
            <w:proofErr w:type="gramEnd"/>
            <w:r w:rsidRPr="00C5092A">
              <w:rPr>
                <w:i/>
              </w:rPr>
              <w:t xml:space="preserve"> Expand Health Insurance Options for Town Academies</w:t>
            </w:r>
          </w:p>
          <w:p w14:paraId="7AD94452" w14:textId="617E55DB" w:rsidR="00114F14" w:rsidRPr="00C5092A" w:rsidRDefault="00114F14" w:rsidP="00E55C3F">
            <w:pPr>
              <w:rPr>
                <w:i/>
              </w:rPr>
            </w:pPr>
          </w:p>
        </w:tc>
        <w:tc>
          <w:tcPr>
            <w:tcW w:w="7265" w:type="dxa"/>
            <w:shd w:val="clear" w:color="auto" w:fill="auto"/>
          </w:tcPr>
          <w:p w14:paraId="198B18EA" w14:textId="3738DF2A" w:rsidR="00114F14" w:rsidRDefault="00114F14" w:rsidP="00122C09">
            <w:pPr>
              <w:pStyle w:val="ListBullet"/>
            </w:pPr>
            <w:r>
              <w:t xml:space="preserve">Authorizes that a town academy approved for tuition purposes may enroll in the group health plan available to state employees and other eligible persons no sooner that January 1, 2020.  </w:t>
            </w:r>
          </w:p>
          <w:p w14:paraId="7C1EE616" w14:textId="10C7ECB2" w:rsidR="00114F14" w:rsidRPr="00510BFA" w:rsidRDefault="00114F14" w:rsidP="00122C09">
            <w:pPr>
              <w:pStyle w:val="ListBullet"/>
            </w:pPr>
            <w:r>
              <w:t>Allows new employees of the town academy hired after January 1, 2020 or eligible based on a qualifying life event after January 1, 2020 to enroll in the group health plan on the first day of the month after the employee becomes eligible.</w:t>
            </w:r>
          </w:p>
        </w:tc>
        <w:tc>
          <w:tcPr>
            <w:tcW w:w="2250" w:type="dxa"/>
            <w:shd w:val="clear" w:color="auto" w:fill="auto"/>
          </w:tcPr>
          <w:p w14:paraId="486DD433" w14:textId="15EADAEC" w:rsidR="00114F14" w:rsidRPr="00433A3D" w:rsidRDefault="00114F14" w:rsidP="00E55C3F">
            <w:pPr>
              <w:rPr>
                <w:sz w:val="22"/>
                <w:szCs w:val="22"/>
              </w:rPr>
            </w:pPr>
            <w:r>
              <w:rPr>
                <w:sz w:val="22"/>
                <w:szCs w:val="22"/>
              </w:rPr>
              <w:t>September 19, 2019</w:t>
            </w:r>
          </w:p>
        </w:tc>
      </w:tr>
      <w:tr w:rsidR="00114F14" w:rsidRPr="008D72F0" w14:paraId="346EC882" w14:textId="77777777" w:rsidTr="00114F14">
        <w:trPr>
          <w:trHeight w:val="737"/>
        </w:trPr>
        <w:tc>
          <w:tcPr>
            <w:tcW w:w="3080" w:type="dxa"/>
            <w:shd w:val="clear" w:color="auto" w:fill="auto"/>
          </w:tcPr>
          <w:p w14:paraId="390B3C31" w14:textId="77777777" w:rsidR="00114F14" w:rsidRDefault="00114F14" w:rsidP="00E55C3F">
            <w:pPr>
              <w:rPr>
                <w:b/>
              </w:rPr>
            </w:pPr>
            <w:r>
              <w:rPr>
                <w:b/>
              </w:rPr>
              <w:t>LD 382, Public Law 2019, Chapter 15</w:t>
            </w:r>
          </w:p>
          <w:p w14:paraId="443A4E8A" w14:textId="50C52637" w:rsidR="00114F14" w:rsidRPr="00C5092A" w:rsidRDefault="00114F14" w:rsidP="00E55C3F">
            <w:pPr>
              <w:rPr>
                <w:i/>
              </w:rPr>
            </w:pPr>
            <w:r w:rsidRPr="00C5092A">
              <w:rPr>
                <w:i/>
              </w:rPr>
              <w:t xml:space="preserve">An Act </w:t>
            </w:r>
            <w:proofErr w:type="gramStart"/>
            <w:r w:rsidRPr="00C5092A">
              <w:rPr>
                <w:i/>
              </w:rPr>
              <w:t>To</w:t>
            </w:r>
            <w:proofErr w:type="gramEnd"/>
            <w:r w:rsidRPr="00C5092A">
              <w:rPr>
                <w:i/>
              </w:rPr>
              <w:t xml:space="preserve"> Fund Services for Blind and Visually Impaired Persons at the Maine State Library</w:t>
            </w:r>
          </w:p>
        </w:tc>
        <w:tc>
          <w:tcPr>
            <w:tcW w:w="7265" w:type="dxa"/>
            <w:shd w:val="clear" w:color="auto" w:fill="auto"/>
          </w:tcPr>
          <w:p w14:paraId="6F11CF75" w14:textId="77777777" w:rsidR="00114F14" w:rsidRDefault="00114F14" w:rsidP="00BF2206">
            <w:pPr>
              <w:pStyle w:val="ListBullet"/>
            </w:pPr>
            <w:r>
              <w:t xml:space="preserve">Establishes the Blind and Visually Impaired News Access Fund within the Maine State Library to be used to provide access to the National Federation of the Blind's news network for blind and visually impaired persons. </w:t>
            </w:r>
          </w:p>
          <w:p w14:paraId="0BE3EF5C" w14:textId="744C5F5E" w:rsidR="00114F14" w:rsidRPr="00510BFA" w:rsidRDefault="00114F14" w:rsidP="00BF2206">
            <w:pPr>
              <w:pStyle w:val="ListBullet"/>
            </w:pPr>
            <w:r>
              <w:t>Directs the Public Utilities Commission to transfer $40,000 per year from the state Universal Service Fund to the to support the annual cost of providing access to the network.</w:t>
            </w:r>
          </w:p>
        </w:tc>
        <w:tc>
          <w:tcPr>
            <w:tcW w:w="2250" w:type="dxa"/>
            <w:shd w:val="clear" w:color="auto" w:fill="auto"/>
          </w:tcPr>
          <w:p w14:paraId="42624D20" w14:textId="2DD97144" w:rsidR="00114F14" w:rsidRPr="00433A3D" w:rsidRDefault="00114F14" w:rsidP="00E55C3F">
            <w:pPr>
              <w:rPr>
                <w:sz w:val="22"/>
                <w:szCs w:val="22"/>
              </w:rPr>
            </w:pPr>
            <w:r>
              <w:rPr>
                <w:sz w:val="22"/>
                <w:szCs w:val="22"/>
              </w:rPr>
              <w:t xml:space="preserve">September 19, 2019 </w:t>
            </w:r>
          </w:p>
        </w:tc>
      </w:tr>
      <w:tr w:rsidR="00114F14" w:rsidRPr="003A71E1" w14:paraId="28290AA5" w14:textId="77777777" w:rsidTr="00114F14">
        <w:trPr>
          <w:trHeight w:val="737"/>
        </w:trPr>
        <w:tc>
          <w:tcPr>
            <w:tcW w:w="3080" w:type="dxa"/>
            <w:shd w:val="clear" w:color="auto" w:fill="auto"/>
          </w:tcPr>
          <w:p w14:paraId="657FFD51" w14:textId="77777777" w:rsidR="00114F14" w:rsidRDefault="00114F14" w:rsidP="00E55C3F">
            <w:pPr>
              <w:rPr>
                <w:b/>
              </w:rPr>
            </w:pPr>
            <w:bookmarkStart w:id="2" w:name="_Hlk16250604"/>
            <w:r>
              <w:rPr>
                <w:b/>
              </w:rPr>
              <w:t>LD 388. Public Law 2019, Chapter 114</w:t>
            </w:r>
          </w:p>
          <w:p w14:paraId="6435BE8A" w14:textId="1EEEB530" w:rsidR="00114F14" w:rsidRPr="00C5092A" w:rsidRDefault="00114F14" w:rsidP="00E55C3F">
            <w:pPr>
              <w:rPr>
                <w:i/>
              </w:rPr>
            </w:pPr>
            <w:r w:rsidRPr="00C5092A">
              <w:rPr>
                <w:i/>
              </w:rPr>
              <w:t xml:space="preserve">An Act </w:t>
            </w:r>
            <w:proofErr w:type="gramStart"/>
            <w:r w:rsidRPr="00C5092A">
              <w:rPr>
                <w:i/>
              </w:rPr>
              <w:t>To</w:t>
            </w:r>
            <w:proofErr w:type="gramEnd"/>
            <w:r w:rsidRPr="00C5092A">
              <w:rPr>
                <w:i/>
              </w:rPr>
              <w:t xml:space="preserve"> Recognize Employee Background Checks Conducted for Out-of-state Schools Eligible for Maine Tuition Assistance (EMERGENCY)</w:t>
            </w:r>
          </w:p>
        </w:tc>
        <w:tc>
          <w:tcPr>
            <w:tcW w:w="7265" w:type="dxa"/>
            <w:shd w:val="clear" w:color="auto" w:fill="auto"/>
          </w:tcPr>
          <w:p w14:paraId="1D7D0637" w14:textId="203CADA2" w:rsidR="00114F14" w:rsidRPr="000E0A13" w:rsidRDefault="00114F14" w:rsidP="00FD16DF">
            <w:pPr>
              <w:pStyle w:val="ListBullet"/>
            </w:pPr>
            <w:r>
              <w:t>Provides that an out-of-state secondary school that was included on the list of approved out-of-state secondary schools maintained by the Department of Education for the 2017-2018 school year continues to receive tuition payments for any student who resides in Maine in a school administrative unit that does not maintain a secondary school and who was enrolled at that out-of-state secondary school for the 2018-2019 school year. Tuition payments must continue for such a student until that student graduates or terminates enrollment.</w:t>
            </w:r>
          </w:p>
          <w:p w14:paraId="44DF27EF" w14:textId="428E0674" w:rsidR="00114F14" w:rsidRDefault="00114F14" w:rsidP="00FD16DF">
            <w:pPr>
              <w:pStyle w:val="ListBullet"/>
            </w:pPr>
            <w:r>
              <w:t xml:space="preserve">That tuition payment may not be withheld solely because persons regularly employed in that school do not meet the background check requirements in Maine law. This provision applies </w:t>
            </w:r>
            <w:proofErr w:type="gramStart"/>
            <w:r>
              <w:t>as long as</w:t>
            </w:r>
            <w:proofErr w:type="gramEnd"/>
            <w:r>
              <w:t xml:space="preserve"> those persons are required to meet background check standards in that state determined by the Commissioner of Education to be equivalent to the requirements of Maine law.</w:t>
            </w:r>
          </w:p>
          <w:p w14:paraId="7CDBAC04" w14:textId="6EEB0963" w:rsidR="00114F14" w:rsidRPr="00510BFA" w:rsidRDefault="00114F14" w:rsidP="00CA2FBF">
            <w:pPr>
              <w:pStyle w:val="ListBullet"/>
            </w:pPr>
            <w:r>
              <w:t>Directs to Commissioner to adopt rules to implement this new law.</w:t>
            </w:r>
          </w:p>
        </w:tc>
        <w:tc>
          <w:tcPr>
            <w:tcW w:w="2250" w:type="dxa"/>
            <w:shd w:val="clear" w:color="auto" w:fill="auto"/>
          </w:tcPr>
          <w:p w14:paraId="72433282" w14:textId="77777777" w:rsidR="00114F14" w:rsidRDefault="00114F14" w:rsidP="00E55C3F">
            <w:pPr>
              <w:rPr>
                <w:sz w:val="22"/>
                <w:szCs w:val="22"/>
              </w:rPr>
            </w:pPr>
            <w:r>
              <w:rPr>
                <w:sz w:val="22"/>
                <w:szCs w:val="22"/>
              </w:rPr>
              <w:t>May 16, 2019</w:t>
            </w:r>
          </w:p>
          <w:p w14:paraId="6B57F305" w14:textId="07D42341" w:rsidR="00114F14" w:rsidRDefault="00114F14" w:rsidP="00E55C3F">
            <w:pPr>
              <w:rPr>
                <w:sz w:val="22"/>
                <w:szCs w:val="22"/>
              </w:rPr>
            </w:pPr>
          </w:p>
          <w:p w14:paraId="705916EE" w14:textId="728DFA9B" w:rsidR="00114F14" w:rsidRDefault="00114F14" w:rsidP="00E55C3F">
            <w:pPr>
              <w:rPr>
                <w:sz w:val="22"/>
                <w:szCs w:val="22"/>
              </w:rPr>
            </w:pPr>
          </w:p>
          <w:p w14:paraId="12630746" w14:textId="02CDABF7" w:rsidR="00114F14" w:rsidRPr="00433A3D" w:rsidRDefault="00114F14" w:rsidP="007E01ED">
            <w:pPr>
              <w:rPr>
                <w:sz w:val="22"/>
                <w:szCs w:val="22"/>
              </w:rPr>
            </w:pPr>
          </w:p>
        </w:tc>
      </w:tr>
      <w:bookmarkEnd w:id="2"/>
      <w:tr w:rsidR="00114F14" w:rsidRPr="008D72F0" w14:paraId="60436C5E" w14:textId="77777777" w:rsidTr="00114F14">
        <w:trPr>
          <w:trHeight w:val="737"/>
        </w:trPr>
        <w:tc>
          <w:tcPr>
            <w:tcW w:w="3080" w:type="dxa"/>
            <w:shd w:val="clear" w:color="auto" w:fill="auto"/>
          </w:tcPr>
          <w:p w14:paraId="1917D943" w14:textId="77777777" w:rsidR="00114F14" w:rsidRDefault="00114F14" w:rsidP="00E55C3F">
            <w:pPr>
              <w:rPr>
                <w:b/>
              </w:rPr>
            </w:pPr>
            <w:r>
              <w:rPr>
                <w:b/>
              </w:rPr>
              <w:t>LD 392, Public Law 2019, Chapter 425</w:t>
            </w:r>
          </w:p>
          <w:p w14:paraId="278C1257" w14:textId="560C23E6" w:rsidR="00114F14" w:rsidRPr="002958F3" w:rsidRDefault="00114F14" w:rsidP="00E55C3F">
            <w:pPr>
              <w:rPr>
                <w:i/>
              </w:rPr>
            </w:pPr>
            <w:r w:rsidRPr="002958F3">
              <w:rPr>
                <w:i/>
              </w:rPr>
              <w:t xml:space="preserve">An Act </w:t>
            </w:r>
            <w:proofErr w:type="gramStart"/>
            <w:r w:rsidRPr="002958F3">
              <w:rPr>
                <w:i/>
              </w:rPr>
              <w:t>To</w:t>
            </w:r>
            <w:proofErr w:type="gramEnd"/>
            <w:r w:rsidRPr="002958F3">
              <w:rPr>
                <w:i/>
              </w:rPr>
              <w:t xml:space="preserve"> Fund Maine's School-based Health Centers</w:t>
            </w:r>
          </w:p>
        </w:tc>
        <w:tc>
          <w:tcPr>
            <w:tcW w:w="7265" w:type="dxa"/>
            <w:shd w:val="clear" w:color="auto" w:fill="auto"/>
          </w:tcPr>
          <w:p w14:paraId="43A86D39" w14:textId="3F82AC34" w:rsidR="00114F14" w:rsidRPr="00510BFA" w:rsidRDefault="00114F14" w:rsidP="00CA2FBF">
            <w:pPr>
              <w:pStyle w:val="ListBullet"/>
            </w:pPr>
            <w:r>
              <w:t>Provides Fund for a Health Maine appropriations in FY 19-20 and in FY 20-21 of $600,000 for Maine’s school-based health centers.</w:t>
            </w:r>
          </w:p>
        </w:tc>
        <w:tc>
          <w:tcPr>
            <w:tcW w:w="2250" w:type="dxa"/>
            <w:shd w:val="clear" w:color="auto" w:fill="auto"/>
          </w:tcPr>
          <w:p w14:paraId="2F72EBFA" w14:textId="543C30FE" w:rsidR="00114F14" w:rsidRPr="00433A3D" w:rsidRDefault="00114F14" w:rsidP="00E55C3F">
            <w:pPr>
              <w:rPr>
                <w:sz w:val="22"/>
                <w:szCs w:val="22"/>
              </w:rPr>
            </w:pPr>
            <w:r>
              <w:rPr>
                <w:sz w:val="22"/>
                <w:szCs w:val="22"/>
              </w:rPr>
              <w:t>September 19, 2019</w:t>
            </w:r>
          </w:p>
        </w:tc>
      </w:tr>
      <w:tr w:rsidR="00114F14" w:rsidRPr="008D72F0" w14:paraId="63500144" w14:textId="77777777" w:rsidTr="00114F14">
        <w:trPr>
          <w:trHeight w:val="737"/>
        </w:trPr>
        <w:tc>
          <w:tcPr>
            <w:tcW w:w="3080" w:type="dxa"/>
            <w:shd w:val="clear" w:color="auto" w:fill="auto"/>
          </w:tcPr>
          <w:p w14:paraId="2819CA8F" w14:textId="77777777" w:rsidR="00114F14" w:rsidRDefault="00114F14" w:rsidP="00E55C3F">
            <w:pPr>
              <w:rPr>
                <w:b/>
              </w:rPr>
            </w:pPr>
            <w:r>
              <w:rPr>
                <w:b/>
              </w:rPr>
              <w:t>LD 406, Public Law 2019, Chapter 70</w:t>
            </w:r>
          </w:p>
          <w:p w14:paraId="1631BD68" w14:textId="58AA9FD9" w:rsidR="00114F14" w:rsidRPr="006377AB" w:rsidRDefault="00114F14" w:rsidP="00E55C3F">
            <w:pPr>
              <w:rPr>
                <w:i/>
              </w:rPr>
            </w:pPr>
            <w:r w:rsidRPr="006377AB">
              <w:rPr>
                <w:i/>
              </w:rPr>
              <w:t xml:space="preserve">An Act </w:t>
            </w:r>
            <w:proofErr w:type="gramStart"/>
            <w:r w:rsidRPr="006377AB">
              <w:rPr>
                <w:i/>
              </w:rPr>
              <w:t>To</w:t>
            </w:r>
            <w:proofErr w:type="gramEnd"/>
            <w:r w:rsidRPr="006377AB">
              <w:rPr>
                <w:i/>
              </w:rPr>
              <w:t xml:space="preserve"> Establish Regional School Leadership Academies</w:t>
            </w:r>
          </w:p>
        </w:tc>
        <w:tc>
          <w:tcPr>
            <w:tcW w:w="7265" w:type="dxa"/>
            <w:shd w:val="clear" w:color="auto" w:fill="auto"/>
          </w:tcPr>
          <w:p w14:paraId="12F67197" w14:textId="3417BEB4" w:rsidR="00114F14" w:rsidRDefault="00114F14" w:rsidP="00017D90">
            <w:pPr>
              <w:pStyle w:val="ListBullet"/>
            </w:pPr>
            <w:r>
              <w:t>Authorizes school administrative units to enter into collaborative agreements in a collaborative board to establish regional school leadership academies that combine state and local programs and resources, including the preparation, licensure, certification, professional development and training for educational leadership, into a coherent system that can significantly improve the recruitment and preparation of prospective candidates for school principalship and other school leadership positions, as well as the induction, mentoring and retention of principals and school leaders during the first 2 years of employment in their school leadership positions.</w:t>
            </w:r>
          </w:p>
          <w:p w14:paraId="0D3C01EC" w14:textId="1A3F0E53" w:rsidR="00114F14" w:rsidRPr="00510BFA" w:rsidRDefault="00114F14" w:rsidP="00060E81">
            <w:pPr>
              <w:pStyle w:val="ListBullet"/>
            </w:pPr>
            <w:r>
              <w:t>Directs a regional school leadership academy provide to the Joint Standing Committee on Education &amp; Cultural an annual report that includes information regarding the regional school leadership academy, including the name and location of the academy; the number of teachers, principals and other school leaders trained, mentored and coached; the dollar amount expended; and, if applicable, the number of teachers who were employed as principals or other school leaders.</w:t>
            </w:r>
          </w:p>
        </w:tc>
        <w:tc>
          <w:tcPr>
            <w:tcW w:w="2250" w:type="dxa"/>
            <w:shd w:val="clear" w:color="auto" w:fill="auto"/>
          </w:tcPr>
          <w:p w14:paraId="783DB948" w14:textId="77777777" w:rsidR="00114F14" w:rsidRDefault="00114F14" w:rsidP="00E55C3F">
            <w:pPr>
              <w:rPr>
                <w:sz w:val="22"/>
                <w:szCs w:val="22"/>
              </w:rPr>
            </w:pPr>
            <w:r>
              <w:rPr>
                <w:sz w:val="22"/>
                <w:szCs w:val="22"/>
              </w:rPr>
              <w:t xml:space="preserve">September 19, 2019 </w:t>
            </w:r>
          </w:p>
          <w:p w14:paraId="58AB6F82" w14:textId="2F95C144" w:rsidR="00114F14" w:rsidRDefault="00114F14" w:rsidP="00E55C3F">
            <w:pPr>
              <w:rPr>
                <w:sz w:val="22"/>
                <w:szCs w:val="22"/>
              </w:rPr>
            </w:pPr>
            <w:r>
              <w:rPr>
                <w:sz w:val="22"/>
                <w:szCs w:val="22"/>
              </w:rPr>
              <w:t xml:space="preserve"> </w:t>
            </w:r>
          </w:p>
          <w:p w14:paraId="5222649E" w14:textId="4CEC8B75" w:rsidR="00114F14" w:rsidRPr="00433A3D" w:rsidRDefault="00114F14" w:rsidP="00E55C3F">
            <w:pPr>
              <w:rPr>
                <w:sz w:val="22"/>
                <w:szCs w:val="22"/>
              </w:rPr>
            </w:pPr>
            <w:r>
              <w:rPr>
                <w:sz w:val="22"/>
                <w:szCs w:val="22"/>
              </w:rPr>
              <w:t>June 20, 2020 (Sec.2 of the bill)</w:t>
            </w:r>
          </w:p>
        </w:tc>
      </w:tr>
      <w:tr w:rsidR="00114F14" w:rsidRPr="008D72F0" w14:paraId="0518D844" w14:textId="77777777" w:rsidTr="00114F14">
        <w:trPr>
          <w:trHeight w:val="737"/>
        </w:trPr>
        <w:tc>
          <w:tcPr>
            <w:tcW w:w="3080" w:type="dxa"/>
            <w:shd w:val="clear" w:color="auto" w:fill="auto"/>
          </w:tcPr>
          <w:p w14:paraId="10B1C87D" w14:textId="77777777" w:rsidR="00114F14" w:rsidRDefault="00114F14" w:rsidP="00E55C3F">
            <w:pPr>
              <w:rPr>
                <w:b/>
              </w:rPr>
            </w:pPr>
            <w:r>
              <w:rPr>
                <w:b/>
              </w:rPr>
              <w:t>LD 412, Public Law 2019, Chapter 213</w:t>
            </w:r>
          </w:p>
          <w:p w14:paraId="26DC4AB8" w14:textId="0C643614" w:rsidR="00114F14" w:rsidRPr="00FF197F" w:rsidRDefault="00114F14" w:rsidP="00E55C3F">
            <w:pPr>
              <w:rPr>
                <w:i/>
              </w:rPr>
            </w:pPr>
            <w:r w:rsidRPr="00FF197F">
              <w:rPr>
                <w:i/>
              </w:rPr>
              <w:t xml:space="preserve">An Act </w:t>
            </w:r>
            <w:proofErr w:type="gramStart"/>
            <w:r w:rsidRPr="00FF197F">
              <w:rPr>
                <w:i/>
              </w:rPr>
              <w:t>To</w:t>
            </w:r>
            <w:proofErr w:type="gramEnd"/>
            <w:r w:rsidRPr="00FF197F">
              <w:rPr>
                <w:i/>
              </w:rPr>
              <w:t xml:space="preserve"> Restore System Administration Allocations in Maine School Administrative Units to the Level Prescribed for Fiscal Year 2017-18</w:t>
            </w:r>
          </w:p>
        </w:tc>
        <w:tc>
          <w:tcPr>
            <w:tcW w:w="7265" w:type="dxa"/>
            <w:shd w:val="clear" w:color="auto" w:fill="auto"/>
          </w:tcPr>
          <w:p w14:paraId="25B43F71" w14:textId="77777777" w:rsidR="00114F14" w:rsidRDefault="00114F14" w:rsidP="007E6742">
            <w:pPr>
              <w:pStyle w:val="ListBullet"/>
              <w:rPr>
                <w:lang w:val="en-US"/>
              </w:rPr>
            </w:pPr>
            <w:r w:rsidRPr="007E6742">
              <w:rPr>
                <w:lang w:val="en-US"/>
              </w:rPr>
              <w:t xml:space="preserve">Returns the system administration allocation at $135 per pupil, the same as </w:t>
            </w:r>
            <w:r>
              <w:rPr>
                <w:lang w:val="en-US"/>
              </w:rPr>
              <w:t>it was for fiscal year 2017-18.</w:t>
            </w:r>
          </w:p>
          <w:p w14:paraId="6C2B4131" w14:textId="5882BC1F" w:rsidR="00114F14" w:rsidRPr="00510BFA" w:rsidRDefault="00114F14" w:rsidP="007E6742">
            <w:pPr>
              <w:pStyle w:val="ListBullet"/>
            </w:pPr>
            <w:r w:rsidRPr="007E6742">
              <w:rPr>
                <w:lang w:val="en-US"/>
              </w:rPr>
              <w:t>Repeals provisions that restrict allocation of portions of the funds to school administrative units that have established regionalized administrative services.</w:t>
            </w:r>
          </w:p>
        </w:tc>
        <w:tc>
          <w:tcPr>
            <w:tcW w:w="2250" w:type="dxa"/>
            <w:shd w:val="clear" w:color="auto" w:fill="auto"/>
          </w:tcPr>
          <w:p w14:paraId="5270F886" w14:textId="73BBAC8B" w:rsidR="00114F14" w:rsidRPr="00433A3D" w:rsidRDefault="00114F14" w:rsidP="00E55C3F">
            <w:pPr>
              <w:rPr>
                <w:sz w:val="22"/>
                <w:szCs w:val="22"/>
              </w:rPr>
            </w:pPr>
            <w:r>
              <w:rPr>
                <w:sz w:val="22"/>
                <w:szCs w:val="22"/>
              </w:rPr>
              <w:t>September 19, 2019</w:t>
            </w:r>
          </w:p>
        </w:tc>
      </w:tr>
      <w:tr w:rsidR="00114F14" w:rsidRPr="00A74017" w14:paraId="7D8EB08C" w14:textId="77777777" w:rsidTr="00114F14">
        <w:trPr>
          <w:trHeight w:val="737"/>
        </w:trPr>
        <w:tc>
          <w:tcPr>
            <w:tcW w:w="3080" w:type="dxa"/>
            <w:shd w:val="clear" w:color="auto" w:fill="auto"/>
          </w:tcPr>
          <w:p w14:paraId="040AB7F4" w14:textId="77777777" w:rsidR="00114F14" w:rsidRDefault="00114F14" w:rsidP="00E55C3F">
            <w:pPr>
              <w:rPr>
                <w:b/>
              </w:rPr>
            </w:pPr>
            <w:r>
              <w:rPr>
                <w:b/>
              </w:rPr>
              <w:t>LD 441, Public Law 2019, Chapter 32</w:t>
            </w:r>
          </w:p>
          <w:p w14:paraId="4BA3899A" w14:textId="7778DF1E" w:rsidR="00114F14" w:rsidRPr="00A97D16" w:rsidRDefault="00114F14" w:rsidP="00E55C3F">
            <w:pPr>
              <w:rPr>
                <w:i/>
              </w:rPr>
            </w:pPr>
            <w:r w:rsidRPr="00A97D16">
              <w:rPr>
                <w:i/>
              </w:rPr>
              <w:t xml:space="preserve">An Act </w:t>
            </w:r>
            <w:proofErr w:type="gramStart"/>
            <w:r w:rsidRPr="00A97D16">
              <w:rPr>
                <w:i/>
              </w:rPr>
              <w:t>To</w:t>
            </w:r>
            <w:proofErr w:type="gramEnd"/>
            <w:r w:rsidRPr="00A97D16">
              <w:rPr>
                <w:i/>
              </w:rPr>
              <w:t xml:space="preserve"> Reduce Childhood Exposure to Harmful Ultraviolet Radiation by Allowing Students To Use Sunscreen in Schools</w:t>
            </w:r>
          </w:p>
        </w:tc>
        <w:tc>
          <w:tcPr>
            <w:tcW w:w="7265" w:type="dxa"/>
            <w:shd w:val="clear" w:color="auto" w:fill="auto"/>
          </w:tcPr>
          <w:p w14:paraId="5BE2BE3F" w14:textId="7208D0D2" w:rsidR="00114F14" w:rsidRPr="00510BFA" w:rsidRDefault="00114F14" w:rsidP="007D66DB">
            <w:pPr>
              <w:pStyle w:val="ListBullet"/>
            </w:pPr>
            <w:r>
              <w:t xml:space="preserve">Directs the Commissioner to adopt rules authorizing public school students to possess and use a topical sunscreen product while on school property or at a school-sponsored event without a note or prescription from a licensed health care professional if the product is regulated by the federal Food and Drug Administration for over-the-counter use </w:t>
            </w:r>
            <w:proofErr w:type="gramStart"/>
            <w:r>
              <w:t>for the purpose of</w:t>
            </w:r>
            <w:proofErr w:type="gramEnd"/>
            <w:r>
              <w:t xml:space="preserve"> limiting skin damage from ultraviolet radiation.</w:t>
            </w:r>
          </w:p>
        </w:tc>
        <w:tc>
          <w:tcPr>
            <w:tcW w:w="2250" w:type="dxa"/>
            <w:shd w:val="clear" w:color="auto" w:fill="auto"/>
          </w:tcPr>
          <w:p w14:paraId="7FEDFF11" w14:textId="77777777" w:rsidR="00114F14" w:rsidRDefault="00114F14" w:rsidP="00E55C3F">
            <w:pPr>
              <w:rPr>
                <w:sz w:val="22"/>
                <w:szCs w:val="22"/>
              </w:rPr>
            </w:pPr>
            <w:r>
              <w:rPr>
                <w:sz w:val="22"/>
                <w:szCs w:val="22"/>
              </w:rPr>
              <w:t>September 19, 2019</w:t>
            </w:r>
          </w:p>
          <w:p w14:paraId="71B6FD13" w14:textId="77777777" w:rsidR="00114F14" w:rsidRDefault="00114F14" w:rsidP="00E55C3F">
            <w:pPr>
              <w:rPr>
                <w:sz w:val="22"/>
                <w:szCs w:val="22"/>
              </w:rPr>
            </w:pPr>
          </w:p>
          <w:p w14:paraId="24A966E8" w14:textId="3E5239BA" w:rsidR="00114F14" w:rsidRPr="00433A3D" w:rsidRDefault="00114F14" w:rsidP="00E55C3F">
            <w:pPr>
              <w:rPr>
                <w:sz w:val="22"/>
                <w:szCs w:val="22"/>
              </w:rPr>
            </w:pPr>
            <w:r>
              <w:rPr>
                <w:sz w:val="22"/>
                <w:szCs w:val="22"/>
              </w:rPr>
              <w:t>Department to adopt rules.</w:t>
            </w:r>
          </w:p>
        </w:tc>
      </w:tr>
      <w:tr w:rsidR="00114F14" w:rsidRPr="008D72F0" w14:paraId="67EB9DA6" w14:textId="77777777" w:rsidTr="00114F14">
        <w:trPr>
          <w:trHeight w:val="737"/>
        </w:trPr>
        <w:tc>
          <w:tcPr>
            <w:tcW w:w="3080" w:type="dxa"/>
            <w:shd w:val="clear" w:color="auto" w:fill="auto"/>
          </w:tcPr>
          <w:p w14:paraId="3865F8C0" w14:textId="461836FA" w:rsidR="00114F14" w:rsidRPr="00A97D16" w:rsidRDefault="00114F14" w:rsidP="00E55C3F">
            <w:pPr>
              <w:rPr>
                <w:b/>
              </w:rPr>
            </w:pPr>
            <w:r>
              <w:rPr>
                <w:b/>
              </w:rPr>
              <w:t>LD 454, Public Law 2019, Chapter 511</w:t>
            </w:r>
          </w:p>
          <w:p w14:paraId="3691695F" w14:textId="624768AA" w:rsidR="00114F14" w:rsidRPr="00A97D16" w:rsidRDefault="00114F14" w:rsidP="00E55C3F">
            <w:pPr>
              <w:rPr>
                <w:i/>
              </w:rPr>
            </w:pPr>
            <w:r w:rsidRPr="00A97D16">
              <w:rPr>
                <w:i/>
              </w:rPr>
              <w:t xml:space="preserve">An Act </w:t>
            </w:r>
            <w:proofErr w:type="gramStart"/>
            <w:r w:rsidRPr="00A97D16">
              <w:rPr>
                <w:i/>
              </w:rPr>
              <w:t>To</w:t>
            </w:r>
            <w:proofErr w:type="gramEnd"/>
            <w:r w:rsidRPr="00A97D16">
              <w:rPr>
                <w:i/>
              </w:rPr>
              <w:t xml:space="preserve"> Encourage the Purchase of Local Produce for Public Schools</w:t>
            </w:r>
          </w:p>
        </w:tc>
        <w:tc>
          <w:tcPr>
            <w:tcW w:w="7265" w:type="dxa"/>
            <w:shd w:val="clear" w:color="auto" w:fill="auto"/>
          </w:tcPr>
          <w:p w14:paraId="038432F6" w14:textId="47DE3CA9" w:rsidR="00114F14" w:rsidRPr="00510BFA" w:rsidRDefault="00114F14" w:rsidP="00764645">
            <w:pPr>
              <w:pStyle w:val="ListBullet"/>
            </w:pPr>
            <w:r w:rsidRPr="00F034A0">
              <w:rPr>
                <w:lang w:val="en-US"/>
              </w:rPr>
              <w:t>Provides that the maximum State match from the Local Produce Fund for the purchase of produce or minimally processed foods purchased directly from a farmer, farmers' cooperative</w:t>
            </w:r>
            <w:r>
              <w:rPr>
                <w:lang w:val="en-US"/>
              </w:rPr>
              <w:t>,</w:t>
            </w:r>
            <w:r w:rsidRPr="00F034A0">
              <w:rPr>
                <w:lang w:val="en-US"/>
              </w:rPr>
              <w:t xml:space="preserve"> or local food hub in Maine is $1,000 per school administrative unit in fiscal year 2019-20 and $1,500 per school administrative unit in fiscal year 2020-21 and subsequent years.</w:t>
            </w:r>
          </w:p>
        </w:tc>
        <w:tc>
          <w:tcPr>
            <w:tcW w:w="2250" w:type="dxa"/>
            <w:shd w:val="clear" w:color="auto" w:fill="auto"/>
          </w:tcPr>
          <w:p w14:paraId="01A3CBDB" w14:textId="168ABB14" w:rsidR="00114F14" w:rsidRPr="00433A3D" w:rsidRDefault="00114F14" w:rsidP="00E55C3F">
            <w:pPr>
              <w:rPr>
                <w:sz w:val="22"/>
                <w:szCs w:val="22"/>
              </w:rPr>
            </w:pPr>
            <w:r>
              <w:rPr>
                <w:sz w:val="22"/>
                <w:szCs w:val="22"/>
              </w:rPr>
              <w:t>October 1, 2019</w:t>
            </w:r>
          </w:p>
        </w:tc>
      </w:tr>
      <w:tr w:rsidR="00114F14" w:rsidRPr="008D72F0" w14:paraId="0F8CD95F" w14:textId="77777777" w:rsidTr="00114F14">
        <w:trPr>
          <w:trHeight w:val="737"/>
        </w:trPr>
        <w:tc>
          <w:tcPr>
            <w:tcW w:w="3080" w:type="dxa"/>
            <w:shd w:val="clear" w:color="auto" w:fill="auto"/>
          </w:tcPr>
          <w:p w14:paraId="1F4621A2" w14:textId="77777777" w:rsidR="00114F14" w:rsidRDefault="00114F14" w:rsidP="00E55C3F">
            <w:pPr>
              <w:rPr>
                <w:b/>
              </w:rPr>
            </w:pPr>
            <w:r>
              <w:rPr>
                <w:b/>
              </w:rPr>
              <w:t>LD 497, Public Law 2019, Chapter 39</w:t>
            </w:r>
          </w:p>
          <w:p w14:paraId="503164AD" w14:textId="2B58789B" w:rsidR="00114F14" w:rsidRPr="00A97D16" w:rsidRDefault="00114F14" w:rsidP="00E55C3F">
            <w:pPr>
              <w:rPr>
                <w:i/>
              </w:rPr>
            </w:pPr>
            <w:r w:rsidRPr="00A97D16">
              <w:rPr>
                <w:i/>
              </w:rPr>
              <w:t>An Act Regarding the Providing of Human Food Waste to Swine Producers</w:t>
            </w:r>
          </w:p>
        </w:tc>
        <w:tc>
          <w:tcPr>
            <w:tcW w:w="7265" w:type="dxa"/>
            <w:shd w:val="clear" w:color="auto" w:fill="auto"/>
          </w:tcPr>
          <w:p w14:paraId="11F023AE" w14:textId="0E84BB8E" w:rsidR="00114F14" w:rsidRPr="00510BFA" w:rsidRDefault="00114F14" w:rsidP="00764645">
            <w:pPr>
              <w:pStyle w:val="ListBullet"/>
            </w:pPr>
            <w:r>
              <w:t xml:space="preserve">Specifies that an individual, organization or </w:t>
            </w:r>
            <w:r w:rsidRPr="00764645">
              <w:t>institution</w:t>
            </w:r>
            <w:r>
              <w:t>, including a public school, that donates food waste to a swine producer for use in swine feed is not required to verify that the swine producer has a license to feed garbage to swine.</w:t>
            </w:r>
          </w:p>
        </w:tc>
        <w:tc>
          <w:tcPr>
            <w:tcW w:w="2250" w:type="dxa"/>
            <w:shd w:val="clear" w:color="auto" w:fill="auto"/>
          </w:tcPr>
          <w:p w14:paraId="44959417" w14:textId="744F650A" w:rsidR="00114F14" w:rsidRPr="00433A3D" w:rsidRDefault="00114F14" w:rsidP="00E55C3F">
            <w:pPr>
              <w:rPr>
                <w:sz w:val="22"/>
                <w:szCs w:val="22"/>
              </w:rPr>
            </w:pPr>
            <w:r>
              <w:rPr>
                <w:sz w:val="22"/>
                <w:szCs w:val="22"/>
              </w:rPr>
              <w:t>September 1, 2019</w:t>
            </w:r>
          </w:p>
        </w:tc>
      </w:tr>
      <w:tr w:rsidR="00114F14" w:rsidRPr="008D72F0" w14:paraId="3B0CA85D" w14:textId="77777777" w:rsidTr="00114F14">
        <w:trPr>
          <w:trHeight w:val="737"/>
        </w:trPr>
        <w:tc>
          <w:tcPr>
            <w:tcW w:w="3080" w:type="dxa"/>
            <w:shd w:val="clear" w:color="auto" w:fill="auto"/>
          </w:tcPr>
          <w:p w14:paraId="120A7B8C" w14:textId="77777777" w:rsidR="00114F14" w:rsidRDefault="00114F14" w:rsidP="00E55C3F">
            <w:pPr>
              <w:rPr>
                <w:b/>
              </w:rPr>
            </w:pPr>
            <w:r>
              <w:rPr>
                <w:b/>
              </w:rPr>
              <w:t>LD 513, Public Law 2019,</w:t>
            </w:r>
          </w:p>
          <w:p w14:paraId="0C2CE566" w14:textId="77777777" w:rsidR="00114F14" w:rsidRDefault="00114F14" w:rsidP="00E55C3F">
            <w:pPr>
              <w:rPr>
                <w:b/>
              </w:rPr>
            </w:pPr>
            <w:r>
              <w:rPr>
                <w:b/>
              </w:rPr>
              <w:t>Chapter 253</w:t>
            </w:r>
          </w:p>
          <w:p w14:paraId="611F8198" w14:textId="05CF699E" w:rsidR="00114F14" w:rsidRPr="00471349" w:rsidRDefault="00114F14" w:rsidP="00E55C3F">
            <w:pPr>
              <w:rPr>
                <w:i/>
              </w:rPr>
            </w:pPr>
            <w:r w:rsidRPr="00471349">
              <w:rPr>
                <w:i/>
              </w:rPr>
              <w:t xml:space="preserve">An Act </w:t>
            </w:r>
            <w:proofErr w:type="gramStart"/>
            <w:r w:rsidRPr="00471349">
              <w:rPr>
                <w:i/>
              </w:rPr>
              <w:t>To</w:t>
            </w:r>
            <w:proofErr w:type="gramEnd"/>
            <w:r w:rsidRPr="00471349">
              <w:rPr>
                <w:i/>
              </w:rPr>
              <w:t xml:space="preserve"> Limit the Number of Students and Prevent the Addition of Grade Levels at Virtual Public Charter Schools</w:t>
            </w:r>
          </w:p>
        </w:tc>
        <w:tc>
          <w:tcPr>
            <w:tcW w:w="7265" w:type="dxa"/>
            <w:shd w:val="clear" w:color="auto" w:fill="auto"/>
          </w:tcPr>
          <w:p w14:paraId="2B2BF6EE" w14:textId="77777777" w:rsidR="00114F14" w:rsidRPr="00D9444F" w:rsidRDefault="00114F14" w:rsidP="00585F6A">
            <w:pPr>
              <w:pStyle w:val="ListBullet"/>
              <w:rPr>
                <w:lang w:val="en-US"/>
              </w:rPr>
            </w:pPr>
            <w:r w:rsidRPr="00D9444F">
              <w:rPr>
                <w:lang w:val="en-US"/>
              </w:rPr>
              <w:t>Limits the total enrollment at all virtual public charter schools authorized by the Maine Charter School Commission to 1,000 students.</w:t>
            </w:r>
          </w:p>
          <w:p w14:paraId="10BB9B0F" w14:textId="7F920266" w:rsidR="00114F14" w:rsidRPr="00510BFA" w:rsidRDefault="00114F14" w:rsidP="00585F6A">
            <w:pPr>
              <w:pStyle w:val="ListBullet"/>
            </w:pPr>
            <w:r w:rsidRPr="00585F6A">
              <w:t>Prohibits</w:t>
            </w:r>
            <w:r w:rsidRPr="00D9444F">
              <w:rPr>
                <w:lang w:val="en-US"/>
              </w:rPr>
              <w:t xml:space="preserve"> a virtual public charter school authorized by the Commission from expanding to serve a grade level not included in the school's initial charter contract or, for a school whose charter was renewed prior to November 1, 2019, the renewed charter contract.</w:t>
            </w:r>
          </w:p>
        </w:tc>
        <w:tc>
          <w:tcPr>
            <w:tcW w:w="2250" w:type="dxa"/>
            <w:shd w:val="clear" w:color="auto" w:fill="auto"/>
          </w:tcPr>
          <w:p w14:paraId="08384513" w14:textId="5649B2D7" w:rsidR="00114F14" w:rsidRPr="00433A3D" w:rsidRDefault="00114F14" w:rsidP="00E55C3F">
            <w:pPr>
              <w:rPr>
                <w:sz w:val="22"/>
                <w:szCs w:val="22"/>
              </w:rPr>
            </w:pPr>
            <w:r>
              <w:rPr>
                <w:sz w:val="22"/>
                <w:szCs w:val="22"/>
              </w:rPr>
              <w:t>September 19, 2019</w:t>
            </w:r>
          </w:p>
        </w:tc>
      </w:tr>
      <w:tr w:rsidR="00114F14" w:rsidRPr="008D72F0" w14:paraId="306FC468" w14:textId="77777777" w:rsidTr="00114F14">
        <w:trPr>
          <w:trHeight w:val="737"/>
        </w:trPr>
        <w:tc>
          <w:tcPr>
            <w:tcW w:w="3080" w:type="dxa"/>
            <w:shd w:val="clear" w:color="auto" w:fill="auto"/>
          </w:tcPr>
          <w:p w14:paraId="290DDDEB" w14:textId="69144298" w:rsidR="00114F14" w:rsidRDefault="00114F14" w:rsidP="00471349">
            <w:pPr>
              <w:rPr>
                <w:b/>
              </w:rPr>
            </w:pPr>
            <w:r>
              <w:rPr>
                <w:b/>
              </w:rPr>
              <w:t>LD 541, Resolve 2019, Chapter 45</w:t>
            </w:r>
          </w:p>
          <w:p w14:paraId="494BB3C9" w14:textId="389A73C6" w:rsidR="00114F14" w:rsidRPr="00471349" w:rsidRDefault="00114F14" w:rsidP="00471349">
            <w:pPr>
              <w:rPr>
                <w:i/>
              </w:rPr>
            </w:pPr>
            <w:r w:rsidRPr="00471349">
              <w:rPr>
                <w:i/>
              </w:rPr>
              <w:t>Resolve, To Reduce Food Waste in Schools</w:t>
            </w:r>
          </w:p>
          <w:p w14:paraId="4CF8F3DF" w14:textId="03492B46" w:rsidR="00114F14" w:rsidRPr="00471349" w:rsidRDefault="00114F14" w:rsidP="00471349">
            <w:pPr>
              <w:rPr>
                <w:i/>
              </w:rPr>
            </w:pPr>
          </w:p>
        </w:tc>
        <w:tc>
          <w:tcPr>
            <w:tcW w:w="7265" w:type="dxa"/>
            <w:shd w:val="clear" w:color="auto" w:fill="auto"/>
          </w:tcPr>
          <w:p w14:paraId="2EDE9688" w14:textId="27A6D783" w:rsidR="00114F14" w:rsidRDefault="00114F14" w:rsidP="001655B6">
            <w:pPr>
              <w:pStyle w:val="ListBullet"/>
            </w:pPr>
            <w:r>
              <w:t xml:space="preserve">Directs the Department and the Department of Health &amp; Human Services, Maine Center for Disease Control &amp; Prevention (MCDC&amp;P) to collaborate to revise MCDC&amp;P’s health inspection program guidance titled "Food Sharing Tables - Guidance for Schools", as long as it meets the USDA’s Food and Nutrition Service guidance on food share tables, and to distribute the revised guidance to public school food service programs by January 1, 2020. </w:t>
            </w:r>
          </w:p>
          <w:p w14:paraId="05B08509" w14:textId="76574CB5" w:rsidR="00114F14" w:rsidRPr="00510BFA" w:rsidRDefault="00114F14" w:rsidP="001655B6">
            <w:pPr>
              <w:pStyle w:val="ListBullet"/>
            </w:pPr>
            <w:r>
              <w:t>Directs the Department to develop food sharing guidance to encourage schools and food banks to work together</w:t>
            </w:r>
            <w:r w:rsidRPr="001655B6">
              <w:rPr>
                <w:lang w:val="en-US"/>
              </w:rPr>
              <w:t xml:space="preserve"> to collect whole and packaged school cafeteria surplus or leftover food and share it with the community.</w:t>
            </w:r>
          </w:p>
        </w:tc>
        <w:tc>
          <w:tcPr>
            <w:tcW w:w="2250" w:type="dxa"/>
            <w:shd w:val="clear" w:color="auto" w:fill="auto"/>
          </w:tcPr>
          <w:p w14:paraId="10B9CA68" w14:textId="77777777" w:rsidR="00114F14" w:rsidRDefault="00114F14" w:rsidP="00471349">
            <w:pPr>
              <w:rPr>
                <w:sz w:val="22"/>
                <w:szCs w:val="22"/>
              </w:rPr>
            </w:pPr>
            <w:r>
              <w:rPr>
                <w:sz w:val="22"/>
                <w:szCs w:val="22"/>
              </w:rPr>
              <w:t>September 19, 2019</w:t>
            </w:r>
          </w:p>
          <w:p w14:paraId="28D0392D" w14:textId="77777777" w:rsidR="00114F14" w:rsidRDefault="00114F14" w:rsidP="00471349">
            <w:pPr>
              <w:rPr>
                <w:sz w:val="22"/>
                <w:szCs w:val="22"/>
              </w:rPr>
            </w:pPr>
          </w:p>
          <w:p w14:paraId="5FEC67A2" w14:textId="0E26B7FD" w:rsidR="00114F14" w:rsidRPr="00433A3D" w:rsidRDefault="00114F14" w:rsidP="00471349">
            <w:pPr>
              <w:rPr>
                <w:sz w:val="22"/>
                <w:szCs w:val="22"/>
              </w:rPr>
            </w:pPr>
          </w:p>
        </w:tc>
      </w:tr>
      <w:tr w:rsidR="00114F14" w:rsidRPr="008D72F0" w14:paraId="723391D7" w14:textId="77777777" w:rsidTr="00114F14">
        <w:trPr>
          <w:trHeight w:val="737"/>
        </w:trPr>
        <w:tc>
          <w:tcPr>
            <w:tcW w:w="3080" w:type="dxa"/>
            <w:shd w:val="clear" w:color="auto" w:fill="auto"/>
          </w:tcPr>
          <w:p w14:paraId="344D8C6C" w14:textId="77777777" w:rsidR="00114F14" w:rsidRDefault="00114F14" w:rsidP="00471349">
            <w:pPr>
              <w:rPr>
                <w:b/>
              </w:rPr>
            </w:pPr>
            <w:r>
              <w:rPr>
                <w:b/>
              </w:rPr>
              <w:t>LD 576, Resolve 2019, Chapter 25</w:t>
            </w:r>
          </w:p>
          <w:p w14:paraId="42CE7E34" w14:textId="12A8B4D5" w:rsidR="00114F14" w:rsidRPr="008010F9" w:rsidRDefault="00114F14" w:rsidP="00471349">
            <w:pPr>
              <w:rPr>
                <w:i/>
              </w:rPr>
            </w:pPr>
            <w:r w:rsidRPr="008010F9">
              <w:rPr>
                <w:i/>
              </w:rPr>
              <w:t>Resolve, Directing the Department of Education to Study and Develop an Online Learning Platform for Students and Educators</w:t>
            </w:r>
          </w:p>
        </w:tc>
        <w:tc>
          <w:tcPr>
            <w:tcW w:w="7265" w:type="dxa"/>
            <w:shd w:val="clear" w:color="auto" w:fill="auto"/>
          </w:tcPr>
          <w:p w14:paraId="26F48443" w14:textId="77777777" w:rsidR="00114F14" w:rsidRPr="00975F38" w:rsidRDefault="00114F14" w:rsidP="00975F38">
            <w:pPr>
              <w:pStyle w:val="ListBullet"/>
              <w:rPr>
                <w:lang w:val="en-US"/>
              </w:rPr>
            </w:pPr>
            <w:r w:rsidRPr="00975F38">
              <w:rPr>
                <w:lang w:val="en-US"/>
              </w:rPr>
              <w:t>Requires the Department to establish a working group to study and develop an online learning platform to facilitate online virtual instruction by state-certified teachers and professional development opportunities to educators.</w:t>
            </w:r>
          </w:p>
          <w:p w14:paraId="06CC6DE1" w14:textId="537A3DB4" w:rsidR="00114F14" w:rsidRPr="00510BFA" w:rsidRDefault="00114F14" w:rsidP="00975F38">
            <w:pPr>
              <w:pStyle w:val="ListBullet"/>
            </w:pPr>
            <w:r>
              <w:t>Directs the Department to report to the Joint Standing Committee on Education &amp; Cultural Affairs on the findings and recommendations by January 1, 2020.  Authorizes the Committee to submit legislation to the 2nd Regular Session of the 129th Legislature.</w:t>
            </w:r>
          </w:p>
        </w:tc>
        <w:tc>
          <w:tcPr>
            <w:tcW w:w="2250" w:type="dxa"/>
            <w:shd w:val="clear" w:color="auto" w:fill="auto"/>
          </w:tcPr>
          <w:p w14:paraId="31821C51" w14:textId="77777777" w:rsidR="00114F14" w:rsidRDefault="00114F14" w:rsidP="00471349">
            <w:pPr>
              <w:rPr>
                <w:sz w:val="22"/>
                <w:szCs w:val="22"/>
              </w:rPr>
            </w:pPr>
            <w:r>
              <w:rPr>
                <w:sz w:val="22"/>
                <w:szCs w:val="22"/>
              </w:rPr>
              <w:t>September 19, 2019</w:t>
            </w:r>
          </w:p>
          <w:p w14:paraId="06CD82F1" w14:textId="77777777" w:rsidR="00114F14" w:rsidRDefault="00114F14" w:rsidP="00471349">
            <w:pPr>
              <w:rPr>
                <w:sz w:val="22"/>
                <w:szCs w:val="22"/>
              </w:rPr>
            </w:pPr>
          </w:p>
          <w:p w14:paraId="6BA0142C" w14:textId="4A72D83B" w:rsidR="00114F14" w:rsidRPr="00433A3D" w:rsidRDefault="00114F14" w:rsidP="00471349">
            <w:pPr>
              <w:rPr>
                <w:sz w:val="22"/>
                <w:szCs w:val="22"/>
              </w:rPr>
            </w:pPr>
            <w:r>
              <w:rPr>
                <w:sz w:val="22"/>
                <w:szCs w:val="22"/>
              </w:rPr>
              <w:t>Department to submit report to Joint Standing Committee on Education &amp; Cultural Affairs by January 1, 2020</w:t>
            </w:r>
          </w:p>
        </w:tc>
      </w:tr>
      <w:tr w:rsidR="00114F14" w:rsidRPr="008D72F0" w14:paraId="5834D5F4" w14:textId="77777777" w:rsidTr="00114F14">
        <w:trPr>
          <w:trHeight w:val="737"/>
        </w:trPr>
        <w:tc>
          <w:tcPr>
            <w:tcW w:w="3080" w:type="dxa"/>
            <w:shd w:val="clear" w:color="auto" w:fill="auto"/>
          </w:tcPr>
          <w:p w14:paraId="0F19DD00" w14:textId="77777777" w:rsidR="00114F14" w:rsidRDefault="00114F14" w:rsidP="009D0A68">
            <w:pPr>
              <w:rPr>
                <w:b/>
              </w:rPr>
            </w:pPr>
            <w:r>
              <w:rPr>
                <w:b/>
              </w:rPr>
              <w:t>LD 577, Public Law 2019, Chapter 428</w:t>
            </w:r>
          </w:p>
          <w:p w14:paraId="5780C812" w14:textId="19642859" w:rsidR="00114F14" w:rsidRPr="009D0A68" w:rsidRDefault="00114F14" w:rsidP="009D0A68">
            <w:pPr>
              <w:rPr>
                <w:i/>
              </w:rPr>
            </w:pPr>
            <w:r w:rsidRPr="009D0A68">
              <w:rPr>
                <w:i/>
              </w:rPr>
              <w:t xml:space="preserve">An Act </w:t>
            </w:r>
            <w:proofErr w:type="gramStart"/>
            <w:r w:rsidRPr="009D0A68">
              <w:rPr>
                <w:i/>
              </w:rPr>
              <w:t>To</w:t>
            </w:r>
            <w:proofErr w:type="gramEnd"/>
            <w:r w:rsidRPr="009D0A68">
              <w:rPr>
                <w:i/>
              </w:rPr>
              <w:t xml:space="preserve"> Increase Access to Nutritious Foods in Schools by Implementing an After-school Food Program for At-risk Students</w:t>
            </w:r>
          </w:p>
        </w:tc>
        <w:tc>
          <w:tcPr>
            <w:tcW w:w="7265" w:type="dxa"/>
            <w:shd w:val="clear" w:color="auto" w:fill="auto"/>
          </w:tcPr>
          <w:p w14:paraId="3AAC0CB5" w14:textId="77777777" w:rsidR="00114F14" w:rsidRDefault="00114F14" w:rsidP="00D37AB7">
            <w:pPr>
              <w:pStyle w:val="ListBullet"/>
            </w:pPr>
            <w:r>
              <w:t>Beginning in the 2019-20 school year, requires that school administrative units (SAUs) participate in the federal child and adult care food program to serve at-risk students who attend after-school programming if the SAU has at least one public school in which at least 50% of students qualified for a free or reduced-price lunch during the preceding school year.</w:t>
            </w:r>
          </w:p>
          <w:p w14:paraId="0288307C" w14:textId="67EE3BDF" w:rsidR="00114F14" w:rsidRPr="00510BFA" w:rsidRDefault="00114F14" w:rsidP="002D0E0F">
            <w:pPr>
              <w:pStyle w:val="ListBullet"/>
            </w:pPr>
            <w:r>
              <w:t xml:space="preserve">The SAU may choose not to operate a program after a public hearing and vote by the school board due to financial or logistical challenges. </w:t>
            </w:r>
          </w:p>
        </w:tc>
        <w:tc>
          <w:tcPr>
            <w:tcW w:w="2250" w:type="dxa"/>
            <w:shd w:val="clear" w:color="auto" w:fill="auto"/>
          </w:tcPr>
          <w:p w14:paraId="3DB8C5A3" w14:textId="2D522FE7" w:rsidR="00114F14" w:rsidRPr="00433A3D" w:rsidRDefault="00114F14" w:rsidP="009D0A68">
            <w:pPr>
              <w:rPr>
                <w:sz w:val="22"/>
                <w:szCs w:val="22"/>
              </w:rPr>
            </w:pPr>
            <w:r>
              <w:rPr>
                <w:sz w:val="22"/>
                <w:szCs w:val="22"/>
              </w:rPr>
              <w:t>September 19, 2019</w:t>
            </w:r>
          </w:p>
        </w:tc>
      </w:tr>
      <w:tr w:rsidR="00114F14" w:rsidRPr="008D72F0" w14:paraId="2E11B12A" w14:textId="77777777" w:rsidTr="00114F14">
        <w:trPr>
          <w:trHeight w:val="737"/>
        </w:trPr>
        <w:tc>
          <w:tcPr>
            <w:tcW w:w="3080" w:type="dxa"/>
            <w:shd w:val="clear" w:color="auto" w:fill="auto"/>
          </w:tcPr>
          <w:p w14:paraId="274BE003" w14:textId="77777777" w:rsidR="00114F14" w:rsidRDefault="00114F14" w:rsidP="009D0A68">
            <w:pPr>
              <w:rPr>
                <w:b/>
              </w:rPr>
            </w:pPr>
            <w:r>
              <w:rPr>
                <w:b/>
              </w:rPr>
              <w:t>LD 642, Public Law 2019, Chapter 429</w:t>
            </w:r>
          </w:p>
          <w:p w14:paraId="465E1635" w14:textId="324A69FE" w:rsidR="00114F14" w:rsidRPr="003F276D" w:rsidRDefault="00114F14" w:rsidP="009D0A68">
            <w:pPr>
              <w:rPr>
                <w:i/>
              </w:rPr>
            </w:pPr>
            <w:r w:rsidRPr="003F276D">
              <w:rPr>
                <w:i/>
              </w:rPr>
              <w:t>An Act Regarding Kindergarten Readiness for Children Who Are Deaf and Hard of Hearing</w:t>
            </w:r>
          </w:p>
        </w:tc>
        <w:tc>
          <w:tcPr>
            <w:tcW w:w="7265" w:type="dxa"/>
            <w:shd w:val="clear" w:color="auto" w:fill="auto"/>
          </w:tcPr>
          <w:p w14:paraId="115C2361" w14:textId="1C704A56" w:rsidR="00114F14" w:rsidRDefault="00114F14" w:rsidP="00DD2E71">
            <w:pPr>
              <w:pStyle w:val="ListBullet"/>
            </w:pPr>
            <w:r>
              <w:t>Directs the Commissioner, beginning July 31, 2020 and annually thereafter, to submit a report to the Joint Standing Committee on Education &amp; Cultural Affairs of the data specific to language and literacy development of children who are deaf and hard of hearing from birth to 5 years of age, including those children and that have other disabilities, that  demonstrate the children's language and literacy development relative to their peers who are not deaf or hard of hearing to include any language developmental milestones or parent resources used by the Department of the child’s development stages toward literacy in American Sign Language (ASL) and English.</w:t>
            </w:r>
          </w:p>
          <w:p w14:paraId="7CEAD5C5" w14:textId="7AFDAA88" w:rsidR="00114F14" w:rsidRDefault="00114F14" w:rsidP="00E07EB7">
            <w:pPr>
              <w:pStyle w:val="ListBullet"/>
            </w:pPr>
            <w:r>
              <w:t>Provides General Fund appropriations of $21,336 if FY 19-20 for consulting services to support the work.</w:t>
            </w:r>
          </w:p>
          <w:p w14:paraId="6BF92A95" w14:textId="0489A942" w:rsidR="00114F14" w:rsidRDefault="00114F14" w:rsidP="00E07EB7">
            <w:pPr>
              <w:pStyle w:val="ListBullet"/>
            </w:pPr>
            <w:r>
              <w:t>Directs the Commissioner to establish a task force by November 1, 2019 that must include:</w:t>
            </w:r>
          </w:p>
          <w:p w14:paraId="302F0EA9" w14:textId="23361429" w:rsidR="00114F14" w:rsidRDefault="00114F14" w:rsidP="00E47C42">
            <w:pPr>
              <w:pStyle w:val="ListBullet"/>
              <w:numPr>
                <w:ilvl w:val="0"/>
                <w:numId w:val="20"/>
              </w:numPr>
            </w:pPr>
            <w:proofErr w:type="gramStart"/>
            <w:r>
              <w:t>A majority of</w:t>
            </w:r>
            <w:proofErr w:type="gramEnd"/>
            <w:r>
              <w:t xml:space="preserve"> members who are deaf or hard of hearing;</w:t>
            </w:r>
          </w:p>
          <w:p w14:paraId="6CB033F8" w14:textId="06752DCE" w:rsidR="00114F14" w:rsidRDefault="00114F14" w:rsidP="00E47C42">
            <w:pPr>
              <w:pStyle w:val="ListBullet"/>
              <w:numPr>
                <w:ilvl w:val="0"/>
                <w:numId w:val="20"/>
              </w:numPr>
            </w:pPr>
            <w:r>
              <w:t>Members who are advocates and professionals within the field of education for children and for parents of children who are deaf and hard of hearing</w:t>
            </w:r>
          </w:p>
          <w:p w14:paraId="586ADB6D" w14:textId="116B27B8" w:rsidR="00114F14" w:rsidRDefault="00114F14" w:rsidP="00E47C42">
            <w:pPr>
              <w:pStyle w:val="ListBullet"/>
              <w:numPr>
                <w:ilvl w:val="0"/>
                <w:numId w:val="20"/>
              </w:numPr>
            </w:pPr>
            <w:r>
              <w:t>A balance between members who personally, professionally or as parents use both ASL and English, and English only.</w:t>
            </w:r>
          </w:p>
          <w:p w14:paraId="6EE1DD58" w14:textId="60E4836B" w:rsidR="00114F14" w:rsidRDefault="00114F14" w:rsidP="00511A6F">
            <w:pPr>
              <w:pStyle w:val="ListBullet"/>
            </w:pPr>
            <w:r>
              <w:t xml:space="preserve">Other members may include parents of deaf or hard of hearing children; credentialed teachers of students who are deaf and hard of hearing; advocates; licensed specialists; a representative of the Child Development Services System; a representative from the Maine Newborn Hearing Program within the Department of Health &amp; Human Services. </w:t>
            </w:r>
          </w:p>
          <w:p w14:paraId="2FD53B35" w14:textId="356D5AE0" w:rsidR="00114F14" w:rsidRDefault="00114F14" w:rsidP="00511A6F">
            <w:pPr>
              <w:pStyle w:val="ListBullet"/>
            </w:pPr>
            <w:r>
              <w:t>Directs the Department to submit an interim report by March 1, 2020 and a final report by January 1, 2021 on finding and recommendations of the task force to the Joint Standing Committee on Education &amp; Cultural Affairs.   The reports are to include:</w:t>
            </w:r>
          </w:p>
          <w:p w14:paraId="1D0BE1AB" w14:textId="70E5F5A1" w:rsidR="00114F14" w:rsidRDefault="00114F14" w:rsidP="00E47C42">
            <w:pPr>
              <w:pStyle w:val="ListBullet"/>
              <w:numPr>
                <w:ilvl w:val="0"/>
                <w:numId w:val="21"/>
              </w:numPr>
              <w:ind w:left="786"/>
            </w:pPr>
            <w:r>
              <w:t>The parent resource portfolio developed by the task force and a procedure to distribute that to parents and guardians of children who are deaf and hard of hearing;</w:t>
            </w:r>
          </w:p>
          <w:p w14:paraId="410D0E36" w14:textId="19600D10" w:rsidR="00114F14" w:rsidRDefault="00114F14" w:rsidP="00E47C42">
            <w:pPr>
              <w:pStyle w:val="ListBullet"/>
              <w:numPr>
                <w:ilvl w:val="0"/>
                <w:numId w:val="21"/>
              </w:numPr>
              <w:ind w:left="786"/>
            </w:pPr>
            <w:r>
              <w:t>A procedure to distribute educator tools and assessments selected by the Department for use by local educational agencies in assisting children who are deaf and hard of hearing to become linguistically prepared for kindergarten using ASL or English or both;</w:t>
            </w:r>
          </w:p>
          <w:p w14:paraId="2499DFCF" w14:textId="19EC22CE" w:rsidR="00114F14" w:rsidRDefault="00114F14" w:rsidP="00E47C42">
            <w:pPr>
              <w:pStyle w:val="ListBullet"/>
              <w:numPr>
                <w:ilvl w:val="0"/>
                <w:numId w:val="21"/>
              </w:numPr>
              <w:ind w:left="786"/>
            </w:pPr>
            <w:r>
              <w:t>A procedure to require a detailed explanation if the child is not meeting the language developmental milestones and why not and to recommend specific strategies toward literacy.</w:t>
            </w:r>
          </w:p>
          <w:p w14:paraId="2286C62C" w14:textId="132D25FF" w:rsidR="00114F14" w:rsidRPr="00510BFA" w:rsidRDefault="00114F14" w:rsidP="001E50D1">
            <w:pPr>
              <w:pStyle w:val="ListBullet"/>
            </w:pPr>
            <w:r>
              <w:t>Authorizes the Joint Standing Committee on Education &amp; Cultural Affairs to report out a bill on findings and recommendations to the 1st Regular Session of the 130th Legislature.</w:t>
            </w:r>
          </w:p>
        </w:tc>
        <w:tc>
          <w:tcPr>
            <w:tcW w:w="2250" w:type="dxa"/>
            <w:shd w:val="clear" w:color="auto" w:fill="auto"/>
          </w:tcPr>
          <w:p w14:paraId="46112A59" w14:textId="77777777" w:rsidR="00114F14" w:rsidRDefault="00114F14" w:rsidP="009D0A68">
            <w:pPr>
              <w:rPr>
                <w:sz w:val="22"/>
                <w:szCs w:val="22"/>
              </w:rPr>
            </w:pPr>
            <w:r>
              <w:rPr>
                <w:sz w:val="22"/>
                <w:szCs w:val="22"/>
              </w:rPr>
              <w:t>September 19, 2019</w:t>
            </w:r>
          </w:p>
          <w:p w14:paraId="129927E8" w14:textId="77777777" w:rsidR="00114F14" w:rsidRDefault="00114F14" w:rsidP="009D0A68">
            <w:pPr>
              <w:rPr>
                <w:sz w:val="22"/>
                <w:szCs w:val="22"/>
              </w:rPr>
            </w:pPr>
          </w:p>
          <w:p w14:paraId="5830C533" w14:textId="147FD471" w:rsidR="00114F14" w:rsidRDefault="00114F14" w:rsidP="009D0A68">
            <w:pPr>
              <w:rPr>
                <w:sz w:val="22"/>
                <w:szCs w:val="22"/>
              </w:rPr>
            </w:pPr>
            <w:r>
              <w:rPr>
                <w:sz w:val="22"/>
                <w:szCs w:val="22"/>
              </w:rPr>
              <w:t>Department to convene Task Force.</w:t>
            </w:r>
          </w:p>
          <w:p w14:paraId="31399ECA" w14:textId="77777777" w:rsidR="00114F14" w:rsidRDefault="00114F14" w:rsidP="009D0A68">
            <w:pPr>
              <w:rPr>
                <w:sz w:val="22"/>
                <w:szCs w:val="22"/>
              </w:rPr>
            </w:pPr>
          </w:p>
          <w:p w14:paraId="276D5470" w14:textId="4C5C2F43" w:rsidR="00114F14" w:rsidRPr="00433A3D" w:rsidRDefault="00114F14" w:rsidP="009D0A68">
            <w:pPr>
              <w:rPr>
                <w:sz w:val="22"/>
                <w:szCs w:val="22"/>
              </w:rPr>
            </w:pPr>
            <w:r>
              <w:rPr>
                <w:sz w:val="22"/>
                <w:szCs w:val="22"/>
              </w:rPr>
              <w:t>Department to submit report by July 31, 2020 and annually thereafter</w:t>
            </w:r>
          </w:p>
        </w:tc>
      </w:tr>
      <w:tr w:rsidR="00114F14" w:rsidRPr="008D72F0" w14:paraId="003EAF66" w14:textId="77777777" w:rsidTr="00114F14">
        <w:trPr>
          <w:trHeight w:val="737"/>
        </w:trPr>
        <w:tc>
          <w:tcPr>
            <w:tcW w:w="3080" w:type="dxa"/>
            <w:shd w:val="clear" w:color="auto" w:fill="auto"/>
          </w:tcPr>
          <w:p w14:paraId="7EEEA1B4" w14:textId="77777777" w:rsidR="00114F14" w:rsidRDefault="00114F14" w:rsidP="009D0A68">
            <w:pPr>
              <w:rPr>
                <w:b/>
              </w:rPr>
            </w:pPr>
            <w:r>
              <w:rPr>
                <w:b/>
              </w:rPr>
              <w:t>LD 651, Resolve 2019, Chapter 29</w:t>
            </w:r>
          </w:p>
          <w:p w14:paraId="635A5877" w14:textId="52CBFDBD" w:rsidR="00114F14" w:rsidRPr="003C06A3" w:rsidRDefault="00114F14" w:rsidP="009D0A68">
            <w:pPr>
              <w:rPr>
                <w:i/>
              </w:rPr>
            </w:pPr>
            <w:r w:rsidRPr="003C06A3">
              <w:rPr>
                <w:i/>
              </w:rPr>
              <w:t>Resolve, To Facilitate School Access to Federal Title I Funds and Improve the Delivery of Special Education Services</w:t>
            </w:r>
          </w:p>
        </w:tc>
        <w:tc>
          <w:tcPr>
            <w:tcW w:w="7265" w:type="dxa"/>
            <w:shd w:val="clear" w:color="auto" w:fill="auto"/>
          </w:tcPr>
          <w:p w14:paraId="2BC208EB" w14:textId="6CF490D6" w:rsidR="00114F14" w:rsidRDefault="00114F14" w:rsidP="003D2393">
            <w:pPr>
              <w:pStyle w:val="ListBullet"/>
            </w:pPr>
            <w:r>
              <w:t xml:space="preserve">Directs the Department to submit a report to the Joint Standing Committee on Education &amp; Cultural Affairs by January 1, 2020 on the progress of the following project recommendations of the Task Force </w:t>
            </w:r>
            <w:proofErr w:type="gramStart"/>
            <w:r>
              <w:t>To</w:t>
            </w:r>
            <w:proofErr w:type="gramEnd"/>
            <w:r>
              <w:t xml:space="preserve"> Identify Special Education Cost Drivers and Innovative Approaches to Services:  </w:t>
            </w:r>
          </w:p>
          <w:p w14:paraId="3252AE5A" w14:textId="77777777" w:rsidR="00114F14" w:rsidRDefault="00114F14" w:rsidP="00E47C42">
            <w:pPr>
              <w:pStyle w:val="ListParagraph"/>
              <w:numPr>
                <w:ilvl w:val="0"/>
                <w:numId w:val="18"/>
              </w:numPr>
              <w:ind w:left="786"/>
            </w:pPr>
            <w:r>
              <w:t>Enhancement of response to intervention to become an all-encompassing multitiered system of support in all school administrative units and removing the regulations on general education interventions from Department Rule Chapter 101: Maine Unified Special Education Regulation Birth to Age Twenty and amending rule Chapter 125: Basic Approval Standards: Public Schools and School Administrative Units to include regulations on general education interventions;</w:t>
            </w:r>
          </w:p>
          <w:p w14:paraId="3032CDD7" w14:textId="77777777" w:rsidR="00114F14" w:rsidRDefault="00114F14" w:rsidP="00E47C42">
            <w:pPr>
              <w:pStyle w:val="ListParagraph"/>
              <w:numPr>
                <w:ilvl w:val="0"/>
                <w:numId w:val="18"/>
              </w:numPr>
              <w:ind w:left="786"/>
            </w:pPr>
            <w:r>
              <w:t xml:space="preserve">Streamline of the process by which schools apply for schoolwide status under Title I of the federal Elementary and Secondary Education Act of 1965; </w:t>
            </w:r>
          </w:p>
          <w:p w14:paraId="7D6563E4" w14:textId="57262795" w:rsidR="00114F14" w:rsidRDefault="00114F14" w:rsidP="00E47C42">
            <w:pPr>
              <w:pStyle w:val="ListBullet"/>
              <w:numPr>
                <w:ilvl w:val="0"/>
                <w:numId w:val="17"/>
              </w:numPr>
              <w:ind w:left="786"/>
            </w:pPr>
            <w:r>
              <w:t>Increased use of dual certification programs for general education and special education certifications;</w:t>
            </w:r>
          </w:p>
          <w:p w14:paraId="2F478326" w14:textId="77777777" w:rsidR="00114F14" w:rsidRDefault="00114F14" w:rsidP="00E47C42">
            <w:pPr>
              <w:pStyle w:val="ListParagraph"/>
              <w:numPr>
                <w:ilvl w:val="0"/>
                <w:numId w:val="19"/>
              </w:numPr>
              <w:ind w:left="786"/>
            </w:pPr>
            <w:r>
              <w:t>Review of the Essential Programs and Services funding formula maintenance of effort funding component;</w:t>
            </w:r>
          </w:p>
          <w:p w14:paraId="7B2189E6" w14:textId="789195C1" w:rsidR="00114F14" w:rsidRDefault="00114F14" w:rsidP="00E47C42">
            <w:pPr>
              <w:pStyle w:val="ListParagraph"/>
              <w:numPr>
                <w:ilvl w:val="0"/>
                <w:numId w:val="19"/>
              </w:numPr>
              <w:ind w:left="786"/>
            </w:pPr>
            <w:r>
              <w:t>Improvement of regional programs that facilitate MaineCare billing for medically necessary services for schools.</w:t>
            </w:r>
          </w:p>
          <w:p w14:paraId="1C00B30F" w14:textId="659BE841" w:rsidR="00114F14" w:rsidRPr="00E243FC" w:rsidRDefault="00114F14" w:rsidP="00B14D97">
            <w:pPr>
              <w:pStyle w:val="ListBullet"/>
            </w:pPr>
            <w:r w:rsidRPr="00B14D97">
              <w:rPr>
                <w:lang w:val="en-US"/>
              </w:rPr>
              <w:t>Authorizes the Joint Standing Committee on Education &amp; Cultural Affairs to report out a bill to the 2nd Regular Session of the 129th Legislature to implement any report recommendations.</w:t>
            </w:r>
          </w:p>
        </w:tc>
        <w:tc>
          <w:tcPr>
            <w:tcW w:w="2250" w:type="dxa"/>
            <w:shd w:val="clear" w:color="auto" w:fill="auto"/>
          </w:tcPr>
          <w:p w14:paraId="6FF11C43" w14:textId="77777777" w:rsidR="00114F14" w:rsidRDefault="00114F14" w:rsidP="009D0A68">
            <w:pPr>
              <w:rPr>
                <w:sz w:val="22"/>
                <w:szCs w:val="22"/>
              </w:rPr>
            </w:pPr>
            <w:r>
              <w:rPr>
                <w:sz w:val="22"/>
                <w:szCs w:val="22"/>
              </w:rPr>
              <w:t>September 19, 2019</w:t>
            </w:r>
          </w:p>
          <w:p w14:paraId="5EC4C0A9" w14:textId="77777777" w:rsidR="00114F14" w:rsidRDefault="00114F14" w:rsidP="009D0A68">
            <w:pPr>
              <w:rPr>
                <w:sz w:val="22"/>
                <w:szCs w:val="22"/>
              </w:rPr>
            </w:pPr>
          </w:p>
          <w:p w14:paraId="70E26813" w14:textId="664BD1C9" w:rsidR="00114F14" w:rsidRDefault="00114F14" w:rsidP="009D0A68">
            <w:pPr>
              <w:rPr>
                <w:sz w:val="22"/>
                <w:szCs w:val="22"/>
              </w:rPr>
            </w:pPr>
            <w:r>
              <w:rPr>
                <w:sz w:val="22"/>
                <w:szCs w:val="22"/>
              </w:rPr>
              <w:t xml:space="preserve">Department to submit report to Joint Standing Committee on Education &amp; Cultural Affairs by January 1, </w:t>
            </w:r>
          </w:p>
          <w:p w14:paraId="563EE822" w14:textId="77777777" w:rsidR="00114F14" w:rsidRDefault="00114F14" w:rsidP="009D0A68">
            <w:pPr>
              <w:rPr>
                <w:sz w:val="22"/>
                <w:szCs w:val="22"/>
              </w:rPr>
            </w:pPr>
            <w:r>
              <w:rPr>
                <w:sz w:val="22"/>
                <w:szCs w:val="22"/>
              </w:rPr>
              <w:t>2020.</w:t>
            </w:r>
          </w:p>
          <w:p w14:paraId="6CF02C43" w14:textId="77777777" w:rsidR="00114F14" w:rsidRDefault="00114F14" w:rsidP="009D0A68">
            <w:pPr>
              <w:rPr>
                <w:sz w:val="22"/>
                <w:szCs w:val="22"/>
              </w:rPr>
            </w:pPr>
          </w:p>
          <w:p w14:paraId="04BF339C" w14:textId="77777777" w:rsidR="00114F14" w:rsidRDefault="00114F14" w:rsidP="009D0A68">
            <w:pPr>
              <w:rPr>
                <w:sz w:val="22"/>
                <w:szCs w:val="22"/>
              </w:rPr>
            </w:pPr>
          </w:p>
          <w:p w14:paraId="3EF3600C" w14:textId="77777777" w:rsidR="00114F14" w:rsidRDefault="00114F14" w:rsidP="009D0A68">
            <w:pPr>
              <w:rPr>
                <w:sz w:val="22"/>
                <w:szCs w:val="22"/>
              </w:rPr>
            </w:pPr>
          </w:p>
          <w:p w14:paraId="20380D03" w14:textId="77777777" w:rsidR="00114F14" w:rsidRDefault="00114F14" w:rsidP="009D0A68">
            <w:pPr>
              <w:rPr>
                <w:sz w:val="22"/>
                <w:szCs w:val="22"/>
              </w:rPr>
            </w:pPr>
          </w:p>
          <w:p w14:paraId="787E61BD" w14:textId="77777777" w:rsidR="00114F14" w:rsidRDefault="00114F14" w:rsidP="009D0A68">
            <w:pPr>
              <w:rPr>
                <w:sz w:val="22"/>
                <w:szCs w:val="22"/>
              </w:rPr>
            </w:pPr>
          </w:p>
          <w:p w14:paraId="61E21A84" w14:textId="744EE24C" w:rsidR="00114F14" w:rsidRPr="00433A3D" w:rsidRDefault="00114F14" w:rsidP="009D0A68">
            <w:pPr>
              <w:rPr>
                <w:sz w:val="22"/>
                <w:szCs w:val="22"/>
              </w:rPr>
            </w:pPr>
            <w:r>
              <w:rPr>
                <w:sz w:val="22"/>
                <w:szCs w:val="22"/>
              </w:rPr>
              <w:t xml:space="preserve">Department to provisionally adopt major substantive rules Chapter 101 and Chapter 125 pursuant to this bill. </w:t>
            </w:r>
          </w:p>
        </w:tc>
      </w:tr>
      <w:tr w:rsidR="00114F14" w:rsidRPr="008D72F0" w14:paraId="4256E0B9" w14:textId="77777777" w:rsidTr="00114F14">
        <w:trPr>
          <w:trHeight w:val="737"/>
        </w:trPr>
        <w:tc>
          <w:tcPr>
            <w:tcW w:w="3080" w:type="dxa"/>
            <w:shd w:val="clear" w:color="auto" w:fill="auto"/>
          </w:tcPr>
          <w:p w14:paraId="190C1192" w14:textId="77777777" w:rsidR="00114F14" w:rsidRPr="00A74017" w:rsidRDefault="00114F14" w:rsidP="00E243FC">
            <w:pPr>
              <w:rPr>
                <w:b/>
              </w:rPr>
            </w:pPr>
            <w:r w:rsidRPr="00A74017">
              <w:rPr>
                <w:b/>
              </w:rPr>
              <w:t>LD 696, Public Law 2019, Chapter 512</w:t>
            </w:r>
          </w:p>
          <w:p w14:paraId="19D151FF" w14:textId="77777777" w:rsidR="00114F14" w:rsidRPr="00A74017" w:rsidRDefault="00114F14" w:rsidP="00CB18BB">
            <w:pPr>
              <w:rPr>
                <w:bCs/>
                <w:i/>
              </w:rPr>
            </w:pPr>
            <w:r w:rsidRPr="00A74017">
              <w:rPr>
                <w:bCs/>
                <w:i/>
              </w:rPr>
              <w:t xml:space="preserve">An Act </w:t>
            </w:r>
            <w:proofErr w:type="gramStart"/>
            <w:r w:rsidRPr="00A74017">
              <w:rPr>
                <w:bCs/>
                <w:i/>
              </w:rPr>
              <w:t>To</w:t>
            </w:r>
            <w:proofErr w:type="gramEnd"/>
            <w:r w:rsidRPr="00A74017">
              <w:rPr>
                <w:bCs/>
                <w:i/>
              </w:rPr>
              <w:t xml:space="preserve"> Require Municipalities and School Districts To Provide Notice of Breaches in Personal Data Security</w:t>
            </w:r>
          </w:p>
          <w:p w14:paraId="0B7BA168" w14:textId="599A8C7A" w:rsidR="00114F14" w:rsidRPr="00A74017" w:rsidRDefault="00114F14" w:rsidP="00E243FC">
            <w:pPr>
              <w:rPr>
                <w:i/>
              </w:rPr>
            </w:pPr>
          </w:p>
        </w:tc>
        <w:tc>
          <w:tcPr>
            <w:tcW w:w="7265" w:type="dxa"/>
            <w:shd w:val="clear" w:color="auto" w:fill="auto"/>
          </w:tcPr>
          <w:p w14:paraId="18FE552E" w14:textId="77777777" w:rsidR="00114F14" w:rsidRPr="00A74017" w:rsidRDefault="00114F14" w:rsidP="00CB18BB">
            <w:pPr>
              <w:pStyle w:val="ListBullet"/>
            </w:pPr>
            <w:r w:rsidRPr="00A74017">
              <w:t xml:space="preserve">Amends the Notice of Risk to Personal Data Act to add municipalities and school administrative units to the definition of "person" to make the Act applicable to these entities. </w:t>
            </w:r>
          </w:p>
          <w:p w14:paraId="28EC1B58" w14:textId="77777777" w:rsidR="00114F14" w:rsidRPr="00A74017" w:rsidRDefault="00114F14" w:rsidP="00CB18BB">
            <w:pPr>
              <w:pStyle w:val="ListBullet"/>
            </w:pPr>
            <w:r w:rsidRPr="00A74017">
              <w:t xml:space="preserve">Exempts these entities from the civil violations provision of the Notice of Risk to Personal Data Act. </w:t>
            </w:r>
          </w:p>
          <w:p w14:paraId="20EBB9A2" w14:textId="04E1CC60" w:rsidR="00114F14" w:rsidRPr="00A74017" w:rsidRDefault="00114F14" w:rsidP="00CB18BB">
            <w:pPr>
              <w:pStyle w:val="ListBullet"/>
            </w:pPr>
            <w:r w:rsidRPr="00A74017">
              <w:t>The requirement to provide notice of a breach of security within 30 days applies only if there is not a delay due to a law enforcement investigation.</w:t>
            </w:r>
          </w:p>
        </w:tc>
        <w:tc>
          <w:tcPr>
            <w:tcW w:w="2250" w:type="dxa"/>
            <w:shd w:val="clear" w:color="auto" w:fill="auto"/>
          </w:tcPr>
          <w:p w14:paraId="0E3D4971" w14:textId="731FC8D7" w:rsidR="00114F14" w:rsidRPr="00A74017" w:rsidRDefault="00114F14" w:rsidP="00E243FC">
            <w:pPr>
              <w:rPr>
                <w:sz w:val="22"/>
                <w:szCs w:val="22"/>
              </w:rPr>
            </w:pPr>
            <w:r w:rsidRPr="00A74017">
              <w:rPr>
                <w:sz w:val="22"/>
                <w:szCs w:val="22"/>
              </w:rPr>
              <w:t>September 19, 2019</w:t>
            </w:r>
          </w:p>
        </w:tc>
      </w:tr>
      <w:tr w:rsidR="00114F14" w:rsidRPr="008D72F0" w14:paraId="11E10B5A" w14:textId="77777777" w:rsidTr="00114F14">
        <w:trPr>
          <w:trHeight w:val="737"/>
        </w:trPr>
        <w:tc>
          <w:tcPr>
            <w:tcW w:w="3080" w:type="dxa"/>
            <w:shd w:val="clear" w:color="auto" w:fill="auto"/>
          </w:tcPr>
          <w:p w14:paraId="3C473536" w14:textId="3FA0187A" w:rsidR="00114F14" w:rsidRDefault="00114F14" w:rsidP="00E243FC">
            <w:pPr>
              <w:rPr>
                <w:b/>
              </w:rPr>
            </w:pPr>
            <w:r>
              <w:rPr>
                <w:b/>
              </w:rPr>
              <w:t>LD 701, Public Law 2019, Chapter 480</w:t>
            </w:r>
          </w:p>
          <w:p w14:paraId="0C446896" w14:textId="07474138" w:rsidR="00114F14" w:rsidRPr="00E243FC" w:rsidRDefault="00114F14" w:rsidP="00E243FC">
            <w:pPr>
              <w:rPr>
                <w:i/>
              </w:rPr>
            </w:pPr>
            <w:r w:rsidRPr="00E243FC">
              <w:rPr>
                <w:i/>
              </w:rPr>
              <w:t xml:space="preserve">An Act </w:t>
            </w:r>
            <w:proofErr w:type="gramStart"/>
            <w:r w:rsidRPr="00E243FC">
              <w:rPr>
                <w:i/>
              </w:rPr>
              <w:t>To</w:t>
            </w:r>
            <w:proofErr w:type="gramEnd"/>
            <w:r w:rsidRPr="00E243FC">
              <w:rPr>
                <w:i/>
              </w:rPr>
              <w:t xml:space="preserve"> Modernize the National School Lunch Program and the School Breakfast Program</w:t>
            </w:r>
          </w:p>
          <w:p w14:paraId="56E24B3C" w14:textId="2C6726B3" w:rsidR="00114F14" w:rsidRPr="00E243FC" w:rsidRDefault="00114F14" w:rsidP="00E243FC">
            <w:pPr>
              <w:rPr>
                <w:i/>
              </w:rPr>
            </w:pPr>
          </w:p>
        </w:tc>
        <w:tc>
          <w:tcPr>
            <w:tcW w:w="7265" w:type="dxa"/>
            <w:shd w:val="clear" w:color="auto" w:fill="auto"/>
          </w:tcPr>
          <w:p w14:paraId="228A44FD" w14:textId="3F2D0F33" w:rsidR="00114F14" w:rsidRPr="000277A9" w:rsidRDefault="00114F14" w:rsidP="000277A9">
            <w:pPr>
              <w:pStyle w:val="ListBullet"/>
            </w:pPr>
            <w:r w:rsidRPr="000277A9">
              <w:t xml:space="preserve">Requires the Department to contract for development and implementation an Internet-based application for the National School Lunch Program as well as for the School Breakfast Program and make available by October 1, 2019. Provides General Fund </w:t>
            </w:r>
            <w:r>
              <w:t>appropriations</w:t>
            </w:r>
            <w:r w:rsidRPr="000277A9">
              <w:t xml:space="preserve"> in FY19-20 and in FY 20-21 of $150,000 cover the cost and maintain the application.</w:t>
            </w:r>
          </w:p>
          <w:p w14:paraId="2D8569F7" w14:textId="77777777" w:rsidR="00114F14" w:rsidRPr="000277A9" w:rsidRDefault="00114F14" w:rsidP="000277A9">
            <w:pPr>
              <w:pStyle w:val="ListBullet"/>
            </w:pPr>
            <w:r w:rsidRPr="000277A9">
              <w:t>Requires a public school that implements the Internet-based application process to continue to distribute paper applications for school meals to all students.</w:t>
            </w:r>
          </w:p>
          <w:p w14:paraId="426D1909" w14:textId="10CD646C" w:rsidR="00114F14" w:rsidRPr="00510BFA" w:rsidRDefault="00114F14" w:rsidP="00082016">
            <w:pPr>
              <w:pStyle w:val="ListBullet"/>
            </w:pPr>
            <w:r w:rsidRPr="000277A9">
              <w:t>Provides one-time General Fund appropriation of $500,000 in FY19-20 to school administrative units with a public school that has at least 50% of students qualifying for free or reduced-price lunch during the preceding school year, that start or expand alternative breakfast delivery services that provide breakfast after the start of the school day</w:t>
            </w:r>
            <w:r>
              <w:t>.</w:t>
            </w:r>
          </w:p>
        </w:tc>
        <w:tc>
          <w:tcPr>
            <w:tcW w:w="2250" w:type="dxa"/>
            <w:shd w:val="clear" w:color="auto" w:fill="auto"/>
          </w:tcPr>
          <w:p w14:paraId="6E6638BF" w14:textId="1FFF3494" w:rsidR="00114F14" w:rsidRPr="00433A3D" w:rsidRDefault="00114F14" w:rsidP="00E243FC">
            <w:pPr>
              <w:rPr>
                <w:sz w:val="22"/>
                <w:szCs w:val="22"/>
              </w:rPr>
            </w:pPr>
            <w:r>
              <w:rPr>
                <w:sz w:val="22"/>
                <w:szCs w:val="22"/>
              </w:rPr>
              <w:t>September 19, 2019</w:t>
            </w:r>
          </w:p>
        </w:tc>
      </w:tr>
      <w:tr w:rsidR="00114F14" w:rsidRPr="008D72F0" w14:paraId="36F2B8CC" w14:textId="77777777" w:rsidTr="00114F14">
        <w:trPr>
          <w:trHeight w:val="737"/>
        </w:trPr>
        <w:tc>
          <w:tcPr>
            <w:tcW w:w="3080" w:type="dxa"/>
            <w:shd w:val="clear" w:color="auto" w:fill="auto"/>
          </w:tcPr>
          <w:p w14:paraId="19AB34D9" w14:textId="77777777" w:rsidR="00114F14" w:rsidRDefault="00114F14" w:rsidP="00E243FC">
            <w:pPr>
              <w:rPr>
                <w:b/>
              </w:rPr>
            </w:pPr>
            <w:r>
              <w:rPr>
                <w:b/>
              </w:rPr>
              <w:t>LD 721. Public Law 2019, Chapter 293</w:t>
            </w:r>
          </w:p>
          <w:p w14:paraId="6559C31A" w14:textId="0500E26B" w:rsidR="00114F14" w:rsidRPr="002069EA" w:rsidRDefault="00114F14" w:rsidP="00E243FC">
            <w:pPr>
              <w:rPr>
                <w:i/>
              </w:rPr>
            </w:pPr>
            <w:r w:rsidRPr="002069EA">
              <w:rPr>
                <w:i/>
              </w:rPr>
              <w:t xml:space="preserve">An Act </w:t>
            </w:r>
            <w:proofErr w:type="gramStart"/>
            <w:r w:rsidRPr="002069EA">
              <w:rPr>
                <w:i/>
              </w:rPr>
              <w:t>To</w:t>
            </w:r>
            <w:proofErr w:type="gramEnd"/>
            <w:r w:rsidRPr="002069EA">
              <w:rPr>
                <w:i/>
              </w:rPr>
              <w:t xml:space="preserve"> Encourage Public Participation in School Board Meetings</w:t>
            </w:r>
          </w:p>
        </w:tc>
        <w:tc>
          <w:tcPr>
            <w:tcW w:w="7265" w:type="dxa"/>
            <w:shd w:val="clear" w:color="auto" w:fill="auto"/>
          </w:tcPr>
          <w:p w14:paraId="3F9EB5FB" w14:textId="2D46075D" w:rsidR="00114F14" w:rsidRPr="00510BFA" w:rsidRDefault="00114F14" w:rsidP="00186352">
            <w:pPr>
              <w:pStyle w:val="ListBullet"/>
            </w:pPr>
            <w:r>
              <w:rPr>
                <w:lang w:val="en-US"/>
              </w:rPr>
              <w:t>R</w:t>
            </w:r>
            <w:r w:rsidRPr="00186352">
              <w:rPr>
                <w:lang w:val="en-US"/>
              </w:rPr>
              <w:t xml:space="preserve">equires that a school board provide the opportunity for the public to comment at a </w:t>
            </w:r>
            <w:r>
              <w:rPr>
                <w:lang w:val="en-US"/>
              </w:rPr>
              <w:t xml:space="preserve">full meeting of a </w:t>
            </w:r>
            <w:r w:rsidRPr="00186352">
              <w:rPr>
                <w:lang w:val="en-US"/>
              </w:rPr>
              <w:t xml:space="preserve">school board </w:t>
            </w:r>
          </w:p>
        </w:tc>
        <w:tc>
          <w:tcPr>
            <w:tcW w:w="2250" w:type="dxa"/>
            <w:shd w:val="clear" w:color="auto" w:fill="auto"/>
          </w:tcPr>
          <w:p w14:paraId="46B8297D" w14:textId="6EB90117" w:rsidR="00114F14" w:rsidRPr="00433A3D" w:rsidRDefault="00114F14" w:rsidP="00E243FC">
            <w:pPr>
              <w:rPr>
                <w:sz w:val="22"/>
                <w:szCs w:val="22"/>
              </w:rPr>
            </w:pPr>
            <w:r>
              <w:rPr>
                <w:sz w:val="22"/>
                <w:szCs w:val="22"/>
              </w:rPr>
              <w:t>September 19, 2019</w:t>
            </w:r>
          </w:p>
        </w:tc>
      </w:tr>
      <w:tr w:rsidR="00114F14" w:rsidRPr="008D72F0" w14:paraId="54C23167" w14:textId="77777777" w:rsidTr="00114F14">
        <w:trPr>
          <w:trHeight w:val="737"/>
        </w:trPr>
        <w:tc>
          <w:tcPr>
            <w:tcW w:w="3080" w:type="dxa"/>
            <w:shd w:val="clear" w:color="auto" w:fill="auto"/>
          </w:tcPr>
          <w:p w14:paraId="4EAA65A7" w14:textId="77777777" w:rsidR="00114F14" w:rsidRPr="00A74017" w:rsidRDefault="00114F14" w:rsidP="00E243FC">
            <w:pPr>
              <w:rPr>
                <w:b/>
              </w:rPr>
            </w:pPr>
            <w:r w:rsidRPr="00A74017">
              <w:rPr>
                <w:b/>
              </w:rPr>
              <w:t>LD 756, Public Law 2019, Chapter 344</w:t>
            </w:r>
          </w:p>
          <w:p w14:paraId="628C6C10" w14:textId="75ABF552" w:rsidR="00114F14" w:rsidRPr="00A74017" w:rsidRDefault="00114F14" w:rsidP="00E243FC">
            <w:pPr>
              <w:rPr>
                <w:i/>
              </w:rPr>
            </w:pPr>
            <w:r w:rsidRPr="00A74017">
              <w:rPr>
                <w:i/>
              </w:rPr>
              <w:t xml:space="preserve">An Act </w:t>
            </w:r>
            <w:proofErr w:type="gramStart"/>
            <w:r w:rsidRPr="00A74017">
              <w:rPr>
                <w:i/>
              </w:rPr>
              <w:t>To</w:t>
            </w:r>
            <w:proofErr w:type="gramEnd"/>
            <w:r w:rsidRPr="00A74017">
              <w:rPr>
                <w:i/>
              </w:rPr>
              <w:t xml:space="preserve"> Improve the Maine Workers’ Compensation Act of 1992</w:t>
            </w:r>
          </w:p>
        </w:tc>
        <w:tc>
          <w:tcPr>
            <w:tcW w:w="7265" w:type="dxa"/>
            <w:shd w:val="clear" w:color="auto" w:fill="auto"/>
          </w:tcPr>
          <w:p w14:paraId="30D2B316" w14:textId="77777777" w:rsidR="00114F14" w:rsidRPr="00A74017" w:rsidRDefault="00114F14" w:rsidP="009B7154">
            <w:pPr>
              <w:pStyle w:val="ListBullet"/>
            </w:pPr>
            <w:r w:rsidRPr="00A74017">
              <w:t>Includes reforms that benefit employees and clarifies duties of the employer.  Many of the sections of this bill will apply only to dates of injury on or after January 1, 2020.</w:t>
            </w:r>
          </w:p>
          <w:p w14:paraId="1E2D3094" w14:textId="77777777" w:rsidR="00114F14" w:rsidRPr="00A74017" w:rsidRDefault="00114F14" w:rsidP="009B7154">
            <w:pPr>
              <w:pStyle w:val="ListBullet"/>
            </w:pPr>
            <w:r w:rsidRPr="00A74017">
              <w:t>Amends the definition of "average weekly wages, earnings or salary" to clarify that any fringe or other benefit paid by the employer that does not continue during the disability must be included average weekly wage at the time of the injury.</w:t>
            </w:r>
          </w:p>
          <w:p w14:paraId="46AD7296" w14:textId="77777777" w:rsidR="00114F14" w:rsidRPr="00A74017" w:rsidRDefault="00114F14" w:rsidP="009B7154">
            <w:pPr>
              <w:pStyle w:val="ListBullet"/>
            </w:pPr>
            <w:r w:rsidRPr="00A74017">
              <w:t>Increases the maximum weekly compensation benefit for workers from 100 % to 125% of the State Average Weekly Wage.</w:t>
            </w:r>
          </w:p>
          <w:p w14:paraId="0711AFA6" w14:textId="77777777" w:rsidR="00114F14" w:rsidRPr="00A74017" w:rsidRDefault="00114F14" w:rsidP="009B7154">
            <w:pPr>
              <w:pStyle w:val="ListBullet"/>
            </w:pPr>
            <w:r w:rsidRPr="00A74017">
              <w:t>Provides that, if a deceased employee has no dependents, the employer must pay benefits to the parents of the deceased employee for a period of 500 weeks.</w:t>
            </w:r>
          </w:p>
          <w:p w14:paraId="4C8C2DE6" w14:textId="77777777" w:rsidR="00114F14" w:rsidRPr="00A74017" w:rsidRDefault="00114F14" w:rsidP="009B7154">
            <w:pPr>
              <w:pStyle w:val="ListBullet"/>
            </w:pPr>
            <w:r w:rsidRPr="00A74017">
              <w:t>Extends the cap for partial incapacity benefits from 520 weeks to 624 weeks unless the Workers’ Compensation Board determines the case involves “extreme financial hardship due to inability to return to gainful employment”, in which case the term may be extended.</w:t>
            </w:r>
          </w:p>
          <w:p w14:paraId="38C9AC0B" w14:textId="77777777" w:rsidR="00114F14" w:rsidRPr="00A74017" w:rsidRDefault="00114F14" w:rsidP="009B7154">
            <w:pPr>
              <w:pStyle w:val="ListBullet"/>
            </w:pPr>
            <w:r w:rsidRPr="00A74017">
              <w:t>Extends the notice period, giving employees 60 days up from 30 days, to report an injury.</w:t>
            </w:r>
          </w:p>
          <w:p w14:paraId="2BD9F385" w14:textId="77777777" w:rsidR="00114F14" w:rsidRPr="00A74017" w:rsidRDefault="00114F14" w:rsidP="009B7154">
            <w:pPr>
              <w:pStyle w:val="ListBullet"/>
            </w:pPr>
            <w:r w:rsidRPr="00A74017">
              <w:t>Allows an exception to the requirement that the first payment must be made by an employer within 14 days after notice of the injury or death if the payment cannot be made due to a factual mistake, an act of God or unavoidable circumstances.</w:t>
            </w:r>
          </w:p>
          <w:p w14:paraId="636000C4" w14:textId="77777777" w:rsidR="00114F14" w:rsidRPr="00A74017" w:rsidRDefault="00114F14" w:rsidP="009B7154">
            <w:pPr>
              <w:pStyle w:val="ListBullet"/>
            </w:pPr>
            <w:r w:rsidRPr="00A74017">
              <w:t>Requires a cost-of-living adjustment to be applied in cases of total incapacity after 260 weeks of benefits.</w:t>
            </w:r>
          </w:p>
          <w:p w14:paraId="5D986A51" w14:textId="77777777" w:rsidR="00114F14" w:rsidRDefault="00114F14" w:rsidP="00256635">
            <w:pPr>
              <w:pStyle w:val="ListBullet"/>
            </w:pPr>
            <w:r w:rsidRPr="00A74017">
              <w:t>Directs the Workers' Compensation Board to convene a working group of stakeholders to evaluate issues related to work search and vocational rehabilitation requirements for injured workers and protections for injured workers whose employers have wrongfully not secured workers' compensation payments. On behalf of the working group, the Workers' Compensation Board is required to report to the Joint Standing Committee on Labor and Housing by January 30, 2020 with recommendations and any draft implementing legislation to address these issues.</w:t>
            </w:r>
          </w:p>
          <w:p w14:paraId="401A9A86" w14:textId="47F35889" w:rsidR="00114F14" w:rsidRPr="00A74017" w:rsidRDefault="00114F14" w:rsidP="00256635">
            <w:pPr>
              <w:pStyle w:val="ListBullet"/>
              <w:numPr>
                <w:ilvl w:val="0"/>
                <w:numId w:val="0"/>
              </w:numPr>
              <w:ind w:left="460"/>
            </w:pPr>
          </w:p>
        </w:tc>
        <w:tc>
          <w:tcPr>
            <w:tcW w:w="2250" w:type="dxa"/>
            <w:shd w:val="clear" w:color="auto" w:fill="auto"/>
          </w:tcPr>
          <w:p w14:paraId="57A6D20E" w14:textId="2086DA4E" w:rsidR="00114F14" w:rsidRPr="00A74017" w:rsidRDefault="00114F14" w:rsidP="00E243FC">
            <w:pPr>
              <w:rPr>
                <w:sz w:val="22"/>
                <w:szCs w:val="22"/>
              </w:rPr>
            </w:pPr>
            <w:r w:rsidRPr="00A74017">
              <w:rPr>
                <w:sz w:val="22"/>
                <w:szCs w:val="22"/>
              </w:rPr>
              <w:t>September 19, 2019</w:t>
            </w:r>
          </w:p>
        </w:tc>
      </w:tr>
      <w:tr w:rsidR="00114F14" w:rsidRPr="008D72F0" w14:paraId="0719A4DD" w14:textId="77777777" w:rsidTr="00114F14">
        <w:trPr>
          <w:trHeight w:val="737"/>
        </w:trPr>
        <w:tc>
          <w:tcPr>
            <w:tcW w:w="3080" w:type="dxa"/>
            <w:shd w:val="clear" w:color="auto" w:fill="auto"/>
          </w:tcPr>
          <w:p w14:paraId="68323C78" w14:textId="77777777" w:rsidR="00114F14" w:rsidRDefault="00114F14" w:rsidP="00E243FC">
            <w:pPr>
              <w:rPr>
                <w:b/>
              </w:rPr>
            </w:pPr>
            <w:r>
              <w:rPr>
                <w:b/>
              </w:rPr>
              <w:t>LD 773, Public Law 2019,</w:t>
            </w:r>
          </w:p>
          <w:p w14:paraId="7C8BD105" w14:textId="77777777" w:rsidR="00114F14" w:rsidRDefault="00114F14" w:rsidP="00E243FC">
            <w:pPr>
              <w:rPr>
                <w:b/>
              </w:rPr>
            </w:pPr>
            <w:r>
              <w:rPr>
                <w:b/>
              </w:rPr>
              <w:t>Chapter 196</w:t>
            </w:r>
          </w:p>
          <w:p w14:paraId="0693B9BA" w14:textId="77777777" w:rsidR="00114F14" w:rsidRPr="00196B3D" w:rsidRDefault="00114F14" w:rsidP="00196B3D">
            <w:pPr>
              <w:rPr>
                <w:i/>
              </w:rPr>
            </w:pPr>
            <w:r w:rsidRPr="00196B3D">
              <w:rPr>
                <w:i/>
              </w:rPr>
              <w:t>An Act Regarding Secondary School Education Concerning Sexual Activity and Sexual Assault</w:t>
            </w:r>
          </w:p>
          <w:p w14:paraId="3E9FF759" w14:textId="3D2CD8F4" w:rsidR="00114F14" w:rsidRPr="00196B3D" w:rsidRDefault="00114F14" w:rsidP="00E243FC">
            <w:pPr>
              <w:rPr>
                <w:i/>
              </w:rPr>
            </w:pPr>
          </w:p>
        </w:tc>
        <w:tc>
          <w:tcPr>
            <w:tcW w:w="7265" w:type="dxa"/>
            <w:shd w:val="clear" w:color="auto" w:fill="auto"/>
          </w:tcPr>
          <w:p w14:paraId="29F7B015" w14:textId="77777777" w:rsidR="00114F14" w:rsidRDefault="00114F14" w:rsidP="00DA5607">
            <w:pPr>
              <w:pStyle w:val="ListBullet"/>
            </w:pPr>
            <w:r>
              <w:t>Requires the Commissioner to review</w:t>
            </w:r>
            <w:r w:rsidRPr="00B53EBE">
              <w:t xml:space="preserve"> </w:t>
            </w:r>
            <w:r>
              <w:t>during the 2019-2020 school year the content standards and performance indicators for the content area of health, physical education and wellness, and to include instruction on affirmative consent, communication and decision making regarding sexual activity and the effects of alcoholic drinks, stimulants and narcotics on the ability to give affirmative consent, communicate and make appropriate decisions.</w:t>
            </w:r>
          </w:p>
          <w:p w14:paraId="19E0E5C7" w14:textId="25CAE2E3" w:rsidR="00114F14" w:rsidRPr="00510BFA" w:rsidRDefault="00114F14" w:rsidP="00DA5607">
            <w:pPr>
              <w:pStyle w:val="ListBullet"/>
            </w:pPr>
            <w:r>
              <w:t>This review is part of the 5-year review cycle of the content standards and performance indicators required under the System of Learning Results.</w:t>
            </w:r>
          </w:p>
        </w:tc>
        <w:tc>
          <w:tcPr>
            <w:tcW w:w="2250" w:type="dxa"/>
            <w:shd w:val="clear" w:color="auto" w:fill="auto"/>
          </w:tcPr>
          <w:p w14:paraId="63DBD1F7" w14:textId="785DDAB1" w:rsidR="00114F14" w:rsidRPr="00433A3D" w:rsidRDefault="00114F14" w:rsidP="00E243FC">
            <w:pPr>
              <w:rPr>
                <w:sz w:val="22"/>
                <w:szCs w:val="22"/>
              </w:rPr>
            </w:pPr>
            <w:r>
              <w:rPr>
                <w:sz w:val="22"/>
                <w:szCs w:val="22"/>
              </w:rPr>
              <w:t>September 19, 2019</w:t>
            </w:r>
          </w:p>
        </w:tc>
      </w:tr>
      <w:tr w:rsidR="00114F14" w:rsidRPr="008D72F0" w14:paraId="66426F91" w14:textId="77777777" w:rsidTr="00114F14">
        <w:trPr>
          <w:trHeight w:val="737"/>
        </w:trPr>
        <w:tc>
          <w:tcPr>
            <w:tcW w:w="3080" w:type="dxa"/>
            <w:shd w:val="clear" w:color="auto" w:fill="auto"/>
          </w:tcPr>
          <w:p w14:paraId="7C882584" w14:textId="77777777" w:rsidR="00114F14" w:rsidRDefault="00114F14" w:rsidP="004A104C">
            <w:pPr>
              <w:rPr>
                <w:b/>
              </w:rPr>
            </w:pPr>
            <w:r>
              <w:rPr>
                <w:b/>
              </w:rPr>
              <w:t>LD 777, Public Law 2019, Chapter 457</w:t>
            </w:r>
          </w:p>
          <w:p w14:paraId="776D7FD1" w14:textId="0E143962" w:rsidR="00114F14" w:rsidRDefault="00114F14" w:rsidP="004A104C">
            <w:pPr>
              <w:rPr>
                <w:b/>
              </w:rPr>
            </w:pPr>
            <w:r w:rsidRPr="00C72A64">
              <w:rPr>
                <w:i/>
              </w:rPr>
              <w:t xml:space="preserve">An Act </w:t>
            </w:r>
            <w:proofErr w:type="gramStart"/>
            <w:r w:rsidRPr="00C72A64">
              <w:rPr>
                <w:i/>
              </w:rPr>
              <w:t>To</w:t>
            </w:r>
            <w:proofErr w:type="gramEnd"/>
            <w:r w:rsidRPr="00C72A64">
              <w:rPr>
                <w:i/>
              </w:rPr>
              <w:t xml:space="preserve"> Establish the Permanent Commission on the Status of Racial, Indigenous and Maine Tribal Populations</w:t>
            </w:r>
          </w:p>
        </w:tc>
        <w:tc>
          <w:tcPr>
            <w:tcW w:w="7265" w:type="dxa"/>
            <w:shd w:val="clear" w:color="auto" w:fill="auto"/>
          </w:tcPr>
          <w:p w14:paraId="38EA24F7" w14:textId="77777777" w:rsidR="00114F14" w:rsidRPr="00CB55DD" w:rsidRDefault="00114F14" w:rsidP="004A104C">
            <w:pPr>
              <w:pStyle w:val="ListBullet"/>
              <w:rPr>
                <w:lang w:val="en-US"/>
              </w:rPr>
            </w:pPr>
            <w:r w:rsidRPr="00CB55DD">
              <w:rPr>
                <w:lang w:val="en-US"/>
              </w:rPr>
              <w:t>Establishes the Permanent Commission on the Status of Racial, Indigenous and Maine Tribal Populations to promote, research, carry out and coordinate programs designed to improve opportunities for racial and ethnic populations in Maine.</w:t>
            </w:r>
          </w:p>
          <w:p w14:paraId="0998F2B2" w14:textId="77777777" w:rsidR="00114F14" w:rsidRPr="00CB55DD" w:rsidRDefault="00114F14" w:rsidP="004A104C">
            <w:pPr>
              <w:pStyle w:val="ListBullet"/>
              <w:rPr>
                <w:lang w:val="en-US"/>
              </w:rPr>
            </w:pPr>
            <w:r w:rsidRPr="00CB55DD">
              <w:rPr>
                <w:lang w:val="en-US"/>
              </w:rPr>
              <w:t>Authorizes the Permanent Commission to seek input from the Departments of Labor, Health &amp; Human Services, Economic &amp; Community Development and Education as well as other experts in carrying out its duties.</w:t>
            </w:r>
          </w:p>
          <w:p w14:paraId="3ECD68C4" w14:textId="4BA35DC5" w:rsidR="00114F14" w:rsidRDefault="00114F14" w:rsidP="004A104C">
            <w:pPr>
              <w:pStyle w:val="ListBullet"/>
            </w:pPr>
            <w:r w:rsidRPr="00CB55DD">
              <w:rPr>
                <w:lang w:val="en-US"/>
              </w:rPr>
              <w:t>Directs the Commission to submit a report to the Governor and Legislature by January 1, 2020 and biennially therefore, concerning the work of the Commission.</w:t>
            </w:r>
          </w:p>
        </w:tc>
        <w:tc>
          <w:tcPr>
            <w:tcW w:w="2250" w:type="dxa"/>
            <w:shd w:val="clear" w:color="auto" w:fill="auto"/>
          </w:tcPr>
          <w:p w14:paraId="555136DE" w14:textId="77777777" w:rsidR="00114F14" w:rsidRDefault="00114F14" w:rsidP="004A104C">
            <w:pPr>
              <w:rPr>
                <w:sz w:val="22"/>
                <w:szCs w:val="22"/>
              </w:rPr>
            </w:pPr>
            <w:r>
              <w:rPr>
                <w:sz w:val="22"/>
                <w:szCs w:val="22"/>
              </w:rPr>
              <w:t>September 19, 2019</w:t>
            </w:r>
          </w:p>
          <w:p w14:paraId="27B2B67F" w14:textId="77777777" w:rsidR="00114F14" w:rsidRDefault="00114F14" w:rsidP="004A104C">
            <w:pPr>
              <w:rPr>
                <w:sz w:val="22"/>
                <w:szCs w:val="22"/>
              </w:rPr>
            </w:pPr>
          </w:p>
          <w:p w14:paraId="6938FA26" w14:textId="0E0FE36E" w:rsidR="00114F14" w:rsidRDefault="00114F14" w:rsidP="004A104C">
            <w:pPr>
              <w:rPr>
                <w:sz w:val="22"/>
                <w:szCs w:val="22"/>
              </w:rPr>
            </w:pPr>
            <w:r>
              <w:rPr>
                <w:sz w:val="22"/>
                <w:szCs w:val="22"/>
              </w:rPr>
              <w:t>Commission to submit report to Governor and Legislature by January 1, 2020 and biennially thereafter.</w:t>
            </w:r>
          </w:p>
        </w:tc>
      </w:tr>
      <w:tr w:rsidR="00114F14" w:rsidRPr="008D72F0" w14:paraId="5B360E63" w14:textId="77777777" w:rsidTr="00114F14">
        <w:trPr>
          <w:trHeight w:val="737"/>
        </w:trPr>
        <w:tc>
          <w:tcPr>
            <w:tcW w:w="3080" w:type="dxa"/>
            <w:shd w:val="clear" w:color="auto" w:fill="auto"/>
          </w:tcPr>
          <w:p w14:paraId="404308C0" w14:textId="66D5C8A8" w:rsidR="00114F14" w:rsidRDefault="00114F14" w:rsidP="004A104C">
            <w:pPr>
              <w:rPr>
                <w:b/>
              </w:rPr>
            </w:pPr>
            <w:r>
              <w:rPr>
                <w:b/>
              </w:rPr>
              <w:t>LD 798, Public Law 2019, Chapter 154</w:t>
            </w:r>
          </w:p>
          <w:p w14:paraId="327FBA7C" w14:textId="3CE1BBFC" w:rsidR="00114F14" w:rsidRPr="00C72A64" w:rsidRDefault="00114F14" w:rsidP="004A104C">
            <w:pPr>
              <w:rPr>
                <w:i/>
              </w:rPr>
            </w:pPr>
            <w:r w:rsidRPr="00C72A64">
              <w:rPr>
                <w:i/>
              </w:rPr>
              <w:t xml:space="preserve">An Act </w:t>
            </w:r>
            <w:proofErr w:type="gramStart"/>
            <w:r w:rsidRPr="00C72A64">
              <w:rPr>
                <w:i/>
              </w:rPr>
              <w:t>To</w:t>
            </w:r>
            <w:proofErr w:type="gramEnd"/>
            <w:r w:rsidRPr="00C72A64">
              <w:rPr>
                <w:i/>
              </w:rPr>
              <w:t xml:space="preserve"> Protect Maine Children and Students from Preventable Diseases by Repealing Certain Exemptions from the Laws Governing Immunization Requirements</w:t>
            </w:r>
          </w:p>
          <w:p w14:paraId="3D81484F" w14:textId="2A66AE8C" w:rsidR="00114F14" w:rsidRPr="00C72A64" w:rsidRDefault="00114F14" w:rsidP="004A104C">
            <w:pPr>
              <w:rPr>
                <w:i/>
              </w:rPr>
            </w:pPr>
          </w:p>
        </w:tc>
        <w:tc>
          <w:tcPr>
            <w:tcW w:w="7265" w:type="dxa"/>
            <w:shd w:val="clear" w:color="auto" w:fill="auto"/>
          </w:tcPr>
          <w:p w14:paraId="0BDEDDA4" w14:textId="77777777" w:rsidR="00114F14" w:rsidRDefault="00114F14" w:rsidP="004A104C">
            <w:pPr>
              <w:pStyle w:val="ListBullet"/>
            </w:pPr>
            <w:r>
              <w:t>Removes immunization exemptions based on religious or philosophical beliefs for students in elementary and secondary schools and postsecondary schools and employees of nursery schools and health care facilities effective September 1, 2021.</w:t>
            </w:r>
          </w:p>
          <w:p w14:paraId="7B26F77D" w14:textId="0F95B8ED" w:rsidR="00114F14" w:rsidRDefault="00114F14" w:rsidP="004A104C">
            <w:pPr>
              <w:pStyle w:val="ListBullet"/>
            </w:pPr>
            <w:r w:rsidRPr="00A621F8">
              <w:t xml:space="preserve">Allows a student covered by an individualized education plan on September 1, 2021 who elected a religious or philosophical exemption from immunization requirements </w:t>
            </w:r>
            <w:r>
              <w:t xml:space="preserve">before that date </w:t>
            </w:r>
            <w:r w:rsidRPr="00A621F8">
              <w:t xml:space="preserve">may continue to attend school </w:t>
            </w:r>
            <w:r>
              <w:t>as long as the parent or guardian, or the student if 18 or over, provides a statement from a licensed physician, nurse practitioner or physician assistant that the parent or guardian was made aware of risks and benefits associated with immunization choice.</w:t>
            </w:r>
          </w:p>
          <w:p w14:paraId="73F42EE0" w14:textId="6485DF07" w:rsidR="00114F14" w:rsidRDefault="00114F14" w:rsidP="004A104C">
            <w:pPr>
              <w:pStyle w:val="ListBullet"/>
            </w:pPr>
            <w:r>
              <w:t xml:space="preserve">Directs the Departments of Education and of Health &amp; Human Services to jointly amend their Rules Chapters 126 and 261: </w:t>
            </w:r>
            <w:r w:rsidRPr="00E5176D">
              <w:t>Immunization Requirements for Children</w:t>
            </w:r>
            <w:r>
              <w:t xml:space="preserve"> to remove any immunization exemptions because of religious or philosophical beliefs and these amendments are to be routine technical only for purposes of this statute.  </w:t>
            </w:r>
          </w:p>
          <w:p w14:paraId="23BFD59E" w14:textId="439EF46F" w:rsidR="00114F14" w:rsidRPr="00510BFA" w:rsidRDefault="00114F14" w:rsidP="004A104C">
            <w:pPr>
              <w:pStyle w:val="ListBullet"/>
            </w:pPr>
            <w:r>
              <w:t>Requires the DHHS, Center for Disease Control and Prevention to submit a report, by January 1st of each odd-numbered year, to the Joint Standing Committees of Health &amp; Human Services and Education &amp; Cultural Affairs the Legislature having jurisdiction over health and human services matters and education matters concerning any new developments in the evaluation of vaccine safety and effectiveness. Authorizes each of these Joint Standing Committees to submit a bill during the legislative session in which the report was submitted.</w:t>
            </w:r>
          </w:p>
        </w:tc>
        <w:tc>
          <w:tcPr>
            <w:tcW w:w="2250" w:type="dxa"/>
            <w:shd w:val="clear" w:color="auto" w:fill="auto"/>
          </w:tcPr>
          <w:p w14:paraId="5618A944" w14:textId="77777777" w:rsidR="00114F14" w:rsidRDefault="00114F14" w:rsidP="004A104C">
            <w:pPr>
              <w:rPr>
                <w:sz w:val="22"/>
                <w:szCs w:val="22"/>
              </w:rPr>
            </w:pPr>
            <w:r>
              <w:rPr>
                <w:sz w:val="22"/>
                <w:szCs w:val="22"/>
              </w:rPr>
              <w:t>September 19, 2019</w:t>
            </w:r>
          </w:p>
          <w:p w14:paraId="78AD3782" w14:textId="77777777" w:rsidR="00114F14" w:rsidRDefault="00114F14" w:rsidP="004A104C">
            <w:pPr>
              <w:rPr>
                <w:sz w:val="22"/>
                <w:szCs w:val="22"/>
              </w:rPr>
            </w:pPr>
          </w:p>
          <w:p w14:paraId="3ED7F6A5" w14:textId="77777777" w:rsidR="00114F14" w:rsidRDefault="00114F14" w:rsidP="004A104C">
            <w:pPr>
              <w:rPr>
                <w:sz w:val="22"/>
                <w:szCs w:val="22"/>
              </w:rPr>
            </w:pPr>
            <w:r>
              <w:rPr>
                <w:sz w:val="22"/>
                <w:szCs w:val="22"/>
              </w:rPr>
              <w:t>September 1, 2021</w:t>
            </w:r>
          </w:p>
          <w:p w14:paraId="3BBFBD24" w14:textId="5DDD1E7A" w:rsidR="00114F14" w:rsidRDefault="00114F14" w:rsidP="004A104C">
            <w:pPr>
              <w:rPr>
                <w:sz w:val="22"/>
                <w:szCs w:val="22"/>
              </w:rPr>
            </w:pPr>
          </w:p>
          <w:p w14:paraId="06E7120E" w14:textId="0EA5C39A" w:rsidR="00860351" w:rsidRDefault="00860351" w:rsidP="004A104C">
            <w:pPr>
              <w:rPr>
                <w:sz w:val="22"/>
                <w:szCs w:val="22"/>
              </w:rPr>
            </w:pPr>
          </w:p>
          <w:p w14:paraId="084DB222" w14:textId="27B764E5" w:rsidR="00860351" w:rsidRDefault="00860351" w:rsidP="004A104C">
            <w:pPr>
              <w:rPr>
                <w:sz w:val="22"/>
                <w:szCs w:val="22"/>
              </w:rPr>
            </w:pPr>
          </w:p>
          <w:p w14:paraId="41A674EA" w14:textId="77777777" w:rsidR="00860351" w:rsidRDefault="00860351" w:rsidP="004A104C">
            <w:pPr>
              <w:rPr>
                <w:sz w:val="22"/>
                <w:szCs w:val="22"/>
              </w:rPr>
            </w:pPr>
          </w:p>
          <w:p w14:paraId="5F05CCBE" w14:textId="77777777" w:rsidR="00114F14" w:rsidRDefault="00114F14" w:rsidP="004A104C">
            <w:pPr>
              <w:rPr>
                <w:sz w:val="22"/>
                <w:szCs w:val="22"/>
              </w:rPr>
            </w:pPr>
          </w:p>
          <w:p w14:paraId="1172DCDA" w14:textId="52799AA7" w:rsidR="00114F14" w:rsidRPr="00433A3D" w:rsidRDefault="00114F14" w:rsidP="004A104C">
            <w:pPr>
              <w:rPr>
                <w:sz w:val="22"/>
                <w:szCs w:val="22"/>
              </w:rPr>
            </w:pPr>
            <w:r>
              <w:rPr>
                <w:sz w:val="22"/>
                <w:szCs w:val="22"/>
              </w:rPr>
              <w:t>Departments of Education and Health &amp; Human Service to jointly amend Chapters 126 and 261 as routine technical pursuant to this LD.</w:t>
            </w:r>
          </w:p>
        </w:tc>
      </w:tr>
      <w:tr w:rsidR="00114F14" w:rsidRPr="008D72F0" w14:paraId="37BD5E13" w14:textId="77777777" w:rsidTr="00114F14">
        <w:trPr>
          <w:trHeight w:val="737"/>
        </w:trPr>
        <w:tc>
          <w:tcPr>
            <w:tcW w:w="3080" w:type="dxa"/>
            <w:shd w:val="clear" w:color="auto" w:fill="auto"/>
          </w:tcPr>
          <w:p w14:paraId="765D87B9" w14:textId="7E87AA59" w:rsidR="00114F14" w:rsidRDefault="00114F14" w:rsidP="004A104C">
            <w:pPr>
              <w:rPr>
                <w:b/>
              </w:rPr>
            </w:pPr>
            <w:r>
              <w:rPr>
                <w:b/>
              </w:rPr>
              <w:t>LD 858, Resolve 2019, Chapter 26</w:t>
            </w:r>
          </w:p>
          <w:p w14:paraId="1B8ED22B" w14:textId="0E2CCA96" w:rsidR="00114F14" w:rsidRPr="004940BA" w:rsidRDefault="00114F14" w:rsidP="004A104C">
            <w:pPr>
              <w:rPr>
                <w:i/>
              </w:rPr>
            </w:pPr>
            <w:r w:rsidRPr="004940BA">
              <w:rPr>
                <w:i/>
              </w:rPr>
              <w:t xml:space="preserve">Resolve, Directing the Department of Education to Study and Make Recommendations Relating to School Safety </w:t>
            </w:r>
            <w:bookmarkStart w:id="3" w:name="_Hlk16240333"/>
            <w:r w:rsidRPr="004940BA">
              <w:rPr>
                <w:i/>
              </w:rPr>
              <w:t>and Security</w:t>
            </w:r>
            <w:bookmarkEnd w:id="3"/>
          </w:p>
        </w:tc>
        <w:tc>
          <w:tcPr>
            <w:tcW w:w="7265" w:type="dxa"/>
            <w:shd w:val="clear" w:color="auto" w:fill="auto"/>
          </w:tcPr>
          <w:p w14:paraId="2887F5DC" w14:textId="56BF9345" w:rsidR="00114F14" w:rsidRDefault="00114F14" w:rsidP="004A104C">
            <w:pPr>
              <w:pStyle w:val="ListBullet"/>
            </w:pPr>
            <w:r>
              <w:t>Requires the Department to study and make recommendations relating to school safety and security including opening schools as polling places and the recommended establishment of a Maine School Safety Center.</w:t>
            </w:r>
          </w:p>
          <w:p w14:paraId="2AD804D7" w14:textId="35F50870" w:rsidR="00114F14" w:rsidRPr="00E50148" w:rsidRDefault="00114F14" w:rsidP="004A104C">
            <w:pPr>
              <w:pStyle w:val="ListBullet"/>
            </w:pPr>
            <w:r>
              <w:t>Directs the Department to submit a preliminary report by December 15, 2019 and a final report including findings and recommendations including proposed legislation to the Joint Standing Committee on Education &amp; Cultural Affairs by December 15, 2020.</w:t>
            </w:r>
          </w:p>
          <w:p w14:paraId="51216EB9" w14:textId="01C53089" w:rsidR="00114F14" w:rsidRPr="00510BFA" w:rsidRDefault="00114F14" w:rsidP="004A104C">
            <w:pPr>
              <w:pStyle w:val="ListBullet"/>
            </w:pPr>
            <w:r>
              <w:t>Authorizes the Joint Standing Committee to submit a bill to the 1</w:t>
            </w:r>
            <w:r w:rsidRPr="00E50148">
              <w:rPr>
                <w:vertAlign w:val="superscript"/>
              </w:rPr>
              <w:t>st</w:t>
            </w:r>
            <w:r>
              <w:t xml:space="preserve"> Regular Session of the 130</w:t>
            </w:r>
            <w:r w:rsidRPr="00E50148">
              <w:rPr>
                <w:vertAlign w:val="superscript"/>
              </w:rPr>
              <w:t>th</w:t>
            </w:r>
            <w:r>
              <w:t xml:space="preserve"> Legislature.</w:t>
            </w:r>
          </w:p>
        </w:tc>
        <w:tc>
          <w:tcPr>
            <w:tcW w:w="2250" w:type="dxa"/>
            <w:shd w:val="clear" w:color="auto" w:fill="auto"/>
          </w:tcPr>
          <w:p w14:paraId="2BE46856" w14:textId="77777777" w:rsidR="00114F14" w:rsidRDefault="00114F14" w:rsidP="004A104C">
            <w:pPr>
              <w:rPr>
                <w:sz w:val="22"/>
                <w:szCs w:val="22"/>
              </w:rPr>
            </w:pPr>
            <w:r>
              <w:rPr>
                <w:sz w:val="22"/>
                <w:szCs w:val="22"/>
              </w:rPr>
              <w:t>September 19, 2019</w:t>
            </w:r>
          </w:p>
          <w:p w14:paraId="1FA3782D" w14:textId="77777777" w:rsidR="00114F14" w:rsidRDefault="00114F14" w:rsidP="004A104C">
            <w:pPr>
              <w:rPr>
                <w:sz w:val="22"/>
                <w:szCs w:val="22"/>
              </w:rPr>
            </w:pPr>
          </w:p>
          <w:p w14:paraId="0AA18467" w14:textId="32A74810" w:rsidR="00114F14" w:rsidRPr="00433A3D" w:rsidRDefault="00114F14" w:rsidP="004A104C">
            <w:pPr>
              <w:rPr>
                <w:sz w:val="22"/>
                <w:szCs w:val="22"/>
              </w:rPr>
            </w:pPr>
            <w:r>
              <w:rPr>
                <w:sz w:val="22"/>
                <w:szCs w:val="22"/>
              </w:rPr>
              <w:t>Department to submit studies by December 15, 2019 and December 15, 2020 to Joint Standing Committee on Education &amp; Cultural Affairs.</w:t>
            </w:r>
          </w:p>
        </w:tc>
      </w:tr>
      <w:tr w:rsidR="00114F14" w:rsidRPr="008D72F0" w14:paraId="4B927E8E" w14:textId="77777777" w:rsidTr="00114F14">
        <w:trPr>
          <w:trHeight w:val="737"/>
        </w:trPr>
        <w:tc>
          <w:tcPr>
            <w:tcW w:w="3080" w:type="dxa"/>
            <w:shd w:val="clear" w:color="auto" w:fill="auto"/>
          </w:tcPr>
          <w:p w14:paraId="6C724BA0" w14:textId="77777777" w:rsidR="00114F14" w:rsidRDefault="00114F14" w:rsidP="004A104C">
            <w:pPr>
              <w:rPr>
                <w:b/>
              </w:rPr>
            </w:pPr>
            <w:r>
              <w:rPr>
                <w:b/>
              </w:rPr>
              <w:t>LD 898, Public Law 2019,</w:t>
            </w:r>
          </w:p>
          <w:p w14:paraId="05C5B90F" w14:textId="77777777" w:rsidR="00114F14" w:rsidRDefault="00114F14" w:rsidP="004A104C">
            <w:pPr>
              <w:rPr>
                <w:b/>
              </w:rPr>
            </w:pPr>
            <w:r>
              <w:rPr>
                <w:b/>
              </w:rPr>
              <w:t>Chapter 518</w:t>
            </w:r>
          </w:p>
          <w:p w14:paraId="70488908" w14:textId="33F409CF" w:rsidR="00114F14" w:rsidRPr="003C5508" w:rsidRDefault="00114F14" w:rsidP="004A104C">
            <w:pPr>
              <w:rPr>
                <w:i/>
              </w:rPr>
            </w:pPr>
            <w:r w:rsidRPr="003C5508">
              <w:rPr>
                <w:i/>
              </w:rPr>
              <w:t xml:space="preserve">An Act </w:t>
            </w:r>
            <w:proofErr w:type="gramStart"/>
            <w:r w:rsidRPr="003C5508">
              <w:rPr>
                <w:i/>
              </w:rPr>
              <w:t>To</w:t>
            </w:r>
            <w:proofErr w:type="gramEnd"/>
            <w:r w:rsidRPr="003C5508">
              <w:rPr>
                <w:i/>
              </w:rPr>
              <w:t xml:space="preserve"> Provide for Support for New Educators</w:t>
            </w:r>
          </w:p>
        </w:tc>
        <w:tc>
          <w:tcPr>
            <w:tcW w:w="7265" w:type="dxa"/>
            <w:shd w:val="clear" w:color="auto" w:fill="auto"/>
          </w:tcPr>
          <w:p w14:paraId="643FED6A" w14:textId="77777777" w:rsidR="00114F14" w:rsidRDefault="00114F14" w:rsidP="004A104C">
            <w:pPr>
              <w:pStyle w:val="ListBullet"/>
            </w:pPr>
            <w:r>
              <w:t xml:space="preserve">Requires a school administrative unit to establish a peer support and mentoring system </w:t>
            </w:r>
            <w:proofErr w:type="gramStart"/>
            <w:r>
              <w:t>in order to</w:t>
            </w:r>
            <w:proofErr w:type="gramEnd"/>
            <w:r>
              <w:t xml:space="preserve"> employ a conditionally certified teacher or educational specialist to provide high-quality professional development for at least the first two years of employment and an intensive program of supervision providing guidance and support for at least the first year of employment.  </w:t>
            </w:r>
          </w:p>
          <w:p w14:paraId="1D3FBEAD" w14:textId="4FF82AA1" w:rsidR="00114F14" w:rsidRDefault="00114F14" w:rsidP="004A104C">
            <w:pPr>
              <w:pStyle w:val="ListBullet"/>
            </w:pPr>
            <w:r>
              <w:t xml:space="preserve">The system is to provide strong support services, mentoring, and assistance in classroom instruction and management. </w:t>
            </w:r>
          </w:p>
          <w:p w14:paraId="29BDEC6C" w14:textId="52252224" w:rsidR="00114F14" w:rsidRPr="00510BFA" w:rsidRDefault="00114F14" w:rsidP="004A104C">
            <w:pPr>
              <w:pStyle w:val="ListBullet"/>
              <w:numPr>
                <w:ilvl w:val="0"/>
                <w:numId w:val="8"/>
              </w:numPr>
              <w:ind w:left="498" w:hanging="180"/>
            </w:pPr>
            <w:r>
              <w:t>Requires the Governor to appoint members to all vacant positions on the Professional Standards Board by November 1, 2019 and for the Board to meet by December 1, 2019.</w:t>
            </w:r>
          </w:p>
        </w:tc>
        <w:tc>
          <w:tcPr>
            <w:tcW w:w="2250" w:type="dxa"/>
            <w:shd w:val="clear" w:color="auto" w:fill="auto"/>
          </w:tcPr>
          <w:p w14:paraId="57EC129B" w14:textId="77777777" w:rsidR="00114F14" w:rsidRDefault="00114F14" w:rsidP="004A104C">
            <w:pPr>
              <w:rPr>
                <w:sz w:val="22"/>
                <w:szCs w:val="22"/>
              </w:rPr>
            </w:pPr>
            <w:r>
              <w:rPr>
                <w:sz w:val="22"/>
                <w:szCs w:val="22"/>
              </w:rPr>
              <w:t>September 19, 2019</w:t>
            </w:r>
          </w:p>
          <w:p w14:paraId="129BC00A" w14:textId="77777777" w:rsidR="00114F14" w:rsidRDefault="00114F14" w:rsidP="004A104C">
            <w:pPr>
              <w:rPr>
                <w:sz w:val="22"/>
                <w:szCs w:val="22"/>
              </w:rPr>
            </w:pPr>
          </w:p>
          <w:p w14:paraId="7623B017" w14:textId="384D9CC1" w:rsidR="00114F14" w:rsidRDefault="00114F14" w:rsidP="004A104C">
            <w:pPr>
              <w:rPr>
                <w:sz w:val="22"/>
                <w:szCs w:val="22"/>
              </w:rPr>
            </w:pPr>
          </w:p>
        </w:tc>
      </w:tr>
      <w:tr w:rsidR="00114F14" w:rsidRPr="008D72F0" w14:paraId="32F16672" w14:textId="77777777" w:rsidTr="00114F14">
        <w:trPr>
          <w:trHeight w:val="737"/>
        </w:trPr>
        <w:tc>
          <w:tcPr>
            <w:tcW w:w="3080" w:type="dxa"/>
            <w:shd w:val="clear" w:color="auto" w:fill="auto"/>
          </w:tcPr>
          <w:p w14:paraId="27D347D5" w14:textId="77777777" w:rsidR="00114F14" w:rsidRDefault="00114F14" w:rsidP="004A104C">
            <w:pPr>
              <w:rPr>
                <w:b/>
              </w:rPr>
            </w:pPr>
            <w:r>
              <w:rPr>
                <w:b/>
              </w:rPr>
              <w:t>LD 930, Public Law 2019,</w:t>
            </w:r>
          </w:p>
          <w:p w14:paraId="08B6028C" w14:textId="77777777" w:rsidR="00114F14" w:rsidRDefault="00114F14" w:rsidP="004A104C">
            <w:pPr>
              <w:rPr>
                <w:b/>
              </w:rPr>
            </w:pPr>
            <w:r>
              <w:rPr>
                <w:b/>
              </w:rPr>
              <w:t>Chapter 105</w:t>
            </w:r>
          </w:p>
          <w:p w14:paraId="7031CCC1" w14:textId="593AEFE9" w:rsidR="00114F14" w:rsidRPr="004940BA" w:rsidRDefault="00114F14" w:rsidP="004A104C">
            <w:pPr>
              <w:rPr>
                <w:i/>
              </w:rPr>
            </w:pPr>
            <w:r w:rsidRPr="004940BA">
              <w:rPr>
                <w:i/>
              </w:rPr>
              <w:t xml:space="preserve">An Act </w:t>
            </w:r>
            <w:proofErr w:type="gramStart"/>
            <w:r w:rsidRPr="004940BA">
              <w:rPr>
                <w:i/>
              </w:rPr>
              <w:t>To</w:t>
            </w:r>
            <w:proofErr w:type="gramEnd"/>
            <w:r w:rsidRPr="004940BA">
              <w:rPr>
                <w:i/>
              </w:rPr>
              <w:t xml:space="preserve"> Give Maine Schools Additional Options To Make Up Missed School Days</w:t>
            </w:r>
          </w:p>
        </w:tc>
        <w:tc>
          <w:tcPr>
            <w:tcW w:w="7265" w:type="dxa"/>
            <w:shd w:val="clear" w:color="auto" w:fill="auto"/>
          </w:tcPr>
          <w:p w14:paraId="4189022C" w14:textId="14F4778F" w:rsidR="00114F14" w:rsidRPr="00510BFA" w:rsidRDefault="00114F14" w:rsidP="004A104C">
            <w:pPr>
              <w:pStyle w:val="ListBullet"/>
            </w:pPr>
            <w:r>
              <w:t xml:space="preserve">Authorizes school administrative units to make up school days missed due to weather or emergency closures by other methods not included in law </w:t>
            </w:r>
            <w:proofErr w:type="gramStart"/>
            <w:r>
              <w:t>as long as</w:t>
            </w:r>
            <w:proofErr w:type="gramEnd"/>
            <w:r>
              <w:t xml:space="preserve"> they are incorporated into a plan approved by the Commissioner.</w:t>
            </w:r>
          </w:p>
        </w:tc>
        <w:tc>
          <w:tcPr>
            <w:tcW w:w="2250" w:type="dxa"/>
            <w:shd w:val="clear" w:color="auto" w:fill="auto"/>
          </w:tcPr>
          <w:p w14:paraId="19B24E15" w14:textId="77777777" w:rsidR="00114F14" w:rsidRDefault="00114F14" w:rsidP="004A104C">
            <w:pPr>
              <w:rPr>
                <w:sz w:val="22"/>
                <w:szCs w:val="22"/>
              </w:rPr>
            </w:pPr>
            <w:r>
              <w:rPr>
                <w:sz w:val="22"/>
                <w:szCs w:val="22"/>
              </w:rPr>
              <w:t>September 19, 2019</w:t>
            </w:r>
          </w:p>
          <w:p w14:paraId="4E27BEC3" w14:textId="77777777" w:rsidR="00114F14" w:rsidRDefault="00114F14" w:rsidP="004A104C">
            <w:pPr>
              <w:rPr>
                <w:sz w:val="22"/>
                <w:szCs w:val="22"/>
              </w:rPr>
            </w:pPr>
          </w:p>
          <w:p w14:paraId="402527C7" w14:textId="4DDF01FD" w:rsidR="00114F14" w:rsidRPr="00433A3D" w:rsidRDefault="00114F14" w:rsidP="004A104C">
            <w:pPr>
              <w:rPr>
                <w:sz w:val="22"/>
                <w:szCs w:val="22"/>
              </w:rPr>
            </w:pPr>
          </w:p>
        </w:tc>
      </w:tr>
      <w:tr w:rsidR="00114F14" w:rsidRPr="008D72F0" w14:paraId="0B357152" w14:textId="77777777" w:rsidTr="00114F14">
        <w:trPr>
          <w:trHeight w:val="737"/>
        </w:trPr>
        <w:tc>
          <w:tcPr>
            <w:tcW w:w="3080" w:type="dxa"/>
            <w:shd w:val="clear" w:color="auto" w:fill="auto"/>
          </w:tcPr>
          <w:p w14:paraId="571245A4" w14:textId="6ED58E3F" w:rsidR="00114F14" w:rsidRDefault="00114F14" w:rsidP="004A104C">
            <w:pPr>
              <w:rPr>
                <w:b/>
              </w:rPr>
            </w:pPr>
            <w:r>
              <w:rPr>
                <w:b/>
              </w:rPr>
              <w:t>LD 944, Public Law 2019,</w:t>
            </w:r>
          </w:p>
          <w:p w14:paraId="10F7EA32" w14:textId="1330303C" w:rsidR="00114F14" w:rsidRDefault="00114F14" w:rsidP="004A104C">
            <w:pPr>
              <w:rPr>
                <w:b/>
              </w:rPr>
            </w:pPr>
            <w:r>
              <w:rPr>
                <w:b/>
              </w:rPr>
              <w:t>Chapter 123</w:t>
            </w:r>
          </w:p>
          <w:p w14:paraId="43D8C20E" w14:textId="2C3B0F3B" w:rsidR="00114F14" w:rsidRPr="002D17C0" w:rsidRDefault="00114F14" w:rsidP="004A104C">
            <w:pPr>
              <w:rPr>
                <w:i/>
              </w:rPr>
            </w:pPr>
            <w:r w:rsidRPr="00BA3E25">
              <w:rPr>
                <w:i/>
              </w:rPr>
              <w:t xml:space="preserve">An Act </w:t>
            </w:r>
            <w:proofErr w:type="gramStart"/>
            <w:r w:rsidRPr="00BA3E25">
              <w:rPr>
                <w:i/>
              </w:rPr>
              <w:t>To</w:t>
            </w:r>
            <w:proofErr w:type="gramEnd"/>
            <w:r w:rsidRPr="00BA3E25">
              <w:rPr>
                <w:i/>
              </w:rPr>
              <w:t xml:space="preserve"> Ban Native American Mascots in All Public Schools</w:t>
            </w:r>
          </w:p>
        </w:tc>
        <w:tc>
          <w:tcPr>
            <w:tcW w:w="7265" w:type="dxa"/>
            <w:shd w:val="clear" w:color="auto" w:fill="auto"/>
          </w:tcPr>
          <w:p w14:paraId="6D996607" w14:textId="533C70B7" w:rsidR="00114F14" w:rsidRPr="00510BFA" w:rsidRDefault="00114F14" w:rsidP="004A104C">
            <w:pPr>
              <w:pStyle w:val="ListBullet"/>
            </w:pPr>
            <w:r>
              <w:t>Prohibits a public school, as well as any colleges in the University of Maine System, the Maine Community College System and Maine Maritime Academy from having or adopting a name, symbol or image that depicts or refers to a Native American tribe, individual, custom or tradition and that is used as a mascot, nickname, logo, letterhead or team name of the school.</w:t>
            </w:r>
          </w:p>
        </w:tc>
        <w:tc>
          <w:tcPr>
            <w:tcW w:w="2250" w:type="dxa"/>
            <w:shd w:val="clear" w:color="auto" w:fill="auto"/>
          </w:tcPr>
          <w:p w14:paraId="67202E63" w14:textId="77777777" w:rsidR="00114F14" w:rsidRDefault="00114F14" w:rsidP="004A104C">
            <w:pPr>
              <w:rPr>
                <w:sz w:val="22"/>
                <w:szCs w:val="22"/>
              </w:rPr>
            </w:pPr>
            <w:r>
              <w:rPr>
                <w:sz w:val="22"/>
                <w:szCs w:val="22"/>
              </w:rPr>
              <w:t>September 19, 2019</w:t>
            </w:r>
          </w:p>
          <w:p w14:paraId="211FEB74" w14:textId="77777777" w:rsidR="00114F14" w:rsidRDefault="00114F14" w:rsidP="004A104C">
            <w:pPr>
              <w:rPr>
                <w:sz w:val="22"/>
                <w:szCs w:val="22"/>
              </w:rPr>
            </w:pPr>
          </w:p>
          <w:p w14:paraId="30EC1DAB" w14:textId="1E7CB955" w:rsidR="00114F14" w:rsidRPr="00433A3D" w:rsidRDefault="00114F14" w:rsidP="004A104C">
            <w:pPr>
              <w:rPr>
                <w:sz w:val="22"/>
                <w:szCs w:val="22"/>
              </w:rPr>
            </w:pPr>
          </w:p>
        </w:tc>
      </w:tr>
      <w:tr w:rsidR="00114F14" w:rsidRPr="008D72F0" w14:paraId="390858CD" w14:textId="77777777" w:rsidTr="00114F14">
        <w:trPr>
          <w:trHeight w:val="737"/>
        </w:trPr>
        <w:tc>
          <w:tcPr>
            <w:tcW w:w="3080" w:type="dxa"/>
            <w:shd w:val="clear" w:color="auto" w:fill="auto"/>
          </w:tcPr>
          <w:p w14:paraId="6C2C0EA1" w14:textId="77777777" w:rsidR="00114F14" w:rsidRDefault="00114F14" w:rsidP="004A104C">
            <w:pPr>
              <w:rPr>
                <w:b/>
              </w:rPr>
            </w:pPr>
            <w:r>
              <w:rPr>
                <w:b/>
              </w:rPr>
              <w:t>LD 985, Public Law 2019, Chapter 202</w:t>
            </w:r>
          </w:p>
          <w:p w14:paraId="272EBF1E" w14:textId="42475471" w:rsidR="00114F14" w:rsidRPr="00EB566C" w:rsidRDefault="00114F14" w:rsidP="004A104C">
            <w:pPr>
              <w:rPr>
                <w:i/>
              </w:rPr>
            </w:pPr>
            <w:r w:rsidRPr="00EB566C">
              <w:rPr>
                <w:i/>
              </w:rPr>
              <w:t xml:space="preserve">An Act </w:t>
            </w:r>
            <w:proofErr w:type="gramStart"/>
            <w:r w:rsidRPr="00EB566C">
              <w:rPr>
                <w:i/>
              </w:rPr>
              <w:t>To</w:t>
            </w:r>
            <w:proofErr w:type="gramEnd"/>
            <w:r w:rsidRPr="00EB566C">
              <w:rPr>
                <w:i/>
              </w:rPr>
              <w:t xml:space="preserve"> Maintain High School Diploma Standards by Repealing Proficiency-based Diploma Standards and Adding the Equivalent in Standards Achievement</w:t>
            </w:r>
          </w:p>
        </w:tc>
        <w:tc>
          <w:tcPr>
            <w:tcW w:w="7265" w:type="dxa"/>
            <w:shd w:val="clear" w:color="auto" w:fill="auto"/>
          </w:tcPr>
          <w:p w14:paraId="38A3027F" w14:textId="7794FB57" w:rsidR="00114F14" w:rsidRDefault="00114F14" w:rsidP="004A104C">
            <w:pPr>
              <w:pStyle w:val="ListBullet"/>
            </w:pPr>
            <w:r>
              <w:t>R</w:t>
            </w:r>
            <w:r w:rsidRPr="004472EC">
              <w:t xml:space="preserve">epeals </w:t>
            </w:r>
            <w:r>
              <w:t>diploma statutes</w:t>
            </w:r>
            <w:r w:rsidRPr="004472EC">
              <w:t xml:space="preserve"> indicating graduation from a secondary school to be based on a student's demonstration of proficiency</w:t>
            </w:r>
            <w:r>
              <w:t>.</w:t>
            </w:r>
          </w:p>
          <w:p w14:paraId="76071016" w14:textId="24779A7C" w:rsidR="00114F14" w:rsidRDefault="00114F14" w:rsidP="004A104C">
            <w:pPr>
              <w:pStyle w:val="ListBullet"/>
            </w:pPr>
            <w:r>
              <w:t>Amends diploma statute to indicate that graduation from a secondary school signifies that the graduate has completed high school diploma requirements and is ready to enter a postsecondary educational program or a career as a clear and effective communicator, a self-directed and lifelong learner, a creative and practical problem solver, a responsible and involved citizen and an informed and integrative thinker.</w:t>
            </w:r>
          </w:p>
          <w:p w14:paraId="335F332C" w14:textId="77777777" w:rsidR="00114F14" w:rsidRDefault="00114F14" w:rsidP="004A104C">
            <w:pPr>
              <w:pStyle w:val="ListBullet"/>
            </w:pPr>
            <w:r>
              <w:t>Provides that instruction in the required subjects may be provided through the current year-based requirements or through the equivalent in standards achievement.</w:t>
            </w:r>
          </w:p>
          <w:p w14:paraId="66EDCF12" w14:textId="77777777" w:rsidR="00114F14" w:rsidRDefault="00114F14" w:rsidP="004A104C">
            <w:pPr>
              <w:pStyle w:val="ListBullet"/>
            </w:pPr>
            <w:r>
              <w:t xml:space="preserve">Requires that a child with a disability who satisfies the local diploma requirements in the manner specified by the child's individualized education plan must be awarded a high school diploma. </w:t>
            </w:r>
          </w:p>
          <w:p w14:paraId="4766B3CC" w14:textId="255CB59C" w:rsidR="00114F14" w:rsidRPr="00510BFA" w:rsidRDefault="00114F14" w:rsidP="004A104C">
            <w:pPr>
              <w:pStyle w:val="ListBullet"/>
            </w:pPr>
            <w:r>
              <w:t>Provides that career and technical education students, consistent with the approval of the Commissioner and the local school board, may satisfy instructional requirements through separate or integrated study within the career and technical education school curriculum.</w:t>
            </w:r>
          </w:p>
        </w:tc>
        <w:tc>
          <w:tcPr>
            <w:tcW w:w="2250" w:type="dxa"/>
            <w:shd w:val="clear" w:color="auto" w:fill="auto"/>
          </w:tcPr>
          <w:p w14:paraId="26783E3A" w14:textId="77777777" w:rsidR="00114F14" w:rsidRDefault="00114F14" w:rsidP="004A104C">
            <w:pPr>
              <w:rPr>
                <w:sz w:val="22"/>
                <w:szCs w:val="22"/>
              </w:rPr>
            </w:pPr>
            <w:r>
              <w:rPr>
                <w:sz w:val="22"/>
                <w:szCs w:val="22"/>
              </w:rPr>
              <w:t>September 19, 2019</w:t>
            </w:r>
          </w:p>
          <w:p w14:paraId="5C46BF03" w14:textId="77777777" w:rsidR="00114F14" w:rsidRDefault="00114F14" w:rsidP="004A104C">
            <w:pPr>
              <w:rPr>
                <w:sz w:val="22"/>
                <w:szCs w:val="22"/>
              </w:rPr>
            </w:pPr>
          </w:p>
          <w:p w14:paraId="4A0C610A" w14:textId="2EE32E96" w:rsidR="00114F14" w:rsidRPr="00433A3D" w:rsidRDefault="00114F14" w:rsidP="004A104C">
            <w:pPr>
              <w:rPr>
                <w:sz w:val="22"/>
                <w:szCs w:val="22"/>
              </w:rPr>
            </w:pPr>
          </w:p>
        </w:tc>
      </w:tr>
      <w:tr w:rsidR="00114F14" w:rsidRPr="008D72F0" w14:paraId="58147B90" w14:textId="77777777" w:rsidTr="00114F14">
        <w:trPr>
          <w:trHeight w:val="737"/>
        </w:trPr>
        <w:tc>
          <w:tcPr>
            <w:tcW w:w="3080" w:type="dxa"/>
            <w:shd w:val="clear" w:color="auto" w:fill="auto"/>
          </w:tcPr>
          <w:p w14:paraId="4A7F959F" w14:textId="77777777" w:rsidR="00114F14" w:rsidRDefault="00114F14" w:rsidP="004A104C">
            <w:pPr>
              <w:rPr>
                <w:b/>
              </w:rPr>
            </w:pPr>
            <w:r>
              <w:rPr>
                <w:b/>
              </w:rPr>
              <w:t>LD 1000, Public Law 2019, Chapter 4</w:t>
            </w:r>
          </w:p>
          <w:p w14:paraId="0C352025" w14:textId="77777777" w:rsidR="00114F14" w:rsidRDefault="00114F14" w:rsidP="004A104C">
            <w:pPr>
              <w:rPr>
                <w:i/>
              </w:rPr>
            </w:pPr>
            <w:r w:rsidRPr="005E2997">
              <w:rPr>
                <w:i/>
              </w:rPr>
              <w:t xml:space="preserve">An Act </w:t>
            </w:r>
            <w:proofErr w:type="gramStart"/>
            <w:r w:rsidRPr="005E2997">
              <w:rPr>
                <w:i/>
              </w:rPr>
              <w:t>To</w:t>
            </w:r>
            <w:proofErr w:type="gramEnd"/>
            <w:r w:rsidRPr="005E2997">
              <w:rPr>
                <w:i/>
              </w:rPr>
              <w:t xml:space="preserve"> Make Supplemental Appropriations and Allocations for the Expenditures of State Government and To Change Certain Provisions of Law Necessary to the Proper Operations of State Government for the Fiscal Year Ending June 30, 2019 (EMERGENCY) (GOVERNOR'S BILL)  </w:t>
            </w:r>
          </w:p>
          <w:p w14:paraId="5FF28205" w14:textId="77777777" w:rsidR="00114F14" w:rsidRDefault="00114F14" w:rsidP="004A104C">
            <w:pPr>
              <w:rPr>
                <w:i/>
              </w:rPr>
            </w:pPr>
          </w:p>
          <w:p w14:paraId="6DA80166" w14:textId="77777777" w:rsidR="00114F14" w:rsidRDefault="00114F14" w:rsidP="004A104C">
            <w:pPr>
              <w:rPr>
                <w:i/>
              </w:rPr>
            </w:pPr>
          </w:p>
          <w:p w14:paraId="2AC72D94" w14:textId="77777777" w:rsidR="00114F14" w:rsidRDefault="00114F14" w:rsidP="004A104C">
            <w:pPr>
              <w:rPr>
                <w:i/>
              </w:rPr>
            </w:pPr>
          </w:p>
          <w:p w14:paraId="4380C756" w14:textId="77777777" w:rsidR="00114F14" w:rsidRDefault="00114F14" w:rsidP="004A104C">
            <w:pPr>
              <w:rPr>
                <w:i/>
              </w:rPr>
            </w:pPr>
          </w:p>
          <w:p w14:paraId="54C38949" w14:textId="77777777" w:rsidR="00114F14" w:rsidRDefault="00114F14" w:rsidP="004A104C">
            <w:pPr>
              <w:rPr>
                <w:i/>
              </w:rPr>
            </w:pPr>
          </w:p>
          <w:p w14:paraId="37E87E38" w14:textId="77777777" w:rsidR="00114F14" w:rsidRDefault="00114F14" w:rsidP="004A104C">
            <w:pPr>
              <w:rPr>
                <w:i/>
              </w:rPr>
            </w:pPr>
          </w:p>
          <w:p w14:paraId="2D4BE4FC" w14:textId="77777777" w:rsidR="00114F14" w:rsidRDefault="00114F14" w:rsidP="004A104C">
            <w:pPr>
              <w:rPr>
                <w:i/>
              </w:rPr>
            </w:pPr>
          </w:p>
          <w:p w14:paraId="0C9D0A82" w14:textId="77777777" w:rsidR="00114F14" w:rsidRDefault="00114F14" w:rsidP="004A104C">
            <w:pPr>
              <w:rPr>
                <w:i/>
              </w:rPr>
            </w:pPr>
          </w:p>
          <w:p w14:paraId="27F2EECF" w14:textId="77777777" w:rsidR="00114F14" w:rsidRDefault="00114F14" w:rsidP="004A104C">
            <w:pPr>
              <w:rPr>
                <w:i/>
              </w:rPr>
            </w:pPr>
          </w:p>
          <w:p w14:paraId="5130AD69" w14:textId="77777777" w:rsidR="00114F14" w:rsidRDefault="00114F14" w:rsidP="004A104C">
            <w:pPr>
              <w:rPr>
                <w:i/>
              </w:rPr>
            </w:pPr>
          </w:p>
          <w:p w14:paraId="6C27EA0C" w14:textId="77777777" w:rsidR="00114F14" w:rsidRDefault="00114F14" w:rsidP="004A104C">
            <w:pPr>
              <w:rPr>
                <w:i/>
              </w:rPr>
            </w:pPr>
          </w:p>
          <w:p w14:paraId="5296476A" w14:textId="77777777" w:rsidR="00114F14" w:rsidRDefault="00114F14" w:rsidP="004A104C">
            <w:pPr>
              <w:rPr>
                <w:i/>
              </w:rPr>
            </w:pPr>
          </w:p>
          <w:p w14:paraId="68DAD7F9" w14:textId="77777777" w:rsidR="00114F14" w:rsidRDefault="00114F14" w:rsidP="004A104C">
            <w:pPr>
              <w:rPr>
                <w:i/>
              </w:rPr>
            </w:pPr>
          </w:p>
          <w:p w14:paraId="0C00522A" w14:textId="77777777" w:rsidR="00114F14" w:rsidRDefault="00114F14" w:rsidP="004A104C">
            <w:pPr>
              <w:rPr>
                <w:i/>
              </w:rPr>
            </w:pPr>
          </w:p>
          <w:p w14:paraId="7362C905" w14:textId="2D395861" w:rsidR="00114F14" w:rsidRPr="005E2997" w:rsidRDefault="00114F14" w:rsidP="004A104C">
            <w:pPr>
              <w:rPr>
                <w:i/>
              </w:rPr>
            </w:pPr>
          </w:p>
        </w:tc>
        <w:tc>
          <w:tcPr>
            <w:tcW w:w="7265" w:type="dxa"/>
            <w:shd w:val="clear" w:color="auto" w:fill="auto"/>
          </w:tcPr>
          <w:p w14:paraId="7CFB81E8" w14:textId="77777777" w:rsidR="00114F14" w:rsidRPr="00C60E93" w:rsidRDefault="00114F14" w:rsidP="004A104C">
            <w:pPr>
              <w:pStyle w:val="ListBullet"/>
              <w:numPr>
                <w:ilvl w:val="0"/>
                <w:numId w:val="0"/>
              </w:numPr>
              <w:jc w:val="both"/>
              <w:rPr>
                <w:b/>
                <w:u w:val="single"/>
              </w:rPr>
            </w:pPr>
            <w:r w:rsidRPr="00C60E93">
              <w:rPr>
                <w:b/>
                <w:u w:val="single"/>
              </w:rPr>
              <w:t>FY 2019 SUPPLEMENTAL BUDGET</w:t>
            </w:r>
          </w:p>
          <w:p w14:paraId="301C7977" w14:textId="77777777" w:rsidR="00114F14" w:rsidRPr="00BF5D70" w:rsidRDefault="00114F14" w:rsidP="004A104C">
            <w:pPr>
              <w:pStyle w:val="ListBullet"/>
              <w:numPr>
                <w:ilvl w:val="0"/>
                <w:numId w:val="0"/>
              </w:numPr>
              <w:ind w:left="280"/>
              <w:rPr>
                <w:u w:val="single"/>
              </w:rPr>
            </w:pPr>
          </w:p>
          <w:p w14:paraId="041DC68F" w14:textId="77777777" w:rsidR="00114F14" w:rsidRPr="00BF5D70" w:rsidRDefault="00114F14" w:rsidP="004A104C">
            <w:pPr>
              <w:pStyle w:val="ListBullet"/>
              <w:numPr>
                <w:ilvl w:val="0"/>
                <w:numId w:val="0"/>
              </w:numPr>
              <w:rPr>
                <w:u w:val="single"/>
              </w:rPr>
            </w:pPr>
            <w:r w:rsidRPr="00BF5D70">
              <w:rPr>
                <w:u w:val="single"/>
              </w:rPr>
              <w:t>Maine State Cultural Affairs Council</w:t>
            </w:r>
          </w:p>
          <w:p w14:paraId="055706D0" w14:textId="77777777" w:rsidR="00114F14" w:rsidRPr="00BF5D70" w:rsidRDefault="00114F14" w:rsidP="004A104C">
            <w:pPr>
              <w:pStyle w:val="ListBullet"/>
              <w:numPr>
                <w:ilvl w:val="0"/>
                <w:numId w:val="0"/>
              </w:numPr>
            </w:pPr>
          </w:p>
          <w:p w14:paraId="76AD0924" w14:textId="602BD060" w:rsidR="00114F14" w:rsidRDefault="00114F14" w:rsidP="004A104C">
            <w:pPr>
              <w:pStyle w:val="ListBullet"/>
              <w:numPr>
                <w:ilvl w:val="0"/>
                <w:numId w:val="22"/>
              </w:numPr>
              <w:ind w:left="460" w:hanging="180"/>
            </w:pPr>
            <w:r w:rsidRPr="00BF5D70">
              <w:t>Provides General Fund appropriations in the budget for staff support and other expenses associated with the planning of the State of Maine bicentennial celebration of $1,000,000 in FY 19 and any funds may be carried over to the next fiscal year for this purpose.</w:t>
            </w:r>
          </w:p>
          <w:p w14:paraId="0BE5D868" w14:textId="77777777" w:rsidR="00114F14" w:rsidRPr="00BF5D70" w:rsidRDefault="00114F14" w:rsidP="004A104C">
            <w:pPr>
              <w:pStyle w:val="ListBullet"/>
              <w:numPr>
                <w:ilvl w:val="0"/>
                <w:numId w:val="0"/>
              </w:numPr>
              <w:ind w:left="460"/>
            </w:pPr>
          </w:p>
          <w:p w14:paraId="3C7C52E9" w14:textId="77777777" w:rsidR="00114F14" w:rsidRPr="001F6006" w:rsidRDefault="00114F14" w:rsidP="004A104C">
            <w:pPr>
              <w:pStyle w:val="ListBullet"/>
              <w:numPr>
                <w:ilvl w:val="0"/>
                <w:numId w:val="0"/>
              </w:numPr>
              <w:rPr>
                <w:u w:val="single"/>
              </w:rPr>
            </w:pPr>
            <w:r w:rsidRPr="001F6006">
              <w:rPr>
                <w:u w:val="single"/>
              </w:rPr>
              <w:t>Higher Education and Educator Support Services</w:t>
            </w:r>
          </w:p>
          <w:p w14:paraId="0885869F" w14:textId="77777777" w:rsidR="00114F14" w:rsidRPr="00E7469F" w:rsidRDefault="00114F14" w:rsidP="004A104C">
            <w:pPr>
              <w:pStyle w:val="ListBullet"/>
              <w:numPr>
                <w:ilvl w:val="0"/>
                <w:numId w:val="0"/>
              </w:numPr>
              <w:rPr>
                <w:sz w:val="22"/>
                <w:szCs w:val="22"/>
                <w:u w:val="single"/>
              </w:rPr>
            </w:pPr>
          </w:p>
          <w:p w14:paraId="208589B7" w14:textId="0CF57835" w:rsidR="00114F14" w:rsidRPr="00C60E93" w:rsidRDefault="00114F14" w:rsidP="004A104C">
            <w:pPr>
              <w:pStyle w:val="ListBullet"/>
              <w:rPr>
                <w:sz w:val="22"/>
                <w:szCs w:val="22"/>
              </w:rPr>
            </w:pPr>
            <w:r>
              <w:t>Establishes one Public Service Manager II position</w:t>
            </w:r>
            <w:r w:rsidRPr="00E7469F">
              <w:t xml:space="preserve"> and </w:t>
            </w:r>
            <w:r>
              <w:t>General Fund appropriations</w:t>
            </w:r>
            <w:r w:rsidRPr="00E7469F">
              <w:t xml:space="preserve"> </w:t>
            </w:r>
            <w:r>
              <w:t>in the budget to provide leadership, strategic planning and direction for all certification activities effective April 8, 2019.</w:t>
            </w:r>
          </w:p>
          <w:tbl>
            <w:tblPr>
              <w:tblW w:w="0" w:type="auto"/>
              <w:tblInd w:w="108" w:type="dxa"/>
              <w:tblLook w:val="01E0" w:firstRow="1" w:lastRow="1" w:firstColumn="1" w:lastColumn="1" w:noHBand="0" w:noVBand="0"/>
            </w:tblPr>
            <w:tblGrid>
              <w:gridCol w:w="2166"/>
              <w:gridCol w:w="1080"/>
              <w:gridCol w:w="1170"/>
              <w:gridCol w:w="990"/>
            </w:tblGrid>
            <w:tr w:rsidR="00114F14" w:rsidRPr="008D72F0" w14:paraId="146F34A8" w14:textId="77777777" w:rsidTr="003F0319">
              <w:trPr>
                <w:trHeight w:val="357"/>
              </w:trPr>
              <w:tc>
                <w:tcPr>
                  <w:tcW w:w="2166" w:type="dxa"/>
                  <w:shd w:val="clear" w:color="auto" w:fill="auto"/>
                </w:tcPr>
                <w:p w14:paraId="3E00FEBB" w14:textId="77777777" w:rsidR="00114F14" w:rsidRPr="006B64F5" w:rsidRDefault="00114F14" w:rsidP="004A104C">
                  <w:pPr>
                    <w:jc w:val="right"/>
                    <w:rPr>
                      <w:b/>
                      <w:sz w:val="20"/>
                      <w:szCs w:val="20"/>
                      <w:u w:val="single"/>
                    </w:rPr>
                  </w:pPr>
                </w:p>
              </w:tc>
              <w:tc>
                <w:tcPr>
                  <w:tcW w:w="1080" w:type="dxa"/>
                  <w:shd w:val="clear" w:color="auto" w:fill="auto"/>
                </w:tcPr>
                <w:p w14:paraId="47393030" w14:textId="77777777" w:rsidR="00114F14" w:rsidRPr="008D72F0" w:rsidRDefault="00114F14" w:rsidP="004A104C">
                  <w:pPr>
                    <w:jc w:val="right"/>
                    <w:rPr>
                      <w:sz w:val="20"/>
                      <w:szCs w:val="20"/>
                      <w:u w:val="single"/>
                    </w:rPr>
                  </w:pPr>
                  <w:r>
                    <w:rPr>
                      <w:sz w:val="20"/>
                      <w:szCs w:val="20"/>
                      <w:u w:val="single"/>
                    </w:rPr>
                    <w:t>FY 19</w:t>
                  </w:r>
                </w:p>
              </w:tc>
              <w:tc>
                <w:tcPr>
                  <w:tcW w:w="1170" w:type="dxa"/>
                </w:tcPr>
                <w:p w14:paraId="77FA7C9F" w14:textId="77777777" w:rsidR="00114F14" w:rsidRPr="008D72F0" w:rsidRDefault="00114F14" w:rsidP="004A104C">
                  <w:pPr>
                    <w:jc w:val="right"/>
                    <w:rPr>
                      <w:sz w:val="20"/>
                      <w:szCs w:val="20"/>
                      <w:u w:val="single"/>
                    </w:rPr>
                  </w:pPr>
                  <w:r>
                    <w:rPr>
                      <w:sz w:val="20"/>
                      <w:szCs w:val="20"/>
                      <w:u w:val="single"/>
                    </w:rPr>
                    <w:t>FY 20</w:t>
                  </w:r>
                </w:p>
              </w:tc>
              <w:tc>
                <w:tcPr>
                  <w:tcW w:w="990" w:type="dxa"/>
                </w:tcPr>
                <w:p w14:paraId="5F8BE223" w14:textId="77777777" w:rsidR="00114F14" w:rsidRDefault="00114F14" w:rsidP="004A104C">
                  <w:pPr>
                    <w:jc w:val="right"/>
                    <w:rPr>
                      <w:sz w:val="20"/>
                      <w:szCs w:val="20"/>
                      <w:u w:val="single"/>
                    </w:rPr>
                  </w:pPr>
                  <w:r>
                    <w:rPr>
                      <w:sz w:val="20"/>
                      <w:szCs w:val="20"/>
                      <w:u w:val="single"/>
                    </w:rPr>
                    <w:t>FY 21</w:t>
                  </w:r>
                </w:p>
              </w:tc>
            </w:tr>
            <w:tr w:rsidR="00114F14" w:rsidRPr="008D72F0" w14:paraId="47215BD9" w14:textId="77777777" w:rsidTr="003F0319">
              <w:trPr>
                <w:trHeight w:val="315"/>
              </w:trPr>
              <w:tc>
                <w:tcPr>
                  <w:tcW w:w="2166" w:type="dxa"/>
                  <w:shd w:val="clear" w:color="auto" w:fill="auto"/>
                </w:tcPr>
                <w:p w14:paraId="0943BFA4" w14:textId="77777777" w:rsidR="00114F14" w:rsidRPr="008E6261" w:rsidRDefault="00114F14" w:rsidP="004A104C">
                  <w:pPr>
                    <w:jc w:val="right"/>
                    <w:rPr>
                      <w:sz w:val="16"/>
                      <w:szCs w:val="16"/>
                    </w:rPr>
                  </w:pPr>
                  <w:r>
                    <w:rPr>
                      <w:sz w:val="16"/>
                      <w:szCs w:val="16"/>
                    </w:rPr>
                    <w:t>General Fund – Position Count</w:t>
                  </w:r>
                </w:p>
              </w:tc>
              <w:tc>
                <w:tcPr>
                  <w:tcW w:w="1080" w:type="dxa"/>
                  <w:shd w:val="clear" w:color="auto" w:fill="auto"/>
                </w:tcPr>
                <w:p w14:paraId="071BA94F" w14:textId="77777777" w:rsidR="00114F14" w:rsidRPr="008D72F0" w:rsidRDefault="00114F14" w:rsidP="004A104C">
                  <w:pPr>
                    <w:jc w:val="right"/>
                    <w:rPr>
                      <w:sz w:val="20"/>
                      <w:szCs w:val="20"/>
                    </w:rPr>
                  </w:pPr>
                  <w:r>
                    <w:rPr>
                      <w:sz w:val="20"/>
                      <w:szCs w:val="20"/>
                    </w:rPr>
                    <w:t>1.000</w:t>
                  </w:r>
                </w:p>
              </w:tc>
              <w:tc>
                <w:tcPr>
                  <w:tcW w:w="1170" w:type="dxa"/>
                </w:tcPr>
                <w:p w14:paraId="4B3AEE0D" w14:textId="77777777" w:rsidR="00114F14" w:rsidRPr="008D72F0" w:rsidRDefault="00114F14" w:rsidP="004A104C">
                  <w:pPr>
                    <w:jc w:val="right"/>
                    <w:rPr>
                      <w:sz w:val="20"/>
                      <w:szCs w:val="20"/>
                    </w:rPr>
                  </w:pPr>
                  <w:r>
                    <w:rPr>
                      <w:sz w:val="20"/>
                      <w:szCs w:val="20"/>
                    </w:rPr>
                    <w:t>0.000</w:t>
                  </w:r>
                </w:p>
              </w:tc>
              <w:tc>
                <w:tcPr>
                  <w:tcW w:w="990" w:type="dxa"/>
                </w:tcPr>
                <w:p w14:paraId="2ECB44F6" w14:textId="77777777" w:rsidR="00114F14" w:rsidRPr="008D72F0" w:rsidRDefault="00114F14" w:rsidP="004A104C">
                  <w:pPr>
                    <w:jc w:val="right"/>
                    <w:rPr>
                      <w:sz w:val="20"/>
                      <w:szCs w:val="20"/>
                    </w:rPr>
                  </w:pPr>
                  <w:r>
                    <w:rPr>
                      <w:sz w:val="20"/>
                      <w:szCs w:val="20"/>
                    </w:rPr>
                    <w:t>0.000</w:t>
                  </w:r>
                </w:p>
              </w:tc>
            </w:tr>
            <w:tr w:rsidR="00114F14" w:rsidRPr="008D72F0" w14:paraId="1B298D41" w14:textId="77777777" w:rsidTr="003F0319">
              <w:trPr>
                <w:trHeight w:val="303"/>
              </w:trPr>
              <w:tc>
                <w:tcPr>
                  <w:tcW w:w="2166" w:type="dxa"/>
                  <w:shd w:val="clear" w:color="auto" w:fill="auto"/>
                </w:tcPr>
                <w:p w14:paraId="65CD5C70" w14:textId="77777777" w:rsidR="00114F14" w:rsidRPr="008E6261" w:rsidRDefault="00114F14" w:rsidP="004A104C">
                  <w:pPr>
                    <w:jc w:val="right"/>
                    <w:rPr>
                      <w:sz w:val="16"/>
                      <w:szCs w:val="16"/>
                    </w:rPr>
                  </w:pPr>
                  <w:r>
                    <w:rPr>
                      <w:sz w:val="16"/>
                      <w:szCs w:val="16"/>
                    </w:rPr>
                    <w:t>Personal Services</w:t>
                  </w:r>
                </w:p>
              </w:tc>
              <w:tc>
                <w:tcPr>
                  <w:tcW w:w="1080" w:type="dxa"/>
                  <w:shd w:val="clear" w:color="auto" w:fill="auto"/>
                </w:tcPr>
                <w:p w14:paraId="12600EE7" w14:textId="77777777" w:rsidR="00114F14" w:rsidRPr="00757B6B" w:rsidRDefault="00114F14" w:rsidP="004A104C">
                  <w:pPr>
                    <w:jc w:val="right"/>
                    <w:rPr>
                      <w:sz w:val="20"/>
                      <w:szCs w:val="20"/>
                    </w:rPr>
                  </w:pPr>
                  <w:r>
                    <w:rPr>
                      <w:sz w:val="20"/>
                      <w:szCs w:val="20"/>
                    </w:rPr>
                    <w:t>$19,821</w:t>
                  </w:r>
                </w:p>
              </w:tc>
              <w:tc>
                <w:tcPr>
                  <w:tcW w:w="1170" w:type="dxa"/>
                </w:tcPr>
                <w:p w14:paraId="0A288212" w14:textId="77777777" w:rsidR="00114F14" w:rsidRPr="00757B6B" w:rsidRDefault="00114F14" w:rsidP="004A104C">
                  <w:pPr>
                    <w:jc w:val="right"/>
                    <w:rPr>
                      <w:sz w:val="20"/>
                      <w:szCs w:val="20"/>
                    </w:rPr>
                  </w:pPr>
                  <w:r>
                    <w:rPr>
                      <w:sz w:val="20"/>
                      <w:szCs w:val="20"/>
                    </w:rPr>
                    <w:t>$0</w:t>
                  </w:r>
                </w:p>
              </w:tc>
              <w:tc>
                <w:tcPr>
                  <w:tcW w:w="990" w:type="dxa"/>
                </w:tcPr>
                <w:p w14:paraId="4F12B153" w14:textId="77777777" w:rsidR="00114F14" w:rsidRPr="00757B6B" w:rsidRDefault="00114F14" w:rsidP="004A104C">
                  <w:pPr>
                    <w:jc w:val="right"/>
                    <w:rPr>
                      <w:sz w:val="20"/>
                      <w:szCs w:val="20"/>
                    </w:rPr>
                  </w:pPr>
                  <w:r>
                    <w:rPr>
                      <w:sz w:val="20"/>
                      <w:szCs w:val="20"/>
                    </w:rPr>
                    <w:t>$0</w:t>
                  </w:r>
                </w:p>
              </w:tc>
            </w:tr>
          </w:tbl>
          <w:p w14:paraId="1098CD0F" w14:textId="77777777" w:rsidR="00114F14" w:rsidRDefault="00114F14" w:rsidP="004A104C">
            <w:pPr>
              <w:pStyle w:val="ListBullet"/>
              <w:numPr>
                <w:ilvl w:val="0"/>
                <w:numId w:val="0"/>
              </w:numPr>
              <w:ind w:left="280"/>
              <w:rPr>
                <w:u w:val="single"/>
              </w:rPr>
            </w:pPr>
          </w:p>
          <w:p w14:paraId="23DCA85C" w14:textId="77777777" w:rsidR="00114F14" w:rsidRPr="001F6006" w:rsidRDefault="00114F14" w:rsidP="004A104C">
            <w:pPr>
              <w:pStyle w:val="ListBullet"/>
              <w:numPr>
                <w:ilvl w:val="0"/>
                <w:numId w:val="0"/>
              </w:numPr>
              <w:rPr>
                <w:u w:val="single"/>
              </w:rPr>
            </w:pPr>
            <w:r w:rsidRPr="001F6006">
              <w:rPr>
                <w:u w:val="single"/>
              </w:rPr>
              <w:t>Leadership Team</w:t>
            </w:r>
          </w:p>
          <w:p w14:paraId="63338A67" w14:textId="77777777" w:rsidR="00114F14" w:rsidRPr="00E7469F" w:rsidRDefault="00114F14" w:rsidP="004A104C">
            <w:pPr>
              <w:pStyle w:val="ListBullet"/>
              <w:numPr>
                <w:ilvl w:val="0"/>
                <w:numId w:val="0"/>
              </w:numPr>
              <w:rPr>
                <w:sz w:val="22"/>
                <w:szCs w:val="22"/>
                <w:u w:val="single"/>
              </w:rPr>
            </w:pPr>
          </w:p>
          <w:p w14:paraId="4B5183B9" w14:textId="5854721A" w:rsidR="00114F14" w:rsidRPr="001F6006" w:rsidRDefault="00114F14" w:rsidP="004A104C">
            <w:pPr>
              <w:pStyle w:val="ListBullet"/>
            </w:pPr>
            <w:r w:rsidRPr="001F6006">
              <w:t xml:space="preserve">Establishes one Public Service Executive II position and </w:t>
            </w:r>
            <w:r>
              <w:t xml:space="preserve">General Fund </w:t>
            </w:r>
            <w:r w:rsidRPr="001F6006">
              <w:t xml:space="preserve">appropriations </w:t>
            </w:r>
            <w:r>
              <w:t xml:space="preserve">in the budget </w:t>
            </w:r>
            <w:r w:rsidRPr="001F6006">
              <w:t>to serve as the chief innovation officer effective April 1, 2019.</w:t>
            </w:r>
          </w:p>
          <w:p w14:paraId="11371A64" w14:textId="77777777" w:rsidR="00114F14" w:rsidRDefault="00114F14" w:rsidP="004A104C">
            <w:pPr>
              <w:pStyle w:val="ListBullet"/>
              <w:numPr>
                <w:ilvl w:val="0"/>
                <w:numId w:val="0"/>
              </w:numPr>
              <w:ind w:left="460" w:hanging="180"/>
              <w:rPr>
                <w:sz w:val="22"/>
                <w:szCs w:val="22"/>
              </w:rPr>
            </w:pPr>
          </w:p>
          <w:tbl>
            <w:tblPr>
              <w:tblW w:w="0" w:type="auto"/>
              <w:tblInd w:w="108" w:type="dxa"/>
              <w:tblLook w:val="01E0" w:firstRow="1" w:lastRow="1" w:firstColumn="1" w:lastColumn="1" w:noHBand="0" w:noVBand="0"/>
            </w:tblPr>
            <w:tblGrid>
              <w:gridCol w:w="2166"/>
              <w:gridCol w:w="1080"/>
              <w:gridCol w:w="1080"/>
              <w:gridCol w:w="1080"/>
            </w:tblGrid>
            <w:tr w:rsidR="00114F14" w:rsidRPr="008D72F0" w14:paraId="54FA12AB" w14:textId="77777777" w:rsidTr="003F0319">
              <w:trPr>
                <w:trHeight w:val="357"/>
              </w:trPr>
              <w:tc>
                <w:tcPr>
                  <w:tcW w:w="2166" w:type="dxa"/>
                  <w:shd w:val="clear" w:color="auto" w:fill="auto"/>
                </w:tcPr>
                <w:p w14:paraId="09FC1B10" w14:textId="77777777" w:rsidR="00114F14" w:rsidRPr="006B64F5" w:rsidRDefault="00114F14" w:rsidP="004A104C">
                  <w:pPr>
                    <w:jc w:val="right"/>
                    <w:rPr>
                      <w:b/>
                      <w:sz w:val="20"/>
                      <w:szCs w:val="20"/>
                      <w:u w:val="single"/>
                    </w:rPr>
                  </w:pPr>
                </w:p>
              </w:tc>
              <w:tc>
                <w:tcPr>
                  <w:tcW w:w="1080" w:type="dxa"/>
                  <w:shd w:val="clear" w:color="auto" w:fill="auto"/>
                </w:tcPr>
                <w:p w14:paraId="27A6F926" w14:textId="77777777" w:rsidR="00114F14" w:rsidRPr="008D72F0" w:rsidRDefault="00114F14" w:rsidP="004A104C">
                  <w:pPr>
                    <w:jc w:val="right"/>
                    <w:rPr>
                      <w:sz w:val="20"/>
                      <w:szCs w:val="20"/>
                      <w:u w:val="single"/>
                    </w:rPr>
                  </w:pPr>
                  <w:r>
                    <w:rPr>
                      <w:sz w:val="20"/>
                      <w:szCs w:val="20"/>
                      <w:u w:val="single"/>
                    </w:rPr>
                    <w:t>FY 19</w:t>
                  </w:r>
                </w:p>
              </w:tc>
              <w:tc>
                <w:tcPr>
                  <w:tcW w:w="1080" w:type="dxa"/>
                </w:tcPr>
                <w:p w14:paraId="4BB0F375" w14:textId="77777777" w:rsidR="00114F14" w:rsidRPr="008D72F0" w:rsidRDefault="00114F14" w:rsidP="004A104C">
                  <w:pPr>
                    <w:jc w:val="right"/>
                    <w:rPr>
                      <w:sz w:val="20"/>
                      <w:szCs w:val="20"/>
                      <w:u w:val="single"/>
                    </w:rPr>
                  </w:pPr>
                  <w:r>
                    <w:rPr>
                      <w:sz w:val="20"/>
                      <w:szCs w:val="20"/>
                      <w:u w:val="single"/>
                    </w:rPr>
                    <w:t>FY 20</w:t>
                  </w:r>
                </w:p>
              </w:tc>
              <w:tc>
                <w:tcPr>
                  <w:tcW w:w="1080" w:type="dxa"/>
                </w:tcPr>
                <w:p w14:paraId="5E78A260" w14:textId="77777777" w:rsidR="00114F14" w:rsidRDefault="00114F14" w:rsidP="004A104C">
                  <w:pPr>
                    <w:jc w:val="right"/>
                    <w:rPr>
                      <w:sz w:val="20"/>
                      <w:szCs w:val="20"/>
                      <w:u w:val="single"/>
                    </w:rPr>
                  </w:pPr>
                  <w:r>
                    <w:rPr>
                      <w:sz w:val="20"/>
                      <w:szCs w:val="20"/>
                      <w:u w:val="single"/>
                    </w:rPr>
                    <w:t>FY 21</w:t>
                  </w:r>
                </w:p>
              </w:tc>
            </w:tr>
            <w:tr w:rsidR="00114F14" w:rsidRPr="008D72F0" w14:paraId="5367034A" w14:textId="77777777" w:rsidTr="003F0319">
              <w:trPr>
                <w:trHeight w:val="315"/>
              </w:trPr>
              <w:tc>
                <w:tcPr>
                  <w:tcW w:w="2166" w:type="dxa"/>
                  <w:shd w:val="clear" w:color="auto" w:fill="auto"/>
                </w:tcPr>
                <w:p w14:paraId="18AB0323" w14:textId="77777777" w:rsidR="00114F14" w:rsidRPr="008E6261" w:rsidRDefault="00114F14" w:rsidP="004A104C">
                  <w:pPr>
                    <w:jc w:val="right"/>
                    <w:rPr>
                      <w:sz w:val="16"/>
                      <w:szCs w:val="16"/>
                    </w:rPr>
                  </w:pPr>
                  <w:r>
                    <w:rPr>
                      <w:sz w:val="16"/>
                      <w:szCs w:val="16"/>
                    </w:rPr>
                    <w:t>General Fund – Position Count</w:t>
                  </w:r>
                </w:p>
              </w:tc>
              <w:tc>
                <w:tcPr>
                  <w:tcW w:w="1080" w:type="dxa"/>
                  <w:shd w:val="clear" w:color="auto" w:fill="auto"/>
                </w:tcPr>
                <w:p w14:paraId="73A42775" w14:textId="77777777" w:rsidR="00114F14" w:rsidRPr="008D72F0" w:rsidRDefault="00114F14" w:rsidP="004A104C">
                  <w:pPr>
                    <w:jc w:val="right"/>
                    <w:rPr>
                      <w:sz w:val="20"/>
                      <w:szCs w:val="20"/>
                    </w:rPr>
                  </w:pPr>
                  <w:r>
                    <w:rPr>
                      <w:sz w:val="20"/>
                      <w:szCs w:val="20"/>
                    </w:rPr>
                    <w:t>1.000</w:t>
                  </w:r>
                </w:p>
              </w:tc>
              <w:tc>
                <w:tcPr>
                  <w:tcW w:w="1080" w:type="dxa"/>
                </w:tcPr>
                <w:p w14:paraId="7B8ABA39" w14:textId="77777777" w:rsidR="00114F14" w:rsidRPr="008D72F0" w:rsidRDefault="00114F14" w:rsidP="004A104C">
                  <w:pPr>
                    <w:jc w:val="right"/>
                    <w:rPr>
                      <w:sz w:val="20"/>
                      <w:szCs w:val="20"/>
                    </w:rPr>
                  </w:pPr>
                  <w:r>
                    <w:rPr>
                      <w:sz w:val="20"/>
                      <w:szCs w:val="20"/>
                    </w:rPr>
                    <w:t>0.000</w:t>
                  </w:r>
                </w:p>
              </w:tc>
              <w:tc>
                <w:tcPr>
                  <w:tcW w:w="1080" w:type="dxa"/>
                </w:tcPr>
                <w:p w14:paraId="14170D54" w14:textId="77777777" w:rsidR="00114F14" w:rsidRPr="008D72F0" w:rsidRDefault="00114F14" w:rsidP="004A104C">
                  <w:pPr>
                    <w:jc w:val="right"/>
                    <w:rPr>
                      <w:sz w:val="20"/>
                      <w:szCs w:val="20"/>
                    </w:rPr>
                  </w:pPr>
                  <w:r>
                    <w:rPr>
                      <w:sz w:val="20"/>
                      <w:szCs w:val="20"/>
                    </w:rPr>
                    <w:t>0.000</w:t>
                  </w:r>
                </w:p>
              </w:tc>
            </w:tr>
            <w:tr w:rsidR="00114F14" w:rsidRPr="008D72F0" w14:paraId="62294DC7" w14:textId="77777777" w:rsidTr="003F0319">
              <w:trPr>
                <w:trHeight w:val="303"/>
              </w:trPr>
              <w:tc>
                <w:tcPr>
                  <w:tcW w:w="2166" w:type="dxa"/>
                  <w:shd w:val="clear" w:color="auto" w:fill="auto"/>
                </w:tcPr>
                <w:p w14:paraId="31F61B6E" w14:textId="77777777" w:rsidR="00114F14" w:rsidRPr="008E6261" w:rsidRDefault="00114F14" w:rsidP="004A104C">
                  <w:pPr>
                    <w:jc w:val="right"/>
                    <w:rPr>
                      <w:sz w:val="16"/>
                      <w:szCs w:val="16"/>
                    </w:rPr>
                  </w:pPr>
                  <w:r>
                    <w:rPr>
                      <w:sz w:val="16"/>
                      <w:szCs w:val="16"/>
                    </w:rPr>
                    <w:t>Personal Services</w:t>
                  </w:r>
                </w:p>
              </w:tc>
              <w:tc>
                <w:tcPr>
                  <w:tcW w:w="1080" w:type="dxa"/>
                  <w:shd w:val="clear" w:color="auto" w:fill="auto"/>
                </w:tcPr>
                <w:p w14:paraId="498713DE" w14:textId="77777777" w:rsidR="00114F14" w:rsidRPr="00757B6B" w:rsidRDefault="00114F14" w:rsidP="004A104C">
                  <w:pPr>
                    <w:jc w:val="right"/>
                    <w:rPr>
                      <w:sz w:val="20"/>
                      <w:szCs w:val="20"/>
                    </w:rPr>
                  </w:pPr>
                  <w:r>
                    <w:rPr>
                      <w:sz w:val="20"/>
                      <w:szCs w:val="20"/>
                    </w:rPr>
                    <w:t>$31,373</w:t>
                  </w:r>
                </w:p>
              </w:tc>
              <w:tc>
                <w:tcPr>
                  <w:tcW w:w="1080" w:type="dxa"/>
                </w:tcPr>
                <w:p w14:paraId="5E11FB5F" w14:textId="77777777" w:rsidR="00114F14" w:rsidRPr="00757B6B" w:rsidRDefault="00114F14" w:rsidP="004A104C">
                  <w:pPr>
                    <w:jc w:val="right"/>
                    <w:rPr>
                      <w:sz w:val="20"/>
                      <w:szCs w:val="20"/>
                    </w:rPr>
                  </w:pPr>
                  <w:r>
                    <w:rPr>
                      <w:sz w:val="20"/>
                      <w:szCs w:val="20"/>
                    </w:rPr>
                    <w:t>$0</w:t>
                  </w:r>
                </w:p>
              </w:tc>
              <w:tc>
                <w:tcPr>
                  <w:tcW w:w="1080" w:type="dxa"/>
                </w:tcPr>
                <w:p w14:paraId="72E54F8A" w14:textId="77777777" w:rsidR="00114F14" w:rsidRPr="00757B6B" w:rsidRDefault="00114F14" w:rsidP="004A104C">
                  <w:pPr>
                    <w:jc w:val="right"/>
                    <w:rPr>
                      <w:sz w:val="20"/>
                      <w:szCs w:val="20"/>
                    </w:rPr>
                  </w:pPr>
                  <w:r>
                    <w:rPr>
                      <w:sz w:val="20"/>
                      <w:szCs w:val="20"/>
                    </w:rPr>
                    <w:t>$0</w:t>
                  </w:r>
                </w:p>
              </w:tc>
            </w:tr>
          </w:tbl>
          <w:p w14:paraId="2FC6A94C" w14:textId="4119A9ED" w:rsidR="00114F14" w:rsidRPr="00BF5D70" w:rsidRDefault="00114F14" w:rsidP="004A104C">
            <w:pPr>
              <w:pStyle w:val="ListBullet"/>
              <w:numPr>
                <w:ilvl w:val="0"/>
                <w:numId w:val="0"/>
              </w:numPr>
              <w:ind w:left="280"/>
              <w:rPr>
                <w:u w:val="single"/>
              </w:rPr>
            </w:pPr>
          </w:p>
        </w:tc>
        <w:tc>
          <w:tcPr>
            <w:tcW w:w="2250" w:type="dxa"/>
            <w:shd w:val="clear" w:color="auto" w:fill="auto"/>
          </w:tcPr>
          <w:p w14:paraId="73599269" w14:textId="58D9852C" w:rsidR="00114F14" w:rsidRPr="00433A3D" w:rsidRDefault="00114F14" w:rsidP="004A104C">
            <w:pPr>
              <w:rPr>
                <w:sz w:val="22"/>
                <w:szCs w:val="22"/>
              </w:rPr>
            </w:pPr>
            <w:r>
              <w:rPr>
                <w:sz w:val="22"/>
                <w:szCs w:val="22"/>
              </w:rPr>
              <w:t>March 14, 2019</w:t>
            </w:r>
          </w:p>
        </w:tc>
      </w:tr>
      <w:tr w:rsidR="00114F14" w:rsidRPr="008D72F0" w14:paraId="502E0AA3" w14:textId="77777777" w:rsidTr="00114F14">
        <w:trPr>
          <w:trHeight w:val="737"/>
        </w:trPr>
        <w:tc>
          <w:tcPr>
            <w:tcW w:w="3080" w:type="dxa"/>
            <w:shd w:val="clear" w:color="auto" w:fill="auto"/>
          </w:tcPr>
          <w:p w14:paraId="625DF1F8" w14:textId="77777777" w:rsidR="00114F14" w:rsidRDefault="00114F14" w:rsidP="004A104C">
            <w:pPr>
              <w:rPr>
                <w:b/>
              </w:rPr>
            </w:pPr>
            <w:bookmarkStart w:id="4" w:name="_Hlk16240364"/>
            <w:r>
              <w:rPr>
                <w:b/>
              </w:rPr>
              <w:t>LD 1001, Public Law 2019, Chapter 343</w:t>
            </w:r>
          </w:p>
          <w:p w14:paraId="31759189" w14:textId="26F05688" w:rsidR="00114F14" w:rsidRPr="005E2997" w:rsidRDefault="00114F14" w:rsidP="004A104C">
            <w:pPr>
              <w:rPr>
                <w:i/>
              </w:rPr>
            </w:pPr>
            <w:r w:rsidRPr="005E2997">
              <w:rPr>
                <w:i/>
              </w:rPr>
              <w:t>An Act Making Unified Appropriations and Allocations for the Expenditures of State Government, General Fund and Other Funds, and Changing Certain Provisions of the Law Necessary to the Proper Operations of State Government for the Fiscal Years Ending June 30, 2019, June 30, 2020 and June 30, 2021 (</w:t>
            </w:r>
            <w:r>
              <w:rPr>
                <w:i/>
              </w:rPr>
              <w:t xml:space="preserve">EMERGENCY) (GOVERNOR'S </w:t>
            </w:r>
            <w:proofErr w:type="gramStart"/>
            <w:r>
              <w:rPr>
                <w:i/>
              </w:rPr>
              <w:t xml:space="preserve">BILL)  </w:t>
            </w:r>
            <w:r w:rsidRPr="005E2997">
              <w:rPr>
                <w:i/>
              </w:rPr>
              <w:t xml:space="preserve"> </w:t>
            </w:r>
            <w:proofErr w:type="gramEnd"/>
            <w:r w:rsidRPr="005E2997">
              <w:rPr>
                <w:i/>
              </w:rPr>
              <w:t xml:space="preserve">   </w:t>
            </w:r>
            <w:bookmarkEnd w:id="4"/>
          </w:p>
        </w:tc>
        <w:tc>
          <w:tcPr>
            <w:tcW w:w="7265" w:type="dxa"/>
            <w:shd w:val="clear" w:color="auto" w:fill="auto"/>
          </w:tcPr>
          <w:p w14:paraId="66B42DAF" w14:textId="71FC3EC6" w:rsidR="00114F14" w:rsidRPr="00C60E93" w:rsidRDefault="00114F14" w:rsidP="004A104C">
            <w:pPr>
              <w:pStyle w:val="ListBullet"/>
              <w:numPr>
                <w:ilvl w:val="0"/>
                <w:numId w:val="0"/>
              </w:numPr>
              <w:jc w:val="both"/>
              <w:rPr>
                <w:b/>
                <w:u w:val="single"/>
              </w:rPr>
            </w:pPr>
            <w:r w:rsidRPr="00C60E93">
              <w:rPr>
                <w:b/>
                <w:u w:val="single"/>
              </w:rPr>
              <w:t>FY 20</w:t>
            </w:r>
            <w:r>
              <w:rPr>
                <w:b/>
                <w:u w:val="single"/>
              </w:rPr>
              <w:t>20 and FY 2021 BIENNIAL B</w:t>
            </w:r>
            <w:r w:rsidRPr="00C60E93">
              <w:rPr>
                <w:b/>
                <w:u w:val="single"/>
              </w:rPr>
              <w:t>UDGET</w:t>
            </w:r>
          </w:p>
          <w:p w14:paraId="0CAED152" w14:textId="29E0190A" w:rsidR="00114F14" w:rsidRDefault="00114F14" w:rsidP="004A104C">
            <w:pPr>
              <w:pStyle w:val="ListBullet"/>
              <w:numPr>
                <w:ilvl w:val="0"/>
                <w:numId w:val="0"/>
              </w:numPr>
              <w:ind w:left="280"/>
            </w:pPr>
          </w:p>
          <w:p w14:paraId="152D5AEB" w14:textId="0805AB63" w:rsidR="00860351" w:rsidRDefault="00860351" w:rsidP="004A104C">
            <w:pPr>
              <w:pStyle w:val="ListBullet"/>
              <w:numPr>
                <w:ilvl w:val="0"/>
                <w:numId w:val="0"/>
              </w:numPr>
              <w:ind w:left="280"/>
            </w:pPr>
          </w:p>
          <w:p w14:paraId="5C8CA96A" w14:textId="77777777" w:rsidR="00860351" w:rsidRDefault="00860351" w:rsidP="004A104C">
            <w:pPr>
              <w:pStyle w:val="ListBullet"/>
              <w:numPr>
                <w:ilvl w:val="0"/>
                <w:numId w:val="0"/>
              </w:numPr>
              <w:ind w:left="280"/>
            </w:pPr>
          </w:p>
          <w:p w14:paraId="29A0EF49" w14:textId="77777777" w:rsidR="00114F14" w:rsidRPr="001E1599" w:rsidRDefault="00114F14" w:rsidP="004A104C">
            <w:pPr>
              <w:pStyle w:val="ListBullet"/>
              <w:numPr>
                <w:ilvl w:val="0"/>
                <w:numId w:val="0"/>
              </w:numPr>
              <w:rPr>
                <w:b/>
                <w:sz w:val="22"/>
                <w:szCs w:val="22"/>
                <w:u w:val="single"/>
              </w:rPr>
            </w:pPr>
            <w:r w:rsidRPr="001E1599">
              <w:rPr>
                <w:b/>
                <w:sz w:val="22"/>
                <w:szCs w:val="22"/>
                <w:u w:val="single"/>
              </w:rPr>
              <w:t>PART A</w:t>
            </w:r>
          </w:p>
          <w:p w14:paraId="1E089BB6" w14:textId="77777777" w:rsidR="00114F14" w:rsidRDefault="00114F14" w:rsidP="004A104C">
            <w:pPr>
              <w:pStyle w:val="ListBullet"/>
              <w:numPr>
                <w:ilvl w:val="0"/>
                <w:numId w:val="0"/>
              </w:numPr>
              <w:ind w:left="162"/>
              <w:rPr>
                <w:b/>
                <w:sz w:val="22"/>
                <w:szCs w:val="22"/>
              </w:rPr>
            </w:pPr>
          </w:p>
          <w:p w14:paraId="4B4A66F0" w14:textId="77777777" w:rsidR="00114F14" w:rsidRPr="00024821" w:rsidRDefault="00114F14" w:rsidP="004A104C">
            <w:pPr>
              <w:rPr>
                <w:b/>
              </w:rPr>
            </w:pPr>
            <w:r w:rsidRPr="00024821">
              <w:t>Appropriates the total budget for the Department of Education, the State Board of Education and the Maine Charter School Commission including General Fund, Federal Expenditures Fund, Fund for a Healthy Maine, Other Special Revenue Funds and Federal Block Grant Fund.</w:t>
            </w:r>
          </w:p>
          <w:p w14:paraId="312F6191" w14:textId="583ECE31" w:rsidR="00114F14" w:rsidRDefault="00114F14" w:rsidP="004A104C">
            <w:pPr>
              <w:pStyle w:val="ListBullet"/>
              <w:numPr>
                <w:ilvl w:val="0"/>
                <w:numId w:val="0"/>
              </w:numPr>
              <w:ind w:left="280"/>
            </w:pPr>
          </w:p>
          <w:p w14:paraId="7C790982" w14:textId="77777777" w:rsidR="00114F14" w:rsidRDefault="00114F14" w:rsidP="004A104C">
            <w:pPr>
              <w:pStyle w:val="ListBullet"/>
              <w:numPr>
                <w:ilvl w:val="0"/>
                <w:numId w:val="0"/>
              </w:numPr>
              <w:ind w:left="280"/>
            </w:pPr>
          </w:p>
          <w:tbl>
            <w:tblPr>
              <w:tblW w:w="4860" w:type="dxa"/>
              <w:tblInd w:w="1098" w:type="dxa"/>
              <w:tblLook w:val="01E0" w:firstRow="1" w:lastRow="1" w:firstColumn="1" w:lastColumn="1" w:noHBand="0" w:noVBand="0"/>
            </w:tblPr>
            <w:tblGrid>
              <w:gridCol w:w="1800"/>
              <w:gridCol w:w="1530"/>
              <w:gridCol w:w="1530"/>
            </w:tblGrid>
            <w:tr w:rsidR="00114F14" w:rsidRPr="001D26DC" w14:paraId="2ACBE0ED" w14:textId="77777777" w:rsidTr="00860351">
              <w:trPr>
                <w:trHeight w:val="322"/>
              </w:trPr>
              <w:tc>
                <w:tcPr>
                  <w:tcW w:w="1800" w:type="dxa"/>
                  <w:shd w:val="clear" w:color="auto" w:fill="auto"/>
                </w:tcPr>
                <w:p w14:paraId="73A64AA4" w14:textId="77777777" w:rsidR="00114F14" w:rsidRPr="00447C8A" w:rsidRDefault="00114F14" w:rsidP="004A104C">
                  <w:pPr>
                    <w:rPr>
                      <w:sz w:val="22"/>
                      <w:szCs w:val="22"/>
                      <w:u w:val="single"/>
                    </w:rPr>
                  </w:pPr>
                </w:p>
              </w:tc>
              <w:tc>
                <w:tcPr>
                  <w:tcW w:w="1530" w:type="dxa"/>
                  <w:shd w:val="clear" w:color="auto" w:fill="auto"/>
                </w:tcPr>
                <w:p w14:paraId="4D8A7B40" w14:textId="626F6CC7" w:rsidR="00114F14" w:rsidRPr="001D26DC" w:rsidRDefault="00114F14" w:rsidP="004A104C">
                  <w:pPr>
                    <w:jc w:val="center"/>
                    <w:rPr>
                      <w:sz w:val="20"/>
                      <w:szCs w:val="20"/>
                      <w:u w:val="single"/>
                    </w:rPr>
                  </w:pPr>
                  <w:r w:rsidRPr="001D26DC">
                    <w:rPr>
                      <w:sz w:val="20"/>
                      <w:szCs w:val="20"/>
                      <w:u w:val="single"/>
                    </w:rPr>
                    <w:t xml:space="preserve">FY </w:t>
                  </w:r>
                  <w:r>
                    <w:rPr>
                      <w:sz w:val="20"/>
                      <w:szCs w:val="20"/>
                      <w:u w:val="single"/>
                    </w:rPr>
                    <w:t>20</w:t>
                  </w:r>
                </w:p>
              </w:tc>
              <w:tc>
                <w:tcPr>
                  <w:tcW w:w="1530" w:type="dxa"/>
                  <w:shd w:val="clear" w:color="auto" w:fill="auto"/>
                </w:tcPr>
                <w:p w14:paraId="54A721E3" w14:textId="481892A9" w:rsidR="00114F14" w:rsidRPr="001D26DC" w:rsidRDefault="00114F14" w:rsidP="004A104C">
                  <w:pPr>
                    <w:jc w:val="center"/>
                    <w:rPr>
                      <w:sz w:val="20"/>
                      <w:szCs w:val="20"/>
                      <w:u w:val="single"/>
                    </w:rPr>
                  </w:pPr>
                  <w:r w:rsidRPr="001D26DC">
                    <w:rPr>
                      <w:sz w:val="20"/>
                      <w:szCs w:val="20"/>
                      <w:u w:val="single"/>
                    </w:rPr>
                    <w:t xml:space="preserve">FY </w:t>
                  </w:r>
                  <w:r>
                    <w:rPr>
                      <w:sz w:val="20"/>
                      <w:szCs w:val="20"/>
                      <w:u w:val="single"/>
                    </w:rPr>
                    <w:t>21</w:t>
                  </w:r>
                </w:p>
              </w:tc>
            </w:tr>
            <w:tr w:rsidR="00114F14" w:rsidRPr="00447C8A" w14:paraId="67DDD40D" w14:textId="77777777" w:rsidTr="00860351">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6A80A74E" w14:textId="77777777" w:rsidR="00114F14" w:rsidRPr="00370B49" w:rsidRDefault="00114F14" w:rsidP="004A104C">
                  <w:pPr>
                    <w:rPr>
                      <w:sz w:val="18"/>
                      <w:szCs w:val="18"/>
                    </w:rPr>
                  </w:pPr>
                  <w:r w:rsidRPr="003A0493">
                    <w:rPr>
                      <w:sz w:val="18"/>
                      <w:szCs w:val="18"/>
                      <w:u w:val="single"/>
                    </w:rPr>
                    <w:t>Department of Education</w:t>
                  </w:r>
                  <w:r>
                    <w:rPr>
                      <w:sz w:val="18"/>
                      <w:szCs w:val="18"/>
                    </w:rPr>
                    <w:br/>
                    <w:t xml:space="preserve"> Total All Funds after initiatives</w:t>
                  </w:r>
                  <w:r w:rsidRPr="00370B49">
                    <w:rPr>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49F58EA" w14:textId="0147BF52" w:rsidR="00114F14" w:rsidRPr="00447C8A" w:rsidRDefault="00114F14" w:rsidP="004A104C">
                  <w:pPr>
                    <w:jc w:val="center"/>
                    <w:rPr>
                      <w:sz w:val="20"/>
                      <w:szCs w:val="20"/>
                    </w:rPr>
                  </w:pPr>
                  <w:r>
                    <w:rPr>
                      <w:sz w:val="20"/>
                      <w:szCs w:val="20"/>
                    </w:rPr>
                    <w:t>$1,717,460,500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22F355" w14:textId="41EBA185" w:rsidR="00114F14" w:rsidRPr="00447C8A" w:rsidRDefault="00114F14" w:rsidP="004A104C">
                  <w:pPr>
                    <w:jc w:val="right"/>
                    <w:rPr>
                      <w:sz w:val="20"/>
                      <w:szCs w:val="20"/>
                    </w:rPr>
                  </w:pPr>
                  <w:r>
                    <w:rPr>
                      <w:sz w:val="20"/>
                      <w:szCs w:val="20"/>
                    </w:rPr>
                    <w:t>$1,749,192,117</w:t>
                  </w:r>
                </w:p>
              </w:tc>
            </w:tr>
            <w:tr w:rsidR="00114F14" w:rsidRPr="00447C8A" w14:paraId="2C9ED351" w14:textId="77777777" w:rsidTr="00860351">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441CDE33" w14:textId="77777777" w:rsidR="00114F14" w:rsidRPr="00370B49" w:rsidRDefault="00114F14" w:rsidP="004A104C">
                  <w:pPr>
                    <w:rPr>
                      <w:sz w:val="18"/>
                      <w:szCs w:val="18"/>
                    </w:rPr>
                  </w:pPr>
                  <w:r w:rsidRPr="003A0493">
                    <w:rPr>
                      <w:sz w:val="18"/>
                      <w:szCs w:val="18"/>
                      <w:u w:val="single"/>
                    </w:rPr>
                    <w:t>State Board of Education</w:t>
                  </w:r>
                  <w:r w:rsidRPr="003A0493">
                    <w:rPr>
                      <w:sz w:val="18"/>
                      <w:szCs w:val="18"/>
                      <w:u w:val="single"/>
                    </w:rPr>
                    <w:br/>
                  </w:r>
                  <w:r>
                    <w:rPr>
                      <w:sz w:val="18"/>
                      <w:szCs w:val="18"/>
                    </w:rPr>
                    <w:t xml:space="preserve"> Total All Funds after initiatives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851E73" w14:textId="411D4A6D" w:rsidR="00114F14" w:rsidRPr="00447C8A" w:rsidRDefault="00114F14" w:rsidP="004A104C">
                  <w:pPr>
                    <w:jc w:val="right"/>
                    <w:rPr>
                      <w:sz w:val="20"/>
                      <w:szCs w:val="20"/>
                    </w:rPr>
                  </w:pPr>
                  <w:r>
                    <w:rPr>
                      <w:sz w:val="20"/>
                      <w:szCs w:val="20"/>
                    </w:rPr>
                    <w:t>$184,942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EDE609" w14:textId="1DCD6A2C" w:rsidR="00114F14" w:rsidRPr="00447C8A" w:rsidRDefault="00114F14" w:rsidP="004A104C">
                  <w:pPr>
                    <w:jc w:val="right"/>
                    <w:rPr>
                      <w:sz w:val="20"/>
                      <w:szCs w:val="20"/>
                    </w:rPr>
                  </w:pPr>
                  <w:r>
                    <w:rPr>
                      <w:sz w:val="20"/>
                      <w:szCs w:val="20"/>
                    </w:rPr>
                    <w:t>$177,504</w:t>
                  </w:r>
                </w:p>
              </w:tc>
            </w:tr>
            <w:tr w:rsidR="00114F14" w:rsidRPr="00447C8A" w14:paraId="09CEA93A" w14:textId="77777777" w:rsidTr="00860351">
              <w:trPr>
                <w:trHeight w:val="322"/>
              </w:trPr>
              <w:tc>
                <w:tcPr>
                  <w:tcW w:w="1800" w:type="dxa"/>
                  <w:tcBorders>
                    <w:top w:val="single" w:sz="4" w:space="0" w:color="auto"/>
                    <w:left w:val="single" w:sz="4" w:space="0" w:color="auto"/>
                    <w:bottom w:val="single" w:sz="4" w:space="0" w:color="auto"/>
                    <w:right w:val="single" w:sz="4" w:space="0" w:color="auto"/>
                  </w:tcBorders>
                  <w:shd w:val="clear" w:color="auto" w:fill="auto"/>
                </w:tcPr>
                <w:p w14:paraId="641DA16A" w14:textId="77777777" w:rsidR="00114F14" w:rsidRPr="00370B49" w:rsidRDefault="00114F14" w:rsidP="004A104C">
                  <w:pPr>
                    <w:rPr>
                      <w:sz w:val="18"/>
                      <w:szCs w:val="18"/>
                    </w:rPr>
                  </w:pPr>
                  <w:r w:rsidRPr="003A0493">
                    <w:rPr>
                      <w:sz w:val="18"/>
                      <w:szCs w:val="18"/>
                      <w:u w:val="single"/>
                    </w:rPr>
                    <w:t>Maine Charter School Commission</w:t>
                  </w:r>
                  <w:r>
                    <w:rPr>
                      <w:sz w:val="18"/>
                      <w:szCs w:val="18"/>
                    </w:rPr>
                    <w:t xml:space="preserve"> Total All Funds after initiatives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C65B4A" w14:textId="1CB0B6FD" w:rsidR="00114F14" w:rsidRPr="00447C8A" w:rsidRDefault="00114F14" w:rsidP="004A104C">
                  <w:pPr>
                    <w:jc w:val="right"/>
                    <w:rPr>
                      <w:sz w:val="20"/>
                      <w:szCs w:val="20"/>
                    </w:rPr>
                  </w:pPr>
                  <w:r>
                    <w:rPr>
                      <w:sz w:val="20"/>
                      <w:szCs w:val="20"/>
                    </w:rPr>
                    <w:t>$649,502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7A9026B" w14:textId="7FB0117A" w:rsidR="00114F14" w:rsidRPr="00447C8A" w:rsidRDefault="00114F14" w:rsidP="004A104C">
                  <w:pPr>
                    <w:jc w:val="right"/>
                    <w:rPr>
                      <w:sz w:val="20"/>
                      <w:szCs w:val="20"/>
                    </w:rPr>
                  </w:pPr>
                  <w:r>
                    <w:rPr>
                      <w:sz w:val="20"/>
                      <w:szCs w:val="20"/>
                    </w:rPr>
                    <w:t>$694,809</w:t>
                  </w:r>
                </w:p>
              </w:tc>
            </w:tr>
          </w:tbl>
          <w:p w14:paraId="16F62E49" w14:textId="77777777" w:rsidR="00114F14" w:rsidRDefault="00114F14" w:rsidP="004A104C">
            <w:pPr>
              <w:pStyle w:val="ListBullet"/>
              <w:numPr>
                <w:ilvl w:val="0"/>
                <w:numId w:val="0"/>
              </w:numPr>
              <w:ind w:left="280"/>
            </w:pPr>
          </w:p>
          <w:p w14:paraId="0EE618BC" w14:textId="1B4C270B" w:rsidR="00114F14" w:rsidRDefault="00114F14" w:rsidP="004A104C">
            <w:pPr>
              <w:pStyle w:val="ListBullet"/>
              <w:numPr>
                <w:ilvl w:val="0"/>
                <w:numId w:val="0"/>
              </w:numPr>
              <w:ind w:left="280"/>
            </w:pPr>
          </w:p>
          <w:p w14:paraId="53829B2D" w14:textId="77777777" w:rsidR="00860351" w:rsidRDefault="00860351" w:rsidP="004A104C">
            <w:pPr>
              <w:pStyle w:val="ListBullet"/>
              <w:numPr>
                <w:ilvl w:val="0"/>
                <w:numId w:val="0"/>
              </w:numPr>
              <w:ind w:left="280"/>
            </w:pPr>
          </w:p>
          <w:p w14:paraId="7508608E" w14:textId="77777777" w:rsidR="00114F14" w:rsidRPr="00E2141C" w:rsidRDefault="00114F14" w:rsidP="004A104C">
            <w:pPr>
              <w:tabs>
                <w:tab w:val="left" w:pos="3600"/>
              </w:tabs>
              <w:rPr>
                <w:b/>
                <w:sz w:val="22"/>
                <w:szCs w:val="22"/>
                <w:u w:val="single"/>
              </w:rPr>
            </w:pPr>
            <w:r w:rsidRPr="00E2141C">
              <w:rPr>
                <w:b/>
                <w:sz w:val="22"/>
                <w:szCs w:val="22"/>
                <w:u w:val="single"/>
              </w:rPr>
              <w:t>Maine Department of Education</w:t>
            </w:r>
          </w:p>
          <w:p w14:paraId="5D6D1A4D" w14:textId="77777777" w:rsidR="00114F14" w:rsidRPr="00E2141C" w:rsidRDefault="00114F14" w:rsidP="004A104C">
            <w:pPr>
              <w:tabs>
                <w:tab w:val="left" w:pos="3600"/>
              </w:tabs>
              <w:rPr>
                <w:b/>
                <w:sz w:val="22"/>
                <w:szCs w:val="22"/>
              </w:rPr>
            </w:pPr>
          </w:p>
          <w:p w14:paraId="3D96D969" w14:textId="77777777" w:rsidR="00114F14" w:rsidRPr="00E2141C" w:rsidRDefault="00114F14" w:rsidP="004A104C">
            <w:pPr>
              <w:tabs>
                <w:tab w:val="left" w:pos="3600"/>
              </w:tabs>
              <w:rPr>
                <w:sz w:val="22"/>
                <w:szCs w:val="22"/>
                <w:u w:val="single"/>
              </w:rPr>
            </w:pPr>
            <w:r w:rsidRPr="00E2141C">
              <w:rPr>
                <w:sz w:val="22"/>
                <w:szCs w:val="22"/>
                <w:u w:val="single"/>
              </w:rPr>
              <w:t>Adult Education</w:t>
            </w:r>
          </w:p>
          <w:p w14:paraId="5F1F5806" w14:textId="77777777" w:rsidR="00114F14" w:rsidRPr="00E2141C" w:rsidRDefault="00114F14" w:rsidP="004A104C">
            <w:pPr>
              <w:tabs>
                <w:tab w:val="left" w:pos="3600"/>
              </w:tabs>
              <w:rPr>
                <w:sz w:val="22"/>
                <w:szCs w:val="22"/>
                <w:u w:val="single"/>
              </w:rPr>
            </w:pPr>
          </w:p>
          <w:p w14:paraId="5080D7F0" w14:textId="5487E071" w:rsidR="00114F14" w:rsidRDefault="00114F14" w:rsidP="004A104C">
            <w:pPr>
              <w:pStyle w:val="ListBullet"/>
            </w:pPr>
            <w:r w:rsidRPr="008C0074">
              <w:t>Provides General Fund and Federal</w:t>
            </w:r>
            <w:r>
              <w:t xml:space="preserve"> Expenditures</w:t>
            </w:r>
            <w:r w:rsidRPr="008C0074">
              <w:t xml:space="preserve"> Fund appropriations in the budget for Adult Education in FY 20 and in FY 21.</w:t>
            </w:r>
          </w:p>
          <w:p w14:paraId="7BBA39BF" w14:textId="32464767" w:rsidR="00860351" w:rsidRDefault="00860351" w:rsidP="00860351">
            <w:pPr>
              <w:pStyle w:val="ListBullet"/>
              <w:numPr>
                <w:ilvl w:val="0"/>
                <w:numId w:val="0"/>
              </w:numPr>
              <w:ind w:left="460" w:hanging="180"/>
            </w:pPr>
          </w:p>
          <w:p w14:paraId="4D2E0D5D" w14:textId="7AC3858B" w:rsidR="00860351" w:rsidRDefault="00860351" w:rsidP="00860351">
            <w:pPr>
              <w:pStyle w:val="ListBullet"/>
              <w:numPr>
                <w:ilvl w:val="0"/>
                <w:numId w:val="0"/>
              </w:numPr>
              <w:ind w:left="460" w:hanging="180"/>
            </w:pPr>
          </w:p>
          <w:p w14:paraId="39E720C1" w14:textId="72E05E4F" w:rsidR="00860351" w:rsidRDefault="00860351" w:rsidP="00860351">
            <w:pPr>
              <w:pStyle w:val="ListBullet"/>
              <w:numPr>
                <w:ilvl w:val="0"/>
                <w:numId w:val="0"/>
              </w:numPr>
              <w:ind w:left="460" w:hanging="180"/>
            </w:pPr>
          </w:p>
          <w:p w14:paraId="248EE081" w14:textId="18478C9B" w:rsidR="00860351" w:rsidRDefault="00860351" w:rsidP="00860351">
            <w:pPr>
              <w:pStyle w:val="ListBullet"/>
              <w:numPr>
                <w:ilvl w:val="0"/>
                <w:numId w:val="0"/>
              </w:numPr>
              <w:ind w:left="460" w:hanging="180"/>
            </w:pPr>
          </w:p>
          <w:p w14:paraId="78A7EF38" w14:textId="2B0630A6" w:rsidR="00114F14" w:rsidRPr="00E2141C" w:rsidRDefault="00114F14" w:rsidP="00E13B89">
            <w:pPr>
              <w:rPr>
                <w:sz w:val="22"/>
                <w:szCs w:val="22"/>
              </w:rPr>
            </w:pPr>
            <w:r w:rsidRPr="00E2141C">
              <w:rPr>
                <w:b/>
                <w:noProof/>
                <w:sz w:val="22"/>
                <w:szCs w:val="22"/>
                <w:u w:val="single"/>
              </w:rPr>
              <mc:AlternateContent>
                <mc:Choice Requires="wps">
                  <w:drawing>
                    <wp:anchor distT="0" distB="0" distL="114300" distR="114300" simplePos="0" relativeHeight="251668480" behindDoc="0" locked="0" layoutInCell="1" allowOverlap="1" wp14:anchorId="5D913226" wp14:editId="5FDAD688">
                      <wp:simplePos x="0" y="0"/>
                      <wp:positionH relativeFrom="column">
                        <wp:posOffset>624205</wp:posOffset>
                      </wp:positionH>
                      <wp:positionV relativeFrom="paragraph">
                        <wp:posOffset>100330</wp:posOffset>
                      </wp:positionV>
                      <wp:extent cx="3101340" cy="2124075"/>
                      <wp:effectExtent l="0" t="0" r="3810" b="9525"/>
                      <wp:wrapNone/>
                      <wp:docPr id="303"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12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8" w:type="dxa"/>
                                    <w:tblLook w:val="01E0" w:firstRow="1" w:lastRow="1" w:firstColumn="1" w:lastColumn="1" w:noHBand="0" w:noVBand="0"/>
                                  </w:tblPr>
                                  <w:tblGrid>
                                    <w:gridCol w:w="1704"/>
                                    <w:gridCol w:w="1347"/>
                                    <w:gridCol w:w="1347"/>
                                  </w:tblGrid>
                                  <w:tr w:rsidR="00114F14" w:rsidRPr="008D72F0" w14:paraId="51354848" w14:textId="77777777" w:rsidTr="00B44A1A">
                                    <w:trPr>
                                      <w:trHeight w:val="357"/>
                                    </w:trPr>
                                    <w:tc>
                                      <w:tcPr>
                                        <w:tcW w:w="1710" w:type="dxa"/>
                                        <w:shd w:val="clear" w:color="auto" w:fill="auto"/>
                                      </w:tcPr>
                                      <w:p w14:paraId="6A898EC4" w14:textId="77777777" w:rsidR="00114F14" w:rsidRPr="008D72F0" w:rsidRDefault="00114F14" w:rsidP="00204E58">
                                        <w:pPr>
                                          <w:jc w:val="right"/>
                                          <w:rPr>
                                            <w:sz w:val="20"/>
                                            <w:szCs w:val="20"/>
                                            <w:u w:val="single"/>
                                          </w:rPr>
                                        </w:pPr>
                                      </w:p>
                                    </w:tc>
                                    <w:tc>
                                      <w:tcPr>
                                        <w:tcW w:w="1350" w:type="dxa"/>
                                        <w:shd w:val="clear" w:color="auto" w:fill="auto"/>
                                      </w:tcPr>
                                      <w:p w14:paraId="3A36D81C" w14:textId="0B1D8B9C" w:rsidR="00114F14" w:rsidRPr="008D72F0" w:rsidRDefault="00114F14" w:rsidP="004239F8">
                                        <w:pPr>
                                          <w:jc w:val="right"/>
                                          <w:rPr>
                                            <w:sz w:val="20"/>
                                            <w:szCs w:val="20"/>
                                            <w:u w:val="single"/>
                                          </w:rPr>
                                        </w:pPr>
                                        <w:r w:rsidRPr="008D72F0">
                                          <w:rPr>
                                            <w:sz w:val="20"/>
                                            <w:szCs w:val="20"/>
                                            <w:u w:val="single"/>
                                          </w:rPr>
                                          <w:t xml:space="preserve">FY </w:t>
                                        </w:r>
                                        <w:r>
                                          <w:rPr>
                                            <w:sz w:val="20"/>
                                            <w:szCs w:val="20"/>
                                            <w:u w:val="single"/>
                                          </w:rPr>
                                          <w:t>20</w:t>
                                        </w:r>
                                      </w:p>
                                    </w:tc>
                                    <w:tc>
                                      <w:tcPr>
                                        <w:tcW w:w="1350" w:type="dxa"/>
                                      </w:tcPr>
                                      <w:p w14:paraId="650D7B04" w14:textId="7FAE56B2" w:rsidR="00114F14" w:rsidRPr="008D72F0" w:rsidRDefault="00114F14" w:rsidP="004239F8">
                                        <w:pPr>
                                          <w:jc w:val="right"/>
                                          <w:rPr>
                                            <w:sz w:val="20"/>
                                            <w:szCs w:val="20"/>
                                            <w:u w:val="single"/>
                                          </w:rPr>
                                        </w:pPr>
                                        <w:r>
                                          <w:rPr>
                                            <w:sz w:val="20"/>
                                            <w:szCs w:val="20"/>
                                            <w:u w:val="single"/>
                                          </w:rPr>
                                          <w:t>FY 21</w:t>
                                        </w:r>
                                      </w:p>
                                    </w:tc>
                                  </w:tr>
                                  <w:tr w:rsidR="00114F14" w:rsidRPr="008D72F0" w14:paraId="64EC0302" w14:textId="77777777" w:rsidTr="00B44A1A">
                                    <w:trPr>
                                      <w:trHeight w:val="357"/>
                                    </w:trPr>
                                    <w:tc>
                                      <w:tcPr>
                                        <w:tcW w:w="1710" w:type="dxa"/>
                                        <w:shd w:val="clear" w:color="auto" w:fill="auto"/>
                                      </w:tcPr>
                                      <w:p w14:paraId="0422C75B" w14:textId="77777777" w:rsidR="00114F14" w:rsidRPr="008D72F0" w:rsidRDefault="00114F14" w:rsidP="00447C8A">
                                        <w:pPr>
                                          <w:jc w:val="right"/>
                                          <w:rPr>
                                            <w:sz w:val="16"/>
                                            <w:szCs w:val="16"/>
                                          </w:rPr>
                                        </w:pPr>
                                        <w:r w:rsidRPr="008D72F0">
                                          <w:rPr>
                                            <w:sz w:val="16"/>
                                            <w:szCs w:val="16"/>
                                          </w:rPr>
                                          <w:t>General Fund - Position Count</w:t>
                                        </w:r>
                                      </w:p>
                                    </w:tc>
                                    <w:tc>
                                      <w:tcPr>
                                        <w:tcW w:w="1350" w:type="dxa"/>
                                        <w:shd w:val="clear" w:color="auto" w:fill="auto"/>
                                        <w:vAlign w:val="center"/>
                                      </w:tcPr>
                                      <w:p w14:paraId="45468F54" w14:textId="77777777" w:rsidR="00114F14" w:rsidRPr="008D72F0" w:rsidRDefault="00114F14" w:rsidP="00E261F3">
                                        <w:pPr>
                                          <w:jc w:val="right"/>
                                          <w:rPr>
                                            <w:sz w:val="20"/>
                                            <w:szCs w:val="20"/>
                                          </w:rPr>
                                        </w:pPr>
                                        <w:r>
                                          <w:rPr>
                                            <w:sz w:val="20"/>
                                            <w:szCs w:val="20"/>
                                          </w:rPr>
                                          <w:t>3.000</w:t>
                                        </w:r>
                                      </w:p>
                                    </w:tc>
                                    <w:tc>
                                      <w:tcPr>
                                        <w:tcW w:w="1350" w:type="dxa"/>
                                        <w:vAlign w:val="center"/>
                                      </w:tcPr>
                                      <w:p w14:paraId="3EF555DE" w14:textId="77777777" w:rsidR="00114F14" w:rsidRDefault="00114F14" w:rsidP="00E261F3">
                                        <w:pPr>
                                          <w:jc w:val="right"/>
                                          <w:rPr>
                                            <w:sz w:val="20"/>
                                            <w:szCs w:val="20"/>
                                          </w:rPr>
                                        </w:pPr>
                                        <w:r>
                                          <w:rPr>
                                            <w:sz w:val="20"/>
                                            <w:szCs w:val="20"/>
                                          </w:rPr>
                                          <w:t>3.000</w:t>
                                        </w:r>
                                      </w:p>
                                    </w:tc>
                                  </w:tr>
                                  <w:tr w:rsidR="00114F14" w:rsidRPr="008D72F0" w14:paraId="1672B918" w14:textId="77777777" w:rsidTr="00B44A1A">
                                    <w:trPr>
                                      <w:trHeight w:val="357"/>
                                    </w:trPr>
                                    <w:tc>
                                      <w:tcPr>
                                        <w:tcW w:w="1710" w:type="dxa"/>
                                        <w:shd w:val="clear" w:color="auto" w:fill="auto"/>
                                      </w:tcPr>
                                      <w:p w14:paraId="4D3C4A01" w14:textId="77777777" w:rsidR="00114F14" w:rsidRPr="008D72F0" w:rsidRDefault="00114F14" w:rsidP="00447C8A">
                                        <w:pPr>
                                          <w:jc w:val="right"/>
                                          <w:rPr>
                                            <w:sz w:val="16"/>
                                            <w:szCs w:val="16"/>
                                          </w:rPr>
                                        </w:pPr>
                                        <w:r w:rsidRPr="008D72F0">
                                          <w:rPr>
                                            <w:sz w:val="16"/>
                                            <w:szCs w:val="16"/>
                                          </w:rPr>
                                          <w:t>Personal Services</w:t>
                                        </w:r>
                                      </w:p>
                                    </w:tc>
                                    <w:tc>
                                      <w:tcPr>
                                        <w:tcW w:w="1350" w:type="dxa"/>
                                        <w:shd w:val="clear" w:color="auto" w:fill="auto"/>
                                      </w:tcPr>
                                      <w:p w14:paraId="1CEFDFE2" w14:textId="5E4968C3" w:rsidR="00114F14" w:rsidRPr="008D72F0" w:rsidRDefault="00114F14" w:rsidP="001E1599">
                                        <w:pPr>
                                          <w:jc w:val="right"/>
                                          <w:rPr>
                                            <w:sz w:val="20"/>
                                            <w:szCs w:val="20"/>
                                          </w:rPr>
                                        </w:pPr>
                                        <w:r>
                                          <w:rPr>
                                            <w:sz w:val="20"/>
                                            <w:szCs w:val="20"/>
                                          </w:rPr>
                                          <w:t>$280,635</w:t>
                                        </w:r>
                                      </w:p>
                                    </w:tc>
                                    <w:tc>
                                      <w:tcPr>
                                        <w:tcW w:w="1350" w:type="dxa"/>
                                      </w:tcPr>
                                      <w:p w14:paraId="396C9A93" w14:textId="5C1C64EB" w:rsidR="00114F14" w:rsidRPr="008D72F0" w:rsidRDefault="00114F14" w:rsidP="001E1599">
                                        <w:pPr>
                                          <w:jc w:val="right"/>
                                          <w:rPr>
                                            <w:sz w:val="20"/>
                                            <w:szCs w:val="20"/>
                                          </w:rPr>
                                        </w:pPr>
                                        <w:r>
                                          <w:rPr>
                                            <w:sz w:val="20"/>
                                            <w:szCs w:val="20"/>
                                          </w:rPr>
                                          <w:t>$283,342</w:t>
                                        </w:r>
                                      </w:p>
                                    </w:tc>
                                  </w:tr>
                                  <w:tr w:rsidR="00114F14" w:rsidRPr="008D72F0" w14:paraId="748B1A88" w14:textId="77777777" w:rsidTr="00B44A1A">
                                    <w:trPr>
                                      <w:trHeight w:val="315"/>
                                    </w:trPr>
                                    <w:tc>
                                      <w:tcPr>
                                        <w:tcW w:w="1710" w:type="dxa"/>
                                        <w:shd w:val="clear" w:color="auto" w:fill="auto"/>
                                      </w:tcPr>
                                      <w:p w14:paraId="4A339054" w14:textId="77777777" w:rsidR="00114F14" w:rsidRPr="008D72F0" w:rsidRDefault="00114F14" w:rsidP="00204E58">
                                        <w:pPr>
                                          <w:jc w:val="right"/>
                                          <w:rPr>
                                            <w:sz w:val="16"/>
                                            <w:szCs w:val="16"/>
                                          </w:rPr>
                                        </w:pPr>
                                        <w:r>
                                          <w:rPr>
                                            <w:sz w:val="16"/>
                                            <w:szCs w:val="16"/>
                                          </w:rPr>
                                          <w:t>All Other</w:t>
                                        </w:r>
                                      </w:p>
                                    </w:tc>
                                    <w:tc>
                                      <w:tcPr>
                                        <w:tcW w:w="1350" w:type="dxa"/>
                                        <w:shd w:val="clear" w:color="auto" w:fill="auto"/>
                                      </w:tcPr>
                                      <w:p w14:paraId="3734D2B7" w14:textId="77777777" w:rsidR="00114F14" w:rsidRPr="00FE76F6" w:rsidRDefault="00114F14" w:rsidP="00124AD2">
                                        <w:pPr>
                                          <w:jc w:val="right"/>
                                          <w:rPr>
                                            <w:sz w:val="20"/>
                                            <w:szCs w:val="20"/>
                                            <w:u w:val="single"/>
                                          </w:rPr>
                                        </w:pPr>
                                        <w:r w:rsidRPr="00FE76F6">
                                          <w:rPr>
                                            <w:sz w:val="20"/>
                                            <w:szCs w:val="20"/>
                                            <w:u w:val="single"/>
                                          </w:rPr>
                                          <w:t>$</w:t>
                                        </w:r>
                                        <w:r>
                                          <w:rPr>
                                            <w:sz w:val="20"/>
                                            <w:szCs w:val="20"/>
                                            <w:u w:val="single"/>
                                          </w:rPr>
                                          <w:t>5,962,512</w:t>
                                        </w:r>
                                      </w:p>
                                    </w:tc>
                                    <w:tc>
                                      <w:tcPr>
                                        <w:tcW w:w="1350" w:type="dxa"/>
                                      </w:tcPr>
                                      <w:p w14:paraId="0084750D" w14:textId="77777777" w:rsidR="00114F14" w:rsidRPr="00FE76F6" w:rsidRDefault="00114F14" w:rsidP="00124AD2">
                                        <w:pPr>
                                          <w:jc w:val="right"/>
                                          <w:rPr>
                                            <w:sz w:val="20"/>
                                            <w:szCs w:val="20"/>
                                            <w:u w:val="single"/>
                                          </w:rPr>
                                        </w:pPr>
                                        <w:r>
                                          <w:rPr>
                                            <w:sz w:val="20"/>
                                            <w:szCs w:val="20"/>
                                            <w:u w:val="single"/>
                                          </w:rPr>
                                          <w:t>$5,962,512</w:t>
                                        </w:r>
                                      </w:p>
                                    </w:tc>
                                  </w:tr>
                                  <w:tr w:rsidR="00114F14" w:rsidRPr="008D72F0" w14:paraId="6F08C406" w14:textId="77777777" w:rsidTr="00B44A1A">
                                    <w:trPr>
                                      <w:trHeight w:val="303"/>
                                    </w:trPr>
                                    <w:tc>
                                      <w:tcPr>
                                        <w:tcW w:w="1710" w:type="dxa"/>
                                        <w:shd w:val="clear" w:color="auto" w:fill="auto"/>
                                      </w:tcPr>
                                      <w:p w14:paraId="1785D70F" w14:textId="77777777" w:rsidR="00114F14" w:rsidRPr="008D72F0" w:rsidRDefault="00114F14" w:rsidP="00204E58">
                                        <w:pPr>
                                          <w:rPr>
                                            <w:sz w:val="16"/>
                                            <w:szCs w:val="16"/>
                                            <w:u w:val="single"/>
                                          </w:rPr>
                                        </w:pPr>
                                        <w:r>
                                          <w:rPr>
                                            <w:sz w:val="16"/>
                                            <w:szCs w:val="16"/>
                                            <w:u w:val="single"/>
                                          </w:rPr>
                                          <w:t>General Fund Total</w:t>
                                        </w:r>
                                      </w:p>
                                    </w:tc>
                                    <w:tc>
                                      <w:tcPr>
                                        <w:tcW w:w="1350" w:type="dxa"/>
                                        <w:shd w:val="clear" w:color="auto" w:fill="auto"/>
                                      </w:tcPr>
                                      <w:p w14:paraId="04981F03" w14:textId="6C717279" w:rsidR="00114F14" w:rsidRPr="008D72F0" w:rsidRDefault="00114F14" w:rsidP="001E1599">
                                        <w:pPr>
                                          <w:jc w:val="right"/>
                                          <w:rPr>
                                            <w:sz w:val="20"/>
                                            <w:szCs w:val="20"/>
                                          </w:rPr>
                                        </w:pPr>
                                        <w:r>
                                          <w:rPr>
                                            <w:sz w:val="20"/>
                                            <w:szCs w:val="20"/>
                                          </w:rPr>
                                          <w:t>$6,243,147</w:t>
                                        </w:r>
                                      </w:p>
                                    </w:tc>
                                    <w:tc>
                                      <w:tcPr>
                                        <w:tcW w:w="1350" w:type="dxa"/>
                                      </w:tcPr>
                                      <w:p w14:paraId="5AEA7148" w14:textId="011B9F56" w:rsidR="00114F14" w:rsidRPr="008D72F0" w:rsidRDefault="00114F14" w:rsidP="001E1599">
                                        <w:pPr>
                                          <w:jc w:val="right"/>
                                          <w:rPr>
                                            <w:sz w:val="20"/>
                                            <w:szCs w:val="20"/>
                                          </w:rPr>
                                        </w:pPr>
                                        <w:r>
                                          <w:rPr>
                                            <w:sz w:val="20"/>
                                            <w:szCs w:val="20"/>
                                          </w:rPr>
                                          <w:t>$6,245,854</w:t>
                                        </w:r>
                                      </w:p>
                                    </w:tc>
                                  </w:tr>
                                  <w:tr w:rsidR="00114F14" w:rsidRPr="008D72F0" w14:paraId="6099179B" w14:textId="77777777" w:rsidTr="00B44A1A">
                                    <w:trPr>
                                      <w:trHeight w:val="180"/>
                                    </w:trPr>
                                    <w:tc>
                                      <w:tcPr>
                                        <w:tcW w:w="1710" w:type="dxa"/>
                                        <w:shd w:val="clear" w:color="auto" w:fill="auto"/>
                                      </w:tcPr>
                                      <w:p w14:paraId="3E551776" w14:textId="77777777" w:rsidR="00114F14" w:rsidRPr="008D72F0" w:rsidRDefault="00114F14" w:rsidP="00204E58">
                                        <w:pPr>
                                          <w:jc w:val="right"/>
                                          <w:rPr>
                                            <w:sz w:val="16"/>
                                            <w:szCs w:val="16"/>
                                          </w:rPr>
                                        </w:pPr>
                                        <w:r>
                                          <w:rPr>
                                            <w:sz w:val="16"/>
                                            <w:szCs w:val="16"/>
                                          </w:rPr>
                                          <w:t>Federal Expenditures Fund-</w:t>
                                        </w:r>
                                        <w:r w:rsidRPr="008D72F0">
                                          <w:rPr>
                                            <w:sz w:val="16"/>
                                            <w:szCs w:val="16"/>
                                          </w:rPr>
                                          <w:t>Position Count</w:t>
                                        </w:r>
                                      </w:p>
                                    </w:tc>
                                    <w:tc>
                                      <w:tcPr>
                                        <w:tcW w:w="1350" w:type="dxa"/>
                                        <w:shd w:val="clear" w:color="auto" w:fill="auto"/>
                                        <w:vAlign w:val="center"/>
                                      </w:tcPr>
                                      <w:p w14:paraId="6171D851" w14:textId="77777777" w:rsidR="00114F14" w:rsidRPr="008D72F0" w:rsidRDefault="00114F14" w:rsidP="00E261F3">
                                        <w:pPr>
                                          <w:jc w:val="right"/>
                                          <w:rPr>
                                            <w:sz w:val="20"/>
                                            <w:szCs w:val="20"/>
                                          </w:rPr>
                                        </w:pPr>
                                        <w:r>
                                          <w:rPr>
                                            <w:sz w:val="20"/>
                                            <w:szCs w:val="20"/>
                                          </w:rPr>
                                          <w:t>2.000</w:t>
                                        </w:r>
                                      </w:p>
                                    </w:tc>
                                    <w:tc>
                                      <w:tcPr>
                                        <w:tcW w:w="1350" w:type="dxa"/>
                                        <w:vAlign w:val="center"/>
                                      </w:tcPr>
                                      <w:p w14:paraId="67847C15" w14:textId="77777777" w:rsidR="00114F14" w:rsidRPr="008D72F0" w:rsidRDefault="00114F14" w:rsidP="00E261F3">
                                        <w:pPr>
                                          <w:jc w:val="right"/>
                                          <w:rPr>
                                            <w:sz w:val="20"/>
                                            <w:szCs w:val="20"/>
                                          </w:rPr>
                                        </w:pPr>
                                        <w:r>
                                          <w:rPr>
                                            <w:sz w:val="20"/>
                                            <w:szCs w:val="20"/>
                                          </w:rPr>
                                          <w:t>2.000</w:t>
                                        </w:r>
                                      </w:p>
                                    </w:tc>
                                  </w:tr>
                                  <w:tr w:rsidR="00114F14" w:rsidRPr="008D72F0" w14:paraId="2DAF1D51" w14:textId="77777777" w:rsidTr="00B44A1A">
                                    <w:trPr>
                                      <w:trHeight w:val="315"/>
                                    </w:trPr>
                                    <w:tc>
                                      <w:tcPr>
                                        <w:tcW w:w="1710" w:type="dxa"/>
                                        <w:shd w:val="clear" w:color="auto" w:fill="auto"/>
                                      </w:tcPr>
                                      <w:p w14:paraId="6C2B7750" w14:textId="77777777" w:rsidR="00114F14" w:rsidRPr="008B530B" w:rsidRDefault="00114F14" w:rsidP="00E261F3">
                                        <w:pPr>
                                          <w:jc w:val="right"/>
                                          <w:rPr>
                                            <w:sz w:val="16"/>
                                            <w:szCs w:val="16"/>
                                          </w:rPr>
                                        </w:pPr>
                                        <w:r>
                                          <w:rPr>
                                            <w:sz w:val="16"/>
                                            <w:szCs w:val="16"/>
                                          </w:rPr>
                                          <w:t>Personal Services</w:t>
                                        </w:r>
                                      </w:p>
                                    </w:tc>
                                    <w:tc>
                                      <w:tcPr>
                                        <w:tcW w:w="1350" w:type="dxa"/>
                                        <w:shd w:val="clear" w:color="auto" w:fill="auto"/>
                                      </w:tcPr>
                                      <w:p w14:paraId="5A8D2861" w14:textId="2EC6784C" w:rsidR="00114F14" w:rsidRPr="008D72F0" w:rsidRDefault="00114F14" w:rsidP="001E1599">
                                        <w:pPr>
                                          <w:jc w:val="right"/>
                                          <w:rPr>
                                            <w:sz w:val="20"/>
                                            <w:szCs w:val="20"/>
                                          </w:rPr>
                                        </w:pPr>
                                        <w:r>
                                          <w:rPr>
                                            <w:sz w:val="20"/>
                                            <w:szCs w:val="20"/>
                                          </w:rPr>
                                          <w:t>$226,197</w:t>
                                        </w:r>
                                      </w:p>
                                    </w:tc>
                                    <w:tc>
                                      <w:tcPr>
                                        <w:tcW w:w="1350" w:type="dxa"/>
                                      </w:tcPr>
                                      <w:p w14:paraId="7452F5DD" w14:textId="5E6C4FA8" w:rsidR="00114F14" w:rsidRPr="008D72F0" w:rsidRDefault="00114F14" w:rsidP="001E1599">
                                        <w:pPr>
                                          <w:jc w:val="right"/>
                                          <w:rPr>
                                            <w:sz w:val="20"/>
                                            <w:szCs w:val="20"/>
                                          </w:rPr>
                                        </w:pPr>
                                        <w:r>
                                          <w:rPr>
                                            <w:sz w:val="20"/>
                                            <w:szCs w:val="20"/>
                                          </w:rPr>
                                          <w:t>$226,596</w:t>
                                        </w:r>
                                      </w:p>
                                    </w:tc>
                                  </w:tr>
                                  <w:tr w:rsidR="00114F14" w:rsidRPr="008D72F0" w14:paraId="0E788988" w14:textId="77777777" w:rsidTr="00B44A1A">
                                    <w:trPr>
                                      <w:trHeight w:val="315"/>
                                    </w:trPr>
                                    <w:tc>
                                      <w:tcPr>
                                        <w:tcW w:w="1710" w:type="dxa"/>
                                        <w:shd w:val="clear" w:color="auto" w:fill="auto"/>
                                      </w:tcPr>
                                      <w:p w14:paraId="320473FC" w14:textId="77777777" w:rsidR="00114F14" w:rsidRPr="008B530B" w:rsidRDefault="00114F14" w:rsidP="00E261F3">
                                        <w:pPr>
                                          <w:jc w:val="right"/>
                                          <w:rPr>
                                            <w:sz w:val="16"/>
                                            <w:szCs w:val="16"/>
                                          </w:rPr>
                                        </w:pPr>
                                        <w:r>
                                          <w:rPr>
                                            <w:sz w:val="16"/>
                                            <w:szCs w:val="16"/>
                                          </w:rPr>
                                          <w:t>All Other</w:t>
                                        </w:r>
                                      </w:p>
                                    </w:tc>
                                    <w:tc>
                                      <w:tcPr>
                                        <w:tcW w:w="1350" w:type="dxa"/>
                                        <w:shd w:val="clear" w:color="auto" w:fill="auto"/>
                                      </w:tcPr>
                                      <w:p w14:paraId="6FE24FEE" w14:textId="77777777" w:rsidR="00114F14" w:rsidRPr="00FE76F6" w:rsidRDefault="00114F14" w:rsidP="00204E58">
                                        <w:pPr>
                                          <w:jc w:val="right"/>
                                          <w:rPr>
                                            <w:sz w:val="20"/>
                                            <w:szCs w:val="20"/>
                                            <w:u w:val="single"/>
                                          </w:rPr>
                                        </w:pPr>
                                        <w:r>
                                          <w:rPr>
                                            <w:sz w:val="20"/>
                                            <w:szCs w:val="20"/>
                                            <w:u w:val="single"/>
                                          </w:rPr>
                                          <w:t>$</w:t>
                                        </w:r>
                                        <w:r w:rsidRPr="00FE76F6">
                                          <w:rPr>
                                            <w:sz w:val="20"/>
                                            <w:szCs w:val="20"/>
                                            <w:u w:val="single"/>
                                          </w:rPr>
                                          <w:t>1,874,267</w:t>
                                        </w:r>
                                      </w:p>
                                    </w:tc>
                                    <w:tc>
                                      <w:tcPr>
                                        <w:tcW w:w="1350" w:type="dxa"/>
                                      </w:tcPr>
                                      <w:p w14:paraId="58213EF1" w14:textId="77777777" w:rsidR="00114F14" w:rsidRPr="00FE76F6" w:rsidRDefault="00114F14" w:rsidP="00204E58">
                                        <w:pPr>
                                          <w:jc w:val="right"/>
                                          <w:rPr>
                                            <w:sz w:val="20"/>
                                            <w:szCs w:val="20"/>
                                            <w:u w:val="single"/>
                                          </w:rPr>
                                        </w:pPr>
                                        <w:r w:rsidRPr="00FE76F6">
                                          <w:rPr>
                                            <w:sz w:val="20"/>
                                            <w:szCs w:val="20"/>
                                            <w:u w:val="single"/>
                                          </w:rPr>
                                          <w:t>$1,874,267</w:t>
                                        </w:r>
                                      </w:p>
                                    </w:tc>
                                  </w:tr>
                                  <w:tr w:rsidR="00114F14" w:rsidRPr="008D72F0" w14:paraId="5B6E3344" w14:textId="77777777" w:rsidTr="00B44A1A">
                                    <w:trPr>
                                      <w:trHeight w:val="315"/>
                                    </w:trPr>
                                    <w:tc>
                                      <w:tcPr>
                                        <w:tcW w:w="1710" w:type="dxa"/>
                                        <w:shd w:val="clear" w:color="auto" w:fill="auto"/>
                                      </w:tcPr>
                                      <w:p w14:paraId="4140E20D" w14:textId="77777777" w:rsidR="00114F14" w:rsidRPr="008B530B" w:rsidRDefault="00114F14" w:rsidP="008B530B">
                                        <w:pPr>
                                          <w:rPr>
                                            <w:sz w:val="16"/>
                                            <w:szCs w:val="16"/>
                                            <w:u w:val="single"/>
                                          </w:rPr>
                                        </w:pPr>
                                        <w:r>
                                          <w:rPr>
                                            <w:sz w:val="16"/>
                                            <w:szCs w:val="16"/>
                                            <w:u w:val="single"/>
                                          </w:rPr>
                                          <w:t>Federal Expenditures Fund Total</w:t>
                                        </w:r>
                                      </w:p>
                                    </w:tc>
                                    <w:tc>
                                      <w:tcPr>
                                        <w:tcW w:w="1350" w:type="dxa"/>
                                        <w:shd w:val="clear" w:color="auto" w:fill="auto"/>
                                      </w:tcPr>
                                      <w:p w14:paraId="712CD6AD" w14:textId="781D8C98" w:rsidR="00114F14" w:rsidRPr="008D72F0" w:rsidRDefault="00114F14" w:rsidP="001E1599">
                                        <w:pPr>
                                          <w:jc w:val="right"/>
                                          <w:rPr>
                                            <w:sz w:val="20"/>
                                            <w:szCs w:val="20"/>
                                          </w:rPr>
                                        </w:pPr>
                                        <w:r>
                                          <w:rPr>
                                            <w:sz w:val="20"/>
                                            <w:szCs w:val="20"/>
                                          </w:rPr>
                                          <w:t>$2,100,464</w:t>
                                        </w:r>
                                      </w:p>
                                    </w:tc>
                                    <w:tc>
                                      <w:tcPr>
                                        <w:tcW w:w="1350" w:type="dxa"/>
                                      </w:tcPr>
                                      <w:p w14:paraId="60348F66" w14:textId="6C31FE99" w:rsidR="00114F14" w:rsidRPr="008D72F0" w:rsidRDefault="00114F14" w:rsidP="001E1599">
                                        <w:pPr>
                                          <w:jc w:val="right"/>
                                          <w:rPr>
                                            <w:sz w:val="20"/>
                                            <w:szCs w:val="20"/>
                                          </w:rPr>
                                        </w:pPr>
                                        <w:r>
                                          <w:rPr>
                                            <w:sz w:val="20"/>
                                            <w:szCs w:val="20"/>
                                          </w:rPr>
                                          <w:t>$2,100,863</w:t>
                                        </w:r>
                                      </w:p>
                                    </w:tc>
                                  </w:tr>
                                </w:tbl>
                                <w:p w14:paraId="2DB1912B" w14:textId="77777777" w:rsidR="00114F14" w:rsidRPr="008B530B" w:rsidRDefault="00114F14" w:rsidP="00AA1304">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13226" id="_x0000_t202" coordsize="21600,21600" o:spt="202" path="m,l,21600r21600,l21600,xe">
                      <v:stroke joinstyle="miter"/>
                      <v:path gradientshapeok="t" o:connecttype="rect"/>
                    </v:shapetype>
                    <v:shape id="Text Box 1872" o:spid="_x0000_s1026" type="#_x0000_t202" style="position:absolute;margin-left:49.15pt;margin-top:7.9pt;width:244.2pt;height:16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NhwIAABw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" stroked="f">
                      <v:textbox>
                        <w:txbxContent>
                          <w:tbl>
                            <w:tblPr>
                              <w:tblW w:w="0" w:type="auto"/>
                              <w:tblInd w:w="198" w:type="dxa"/>
                              <w:tblLook w:val="01E0" w:firstRow="1" w:lastRow="1" w:firstColumn="1" w:lastColumn="1" w:noHBand="0" w:noVBand="0"/>
                            </w:tblPr>
                            <w:tblGrid>
                              <w:gridCol w:w="1704"/>
                              <w:gridCol w:w="1347"/>
                              <w:gridCol w:w="1347"/>
                            </w:tblGrid>
                            <w:tr w:rsidR="00114F14" w:rsidRPr="008D72F0" w14:paraId="51354848" w14:textId="77777777" w:rsidTr="00B44A1A">
                              <w:trPr>
                                <w:trHeight w:val="357"/>
                              </w:trPr>
                              <w:tc>
                                <w:tcPr>
                                  <w:tcW w:w="1710" w:type="dxa"/>
                                  <w:shd w:val="clear" w:color="auto" w:fill="auto"/>
                                </w:tcPr>
                                <w:p w14:paraId="6A898EC4" w14:textId="77777777" w:rsidR="00114F14" w:rsidRPr="008D72F0" w:rsidRDefault="00114F14" w:rsidP="00204E58">
                                  <w:pPr>
                                    <w:jc w:val="right"/>
                                    <w:rPr>
                                      <w:sz w:val="20"/>
                                      <w:szCs w:val="20"/>
                                      <w:u w:val="single"/>
                                    </w:rPr>
                                  </w:pPr>
                                </w:p>
                              </w:tc>
                              <w:tc>
                                <w:tcPr>
                                  <w:tcW w:w="1350" w:type="dxa"/>
                                  <w:shd w:val="clear" w:color="auto" w:fill="auto"/>
                                </w:tcPr>
                                <w:p w14:paraId="3A36D81C" w14:textId="0B1D8B9C" w:rsidR="00114F14" w:rsidRPr="008D72F0" w:rsidRDefault="00114F14" w:rsidP="004239F8">
                                  <w:pPr>
                                    <w:jc w:val="right"/>
                                    <w:rPr>
                                      <w:sz w:val="20"/>
                                      <w:szCs w:val="20"/>
                                      <w:u w:val="single"/>
                                    </w:rPr>
                                  </w:pPr>
                                  <w:r w:rsidRPr="008D72F0">
                                    <w:rPr>
                                      <w:sz w:val="20"/>
                                      <w:szCs w:val="20"/>
                                      <w:u w:val="single"/>
                                    </w:rPr>
                                    <w:t xml:space="preserve">FY </w:t>
                                  </w:r>
                                  <w:r>
                                    <w:rPr>
                                      <w:sz w:val="20"/>
                                      <w:szCs w:val="20"/>
                                      <w:u w:val="single"/>
                                    </w:rPr>
                                    <w:t>20</w:t>
                                  </w:r>
                                </w:p>
                              </w:tc>
                              <w:tc>
                                <w:tcPr>
                                  <w:tcW w:w="1350" w:type="dxa"/>
                                </w:tcPr>
                                <w:p w14:paraId="650D7B04" w14:textId="7FAE56B2" w:rsidR="00114F14" w:rsidRPr="008D72F0" w:rsidRDefault="00114F14" w:rsidP="004239F8">
                                  <w:pPr>
                                    <w:jc w:val="right"/>
                                    <w:rPr>
                                      <w:sz w:val="20"/>
                                      <w:szCs w:val="20"/>
                                      <w:u w:val="single"/>
                                    </w:rPr>
                                  </w:pPr>
                                  <w:r>
                                    <w:rPr>
                                      <w:sz w:val="20"/>
                                      <w:szCs w:val="20"/>
                                      <w:u w:val="single"/>
                                    </w:rPr>
                                    <w:t>FY 21</w:t>
                                  </w:r>
                                </w:p>
                              </w:tc>
                            </w:tr>
                            <w:tr w:rsidR="00114F14" w:rsidRPr="008D72F0" w14:paraId="64EC0302" w14:textId="77777777" w:rsidTr="00B44A1A">
                              <w:trPr>
                                <w:trHeight w:val="357"/>
                              </w:trPr>
                              <w:tc>
                                <w:tcPr>
                                  <w:tcW w:w="1710" w:type="dxa"/>
                                  <w:shd w:val="clear" w:color="auto" w:fill="auto"/>
                                </w:tcPr>
                                <w:p w14:paraId="0422C75B" w14:textId="77777777" w:rsidR="00114F14" w:rsidRPr="008D72F0" w:rsidRDefault="00114F14" w:rsidP="00447C8A">
                                  <w:pPr>
                                    <w:jc w:val="right"/>
                                    <w:rPr>
                                      <w:sz w:val="16"/>
                                      <w:szCs w:val="16"/>
                                    </w:rPr>
                                  </w:pPr>
                                  <w:r w:rsidRPr="008D72F0">
                                    <w:rPr>
                                      <w:sz w:val="16"/>
                                      <w:szCs w:val="16"/>
                                    </w:rPr>
                                    <w:t>General Fund - Position Count</w:t>
                                  </w:r>
                                </w:p>
                              </w:tc>
                              <w:tc>
                                <w:tcPr>
                                  <w:tcW w:w="1350" w:type="dxa"/>
                                  <w:shd w:val="clear" w:color="auto" w:fill="auto"/>
                                  <w:vAlign w:val="center"/>
                                </w:tcPr>
                                <w:p w14:paraId="45468F54" w14:textId="77777777" w:rsidR="00114F14" w:rsidRPr="008D72F0" w:rsidRDefault="00114F14" w:rsidP="00E261F3">
                                  <w:pPr>
                                    <w:jc w:val="right"/>
                                    <w:rPr>
                                      <w:sz w:val="20"/>
                                      <w:szCs w:val="20"/>
                                    </w:rPr>
                                  </w:pPr>
                                  <w:r>
                                    <w:rPr>
                                      <w:sz w:val="20"/>
                                      <w:szCs w:val="20"/>
                                    </w:rPr>
                                    <w:t>3.000</w:t>
                                  </w:r>
                                </w:p>
                              </w:tc>
                              <w:tc>
                                <w:tcPr>
                                  <w:tcW w:w="1350" w:type="dxa"/>
                                  <w:vAlign w:val="center"/>
                                </w:tcPr>
                                <w:p w14:paraId="3EF555DE" w14:textId="77777777" w:rsidR="00114F14" w:rsidRDefault="00114F14" w:rsidP="00E261F3">
                                  <w:pPr>
                                    <w:jc w:val="right"/>
                                    <w:rPr>
                                      <w:sz w:val="20"/>
                                      <w:szCs w:val="20"/>
                                    </w:rPr>
                                  </w:pPr>
                                  <w:r>
                                    <w:rPr>
                                      <w:sz w:val="20"/>
                                      <w:szCs w:val="20"/>
                                    </w:rPr>
                                    <w:t>3.000</w:t>
                                  </w:r>
                                </w:p>
                              </w:tc>
                            </w:tr>
                            <w:tr w:rsidR="00114F14" w:rsidRPr="008D72F0" w14:paraId="1672B918" w14:textId="77777777" w:rsidTr="00B44A1A">
                              <w:trPr>
                                <w:trHeight w:val="357"/>
                              </w:trPr>
                              <w:tc>
                                <w:tcPr>
                                  <w:tcW w:w="1710" w:type="dxa"/>
                                  <w:shd w:val="clear" w:color="auto" w:fill="auto"/>
                                </w:tcPr>
                                <w:p w14:paraId="4D3C4A01" w14:textId="77777777" w:rsidR="00114F14" w:rsidRPr="008D72F0" w:rsidRDefault="00114F14" w:rsidP="00447C8A">
                                  <w:pPr>
                                    <w:jc w:val="right"/>
                                    <w:rPr>
                                      <w:sz w:val="16"/>
                                      <w:szCs w:val="16"/>
                                    </w:rPr>
                                  </w:pPr>
                                  <w:r w:rsidRPr="008D72F0">
                                    <w:rPr>
                                      <w:sz w:val="16"/>
                                      <w:szCs w:val="16"/>
                                    </w:rPr>
                                    <w:t>Personal Services</w:t>
                                  </w:r>
                                </w:p>
                              </w:tc>
                              <w:tc>
                                <w:tcPr>
                                  <w:tcW w:w="1350" w:type="dxa"/>
                                  <w:shd w:val="clear" w:color="auto" w:fill="auto"/>
                                </w:tcPr>
                                <w:p w14:paraId="1CEFDFE2" w14:textId="5E4968C3" w:rsidR="00114F14" w:rsidRPr="008D72F0" w:rsidRDefault="00114F14" w:rsidP="001E1599">
                                  <w:pPr>
                                    <w:jc w:val="right"/>
                                    <w:rPr>
                                      <w:sz w:val="20"/>
                                      <w:szCs w:val="20"/>
                                    </w:rPr>
                                  </w:pPr>
                                  <w:r>
                                    <w:rPr>
                                      <w:sz w:val="20"/>
                                      <w:szCs w:val="20"/>
                                    </w:rPr>
                                    <w:t>$280,635</w:t>
                                  </w:r>
                                </w:p>
                              </w:tc>
                              <w:tc>
                                <w:tcPr>
                                  <w:tcW w:w="1350" w:type="dxa"/>
                                </w:tcPr>
                                <w:p w14:paraId="396C9A93" w14:textId="5C1C64EB" w:rsidR="00114F14" w:rsidRPr="008D72F0" w:rsidRDefault="00114F14" w:rsidP="001E1599">
                                  <w:pPr>
                                    <w:jc w:val="right"/>
                                    <w:rPr>
                                      <w:sz w:val="20"/>
                                      <w:szCs w:val="20"/>
                                    </w:rPr>
                                  </w:pPr>
                                  <w:r>
                                    <w:rPr>
                                      <w:sz w:val="20"/>
                                      <w:szCs w:val="20"/>
                                    </w:rPr>
                                    <w:t>$283,342</w:t>
                                  </w:r>
                                </w:p>
                              </w:tc>
                            </w:tr>
                            <w:tr w:rsidR="00114F14" w:rsidRPr="008D72F0" w14:paraId="748B1A88" w14:textId="77777777" w:rsidTr="00B44A1A">
                              <w:trPr>
                                <w:trHeight w:val="315"/>
                              </w:trPr>
                              <w:tc>
                                <w:tcPr>
                                  <w:tcW w:w="1710" w:type="dxa"/>
                                  <w:shd w:val="clear" w:color="auto" w:fill="auto"/>
                                </w:tcPr>
                                <w:p w14:paraId="4A339054" w14:textId="77777777" w:rsidR="00114F14" w:rsidRPr="008D72F0" w:rsidRDefault="00114F14" w:rsidP="00204E58">
                                  <w:pPr>
                                    <w:jc w:val="right"/>
                                    <w:rPr>
                                      <w:sz w:val="16"/>
                                      <w:szCs w:val="16"/>
                                    </w:rPr>
                                  </w:pPr>
                                  <w:r>
                                    <w:rPr>
                                      <w:sz w:val="16"/>
                                      <w:szCs w:val="16"/>
                                    </w:rPr>
                                    <w:t>All Other</w:t>
                                  </w:r>
                                </w:p>
                              </w:tc>
                              <w:tc>
                                <w:tcPr>
                                  <w:tcW w:w="1350" w:type="dxa"/>
                                  <w:shd w:val="clear" w:color="auto" w:fill="auto"/>
                                </w:tcPr>
                                <w:p w14:paraId="3734D2B7" w14:textId="77777777" w:rsidR="00114F14" w:rsidRPr="00FE76F6" w:rsidRDefault="00114F14" w:rsidP="00124AD2">
                                  <w:pPr>
                                    <w:jc w:val="right"/>
                                    <w:rPr>
                                      <w:sz w:val="20"/>
                                      <w:szCs w:val="20"/>
                                      <w:u w:val="single"/>
                                    </w:rPr>
                                  </w:pPr>
                                  <w:r w:rsidRPr="00FE76F6">
                                    <w:rPr>
                                      <w:sz w:val="20"/>
                                      <w:szCs w:val="20"/>
                                      <w:u w:val="single"/>
                                    </w:rPr>
                                    <w:t>$</w:t>
                                  </w:r>
                                  <w:r>
                                    <w:rPr>
                                      <w:sz w:val="20"/>
                                      <w:szCs w:val="20"/>
                                      <w:u w:val="single"/>
                                    </w:rPr>
                                    <w:t>5,962,512</w:t>
                                  </w:r>
                                </w:p>
                              </w:tc>
                              <w:tc>
                                <w:tcPr>
                                  <w:tcW w:w="1350" w:type="dxa"/>
                                </w:tcPr>
                                <w:p w14:paraId="0084750D" w14:textId="77777777" w:rsidR="00114F14" w:rsidRPr="00FE76F6" w:rsidRDefault="00114F14" w:rsidP="00124AD2">
                                  <w:pPr>
                                    <w:jc w:val="right"/>
                                    <w:rPr>
                                      <w:sz w:val="20"/>
                                      <w:szCs w:val="20"/>
                                      <w:u w:val="single"/>
                                    </w:rPr>
                                  </w:pPr>
                                  <w:r>
                                    <w:rPr>
                                      <w:sz w:val="20"/>
                                      <w:szCs w:val="20"/>
                                      <w:u w:val="single"/>
                                    </w:rPr>
                                    <w:t>$5,962,512</w:t>
                                  </w:r>
                                </w:p>
                              </w:tc>
                            </w:tr>
                            <w:tr w:rsidR="00114F14" w:rsidRPr="008D72F0" w14:paraId="6F08C406" w14:textId="77777777" w:rsidTr="00B44A1A">
                              <w:trPr>
                                <w:trHeight w:val="303"/>
                              </w:trPr>
                              <w:tc>
                                <w:tcPr>
                                  <w:tcW w:w="1710" w:type="dxa"/>
                                  <w:shd w:val="clear" w:color="auto" w:fill="auto"/>
                                </w:tcPr>
                                <w:p w14:paraId="1785D70F" w14:textId="77777777" w:rsidR="00114F14" w:rsidRPr="008D72F0" w:rsidRDefault="00114F14" w:rsidP="00204E58">
                                  <w:pPr>
                                    <w:rPr>
                                      <w:sz w:val="16"/>
                                      <w:szCs w:val="16"/>
                                      <w:u w:val="single"/>
                                    </w:rPr>
                                  </w:pPr>
                                  <w:r>
                                    <w:rPr>
                                      <w:sz w:val="16"/>
                                      <w:szCs w:val="16"/>
                                      <w:u w:val="single"/>
                                    </w:rPr>
                                    <w:t>General Fund Total</w:t>
                                  </w:r>
                                </w:p>
                              </w:tc>
                              <w:tc>
                                <w:tcPr>
                                  <w:tcW w:w="1350" w:type="dxa"/>
                                  <w:shd w:val="clear" w:color="auto" w:fill="auto"/>
                                </w:tcPr>
                                <w:p w14:paraId="04981F03" w14:textId="6C717279" w:rsidR="00114F14" w:rsidRPr="008D72F0" w:rsidRDefault="00114F14" w:rsidP="001E1599">
                                  <w:pPr>
                                    <w:jc w:val="right"/>
                                    <w:rPr>
                                      <w:sz w:val="20"/>
                                      <w:szCs w:val="20"/>
                                    </w:rPr>
                                  </w:pPr>
                                  <w:r>
                                    <w:rPr>
                                      <w:sz w:val="20"/>
                                      <w:szCs w:val="20"/>
                                    </w:rPr>
                                    <w:t>$6,243,147</w:t>
                                  </w:r>
                                </w:p>
                              </w:tc>
                              <w:tc>
                                <w:tcPr>
                                  <w:tcW w:w="1350" w:type="dxa"/>
                                </w:tcPr>
                                <w:p w14:paraId="5AEA7148" w14:textId="011B9F56" w:rsidR="00114F14" w:rsidRPr="008D72F0" w:rsidRDefault="00114F14" w:rsidP="001E1599">
                                  <w:pPr>
                                    <w:jc w:val="right"/>
                                    <w:rPr>
                                      <w:sz w:val="20"/>
                                      <w:szCs w:val="20"/>
                                    </w:rPr>
                                  </w:pPr>
                                  <w:r>
                                    <w:rPr>
                                      <w:sz w:val="20"/>
                                      <w:szCs w:val="20"/>
                                    </w:rPr>
                                    <w:t>$6,245,854</w:t>
                                  </w:r>
                                </w:p>
                              </w:tc>
                            </w:tr>
                            <w:tr w:rsidR="00114F14" w:rsidRPr="008D72F0" w14:paraId="6099179B" w14:textId="77777777" w:rsidTr="00B44A1A">
                              <w:trPr>
                                <w:trHeight w:val="180"/>
                              </w:trPr>
                              <w:tc>
                                <w:tcPr>
                                  <w:tcW w:w="1710" w:type="dxa"/>
                                  <w:shd w:val="clear" w:color="auto" w:fill="auto"/>
                                </w:tcPr>
                                <w:p w14:paraId="3E551776" w14:textId="77777777" w:rsidR="00114F14" w:rsidRPr="008D72F0" w:rsidRDefault="00114F14" w:rsidP="00204E58">
                                  <w:pPr>
                                    <w:jc w:val="right"/>
                                    <w:rPr>
                                      <w:sz w:val="16"/>
                                      <w:szCs w:val="16"/>
                                    </w:rPr>
                                  </w:pPr>
                                  <w:r>
                                    <w:rPr>
                                      <w:sz w:val="16"/>
                                      <w:szCs w:val="16"/>
                                    </w:rPr>
                                    <w:t>Federal Expenditures Fund-</w:t>
                                  </w:r>
                                  <w:r w:rsidRPr="008D72F0">
                                    <w:rPr>
                                      <w:sz w:val="16"/>
                                      <w:szCs w:val="16"/>
                                    </w:rPr>
                                    <w:t>Position Count</w:t>
                                  </w:r>
                                </w:p>
                              </w:tc>
                              <w:tc>
                                <w:tcPr>
                                  <w:tcW w:w="1350" w:type="dxa"/>
                                  <w:shd w:val="clear" w:color="auto" w:fill="auto"/>
                                  <w:vAlign w:val="center"/>
                                </w:tcPr>
                                <w:p w14:paraId="6171D851" w14:textId="77777777" w:rsidR="00114F14" w:rsidRPr="008D72F0" w:rsidRDefault="00114F14" w:rsidP="00E261F3">
                                  <w:pPr>
                                    <w:jc w:val="right"/>
                                    <w:rPr>
                                      <w:sz w:val="20"/>
                                      <w:szCs w:val="20"/>
                                    </w:rPr>
                                  </w:pPr>
                                  <w:r>
                                    <w:rPr>
                                      <w:sz w:val="20"/>
                                      <w:szCs w:val="20"/>
                                    </w:rPr>
                                    <w:t>2.000</w:t>
                                  </w:r>
                                </w:p>
                              </w:tc>
                              <w:tc>
                                <w:tcPr>
                                  <w:tcW w:w="1350" w:type="dxa"/>
                                  <w:vAlign w:val="center"/>
                                </w:tcPr>
                                <w:p w14:paraId="67847C15" w14:textId="77777777" w:rsidR="00114F14" w:rsidRPr="008D72F0" w:rsidRDefault="00114F14" w:rsidP="00E261F3">
                                  <w:pPr>
                                    <w:jc w:val="right"/>
                                    <w:rPr>
                                      <w:sz w:val="20"/>
                                      <w:szCs w:val="20"/>
                                    </w:rPr>
                                  </w:pPr>
                                  <w:r>
                                    <w:rPr>
                                      <w:sz w:val="20"/>
                                      <w:szCs w:val="20"/>
                                    </w:rPr>
                                    <w:t>2.000</w:t>
                                  </w:r>
                                </w:p>
                              </w:tc>
                            </w:tr>
                            <w:tr w:rsidR="00114F14" w:rsidRPr="008D72F0" w14:paraId="2DAF1D51" w14:textId="77777777" w:rsidTr="00B44A1A">
                              <w:trPr>
                                <w:trHeight w:val="315"/>
                              </w:trPr>
                              <w:tc>
                                <w:tcPr>
                                  <w:tcW w:w="1710" w:type="dxa"/>
                                  <w:shd w:val="clear" w:color="auto" w:fill="auto"/>
                                </w:tcPr>
                                <w:p w14:paraId="6C2B7750" w14:textId="77777777" w:rsidR="00114F14" w:rsidRPr="008B530B" w:rsidRDefault="00114F14" w:rsidP="00E261F3">
                                  <w:pPr>
                                    <w:jc w:val="right"/>
                                    <w:rPr>
                                      <w:sz w:val="16"/>
                                      <w:szCs w:val="16"/>
                                    </w:rPr>
                                  </w:pPr>
                                  <w:r>
                                    <w:rPr>
                                      <w:sz w:val="16"/>
                                      <w:szCs w:val="16"/>
                                    </w:rPr>
                                    <w:t>Personal Services</w:t>
                                  </w:r>
                                </w:p>
                              </w:tc>
                              <w:tc>
                                <w:tcPr>
                                  <w:tcW w:w="1350" w:type="dxa"/>
                                  <w:shd w:val="clear" w:color="auto" w:fill="auto"/>
                                </w:tcPr>
                                <w:p w14:paraId="5A8D2861" w14:textId="2EC6784C" w:rsidR="00114F14" w:rsidRPr="008D72F0" w:rsidRDefault="00114F14" w:rsidP="001E1599">
                                  <w:pPr>
                                    <w:jc w:val="right"/>
                                    <w:rPr>
                                      <w:sz w:val="20"/>
                                      <w:szCs w:val="20"/>
                                    </w:rPr>
                                  </w:pPr>
                                  <w:r>
                                    <w:rPr>
                                      <w:sz w:val="20"/>
                                      <w:szCs w:val="20"/>
                                    </w:rPr>
                                    <w:t>$226,197</w:t>
                                  </w:r>
                                </w:p>
                              </w:tc>
                              <w:tc>
                                <w:tcPr>
                                  <w:tcW w:w="1350" w:type="dxa"/>
                                </w:tcPr>
                                <w:p w14:paraId="7452F5DD" w14:textId="5E6C4FA8" w:rsidR="00114F14" w:rsidRPr="008D72F0" w:rsidRDefault="00114F14" w:rsidP="001E1599">
                                  <w:pPr>
                                    <w:jc w:val="right"/>
                                    <w:rPr>
                                      <w:sz w:val="20"/>
                                      <w:szCs w:val="20"/>
                                    </w:rPr>
                                  </w:pPr>
                                  <w:r>
                                    <w:rPr>
                                      <w:sz w:val="20"/>
                                      <w:szCs w:val="20"/>
                                    </w:rPr>
                                    <w:t>$226,596</w:t>
                                  </w:r>
                                </w:p>
                              </w:tc>
                            </w:tr>
                            <w:tr w:rsidR="00114F14" w:rsidRPr="008D72F0" w14:paraId="0E788988" w14:textId="77777777" w:rsidTr="00B44A1A">
                              <w:trPr>
                                <w:trHeight w:val="315"/>
                              </w:trPr>
                              <w:tc>
                                <w:tcPr>
                                  <w:tcW w:w="1710" w:type="dxa"/>
                                  <w:shd w:val="clear" w:color="auto" w:fill="auto"/>
                                </w:tcPr>
                                <w:p w14:paraId="320473FC" w14:textId="77777777" w:rsidR="00114F14" w:rsidRPr="008B530B" w:rsidRDefault="00114F14" w:rsidP="00E261F3">
                                  <w:pPr>
                                    <w:jc w:val="right"/>
                                    <w:rPr>
                                      <w:sz w:val="16"/>
                                      <w:szCs w:val="16"/>
                                    </w:rPr>
                                  </w:pPr>
                                  <w:r>
                                    <w:rPr>
                                      <w:sz w:val="16"/>
                                      <w:szCs w:val="16"/>
                                    </w:rPr>
                                    <w:t>All Other</w:t>
                                  </w:r>
                                </w:p>
                              </w:tc>
                              <w:tc>
                                <w:tcPr>
                                  <w:tcW w:w="1350" w:type="dxa"/>
                                  <w:shd w:val="clear" w:color="auto" w:fill="auto"/>
                                </w:tcPr>
                                <w:p w14:paraId="6FE24FEE" w14:textId="77777777" w:rsidR="00114F14" w:rsidRPr="00FE76F6" w:rsidRDefault="00114F14" w:rsidP="00204E58">
                                  <w:pPr>
                                    <w:jc w:val="right"/>
                                    <w:rPr>
                                      <w:sz w:val="20"/>
                                      <w:szCs w:val="20"/>
                                      <w:u w:val="single"/>
                                    </w:rPr>
                                  </w:pPr>
                                  <w:r>
                                    <w:rPr>
                                      <w:sz w:val="20"/>
                                      <w:szCs w:val="20"/>
                                      <w:u w:val="single"/>
                                    </w:rPr>
                                    <w:t>$</w:t>
                                  </w:r>
                                  <w:r w:rsidRPr="00FE76F6">
                                    <w:rPr>
                                      <w:sz w:val="20"/>
                                      <w:szCs w:val="20"/>
                                      <w:u w:val="single"/>
                                    </w:rPr>
                                    <w:t>1,874,267</w:t>
                                  </w:r>
                                </w:p>
                              </w:tc>
                              <w:tc>
                                <w:tcPr>
                                  <w:tcW w:w="1350" w:type="dxa"/>
                                </w:tcPr>
                                <w:p w14:paraId="58213EF1" w14:textId="77777777" w:rsidR="00114F14" w:rsidRPr="00FE76F6" w:rsidRDefault="00114F14" w:rsidP="00204E58">
                                  <w:pPr>
                                    <w:jc w:val="right"/>
                                    <w:rPr>
                                      <w:sz w:val="20"/>
                                      <w:szCs w:val="20"/>
                                      <w:u w:val="single"/>
                                    </w:rPr>
                                  </w:pPr>
                                  <w:r w:rsidRPr="00FE76F6">
                                    <w:rPr>
                                      <w:sz w:val="20"/>
                                      <w:szCs w:val="20"/>
                                      <w:u w:val="single"/>
                                    </w:rPr>
                                    <w:t>$1,874,267</w:t>
                                  </w:r>
                                </w:p>
                              </w:tc>
                            </w:tr>
                            <w:tr w:rsidR="00114F14" w:rsidRPr="008D72F0" w14:paraId="5B6E3344" w14:textId="77777777" w:rsidTr="00B44A1A">
                              <w:trPr>
                                <w:trHeight w:val="315"/>
                              </w:trPr>
                              <w:tc>
                                <w:tcPr>
                                  <w:tcW w:w="1710" w:type="dxa"/>
                                  <w:shd w:val="clear" w:color="auto" w:fill="auto"/>
                                </w:tcPr>
                                <w:p w14:paraId="4140E20D" w14:textId="77777777" w:rsidR="00114F14" w:rsidRPr="008B530B" w:rsidRDefault="00114F14" w:rsidP="008B530B">
                                  <w:pPr>
                                    <w:rPr>
                                      <w:sz w:val="16"/>
                                      <w:szCs w:val="16"/>
                                      <w:u w:val="single"/>
                                    </w:rPr>
                                  </w:pPr>
                                  <w:r>
                                    <w:rPr>
                                      <w:sz w:val="16"/>
                                      <w:szCs w:val="16"/>
                                      <w:u w:val="single"/>
                                    </w:rPr>
                                    <w:t>Federal Expenditures Fund Total</w:t>
                                  </w:r>
                                </w:p>
                              </w:tc>
                              <w:tc>
                                <w:tcPr>
                                  <w:tcW w:w="1350" w:type="dxa"/>
                                  <w:shd w:val="clear" w:color="auto" w:fill="auto"/>
                                </w:tcPr>
                                <w:p w14:paraId="712CD6AD" w14:textId="781D8C98" w:rsidR="00114F14" w:rsidRPr="008D72F0" w:rsidRDefault="00114F14" w:rsidP="001E1599">
                                  <w:pPr>
                                    <w:jc w:val="right"/>
                                    <w:rPr>
                                      <w:sz w:val="20"/>
                                      <w:szCs w:val="20"/>
                                    </w:rPr>
                                  </w:pPr>
                                  <w:r>
                                    <w:rPr>
                                      <w:sz w:val="20"/>
                                      <w:szCs w:val="20"/>
                                    </w:rPr>
                                    <w:t>$2,100,464</w:t>
                                  </w:r>
                                </w:p>
                              </w:tc>
                              <w:tc>
                                <w:tcPr>
                                  <w:tcW w:w="1350" w:type="dxa"/>
                                </w:tcPr>
                                <w:p w14:paraId="60348F66" w14:textId="6C31FE99" w:rsidR="00114F14" w:rsidRPr="008D72F0" w:rsidRDefault="00114F14" w:rsidP="001E1599">
                                  <w:pPr>
                                    <w:jc w:val="right"/>
                                    <w:rPr>
                                      <w:sz w:val="20"/>
                                      <w:szCs w:val="20"/>
                                    </w:rPr>
                                  </w:pPr>
                                  <w:r>
                                    <w:rPr>
                                      <w:sz w:val="20"/>
                                      <w:szCs w:val="20"/>
                                    </w:rPr>
                                    <w:t>$2,100,863</w:t>
                                  </w:r>
                                </w:p>
                              </w:tc>
                            </w:tr>
                          </w:tbl>
                          <w:p w14:paraId="2DB1912B" w14:textId="77777777" w:rsidR="00114F14" w:rsidRPr="008B530B" w:rsidRDefault="00114F14" w:rsidP="00AA1304">
                            <w:pPr>
                              <w:jc w:val="right"/>
                              <w:rPr>
                                <w:b/>
                              </w:rPr>
                            </w:pPr>
                          </w:p>
                        </w:txbxContent>
                      </v:textbox>
                    </v:shape>
                  </w:pict>
                </mc:Fallback>
              </mc:AlternateContent>
            </w:r>
          </w:p>
          <w:p w14:paraId="04A6ADCC" w14:textId="77777777" w:rsidR="00114F14" w:rsidRDefault="00114F14" w:rsidP="004A104C">
            <w:pPr>
              <w:pStyle w:val="ListBullet"/>
              <w:numPr>
                <w:ilvl w:val="0"/>
                <w:numId w:val="0"/>
              </w:numPr>
              <w:ind w:left="280"/>
            </w:pPr>
          </w:p>
          <w:p w14:paraId="2F1D41BE" w14:textId="77777777" w:rsidR="00114F14" w:rsidRDefault="00114F14" w:rsidP="004A104C">
            <w:pPr>
              <w:pStyle w:val="ListBullet"/>
              <w:numPr>
                <w:ilvl w:val="0"/>
                <w:numId w:val="0"/>
              </w:numPr>
              <w:ind w:left="280"/>
            </w:pPr>
          </w:p>
          <w:p w14:paraId="2D8ECE48" w14:textId="77777777" w:rsidR="00114F14" w:rsidRDefault="00114F14" w:rsidP="004A104C">
            <w:pPr>
              <w:pStyle w:val="ListBullet"/>
              <w:numPr>
                <w:ilvl w:val="0"/>
                <w:numId w:val="0"/>
              </w:numPr>
              <w:ind w:left="280"/>
            </w:pPr>
          </w:p>
          <w:p w14:paraId="5A0B9EFD" w14:textId="77777777" w:rsidR="00114F14" w:rsidRDefault="00114F14" w:rsidP="004A104C">
            <w:pPr>
              <w:pStyle w:val="ListBullet"/>
              <w:numPr>
                <w:ilvl w:val="0"/>
                <w:numId w:val="0"/>
              </w:numPr>
              <w:ind w:left="280"/>
            </w:pPr>
          </w:p>
          <w:p w14:paraId="3087C2F2" w14:textId="77777777" w:rsidR="00114F14" w:rsidRDefault="00114F14" w:rsidP="004A104C">
            <w:pPr>
              <w:pStyle w:val="ListBullet"/>
              <w:numPr>
                <w:ilvl w:val="0"/>
                <w:numId w:val="0"/>
              </w:numPr>
              <w:ind w:left="280"/>
            </w:pPr>
          </w:p>
          <w:p w14:paraId="5820C44B" w14:textId="77777777" w:rsidR="00114F14" w:rsidRDefault="00114F14" w:rsidP="004A104C">
            <w:pPr>
              <w:pStyle w:val="ListBullet"/>
              <w:numPr>
                <w:ilvl w:val="0"/>
                <w:numId w:val="0"/>
              </w:numPr>
              <w:ind w:left="280"/>
            </w:pPr>
          </w:p>
          <w:p w14:paraId="27D01853" w14:textId="77777777" w:rsidR="00114F14" w:rsidRDefault="00114F14" w:rsidP="004A104C">
            <w:pPr>
              <w:pStyle w:val="ListBullet"/>
              <w:numPr>
                <w:ilvl w:val="0"/>
                <w:numId w:val="0"/>
              </w:numPr>
              <w:ind w:left="280"/>
            </w:pPr>
          </w:p>
          <w:p w14:paraId="7F33CBE0" w14:textId="77777777" w:rsidR="00114F14" w:rsidRDefault="00114F14" w:rsidP="004A104C">
            <w:pPr>
              <w:pStyle w:val="ListBullet"/>
              <w:numPr>
                <w:ilvl w:val="0"/>
                <w:numId w:val="0"/>
              </w:numPr>
              <w:ind w:left="280"/>
            </w:pPr>
          </w:p>
          <w:p w14:paraId="74962119" w14:textId="77777777" w:rsidR="00114F14" w:rsidRDefault="00114F14" w:rsidP="004A104C">
            <w:pPr>
              <w:pStyle w:val="ListBullet"/>
              <w:numPr>
                <w:ilvl w:val="0"/>
                <w:numId w:val="0"/>
              </w:numPr>
              <w:ind w:left="280"/>
            </w:pPr>
          </w:p>
          <w:p w14:paraId="6A7F4858" w14:textId="77777777" w:rsidR="00114F14" w:rsidRDefault="00114F14" w:rsidP="004A104C">
            <w:pPr>
              <w:pStyle w:val="ListBullet"/>
              <w:numPr>
                <w:ilvl w:val="0"/>
                <w:numId w:val="0"/>
              </w:numPr>
              <w:ind w:left="280"/>
            </w:pPr>
          </w:p>
          <w:p w14:paraId="1FA13D47" w14:textId="3AA03FC3" w:rsidR="00114F14" w:rsidRDefault="00114F14" w:rsidP="004A104C">
            <w:pPr>
              <w:pStyle w:val="ListBullet"/>
              <w:numPr>
                <w:ilvl w:val="0"/>
                <w:numId w:val="0"/>
              </w:numPr>
              <w:ind w:left="280"/>
            </w:pPr>
          </w:p>
          <w:p w14:paraId="30BAE379" w14:textId="0CB56550" w:rsidR="00114F14" w:rsidRDefault="00114F14" w:rsidP="004A104C">
            <w:pPr>
              <w:pStyle w:val="ListBullet"/>
              <w:numPr>
                <w:ilvl w:val="0"/>
                <w:numId w:val="0"/>
              </w:numPr>
              <w:ind w:left="280"/>
            </w:pPr>
          </w:p>
          <w:p w14:paraId="4F0BE6FC" w14:textId="53AD6507" w:rsidR="00114F14" w:rsidRDefault="00114F14" w:rsidP="004A104C">
            <w:pPr>
              <w:pStyle w:val="ListBullet"/>
            </w:pPr>
            <w:r>
              <w:t>Provides General Fund appropriations to increase adult education subsidy and provide grants for innovative practices of $300,000 in FY 20 and $600,000 in FY 21.</w:t>
            </w:r>
          </w:p>
          <w:p w14:paraId="31F9C1A5" w14:textId="0B208344" w:rsidR="00114F14" w:rsidRDefault="00114F14" w:rsidP="004A104C">
            <w:pPr>
              <w:pStyle w:val="ListBullet"/>
              <w:numPr>
                <w:ilvl w:val="0"/>
                <w:numId w:val="0"/>
              </w:numPr>
              <w:ind w:left="460"/>
            </w:pPr>
          </w:p>
          <w:p w14:paraId="79587063" w14:textId="77777777" w:rsidR="00114F14" w:rsidRDefault="00114F14" w:rsidP="004A104C">
            <w:pPr>
              <w:pStyle w:val="ListBullet"/>
              <w:numPr>
                <w:ilvl w:val="0"/>
                <w:numId w:val="0"/>
              </w:numPr>
              <w:ind w:left="460"/>
            </w:pPr>
          </w:p>
          <w:p w14:paraId="54A0C966" w14:textId="77777777" w:rsidR="00114F14" w:rsidRPr="00E2141C" w:rsidRDefault="00114F14" w:rsidP="004A104C">
            <w:pPr>
              <w:rPr>
                <w:sz w:val="22"/>
                <w:szCs w:val="22"/>
              </w:rPr>
            </w:pPr>
            <w:r w:rsidRPr="00E2141C">
              <w:rPr>
                <w:sz w:val="22"/>
                <w:szCs w:val="22"/>
                <w:u w:val="single"/>
              </w:rPr>
              <w:t>Charter School Program</w:t>
            </w:r>
          </w:p>
          <w:p w14:paraId="375B2DE4" w14:textId="77777777" w:rsidR="00114F14" w:rsidRPr="00E2141C" w:rsidRDefault="00114F14" w:rsidP="004A104C">
            <w:pPr>
              <w:rPr>
                <w:sz w:val="22"/>
                <w:szCs w:val="22"/>
              </w:rPr>
            </w:pPr>
          </w:p>
          <w:p w14:paraId="3FFC4384" w14:textId="1E76B7D3" w:rsidR="00114F14" w:rsidRPr="008C0074" w:rsidRDefault="00114F14" w:rsidP="004A104C">
            <w:pPr>
              <w:pStyle w:val="ListBullet"/>
            </w:pPr>
            <w:r w:rsidRPr="008C0074">
              <w:t>Provides Federal Expenditures Fund appropriations in the budget for the Charter School Program of $500 in FY 20 and in FY 21.</w:t>
            </w:r>
          </w:p>
          <w:p w14:paraId="299556C9" w14:textId="77777777" w:rsidR="00114F14" w:rsidRDefault="00114F14" w:rsidP="004A104C">
            <w:pPr>
              <w:pStyle w:val="ListBullet"/>
              <w:numPr>
                <w:ilvl w:val="0"/>
                <w:numId w:val="0"/>
              </w:numPr>
              <w:ind w:left="460"/>
            </w:pPr>
          </w:p>
          <w:p w14:paraId="4FBD8ECC" w14:textId="77777777" w:rsidR="00114F14" w:rsidRDefault="00114F14" w:rsidP="004A104C">
            <w:pPr>
              <w:pStyle w:val="ListBullet"/>
              <w:numPr>
                <w:ilvl w:val="0"/>
                <w:numId w:val="0"/>
              </w:numPr>
              <w:ind w:left="280"/>
            </w:pPr>
          </w:p>
          <w:p w14:paraId="689DF0EB" w14:textId="77777777" w:rsidR="00114F14" w:rsidRPr="00E2141C" w:rsidRDefault="00114F14" w:rsidP="004A104C">
            <w:pPr>
              <w:pStyle w:val="ListBullet"/>
              <w:numPr>
                <w:ilvl w:val="0"/>
                <w:numId w:val="0"/>
              </w:numPr>
              <w:rPr>
                <w:sz w:val="22"/>
                <w:szCs w:val="22"/>
                <w:u w:val="single"/>
              </w:rPr>
            </w:pPr>
            <w:r w:rsidRPr="00E2141C">
              <w:rPr>
                <w:sz w:val="22"/>
                <w:szCs w:val="22"/>
                <w:u w:val="single"/>
              </w:rPr>
              <w:t>Child Development Services</w:t>
            </w:r>
          </w:p>
          <w:p w14:paraId="0E304DCD" w14:textId="77777777" w:rsidR="00114F14" w:rsidRPr="00E2141C" w:rsidRDefault="00114F14" w:rsidP="004A104C">
            <w:pPr>
              <w:pStyle w:val="ListBullet"/>
              <w:numPr>
                <w:ilvl w:val="0"/>
                <w:numId w:val="0"/>
              </w:numPr>
              <w:rPr>
                <w:sz w:val="22"/>
                <w:szCs w:val="22"/>
                <w:u w:val="single"/>
              </w:rPr>
            </w:pPr>
          </w:p>
          <w:p w14:paraId="6E25708F" w14:textId="26F6E744" w:rsidR="00114F14" w:rsidRDefault="00114F14" w:rsidP="004A104C">
            <w:pPr>
              <w:pStyle w:val="ListBullet"/>
            </w:pPr>
            <w:r w:rsidRPr="008C0074">
              <w:t>Provides General Fund and Federal Fund appropriations in the budget for the Child Development Services in FY 20 and in FY 21.</w:t>
            </w:r>
          </w:p>
          <w:p w14:paraId="6912DF70" w14:textId="1412AD52" w:rsidR="00860351" w:rsidRDefault="00860351" w:rsidP="00860351">
            <w:pPr>
              <w:pStyle w:val="ListBullet"/>
              <w:numPr>
                <w:ilvl w:val="0"/>
                <w:numId w:val="0"/>
              </w:numPr>
              <w:ind w:left="460" w:hanging="180"/>
            </w:pPr>
          </w:p>
          <w:p w14:paraId="2B8FF044" w14:textId="4C013380" w:rsidR="00860351" w:rsidRDefault="00860351" w:rsidP="00860351">
            <w:pPr>
              <w:pStyle w:val="ListBullet"/>
              <w:numPr>
                <w:ilvl w:val="0"/>
                <w:numId w:val="0"/>
              </w:numPr>
              <w:ind w:left="460" w:hanging="180"/>
            </w:pPr>
          </w:p>
          <w:p w14:paraId="65218453" w14:textId="51DE414A" w:rsidR="00860351" w:rsidRDefault="00860351" w:rsidP="00860351">
            <w:pPr>
              <w:pStyle w:val="ListBullet"/>
              <w:numPr>
                <w:ilvl w:val="0"/>
                <w:numId w:val="0"/>
              </w:numPr>
              <w:ind w:left="460" w:hanging="180"/>
            </w:pPr>
          </w:p>
          <w:p w14:paraId="567B8541" w14:textId="5BB3F27E" w:rsidR="00860351" w:rsidRDefault="00860351" w:rsidP="00860351">
            <w:pPr>
              <w:pStyle w:val="ListBullet"/>
              <w:numPr>
                <w:ilvl w:val="0"/>
                <w:numId w:val="0"/>
              </w:numPr>
              <w:ind w:left="460" w:hanging="180"/>
            </w:pPr>
          </w:p>
          <w:p w14:paraId="216AAA7C" w14:textId="141B214E" w:rsidR="00860351" w:rsidRDefault="00860351" w:rsidP="00860351">
            <w:pPr>
              <w:pStyle w:val="ListBullet"/>
              <w:numPr>
                <w:ilvl w:val="0"/>
                <w:numId w:val="0"/>
              </w:numPr>
              <w:ind w:left="460" w:hanging="180"/>
            </w:pPr>
          </w:p>
          <w:p w14:paraId="6FD96109" w14:textId="016C7CDA" w:rsidR="00860351" w:rsidRDefault="00860351" w:rsidP="00860351">
            <w:pPr>
              <w:pStyle w:val="ListBullet"/>
              <w:numPr>
                <w:ilvl w:val="0"/>
                <w:numId w:val="0"/>
              </w:numPr>
              <w:ind w:left="460" w:hanging="180"/>
            </w:pPr>
          </w:p>
          <w:p w14:paraId="39FE5DEF" w14:textId="6E667024" w:rsidR="00860351" w:rsidRDefault="00860351" w:rsidP="00860351">
            <w:pPr>
              <w:pStyle w:val="ListBullet"/>
              <w:numPr>
                <w:ilvl w:val="0"/>
                <w:numId w:val="0"/>
              </w:numPr>
              <w:ind w:left="460" w:hanging="180"/>
            </w:pPr>
          </w:p>
          <w:p w14:paraId="6AE903F8" w14:textId="77777777" w:rsidR="00860351" w:rsidRDefault="00860351" w:rsidP="00860351">
            <w:pPr>
              <w:pStyle w:val="ListBullet"/>
              <w:numPr>
                <w:ilvl w:val="0"/>
                <w:numId w:val="0"/>
              </w:numPr>
              <w:ind w:left="460" w:hanging="180"/>
            </w:pPr>
          </w:p>
          <w:p w14:paraId="2D5C1BE8" w14:textId="77777777" w:rsidR="00114F14" w:rsidRDefault="00114F14" w:rsidP="004A104C">
            <w:pPr>
              <w:pStyle w:val="ListBullet"/>
              <w:numPr>
                <w:ilvl w:val="0"/>
                <w:numId w:val="0"/>
              </w:numPr>
              <w:ind w:left="460"/>
            </w:pPr>
            <w:r w:rsidRPr="000C3CBD">
              <w:rPr>
                <w:b/>
                <w:noProof/>
                <w:sz w:val="22"/>
                <w:szCs w:val="22"/>
                <w:u w:val="single"/>
                <w:lang w:val="en-US"/>
              </w:rPr>
              <mc:AlternateContent>
                <mc:Choice Requires="wps">
                  <w:drawing>
                    <wp:anchor distT="0" distB="0" distL="114300" distR="114300" simplePos="0" relativeHeight="251669504" behindDoc="0" locked="0" layoutInCell="1" allowOverlap="1" wp14:anchorId="6A024E2B" wp14:editId="706E8B9D">
                      <wp:simplePos x="0" y="0"/>
                      <wp:positionH relativeFrom="column">
                        <wp:posOffset>717550</wp:posOffset>
                      </wp:positionH>
                      <wp:positionV relativeFrom="paragraph">
                        <wp:posOffset>51435</wp:posOffset>
                      </wp:positionV>
                      <wp:extent cx="2969895" cy="1897380"/>
                      <wp:effectExtent l="0" t="0" r="1905" b="7620"/>
                      <wp:wrapNone/>
                      <wp:docPr id="2" name="Text Box 1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89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1E0" w:firstRow="1" w:lastRow="1" w:firstColumn="1" w:lastColumn="1" w:noHBand="0" w:noVBand="0"/>
                                  </w:tblPr>
                                  <w:tblGrid>
                                    <w:gridCol w:w="1537"/>
                                    <w:gridCol w:w="1372"/>
                                    <w:gridCol w:w="1372"/>
                                  </w:tblGrid>
                                  <w:tr w:rsidR="00114F14" w:rsidRPr="008D72F0" w14:paraId="68E8FA45" w14:textId="77777777" w:rsidTr="00757B6B">
                                    <w:trPr>
                                      <w:trHeight w:val="357"/>
                                    </w:trPr>
                                    <w:tc>
                                      <w:tcPr>
                                        <w:tcW w:w="1666" w:type="dxa"/>
                                        <w:shd w:val="clear" w:color="auto" w:fill="auto"/>
                                      </w:tcPr>
                                      <w:p w14:paraId="5076A620" w14:textId="77777777" w:rsidR="00114F14" w:rsidRPr="006B64F5" w:rsidRDefault="00114F14" w:rsidP="00204E58">
                                        <w:pPr>
                                          <w:jc w:val="right"/>
                                          <w:rPr>
                                            <w:b/>
                                            <w:sz w:val="20"/>
                                            <w:szCs w:val="20"/>
                                            <w:u w:val="single"/>
                                          </w:rPr>
                                        </w:pPr>
                                      </w:p>
                                    </w:tc>
                                    <w:tc>
                                      <w:tcPr>
                                        <w:tcW w:w="1415" w:type="dxa"/>
                                        <w:shd w:val="clear" w:color="auto" w:fill="auto"/>
                                      </w:tcPr>
                                      <w:p w14:paraId="72CFF389" w14:textId="59245081" w:rsidR="00114F14" w:rsidRPr="008D72F0" w:rsidRDefault="00114F14" w:rsidP="00757B6B">
                                        <w:pPr>
                                          <w:jc w:val="right"/>
                                          <w:rPr>
                                            <w:sz w:val="20"/>
                                            <w:szCs w:val="20"/>
                                            <w:u w:val="single"/>
                                          </w:rPr>
                                        </w:pPr>
                                        <w:r w:rsidRPr="008D72F0">
                                          <w:rPr>
                                            <w:sz w:val="20"/>
                                            <w:szCs w:val="20"/>
                                            <w:u w:val="single"/>
                                          </w:rPr>
                                          <w:t xml:space="preserve">FY </w:t>
                                        </w:r>
                                        <w:r>
                                          <w:rPr>
                                            <w:sz w:val="20"/>
                                            <w:szCs w:val="20"/>
                                            <w:u w:val="single"/>
                                          </w:rPr>
                                          <w:t>20</w:t>
                                        </w:r>
                                      </w:p>
                                    </w:tc>
                                    <w:tc>
                                      <w:tcPr>
                                        <w:tcW w:w="1415" w:type="dxa"/>
                                      </w:tcPr>
                                      <w:p w14:paraId="2EBECDC6" w14:textId="04295797" w:rsidR="00114F14" w:rsidRPr="008D72F0" w:rsidRDefault="00114F14" w:rsidP="008B530B">
                                        <w:pPr>
                                          <w:jc w:val="right"/>
                                          <w:rPr>
                                            <w:sz w:val="20"/>
                                            <w:szCs w:val="20"/>
                                            <w:u w:val="single"/>
                                          </w:rPr>
                                        </w:pPr>
                                        <w:r>
                                          <w:rPr>
                                            <w:sz w:val="20"/>
                                            <w:szCs w:val="20"/>
                                            <w:u w:val="single"/>
                                          </w:rPr>
                                          <w:t>FY 21</w:t>
                                        </w:r>
                                      </w:p>
                                    </w:tc>
                                  </w:tr>
                                  <w:tr w:rsidR="00114F14" w:rsidRPr="008D72F0" w14:paraId="2A7B1664" w14:textId="77777777" w:rsidTr="00757B6B">
                                    <w:trPr>
                                      <w:trHeight w:val="315"/>
                                    </w:trPr>
                                    <w:tc>
                                      <w:tcPr>
                                        <w:tcW w:w="1666" w:type="dxa"/>
                                        <w:shd w:val="clear" w:color="auto" w:fill="auto"/>
                                      </w:tcPr>
                                      <w:p w14:paraId="4CD624FF" w14:textId="77777777" w:rsidR="00114F14" w:rsidRPr="008E6261" w:rsidRDefault="00114F14" w:rsidP="00F012C3">
                                        <w:pPr>
                                          <w:jc w:val="right"/>
                                          <w:rPr>
                                            <w:sz w:val="16"/>
                                            <w:szCs w:val="16"/>
                                          </w:rPr>
                                        </w:pPr>
                                        <w:r>
                                          <w:rPr>
                                            <w:sz w:val="16"/>
                                            <w:szCs w:val="16"/>
                                          </w:rPr>
                                          <w:t>General Fund</w:t>
                                        </w:r>
                                      </w:p>
                                    </w:tc>
                                    <w:tc>
                                      <w:tcPr>
                                        <w:tcW w:w="1415" w:type="dxa"/>
                                        <w:shd w:val="clear" w:color="auto" w:fill="auto"/>
                                      </w:tcPr>
                                      <w:p w14:paraId="4E56351C" w14:textId="77777777" w:rsidR="00114F14" w:rsidRPr="008D72F0" w:rsidRDefault="00114F14" w:rsidP="00C90EC7">
                                        <w:pPr>
                                          <w:jc w:val="right"/>
                                          <w:rPr>
                                            <w:sz w:val="20"/>
                                            <w:szCs w:val="20"/>
                                          </w:rPr>
                                        </w:pPr>
                                      </w:p>
                                    </w:tc>
                                    <w:tc>
                                      <w:tcPr>
                                        <w:tcW w:w="1415" w:type="dxa"/>
                                      </w:tcPr>
                                      <w:p w14:paraId="5C405148" w14:textId="77777777" w:rsidR="00114F14" w:rsidRPr="008D72F0" w:rsidRDefault="00114F14" w:rsidP="00C90EC7">
                                        <w:pPr>
                                          <w:jc w:val="right"/>
                                          <w:rPr>
                                            <w:sz w:val="20"/>
                                            <w:szCs w:val="20"/>
                                          </w:rPr>
                                        </w:pPr>
                                      </w:p>
                                    </w:tc>
                                  </w:tr>
                                  <w:tr w:rsidR="00114F14" w:rsidRPr="008D72F0" w14:paraId="37405A73" w14:textId="77777777" w:rsidTr="00757B6B">
                                    <w:trPr>
                                      <w:trHeight w:val="303"/>
                                    </w:trPr>
                                    <w:tc>
                                      <w:tcPr>
                                        <w:tcW w:w="1666" w:type="dxa"/>
                                        <w:shd w:val="clear" w:color="auto" w:fill="auto"/>
                                      </w:tcPr>
                                      <w:p w14:paraId="4F16CEFF" w14:textId="77777777" w:rsidR="00114F14" w:rsidRPr="008E6261" w:rsidRDefault="00114F14" w:rsidP="00F012C3">
                                        <w:pPr>
                                          <w:jc w:val="right"/>
                                          <w:rPr>
                                            <w:sz w:val="16"/>
                                            <w:szCs w:val="16"/>
                                          </w:rPr>
                                        </w:pPr>
                                        <w:r w:rsidRPr="008E6261">
                                          <w:rPr>
                                            <w:sz w:val="16"/>
                                            <w:szCs w:val="16"/>
                                          </w:rPr>
                                          <w:t>All Other</w:t>
                                        </w:r>
                                      </w:p>
                                    </w:tc>
                                    <w:tc>
                                      <w:tcPr>
                                        <w:tcW w:w="1415" w:type="dxa"/>
                                        <w:shd w:val="clear" w:color="auto" w:fill="auto"/>
                                      </w:tcPr>
                                      <w:p w14:paraId="390FF038" w14:textId="114515B7" w:rsidR="00114F14" w:rsidRPr="00757B6B" w:rsidRDefault="00114F14" w:rsidP="00757B6B">
                                        <w:pPr>
                                          <w:jc w:val="right"/>
                                          <w:rPr>
                                            <w:sz w:val="20"/>
                                            <w:szCs w:val="20"/>
                                          </w:rPr>
                                        </w:pPr>
                                        <w:r w:rsidRPr="00757B6B">
                                          <w:rPr>
                                            <w:sz w:val="20"/>
                                            <w:szCs w:val="20"/>
                                          </w:rPr>
                                          <w:t>$</w:t>
                                        </w:r>
                                        <w:r>
                                          <w:rPr>
                                            <w:sz w:val="20"/>
                                            <w:szCs w:val="20"/>
                                          </w:rPr>
                                          <w:t>30</w:t>
                                        </w:r>
                                        <w:r w:rsidRPr="00757B6B">
                                          <w:rPr>
                                            <w:sz w:val="20"/>
                                            <w:szCs w:val="20"/>
                                          </w:rPr>
                                          <w:t>,</w:t>
                                        </w:r>
                                        <w:r>
                                          <w:rPr>
                                            <w:sz w:val="20"/>
                                            <w:szCs w:val="20"/>
                                          </w:rPr>
                                          <w:t>685,221</w:t>
                                        </w:r>
                                      </w:p>
                                    </w:tc>
                                    <w:tc>
                                      <w:tcPr>
                                        <w:tcW w:w="1415" w:type="dxa"/>
                                      </w:tcPr>
                                      <w:p w14:paraId="337F572E" w14:textId="3C3BF160" w:rsidR="00114F14" w:rsidRPr="00757B6B" w:rsidRDefault="00114F14" w:rsidP="00757B6B">
                                        <w:pPr>
                                          <w:jc w:val="right"/>
                                          <w:rPr>
                                            <w:sz w:val="20"/>
                                            <w:szCs w:val="20"/>
                                          </w:rPr>
                                        </w:pPr>
                                        <w:r w:rsidRPr="00757B6B">
                                          <w:rPr>
                                            <w:sz w:val="20"/>
                                            <w:szCs w:val="20"/>
                                          </w:rPr>
                                          <w:t>$</w:t>
                                        </w:r>
                                        <w:r>
                                          <w:rPr>
                                            <w:sz w:val="20"/>
                                            <w:szCs w:val="20"/>
                                          </w:rPr>
                                          <w:t>30,685,221</w:t>
                                        </w:r>
                                      </w:p>
                                    </w:tc>
                                  </w:tr>
                                  <w:tr w:rsidR="00114F14" w:rsidRPr="008D72F0" w14:paraId="1F8F3E3E" w14:textId="77777777" w:rsidTr="00757B6B">
                                    <w:trPr>
                                      <w:trHeight w:val="303"/>
                                    </w:trPr>
                                    <w:tc>
                                      <w:tcPr>
                                        <w:tcW w:w="1666" w:type="dxa"/>
                                        <w:shd w:val="clear" w:color="auto" w:fill="auto"/>
                                        <w:vAlign w:val="center"/>
                                      </w:tcPr>
                                      <w:p w14:paraId="3ADAC658" w14:textId="77777777" w:rsidR="00114F14" w:rsidRPr="00757B6B" w:rsidRDefault="00114F14" w:rsidP="00757B6B">
                                        <w:pPr>
                                          <w:jc w:val="right"/>
                                          <w:rPr>
                                            <w:sz w:val="16"/>
                                            <w:szCs w:val="16"/>
                                          </w:rPr>
                                        </w:pPr>
                                        <w:r w:rsidRPr="00757B6B">
                                          <w:rPr>
                                            <w:sz w:val="16"/>
                                            <w:szCs w:val="16"/>
                                          </w:rPr>
                                          <w:t>Federal Expenditures Fund-Position Count</w:t>
                                        </w:r>
                                      </w:p>
                                    </w:tc>
                                    <w:tc>
                                      <w:tcPr>
                                        <w:tcW w:w="1415" w:type="dxa"/>
                                        <w:shd w:val="clear" w:color="auto" w:fill="auto"/>
                                        <w:vAlign w:val="center"/>
                                      </w:tcPr>
                                      <w:p w14:paraId="75F7EC44" w14:textId="77777777" w:rsidR="00114F14" w:rsidRPr="008D72F0" w:rsidRDefault="00114F14" w:rsidP="00757B6B">
                                        <w:pPr>
                                          <w:jc w:val="right"/>
                                          <w:rPr>
                                            <w:sz w:val="20"/>
                                            <w:szCs w:val="20"/>
                                          </w:rPr>
                                        </w:pPr>
                                        <w:r>
                                          <w:rPr>
                                            <w:sz w:val="20"/>
                                            <w:szCs w:val="20"/>
                                          </w:rPr>
                                          <w:t>1.000</w:t>
                                        </w:r>
                                      </w:p>
                                    </w:tc>
                                    <w:tc>
                                      <w:tcPr>
                                        <w:tcW w:w="1415" w:type="dxa"/>
                                        <w:vAlign w:val="center"/>
                                      </w:tcPr>
                                      <w:p w14:paraId="432FE5CA" w14:textId="77777777" w:rsidR="00114F14" w:rsidRPr="008D72F0" w:rsidRDefault="00114F14" w:rsidP="00757B6B">
                                        <w:pPr>
                                          <w:jc w:val="right"/>
                                          <w:rPr>
                                            <w:sz w:val="20"/>
                                            <w:szCs w:val="20"/>
                                          </w:rPr>
                                        </w:pPr>
                                        <w:r>
                                          <w:rPr>
                                            <w:sz w:val="20"/>
                                            <w:szCs w:val="20"/>
                                          </w:rPr>
                                          <w:t>1.000</w:t>
                                        </w:r>
                                      </w:p>
                                    </w:tc>
                                  </w:tr>
                                  <w:tr w:rsidR="00114F14" w:rsidRPr="008D72F0" w14:paraId="5271D3AD" w14:textId="77777777" w:rsidTr="00757B6B">
                                    <w:trPr>
                                      <w:trHeight w:val="303"/>
                                    </w:trPr>
                                    <w:tc>
                                      <w:tcPr>
                                        <w:tcW w:w="1666" w:type="dxa"/>
                                        <w:shd w:val="clear" w:color="auto" w:fill="auto"/>
                                      </w:tcPr>
                                      <w:p w14:paraId="55538B6B" w14:textId="77777777" w:rsidR="00114F14" w:rsidRPr="008E6261" w:rsidRDefault="00114F14" w:rsidP="00170F8D">
                                        <w:pPr>
                                          <w:jc w:val="right"/>
                                          <w:rPr>
                                            <w:sz w:val="16"/>
                                            <w:szCs w:val="16"/>
                                          </w:rPr>
                                        </w:pPr>
                                        <w:r>
                                          <w:rPr>
                                            <w:sz w:val="16"/>
                                            <w:szCs w:val="16"/>
                                          </w:rPr>
                                          <w:t>Personal Services</w:t>
                                        </w:r>
                                      </w:p>
                                    </w:tc>
                                    <w:tc>
                                      <w:tcPr>
                                        <w:tcW w:w="1415" w:type="dxa"/>
                                        <w:shd w:val="clear" w:color="auto" w:fill="auto"/>
                                      </w:tcPr>
                                      <w:p w14:paraId="011858DF" w14:textId="3E7062E6" w:rsidR="00114F14" w:rsidRDefault="00114F14" w:rsidP="00F012C3">
                                        <w:pPr>
                                          <w:jc w:val="right"/>
                                          <w:rPr>
                                            <w:sz w:val="20"/>
                                            <w:szCs w:val="20"/>
                                          </w:rPr>
                                        </w:pPr>
                                        <w:r>
                                          <w:rPr>
                                            <w:sz w:val="20"/>
                                            <w:szCs w:val="20"/>
                                          </w:rPr>
                                          <w:t>$64,108</w:t>
                                        </w:r>
                                      </w:p>
                                    </w:tc>
                                    <w:tc>
                                      <w:tcPr>
                                        <w:tcW w:w="1415" w:type="dxa"/>
                                      </w:tcPr>
                                      <w:p w14:paraId="1E16240D" w14:textId="457FDDE3" w:rsidR="00114F14" w:rsidRDefault="00114F14" w:rsidP="00F012C3">
                                        <w:pPr>
                                          <w:jc w:val="right"/>
                                          <w:rPr>
                                            <w:sz w:val="20"/>
                                            <w:szCs w:val="20"/>
                                          </w:rPr>
                                        </w:pPr>
                                        <w:r>
                                          <w:rPr>
                                            <w:sz w:val="20"/>
                                            <w:szCs w:val="20"/>
                                          </w:rPr>
                                          <w:t>$67,321</w:t>
                                        </w:r>
                                      </w:p>
                                    </w:tc>
                                  </w:tr>
                                  <w:tr w:rsidR="00114F14" w:rsidRPr="008D72F0" w14:paraId="29B4C2F9" w14:textId="77777777" w:rsidTr="00757B6B">
                                    <w:trPr>
                                      <w:trHeight w:val="303"/>
                                    </w:trPr>
                                    <w:tc>
                                      <w:tcPr>
                                        <w:tcW w:w="1666" w:type="dxa"/>
                                        <w:shd w:val="clear" w:color="auto" w:fill="auto"/>
                                      </w:tcPr>
                                      <w:p w14:paraId="73D267BA" w14:textId="77777777" w:rsidR="00114F14" w:rsidRPr="008E6261" w:rsidRDefault="00114F14" w:rsidP="00170F8D">
                                        <w:pPr>
                                          <w:jc w:val="right"/>
                                          <w:rPr>
                                            <w:sz w:val="16"/>
                                            <w:szCs w:val="16"/>
                                          </w:rPr>
                                        </w:pPr>
                                        <w:r>
                                          <w:rPr>
                                            <w:sz w:val="16"/>
                                            <w:szCs w:val="16"/>
                                          </w:rPr>
                                          <w:t>All Other</w:t>
                                        </w:r>
                                      </w:p>
                                    </w:tc>
                                    <w:tc>
                                      <w:tcPr>
                                        <w:tcW w:w="1415" w:type="dxa"/>
                                        <w:shd w:val="clear" w:color="auto" w:fill="auto"/>
                                      </w:tcPr>
                                      <w:p w14:paraId="69E244DA" w14:textId="511B3D75" w:rsidR="00114F14" w:rsidRPr="00757B6B" w:rsidRDefault="00114F14" w:rsidP="00F012C3">
                                        <w:pPr>
                                          <w:jc w:val="right"/>
                                          <w:rPr>
                                            <w:sz w:val="20"/>
                                            <w:szCs w:val="20"/>
                                            <w:u w:val="single"/>
                                          </w:rPr>
                                        </w:pPr>
                                        <w:r w:rsidRPr="00757B6B">
                                          <w:rPr>
                                            <w:sz w:val="20"/>
                                            <w:szCs w:val="20"/>
                                            <w:u w:val="single"/>
                                          </w:rPr>
                                          <w:t>$</w:t>
                                        </w:r>
                                        <w:r>
                                          <w:rPr>
                                            <w:sz w:val="20"/>
                                            <w:szCs w:val="20"/>
                                            <w:u w:val="single"/>
                                          </w:rPr>
                                          <w:t>2,239,633</w:t>
                                        </w:r>
                                      </w:p>
                                    </w:tc>
                                    <w:tc>
                                      <w:tcPr>
                                        <w:tcW w:w="1415" w:type="dxa"/>
                                      </w:tcPr>
                                      <w:p w14:paraId="287849D2" w14:textId="77777777" w:rsidR="00114F14" w:rsidRPr="00757B6B" w:rsidRDefault="00114F14" w:rsidP="00F012C3">
                                        <w:pPr>
                                          <w:jc w:val="right"/>
                                          <w:rPr>
                                            <w:sz w:val="20"/>
                                            <w:szCs w:val="20"/>
                                            <w:u w:val="single"/>
                                          </w:rPr>
                                        </w:pPr>
                                        <w:r w:rsidRPr="00757B6B">
                                          <w:rPr>
                                            <w:sz w:val="20"/>
                                            <w:szCs w:val="20"/>
                                            <w:u w:val="single"/>
                                          </w:rPr>
                                          <w:t>$2,239,633</w:t>
                                        </w:r>
                                      </w:p>
                                    </w:tc>
                                  </w:tr>
                                  <w:tr w:rsidR="00114F14" w:rsidRPr="008D72F0" w14:paraId="0523E962" w14:textId="77777777" w:rsidTr="00757B6B">
                                    <w:trPr>
                                      <w:trHeight w:val="303"/>
                                    </w:trPr>
                                    <w:tc>
                                      <w:tcPr>
                                        <w:tcW w:w="1666" w:type="dxa"/>
                                        <w:shd w:val="clear" w:color="auto" w:fill="auto"/>
                                      </w:tcPr>
                                      <w:p w14:paraId="16A8A174" w14:textId="77777777" w:rsidR="00114F14" w:rsidRPr="008E6261" w:rsidRDefault="00114F14" w:rsidP="00F012C3">
                                        <w:pPr>
                                          <w:jc w:val="right"/>
                                          <w:rPr>
                                            <w:sz w:val="16"/>
                                            <w:szCs w:val="16"/>
                                          </w:rPr>
                                        </w:pPr>
                                        <w:r>
                                          <w:rPr>
                                            <w:sz w:val="16"/>
                                            <w:szCs w:val="16"/>
                                          </w:rPr>
                                          <w:t>Federal Expenditures Fund - Total</w:t>
                                        </w:r>
                                      </w:p>
                                    </w:tc>
                                    <w:tc>
                                      <w:tcPr>
                                        <w:tcW w:w="1415" w:type="dxa"/>
                                        <w:shd w:val="clear" w:color="auto" w:fill="auto"/>
                                      </w:tcPr>
                                      <w:p w14:paraId="5E468E32" w14:textId="4D1CF815" w:rsidR="00114F14" w:rsidRDefault="00114F14" w:rsidP="00757B6B">
                                        <w:pPr>
                                          <w:jc w:val="right"/>
                                          <w:rPr>
                                            <w:sz w:val="20"/>
                                            <w:szCs w:val="20"/>
                                          </w:rPr>
                                        </w:pPr>
                                        <w:r>
                                          <w:rPr>
                                            <w:sz w:val="20"/>
                                            <w:szCs w:val="20"/>
                                          </w:rPr>
                                          <w:t>$2,303,741</w:t>
                                        </w:r>
                                      </w:p>
                                    </w:tc>
                                    <w:tc>
                                      <w:tcPr>
                                        <w:tcW w:w="1415" w:type="dxa"/>
                                      </w:tcPr>
                                      <w:p w14:paraId="53C9F0B3" w14:textId="4DEE9247" w:rsidR="00114F14" w:rsidRDefault="00114F14" w:rsidP="00757B6B">
                                        <w:pPr>
                                          <w:jc w:val="right"/>
                                          <w:rPr>
                                            <w:sz w:val="20"/>
                                            <w:szCs w:val="20"/>
                                          </w:rPr>
                                        </w:pPr>
                                        <w:r>
                                          <w:rPr>
                                            <w:sz w:val="20"/>
                                            <w:szCs w:val="20"/>
                                          </w:rPr>
                                          <w:t>$2,306,954</w:t>
                                        </w:r>
                                      </w:p>
                                    </w:tc>
                                  </w:tr>
                                </w:tbl>
                                <w:p w14:paraId="4DBD0CB9" w14:textId="77777777" w:rsidR="00114F14" w:rsidRPr="008B530B" w:rsidRDefault="00114F14" w:rsidP="0080422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24E2B" id="Text Box 1887" o:spid="_x0000_s1027" type="#_x0000_t202" style="position:absolute;left:0;text-align:left;margin-left:56.5pt;margin-top:4.05pt;width:233.85pt;height:14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hgIAABM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" stroked="f">
                      <v:textbox>
                        <w:txbxContent>
                          <w:tbl>
                            <w:tblPr>
                              <w:tblW w:w="0" w:type="auto"/>
                              <w:tblInd w:w="108" w:type="dxa"/>
                              <w:tblLook w:val="01E0" w:firstRow="1" w:lastRow="1" w:firstColumn="1" w:lastColumn="1" w:noHBand="0" w:noVBand="0"/>
                            </w:tblPr>
                            <w:tblGrid>
                              <w:gridCol w:w="1537"/>
                              <w:gridCol w:w="1372"/>
                              <w:gridCol w:w="1372"/>
                            </w:tblGrid>
                            <w:tr w:rsidR="00114F14" w:rsidRPr="008D72F0" w14:paraId="68E8FA45" w14:textId="77777777" w:rsidTr="00757B6B">
                              <w:trPr>
                                <w:trHeight w:val="357"/>
                              </w:trPr>
                              <w:tc>
                                <w:tcPr>
                                  <w:tcW w:w="1666" w:type="dxa"/>
                                  <w:shd w:val="clear" w:color="auto" w:fill="auto"/>
                                </w:tcPr>
                                <w:p w14:paraId="5076A620" w14:textId="77777777" w:rsidR="00114F14" w:rsidRPr="006B64F5" w:rsidRDefault="00114F14" w:rsidP="00204E58">
                                  <w:pPr>
                                    <w:jc w:val="right"/>
                                    <w:rPr>
                                      <w:b/>
                                      <w:sz w:val="20"/>
                                      <w:szCs w:val="20"/>
                                      <w:u w:val="single"/>
                                    </w:rPr>
                                  </w:pPr>
                                </w:p>
                              </w:tc>
                              <w:tc>
                                <w:tcPr>
                                  <w:tcW w:w="1415" w:type="dxa"/>
                                  <w:shd w:val="clear" w:color="auto" w:fill="auto"/>
                                </w:tcPr>
                                <w:p w14:paraId="72CFF389" w14:textId="59245081" w:rsidR="00114F14" w:rsidRPr="008D72F0" w:rsidRDefault="00114F14" w:rsidP="00757B6B">
                                  <w:pPr>
                                    <w:jc w:val="right"/>
                                    <w:rPr>
                                      <w:sz w:val="20"/>
                                      <w:szCs w:val="20"/>
                                      <w:u w:val="single"/>
                                    </w:rPr>
                                  </w:pPr>
                                  <w:r w:rsidRPr="008D72F0">
                                    <w:rPr>
                                      <w:sz w:val="20"/>
                                      <w:szCs w:val="20"/>
                                      <w:u w:val="single"/>
                                    </w:rPr>
                                    <w:t xml:space="preserve">FY </w:t>
                                  </w:r>
                                  <w:r>
                                    <w:rPr>
                                      <w:sz w:val="20"/>
                                      <w:szCs w:val="20"/>
                                      <w:u w:val="single"/>
                                    </w:rPr>
                                    <w:t>20</w:t>
                                  </w:r>
                                </w:p>
                              </w:tc>
                              <w:tc>
                                <w:tcPr>
                                  <w:tcW w:w="1415" w:type="dxa"/>
                                </w:tcPr>
                                <w:p w14:paraId="2EBECDC6" w14:textId="04295797" w:rsidR="00114F14" w:rsidRPr="008D72F0" w:rsidRDefault="00114F14" w:rsidP="008B530B">
                                  <w:pPr>
                                    <w:jc w:val="right"/>
                                    <w:rPr>
                                      <w:sz w:val="20"/>
                                      <w:szCs w:val="20"/>
                                      <w:u w:val="single"/>
                                    </w:rPr>
                                  </w:pPr>
                                  <w:r>
                                    <w:rPr>
                                      <w:sz w:val="20"/>
                                      <w:szCs w:val="20"/>
                                      <w:u w:val="single"/>
                                    </w:rPr>
                                    <w:t>FY 21</w:t>
                                  </w:r>
                                </w:p>
                              </w:tc>
                            </w:tr>
                            <w:tr w:rsidR="00114F14" w:rsidRPr="008D72F0" w14:paraId="2A7B1664" w14:textId="77777777" w:rsidTr="00757B6B">
                              <w:trPr>
                                <w:trHeight w:val="315"/>
                              </w:trPr>
                              <w:tc>
                                <w:tcPr>
                                  <w:tcW w:w="1666" w:type="dxa"/>
                                  <w:shd w:val="clear" w:color="auto" w:fill="auto"/>
                                </w:tcPr>
                                <w:p w14:paraId="4CD624FF" w14:textId="77777777" w:rsidR="00114F14" w:rsidRPr="008E6261" w:rsidRDefault="00114F14" w:rsidP="00F012C3">
                                  <w:pPr>
                                    <w:jc w:val="right"/>
                                    <w:rPr>
                                      <w:sz w:val="16"/>
                                      <w:szCs w:val="16"/>
                                    </w:rPr>
                                  </w:pPr>
                                  <w:r>
                                    <w:rPr>
                                      <w:sz w:val="16"/>
                                      <w:szCs w:val="16"/>
                                    </w:rPr>
                                    <w:t>General Fund</w:t>
                                  </w:r>
                                </w:p>
                              </w:tc>
                              <w:tc>
                                <w:tcPr>
                                  <w:tcW w:w="1415" w:type="dxa"/>
                                  <w:shd w:val="clear" w:color="auto" w:fill="auto"/>
                                </w:tcPr>
                                <w:p w14:paraId="4E56351C" w14:textId="77777777" w:rsidR="00114F14" w:rsidRPr="008D72F0" w:rsidRDefault="00114F14" w:rsidP="00C90EC7">
                                  <w:pPr>
                                    <w:jc w:val="right"/>
                                    <w:rPr>
                                      <w:sz w:val="20"/>
                                      <w:szCs w:val="20"/>
                                    </w:rPr>
                                  </w:pPr>
                                </w:p>
                              </w:tc>
                              <w:tc>
                                <w:tcPr>
                                  <w:tcW w:w="1415" w:type="dxa"/>
                                </w:tcPr>
                                <w:p w14:paraId="5C405148" w14:textId="77777777" w:rsidR="00114F14" w:rsidRPr="008D72F0" w:rsidRDefault="00114F14" w:rsidP="00C90EC7">
                                  <w:pPr>
                                    <w:jc w:val="right"/>
                                    <w:rPr>
                                      <w:sz w:val="20"/>
                                      <w:szCs w:val="20"/>
                                    </w:rPr>
                                  </w:pPr>
                                </w:p>
                              </w:tc>
                            </w:tr>
                            <w:tr w:rsidR="00114F14" w:rsidRPr="008D72F0" w14:paraId="37405A73" w14:textId="77777777" w:rsidTr="00757B6B">
                              <w:trPr>
                                <w:trHeight w:val="303"/>
                              </w:trPr>
                              <w:tc>
                                <w:tcPr>
                                  <w:tcW w:w="1666" w:type="dxa"/>
                                  <w:shd w:val="clear" w:color="auto" w:fill="auto"/>
                                </w:tcPr>
                                <w:p w14:paraId="4F16CEFF" w14:textId="77777777" w:rsidR="00114F14" w:rsidRPr="008E6261" w:rsidRDefault="00114F14" w:rsidP="00F012C3">
                                  <w:pPr>
                                    <w:jc w:val="right"/>
                                    <w:rPr>
                                      <w:sz w:val="16"/>
                                      <w:szCs w:val="16"/>
                                    </w:rPr>
                                  </w:pPr>
                                  <w:r w:rsidRPr="008E6261">
                                    <w:rPr>
                                      <w:sz w:val="16"/>
                                      <w:szCs w:val="16"/>
                                    </w:rPr>
                                    <w:t>All Other</w:t>
                                  </w:r>
                                </w:p>
                              </w:tc>
                              <w:tc>
                                <w:tcPr>
                                  <w:tcW w:w="1415" w:type="dxa"/>
                                  <w:shd w:val="clear" w:color="auto" w:fill="auto"/>
                                </w:tcPr>
                                <w:p w14:paraId="390FF038" w14:textId="114515B7" w:rsidR="00114F14" w:rsidRPr="00757B6B" w:rsidRDefault="00114F14" w:rsidP="00757B6B">
                                  <w:pPr>
                                    <w:jc w:val="right"/>
                                    <w:rPr>
                                      <w:sz w:val="20"/>
                                      <w:szCs w:val="20"/>
                                    </w:rPr>
                                  </w:pPr>
                                  <w:r w:rsidRPr="00757B6B">
                                    <w:rPr>
                                      <w:sz w:val="20"/>
                                      <w:szCs w:val="20"/>
                                    </w:rPr>
                                    <w:t>$</w:t>
                                  </w:r>
                                  <w:r>
                                    <w:rPr>
                                      <w:sz w:val="20"/>
                                      <w:szCs w:val="20"/>
                                    </w:rPr>
                                    <w:t>30</w:t>
                                  </w:r>
                                  <w:r w:rsidRPr="00757B6B">
                                    <w:rPr>
                                      <w:sz w:val="20"/>
                                      <w:szCs w:val="20"/>
                                    </w:rPr>
                                    <w:t>,</w:t>
                                  </w:r>
                                  <w:r>
                                    <w:rPr>
                                      <w:sz w:val="20"/>
                                      <w:szCs w:val="20"/>
                                    </w:rPr>
                                    <w:t>685,221</w:t>
                                  </w:r>
                                </w:p>
                              </w:tc>
                              <w:tc>
                                <w:tcPr>
                                  <w:tcW w:w="1415" w:type="dxa"/>
                                </w:tcPr>
                                <w:p w14:paraId="337F572E" w14:textId="3C3BF160" w:rsidR="00114F14" w:rsidRPr="00757B6B" w:rsidRDefault="00114F14" w:rsidP="00757B6B">
                                  <w:pPr>
                                    <w:jc w:val="right"/>
                                    <w:rPr>
                                      <w:sz w:val="20"/>
                                      <w:szCs w:val="20"/>
                                    </w:rPr>
                                  </w:pPr>
                                  <w:r w:rsidRPr="00757B6B">
                                    <w:rPr>
                                      <w:sz w:val="20"/>
                                      <w:szCs w:val="20"/>
                                    </w:rPr>
                                    <w:t>$</w:t>
                                  </w:r>
                                  <w:r>
                                    <w:rPr>
                                      <w:sz w:val="20"/>
                                      <w:szCs w:val="20"/>
                                    </w:rPr>
                                    <w:t>30,685,221</w:t>
                                  </w:r>
                                </w:p>
                              </w:tc>
                            </w:tr>
                            <w:tr w:rsidR="00114F14" w:rsidRPr="008D72F0" w14:paraId="1F8F3E3E" w14:textId="77777777" w:rsidTr="00757B6B">
                              <w:trPr>
                                <w:trHeight w:val="303"/>
                              </w:trPr>
                              <w:tc>
                                <w:tcPr>
                                  <w:tcW w:w="1666" w:type="dxa"/>
                                  <w:shd w:val="clear" w:color="auto" w:fill="auto"/>
                                  <w:vAlign w:val="center"/>
                                </w:tcPr>
                                <w:p w14:paraId="3ADAC658" w14:textId="77777777" w:rsidR="00114F14" w:rsidRPr="00757B6B" w:rsidRDefault="00114F14" w:rsidP="00757B6B">
                                  <w:pPr>
                                    <w:jc w:val="right"/>
                                    <w:rPr>
                                      <w:sz w:val="16"/>
                                      <w:szCs w:val="16"/>
                                    </w:rPr>
                                  </w:pPr>
                                  <w:r w:rsidRPr="00757B6B">
                                    <w:rPr>
                                      <w:sz w:val="16"/>
                                      <w:szCs w:val="16"/>
                                    </w:rPr>
                                    <w:t>Federal Expenditures Fund-Position Count</w:t>
                                  </w:r>
                                </w:p>
                              </w:tc>
                              <w:tc>
                                <w:tcPr>
                                  <w:tcW w:w="1415" w:type="dxa"/>
                                  <w:shd w:val="clear" w:color="auto" w:fill="auto"/>
                                  <w:vAlign w:val="center"/>
                                </w:tcPr>
                                <w:p w14:paraId="75F7EC44" w14:textId="77777777" w:rsidR="00114F14" w:rsidRPr="008D72F0" w:rsidRDefault="00114F14" w:rsidP="00757B6B">
                                  <w:pPr>
                                    <w:jc w:val="right"/>
                                    <w:rPr>
                                      <w:sz w:val="20"/>
                                      <w:szCs w:val="20"/>
                                    </w:rPr>
                                  </w:pPr>
                                  <w:r>
                                    <w:rPr>
                                      <w:sz w:val="20"/>
                                      <w:szCs w:val="20"/>
                                    </w:rPr>
                                    <w:t>1.000</w:t>
                                  </w:r>
                                </w:p>
                              </w:tc>
                              <w:tc>
                                <w:tcPr>
                                  <w:tcW w:w="1415" w:type="dxa"/>
                                  <w:vAlign w:val="center"/>
                                </w:tcPr>
                                <w:p w14:paraId="432FE5CA" w14:textId="77777777" w:rsidR="00114F14" w:rsidRPr="008D72F0" w:rsidRDefault="00114F14" w:rsidP="00757B6B">
                                  <w:pPr>
                                    <w:jc w:val="right"/>
                                    <w:rPr>
                                      <w:sz w:val="20"/>
                                      <w:szCs w:val="20"/>
                                    </w:rPr>
                                  </w:pPr>
                                  <w:r>
                                    <w:rPr>
                                      <w:sz w:val="20"/>
                                      <w:szCs w:val="20"/>
                                    </w:rPr>
                                    <w:t>1.000</w:t>
                                  </w:r>
                                </w:p>
                              </w:tc>
                            </w:tr>
                            <w:tr w:rsidR="00114F14" w:rsidRPr="008D72F0" w14:paraId="5271D3AD" w14:textId="77777777" w:rsidTr="00757B6B">
                              <w:trPr>
                                <w:trHeight w:val="303"/>
                              </w:trPr>
                              <w:tc>
                                <w:tcPr>
                                  <w:tcW w:w="1666" w:type="dxa"/>
                                  <w:shd w:val="clear" w:color="auto" w:fill="auto"/>
                                </w:tcPr>
                                <w:p w14:paraId="55538B6B" w14:textId="77777777" w:rsidR="00114F14" w:rsidRPr="008E6261" w:rsidRDefault="00114F14" w:rsidP="00170F8D">
                                  <w:pPr>
                                    <w:jc w:val="right"/>
                                    <w:rPr>
                                      <w:sz w:val="16"/>
                                      <w:szCs w:val="16"/>
                                    </w:rPr>
                                  </w:pPr>
                                  <w:r>
                                    <w:rPr>
                                      <w:sz w:val="16"/>
                                      <w:szCs w:val="16"/>
                                    </w:rPr>
                                    <w:t>Personal Services</w:t>
                                  </w:r>
                                </w:p>
                              </w:tc>
                              <w:tc>
                                <w:tcPr>
                                  <w:tcW w:w="1415" w:type="dxa"/>
                                  <w:shd w:val="clear" w:color="auto" w:fill="auto"/>
                                </w:tcPr>
                                <w:p w14:paraId="011858DF" w14:textId="3E7062E6" w:rsidR="00114F14" w:rsidRDefault="00114F14" w:rsidP="00F012C3">
                                  <w:pPr>
                                    <w:jc w:val="right"/>
                                    <w:rPr>
                                      <w:sz w:val="20"/>
                                      <w:szCs w:val="20"/>
                                    </w:rPr>
                                  </w:pPr>
                                  <w:r>
                                    <w:rPr>
                                      <w:sz w:val="20"/>
                                      <w:szCs w:val="20"/>
                                    </w:rPr>
                                    <w:t>$64,108</w:t>
                                  </w:r>
                                </w:p>
                              </w:tc>
                              <w:tc>
                                <w:tcPr>
                                  <w:tcW w:w="1415" w:type="dxa"/>
                                </w:tcPr>
                                <w:p w14:paraId="1E16240D" w14:textId="457FDDE3" w:rsidR="00114F14" w:rsidRDefault="00114F14" w:rsidP="00F012C3">
                                  <w:pPr>
                                    <w:jc w:val="right"/>
                                    <w:rPr>
                                      <w:sz w:val="20"/>
                                      <w:szCs w:val="20"/>
                                    </w:rPr>
                                  </w:pPr>
                                  <w:r>
                                    <w:rPr>
                                      <w:sz w:val="20"/>
                                      <w:szCs w:val="20"/>
                                    </w:rPr>
                                    <w:t>$67,321</w:t>
                                  </w:r>
                                </w:p>
                              </w:tc>
                            </w:tr>
                            <w:tr w:rsidR="00114F14" w:rsidRPr="008D72F0" w14:paraId="29B4C2F9" w14:textId="77777777" w:rsidTr="00757B6B">
                              <w:trPr>
                                <w:trHeight w:val="303"/>
                              </w:trPr>
                              <w:tc>
                                <w:tcPr>
                                  <w:tcW w:w="1666" w:type="dxa"/>
                                  <w:shd w:val="clear" w:color="auto" w:fill="auto"/>
                                </w:tcPr>
                                <w:p w14:paraId="73D267BA" w14:textId="77777777" w:rsidR="00114F14" w:rsidRPr="008E6261" w:rsidRDefault="00114F14" w:rsidP="00170F8D">
                                  <w:pPr>
                                    <w:jc w:val="right"/>
                                    <w:rPr>
                                      <w:sz w:val="16"/>
                                      <w:szCs w:val="16"/>
                                    </w:rPr>
                                  </w:pPr>
                                  <w:r>
                                    <w:rPr>
                                      <w:sz w:val="16"/>
                                      <w:szCs w:val="16"/>
                                    </w:rPr>
                                    <w:t>All Other</w:t>
                                  </w:r>
                                </w:p>
                              </w:tc>
                              <w:tc>
                                <w:tcPr>
                                  <w:tcW w:w="1415" w:type="dxa"/>
                                  <w:shd w:val="clear" w:color="auto" w:fill="auto"/>
                                </w:tcPr>
                                <w:p w14:paraId="69E244DA" w14:textId="511B3D75" w:rsidR="00114F14" w:rsidRPr="00757B6B" w:rsidRDefault="00114F14" w:rsidP="00F012C3">
                                  <w:pPr>
                                    <w:jc w:val="right"/>
                                    <w:rPr>
                                      <w:sz w:val="20"/>
                                      <w:szCs w:val="20"/>
                                      <w:u w:val="single"/>
                                    </w:rPr>
                                  </w:pPr>
                                  <w:r w:rsidRPr="00757B6B">
                                    <w:rPr>
                                      <w:sz w:val="20"/>
                                      <w:szCs w:val="20"/>
                                      <w:u w:val="single"/>
                                    </w:rPr>
                                    <w:t>$</w:t>
                                  </w:r>
                                  <w:r>
                                    <w:rPr>
                                      <w:sz w:val="20"/>
                                      <w:szCs w:val="20"/>
                                      <w:u w:val="single"/>
                                    </w:rPr>
                                    <w:t>2,239,633</w:t>
                                  </w:r>
                                </w:p>
                              </w:tc>
                              <w:tc>
                                <w:tcPr>
                                  <w:tcW w:w="1415" w:type="dxa"/>
                                </w:tcPr>
                                <w:p w14:paraId="287849D2" w14:textId="77777777" w:rsidR="00114F14" w:rsidRPr="00757B6B" w:rsidRDefault="00114F14" w:rsidP="00F012C3">
                                  <w:pPr>
                                    <w:jc w:val="right"/>
                                    <w:rPr>
                                      <w:sz w:val="20"/>
                                      <w:szCs w:val="20"/>
                                      <w:u w:val="single"/>
                                    </w:rPr>
                                  </w:pPr>
                                  <w:r w:rsidRPr="00757B6B">
                                    <w:rPr>
                                      <w:sz w:val="20"/>
                                      <w:szCs w:val="20"/>
                                      <w:u w:val="single"/>
                                    </w:rPr>
                                    <w:t>$2,239,633</w:t>
                                  </w:r>
                                </w:p>
                              </w:tc>
                            </w:tr>
                            <w:tr w:rsidR="00114F14" w:rsidRPr="008D72F0" w14:paraId="0523E962" w14:textId="77777777" w:rsidTr="00757B6B">
                              <w:trPr>
                                <w:trHeight w:val="303"/>
                              </w:trPr>
                              <w:tc>
                                <w:tcPr>
                                  <w:tcW w:w="1666" w:type="dxa"/>
                                  <w:shd w:val="clear" w:color="auto" w:fill="auto"/>
                                </w:tcPr>
                                <w:p w14:paraId="16A8A174" w14:textId="77777777" w:rsidR="00114F14" w:rsidRPr="008E6261" w:rsidRDefault="00114F14" w:rsidP="00F012C3">
                                  <w:pPr>
                                    <w:jc w:val="right"/>
                                    <w:rPr>
                                      <w:sz w:val="16"/>
                                      <w:szCs w:val="16"/>
                                    </w:rPr>
                                  </w:pPr>
                                  <w:r>
                                    <w:rPr>
                                      <w:sz w:val="16"/>
                                      <w:szCs w:val="16"/>
                                    </w:rPr>
                                    <w:t>Federal Expenditures Fund - Total</w:t>
                                  </w:r>
                                </w:p>
                              </w:tc>
                              <w:tc>
                                <w:tcPr>
                                  <w:tcW w:w="1415" w:type="dxa"/>
                                  <w:shd w:val="clear" w:color="auto" w:fill="auto"/>
                                </w:tcPr>
                                <w:p w14:paraId="5E468E32" w14:textId="4D1CF815" w:rsidR="00114F14" w:rsidRDefault="00114F14" w:rsidP="00757B6B">
                                  <w:pPr>
                                    <w:jc w:val="right"/>
                                    <w:rPr>
                                      <w:sz w:val="20"/>
                                      <w:szCs w:val="20"/>
                                    </w:rPr>
                                  </w:pPr>
                                  <w:r>
                                    <w:rPr>
                                      <w:sz w:val="20"/>
                                      <w:szCs w:val="20"/>
                                    </w:rPr>
                                    <w:t>$2,303,741</w:t>
                                  </w:r>
                                </w:p>
                              </w:tc>
                              <w:tc>
                                <w:tcPr>
                                  <w:tcW w:w="1415" w:type="dxa"/>
                                </w:tcPr>
                                <w:p w14:paraId="53C9F0B3" w14:textId="4DEE9247" w:rsidR="00114F14" w:rsidRDefault="00114F14" w:rsidP="00757B6B">
                                  <w:pPr>
                                    <w:jc w:val="right"/>
                                    <w:rPr>
                                      <w:sz w:val="20"/>
                                      <w:szCs w:val="20"/>
                                    </w:rPr>
                                  </w:pPr>
                                  <w:r>
                                    <w:rPr>
                                      <w:sz w:val="20"/>
                                      <w:szCs w:val="20"/>
                                    </w:rPr>
                                    <w:t>$2,306,954</w:t>
                                  </w:r>
                                </w:p>
                              </w:tc>
                            </w:tr>
                          </w:tbl>
                          <w:p w14:paraId="4DBD0CB9" w14:textId="77777777" w:rsidR="00114F14" w:rsidRPr="008B530B" w:rsidRDefault="00114F14" w:rsidP="0080422F">
                            <w:pPr>
                              <w:jc w:val="right"/>
                              <w:rPr>
                                <w:b/>
                              </w:rPr>
                            </w:pPr>
                          </w:p>
                        </w:txbxContent>
                      </v:textbox>
                    </v:shape>
                  </w:pict>
                </mc:Fallback>
              </mc:AlternateContent>
            </w:r>
          </w:p>
          <w:p w14:paraId="41A753CB" w14:textId="77777777" w:rsidR="00114F14" w:rsidRDefault="00114F14" w:rsidP="004A104C">
            <w:pPr>
              <w:pStyle w:val="ListBullet"/>
              <w:numPr>
                <w:ilvl w:val="0"/>
                <w:numId w:val="0"/>
              </w:numPr>
              <w:ind w:left="460"/>
            </w:pPr>
          </w:p>
          <w:p w14:paraId="4B467BA5" w14:textId="77777777" w:rsidR="00114F14" w:rsidRDefault="00114F14" w:rsidP="004A104C">
            <w:pPr>
              <w:pStyle w:val="ListBullet"/>
              <w:numPr>
                <w:ilvl w:val="0"/>
                <w:numId w:val="0"/>
              </w:numPr>
              <w:ind w:left="460"/>
            </w:pPr>
          </w:p>
          <w:p w14:paraId="6CD6C9B0" w14:textId="77777777" w:rsidR="00114F14" w:rsidRDefault="00114F14" w:rsidP="004A104C">
            <w:pPr>
              <w:pStyle w:val="ListBullet"/>
              <w:numPr>
                <w:ilvl w:val="0"/>
                <w:numId w:val="0"/>
              </w:numPr>
              <w:ind w:left="280"/>
            </w:pPr>
          </w:p>
          <w:p w14:paraId="4AB51559" w14:textId="77777777" w:rsidR="00114F14" w:rsidRDefault="00114F14" w:rsidP="004A104C">
            <w:pPr>
              <w:pStyle w:val="ListBullet"/>
              <w:numPr>
                <w:ilvl w:val="0"/>
                <w:numId w:val="0"/>
              </w:numPr>
              <w:ind w:left="280"/>
            </w:pPr>
          </w:p>
          <w:p w14:paraId="5A4B77D2" w14:textId="77777777" w:rsidR="00114F14" w:rsidRDefault="00114F14" w:rsidP="004A104C">
            <w:pPr>
              <w:pStyle w:val="ListBullet"/>
              <w:numPr>
                <w:ilvl w:val="0"/>
                <w:numId w:val="0"/>
              </w:numPr>
              <w:ind w:left="280"/>
            </w:pPr>
          </w:p>
          <w:p w14:paraId="7330DFA2" w14:textId="77777777" w:rsidR="00114F14" w:rsidRDefault="00114F14" w:rsidP="004A104C">
            <w:pPr>
              <w:pStyle w:val="ListBullet"/>
              <w:numPr>
                <w:ilvl w:val="0"/>
                <w:numId w:val="0"/>
              </w:numPr>
              <w:ind w:left="280"/>
            </w:pPr>
          </w:p>
          <w:p w14:paraId="640990BB" w14:textId="77777777" w:rsidR="00114F14" w:rsidRDefault="00114F14" w:rsidP="004A104C">
            <w:pPr>
              <w:pStyle w:val="ListBullet"/>
              <w:numPr>
                <w:ilvl w:val="0"/>
                <w:numId w:val="0"/>
              </w:numPr>
              <w:ind w:left="280"/>
            </w:pPr>
          </w:p>
          <w:p w14:paraId="158DA97E" w14:textId="77777777" w:rsidR="00114F14" w:rsidRDefault="00114F14" w:rsidP="004A104C">
            <w:pPr>
              <w:pStyle w:val="ListBullet"/>
              <w:numPr>
                <w:ilvl w:val="0"/>
                <w:numId w:val="0"/>
              </w:numPr>
              <w:ind w:left="280"/>
            </w:pPr>
          </w:p>
          <w:p w14:paraId="3F22159F" w14:textId="77777777" w:rsidR="00114F14" w:rsidRDefault="00114F14" w:rsidP="004A104C">
            <w:pPr>
              <w:pStyle w:val="ListBullet"/>
              <w:numPr>
                <w:ilvl w:val="0"/>
                <w:numId w:val="0"/>
              </w:numPr>
              <w:ind w:left="280"/>
            </w:pPr>
          </w:p>
          <w:p w14:paraId="4D06D709" w14:textId="77777777" w:rsidR="00114F14" w:rsidRDefault="00114F14" w:rsidP="004A104C">
            <w:pPr>
              <w:pStyle w:val="ListBullet"/>
              <w:numPr>
                <w:ilvl w:val="0"/>
                <w:numId w:val="0"/>
              </w:numPr>
              <w:ind w:left="280"/>
            </w:pPr>
          </w:p>
          <w:p w14:paraId="7986A99E" w14:textId="77777777" w:rsidR="00114F14" w:rsidRDefault="00114F14" w:rsidP="004A104C">
            <w:pPr>
              <w:pStyle w:val="ListBullet"/>
              <w:numPr>
                <w:ilvl w:val="0"/>
                <w:numId w:val="0"/>
              </w:numPr>
              <w:ind w:left="280"/>
            </w:pPr>
          </w:p>
          <w:p w14:paraId="64F75C3B" w14:textId="23B04093" w:rsidR="00114F14" w:rsidRDefault="00114F14" w:rsidP="004A104C">
            <w:pPr>
              <w:pStyle w:val="ListBullet"/>
            </w:pPr>
            <w:r w:rsidRPr="00661EA3">
              <w:t>Continues a Public Service Manager II position</w:t>
            </w:r>
            <w:r>
              <w:t xml:space="preserve"> in the budget previously established by two different Financial Orders and transfers General Fund appropriations from All Other to Personal Services to fund the position.</w:t>
            </w:r>
          </w:p>
          <w:p w14:paraId="3B000CB7" w14:textId="77777777" w:rsidR="00114F14" w:rsidRDefault="00114F14" w:rsidP="004A104C">
            <w:pPr>
              <w:pStyle w:val="ListBullet"/>
              <w:numPr>
                <w:ilvl w:val="0"/>
                <w:numId w:val="0"/>
              </w:numPr>
              <w:ind w:left="46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7D31CE87" w14:textId="77777777" w:rsidTr="00B31960">
              <w:trPr>
                <w:trHeight w:val="357"/>
              </w:trPr>
              <w:tc>
                <w:tcPr>
                  <w:tcW w:w="1980" w:type="dxa"/>
                  <w:shd w:val="clear" w:color="auto" w:fill="auto"/>
                </w:tcPr>
                <w:p w14:paraId="2389C6D1" w14:textId="77777777" w:rsidR="00114F14" w:rsidRPr="008D72F0" w:rsidRDefault="00114F14" w:rsidP="004A104C">
                  <w:pPr>
                    <w:jc w:val="right"/>
                    <w:rPr>
                      <w:sz w:val="20"/>
                      <w:szCs w:val="20"/>
                      <w:u w:val="single"/>
                    </w:rPr>
                  </w:pPr>
                </w:p>
              </w:tc>
              <w:tc>
                <w:tcPr>
                  <w:tcW w:w="1260" w:type="dxa"/>
                  <w:shd w:val="clear" w:color="auto" w:fill="auto"/>
                </w:tcPr>
                <w:p w14:paraId="779D035C" w14:textId="20008D2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D96CC8B" w14:textId="78414644" w:rsidR="00114F14" w:rsidRPr="008D72F0" w:rsidRDefault="00114F14" w:rsidP="004A104C">
                  <w:pPr>
                    <w:jc w:val="right"/>
                    <w:rPr>
                      <w:sz w:val="20"/>
                      <w:szCs w:val="20"/>
                      <w:u w:val="single"/>
                    </w:rPr>
                  </w:pPr>
                  <w:r>
                    <w:rPr>
                      <w:sz w:val="20"/>
                      <w:szCs w:val="20"/>
                      <w:u w:val="single"/>
                    </w:rPr>
                    <w:t>FY 21</w:t>
                  </w:r>
                </w:p>
              </w:tc>
            </w:tr>
            <w:tr w:rsidR="00114F14" w:rsidRPr="008D72F0" w14:paraId="33E1E93A" w14:textId="77777777" w:rsidTr="00B31960">
              <w:trPr>
                <w:trHeight w:val="344"/>
              </w:trPr>
              <w:tc>
                <w:tcPr>
                  <w:tcW w:w="1980" w:type="dxa"/>
                  <w:shd w:val="clear" w:color="auto" w:fill="auto"/>
                </w:tcPr>
                <w:p w14:paraId="7ACD0FAB" w14:textId="37CA4481"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27DF126D" w14:textId="77777777" w:rsidR="00114F14" w:rsidRPr="008D72F0" w:rsidRDefault="00114F14" w:rsidP="004A104C">
                  <w:pPr>
                    <w:jc w:val="right"/>
                    <w:rPr>
                      <w:sz w:val="20"/>
                      <w:szCs w:val="20"/>
                    </w:rPr>
                  </w:pPr>
                  <w:r>
                    <w:rPr>
                      <w:sz w:val="20"/>
                      <w:szCs w:val="20"/>
                    </w:rPr>
                    <w:t>1.000</w:t>
                  </w:r>
                </w:p>
              </w:tc>
              <w:tc>
                <w:tcPr>
                  <w:tcW w:w="1260" w:type="dxa"/>
                  <w:vAlign w:val="center"/>
                </w:tcPr>
                <w:p w14:paraId="33D2AA74" w14:textId="77777777" w:rsidR="00114F14" w:rsidRDefault="00114F14" w:rsidP="004A104C">
                  <w:pPr>
                    <w:jc w:val="right"/>
                    <w:rPr>
                      <w:sz w:val="20"/>
                      <w:szCs w:val="20"/>
                    </w:rPr>
                  </w:pPr>
                  <w:r>
                    <w:rPr>
                      <w:sz w:val="20"/>
                      <w:szCs w:val="20"/>
                    </w:rPr>
                    <w:t>1.000</w:t>
                  </w:r>
                </w:p>
              </w:tc>
            </w:tr>
            <w:tr w:rsidR="00114F14" w:rsidRPr="008D72F0" w14:paraId="01DB9C7C" w14:textId="77777777" w:rsidTr="00B31960">
              <w:trPr>
                <w:trHeight w:val="357"/>
              </w:trPr>
              <w:tc>
                <w:tcPr>
                  <w:tcW w:w="1980" w:type="dxa"/>
                  <w:shd w:val="clear" w:color="auto" w:fill="auto"/>
                </w:tcPr>
                <w:p w14:paraId="7CBD1BAD"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7DDBB23B" w14:textId="1145ADD8" w:rsidR="00114F14" w:rsidRPr="008D72F0" w:rsidRDefault="00114F14" w:rsidP="004A104C">
                  <w:pPr>
                    <w:jc w:val="right"/>
                    <w:rPr>
                      <w:sz w:val="20"/>
                      <w:szCs w:val="20"/>
                    </w:rPr>
                  </w:pPr>
                  <w:r>
                    <w:rPr>
                      <w:sz w:val="20"/>
                      <w:szCs w:val="20"/>
                    </w:rPr>
                    <w:t>$94,349</w:t>
                  </w:r>
                </w:p>
              </w:tc>
              <w:tc>
                <w:tcPr>
                  <w:tcW w:w="1260" w:type="dxa"/>
                </w:tcPr>
                <w:p w14:paraId="70518155" w14:textId="60D6CB73" w:rsidR="00114F14" w:rsidRPr="008D72F0" w:rsidRDefault="00114F14" w:rsidP="004A104C">
                  <w:pPr>
                    <w:jc w:val="right"/>
                    <w:rPr>
                      <w:sz w:val="20"/>
                      <w:szCs w:val="20"/>
                    </w:rPr>
                  </w:pPr>
                  <w:r>
                    <w:rPr>
                      <w:sz w:val="20"/>
                      <w:szCs w:val="20"/>
                    </w:rPr>
                    <w:t>$95,042</w:t>
                  </w:r>
                </w:p>
              </w:tc>
            </w:tr>
            <w:tr w:rsidR="00114F14" w:rsidRPr="008D72F0" w14:paraId="1F954127" w14:textId="77777777" w:rsidTr="00B31960">
              <w:trPr>
                <w:trHeight w:val="357"/>
              </w:trPr>
              <w:tc>
                <w:tcPr>
                  <w:tcW w:w="1980" w:type="dxa"/>
                  <w:shd w:val="clear" w:color="auto" w:fill="auto"/>
                </w:tcPr>
                <w:p w14:paraId="610EE53C"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137D24BD" w14:textId="327B671F" w:rsidR="00114F14" w:rsidRDefault="00114F14" w:rsidP="004A104C">
                  <w:pPr>
                    <w:jc w:val="right"/>
                    <w:rPr>
                      <w:sz w:val="20"/>
                      <w:szCs w:val="20"/>
                    </w:rPr>
                  </w:pPr>
                  <w:r>
                    <w:rPr>
                      <w:sz w:val="20"/>
                      <w:szCs w:val="20"/>
                    </w:rPr>
                    <w:t>($94,349)</w:t>
                  </w:r>
                </w:p>
              </w:tc>
              <w:tc>
                <w:tcPr>
                  <w:tcW w:w="1260" w:type="dxa"/>
                </w:tcPr>
                <w:p w14:paraId="42F72D65" w14:textId="44C49737" w:rsidR="00114F14" w:rsidRDefault="00114F14" w:rsidP="004A104C">
                  <w:pPr>
                    <w:jc w:val="right"/>
                    <w:rPr>
                      <w:sz w:val="20"/>
                      <w:szCs w:val="20"/>
                    </w:rPr>
                  </w:pPr>
                  <w:r>
                    <w:rPr>
                      <w:sz w:val="20"/>
                      <w:szCs w:val="20"/>
                    </w:rPr>
                    <w:t>($95,042)</w:t>
                  </w:r>
                </w:p>
              </w:tc>
            </w:tr>
            <w:tr w:rsidR="00114F14" w:rsidRPr="008D72F0" w14:paraId="28C4065D" w14:textId="77777777" w:rsidTr="00B31960">
              <w:trPr>
                <w:trHeight w:val="303"/>
              </w:trPr>
              <w:tc>
                <w:tcPr>
                  <w:tcW w:w="1980" w:type="dxa"/>
                  <w:shd w:val="clear" w:color="auto" w:fill="auto"/>
                </w:tcPr>
                <w:p w14:paraId="3BF13741" w14:textId="7BB93F98" w:rsidR="00114F14" w:rsidRPr="002C59F4" w:rsidRDefault="00114F14" w:rsidP="004A104C">
                  <w:pPr>
                    <w:rPr>
                      <w:sz w:val="16"/>
                      <w:szCs w:val="16"/>
                      <w:u w:val="single"/>
                    </w:rPr>
                  </w:pPr>
                  <w:r>
                    <w:rPr>
                      <w:sz w:val="16"/>
                      <w:szCs w:val="16"/>
                      <w:u w:val="single"/>
                    </w:rPr>
                    <w:t>General Fund - Total</w:t>
                  </w:r>
                </w:p>
              </w:tc>
              <w:tc>
                <w:tcPr>
                  <w:tcW w:w="1260" w:type="dxa"/>
                  <w:shd w:val="clear" w:color="auto" w:fill="auto"/>
                </w:tcPr>
                <w:p w14:paraId="2FE19A65"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c>
                <w:tcPr>
                  <w:tcW w:w="1260" w:type="dxa"/>
                </w:tcPr>
                <w:p w14:paraId="7CECF01A"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r>
          </w:tbl>
          <w:p w14:paraId="683F9FBD" w14:textId="77777777" w:rsidR="00114F14" w:rsidRDefault="00114F14" w:rsidP="004A104C">
            <w:pPr>
              <w:pStyle w:val="ListBullet"/>
              <w:numPr>
                <w:ilvl w:val="0"/>
                <w:numId w:val="0"/>
              </w:numPr>
              <w:ind w:left="460"/>
            </w:pPr>
          </w:p>
          <w:p w14:paraId="34BDA874" w14:textId="77777777" w:rsidR="00114F14" w:rsidRDefault="00114F14" w:rsidP="004A104C">
            <w:pPr>
              <w:pStyle w:val="ListBullet"/>
              <w:numPr>
                <w:ilvl w:val="0"/>
                <w:numId w:val="0"/>
              </w:numPr>
              <w:ind w:left="280"/>
            </w:pPr>
          </w:p>
          <w:p w14:paraId="37D27201" w14:textId="77777777" w:rsidR="00114F14" w:rsidRDefault="00114F14" w:rsidP="004A104C">
            <w:pPr>
              <w:pStyle w:val="ListBullet"/>
              <w:numPr>
                <w:ilvl w:val="0"/>
                <w:numId w:val="0"/>
              </w:numPr>
              <w:ind w:left="280"/>
            </w:pPr>
          </w:p>
          <w:p w14:paraId="1CAEE484" w14:textId="77777777" w:rsidR="00114F14" w:rsidRDefault="00114F14" w:rsidP="004A104C">
            <w:pPr>
              <w:pStyle w:val="ListBullet"/>
              <w:numPr>
                <w:ilvl w:val="0"/>
                <w:numId w:val="0"/>
              </w:numPr>
              <w:ind w:left="280"/>
            </w:pPr>
          </w:p>
          <w:p w14:paraId="0769854B" w14:textId="77777777" w:rsidR="00114F14" w:rsidRDefault="00114F14" w:rsidP="004A104C">
            <w:pPr>
              <w:pStyle w:val="ListBullet"/>
              <w:numPr>
                <w:ilvl w:val="0"/>
                <w:numId w:val="0"/>
              </w:numPr>
              <w:ind w:left="280"/>
            </w:pPr>
          </w:p>
          <w:p w14:paraId="73B63130" w14:textId="77777777" w:rsidR="00114F14" w:rsidRDefault="00114F14" w:rsidP="004A104C">
            <w:pPr>
              <w:pStyle w:val="ListBullet"/>
              <w:numPr>
                <w:ilvl w:val="0"/>
                <w:numId w:val="0"/>
              </w:numPr>
              <w:ind w:left="280"/>
            </w:pPr>
          </w:p>
          <w:p w14:paraId="5A683D6E" w14:textId="77777777" w:rsidR="00114F14" w:rsidRDefault="00114F14" w:rsidP="004A104C">
            <w:pPr>
              <w:pStyle w:val="ListBullet"/>
              <w:numPr>
                <w:ilvl w:val="0"/>
                <w:numId w:val="0"/>
              </w:numPr>
              <w:ind w:left="280"/>
            </w:pPr>
          </w:p>
          <w:p w14:paraId="4485E24F" w14:textId="77777777" w:rsidR="00114F14" w:rsidRDefault="00114F14" w:rsidP="004A104C">
            <w:pPr>
              <w:pStyle w:val="ListBullet"/>
              <w:numPr>
                <w:ilvl w:val="0"/>
                <w:numId w:val="0"/>
              </w:numPr>
              <w:ind w:left="280"/>
            </w:pPr>
          </w:p>
          <w:p w14:paraId="30D23504" w14:textId="7996E911" w:rsidR="00114F14" w:rsidRPr="008C0074" w:rsidRDefault="00114F14" w:rsidP="004A104C">
            <w:pPr>
              <w:pStyle w:val="ListBullet"/>
            </w:pPr>
            <w:r w:rsidRPr="008C0074">
              <w:t>Provides General Fund appropriations in the budget to maintain services provided by Child Development Services of $3,604,450 in FY 20 and in FY 21.</w:t>
            </w:r>
          </w:p>
          <w:p w14:paraId="4F34F40B" w14:textId="79E960D4" w:rsidR="00114F14" w:rsidRPr="008C0074" w:rsidRDefault="00114F14" w:rsidP="004A104C">
            <w:pPr>
              <w:pStyle w:val="ListBullet"/>
            </w:pPr>
            <w:r w:rsidRPr="008C0074">
              <w:t>Provides General Fund appropriations in the budget for unmet needs for services provided by Child Development Services of $868,000 in FY 20 and in FY 21.</w:t>
            </w:r>
          </w:p>
          <w:p w14:paraId="6D47404A" w14:textId="452E4309" w:rsidR="00114F14" w:rsidRPr="008C0074" w:rsidRDefault="00114F14" w:rsidP="004A104C">
            <w:pPr>
              <w:pStyle w:val="ListBullet"/>
            </w:pPr>
            <w:r w:rsidRPr="008C0074">
              <w:t>Provides General Fund appropriations in the budget to cover increased MaineCare rate costs of $3,080,030 in FY 20 and in FY 21.</w:t>
            </w:r>
          </w:p>
          <w:p w14:paraId="617A3BCF" w14:textId="50DC7801" w:rsidR="00114F14" w:rsidRDefault="00114F14" w:rsidP="004A104C">
            <w:pPr>
              <w:pStyle w:val="ListBullet"/>
              <w:numPr>
                <w:ilvl w:val="0"/>
                <w:numId w:val="0"/>
              </w:numPr>
              <w:ind w:left="280"/>
            </w:pPr>
          </w:p>
          <w:p w14:paraId="34F4A9E3" w14:textId="77777777" w:rsidR="00114F14" w:rsidRDefault="00114F14" w:rsidP="004A104C">
            <w:pPr>
              <w:pStyle w:val="ListBullet"/>
              <w:numPr>
                <w:ilvl w:val="0"/>
                <w:numId w:val="0"/>
              </w:numPr>
              <w:ind w:left="280"/>
            </w:pPr>
          </w:p>
          <w:p w14:paraId="1EE4A2CE" w14:textId="77777777" w:rsidR="00114F14" w:rsidRPr="0030603A" w:rsidRDefault="00114F14" w:rsidP="004A104C">
            <w:pPr>
              <w:rPr>
                <w:sz w:val="22"/>
                <w:szCs w:val="22"/>
                <w:u w:val="single"/>
              </w:rPr>
            </w:pPr>
            <w:r w:rsidRPr="0030603A">
              <w:rPr>
                <w:sz w:val="22"/>
                <w:szCs w:val="22"/>
                <w:u w:val="single"/>
              </w:rPr>
              <w:t>Commission to End Student Hunger</w:t>
            </w:r>
          </w:p>
          <w:p w14:paraId="44468B1B" w14:textId="77777777" w:rsidR="00114F14" w:rsidRPr="0030603A" w:rsidRDefault="00114F14" w:rsidP="004A104C">
            <w:pPr>
              <w:rPr>
                <w:sz w:val="22"/>
                <w:szCs w:val="22"/>
                <w:u w:val="single"/>
              </w:rPr>
            </w:pPr>
          </w:p>
          <w:p w14:paraId="61537594" w14:textId="4F0577A2" w:rsidR="00114F14" w:rsidRPr="008C0074" w:rsidRDefault="00114F14" w:rsidP="004A104C">
            <w:pPr>
              <w:pStyle w:val="ListBullet"/>
            </w:pPr>
            <w:r w:rsidRPr="008C0074">
              <w:t>Provides Other Special Revenue Funds appropriations in the budget for the Commission to End Student Hunger of $500 in FY 20 and in FY 21.</w:t>
            </w:r>
          </w:p>
          <w:p w14:paraId="59D2A8BF" w14:textId="2926360B" w:rsidR="00114F14" w:rsidRDefault="00114F14" w:rsidP="004A104C">
            <w:pPr>
              <w:rPr>
                <w:u w:val="single"/>
              </w:rPr>
            </w:pPr>
          </w:p>
          <w:p w14:paraId="39F40FE6" w14:textId="77777777" w:rsidR="00114F14" w:rsidRPr="009B31CE" w:rsidRDefault="00114F14" w:rsidP="004A104C">
            <w:pPr>
              <w:rPr>
                <w:u w:val="single"/>
              </w:rPr>
            </w:pPr>
          </w:p>
          <w:p w14:paraId="01A09C81" w14:textId="77777777" w:rsidR="00114F14" w:rsidRPr="00FA6B3B" w:rsidRDefault="00114F14" w:rsidP="004A104C">
            <w:pPr>
              <w:pStyle w:val="ListBullet"/>
              <w:numPr>
                <w:ilvl w:val="0"/>
                <w:numId w:val="0"/>
              </w:numPr>
              <w:rPr>
                <w:sz w:val="22"/>
                <w:szCs w:val="22"/>
                <w:u w:val="single"/>
              </w:rPr>
            </w:pPr>
            <w:r w:rsidRPr="00FA6B3B">
              <w:rPr>
                <w:sz w:val="22"/>
                <w:szCs w:val="22"/>
                <w:u w:val="single"/>
              </w:rPr>
              <w:t>Criminal History Record Check Fund</w:t>
            </w:r>
          </w:p>
          <w:p w14:paraId="09A0B0AC" w14:textId="77777777" w:rsidR="00114F14" w:rsidRPr="00FA6B3B" w:rsidRDefault="00114F14" w:rsidP="004A104C">
            <w:pPr>
              <w:pStyle w:val="ListBullet"/>
              <w:numPr>
                <w:ilvl w:val="0"/>
                <w:numId w:val="0"/>
              </w:numPr>
              <w:rPr>
                <w:sz w:val="22"/>
                <w:szCs w:val="22"/>
              </w:rPr>
            </w:pPr>
          </w:p>
          <w:p w14:paraId="48D6DE2F" w14:textId="3A250CEF" w:rsidR="00114F14" w:rsidRPr="00191B45" w:rsidRDefault="00114F14" w:rsidP="004A104C">
            <w:pPr>
              <w:pStyle w:val="ListBullet"/>
            </w:pPr>
            <w:r w:rsidRPr="00191B45">
              <w:t>Provides Other Special Revenue Funds appropriations in the budget for the Criminal History Record Check Fund Personal Services of $10,060 and All Other of $25,700 in FY 20 and in FY 21 to support part of a position whose duties involve fees collected for criminal history record checks now deposited in a Department of Public Safety account.</w:t>
            </w:r>
          </w:p>
          <w:p w14:paraId="0B881A92" w14:textId="6312C478" w:rsidR="00114F14" w:rsidRDefault="00114F14" w:rsidP="004A104C">
            <w:pPr>
              <w:pStyle w:val="ListBullet"/>
              <w:numPr>
                <w:ilvl w:val="0"/>
                <w:numId w:val="0"/>
              </w:numPr>
              <w:ind w:left="280"/>
            </w:pPr>
          </w:p>
          <w:p w14:paraId="6208083B" w14:textId="77777777" w:rsidR="00114F14" w:rsidRPr="00191B45" w:rsidRDefault="00114F14" w:rsidP="004A104C">
            <w:pPr>
              <w:pStyle w:val="ListBullet"/>
              <w:numPr>
                <w:ilvl w:val="0"/>
                <w:numId w:val="0"/>
              </w:numPr>
              <w:ind w:left="280"/>
            </w:pPr>
          </w:p>
          <w:p w14:paraId="42F59BD5" w14:textId="77777777" w:rsidR="00114F14" w:rsidRPr="00191B45" w:rsidRDefault="00114F14" w:rsidP="004A104C">
            <w:pPr>
              <w:pStyle w:val="ListBullet"/>
              <w:numPr>
                <w:ilvl w:val="0"/>
                <w:numId w:val="0"/>
              </w:numPr>
              <w:rPr>
                <w:u w:val="single"/>
              </w:rPr>
            </w:pPr>
            <w:r w:rsidRPr="00191B45">
              <w:rPr>
                <w:u w:val="single"/>
              </w:rPr>
              <w:t>Digital Literacy Fund</w:t>
            </w:r>
          </w:p>
          <w:p w14:paraId="6368181D" w14:textId="77777777" w:rsidR="00114F14" w:rsidRPr="00191B45" w:rsidRDefault="00114F14" w:rsidP="004A104C">
            <w:pPr>
              <w:pStyle w:val="ListBullet"/>
              <w:numPr>
                <w:ilvl w:val="0"/>
                <w:numId w:val="0"/>
              </w:numPr>
            </w:pPr>
          </w:p>
          <w:p w14:paraId="2B71F34B" w14:textId="3B4566A2" w:rsidR="00114F14" w:rsidRPr="00191B45" w:rsidRDefault="00114F14" w:rsidP="004A104C">
            <w:pPr>
              <w:pStyle w:val="ListBullet"/>
            </w:pPr>
            <w:r w:rsidRPr="00B6415E">
              <w:t>Provides</w:t>
            </w:r>
            <w:r w:rsidRPr="00191B45">
              <w:t xml:space="preserve"> Other Special Revenue Funds appropriations in the budget for Digital Literacy Fund of $456,115 in FY 20 and in FY 21.</w:t>
            </w:r>
          </w:p>
          <w:p w14:paraId="5B80A396" w14:textId="6930BB10" w:rsidR="00114F14" w:rsidRDefault="00114F14" w:rsidP="004A104C">
            <w:pPr>
              <w:pStyle w:val="ListBullet"/>
              <w:numPr>
                <w:ilvl w:val="0"/>
                <w:numId w:val="0"/>
              </w:numPr>
              <w:ind w:left="280"/>
            </w:pPr>
          </w:p>
          <w:p w14:paraId="0D8549C7" w14:textId="77777777" w:rsidR="00114F14" w:rsidRPr="00191B45" w:rsidRDefault="00114F14" w:rsidP="004A104C">
            <w:pPr>
              <w:pStyle w:val="ListBullet"/>
              <w:numPr>
                <w:ilvl w:val="0"/>
                <w:numId w:val="0"/>
              </w:numPr>
              <w:ind w:left="280"/>
            </w:pPr>
          </w:p>
          <w:p w14:paraId="19E4EEAC" w14:textId="2F7C44EC" w:rsidR="00114F14" w:rsidRPr="00191B45" w:rsidRDefault="00114F14" w:rsidP="004A104C">
            <w:pPr>
              <w:pStyle w:val="ListBullet"/>
              <w:numPr>
                <w:ilvl w:val="0"/>
                <w:numId w:val="0"/>
              </w:numPr>
              <w:rPr>
                <w:u w:val="single"/>
              </w:rPr>
            </w:pPr>
            <w:r w:rsidRPr="00191B45">
              <w:rPr>
                <w:u w:val="single"/>
              </w:rPr>
              <w:t>Education in Unorganized Territory</w:t>
            </w:r>
          </w:p>
          <w:p w14:paraId="7EA4F7C0" w14:textId="77777777" w:rsidR="00114F14" w:rsidRPr="00191B45" w:rsidRDefault="00114F14" w:rsidP="004A104C">
            <w:pPr>
              <w:tabs>
                <w:tab w:val="left" w:pos="3600"/>
              </w:tabs>
              <w:rPr>
                <w:u w:val="single"/>
              </w:rPr>
            </w:pPr>
          </w:p>
          <w:p w14:paraId="19C17498" w14:textId="564FCE8E" w:rsidR="00114F14" w:rsidRPr="00191B45" w:rsidRDefault="00114F14" w:rsidP="004A104C">
            <w:pPr>
              <w:pStyle w:val="ListBullet"/>
            </w:pPr>
            <w:r w:rsidRPr="00191B45">
              <w:t xml:space="preserve">Provides General Fund, Federal Expenditures Fund and Other Special Revenue Funds appropriations in the </w:t>
            </w:r>
            <w:r>
              <w:t>b</w:t>
            </w:r>
            <w:r w:rsidRPr="00191B45">
              <w:t>udget for Education in Unorganized Territory in FY 20 and in FY 21.</w:t>
            </w:r>
          </w:p>
          <w:p w14:paraId="6845C9A1" w14:textId="4E8353DC" w:rsidR="00114F14" w:rsidRDefault="00114F14" w:rsidP="004A104C">
            <w:pPr>
              <w:pStyle w:val="ListBullet"/>
              <w:numPr>
                <w:ilvl w:val="0"/>
                <w:numId w:val="0"/>
              </w:numPr>
              <w:ind w:left="460"/>
            </w:pPr>
          </w:p>
          <w:p w14:paraId="1F34F697" w14:textId="4DE4C643" w:rsidR="00860351" w:rsidRDefault="00860351" w:rsidP="004A104C">
            <w:pPr>
              <w:pStyle w:val="ListBullet"/>
              <w:numPr>
                <w:ilvl w:val="0"/>
                <w:numId w:val="0"/>
              </w:numPr>
              <w:ind w:left="460"/>
            </w:pPr>
          </w:p>
          <w:p w14:paraId="5C96D626" w14:textId="21A25988" w:rsidR="00860351" w:rsidRDefault="00860351" w:rsidP="004A104C">
            <w:pPr>
              <w:pStyle w:val="ListBullet"/>
              <w:numPr>
                <w:ilvl w:val="0"/>
                <w:numId w:val="0"/>
              </w:numPr>
              <w:ind w:left="460"/>
            </w:pPr>
          </w:p>
          <w:p w14:paraId="6C517532" w14:textId="0C09E140" w:rsidR="00860351" w:rsidRDefault="00860351" w:rsidP="004A104C">
            <w:pPr>
              <w:pStyle w:val="ListBullet"/>
              <w:numPr>
                <w:ilvl w:val="0"/>
                <w:numId w:val="0"/>
              </w:numPr>
              <w:ind w:left="460"/>
            </w:pPr>
          </w:p>
          <w:p w14:paraId="7212FEE2" w14:textId="77777777" w:rsidR="00860351" w:rsidRPr="000F14AE" w:rsidRDefault="00860351" w:rsidP="004A104C">
            <w:pPr>
              <w:pStyle w:val="ListBullet"/>
              <w:numPr>
                <w:ilvl w:val="0"/>
                <w:numId w:val="0"/>
              </w:numPr>
              <w:ind w:left="460"/>
            </w:pPr>
          </w:p>
          <w:p w14:paraId="2DA297CD" w14:textId="77777777" w:rsidR="00114F14" w:rsidRDefault="00114F14" w:rsidP="004A104C"/>
          <w:tbl>
            <w:tblPr>
              <w:tblW w:w="0" w:type="auto"/>
              <w:tblInd w:w="1278" w:type="dxa"/>
              <w:tblLook w:val="01E0" w:firstRow="1" w:lastRow="1" w:firstColumn="1" w:lastColumn="1" w:noHBand="0" w:noVBand="0"/>
            </w:tblPr>
            <w:tblGrid>
              <w:gridCol w:w="1980"/>
              <w:gridCol w:w="1260"/>
              <w:gridCol w:w="1470"/>
            </w:tblGrid>
            <w:tr w:rsidR="00114F14" w:rsidRPr="008D72F0" w14:paraId="4D641612" w14:textId="77777777" w:rsidTr="00CD7961">
              <w:trPr>
                <w:trHeight w:val="357"/>
              </w:trPr>
              <w:tc>
                <w:tcPr>
                  <w:tcW w:w="1980" w:type="dxa"/>
                  <w:shd w:val="clear" w:color="auto" w:fill="auto"/>
                </w:tcPr>
                <w:p w14:paraId="51A6703C" w14:textId="77777777" w:rsidR="00114F14" w:rsidRPr="008D72F0" w:rsidRDefault="00114F14" w:rsidP="004A104C">
                  <w:pPr>
                    <w:jc w:val="right"/>
                    <w:rPr>
                      <w:sz w:val="20"/>
                      <w:szCs w:val="20"/>
                      <w:u w:val="single"/>
                    </w:rPr>
                  </w:pPr>
                </w:p>
              </w:tc>
              <w:tc>
                <w:tcPr>
                  <w:tcW w:w="1260" w:type="dxa"/>
                  <w:shd w:val="clear" w:color="auto" w:fill="auto"/>
                </w:tcPr>
                <w:p w14:paraId="792C82B0" w14:textId="3EC674FF"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470" w:type="dxa"/>
                </w:tcPr>
                <w:p w14:paraId="3B9E926C" w14:textId="168C9128" w:rsidR="00114F14" w:rsidRPr="008D72F0" w:rsidRDefault="00114F14" w:rsidP="004A104C">
                  <w:pPr>
                    <w:jc w:val="right"/>
                    <w:rPr>
                      <w:sz w:val="20"/>
                      <w:szCs w:val="20"/>
                      <w:u w:val="single"/>
                    </w:rPr>
                  </w:pPr>
                  <w:r>
                    <w:rPr>
                      <w:sz w:val="20"/>
                      <w:szCs w:val="20"/>
                      <w:u w:val="single"/>
                    </w:rPr>
                    <w:t>FY 21</w:t>
                  </w:r>
                </w:p>
              </w:tc>
            </w:tr>
            <w:tr w:rsidR="00114F14" w:rsidRPr="008D72F0" w14:paraId="4FB62CF8" w14:textId="77777777" w:rsidTr="00CD7961">
              <w:trPr>
                <w:trHeight w:val="357"/>
              </w:trPr>
              <w:tc>
                <w:tcPr>
                  <w:tcW w:w="1980" w:type="dxa"/>
                  <w:shd w:val="clear" w:color="auto" w:fill="auto"/>
                </w:tcPr>
                <w:p w14:paraId="13AF8C67" w14:textId="28232E64" w:rsidR="00114F14" w:rsidRPr="008D72F0" w:rsidRDefault="00114F14" w:rsidP="004A104C">
                  <w:pPr>
                    <w:jc w:val="right"/>
                    <w:rPr>
                      <w:sz w:val="16"/>
                      <w:szCs w:val="16"/>
                    </w:rPr>
                  </w:pPr>
                  <w:r w:rsidRPr="00170F8D">
                    <w:rPr>
                      <w:sz w:val="16"/>
                      <w:szCs w:val="16"/>
                    </w:rPr>
                    <w:t>General Fund</w:t>
                  </w:r>
                  <w:r w:rsidRPr="008D72F0">
                    <w:rPr>
                      <w:sz w:val="16"/>
                      <w:szCs w:val="16"/>
                    </w:rPr>
                    <w:t xml:space="preserve"> - Position </w:t>
                  </w:r>
                  <w:r>
                    <w:rPr>
                      <w:sz w:val="16"/>
                      <w:szCs w:val="16"/>
                    </w:rPr>
                    <w:t>Legislative Count</w:t>
                  </w:r>
                </w:p>
              </w:tc>
              <w:tc>
                <w:tcPr>
                  <w:tcW w:w="1260" w:type="dxa"/>
                  <w:shd w:val="clear" w:color="auto" w:fill="auto"/>
                  <w:vAlign w:val="center"/>
                </w:tcPr>
                <w:p w14:paraId="50AA196B" w14:textId="30C80D34" w:rsidR="00114F14" w:rsidRPr="008D72F0" w:rsidRDefault="00114F14" w:rsidP="004A104C">
                  <w:pPr>
                    <w:jc w:val="right"/>
                    <w:rPr>
                      <w:sz w:val="20"/>
                      <w:szCs w:val="20"/>
                    </w:rPr>
                  </w:pPr>
                  <w:r>
                    <w:rPr>
                      <w:sz w:val="20"/>
                      <w:szCs w:val="20"/>
                    </w:rPr>
                    <w:t>21.500</w:t>
                  </w:r>
                </w:p>
              </w:tc>
              <w:tc>
                <w:tcPr>
                  <w:tcW w:w="1470" w:type="dxa"/>
                  <w:vAlign w:val="center"/>
                </w:tcPr>
                <w:p w14:paraId="289DFB15" w14:textId="33A02120" w:rsidR="00114F14" w:rsidRDefault="00114F14" w:rsidP="004A104C">
                  <w:pPr>
                    <w:jc w:val="right"/>
                    <w:rPr>
                      <w:sz w:val="20"/>
                      <w:szCs w:val="20"/>
                    </w:rPr>
                  </w:pPr>
                  <w:r>
                    <w:rPr>
                      <w:sz w:val="20"/>
                      <w:szCs w:val="20"/>
                    </w:rPr>
                    <w:t>21.500</w:t>
                  </w:r>
                </w:p>
              </w:tc>
            </w:tr>
            <w:tr w:rsidR="00114F14" w:rsidRPr="008D72F0" w14:paraId="4E12C0F2" w14:textId="77777777" w:rsidTr="00CD7961">
              <w:trPr>
                <w:trHeight w:val="357"/>
              </w:trPr>
              <w:tc>
                <w:tcPr>
                  <w:tcW w:w="1980" w:type="dxa"/>
                  <w:shd w:val="clear" w:color="auto" w:fill="auto"/>
                </w:tcPr>
                <w:p w14:paraId="28C1F228" w14:textId="1DB91C26" w:rsidR="00114F14" w:rsidRPr="00170F8D" w:rsidRDefault="00114F14" w:rsidP="004A104C">
                  <w:pPr>
                    <w:jc w:val="right"/>
                    <w:rPr>
                      <w:sz w:val="16"/>
                      <w:szCs w:val="16"/>
                    </w:rPr>
                  </w:pPr>
                  <w:r>
                    <w:rPr>
                      <w:sz w:val="16"/>
                      <w:szCs w:val="16"/>
                    </w:rPr>
                    <w:t>General Fund – Position FTE Count</w:t>
                  </w:r>
                </w:p>
              </w:tc>
              <w:tc>
                <w:tcPr>
                  <w:tcW w:w="1260" w:type="dxa"/>
                  <w:shd w:val="clear" w:color="auto" w:fill="auto"/>
                  <w:vAlign w:val="center"/>
                </w:tcPr>
                <w:p w14:paraId="33739E68" w14:textId="3FD1F7AC" w:rsidR="00114F14" w:rsidRDefault="00114F14" w:rsidP="004A104C">
                  <w:pPr>
                    <w:jc w:val="right"/>
                    <w:rPr>
                      <w:sz w:val="20"/>
                      <w:szCs w:val="20"/>
                    </w:rPr>
                  </w:pPr>
                  <w:r>
                    <w:rPr>
                      <w:sz w:val="20"/>
                      <w:szCs w:val="20"/>
                    </w:rPr>
                    <w:t>26.335</w:t>
                  </w:r>
                </w:p>
              </w:tc>
              <w:tc>
                <w:tcPr>
                  <w:tcW w:w="1470" w:type="dxa"/>
                  <w:vAlign w:val="center"/>
                </w:tcPr>
                <w:p w14:paraId="7590C642" w14:textId="2BDFC3DF" w:rsidR="00114F14" w:rsidRDefault="00114F14" w:rsidP="004A104C">
                  <w:pPr>
                    <w:jc w:val="right"/>
                    <w:rPr>
                      <w:sz w:val="20"/>
                      <w:szCs w:val="20"/>
                    </w:rPr>
                  </w:pPr>
                  <w:r>
                    <w:rPr>
                      <w:sz w:val="20"/>
                      <w:szCs w:val="20"/>
                    </w:rPr>
                    <w:t>26.335</w:t>
                  </w:r>
                </w:p>
              </w:tc>
            </w:tr>
            <w:tr w:rsidR="00114F14" w:rsidRPr="008D72F0" w14:paraId="4731B349" w14:textId="77777777" w:rsidTr="00CD7961">
              <w:trPr>
                <w:trHeight w:val="357"/>
              </w:trPr>
              <w:tc>
                <w:tcPr>
                  <w:tcW w:w="1980" w:type="dxa"/>
                  <w:shd w:val="clear" w:color="auto" w:fill="auto"/>
                </w:tcPr>
                <w:p w14:paraId="1AE805DB"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52355B47" w14:textId="77F18D1A" w:rsidR="00114F14" w:rsidRPr="008D72F0" w:rsidRDefault="00114F14" w:rsidP="004A104C">
                  <w:pPr>
                    <w:jc w:val="right"/>
                    <w:rPr>
                      <w:sz w:val="20"/>
                      <w:szCs w:val="20"/>
                    </w:rPr>
                  </w:pPr>
                  <w:r>
                    <w:rPr>
                      <w:sz w:val="20"/>
                      <w:szCs w:val="20"/>
                    </w:rPr>
                    <w:t>$3,245,070</w:t>
                  </w:r>
                </w:p>
              </w:tc>
              <w:tc>
                <w:tcPr>
                  <w:tcW w:w="1470" w:type="dxa"/>
                </w:tcPr>
                <w:p w14:paraId="63FB9FE3" w14:textId="31AF588A" w:rsidR="00114F14" w:rsidRPr="008D72F0" w:rsidRDefault="00114F14" w:rsidP="004A104C">
                  <w:pPr>
                    <w:jc w:val="right"/>
                    <w:rPr>
                      <w:sz w:val="20"/>
                      <w:szCs w:val="20"/>
                    </w:rPr>
                  </w:pPr>
                  <w:r>
                    <w:rPr>
                      <w:sz w:val="20"/>
                      <w:szCs w:val="20"/>
                    </w:rPr>
                    <w:t>$3,301,139</w:t>
                  </w:r>
                </w:p>
              </w:tc>
            </w:tr>
            <w:tr w:rsidR="00114F14" w:rsidRPr="008D72F0" w14:paraId="0F4949F1" w14:textId="77777777" w:rsidTr="00CD7961">
              <w:trPr>
                <w:trHeight w:val="315"/>
              </w:trPr>
              <w:tc>
                <w:tcPr>
                  <w:tcW w:w="1980" w:type="dxa"/>
                  <w:shd w:val="clear" w:color="auto" w:fill="auto"/>
                </w:tcPr>
                <w:p w14:paraId="58B7DFF8"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21180EE1" w14:textId="2499305C" w:rsidR="00114F14" w:rsidRPr="00FE76F6" w:rsidRDefault="00114F14" w:rsidP="004A104C">
                  <w:pPr>
                    <w:jc w:val="right"/>
                    <w:rPr>
                      <w:sz w:val="20"/>
                      <w:szCs w:val="20"/>
                      <w:u w:val="single"/>
                    </w:rPr>
                  </w:pPr>
                  <w:r>
                    <w:rPr>
                      <w:sz w:val="20"/>
                      <w:szCs w:val="20"/>
                      <w:u w:val="single"/>
                    </w:rPr>
                    <w:t>$9,212,381</w:t>
                  </w:r>
                </w:p>
              </w:tc>
              <w:tc>
                <w:tcPr>
                  <w:tcW w:w="1470" w:type="dxa"/>
                </w:tcPr>
                <w:p w14:paraId="32FF82CA" w14:textId="1CA780C0" w:rsidR="00114F14" w:rsidRPr="00FE76F6" w:rsidRDefault="00114F14" w:rsidP="004A104C">
                  <w:pPr>
                    <w:jc w:val="right"/>
                    <w:rPr>
                      <w:sz w:val="20"/>
                      <w:szCs w:val="20"/>
                      <w:u w:val="single"/>
                    </w:rPr>
                  </w:pPr>
                  <w:r>
                    <w:rPr>
                      <w:sz w:val="20"/>
                      <w:szCs w:val="20"/>
                      <w:u w:val="single"/>
                    </w:rPr>
                    <w:t>$9,212,381</w:t>
                  </w:r>
                </w:p>
              </w:tc>
            </w:tr>
            <w:tr w:rsidR="00114F14" w:rsidRPr="008D72F0" w14:paraId="719075F5" w14:textId="77777777" w:rsidTr="00CD7961">
              <w:trPr>
                <w:trHeight w:val="303"/>
              </w:trPr>
              <w:tc>
                <w:tcPr>
                  <w:tcW w:w="1980" w:type="dxa"/>
                  <w:shd w:val="clear" w:color="auto" w:fill="auto"/>
                </w:tcPr>
                <w:p w14:paraId="09A64BC4" w14:textId="77777777" w:rsidR="00114F14" w:rsidRPr="008D72F0" w:rsidRDefault="00114F14" w:rsidP="004A104C">
                  <w:pPr>
                    <w:rPr>
                      <w:sz w:val="16"/>
                      <w:szCs w:val="16"/>
                      <w:u w:val="single"/>
                    </w:rPr>
                  </w:pPr>
                  <w:r>
                    <w:rPr>
                      <w:sz w:val="16"/>
                      <w:szCs w:val="16"/>
                      <w:u w:val="single"/>
                    </w:rPr>
                    <w:t>General Fund Total</w:t>
                  </w:r>
                </w:p>
              </w:tc>
              <w:tc>
                <w:tcPr>
                  <w:tcW w:w="1260" w:type="dxa"/>
                  <w:shd w:val="clear" w:color="auto" w:fill="auto"/>
                </w:tcPr>
                <w:p w14:paraId="4BB54DEF" w14:textId="61DB319B" w:rsidR="00114F14" w:rsidRPr="008D72F0" w:rsidRDefault="00114F14" w:rsidP="004A104C">
                  <w:pPr>
                    <w:jc w:val="right"/>
                    <w:rPr>
                      <w:sz w:val="20"/>
                      <w:szCs w:val="20"/>
                    </w:rPr>
                  </w:pPr>
                  <w:r>
                    <w:rPr>
                      <w:sz w:val="20"/>
                      <w:szCs w:val="20"/>
                    </w:rPr>
                    <w:t>$12,457,451</w:t>
                  </w:r>
                </w:p>
              </w:tc>
              <w:tc>
                <w:tcPr>
                  <w:tcW w:w="1470" w:type="dxa"/>
                </w:tcPr>
                <w:p w14:paraId="057B985A" w14:textId="2B4F8EE6" w:rsidR="00114F14" w:rsidRPr="008D72F0" w:rsidRDefault="00114F14" w:rsidP="004A104C">
                  <w:pPr>
                    <w:jc w:val="right"/>
                    <w:rPr>
                      <w:sz w:val="20"/>
                      <w:szCs w:val="20"/>
                    </w:rPr>
                  </w:pPr>
                  <w:r>
                    <w:rPr>
                      <w:sz w:val="20"/>
                      <w:szCs w:val="20"/>
                    </w:rPr>
                    <w:t>$12,513,520</w:t>
                  </w:r>
                </w:p>
              </w:tc>
            </w:tr>
            <w:tr w:rsidR="00114F14" w:rsidRPr="008D72F0" w14:paraId="4CCAAE72" w14:textId="77777777" w:rsidTr="00CD7961">
              <w:trPr>
                <w:trHeight w:val="180"/>
              </w:trPr>
              <w:tc>
                <w:tcPr>
                  <w:tcW w:w="1980" w:type="dxa"/>
                  <w:shd w:val="clear" w:color="auto" w:fill="auto"/>
                </w:tcPr>
                <w:p w14:paraId="4E0A19DC" w14:textId="4FA0D3F4" w:rsidR="00114F14" w:rsidRPr="008D72F0" w:rsidRDefault="00114F14" w:rsidP="004A104C">
                  <w:pPr>
                    <w:jc w:val="right"/>
                    <w:rPr>
                      <w:sz w:val="16"/>
                      <w:szCs w:val="16"/>
                    </w:rPr>
                  </w:pPr>
                  <w:r>
                    <w:rPr>
                      <w:sz w:val="16"/>
                      <w:szCs w:val="16"/>
                    </w:rPr>
                    <w:t>Federal Expenditures Fund-</w:t>
                  </w:r>
                  <w:r w:rsidRPr="008D72F0">
                    <w:rPr>
                      <w:sz w:val="16"/>
                      <w:szCs w:val="16"/>
                    </w:rPr>
                    <w:t xml:space="preserve">Position </w:t>
                  </w:r>
                  <w:r>
                    <w:rPr>
                      <w:sz w:val="16"/>
                      <w:szCs w:val="16"/>
                    </w:rPr>
                    <w:t xml:space="preserve">Legislative </w:t>
                  </w:r>
                  <w:r w:rsidRPr="008D72F0">
                    <w:rPr>
                      <w:sz w:val="16"/>
                      <w:szCs w:val="16"/>
                    </w:rPr>
                    <w:t>Count</w:t>
                  </w:r>
                </w:p>
              </w:tc>
              <w:tc>
                <w:tcPr>
                  <w:tcW w:w="1260" w:type="dxa"/>
                  <w:shd w:val="clear" w:color="auto" w:fill="auto"/>
                  <w:vAlign w:val="center"/>
                </w:tcPr>
                <w:p w14:paraId="748EEF73" w14:textId="77777777" w:rsidR="00114F14" w:rsidRPr="008D72F0" w:rsidRDefault="00114F14" w:rsidP="004A104C">
                  <w:pPr>
                    <w:jc w:val="right"/>
                    <w:rPr>
                      <w:sz w:val="20"/>
                      <w:szCs w:val="20"/>
                    </w:rPr>
                  </w:pPr>
                  <w:r>
                    <w:rPr>
                      <w:sz w:val="20"/>
                      <w:szCs w:val="20"/>
                    </w:rPr>
                    <w:t>2.000</w:t>
                  </w:r>
                </w:p>
              </w:tc>
              <w:tc>
                <w:tcPr>
                  <w:tcW w:w="1470" w:type="dxa"/>
                  <w:vAlign w:val="center"/>
                </w:tcPr>
                <w:p w14:paraId="2A850983" w14:textId="77777777" w:rsidR="00114F14" w:rsidRPr="008D72F0" w:rsidRDefault="00114F14" w:rsidP="004A104C">
                  <w:pPr>
                    <w:jc w:val="right"/>
                    <w:rPr>
                      <w:sz w:val="20"/>
                      <w:szCs w:val="20"/>
                    </w:rPr>
                  </w:pPr>
                  <w:r>
                    <w:rPr>
                      <w:sz w:val="20"/>
                      <w:szCs w:val="20"/>
                    </w:rPr>
                    <w:t>2.000</w:t>
                  </w:r>
                </w:p>
              </w:tc>
            </w:tr>
            <w:tr w:rsidR="00114F14" w:rsidRPr="008D72F0" w14:paraId="2F2213B3" w14:textId="77777777" w:rsidTr="00CD7961">
              <w:trPr>
                <w:trHeight w:val="180"/>
              </w:trPr>
              <w:tc>
                <w:tcPr>
                  <w:tcW w:w="1980" w:type="dxa"/>
                  <w:shd w:val="clear" w:color="auto" w:fill="auto"/>
                </w:tcPr>
                <w:p w14:paraId="48A530D0" w14:textId="65974837" w:rsidR="00114F14" w:rsidRDefault="00114F14" w:rsidP="004A104C">
                  <w:pPr>
                    <w:jc w:val="right"/>
                    <w:rPr>
                      <w:sz w:val="16"/>
                      <w:szCs w:val="16"/>
                    </w:rPr>
                  </w:pPr>
                  <w:r>
                    <w:rPr>
                      <w:sz w:val="16"/>
                      <w:szCs w:val="16"/>
                    </w:rPr>
                    <w:t>Federal Expenditures Fund-</w:t>
                  </w:r>
                  <w:r w:rsidRPr="008D72F0">
                    <w:rPr>
                      <w:sz w:val="16"/>
                      <w:szCs w:val="16"/>
                    </w:rPr>
                    <w:t xml:space="preserve">Position </w:t>
                  </w:r>
                  <w:r>
                    <w:rPr>
                      <w:sz w:val="16"/>
                      <w:szCs w:val="16"/>
                    </w:rPr>
                    <w:t xml:space="preserve">FTE </w:t>
                  </w:r>
                  <w:r w:rsidRPr="008D72F0">
                    <w:rPr>
                      <w:sz w:val="16"/>
                      <w:szCs w:val="16"/>
                    </w:rPr>
                    <w:t>Count</w:t>
                  </w:r>
                </w:p>
              </w:tc>
              <w:tc>
                <w:tcPr>
                  <w:tcW w:w="1260" w:type="dxa"/>
                  <w:shd w:val="clear" w:color="auto" w:fill="auto"/>
                  <w:vAlign w:val="center"/>
                </w:tcPr>
                <w:p w14:paraId="044E782E" w14:textId="0C327C97" w:rsidR="00114F14" w:rsidRDefault="00114F14" w:rsidP="004A104C">
                  <w:pPr>
                    <w:jc w:val="right"/>
                    <w:rPr>
                      <w:sz w:val="20"/>
                      <w:szCs w:val="20"/>
                    </w:rPr>
                  </w:pPr>
                  <w:r>
                    <w:rPr>
                      <w:sz w:val="20"/>
                      <w:szCs w:val="20"/>
                    </w:rPr>
                    <w:t>0.707</w:t>
                  </w:r>
                </w:p>
              </w:tc>
              <w:tc>
                <w:tcPr>
                  <w:tcW w:w="1470" w:type="dxa"/>
                  <w:vAlign w:val="center"/>
                </w:tcPr>
                <w:p w14:paraId="51651D4E" w14:textId="27508016" w:rsidR="00114F14" w:rsidRDefault="00114F14" w:rsidP="004A104C">
                  <w:pPr>
                    <w:jc w:val="right"/>
                    <w:rPr>
                      <w:sz w:val="20"/>
                      <w:szCs w:val="20"/>
                    </w:rPr>
                  </w:pPr>
                  <w:r>
                    <w:rPr>
                      <w:sz w:val="20"/>
                      <w:szCs w:val="20"/>
                    </w:rPr>
                    <w:t>0.707</w:t>
                  </w:r>
                </w:p>
              </w:tc>
            </w:tr>
            <w:tr w:rsidR="00114F14" w:rsidRPr="008D72F0" w14:paraId="433DC1F2" w14:textId="77777777" w:rsidTr="00CD7961">
              <w:trPr>
                <w:trHeight w:val="315"/>
              </w:trPr>
              <w:tc>
                <w:tcPr>
                  <w:tcW w:w="1980" w:type="dxa"/>
                  <w:shd w:val="clear" w:color="auto" w:fill="auto"/>
                </w:tcPr>
                <w:p w14:paraId="16932CAD" w14:textId="77777777" w:rsidR="00114F14" w:rsidRPr="008B530B" w:rsidRDefault="00114F14" w:rsidP="004A104C">
                  <w:pPr>
                    <w:jc w:val="right"/>
                    <w:rPr>
                      <w:sz w:val="16"/>
                      <w:szCs w:val="16"/>
                    </w:rPr>
                  </w:pPr>
                  <w:r>
                    <w:rPr>
                      <w:sz w:val="16"/>
                      <w:szCs w:val="16"/>
                    </w:rPr>
                    <w:t>Personal Services</w:t>
                  </w:r>
                </w:p>
              </w:tc>
              <w:tc>
                <w:tcPr>
                  <w:tcW w:w="1260" w:type="dxa"/>
                  <w:shd w:val="clear" w:color="auto" w:fill="auto"/>
                </w:tcPr>
                <w:p w14:paraId="2725937C" w14:textId="1D5AC621" w:rsidR="00114F14" w:rsidRPr="008D72F0" w:rsidRDefault="00114F14" w:rsidP="004A104C">
                  <w:pPr>
                    <w:jc w:val="right"/>
                    <w:rPr>
                      <w:sz w:val="20"/>
                      <w:szCs w:val="20"/>
                    </w:rPr>
                  </w:pPr>
                  <w:r>
                    <w:rPr>
                      <w:sz w:val="20"/>
                      <w:szCs w:val="20"/>
                    </w:rPr>
                    <w:t>$142,601</w:t>
                  </w:r>
                </w:p>
              </w:tc>
              <w:tc>
                <w:tcPr>
                  <w:tcW w:w="1470" w:type="dxa"/>
                </w:tcPr>
                <w:p w14:paraId="6797BD15" w14:textId="1DD469EE" w:rsidR="00114F14" w:rsidRPr="008D72F0" w:rsidRDefault="00114F14" w:rsidP="004A104C">
                  <w:pPr>
                    <w:jc w:val="right"/>
                    <w:rPr>
                      <w:sz w:val="20"/>
                      <w:szCs w:val="20"/>
                    </w:rPr>
                  </w:pPr>
                  <w:r>
                    <w:rPr>
                      <w:sz w:val="20"/>
                      <w:szCs w:val="20"/>
                    </w:rPr>
                    <w:t>$147,913</w:t>
                  </w:r>
                </w:p>
              </w:tc>
            </w:tr>
            <w:tr w:rsidR="00114F14" w:rsidRPr="008D72F0" w14:paraId="2D112A20" w14:textId="77777777" w:rsidTr="00CD7961">
              <w:trPr>
                <w:trHeight w:val="315"/>
              </w:trPr>
              <w:tc>
                <w:tcPr>
                  <w:tcW w:w="1980" w:type="dxa"/>
                  <w:shd w:val="clear" w:color="auto" w:fill="auto"/>
                </w:tcPr>
                <w:p w14:paraId="3346294C" w14:textId="77777777" w:rsidR="00114F14" w:rsidRPr="008B530B" w:rsidRDefault="00114F14" w:rsidP="004A104C">
                  <w:pPr>
                    <w:jc w:val="right"/>
                    <w:rPr>
                      <w:sz w:val="16"/>
                      <w:szCs w:val="16"/>
                    </w:rPr>
                  </w:pPr>
                  <w:r>
                    <w:rPr>
                      <w:sz w:val="16"/>
                      <w:szCs w:val="16"/>
                    </w:rPr>
                    <w:t>All Other</w:t>
                  </w:r>
                </w:p>
              </w:tc>
              <w:tc>
                <w:tcPr>
                  <w:tcW w:w="1260" w:type="dxa"/>
                  <w:shd w:val="clear" w:color="auto" w:fill="auto"/>
                </w:tcPr>
                <w:p w14:paraId="25AB0DEC" w14:textId="721C9CAF" w:rsidR="00114F14" w:rsidRPr="00FE76F6" w:rsidRDefault="00114F14" w:rsidP="004A104C">
                  <w:pPr>
                    <w:jc w:val="right"/>
                    <w:rPr>
                      <w:sz w:val="20"/>
                      <w:szCs w:val="20"/>
                      <w:u w:val="single"/>
                    </w:rPr>
                  </w:pPr>
                  <w:r>
                    <w:rPr>
                      <w:sz w:val="20"/>
                      <w:szCs w:val="20"/>
                      <w:u w:val="single"/>
                    </w:rPr>
                    <w:t>$211,445</w:t>
                  </w:r>
                </w:p>
              </w:tc>
              <w:tc>
                <w:tcPr>
                  <w:tcW w:w="1470" w:type="dxa"/>
                </w:tcPr>
                <w:p w14:paraId="2E41CAE3" w14:textId="2F4E96D5" w:rsidR="00114F14" w:rsidRPr="00FE76F6" w:rsidRDefault="00114F14" w:rsidP="004A104C">
                  <w:pPr>
                    <w:jc w:val="right"/>
                    <w:rPr>
                      <w:sz w:val="20"/>
                      <w:szCs w:val="20"/>
                      <w:u w:val="single"/>
                    </w:rPr>
                  </w:pPr>
                  <w:r>
                    <w:rPr>
                      <w:sz w:val="20"/>
                      <w:szCs w:val="20"/>
                      <w:u w:val="single"/>
                    </w:rPr>
                    <w:t>$211,445</w:t>
                  </w:r>
                </w:p>
              </w:tc>
            </w:tr>
            <w:tr w:rsidR="00114F14" w:rsidRPr="008D72F0" w14:paraId="33102B28" w14:textId="77777777" w:rsidTr="00CD7961">
              <w:trPr>
                <w:trHeight w:val="315"/>
              </w:trPr>
              <w:tc>
                <w:tcPr>
                  <w:tcW w:w="1980" w:type="dxa"/>
                  <w:shd w:val="clear" w:color="auto" w:fill="auto"/>
                </w:tcPr>
                <w:p w14:paraId="0689E84B" w14:textId="77777777" w:rsidR="00114F14" w:rsidRPr="008B530B" w:rsidRDefault="00114F14" w:rsidP="004A104C">
                  <w:pPr>
                    <w:rPr>
                      <w:sz w:val="16"/>
                      <w:szCs w:val="16"/>
                      <w:u w:val="single"/>
                    </w:rPr>
                  </w:pPr>
                  <w:r>
                    <w:rPr>
                      <w:sz w:val="16"/>
                      <w:szCs w:val="16"/>
                      <w:u w:val="single"/>
                    </w:rPr>
                    <w:t>Federal Expenditures Fund Total</w:t>
                  </w:r>
                </w:p>
              </w:tc>
              <w:tc>
                <w:tcPr>
                  <w:tcW w:w="1260" w:type="dxa"/>
                  <w:shd w:val="clear" w:color="auto" w:fill="auto"/>
                </w:tcPr>
                <w:p w14:paraId="73A1307A" w14:textId="26917B6D" w:rsidR="00114F14" w:rsidRPr="008D72F0" w:rsidRDefault="00114F14" w:rsidP="004A104C">
                  <w:pPr>
                    <w:jc w:val="right"/>
                    <w:rPr>
                      <w:sz w:val="20"/>
                      <w:szCs w:val="20"/>
                    </w:rPr>
                  </w:pPr>
                  <w:r>
                    <w:rPr>
                      <w:sz w:val="20"/>
                      <w:szCs w:val="20"/>
                    </w:rPr>
                    <w:t>$354,046</w:t>
                  </w:r>
                </w:p>
              </w:tc>
              <w:tc>
                <w:tcPr>
                  <w:tcW w:w="1470" w:type="dxa"/>
                </w:tcPr>
                <w:p w14:paraId="09CDB11C" w14:textId="6C0F09B8" w:rsidR="00114F14" w:rsidRPr="008D72F0" w:rsidRDefault="00114F14" w:rsidP="004A104C">
                  <w:pPr>
                    <w:jc w:val="right"/>
                    <w:rPr>
                      <w:sz w:val="20"/>
                      <w:szCs w:val="20"/>
                    </w:rPr>
                  </w:pPr>
                  <w:r>
                    <w:rPr>
                      <w:sz w:val="20"/>
                      <w:szCs w:val="20"/>
                    </w:rPr>
                    <w:t>$359,358</w:t>
                  </w:r>
                </w:p>
              </w:tc>
            </w:tr>
            <w:tr w:rsidR="00114F14" w:rsidRPr="008D72F0" w14:paraId="75DA5152" w14:textId="77777777" w:rsidTr="00CD7961">
              <w:trPr>
                <w:trHeight w:val="315"/>
              </w:trPr>
              <w:tc>
                <w:tcPr>
                  <w:tcW w:w="1980" w:type="dxa"/>
                  <w:shd w:val="clear" w:color="auto" w:fill="auto"/>
                </w:tcPr>
                <w:p w14:paraId="0E5468EA" w14:textId="77777777" w:rsidR="00114F14" w:rsidRPr="00170F8D" w:rsidRDefault="00114F14" w:rsidP="004A104C">
                  <w:pPr>
                    <w:jc w:val="right"/>
                    <w:rPr>
                      <w:sz w:val="16"/>
                      <w:szCs w:val="16"/>
                    </w:rPr>
                  </w:pPr>
                  <w:r w:rsidRPr="00170F8D">
                    <w:rPr>
                      <w:sz w:val="16"/>
                      <w:szCs w:val="16"/>
                    </w:rPr>
                    <w:t>Other Special Revenue Funds</w:t>
                  </w:r>
                </w:p>
              </w:tc>
              <w:tc>
                <w:tcPr>
                  <w:tcW w:w="1260" w:type="dxa"/>
                  <w:shd w:val="clear" w:color="auto" w:fill="auto"/>
                </w:tcPr>
                <w:p w14:paraId="57498224" w14:textId="77777777" w:rsidR="00114F14" w:rsidRDefault="00114F14" w:rsidP="004A104C">
                  <w:pPr>
                    <w:jc w:val="right"/>
                    <w:rPr>
                      <w:sz w:val="20"/>
                      <w:szCs w:val="20"/>
                    </w:rPr>
                  </w:pPr>
                </w:p>
              </w:tc>
              <w:tc>
                <w:tcPr>
                  <w:tcW w:w="1470" w:type="dxa"/>
                </w:tcPr>
                <w:p w14:paraId="3A129491" w14:textId="77777777" w:rsidR="00114F14" w:rsidRDefault="00114F14" w:rsidP="004A104C">
                  <w:pPr>
                    <w:jc w:val="right"/>
                    <w:rPr>
                      <w:sz w:val="20"/>
                      <w:szCs w:val="20"/>
                    </w:rPr>
                  </w:pPr>
                </w:p>
              </w:tc>
            </w:tr>
            <w:tr w:rsidR="00114F14" w:rsidRPr="008D72F0" w14:paraId="43EFBED2" w14:textId="77777777" w:rsidTr="00CD7961">
              <w:trPr>
                <w:trHeight w:val="315"/>
              </w:trPr>
              <w:tc>
                <w:tcPr>
                  <w:tcW w:w="1980" w:type="dxa"/>
                  <w:shd w:val="clear" w:color="auto" w:fill="auto"/>
                </w:tcPr>
                <w:p w14:paraId="536E9E0A" w14:textId="77777777" w:rsidR="00114F14" w:rsidRPr="00F016F9" w:rsidRDefault="00114F14" w:rsidP="004A104C">
                  <w:pPr>
                    <w:jc w:val="right"/>
                    <w:rPr>
                      <w:sz w:val="16"/>
                      <w:szCs w:val="16"/>
                    </w:rPr>
                  </w:pPr>
                  <w:r>
                    <w:rPr>
                      <w:sz w:val="16"/>
                      <w:szCs w:val="16"/>
                    </w:rPr>
                    <w:t>All Other</w:t>
                  </w:r>
                </w:p>
              </w:tc>
              <w:tc>
                <w:tcPr>
                  <w:tcW w:w="1260" w:type="dxa"/>
                  <w:shd w:val="clear" w:color="auto" w:fill="auto"/>
                </w:tcPr>
                <w:p w14:paraId="55B1CB29" w14:textId="77777777" w:rsidR="00114F14" w:rsidRDefault="00114F14" w:rsidP="004A104C">
                  <w:pPr>
                    <w:jc w:val="right"/>
                    <w:rPr>
                      <w:sz w:val="20"/>
                      <w:szCs w:val="20"/>
                    </w:rPr>
                  </w:pPr>
                  <w:r>
                    <w:rPr>
                      <w:sz w:val="20"/>
                      <w:szCs w:val="20"/>
                    </w:rPr>
                    <w:t>$8,135</w:t>
                  </w:r>
                </w:p>
              </w:tc>
              <w:tc>
                <w:tcPr>
                  <w:tcW w:w="1470" w:type="dxa"/>
                </w:tcPr>
                <w:p w14:paraId="20CBC275" w14:textId="77777777" w:rsidR="00114F14" w:rsidRDefault="00114F14" w:rsidP="004A104C">
                  <w:pPr>
                    <w:jc w:val="right"/>
                    <w:rPr>
                      <w:sz w:val="20"/>
                      <w:szCs w:val="20"/>
                    </w:rPr>
                  </w:pPr>
                  <w:r>
                    <w:rPr>
                      <w:sz w:val="20"/>
                      <w:szCs w:val="20"/>
                    </w:rPr>
                    <w:t>$8,135</w:t>
                  </w:r>
                </w:p>
              </w:tc>
            </w:tr>
          </w:tbl>
          <w:p w14:paraId="253C30D8" w14:textId="4EB40357" w:rsidR="00114F14" w:rsidRDefault="00114F14" w:rsidP="004A104C">
            <w:pPr>
              <w:pStyle w:val="ListBullet"/>
              <w:numPr>
                <w:ilvl w:val="0"/>
                <w:numId w:val="0"/>
              </w:numPr>
              <w:ind w:left="280"/>
            </w:pPr>
          </w:p>
          <w:p w14:paraId="6AF0EDB4" w14:textId="77777777" w:rsidR="00114F14" w:rsidRDefault="00114F14" w:rsidP="004A104C">
            <w:pPr>
              <w:pStyle w:val="ListBullet"/>
              <w:numPr>
                <w:ilvl w:val="0"/>
                <w:numId w:val="0"/>
              </w:numPr>
              <w:ind w:left="280"/>
            </w:pPr>
          </w:p>
          <w:p w14:paraId="53EB1572" w14:textId="1DE6D301" w:rsidR="00114F14" w:rsidRDefault="00114F14" w:rsidP="004A104C">
            <w:pPr>
              <w:pStyle w:val="ListBullet"/>
            </w:pPr>
            <w:r>
              <w:t>Reorganizes one Director State Schools EUT position to a Public Service Executive II position and increases General Fund Personal Services for $8,527 in FY 20 and for $8,518 in FY 21 to completely fund the position.</w:t>
            </w:r>
          </w:p>
          <w:p w14:paraId="764D3FD1" w14:textId="2223A352" w:rsidR="00114F14" w:rsidRDefault="00114F14" w:rsidP="004A104C">
            <w:pPr>
              <w:pStyle w:val="ListBullet"/>
            </w:pPr>
            <w:r>
              <w:t>Establishes 3 Teacher Aide positions, 3 Janitor/Bus Driver positions and 2 Teacher BS positions and General Fund appropriations in the budget to support education programs for resident unorganized territory students attending school in General Fund appropriations.</w:t>
            </w:r>
          </w:p>
          <w:p w14:paraId="126C02DA" w14:textId="37DC0F12" w:rsidR="00114F14" w:rsidRDefault="00114F14" w:rsidP="004A104C">
            <w:pPr>
              <w:pStyle w:val="ListBullet"/>
              <w:numPr>
                <w:ilvl w:val="0"/>
                <w:numId w:val="0"/>
              </w:numPr>
              <w:ind w:left="460"/>
              <w:jc w:val="center"/>
            </w:pPr>
          </w:p>
          <w:tbl>
            <w:tblPr>
              <w:tblpPr w:leftFromText="180" w:rightFromText="180" w:vertAnchor="text" w:horzAnchor="margin" w:tblpXSpec="center" w:tblpY="-111"/>
              <w:tblOverlap w:val="never"/>
              <w:tblW w:w="0" w:type="auto"/>
              <w:tblLook w:val="01E0" w:firstRow="1" w:lastRow="1" w:firstColumn="1" w:lastColumn="1" w:noHBand="0" w:noVBand="0"/>
            </w:tblPr>
            <w:tblGrid>
              <w:gridCol w:w="2070"/>
              <w:gridCol w:w="1316"/>
              <w:gridCol w:w="1204"/>
            </w:tblGrid>
            <w:tr w:rsidR="00CD7961" w:rsidRPr="008D72F0" w14:paraId="5D4596CF" w14:textId="77777777" w:rsidTr="00CD7961">
              <w:trPr>
                <w:trHeight w:val="357"/>
              </w:trPr>
              <w:tc>
                <w:tcPr>
                  <w:tcW w:w="2070" w:type="dxa"/>
                  <w:shd w:val="clear" w:color="auto" w:fill="auto"/>
                </w:tcPr>
                <w:p w14:paraId="340789CE" w14:textId="77777777" w:rsidR="00CD7961" w:rsidRPr="006B64F5" w:rsidRDefault="00CD7961" w:rsidP="00CD7961">
                  <w:pPr>
                    <w:jc w:val="right"/>
                    <w:rPr>
                      <w:b/>
                      <w:sz w:val="20"/>
                      <w:szCs w:val="20"/>
                      <w:u w:val="single"/>
                    </w:rPr>
                  </w:pPr>
                </w:p>
              </w:tc>
              <w:tc>
                <w:tcPr>
                  <w:tcW w:w="1316" w:type="dxa"/>
                  <w:shd w:val="clear" w:color="auto" w:fill="auto"/>
                </w:tcPr>
                <w:p w14:paraId="203E7403" w14:textId="77777777" w:rsidR="00CD7961" w:rsidRPr="008D72F0" w:rsidRDefault="00CD7961" w:rsidP="00CD7961">
                  <w:pPr>
                    <w:jc w:val="right"/>
                    <w:rPr>
                      <w:sz w:val="20"/>
                      <w:szCs w:val="20"/>
                      <w:u w:val="single"/>
                    </w:rPr>
                  </w:pPr>
                  <w:r w:rsidRPr="008D72F0">
                    <w:rPr>
                      <w:sz w:val="20"/>
                      <w:szCs w:val="20"/>
                      <w:u w:val="single"/>
                    </w:rPr>
                    <w:t xml:space="preserve">FY </w:t>
                  </w:r>
                  <w:r>
                    <w:rPr>
                      <w:sz w:val="20"/>
                      <w:szCs w:val="20"/>
                      <w:u w:val="single"/>
                    </w:rPr>
                    <w:t>20</w:t>
                  </w:r>
                </w:p>
              </w:tc>
              <w:tc>
                <w:tcPr>
                  <w:tcW w:w="1204" w:type="dxa"/>
                </w:tcPr>
                <w:p w14:paraId="16F55835" w14:textId="77777777" w:rsidR="00CD7961" w:rsidRPr="008D72F0" w:rsidRDefault="00CD7961" w:rsidP="00CD7961">
                  <w:pPr>
                    <w:jc w:val="right"/>
                    <w:rPr>
                      <w:sz w:val="20"/>
                      <w:szCs w:val="20"/>
                      <w:u w:val="single"/>
                    </w:rPr>
                  </w:pPr>
                  <w:r>
                    <w:rPr>
                      <w:sz w:val="20"/>
                      <w:szCs w:val="20"/>
                      <w:u w:val="single"/>
                    </w:rPr>
                    <w:t>FY 21</w:t>
                  </w:r>
                </w:p>
              </w:tc>
            </w:tr>
            <w:tr w:rsidR="00CD7961" w:rsidRPr="008D72F0" w14:paraId="39760A37" w14:textId="77777777" w:rsidTr="00CD7961">
              <w:trPr>
                <w:trHeight w:val="357"/>
              </w:trPr>
              <w:tc>
                <w:tcPr>
                  <w:tcW w:w="2070" w:type="dxa"/>
                  <w:shd w:val="clear" w:color="auto" w:fill="auto"/>
                </w:tcPr>
                <w:p w14:paraId="51B76DD2" w14:textId="77777777" w:rsidR="00CD7961" w:rsidRPr="008E6261" w:rsidRDefault="00CD7961" w:rsidP="00CD7961">
                  <w:pPr>
                    <w:jc w:val="right"/>
                    <w:rPr>
                      <w:sz w:val="16"/>
                      <w:szCs w:val="16"/>
                    </w:rPr>
                  </w:pPr>
                  <w:r w:rsidRPr="00170F8D">
                    <w:rPr>
                      <w:sz w:val="16"/>
                      <w:szCs w:val="16"/>
                    </w:rPr>
                    <w:t>General Fund</w:t>
                  </w:r>
                  <w:r w:rsidRPr="008D72F0">
                    <w:rPr>
                      <w:sz w:val="16"/>
                      <w:szCs w:val="16"/>
                    </w:rPr>
                    <w:t xml:space="preserve"> - Position </w:t>
                  </w:r>
                  <w:r>
                    <w:rPr>
                      <w:sz w:val="16"/>
                      <w:szCs w:val="16"/>
                    </w:rPr>
                    <w:t>Legislative Count</w:t>
                  </w:r>
                </w:p>
              </w:tc>
              <w:tc>
                <w:tcPr>
                  <w:tcW w:w="1316" w:type="dxa"/>
                  <w:shd w:val="clear" w:color="auto" w:fill="auto"/>
                  <w:vAlign w:val="center"/>
                </w:tcPr>
                <w:p w14:paraId="04FCFD57" w14:textId="77777777" w:rsidR="00CD7961" w:rsidRPr="008D72F0" w:rsidRDefault="00CD7961" w:rsidP="00CD7961">
                  <w:pPr>
                    <w:jc w:val="right"/>
                    <w:rPr>
                      <w:sz w:val="20"/>
                      <w:szCs w:val="20"/>
                    </w:rPr>
                  </w:pPr>
                  <w:r>
                    <w:rPr>
                      <w:sz w:val="20"/>
                      <w:szCs w:val="20"/>
                    </w:rPr>
                    <w:t>2.000</w:t>
                  </w:r>
                </w:p>
              </w:tc>
              <w:tc>
                <w:tcPr>
                  <w:tcW w:w="1204" w:type="dxa"/>
                  <w:vAlign w:val="center"/>
                </w:tcPr>
                <w:p w14:paraId="788FA33B" w14:textId="77777777" w:rsidR="00CD7961" w:rsidRDefault="00CD7961" w:rsidP="00CD7961">
                  <w:pPr>
                    <w:jc w:val="right"/>
                    <w:rPr>
                      <w:sz w:val="20"/>
                      <w:szCs w:val="20"/>
                    </w:rPr>
                  </w:pPr>
                  <w:r>
                    <w:rPr>
                      <w:sz w:val="20"/>
                      <w:szCs w:val="20"/>
                    </w:rPr>
                    <w:t>2.000</w:t>
                  </w:r>
                </w:p>
              </w:tc>
            </w:tr>
            <w:tr w:rsidR="00CD7961" w:rsidRPr="008D72F0" w14:paraId="70683F76" w14:textId="77777777" w:rsidTr="00CD7961">
              <w:trPr>
                <w:trHeight w:val="315"/>
              </w:trPr>
              <w:tc>
                <w:tcPr>
                  <w:tcW w:w="2070" w:type="dxa"/>
                  <w:shd w:val="clear" w:color="auto" w:fill="auto"/>
                </w:tcPr>
                <w:p w14:paraId="0072BC85" w14:textId="77777777" w:rsidR="00CD7961" w:rsidRPr="008E6261" w:rsidRDefault="00CD7961" w:rsidP="00CD7961">
                  <w:pPr>
                    <w:jc w:val="right"/>
                    <w:rPr>
                      <w:sz w:val="16"/>
                      <w:szCs w:val="16"/>
                    </w:rPr>
                  </w:pPr>
                  <w:r>
                    <w:rPr>
                      <w:sz w:val="16"/>
                      <w:szCs w:val="16"/>
                    </w:rPr>
                    <w:t>General Fund – Position FTE Count</w:t>
                  </w:r>
                </w:p>
              </w:tc>
              <w:tc>
                <w:tcPr>
                  <w:tcW w:w="1316" w:type="dxa"/>
                  <w:shd w:val="clear" w:color="auto" w:fill="auto"/>
                  <w:vAlign w:val="center"/>
                </w:tcPr>
                <w:p w14:paraId="4CB6FA4E" w14:textId="77777777" w:rsidR="00CD7961" w:rsidRPr="008D72F0" w:rsidRDefault="00CD7961" w:rsidP="00CD7961">
                  <w:pPr>
                    <w:jc w:val="right"/>
                    <w:rPr>
                      <w:sz w:val="20"/>
                      <w:szCs w:val="20"/>
                    </w:rPr>
                  </w:pPr>
                  <w:r>
                    <w:rPr>
                      <w:sz w:val="20"/>
                      <w:szCs w:val="20"/>
                    </w:rPr>
                    <w:t>4.242</w:t>
                  </w:r>
                </w:p>
              </w:tc>
              <w:tc>
                <w:tcPr>
                  <w:tcW w:w="1204" w:type="dxa"/>
                  <w:vAlign w:val="center"/>
                </w:tcPr>
                <w:p w14:paraId="22AD60D3" w14:textId="77777777" w:rsidR="00CD7961" w:rsidRPr="008D72F0" w:rsidRDefault="00CD7961" w:rsidP="00CD7961">
                  <w:pPr>
                    <w:jc w:val="right"/>
                    <w:rPr>
                      <w:sz w:val="20"/>
                      <w:szCs w:val="20"/>
                    </w:rPr>
                  </w:pPr>
                  <w:r>
                    <w:rPr>
                      <w:sz w:val="20"/>
                      <w:szCs w:val="20"/>
                    </w:rPr>
                    <w:t>4.242</w:t>
                  </w:r>
                </w:p>
              </w:tc>
            </w:tr>
            <w:tr w:rsidR="00CD7961" w:rsidRPr="008D72F0" w14:paraId="5A064252" w14:textId="77777777" w:rsidTr="00CD7961">
              <w:trPr>
                <w:trHeight w:val="303"/>
              </w:trPr>
              <w:tc>
                <w:tcPr>
                  <w:tcW w:w="2070" w:type="dxa"/>
                  <w:shd w:val="clear" w:color="auto" w:fill="auto"/>
                </w:tcPr>
                <w:p w14:paraId="6A5796A3" w14:textId="77777777" w:rsidR="00CD7961" w:rsidRPr="008E6261" w:rsidRDefault="00CD7961" w:rsidP="00CD7961">
                  <w:pPr>
                    <w:jc w:val="right"/>
                    <w:rPr>
                      <w:sz w:val="16"/>
                      <w:szCs w:val="16"/>
                    </w:rPr>
                  </w:pPr>
                  <w:r w:rsidRPr="008D72F0">
                    <w:rPr>
                      <w:sz w:val="16"/>
                      <w:szCs w:val="16"/>
                    </w:rPr>
                    <w:t>Personal Services</w:t>
                  </w:r>
                </w:p>
              </w:tc>
              <w:tc>
                <w:tcPr>
                  <w:tcW w:w="1316" w:type="dxa"/>
                  <w:shd w:val="clear" w:color="auto" w:fill="auto"/>
                </w:tcPr>
                <w:p w14:paraId="3D3AE653" w14:textId="77777777" w:rsidR="00CD7961" w:rsidRPr="00FE76F6" w:rsidRDefault="00CD7961" w:rsidP="00CD7961">
                  <w:pPr>
                    <w:jc w:val="right"/>
                    <w:rPr>
                      <w:sz w:val="20"/>
                      <w:szCs w:val="20"/>
                      <w:u w:val="single"/>
                    </w:rPr>
                  </w:pPr>
                  <w:r>
                    <w:rPr>
                      <w:sz w:val="20"/>
                      <w:szCs w:val="20"/>
                    </w:rPr>
                    <w:t>$385,944</w:t>
                  </w:r>
                </w:p>
              </w:tc>
              <w:tc>
                <w:tcPr>
                  <w:tcW w:w="1204" w:type="dxa"/>
                </w:tcPr>
                <w:p w14:paraId="17A2C257" w14:textId="77777777" w:rsidR="00CD7961" w:rsidRPr="00FE76F6" w:rsidRDefault="00CD7961" w:rsidP="00CD7961">
                  <w:pPr>
                    <w:jc w:val="right"/>
                    <w:rPr>
                      <w:sz w:val="20"/>
                      <w:szCs w:val="20"/>
                      <w:u w:val="single"/>
                    </w:rPr>
                  </w:pPr>
                  <w:r>
                    <w:rPr>
                      <w:sz w:val="20"/>
                      <w:szCs w:val="20"/>
                    </w:rPr>
                    <w:t>$401,588</w:t>
                  </w:r>
                </w:p>
              </w:tc>
            </w:tr>
          </w:tbl>
          <w:p w14:paraId="103B08F9" w14:textId="77777777" w:rsidR="00114F14" w:rsidRDefault="00114F14" w:rsidP="004A104C">
            <w:pPr>
              <w:pStyle w:val="ListBullet"/>
              <w:numPr>
                <w:ilvl w:val="0"/>
                <w:numId w:val="0"/>
              </w:numPr>
              <w:ind w:left="460"/>
              <w:jc w:val="center"/>
            </w:pPr>
          </w:p>
          <w:p w14:paraId="6C94C559" w14:textId="77777777" w:rsidR="00114F14" w:rsidRDefault="00114F14" w:rsidP="004A104C">
            <w:pPr>
              <w:pStyle w:val="ListBullet"/>
              <w:numPr>
                <w:ilvl w:val="0"/>
                <w:numId w:val="0"/>
              </w:numPr>
              <w:ind w:left="460"/>
              <w:jc w:val="center"/>
            </w:pPr>
          </w:p>
          <w:p w14:paraId="072275A5" w14:textId="5007FDB4" w:rsidR="00114F14" w:rsidRDefault="00114F14" w:rsidP="004A104C">
            <w:pPr>
              <w:pStyle w:val="ListBullet"/>
              <w:numPr>
                <w:ilvl w:val="0"/>
                <w:numId w:val="0"/>
              </w:numPr>
              <w:ind w:left="280"/>
            </w:pPr>
          </w:p>
          <w:p w14:paraId="418C86A8" w14:textId="3D2B1EE7" w:rsidR="00114F14" w:rsidRDefault="00114F14" w:rsidP="004A104C">
            <w:pPr>
              <w:pStyle w:val="ListBullet"/>
              <w:numPr>
                <w:ilvl w:val="0"/>
                <w:numId w:val="0"/>
              </w:numPr>
              <w:ind w:left="280"/>
            </w:pPr>
          </w:p>
          <w:p w14:paraId="3A4D58F6" w14:textId="445AB56D" w:rsidR="00CD7961" w:rsidRDefault="00CD7961" w:rsidP="004A104C">
            <w:pPr>
              <w:pStyle w:val="ListBullet"/>
              <w:numPr>
                <w:ilvl w:val="0"/>
                <w:numId w:val="0"/>
              </w:numPr>
              <w:ind w:left="280"/>
            </w:pPr>
          </w:p>
          <w:p w14:paraId="66EEEB31" w14:textId="76C19369" w:rsidR="00CD7961" w:rsidRDefault="00CD7961" w:rsidP="004A104C">
            <w:pPr>
              <w:pStyle w:val="ListBullet"/>
              <w:numPr>
                <w:ilvl w:val="0"/>
                <w:numId w:val="0"/>
              </w:numPr>
              <w:ind w:left="280"/>
            </w:pPr>
          </w:p>
          <w:p w14:paraId="7B411076" w14:textId="77777777" w:rsidR="00CD7961" w:rsidRDefault="00CD7961" w:rsidP="004A104C">
            <w:pPr>
              <w:pStyle w:val="ListBullet"/>
              <w:numPr>
                <w:ilvl w:val="0"/>
                <w:numId w:val="0"/>
              </w:numPr>
              <w:ind w:left="280"/>
            </w:pPr>
          </w:p>
          <w:p w14:paraId="1A78647B" w14:textId="4C5E0FF8" w:rsidR="00114F14" w:rsidRPr="000F14AE" w:rsidRDefault="00114F14" w:rsidP="004A104C">
            <w:pPr>
              <w:pStyle w:val="ListBullet"/>
              <w:numPr>
                <w:ilvl w:val="0"/>
                <w:numId w:val="0"/>
              </w:numPr>
              <w:rPr>
                <w:u w:val="single"/>
              </w:rPr>
            </w:pPr>
            <w:r w:rsidRPr="000F14AE">
              <w:rPr>
                <w:u w:val="single"/>
              </w:rPr>
              <w:t>Facilities, Safety and Transportation</w:t>
            </w:r>
          </w:p>
          <w:p w14:paraId="3F99650E" w14:textId="7AC6A053" w:rsidR="00114F14" w:rsidRPr="000F14AE" w:rsidRDefault="00114F14" w:rsidP="004A104C">
            <w:pPr>
              <w:pStyle w:val="ListBullet"/>
              <w:numPr>
                <w:ilvl w:val="0"/>
                <w:numId w:val="0"/>
              </w:numPr>
              <w:ind w:left="280"/>
            </w:pPr>
          </w:p>
          <w:p w14:paraId="6216F669" w14:textId="3138A8C4" w:rsidR="00114F14" w:rsidRPr="002A0216" w:rsidRDefault="00114F14" w:rsidP="004A104C">
            <w:pPr>
              <w:pStyle w:val="ListBullet"/>
            </w:pPr>
            <w:r w:rsidRPr="002A0216">
              <w:t>Transfers one Public Service Executive II position, one Public Service Manager II position, 2 Public Service Coordinator II positions and one Secretary Associate position and appropriations from School Finance and Operations Other Special Revenue Funds program, to establish the Facilities, Safety and Transportation program in FY 20 and in FY 21.</w:t>
            </w:r>
          </w:p>
          <w:p w14:paraId="25F7F88E" w14:textId="77777777" w:rsidR="00114F14" w:rsidRDefault="00114F14" w:rsidP="004A104C">
            <w:pPr>
              <w:pStyle w:val="ListBullet"/>
              <w:numPr>
                <w:ilvl w:val="0"/>
                <w:numId w:val="0"/>
              </w:numPr>
              <w:ind w:left="460" w:hanging="180"/>
              <w:rPr>
                <w:sz w:val="22"/>
                <w:szCs w:val="22"/>
              </w:rPr>
            </w:pPr>
          </w:p>
          <w:tbl>
            <w:tblPr>
              <w:tblW w:w="0" w:type="auto"/>
              <w:tblInd w:w="1320" w:type="dxa"/>
              <w:tblLook w:val="01E0" w:firstRow="1" w:lastRow="1" w:firstColumn="1" w:lastColumn="1" w:noHBand="0" w:noVBand="0"/>
            </w:tblPr>
            <w:tblGrid>
              <w:gridCol w:w="1710"/>
              <w:gridCol w:w="1350"/>
              <w:gridCol w:w="1350"/>
            </w:tblGrid>
            <w:tr w:rsidR="00114F14" w:rsidRPr="008D72F0" w14:paraId="4128756D" w14:textId="77777777" w:rsidTr="00CD7961">
              <w:trPr>
                <w:trHeight w:val="357"/>
              </w:trPr>
              <w:tc>
                <w:tcPr>
                  <w:tcW w:w="1710" w:type="dxa"/>
                  <w:shd w:val="clear" w:color="auto" w:fill="auto"/>
                </w:tcPr>
                <w:p w14:paraId="56D87F93" w14:textId="77777777" w:rsidR="00114F14" w:rsidRPr="008D72F0" w:rsidRDefault="00114F14" w:rsidP="004A104C">
                  <w:pPr>
                    <w:jc w:val="right"/>
                    <w:rPr>
                      <w:sz w:val="20"/>
                      <w:szCs w:val="20"/>
                      <w:u w:val="single"/>
                    </w:rPr>
                  </w:pPr>
                </w:p>
              </w:tc>
              <w:tc>
                <w:tcPr>
                  <w:tcW w:w="1350" w:type="dxa"/>
                  <w:shd w:val="clear" w:color="auto" w:fill="auto"/>
                </w:tcPr>
                <w:p w14:paraId="4AA31FBD"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350" w:type="dxa"/>
                </w:tcPr>
                <w:p w14:paraId="6F0580BB" w14:textId="77777777" w:rsidR="00114F14" w:rsidRPr="008D72F0" w:rsidRDefault="00114F14" w:rsidP="004A104C">
                  <w:pPr>
                    <w:jc w:val="right"/>
                    <w:rPr>
                      <w:sz w:val="20"/>
                      <w:szCs w:val="20"/>
                      <w:u w:val="single"/>
                    </w:rPr>
                  </w:pPr>
                  <w:r>
                    <w:rPr>
                      <w:sz w:val="20"/>
                      <w:szCs w:val="20"/>
                      <w:u w:val="single"/>
                    </w:rPr>
                    <w:t>FY 21</w:t>
                  </w:r>
                </w:p>
              </w:tc>
            </w:tr>
            <w:tr w:rsidR="00114F14" w14:paraId="78264AFC" w14:textId="77777777" w:rsidTr="00CD7961">
              <w:trPr>
                <w:trHeight w:val="357"/>
              </w:trPr>
              <w:tc>
                <w:tcPr>
                  <w:tcW w:w="1710" w:type="dxa"/>
                  <w:shd w:val="clear" w:color="auto" w:fill="auto"/>
                </w:tcPr>
                <w:p w14:paraId="482DBB3A" w14:textId="298D6BBF" w:rsidR="00114F14" w:rsidRPr="008D72F0" w:rsidRDefault="00114F14" w:rsidP="004A104C">
                  <w:pPr>
                    <w:jc w:val="right"/>
                    <w:rPr>
                      <w:sz w:val="16"/>
                      <w:szCs w:val="16"/>
                    </w:rPr>
                  </w:pPr>
                  <w:r>
                    <w:rPr>
                      <w:sz w:val="16"/>
                      <w:szCs w:val="16"/>
                    </w:rPr>
                    <w:t>Other Special Revenue Funds</w:t>
                  </w:r>
                  <w:r w:rsidRPr="008D72F0">
                    <w:rPr>
                      <w:sz w:val="16"/>
                      <w:szCs w:val="16"/>
                    </w:rPr>
                    <w:t xml:space="preserve"> - Position Count</w:t>
                  </w:r>
                </w:p>
              </w:tc>
              <w:tc>
                <w:tcPr>
                  <w:tcW w:w="1350" w:type="dxa"/>
                  <w:shd w:val="clear" w:color="auto" w:fill="auto"/>
                  <w:vAlign w:val="center"/>
                </w:tcPr>
                <w:p w14:paraId="1D7477BD" w14:textId="7E6C5781" w:rsidR="00114F14" w:rsidRPr="008D72F0" w:rsidRDefault="00114F14" w:rsidP="004A104C">
                  <w:pPr>
                    <w:jc w:val="right"/>
                    <w:rPr>
                      <w:sz w:val="20"/>
                      <w:szCs w:val="20"/>
                    </w:rPr>
                  </w:pPr>
                  <w:r>
                    <w:rPr>
                      <w:sz w:val="20"/>
                      <w:szCs w:val="20"/>
                    </w:rPr>
                    <w:t>5.000</w:t>
                  </w:r>
                </w:p>
              </w:tc>
              <w:tc>
                <w:tcPr>
                  <w:tcW w:w="1350" w:type="dxa"/>
                  <w:vAlign w:val="center"/>
                </w:tcPr>
                <w:p w14:paraId="18225512" w14:textId="6C7519F3" w:rsidR="00114F14" w:rsidRDefault="00114F14" w:rsidP="004A104C">
                  <w:pPr>
                    <w:jc w:val="right"/>
                    <w:rPr>
                      <w:sz w:val="20"/>
                      <w:szCs w:val="20"/>
                    </w:rPr>
                  </w:pPr>
                  <w:r>
                    <w:rPr>
                      <w:sz w:val="20"/>
                      <w:szCs w:val="20"/>
                    </w:rPr>
                    <w:t>5.000</w:t>
                  </w:r>
                </w:p>
              </w:tc>
            </w:tr>
            <w:tr w:rsidR="00114F14" w:rsidRPr="008D72F0" w14:paraId="2E3CC548" w14:textId="77777777" w:rsidTr="00CD7961">
              <w:trPr>
                <w:trHeight w:val="357"/>
              </w:trPr>
              <w:tc>
                <w:tcPr>
                  <w:tcW w:w="1710" w:type="dxa"/>
                  <w:shd w:val="clear" w:color="auto" w:fill="auto"/>
                </w:tcPr>
                <w:p w14:paraId="70178F45" w14:textId="77777777" w:rsidR="00114F14" w:rsidRPr="008D72F0" w:rsidRDefault="00114F14" w:rsidP="004A104C">
                  <w:pPr>
                    <w:jc w:val="right"/>
                    <w:rPr>
                      <w:sz w:val="16"/>
                      <w:szCs w:val="16"/>
                    </w:rPr>
                  </w:pPr>
                  <w:r w:rsidRPr="008D72F0">
                    <w:rPr>
                      <w:sz w:val="16"/>
                      <w:szCs w:val="16"/>
                    </w:rPr>
                    <w:t>Personal Services</w:t>
                  </w:r>
                </w:p>
              </w:tc>
              <w:tc>
                <w:tcPr>
                  <w:tcW w:w="1350" w:type="dxa"/>
                  <w:shd w:val="clear" w:color="auto" w:fill="auto"/>
                </w:tcPr>
                <w:p w14:paraId="52E02F4B" w14:textId="01330377" w:rsidR="00114F14" w:rsidRPr="008D72F0" w:rsidRDefault="00114F14" w:rsidP="004A104C">
                  <w:pPr>
                    <w:jc w:val="right"/>
                    <w:rPr>
                      <w:sz w:val="20"/>
                      <w:szCs w:val="20"/>
                    </w:rPr>
                  </w:pPr>
                  <w:r>
                    <w:rPr>
                      <w:sz w:val="20"/>
                      <w:szCs w:val="20"/>
                    </w:rPr>
                    <w:t>$653,855</w:t>
                  </w:r>
                </w:p>
              </w:tc>
              <w:tc>
                <w:tcPr>
                  <w:tcW w:w="1350" w:type="dxa"/>
                </w:tcPr>
                <w:p w14:paraId="7D83395E" w14:textId="074086EE" w:rsidR="00114F14" w:rsidRPr="008D72F0" w:rsidRDefault="00114F14" w:rsidP="004A104C">
                  <w:pPr>
                    <w:jc w:val="right"/>
                    <w:rPr>
                      <w:sz w:val="20"/>
                      <w:szCs w:val="20"/>
                    </w:rPr>
                  </w:pPr>
                  <w:r>
                    <w:rPr>
                      <w:sz w:val="20"/>
                      <w:szCs w:val="20"/>
                    </w:rPr>
                    <w:t>$607,883</w:t>
                  </w:r>
                </w:p>
              </w:tc>
            </w:tr>
            <w:tr w:rsidR="00114F14" w:rsidRPr="00FE76F6" w14:paraId="4BC1C46F" w14:textId="77777777" w:rsidTr="00CD7961">
              <w:trPr>
                <w:trHeight w:val="315"/>
              </w:trPr>
              <w:tc>
                <w:tcPr>
                  <w:tcW w:w="1710" w:type="dxa"/>
                  <w:shd w:val="clear" w:color="auto" w:fill="auto"/>
                </w:tcPr>
                <w:p w14:paraId="6C6937FD" w14:textId="77777777" w:rsidR="00114F14" w:rsidRPr="008D72F0" w:rsidRDefault="00114F14" w:rsidP="004A104C">
                  <w:pPr>
                    <w:jc w:val="right"/>
                    <w:rPr>
                      <w:sz w:val="16"/>
                      <w:szCs w:val="16"/>
                    </w:rPr>
                  </w:pPr>
                  <w:r>
                    <w:rPr>
                      <w:sz w:val="16"/>
                      <w:szCs w:val="16"/>
                    </w:rPr>
                    <w:t>All Other</w:t>
                  </w:r>
                </w:p>
              </w:tc>
              <w:tc>
                <w:tcPr>
                  <w:tcW w:w="1350" w:type="dxa"/>
                  <w:shd w:val="clear" w:color="auto" w:fill="auto"/>
                </w:tcPr>
                <w:p w14:paraId="1B95E723" w14:textId="72721BA2" w:rsidR="00114F14" w:rsidRPr="00FE76F6" w:rsidRDefault="00114F14" w:rsidP="004A104C">
                  <w:pPr>
                    <w:jc w:val="right"/>
                    <w:rPr>
                      <w:sz w:val="20"/>
                      <w:szCs w:val="20"/>
                      <w:u w:val="single"/>
                    </w:rPr>
                  </w:pPr>
                  <w:r w:rsidRPr="00FE76F6">
                    <w:rPr>
                      <w:sz w:val="20"/>
                      <w:szCs w:val="20"/>
                      <w:u w:val="single"/>
                    </w:rPr>
                    <w:t>$</w:t>
                  </w:r>
                  <w:r>
                    <w:rPr>
                      <w:sz w:val="20"/>
                      <w:szCs w:val="20"/>
                      <w:u w:val="single"/>
                    </w:rPr>
                    <w:t>342,884</w:t>
                  </w:r>
                </w:p>
              </w:tc>
              <w:tc>
                <w:tcPr>
                  <w:tcW w:w="1350" w:type="dxa"/>
                </w:tcPr>
                <w:p w14:paraId="60D0F7DD" w14:textId="22C3CB3E" w:rsidR="00114F14" w:rsidRPr="00FE76F6" w:rsidRDefault="00114F14" w:rsidP="004A104C">
                  <w:pPr>
                    <w:jc w:val="right"/>
                    <w:rPr>
                      <w:sz w:val="20"/>
                      <w:szCs w:val="20"/>
                      <w:u w:val="single"/>
                    </w:rPr>
                  </w:pPr>
                  <w:r>
                    <w:rPr>
                      <w:sz w:val="20"/>
                      <w:szCs w:val="20"/>
                      <w:u w:val="single"/>
                    </w:rPr>
                    <w:t>$391,389</w:t>
                  </w:r>
                </w:p>
              </w:tc>
            </w:tr>
            <w:tr w:rsidR="00114F14" w:rsidRPr="008D72F0" w14:paraId="57ABC20F" w14:textId="77777777" w:rsidTr="00CD7961">
              <w:trPr>
                <w:trHeight w:val="303"/>
              </w:trPr>
              <w:tc>
                <w:tcPr>
                  <w:tcW w:w="1710" w:type="dxa"/>
                  <w:shd w:val="clear" w:color="auto" w:fill="auto"/>
                </w:tcPr>
                <w:p w14:paraId="6399A66C" w14:textId="6A9260CA" w:rsidR="00114F14" w:rsidRPr="008D72F0" w:rsidRDefault="00114F14" w:rsidP="004A104C">
                  <w:pPr>
                    <w:rPr>
                      <w:sz w:val="16"/>
                      <w:szCs w:val="16"/>
                      <w:u w:val="single"/>
                    </w:rPr>
                  </w:pPr>
                  <w:r>
                    <w:rPr>
                      <w:sz w:val="16"/>
                      <w:szCs w:val="16"/>
                      <w:u w:val="single"/>
                    </w:rPr>
                    <w:t>Other Special Revenue Funds Total</w:t>
                  </w:r>
                </w:p>
              </w:tc>
              <w:tc>
                <w:tcPr>
                  <w:tcW w:w="1350" w:type="dxa"/>
                  <w:shd w:val="clear" w:color="auto" w:fill="auto"/>
                </w:tcPr>
                <w:p w14:paraId="18925DBF" w14:textId="40FC18FB" w:rsidR="00114F14" w:rsidRPr="008D72F0" w:rsidRDefault="00114F14" w:rsidP="004A104C">
                  <w:pPr>
                    <w:jc w:val="right"/>
                    <w:rPr>
                      <w:sz w:val="20"/>
                      <w:szCs w:val="20"/>
                    </w:rPr>
                  </w:pPr>
                  <w:r>
                    <w:rPr>
                      <w:sz w:val="20"/>
                      <w:szCs w:val="20"/>
                    </w:rPr>
                    <w:t>$996,739</w:t>
                  </w:r>
                </w:p>
              </w:tc>
              <w:tc>
                <w:tcPr>
                  <w:tcW w:w="1350" w:type="dxa"/>
                </w:tcPr>
                <w:p w14:paraId="42231A10" w14:textId="090B52DA" w:rsidR="00114F14" w:rsidRPr="008D72F0" w:rsidRDefault="00114F14" w:rsidP="004A104C">
                  <w:pPr>
                    <w:jc w:val="right"/>
                    <w:rPr>
                      <w:sz w:val="20"/>
                      <w:szCs w:val="20"/>
                    </w:rPr>
                  </w:pPr>
                  <w:r>
                    <w:rPr>
                      <w:sz w:val="20"/>
                      <w:szCs w:val="20"/>
                    </w:rPr>
                    <w:t>$999,272</w:t>
                  </w:r>
                </w:p>
              </w:tc>
            </w:tr>
          </w:tbl>
          <w:p w14:paraId="310192FA" w14:textId="2470605B" w:rsidR="00114F14" w:rsidRDefault="00114F14" w:rsidP="004A104C">
            <w:pPr>
              <w:pStyle w:val="ListBullet"/>
              <w:numPr>
                <w:ilvl w:val="0"/>
                <w:numId w:val="0"/>
              </w:numPr>
              <w:ind w:left="280"/>
            </w:pPr>
          </w:p>
          <w:p w14:paraId="062D4D3E" w14:textId="746A2723" w:rsidR="00114F14" w:rsidRDefault="00114F14" w:rsidP="004A104C">
            <w:pPr>
              <w:pStyle w:val="ListBullet"/>
            </w:pPr>
            <w:r>
              <w:t>Provides Federal Expenditures Fund appropriations to align with anticipated revenue of $597,282 in FY 20 and of $553,032 in FY 21.</w:t>
            </w:r>
          </w:p>
          <w:p w14:paraId="7325D84F" w14:textId="1332EF6A" w:rsidR="00114F14" w:rsidRDefault="00114F14" w:rsidP="004A104C">
            <w:pPr>
              <w:pStyle w:val="ListBullet"/>
              <w:numPr>
                <w:ilvl w:val="0"/>
                <w:numId w:val="0"/>
              </w:numPr>
              <w:ind w:left="280"/>
            </w:pPr>
          </w:p>
          <w:p w14:paraId="24176EC1" w14:textId="77777777" w:rsidR="00114F14" w:rsidRDefault="00114F14" w:rsidP="004A104C">
            <w:pPr>
              <w:pStyle w:val="ListBullet"/>
              <w:numPr>
                <w:ilvl w:val="0"/>
                <w:numId w:val="0"/>
              </w:numPr>
              <w:ind w:left="280"/>
            </w:pPr>
          </w:p>
          <w:p w14:paraId="666D6032" w14:textId="77777777" w:rsidR="00114F14" w:rsidRPr="000C3CBD" w:rsidRDefault="00114F14" w:rsidP="004A104C">
            <w:pPr>
              <w:pStyle w:val="ListBullet"/>
              <w:numPr>
                <w:ilvl w:val="0"/>
                <w:numId w:val="0"/>
              </w:numPr>
              <w:rPr>
                <w:sz w:val="22"/>
                <w:szCs w:val="22"/>
                <w:u w:val="single"/>
              </w:rPr>
            </w:pPr>
            <w:r w:rsidRPr="000C3CBD">
              <w:rPr>
                <w:sz w:val="22"/>
                <w:szCs w:val="22"/>
                <w:u w:val="single"/>
              </w:rPr>
              <w:t>Fund for a Healthy Maine - School Breakfast Program</w:t>
            </w:r>
          </w:p>
          <w:p w14:paraId="0D104771" w14:textId="77777777" w:rsidR="00114F14" w:rsidRPr="000C3CBD" w:rsidRDefault="00114F14" w:rsidP="004A104C">
            <w:pPr>
              <w:pStyle w:val="ListBullet"/>
              <w:numPr>
                <w:ilvl w:val="0"/>
                <w:numId w:val="0"/>
              </w:numPr>
              <w:rPr>
                <w:sz w:val="22"/>
                <w:szCs w:val="22"/>
              </w:rPr>
            </w:pPr>
          </w:p>
          <w:p w14:paraId="44917565" w14:textId="4118C87E" w:rsidR="00114F14" w:rsidRPr="00191B45" w:rsidRDefault="00114F14" w:rsidP="004A104C">
            <w:pPr>
              <w:pStyle w:val="ListBullet"/>
            </w:pPr>
            <w:r w:rsidRPr="00191B45">
              <w:t>Provides Fund for a Healthy Maine appropriations in the budget for the School Breakfast Program of $213,720 in FY 20 and in FY 21.</w:t>
            </w:r>
          </w:p>
          <w:p w14:paraId="1B517823" w14:textId="0A217FAC" w:rsidR="00114F14" w:rsidRDefault="00114F14" w:rsidP="004A104C"/>
          <w:p w14:paraId="422BA640" w14:textId="77777777" w:rsidR="00CD7961" w:rsidRPr="00191B45" w:rsidRDefault="00CD7961" w:rsidP="004A104C"/>
          <w:p w14:paraId="1F7AA564" w14:textId="77777777" w:rsidR="00114F14" w:rsidRPr="000C3CBD" w:rsidRDefault="00114F14" w:rsidP="004A104C">
            <w:pPr>
              <w:pStyle w:val="ListBullet"/>
              <w:numPr>
                <w:ilvl w:val="0"/>
                <w:numId w:val="0"/>
              </w:numPr>
              <w:rPr>
                <w:sz w:val="22"/>
                <w:szCs w:val="22"/>
                <w:u w:val="single"/>
              </w:rPr>
            </w:pPr>
            <w:r w:rsidRPr="000C3CBD">
              <w:rPr>
                <w:sz w:val="22"/>
                <w:szCs w:val="22"/>
                <w:u w:val="single"/>
              </w:rPr>
              <w:t>Fund for the Efficient Delivery of Educational Services</w:t>
            </w:r>
          </w:p>
          <w:p w14:paraId="3F27BC87" w14:textId="77777777" w:rsidR="00114F14" w:rsidRPr="000C3CBD" w:rsidRDefault="00114F14" w:rsidP="004A104C">
            <w:pPr>
              <w:pStyle w:val="ListBullet"/>
              <w:numPr>
                <w:ilvl w:val="0"/>
                <w:numId w:val="0"/>
              </w:numPr>
              <w:rPr>
                <w:sz w:val="22"/>
                <w:szCs w:val="22"/>
              </w:rPr>
            </w:pPr>
          </w:p>
          <w:p w14:paraId="727860A8" w14:textId="70A5F9DC" w:rsidR="00114F14" w:rsidRPr="00191B45" w:rsidRDefault="00114F14" w:rsidP="004A104C">
            <w:pPr>
              <w:pStyle w:val="ListBullet"/>
            </w:pPr>
            <w:r w:rsidRPr="00191B45">
              <w:t>Provides Other Special Revenue Funds appropriations in the budget for the Fund for the Efficient Delivery of Educational Services of $500 in FY 20 and in FY 21.</w:t>
            </w:r>
          </w:p>
          <w:p w14:paraId="222DDC6E" w14:textId="162B561A" w:rsidR="00114F14" w:rsidRDefault="00114F14" w:rsidP="004A104C">
            <w:pPr>
              <w:pStyle w:val="ListBullet"/>
              <w:numPr>
                <w:ilvl w:val="0"/>
                <w:numId w:val="0"/>
              </w:numPr>
              <w:ind w:left="280"/>
            </w:pPr>
          </w:p>
          <w:p w14:paraId="1792D4C0" w14:textId="77777777" w:rsidR="00114F14" w:rsidRDefault="00114F14" w:rsidP="004A104C">
            <w:pPr>
              <w:pStyle w:val="ListBullet"/>
              <w:numPr>
                <w:ilvl w:val="0"/>
                <w:numId w:val="0"/>
              </w:numPr>
              <w:ind w:left="280"/>
            </w:pPr>
          </w:p>
          <w:p w14:paraId="7AD8FA17" w14:textId="77777777" w:rsidR="00114F14" w:rsidRPr="000C3CBD" w:rsidRDefault="00114F14" w:rsidP="004A104C">
            <w:pPr>
              <w:pStyle w:val="ListBullet"/>
              <w:numPr>
                <w:ilvl w:val="0"/>
                <w:numId w:val="0"/>
              </w:numPr>
              <w:rPr>
                <w:sz w:val="22"/>
                <w:szCs w:val="22"/>
                <w:u w:val="single"/>
              </w:rPr>
            </w:pPr>
            <w:r w:rsidRPr="000C3CBD">
              <w:rPr>
                <w:sz w:val="22"/>
                <w:szCs w:val="22"/>
                <w:u w:val="single"/>
              </w:rPr>
              <w:t>General Purpose Aid for Local Schools</w:t>
            </w:r>
          </w:p>
          <w:p w14:paraId="70FF3AF7" w14:textId="77777777" w:rsidR="00114F14" w:rsidRPr="000C3CBD" w:rsidRDefault="00114F14" w:rsidP="004A104C">
            <w:pPr>
              <w:pStyle w:val="ListBullet"/>
              <w:numPr>
                <w:ilvl w:val="0"/>
                <w:numId w:val="0"/>
              </w:numPr>
              <w:rPr>
                <w:sz w:val="22"/>
                <w:szCs w:val="22"/>
                <w:u w:val="single"/>
              </w:rPr>
            </w:pPr>
          </w:p>
          <w:p w14:paraId="0A860441" w14:textId="194CBA0A" w:rsidR="00114F14" w:rsidRPr="002A0216" w:rsidRDefault="00114F14" w:rsidP="004A104C">
            <w:pPr>
              <w:pStyle w:val="ListBullet"/>
            </w:pPr>
            <w:r w:rsidRPr="002A0216">
              <w:t>Provides General Fund and Other Special Revenue appropriations in the budget for General Purpose Aid for Local Schools in FY 20 and in FY 21.</w:t>
            </w:r>
          </w:p>
          <w:p w14:paraId="2F89C629" w14:textId="77777777" w:rsidR="00114F14" w:rsidRDefault="00114F14" w:rsidP="004A104C">
            <w:pPr>
              <w:pStyle w:val="ListBullet"/>
              <w:numPr>
                <w:ilvl w:val="0"/>
                <w:numId w:val="0"/>
              </w:numPr>
              <w:ind w:left="460"/>
              <w:rPr>
                <w:sz w:val="22"/>
                <w:szCs w:val="22"/>
              </w:rPr>
            </w:pPr>
          </w:p>
          <w:tbl>
            <w:tblPr>
              <w:tblpPr w:leftFromText="180" w:rightFromText="180" w:vertAnchor="text" w:horzAnchor="margin" w:tblpXSpec="center" w:tblpY="67"/>
              <w:tblOverlap w:val="never"/>
              <w:tblW w:w="0" w:type="auto"/>
              <w:tblLook w:val="01E0" w:firstRow="1" w:lastRow="1" w:firstColumn="1" w:lastColumn="1" w:noHBand="0" w:noVBand="0"/>
            </w:tblPr>
            <w:tblGrid>
              <w:gridCol w:w="1666"/>
              <w:gridCol w:w="1466"/>
              <w:gridCol w:w="1466"/>
            </w:tblGrid>
            <w:tr w:rsidR="00114F14" w:rsidRPr="008D72F0" w14:paraId="0C5DDB1F" w14:textId="77777777" w:rsidTr="00667D79">
              <w:trPr>
                <w:trHeight w:val="357"/>
              </w:trPr>
              <w:tc>
                <w:tcPr>
                  <w:tcW w:w="1666" w:type="dxa"/>
                  <w:shd w:val="clear" w:color="auto" w:fill="auto"/>
                </w:tcPr>
                <w:p w14:paraId="08B71D06" w14:textId="77777777" w:rsidR="00114F14" w:rsidRPr="006B64F5" w:rsidRDefault="00114F14" w:rsidP="004A104C">
                  <w:pPr>
                    <w:jc w:val="right"/>
                    <w:rPr>
                      <w:b/>
                      <w:sz w:val="20"/>
                      <w:szCs w:val="20"/>
                      <w:u w:val="single"/>
                    </w:rPr>
                  </w:pPr>
                </w:p>
              </w:tc>
              <w:tc>
                <w:tcPr>
                  <w:tcW w:w="1415" w:type="dxa"/>
                  <w:shd w:val="clear" w:color="auto" w:fill="auto"/>
                </w:tcPr>
                <w:p w14:paraId="73E114B7" w14:textId="77777777" w:rsidR="00114F14" w:rsidRPr="008D72F0" w:rsidRDefault="00114F14" w:rsidP="004A104C">
                  <w:pPr>
                    <w:jc w:val="right"/>
                    <w:rPr>
                      <w:sz w:val="20"/>
                      <w:szCs w:val="20"/>
                      <w:u w:val="single"/>
                    </w:rPr>
                  </w:pPr>
                  <w:r w:rsidRPr="008D72F0">
                    <w:rPr>
                      <w:sz w:val="20"/>
                      <w:szCs w:val="20"/>
                      <w:u w:val="single"/>
                    </w:rPr>
                    <w:t>FY 1</w:t>
                  </w:r>
                  <w:r>
                    <w:rPr>
                      <w:sz w:val="20"/>
                      <w:szCs w:val="20"/>
                      <w:u w:val="single"/>
                    </w:rPr>
                    <w:t>8</w:t>
                  </w:r>
                </w:p>
              </w:tc>
              <w:tc>
                <w:tcPr>
                  <w:tcW w:w="1415" w:type="dxa"/>
                </w:tcPr>
                <w:p w14:paraId="1CE4B0C3" w14:textId="77777777" w:rsidR="00114F14" w:rsidRPr="008D72F0" w:rsidRDefault="00114F14" w:rsidP="004A104C">
                  <w:pPr>
                    <w:jc w:val="right"/>
                    <w:rPr>
                      <w:sz w:val="20"/>
                      <w:szCs w:val="20"/>
                      <w:u w:val="single"/>
                    </w:rPr>
                  </w:pPr>
                  <w:r>
                    <w:rPr>
                      <w:sz w:val="20"/>
                      <w:szCs w:val="20"/>
                      <w:u w:val="single"/>
                    </w:rPr>
                    <w:t>FY 19</w:t>
                  </w:r>
                </w:p>
              </w:tc>
            </w:tr>
            <w:tr w:rsidR="00114F14" w:rsidRPr="008D72F0" w14:paraId="5D2C4DEC" w14:textId="77777777" w:rsidTr="00667D79">
              <w:trPr>
                <w:trHeight w:val="357"/>
              </w:trPr>
              <w:tc>
                <w:tcPr>
                  <w:tcW w:w="1666" w:type="dxa"/>
                  <w:shd w:val="clear" w:color="auto" w:fill="auto"/>
                </w:tcPr>
                <w:p w14:paraId="07ABE32C" w14:textId="77777777" w:rsidR="00114F14" w:rsidRPr="008E6261" w:rsidRDefault="00114F14" w:rsidP="004A104C">
                  <w:pPr>
                    <w:jc w:val="right"/>
                    <w:rPr>
                      <w:sz w:val="16"/>
                      <w:szCs w:val="16"/>
                    </w:rPr>
                  </w:pPr>
                  <w:r w:rsidRPr="008E6261">
                    <w:rPr>
                      <w:sz w:val="16"/>
                      <w:szCs w:val="16"/>
                    </w:rPr>
                    <w:t>General Fund</w:t>
                  </w:r>
                  <w:r w:rsidRPr="008E6261">
                    <w:rPr>
                      <w:sz w:val="16"/>
                      <w:szCs w:val="16"/>
                      <w:u w:val="single"/>
                    </w:rPr>
                    <w:t xml:space="preserve"> </w:t>
                  </w:r>
                  <w:r w:rsidRPr="008E6261">
                    <w:rPr>
                      <w:sz w:val="16"/>
                      <w:szCs w:val="16"/>
                    </w:rPr>
                    <w:t>- Position Count</w:t>
                  </w:r>
                </w:p>
              </w:tc>
              <w:tc>
                <w:tcPr>
                  <w:tcW w:w="1415" w:type="dxa"/>
                  <w:shd w:val="clear" w:color="auto" w:fill="auto"/>
                  <w:vAlign w:val="center"/>
                </w:tcPr>
                <w:p w14:paraId="6836B738" w14:textId="0343C655" w:rsidR="00114F14" w:rsidRPr="008D72F0" w:rsidRDefault="00114F14" w:rsidP="004A104C">
                  <w:pPr>
                    <w:jc w:val="right"/>
                    <w:rPr>
                      <w:sz w:val="20"/>
                      <w:szCs w:val="20"/>
                    </w:rPr>
                  </w:pPr>
                  <w:r>
                    <w:rPr>
                      <w:sz w:val="20"/>
                      <w:szCs w:val="20"/>
                    </w:rPr>
                    <w:t>18.000</w:t>
                  </w:r>
                </w:p>
              </w:tc>
              <w:tc>
                <w:tcPr>
                  <w:tcW w:w="1415" w:type="dxa"/>
                  <w:vAlign w:val="center"/>
                </w:tcPr>
                <w:p w14:paraId="161FCDF1" w14:textId="0C6845BB" w:rsidR="00114F14" w:rsidRDefault="00114F14" w:rsidP="004A104C">
                  <w:pPr>
                    <w:jc w:val="right"/>
                    <w:rPr>
                      <w:sz w:val="20"/>
                      <w:szCs w:val="20"/>
                    </w:rPr>
                  </w:pPr>
                  <w:r>
                    <w:rPr>
                      <w:sz w:val="20"/>
                      <w:szCs w:val="20"/>
                    </w:rPr>
                    <w:t>18.000</w:t>
                  </w:r>
                </w:p>
              </w:tc>
            </w:tr>
            <w:tr w:rsidR="00114F14" w:rsidRPr="008D72F0" w14:paraId="48514E9A" w14:textId="77777777" w:rsidTr="00667D79">
              <w:trPr>
                <w:trHeight w:val="315"/>
              </w:trPr>
              <w:tc>
                <w:tcPr>
                  <w:tcW w:w="1666" w:type="dxa"/>
                  <w:shd w:val="clear" w:color="auto" w:fill="auto"/>
                </w:tcPr>
                <w:p w14:paraId="07B6397E" w14:textId="77777777" w:rsidR="00114F14" w:rsidRPr="008E6261" w:rsidRDefault="00114F14" w:rsidP="004A104C">
                  <w:pPr>
                    <w:jc w:val="right"/>
                    <w:rPr>
                      <w:sz w:val="16"/>
                      <w:szCs w:val="16"/>
                    </w:rPr>
                  </w:pPr>
                  <w:r w:rsidRPr="008E6261">
                    <w:rPr>
                      <w:sz w:val="16"/>
                      <w:szCs w:val="16"/>
                    </w:rPr>
                    <w:t>Personal Services</w:t>
                  </w:r>
                </w:p>
              </w:tc>
              <w:tc>
                <w:tcPr>
                  <w:tcW w:w="1415" w:type="dxa"/>
                  <w:shd w:val="clear" w:color="auto" w:fill="auto"/>
                </w:tcPr>
                <w:p w14:paraId="74C859AE" w14:textId="4A739C1A" w:rsidR="00114F14" w:rsidRPr="008D72F0" w:rsidRDefault="00114F14" w:rsidP="004A104C">
                  <w:pPr>
                    <w:jc w:val="right"/>
                    <w:rPr>
                      <w:sz w:val="20"/>
                      <w:szCs w:val="20"/>
                    </w:rPr>
                  </w:pPr>
                  <w:r>
                    <w:rPr>
                      <w:sz w:val="20"/>
                      <w:szCs w:val="20"/>
                    </w:rPr>
                    <w:t>$2,150,317</w:t>
                  </w:r>
                </w:p>
              </w:tc>
              <w:tc>
                <w:tcPr>
                  <w:tcW w:w="1415" w:type="dxa"/>
                </w:tcPr>
                <w:p w14:paraId="45257048" w14:textId="7F26F38E" w:rsidR="00114F14" w:rsidRPr="008D72F0" w:rsidRDefault="00114F14" w:rsidP="004A104C">
                  <w:pPr>
                    <w:jc w:val="right"/>
                    <w:rPr>
                      <w:sz w:val="20"/>
                      <w:szCs w:val="20"/>
                    </w:rPr>
                  </w:pPr>
                  <w:r>
                    <w:rPr>
                      <w:sz w:val="20"/>
                      <w:szCs w:val="20"/>
                    </w:rPr>
                    <w:t>$2,173,545</w:t>
                  </w:r>
                </w:p>
              </w:tc>
            </w:tr>
            <w:tr w:rsidR="00114F14" w:rsidRPr="008D72F0" w14:paraId="6DABC82F" w14:textId="77777777" w:rsidTr="00667D79">
              <w:trPr>
                <w:trHeight w:val="303"/>
              </w:trPr>
              <w:tc>
                <w:tcPr>
                  <w:tcW w:w="1666" w:type="dxa"/>
                  <w:shd w:val="clear" w:color="auto" w:fill="auto"/>
                </w:tcPr>
                <w:p w14:paraId="7241389E" w14:textId="77777777" w:rsidR="00114F14" w:rsidRPr="008E6261" w:rsidRDefault="00114F14" w:rsidP="004A104C">
                  <w:pPr>
                    <w:jc w:val="right"/>
                    <w:rPr>
                      <w:sz w:val="16"/>
                      <w:szCs w:val="16"/>
                    </w:rPr>
                  </w:pPr>
                  <w:r w:rsidRPr="008E6261">
                    <w:rPr>
                      <w:sz w:val="16"/>
                      <w:szCs w:val="16"/>
                    </w:rPr>
                    <w:t>All Other</w:t>
                  </w:r>
                </w:p>
              </w:tc>
              <w:tc>
                <w:tcPr>
                  <w:tcW w:w="1415" w:type="dxa"/>
                  <w:shd w:val="clear" w:color="auto" w:fill="auto"/>
                </w:tcPr>
                <w:p w14:paraId="4B25FAF6" w14:textId="40B09419" w:rsidR="00114F14" w:rsidRPr="00FE76F6" w:rsidRDefault="00114F14" w:rsidP="004A104C">
                  <w:pPr>
                    <w:jc w:val="right"/>
                    <w:rPr>
                      <w:sz w:val="20"/>
                      <w:szCs w:val="20"/>
                      <w:u w:val="single"/>
                    </w:rPr>
                  </w:pPr>
                  <w:r>
                    <w:rPr>
                      <w:sz w:val="20"/>
                      <w:szCs w:val="20"/>
                      <w:u w:val="single"/>
                    </w:rPr>
                    <w:t>$1,095,978,079</w:t>
                  </w:r>
                </w:p>
              </w:tc>
              <w:tc>
                <w:tcPr>
                  <w:tcW w:w="1415" w:type="dxa"/>
                </w:tcPr>
                <w:p w14:paraId="0B19890F" w14:textId="22B04D9C" w:rsidR="00114F14" w:rsidRPr="00FE76F6" w:rsidRDefault="00114F14" w:rsidP="004A104C">
                  <w:pPr>
                    <w:jc w:val="right"/>
                    <w:rPr>
                      <w:sz w:val="20"/>
                      <w:szCs w:val="20"/>
                      <w:u w:val="single"/>
                    </w:rPr>
                  </w:pPr>
                  <w:r>
                    <w:rPr>
                      <w:sz w:val="20"/>
                      <w:szCs w:val="20"/>
                      <w:u w:val="single"/>
                    </w:rPr>
                    <w:t>$1,095,978,079</w:t>
                  </w:r>
                </w:p>
              </w:tc>
            </w:tr>
            <w:tr w:rsidR="00114F14" w:rsidRPr="008D72F0" w14:paraId="7945AB04" w14:textId="77777777" w:rsidTr="00667D79">
              <w:trPr>
                <w:trHeight w:val="303"/>
              </w:trPr>
              <w:tc>
                <w:tcPr>
                  <w:tcW w:w="1666" w:type="dxa"/>
                  <w:shd w:val="clear" w:color="auto" w:fill="auto"/>
                </w:tcPr>
                <w:p w14:paraId="722B94B4" w14:textId="77777777" w:rsidR="00114F14" w:rsidRPr="008E6261" w:rsidRDefault="00114F14" w:rsidP="004A104C">
                  <w:pPr>
                    <w:rPr>
                      <w:sz w:val="16"/>
                      <w:szCs w:val="16"/>
                      <w:u w:val="single"/>
                    </w:rPr>
                  </w:pPr>
                  <w:r w:rsidRPr="008E6261">
                    <w:rPr>
                      <w:sz w:val="16"/>
                      <w:szCs w:val="16"/>
                      <w:u w:val="single"/>
                    </w:rPr>
                    <w:t>General Fund Total</w:t>
                  </w:r>
                </w:p>
              </w:tc>
              <w:tc>
                <w:tcPr>
                  <w:tcW w:w="1415" w:type="dxa"/>
                  <w:shd w:val="clear" w:color="auto" w:fill="auto"/>
                </w:tcPr>
                <w:p w14:paraId="0CF4B14F" w14:textId="112C9AA9" w:rsidR="00114F14" w:rsidRPr="008D72F0" w:rsidRDefault="00114F14" w:rsidP="004A104C">
                  <w:pPr>
                    <w:jc w:val="right"/>
                    <w:rPr>
                      <w:sz w:val="20"/>
                      <w:szCs w:val="20"/>
                    </w:rPr>
                  </w:pPr>
                  <w:r>
                    <w:rPr>
                      <w:sz w:val="20"/>
                      <w:szCs w:val="20"/>
                    </w:rPr>
                    <w:t>$1,098,128,396</w:t>
                  </w:r>
                </w:p>
              </w:tc>
              <w:tc>
                <w:tcPr>
                  <w:tcW w:w="1415" w:type="dxa"/>
                </w:tcPr>
                <w:p w14:paraId="2242D72D" w14:textId="297FC414" w:rsidR="00114F14" w:rsidRPr="008D72F0" w:rsidRDefault="00114F14" w:rsidP="004A104C">
                  <w:pPr>
                    <w:jc w:val="right"/>
                    <w:rPr>
                      <w:sz w:val="20"/>
                      <w:szCs w:val="20"/>
                    </w:rPr>
                  </w:pPr>
                  <w:r>
                    <w:rPr>
                      <w:sz w:val="20"/>
                      <w:szCs w:val="20"/>
                    </w:rPr>
                    <w:t>$1,098,151,624</w:t>
                  </w:r>
                </w:p>
              </w:tc>
            </w:tr>
            <w:tr w:rsidR="00114F14" w:rsidRPr="008D72F0" w14:paraId="471EAB0F" w14:textId="77777777" w:rsidTr="00667D79">
              <w:trPr>
                <w:trHeight w:val="303"/>
              </w:trPr>
              <w:tc>
                <w:tcPr>
                  <w:tcW w:w="1666" w:type="dxa"/>
                  <w:shd w:val="clear" w:color="auto" w:fill="auto"/>
                </w:tcPr>
                <w:p w14:paraId="00BEB836" w14:textId="77777777" w:rsidR="00114F14" w:rsidRPr="008E6261" w:rsidRDefault="00114F14" w:rsidP="004A104C">
                  <w:pPr>
                    <w:jc w:val="right"/>
                    <w:rPr>
                      <w:sz w:val="16"/>
                      <w:szCs w:val="16"/>
                    </w:rPr>
                  </w:pPr>
                  <w:r w:rsidRPr="008E6261">
                    <w:rPr>
                      <w:sz w:val="16"/>
                      <w:szCs w:val="16"/>
                    </w:rPr>
                    <w:t>Other Special Revenue Funds</w:t>
                  </w:r>
                </w:p>
              </w:tc>
              <w:tc>
                <w:tcPr>
                  <w:tcW w:w="1415" w:type="dxa"/>
                  <w:shd w:val="clear" w:color="auto" w:fill="auto"/>
                </w:tcPr>
                <w:p w14:paraId="2FAD978E" w14:textId="77777777" w:rsidR="00114F14" w:rsidRDefault="00114F14" w:rsidP="004A104C">
                  <w:pPr>
                    <w:jc w:val="right"/>
                    <w:rPr>
                      <w:sz w:val="20"/>
                      <w:szCs w:val="20"/>
                    </w:rPr>
                  </w:pPr>
                </w:p>
              </w:tc>
              <w:tc>
                <w:tcPr>
                  <w:tcW w:w="1415" w:type="dxa"/>
                </w:tcPr>
                <w:p w14:paraId="319BF54F" w14:textId="77777777" w:rsidR="00114F14" w:rsidRDefault="00114F14" w:rsidP="004A104C">
                  <w:pPr>
                    <w:jc w:val="right"/>
                    <w:rPr>
                      <w:sz w:val="20"/>
                      <w:szCs w:val="20"/>
                    </w:rPr>
                  </w:pPr>
                </w:p>
              </w:tc>
            </w:tr>
            <w:tr w:rsidR="00114F14" w:rsidRPr="008D72F0" w14:paraId="7B9B8BBD" w14:textId="77777777" w:rsidTr="00667D79">
              <w:trPr>
                <w:trHeight w:val="303"/>
              </w:trPr>
              <w:tc>
                <w:tcPr>
                  <w:tcW w:w="1666" w:type="dxa"/>
                  <w:shd w:val="clear" w:color="auto" w:fill="auto"/>
                </w:tcPr>
                <w:p w14:paraId="7E9527FD" w14:textId="77777777" w:rsidR="00114F14" w:rsidRPr="008E6261" w:rsidRDefault="00114F14" w:rsidP="004A104C">
                  <w:pPr>
                    <w:jc w:val="right"/>
                    <w:rPr>
                      <w:sz w:val="16"/>
                      <w:szCs w:val="16"/>
                    </w:rPr>
                  </w:pPr>
                  <w:r w:rsidRPr="008E6261">
                    <w:rPr>
                      <w:sz w:val="16"/>
                      <w:szCs w:val="16"/>
                    </w:rPr>
                    <w:t>All Other</w:t>
                  </w:r>
                </w:p>
              </w:tc>
              <w:tc>
                <w:tcPr>
                  <w:tcW w:w="1415" w:type="dxa"/>
                  <w:shd w:val="clear" w:color="auto" w:fill="auto"/>
                </w:tcPr>
                <w:p w14:paraId="3B2C0CA5" w14:textId="5004CBED" w:rsidR="00114F14" w:rsidRDefault="00114F14" w:rsidP="004A104C">
                  <w:pPr>
                    <w:jc w:val="right"/>
                    <w:rPr>
                      <w:sz w:val="20"/>
                      <w:szCs w:val="20"/>
                    </w:rPr>
                  </w:pPr>
                  <w:r>
                    <w:rPr>
                      <w:sz w:val="20"/>
                      <w:szCs w:val="20"/>
                    </w:rPr>
                    <w:t>$17,994,222</w:t>
                  </w:r>
                </w:p>
              </w:tc>
              <w:tc>
                <w:tcPr>
                  <w:tcW w:w="1415" w:type="dxa"/>
                </w:tcPr>
                <w:p w14:paraId="23EDF9F9" w14:textId="0EDBAB91" w:rsidR="00114F14" w:rsidRDefault="00114F14" w:rsidP="004A104C">
                  <w:pPr>
                    <w:jc w:val="right"/>
                    <w:rPr>
                      <w:sz w:val="20"/>
                      <w:szCs w:val="20"/>
                    </w:rPr>
                  </w:pPr>
                  <w:r>
                    <w:rPr>
                      <w:sz w:val="20"/>
                      <w:szCs w:val="20"/>
                    </w:rPr>
                    <w:t>$17,994,222</w:t>
                  </w:r>
                </w:p>
              </w:tc>
            </w:tr>
          </w:tbl>
          <w:p w14:paraId="4B1A42EC" w14:textId="77777777" w:rsidR="00114F14" w:rsidRDefault="00114F14" w:rsidP="004A104C">
            <w:pPr>
              <w:pStyle w:val="ListBullet"/>
              <w:numPr>
                <w:ilvl w:val="0"/>
                <w:numId w:val="0"/>
              </w:numPr>
              <w:ind w:left="460"/>
              <w:rPr>
                <w:sz w:val="22"/>
                <w:szCs w:val="22"/>
              </w:rPr>
            </w:pPr>
          </w:p>
          <w:p w14:paraId="525DE217" w14:textId="77777777" w:rsidR="00114F14" w:rsidRDefault="00114F14" w:rsidP="004A104C">
            <w:pPr>
              <w:pStyle w:val="ListBullet"/>
              <w:numPr>
                <w:ilvl w:val="0"/>
                <w:numId w:val="0"/>
              </w:numPr>
              <w:ind w:left="460" w:hanging="180"/>
              <w:rPr>
                <w:sz w:val="22"/>
                <w:szCs w:val="22"/>
              </w:rPr>
            </w:pPr>
          </w:p>
          <w:p w14:paraId="1F8F8451" w14:textId="5FD3E98C" w:rsidR="00114F14" w:rsidRDefault="00114F14" w:rsidP="004A104C">
            <w:pPr>
              <w:pStyle w:val="ListBullet"/>
              <w:numPr>
                <w:ilvl w:val="0"/>
                <w:numId w:val="0"/>
              </w:numPr>
              <w:ind w:left="280"/>
            </w:pPr>
          </w:p>
          <w:p w14:paraId="5FB37CB2" w14:textId="03C39488" w:rsidR="00114F14" w:rsidRDefault="00114F14" w:rsidP="004A104C">
            <w:pPr>
              <w:pStyle w:val="ListBullet"/>
              <w:numPr>
                <w:ilvl w:val="0"/>
                <w:numId w:val="0"/>
              </w:numPr>
              <w:ind w:left="280"/>
            </w:pPr>
          </w:p>
          <w:p w14:paraId="0125CD0C" w14:textId="2237FC36" w:rsidR="00114F14" w:rsidRDefault="00114F14" w:rsidP="004A104C">
            <w:pPr>
              <w:pStyle w:val="ListBullet"/>
              <w:numPr>
                <w:ilvl w:val="0"/>
                <w:numId w:val="0"/>
              </w:numPr>
              <w:ind w:left="280"/>
            </w:pPr>
          </w:p>
          <w:p w14:paraId="58D35598" w14:textId="3E87937B" w:rsidR="00114F14" w:rsidRDefault="00114F14" w:rsidP="004A104C">
            <w:pPr>
              <w:pStyle w:val="ListBullet"/>
              <w:numPr>
                <w:ilvl w:val="0"/>
                <w:numId w:val="0"/>
              </w:numPr>
              <w:ind w:left="280"/>
            </w:pPr>
          </w:p>
          <w:p w14:paraId="72319D03" w14:textId="7461794B" w:rsidR="00114F14" w:rsidRDefault="00114F14" w:rsidP="004A104C">
            <w:pPr>
              <w:pStyle w:val="ListBullet"/>
              <w:numPr>
                <w:ilvl w:val="0"/>
                <w:numId w:val="0"/>
              </w:numPr>
              <w:ind w:left="280"/>
            </w:pPr>
          </w:p>
          <w:p w14:paraId="5A77202A" w14:textId="2719D715" w:rsidR="00114F14" w:rsidRDefault="00114F14" w:rsidP="004A104C">
            <w:pPr>
              <w:pStyle w:val="ListBullet"/>
              <w:numPr>
                <w:ilvl w:val="0"/>
                <w:numId w:val="0"/>
              </w:numPr>
              <w:ind w:left="280"/>
            </w:pPr>
          </w:p>
          <w:p w14:paraId="255D02B8" w14:textId="76F89127" w:rsidR="00114F14" w:rsidRDefault="00114F14" w:rsidP="004A104C">
            <w:pPr>
              <w:pStyle w:val="ListBullet"/>
              <w:numPr>
                <w:ilvl w:val="0"/>
                <w:numId w:val="0"/>
              </w:numPr>
              <w:ind w:left="280"/>
            </w:pPr>
          </w:p>
          <w:p w14:paraId="38E58958" w14:textId="77777777" w:rsidR="00114F14" w:rsidRDefault="00114F14" w:rsidP="004A104C">
            <w:pPr>
              <w:pStyle w:val="ListBullet"/>
              <w:numPr>
                <w:ilvl w:val="0"/>
                <w:numId w:val="0"/>
              </w:numPr>
              <w:ind w:left="280"/>
            </w:pPr>
          </w:p>
          <w:p w14:paraId="64C7D9A5" w14:textId="749C0494" w:rsidR="00114F14" w:rsidRPr="002A0216" w:rsidRDefault="00114F14" w:rsidP="004A104C">
            <w:pPr>
              <w:pStyle w:val="ListBullet"/>
            </w:pPr>
            <w:r w:rsidRPr="002A0216">
              <w:t>Transfers one Public Service Manager II position and General Fund appropriations from General Purpose Aid for Local Schools to Higher Education and Educator Support Services program of ($136,047) in FY 20 and of ($140,713) in FY 21.</w:t>
            </w:r>
          </w:p>
          <w:p w14:paraId="564B79E9" w14:textId="2263D1BB" w:rsidR="00114F14" w:rsidRDefault="00114F14" w:rsidP="004A104C">
            <w:pPr>
              <w:pStyle w:val="ListBullet"/>
            </w:pPr>
            <w:r w:rsidRPr="002A0216">
              <w:t xml:space="preserve">Transfers and reallocates the cost of one Education Specialist II position from 50% Learning Systems Team Federal Expenditures Fund and 50% Leadership Team Other Special Revenue Funds to 100% General Purpose Aid for Local Schools </w:t>
            </w:r>
            <w:r>
              <w:t xml:space="preserve">General Fund </w:t>
            </w:r>
            <w:r w:rsidRPr="002A0216">
              <w:t xml:space="preserve">beginning September 30, 2019 and reduces All Other to fund the position. </w:t>
            </w:r>
          </w:p>
          <w:p w14:paraId="6A71CA13" w14:textId="2A621E42" w:rsidR="00114F14" w:rsidRDefault="00114F14" w:rsidP="004A104C">
            <w:pPr>
              <w:pStyle w:val="ListBullet"/>
              <w:numPr>
                <w:ilvl w:val="0"/>
                <w:numId w:val="0"/>
              </w:numPr>
              <w:ind w:left="460" w:hanging="18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44760A9A" w14:textId="77777777" w:rsidTr="001914FA">
              <w:trPr>
                <w:trHeight w:val="357"/>
              </w:trPr>
              <w:tc>
                <w:tcPr>
                  <w:tcW w:w="1980" w:type="dxa"/>
                  <w:shd w:val="clear" w:color="auto" w:fill="auto"/>
                </w:tcPr>
                <w:p w14:paraId="2890CFDA" w14:textId="77777777" w:rsidR="00114F14" w:rsidRPr="008D72F0" w:rsidRDefault="00114F14" w:rsidP="004A104C">
                  <w:pPr>
                    <w:jc w:val="right"/>
                    <w:rPr>
                      <w:sz w:val="20"/>
                      <w:szCs w:val="20"/>
                      <w:u w:val="single"/>
                    </w:rPr>
                  </w:pPr>
                </w:p>
              </w:tc>
              <w:tc>
                <w:tcPr>
                  <w:tcW w:w="1260" w:type="dxa"/>
                  <w:shd w:val="clear" w:color="auto" w:fill="auto"/>
                </w:tcPr>
                <w:p w14:paraId="5682A514" w14:textId="1F96C62D"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6D03C3A9" w14:textId="1CC90A4B" w:rsidR="00114F14" w:rsidRPr="008D72F0" w:rsidRDefault="00114F14" w:rsidP="004A104C">
                  <w:pPr>
                    <w:jc w:val="right"/>
                    <w:rPr>
                      <w:sz w:val="20"/>
                      <w:szCs w:val="20"/>
                      <w:u w:val="single"/>
                    </w:rPr>
                  </w:pPr>
                  <w:r>
                    <w:rPr>
                      <w:sz w:val="20"/>
                      <w:szCs w:val="20"/>
                      <w:u w:val="single"/>
                    </w:rPr>
                    <w:t>FY 21</w:t>
                  </w:r>
                </w:p>
              </w:tc>
            </w:tr>
            <w:tr w:rsidR="00114F14" w:rsidRPr="008D72F0" w14:paraId="794F29C9" w14:textId="77777777" w:rsidTr="001914FA">
              <w:trPr>
                <w:trHeight w:val="344"/>
              </w:trPr>
              <w:tc>
                <w:tcPr>
                  <w:tcW w:w="1980" w:type="dxa"/>
                  <w:shd w:val="clear" w:color="auto" w:fill="auto"/>
                </w:tcPr>
                <w:p w14:paraId="7F819879" w14:textId="30511262"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29C354B1" w14:textId="77777777" w:rsidR="00114F14" w:rsidRPr="008D72F0" w:rsidRDefault="00114F14" w:rsidP="004A104C">
                  <w:pPr>
                    <w:jc w:val="right"/>
                    <w:rPr>
                      <w:sz w:val="20"/>
                      <w:szCs w:val="20"/>
                    </w:rPr>
                  </w:pPr>
                  <w:r>
                    <w:rPr>
                      <w:sz w:val="20"/>
                      <w:szCs w:val="20"/>
                    </w:rPr>
                    <w:t>1.000</w:t>
                  </w:r>
                </w:p>
              </w:tc>
              <w:tc>
                <w:tcPr>
                  <w:tcW w:w="1260" w:type="dxa"/>
                  <w:vAlign w:val="center"/>
                </w:tcPr>
                <w:p w14:paraId="4594D228" w14:textId="77777777" w:rsidR="00114F14" w:rsidRDefault="00114F14" w:rsidP="004A104C">
                  <w:pPr>
                    <w:jc w:val="right"/>
                    <w:rPr>
                      <w:sz w:val="20"/>
                      <w:szCs w:val="20"/>
                    </w:rPr>
                  </w:pPr>
                  <w:r>
                    <w:rPr>
                      <w:sz w:val="20"/>
                      <w:szCs w:val="20"/>
                    </w:rPr>
                    <w:t>1.000</w:t>
                  </w:r>
                </w:p>
              </w:tc>
            </w:tr>
            <w:tr w:rsidR="00114F14" w:rsidRPr="008D72F0" w14:paraId="62A02A8C" w14:textId="77777777" w:rsidTr="001914FA">
              <w:trPr>
                <w:trHeight w:val="357"/>
              </w:trPr>
              <w:tc>
                <w:tcPr>
                  <w:tcW w:w="1980" w:type="dxa"/>
                  <w:shd w:val="clear" w:color="auto" w:fill="auto"/>
                </w:tcPr>
                <w:p w14:paraId="6D02FB61"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26729FB7" w14:textId="0E683AFF" w:rsidR="00114F14" w:rsidRPr="008D72F0" w:rsidRDefault="00114F14" w:rsidP="004A104C">
                  <w:pPr>
                    <w:jc w:val="right"/>
                    <w:rPr>
                      <w:sz w:val="20"/>
                      <w:szCs w:val="20"/>
                    </w:rPr>
                  </w:pPr>
                  <w:r>
                    <w:rPr>
                      <w:sz w:val="20"/>
                      <w:szCs w:val="20"/>
                    </w:rPr>
                    <w:t>$77,139</w:t>
                  </w:r>
                </w:p>
              </w:tc>
              <w:tc>
                <w:tcPr>
                  <w:tcW w:w="1260" w:type="dxa"/>
                </w:tcPr>
                <w:p w14:paraId="1666037A" w14:textId="362CDD28" w:rsidR="00114F14" w:rsidRPr="008D72F0" w:rsidRDefault="00114F14" w:rsidP="004A104C">
                  <w:pPr>
                    <w:jc w:val="right"/>
                    <w:rPr>
                      <w:sz w:val="20"/>
                      <w:szCs w:val="20"/>
                    </w:rPr>
                  </w:pPr>
                  <w:r>
                    <w:rPr>
                      <w:sz w:val="20"/>
                      <w:szCs w:val="20"/>
                    </w:rPr>
                    <w:t>$103,758</w:t>
                  </w:r>
                </w:p>
              </w:tc>
            </w:tr>
            <w:tr w:rsidR="00114F14" w:rsidRPr="008D72F0" w14:paraId="213E6B39" w14:textId="77777777" w:rsidTr="001914FA">
              <w:trPr>
                <w:trHeight w:val="357"/>
              </w:trPr>
              <w:tc>
                <w:tcPr>
                  <w:tcW w:w="1980" w:type="dxa"/>
                  <w:shd w:val="clear" w:color="auto" w:fill="auto"/>
                </w:tcPr>
                <w:p w14:paraId="358D24C9"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02C90A64" w14:textId="01DC48BF" w:rsidR="00114F14" w:rsidRDefault="00114F14" w:rsidP="004A104C">
                  <w:pPr>
                    <w:jc w:val="right"/>
                    <w:rPr>
                      <w:sz w:val="20"/>
                      <w:szCs w:val="20"/>
                    </w:rPr>
                  </w:pPr>
                  <w:r>
                    <w:rPr>
                      <w:sz w:val="20"/>
                      <w:szCs w:val="20"/>
                    </w:rPr>
                    <w:t>($77,139)</w:t>
                  </w:r>
                </w:p>
              </w:tc>
              <w:tc>
                <w:tcPr>
                  <w:tcW w:w="1260" w:type="dxa"/>
                </w:tcPr>
                <w:p w14:paraId="75A049DC" w14:textId="7885B048" w:rsidR="00114F14" w:rsidRDefault="00114F14" w:rsidP="004A104C">
                  <w:pPr>
                    <w:jc w:val="right"/>
                    <w:rPr>
                      <w:sz w:val="20"/>
                      <w:szCs w:val="20"/>
                    </w:rPr>
                  </w:pPr>
                  <w:r>
                    <w:rPr>
                      <w:sz w:val="20"/>
                      <w:szCs w:val="20"/>
                    </w:rPr>
                    <w:t>($103,758)</w:t>
                  </w:r>
                </w:p>
              </w:tc>
            </w:tr>
            <w:tr w:rsidR="00114F14" w:rsidRPr="008D72F0" w14:paraId="645D82D3" w14:textId="77777777" w:rsidTr="001914FA">
              <w:trPr>
                <w:trHeight w:val="303"/>
              </w:trPr>
              <w:tc>
                <w:tcPr>
                  <w:tcW w:w="1980" w:type="dxa"/>
                  <w:shd w:val="clear" w:color="auto" w:fill="auto"/>
                </w:tcPr>
                <w:p w14:paraId="72A41C48" w14:textId="3180468A"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1CDDE74D"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c>
                <w:tcPr>
                  <w:tcW w:w="1260" w:type="dxa"/>
                </w:tcPr>
                <w:p w14:paraId="07FF333E"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r>
          </w:tbl>
          <w:p w14:paraId="2CD282C5" w14:textId="22EF9CA1" w:rsidR="00114F14" w:rsidRDefault="00114F14" w:rsidP="004A104C">
            <w:pPr>
              <w:pStyle w:val="ListBullet"/>
              <w:numPr>
                <w:ilvl w:val="0"/>
                <w:numId w:val="0"/>
              </w:numPr>
              <w:ind w:left="280"/>
            </w:pPr>
          </w:p>
          <w:p w14:paraId="5D5896E4" w14:textId="2AA190D5" w:rsidR="00114F14" w:rsidRDefault="00114F14" w:rsidP="004A104C">
            <w:pPr>
              <w:pStyle w:val="ListBullet"/>
              <w:numPr>
                <w:ilvl w:val="0"/>
                <w:numId w:val="0"/>
              </w:numPr>
              <w:ind w:left="280"/>
            </w:pPr>
          </w:p>
          <w:p w14:paraId="133DF35A" w14:textId="4AAD9178" w:rsidR="00114F14" w:rsidRDefault="00114F14" w:rsidP="004A104C">
            <w:pPr>
              <w:pStyle w:val="ListBullet"/>
              <w:numPr>
                <w:ilvl w:val="0"/>
                <w:numId w:val="0"/>
              </w:numPr>
              <w:ind w:left="280"/>
            </w:pPr>
          </w:p>
          <w:p w14:paraId="7FB29742" w14:textId="0161CA0C" w:rsidR="00114F14" w:rsidRDefault="00114F14" w:rsidP="004A104C">
            <w:pPr>
              <w:pStyle w:val="ListBullet"/>
              <w:numPr>
                <w:ilvl w:val="0"/>
                <w:numId w:val="0"/>
              </w:numPr>
              <w:ind w:left="280"/>
            </w:pPr>
          </w:p>
          <w:p w14:paraId="1F90E6A2" w14:textId="14EC9824" w:rsidR="00114F14" w:rsidRDefault="00114F14" w:rsidP="004A104C">
            <w:pPr>
              <w:pStyle w:val="ListBullet"/>
              <w:numPr>
                <w:ilvl w:val="0"/>
                <w:numId w:val="0"/>
              </w:numPr>
              <w:ind w:left="280"/>
            </w:pPr>
          </w:p>
          <w:p w14:paraId="53956066" w14:textId="24A01DE8" w:rsidR="00114F14" w:rsidRDefault="00114F14" w:rsidP="004A104C">
            <w:pPr>
              <w:pStyle w:val="ListBullet"/>
              <w:numPr>
                <w:ilvl w:val="0"/>
                <w:numId w:val="0"/>
              </w:numPr>
              <w:ind w:left="280"/>
            </w:pPr>
          </w:p>
          <w:p w14:paraId="2DA81E35" w14:textId="259B9153" w:rsidR="00114F14" w:rsidRDefault="00114F14" w:rsidP="004A104C">
            <w:pPr>
              <w:pStyle w:val="ListBullet"/>
              <w:numPr>
                <w:ilvl w:val="0"/>
                <w:numId w:val="0"/>
              </w:numPr>
              <w:ind w:left="280"/>
            </w:pPr>
          </w:p>
          <w:p w14:paraId="39A45C17" w14:textId="1840E72C" w:rsidR="00114F14" w:rsidRPr="003474BF" w:rsidRDefault="00114F14" w:rsidP="004A104C">
            <w:pPr>
              <w:pStyle w:val="ListBullet"/>
            </w:pPr>
            <w:r w:rsidRPr="003474BF">
              <w:t>Transfers one Public Service Manager II position and 2 Regional Education Representatives positions and General Fund appropriations from General Purpose Aid for Local Schools to the Learning Systems Team program of ($379,724) in FY 20 and of ($380,598) in FY 21.</w:t>
            </w:r>
          </w:p>
          <w:p w14:paraId="0E5393F4" w14:textId="7AC9FAC5" w:rsidR="00114F14" w:rsidRDefault="00114F14" w:rsidP="004A104C">
            <w:pPr>
              <w:pStyle w:val="ListBullet"/>
            </w:pPr>
            <w:r w:rsidRPr="003474BF">
              <w:t>Transfers one Education Specialist III position and General Fund appropriations from Learning System</w:t>
            </w:r>
            <w:r>
              <w:t xml:space="preserve">s </w:t>
            </w:r>
            <w:r w:rsidRPr="003474BF">
              <w:t>program to General Purpose Aid for Local Schools program.</w:t>
            </w:r>
          </w:p>
          <w:p w14:paraId="5CFE8CFE" w14:textId="5446CF9F" w:rsidR="00114F14" w:rsidRDefault="00114F14" w:rsidP="004A104C">
            <w:pPr>
              <w:pStyle w:val="ListBullet"/>
              <w:numPr>
                <w:ilvl w:val="0"/>
                <w:numId w:val="0"/>
              </w:numPr>
              <w:ind w:left="460" w:hanging="180"/>
            </w:pPr>
          </w:p>
          <w:tbl>
            <w:tblPr>
              <w:tblpPr w:leftFromText="180" w:rightFromText="180" w:vertAnchor="text" w:horzAnchor="margin" w:tblpXSpec="center" w:tblpYSpec="top"/>
              <w:tblOverlap w:val="never"/>
              <w:tblW w:w="0" w:type="auto"/>
              <w:tblLook w:val="01E0" w:firstRow="1" w:lastRow="1" w:firstColumn="1" w:lastColumn="1" w:noHBand="0" w:noVBand="0"/>
            </w:tblPr>
            <w:tblGrid>
              <w:gridCol w:w="1980"/>
              <w:gridCol w:w="1260"/>
              <w:gridCol w:w="1260"/>
            </w:tblGrid>
            <w:tr w:rsidR="00114F14" w:rsidRPr="008D72F0" w14:paraId="2B6E3454" w14:textId="77777777" w:rsidTr="001544A4">
              <w:trPr>
                <w:trHeight w:val="357"/>
              </w:trPr>
              <w:tc>
                <w:tcPr>
                  <w:tcW w:w="1980" w:type="dxa"/>
                  <w:shd w:val="clear" w:color="auto" w:fill="auto"/>
                </w:tcPr>
                <w:p w14:paraId="4B3FF4BF" w14:textId="77777777" w:rsidR="00114F14" w:rsidRPr="008D72F0" w:rsidRDefault="00114F14" w:rsidP="004A104C">
                  <w:pPr>
                    <w:jc w:val="right"/>
                    <w:rPr>
                      <w:sz w:val="20"/>
                      <w:szCs w:val="20"/>
                      <w:u w:val="single"/>
                    </w:rPr>
                  </w:pPr>
                </w:p>
              </w:tc>
              <w:tc>
                <w:tcPr>
                  <w:tcW w:w="1260" w:type="dxa"/>
                  <w:shd w:val="clear" w:color="auto" w:fill="auto"/>
                </w:tcPr>
                <w:p w14:paraId="6F9D3294"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7CAA46E2"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31131694" w14:textId="77777777" w:rsidTr="001544A4">
              <w:trPr>
                <w:trHeight w:val="344"/>
              </w:trPr>
              <w:tc>
                <w:tcPr>
                  <w:tcW w:w="1980" w:type="dxa"/>
                  <w:shd w:val="clear" w:color="auto" w:fill="auto"/>
                </w:tcPr>
                <w:p w14:paraId="3DDA4778"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79F48EF9" w14:textId="77777777" w:rsidR="00114F14" w:rsidRPr="008D72F0" w:rsidRDefault="00114F14" w:rsidP="004A104C">
                  <w:pPr>
                    <w:jc w:val="right"/>
                    <w:rPr>
                      <w:sz w:val="20"/>
                      <w:szCs w:val="20"/>
                    </w:rPr>
                  </w:pPr>
                  <w:r>
                    <w:rPr>
                      <w:sz w:val="20"/>
                      <w:szCs w:val="20"/>
                    </w:rPr>
                    <w:t>1.000</w:t>
                  </w:r>
                </w:p>
              </w:tc>
              <w:tc>
                <w:tcPr>
                  <w:tcW w:w="1260" w:type="dxa"/>
                  <w:vAlign w:val="center"/>
                </w:tcPr>
                <w:p w14:paraId="361DD221" w14:textId="77777777" w:rsidR="00114F14" w:rsidRDefault="00114F14" w:rsidP="004A104C">
                  <w:pPr>
                    <w:jc w:val="right"/>
                    <w:rPr>
                      <w:sz w:val="20"/>
                      <w:szCs w:val="20"/>
                    </w:rPr>
                  </w:pPr>
                  <w:r>
                    <w:rPr>
                      <w:sz w:val="20"/>
                      <w:szCs w:val="20"/>
                    </w:rPr>
                    <w:t>1.000</w:t>
                  </w:r>
                </w:p>
              </w:tc>
            </w:tr>
            <w:tr w:rsidR="00114F14" w:rsidRPr="008D72F0" w14:paraId="2579D678" w14:textId="77777777" w:rsidTr="001544A4">
              <w:trPr>
                <w:trHeight w:val="357"/>
              </w:trPr>
              <w:tc>
                <w:tcPr>
                  <w:tcW w:w="1980" w:type="dxa"/>
                  <w:shd w:val="clear" w:color="auto" w:fill="auto"/>
                </w:tcPr>
                <w:p w14:paraId="4455F665"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30DA573C" w14:textId="1E749016" w:rsidR="00114F14" w:rsidRPr="008D72F0" w:rsidRDefault="00114F14" w:rsidP="004A104C">
                  <w:pPr>
                    <w:jc w:val="right"/>
                    <w:rPr>
                      <w:sz w:val="20"/>
                      <w:szCs w:val="20"/>
                    </w:rPr>
                  </w:pPr>
                  <w:r>
                    <w:rPr>
                      <w:sz w:val="20"/>
                      <w:szCs w:val="20"/>
                    </w:rPr>
                    <w:t>$100,611</w:t>
                  </w:r>
                </w:p>
              </w:tc>
              <w:tc>
                <w:tcPr>
                  <w:tcW w:w="1260" w:type="dxa"/>
                </w:tcPr>
                <w:p w14:paraId="43516AC5" w14:textId="20E51A50" w:rsidR="00114F14" w:rsidRPr="008D72F0" w:rsidRDefault="00114F14" w:rsidP="004A104C">
                  <w:pPr>
                    <w:jc w:val="right"/>
                    <w:rPr>
                      <w:sz w:val="20"/>
                      <w:szCs w:val="20"/>
                    </w:rPr>
                  </w:pPr>
                  <w:r>
                    <w:rPr>
                      <w:sz w:val="20"/>
                      <w:szCs w:val="20"/>
                    </w:rPr>
                    <w:t>100,967</w:t>
                  </w:r>
                </w:p>
              </w:tc>
            </w:tr>
          </w:tbl>
          <w:p w14:paraId="3B97D7D6" w14:textId="77777777" w:rsidR="00114F14" w:rsidRDefault="00114F14" w:rsidP="004A104C">
            <w:pPr>
              <w:pStyle w:val="ListBullet"/>
              <w:numPr>
                <w:ilvl w:val="0"/>
                <w:numId w:val="0"/>
              </w:numPr>
              <w:ind w:left="460" w:hanging="180"/>
            </w:pPr>
          </w:p>
          <w:p w14:paraId="723064EF" w14:textId="459D245A" w:rsidR="00114F14" w:rsidRDefault="00114F14" w:rsidP="004A104C">
            <w:pPr>
              <w:pStyle w:val="ListBullet"/>
              <w:numPr>
                <w:ilvl w:val="0"/>
                <w:numId w:val="0"/>
              </w:numPr>
              <w:ind w:left="460" w:hanging="180"/>
            </w:pPr>
          </w:p>
          <w:p w14:paraId="38887088" w14:textId="6551D118" w:rsidR="00114F14" w:rsidRDefault="00114F14" w:rsidP="004A104C">
            <w:pPr>
              <w:pStyle w:val="ListBullet"/>
              <w:numPr>
                <w:ilvl w:val="0"/>
                <w:numId w:val="0"/>
              </w:numPr>
              <w:ind w:left="460" w:hanging="180"/>
            </w:pPr>
          </w:p>
          <w:p w14:paraId="0ECF6EB2" w14:textId="46D6687F" w:rsidR="00114F14" w:rsidRDefault="00114F14" w:rsidP="004A104C">
            <w:pPr>
              <w:pStyle w:val="ListBullet"/>
              <w:numPr>
                <w:ilvl w:val="0"/>
                <w:numId w:val="0"/>
              </w:numPr>
              <w:ind w:left="460" w:hanging="180"/>
            </w:pPr>
          </w:p>
          <w:p w14:paraId="2A73B511" w14:textId="77777777" w:rsidR="00114F14" w:rsidRPr="003474BF" w:rsidRDefault="00114F14" w:rsidP="004A104C">
            <w:pPr>
              <w:pStyle w:val="ListBullet"/>
              <w:numPr>
                <w:ilvl w:val="0"/>
                <w:numId w:val="0"/>
              </w:numPr>
              <w:ind w:left="460" w:hanging="180"/>
            </w:pPr>
          </w:p>
          <w:p w14:paraId="3E5A7385" w14:textId="44C5CB08" w:rsidR="00114F14" w:rsidRPr="003474BF" w:rsidRDefault="00114F14" w:rsidP="004A104C">
            <w:pPr>
              <w:pStyle w:val="ListBullet"/>
            </w:pPr>
            <w:r w:rsidRPr="003474BF">
              <w:t>Reallocates 50% of one Director of Policy and Programs position from General Purpose Aid for Local Schools to Leadership Team. Reorganizes one Public Service Coordinator II to a Public Service Manager III position, one Public Service Manager III from range 34 to 35 and one Director of Communications from range 33 to 36 all in General Fund of ($82,880) in FY 20 and of ($85,395) in FY 21.</w:t>
            </w:r>
          </w:p>
          <w:p w14:paraId="730ADDA6" w14:textId="1F95CB01" w:rsidR="00114F14" w:rsidRDefault="00114F14" w:rsidP="004A104C">
            <w:pPr>
              <w:pStyle w:val="ListBullet"/>
            </w:pPr>
            <w:r w:rsidRPr="003474BF">
              <w:t>Transfers and reallocates one Public Service Manager I position from 25% Federal Expenditures Fund and 75% General Fund in Learning Systems Team program to 100% General fund in General Purpose Aid for Local Schools program and reduces All Other to partially fund the position.  Also reallocates 25% of one Public Service Manager II position from General Fund to Federal Expenditures Fund in Learning Systems program and provides funding for related All Other costs.</w:t>
            </w:r>
          </w:p>
          <w:p w14:paraId="5099B277" w14:textId="77777777" w:rsidR="00CD7961" w:rsidRPr="003474BF" w:rsidRDefault="00CD7961" w:rsidP="00CD7961">
            <w:pPr>
              <w:pStyle w:val="ListBullet"/>
              <w:numPr>
                <w:ilvl w:val="0"/>
                <w:numId w:val="0"/>
              </w:numPr>
              <w:ind w:left="46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0EB8574F" w14:textId="77777777" w:rsidTr="0015196D">
              <w:trPr>
                <w:trHeight w:val="357"/>
              </w:trPr>
              <w:tc>
                <w:tcPr>
                  <w:tcW w:w="1980" w:type="dxa"/>
                  <w:shd w:val="clear" w:color="auto" w:fill="auto"/>
                </w:tcPr>
                <w:p w14:paraId="76A77A6C" w14:textId="77777777" w:rsidR="00114F14" w:rsidRPr="008D72F0" w:rsidRDefault="00114F14" w:rsidP="004A104C">
                  <w:pPr>
                    <w:jc w:val="right"/>
                    <w:rPr>
                      <w:sz w:val="20"/>
                      <w:szCs w:val="20"/>
                      <w:u w:val="single"/>
                    </w:rPr>
                  </w:pPr>
                </w:p>
              </w:tc>
              <w:tc>
                <w:tcPr>
                  <w:tcW w:w="1260" w:type="dxa"/>
                  <w:shd w:val="clear" w:color="auto" w:fill="auto"/>
                </w:tcPr>
                <w:p w14:paraId="12107AD9"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1D4582D1"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510EE17F" w14:textId="77777777" w:rsidTr="0015196D">
              <w:trPr>
                <w:trHeight w:val="344"/>
              </w:trPr>
              <w:tc>
                <w:tcPr>
                  <w:tcW w:w="1980" w:type="dxa"/>
                  <w:shd w:val="clear" w:color="auto" w:fill="auto"/>
                </w:tcPr>
                <w:p w14:paraId="50FA1AD6"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25E452DE" w14:textId="77777777" w:rsidR="00114F14" w:rsidRPr="008D72F0" w:rsidRDefault="00114F14" w:rsidP="004A104C">
                  <w:pPr>
                    <w:jc w:val="right"/>
                    <w:rPr>
                      <w:sz w:val="20"/>
                      <w:szCs w:val="20"/>
                    </w:rPr>
                  </w:pPr>
                  <w:r>
                    <w:rPr>
                      <w:sz w:val="20"/>
                      <w:szCs w:val="20"/>
                    </w:rPr>
                    <w:t>1.000</w:t>
                  </w:r>
                </w:p>
              </w:tc>
              <w:tc>
                <w:tcPr>
                  <w:tcW w:w="1260" w:type="dxa"/>
                  <w:vAlign w:val="center"/>
                </w:tcPr>
                <w:p w14:paraId="434BE14B" w14:textId="77777777" w:rsidR="00114F14" w:rsidRDefault="00114F14" w:rsidP="004A104C">
                  <w:pPr>
                    <w:jc w:val="right"/>
                    <w:rPr>
                      <w:sz w:val="20"/>
                      <w:szCs w:val="20"/>
                    </w:rPr>
                  </w:pPr>
                  <w:r>
                    <w:rPr>
                      <w:sz w:val="20"/>
                      <w:szCs w:val="20"/>
                    </w:rPr>
                    <w:t>1.000</w:t>
                  </w:r>
                </w:p>
              </w:tc>
            </w:tr>
            <w:tr w:rsidR="00114F14" w:rsidRPr="008D72F0" w14:paraId="04FAE5B7" w14:textId="77777777" w:rsidTr="0015196D">
              <w:trPr>
                <w:trHeight w:val="357"/>
              </w:trPr>
              <w:tc>
                <w:tcPr>
                  <w:tcW w:w="1980" w:type="dxa"/>
                  <w:shd w:val="clear" w:color="auto" w:fill="auto"/>
                </w:tcPr>
                <w:p w14:paraId="42EDAA84"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32B35A94" w14:textId="43B94949" w:rsidR="00114F14" w:rsidRPr="008D72F0" w:rsidRDefault="00114F14" w:rsidP="004A104C">
                  <w:pPr>
                    <w:jc w:val="right"/>
                    <w:rPr>
                      <w:sz w:val="20"/>
                      <w:szCs w:val="20"/>
                    </w:rPr>
                  </w:pPr>
                  <w:r>
                    <w:rPr>
                      <w:sz w:val="20"/>
                      <w:szCs w:val="20"/>
                    </w:rPr>
                    <w:t>$122,003</w:t>
                  </w:r>
                </w:p>
              </w:tc>
              <w:tc>
                <w:tcPr>
                  <w:tcW w:w="1260" w:type="dxa"/>
                </w:tcPr>
                <w:p w14:paraId="25A6A454" w14:textId="5C195B36" w:rsidR="00114F14" w:rsidRPr="008D72F0" w:rsidRDefault="00114F14" w:rsidP="004A104C">
                  <w:pPr>
                    <w:jc w:val="right"/>
                    <w:rPr>
                      <w:sz w:val="20"/>
                      <w:szCs w:val="20"/>
                    </w:rPr>
                  </w:pPr>
                  <w:r>
                    <w:rPr>
                      <w:sz w:val="20"/>
                      <w:szCs w:val="20"/>
                    </w:rPr>
                    <w:t>$122,936</w:t>
                  </w:r>
                </w:p>
              </w:tc>
            </w:tr>
            <w:tr w:rsidR="00114F14" w:rsidRPr="008D72F0" w14:paraId="59EB6412" w14:textId="77777777" w:rsidTr="0015196D">
              <w:trPr>
                <w:trHeight w:val="357"/>
              </w:trPr>
              <w:tc>
                <w:tcPr>
                  <w:tcW w:w="1980" w:type="dxa"/>
                  <w:shd w:val="clear" w:color="auto" w:fill="auto"/>
                </w:tcPr>
                <w:p w14:paraId="284B3DA0"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6987FA0A" w14:textId="65A3E4A0" w:rsidR="00114F14" w:rsidRDefault="00114F14" w:rsidP="004A104C">
                  <w:pPr>
                    <w:jc w:val="right"/>
                    <w:rPr>
                      <w:sz w:val="20"/>
                      <w:szCs w:val="20"/>
                    </w:rPr>
                  </w:pPr>
                  <w:r>
                    <w:rPr>
                      <w:sz w:val="20"/>
                      <w:szCs w:val="20"/>
                    </w:rPr>
                    <w:t>($30,502)</w:t>
                  </w:r>
                </w:p>
              </w:tc>
              <w:tc>
                <w:tcPr>
                  <w:tcW w:w="1260" w:type="dxa"/>
                </w:tcPr>
                <w:p w14:paraId="20904673" w14:textId="750BA75F" w:rsidR="00114F14" w:rsidRDefault="00114F14" w:rsidP="004A104C">
                  <w:pPr>
                    <w:jc w:val="right"/>
                    <w:rPr>
                      <w:sz w:val="20"/>
                      <w:szCs w:val="20"/>
                    </w:rPr>
                  </w:pPr>
                  <w:r>
                    <w:rPr>
                      <w:sz w:val="20"/>
                      <w:szCs w:val="20"/>
                    </w:rPr>
                    <w:t>($30,734)</w:t>
                  </w:r>
                </w:p>
              </w:tc>
            </w:tr>
            <w:tr w:rsidR="00114F14" w:rsidRPr="008D72F0" w14:paraId="77CD2657" w14:textId="77777777" w:rsidTr="0015196D">
              <w:trPr>
                <w:trHeight w:val="303"/>
              </w:trPr>
              <w:tc>
                <w:tcPr>
                  <w:tcW w:w="1980" w:type="dxa"/>
                  <w:shd w:val="clear" w:color="auto" w:fill="auto"/>
                </w:tcPr>
                <w:p w14:paraId="366AEC84"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3F0065F6" w14:textId="203316D9" w:rsidR="00114F14" w:rsidRPr="002C59F4" w:rsidRDefault="00114F14" w:rsidP="004A104C">
                  <w:pPr>
                    <w:jc w:val="right"/>
                    <w:rPr>
                      <w:sz w:val="20"/>
                      <w:szCs w:val="20"/>
                      <w:u w:val="single"/>
                    </w:rPr>
                  </w:pPr>
                  <w:r w:rsidRPr="002C59F4">
                    <w:rPr>
                      <w:sz w:val="20"/>
                      <w:szCs w:val="20"/>
                      <w:u w:val="single"/>
                    </w:rPr>
                    <w:t>$</w:t>
                  </w:r>
                  <w:r>
                    <w:rPr>
                      <w:sz w:val="20"/>
                      <w:szCs w:val="20"/>
                      <w:u w:val="single"/>
                    </w:rPr>
                    <w:t>91,501</w:t>
                  </w:r>
                </w:p>
              </w:tc>
              <w:tc>
                <w:tcPr>
                  <w:tcW w:w="1260" w:type="dxa"/>
                </w:tcPr>
                <w:p w14:paraId="0D545853" w14:textId="78A56834" w:rsidR="00114F14" w:rsidRPr="002C59F4" w:rsidRDefault="00114F14" w:rsidP="004A104C">
                  <w:pPr>
                    <w:jc w:val="right"/>
                    <w:rPr>
                      <w:sz w:val="20"/>
                      <w:szCs w:val="20"/>
                      <w:u w:val="single"/>
                    </w:rPr>
                  </w:pPr>
                  <w:r w:rsidRPr="002C59F4">
                    <w:rPr>
                      <w:sz w:val="20"/>
                      <w:szCs w:val="20"/>
                      <w:u w:val="single"/>
                    </w:rPr>
                    <w:t>$</w:t>
                  </w:r>
                  <w:r>
                    <w:rPr>
                      <w:sz w:val="20"/>
                      <w:szCs w:val="20"/>
                      <w:u w:val="single"/>
                    </w:rPr>
                    <w:t>92,202</w:t>
                  </w:r>
                </w:p>
              </w:tc>
            </w:tr>
          </w:tbl>
          <w:p w14:paraId="117DB7E5" w14:textId="1F049240" w:rsidR="00114F14" w:rsidRDefault="00114F14" w:rsidP="004A104C">
            <w:pPr>
              <w:pStyle w:val="ListBullet"/>
              <w:numPr>
                <w:ilvl w:val="0"/>
                <w:numId w:val="0"/>
              </w:numPr>
              <w:ind w:left="280"/>
            </w:pPr>
          </w:p>
          <w:p w14:paraId="0D6B74B9" w14:textId="6E699E04" w:rsidR="00114F14" w:rsidRDefault="00114F14" w:rsidP="004A104C">
            <w:pPr>
              <w:pStyle w:val="ListBullet"/>
              <w:numPr>
                <w:ilvl w:val="0"/>
                <w:numId w:val="0"/>
              </w:numPr>
              <w:ind w:left="280"/>
            </w:pPr>
          </w:p>
          <w:p w14:paraId="64E00439" w14:textId="010EF9D2" w:rsidR="00114F14" w:rsidRDefault="00114F14" w:rsidP="004A104C">
            <w:pPr>
              <w:pStyle w:val="ListBullet"/>
              <w:numPr>
                <w:ilvl w:val="0"/>
                <w:numId w:val="0"/>
              </w:numPr>
              <w:ind w:left="280"/>
            </w:pPr>
          </w:p>
          <w:p w14:paraId="36928B1D" w14:textId="2EEF9641" w:rsidR="00114F14" w:rsidRDefault="00114F14" w:rsidP="004A104C">
            <w:pPr>
              <w:pStyle w:val="ListBullet"/>
              <w:numPr>
                <w:ilvl w:val="0"/>
                <w:numId w:val="0"/>
              </w:numPr>
              <w:ind w:left="280"/>
            </w:pPr>
          </w:p>
          <w:p w14:paraId="3863FBD4" w14:textId="6EC0C10A" w:rsidR="00114F14" w:rsidRDefault="00114F14" w:rsidP="004A104C">
            <w:pPr>
              <w:pStyle w:val="ListBullet"/>
              <w:numPr>
                <w:ilvl w:val="0"/>
                <w:numId w:val="0"/>
              </w:numPr>
              <w:ind w:left="280"/>
            </w:pPr>
          </w:p>
          <w:p w14:paraId="73BA9258" w14:textId="578D2198" w:rsidR="00114F14" w:rsidRDefault="00114F14" w:rsidP="004A104C">
            <w:pPr>
              <w:pStyle w:val="ListBullet"/>
              <w:numPr>
                <w:ilvl w:val="0"/>
                <w:numId w:val="0"/>
              </w:numPr>
              <w:ind w:left="280"/>
            </w:pPr>
          </w:p>
          <w:p w14:paraId="5C4EA626" w14:textId="5048E927" w:rsidR="00114F14" w:rsidRDefault="00114F14" w:rsidP="004A104C">
            <w:pPr>
              <w:pStyle w:val="ListBullet"/>
              <w:numPr>
                <w:ilvl w:val="0"/>
                <w:numId w:val="0"/>
              </w:numPr>
              <w:ind w:left="280"/>
            </w:pPr>
          </w:p>
          <w:p w14:paraId="182565D8" w14:textId="014B5A9C" w:rsidR="00114F14" w:rsidRDefault="00114F14" w:rsidP="004A104C">
            <w:pPr>
              <w:pStyle w:val="ListBullet"/>
            </w:pPr>
            <w:r>
              <w:t>Provides General Fund appropriations in the budget for an increase in school subsidy payments for the state share of MaineCare expenditures for school-based services of $2,000,000 in FY 20 and in FY 21.</w:t>
            </w:r>
          </w:p>
          <w:p w14:paraId="4F8479D9" w14:textId="1E768955" w:rsidR="00114F14" w:rsidRDefault="00114F14" w:rsidP="004A104C">
            <w:pPr>
              <w:pStyle w:val="ListBullet"/>
            </w:pPr>
            <w:r>
              <w:t>Provides General Fund appropriations in the budget to cover essential programs and services obligations in support of publicly funded students and teachers in Maine of $11,000,000 in FY 20 and of $9,000,000 in FY 21.</w:t>
            </w:r>
          </w:p>
          <w:p w14:paraId="3D27B187" w14:textId="622B5354" w:rsidR="00114F14" w:rsidRDefault="00114F14" w:rsidP="004A104C">
            <w:pPr>
              <w:pStyle w:val="ListBullet"/>
            </w:pPr>
            <w:r>
              <w:t>Provides Other Special Revenue Funds appropriations in the budget to cover obligations for publicly funded students and teachers in Maine of $3,301,068 in FY 20 and of $3,514,021 in FY 21.</w:t>
            </w:r>
          </w:p>
          <w:p w14:paraId="36D26B40" w14:textId="205CC7CE" w:rsidR="00114F14" w:rsidRDefault="00114F14" w:rsidP="004A104C">
            <w:pPr>
              <w:pStyle w:val="ListBullet"/>
            </w:pPr>
            <w:r>
              <w:t>Provides for the approved reorganization of one Education Specialist III to a Data &amp; Research Coordinator position and transfers General Fund All Other to Personal Services to fund the reorganization of $354 in FY 20 and in FY 21.</w:t>
            </w:r>
          </w:p>
          <w:p w14:paraId="2269F54A" w14:textId="67AB9F31" w:rsidR="00114F14" w:rsidRDefault="00114F14" w:rsidP="004A104C">
            <w:pPr>
              <w:pStyle w:val="ListBullet"/>
            </w:pPr>
            <w:r>
              <w:t>Transfers General Fund appropriations from Learning Systems to General Purpose Aid for Local Schools program for compliance with criminal history record check and fingerprinting requirements for employees of school administrative units of $13,508 in FY 20 and in FY 21.</w:t>
            </w:r>
          </w:p>
          <w:p w14:paraId="3E0714A2" w14:textId="4FF4C07F" w:rsidR="00114F14" w:rsidRDefault="00114F14" w:rsidP="004A104C">
            <w:pPr>
              <w:pStyle w:val="ListBullet"/>
            </w:pPr>
            <w:r>
              <w:t>Provides one-time General Fund appropriations in the budget to pay a portion of the FY 20 end-of-year lease cost for computer devices leased as part of the learning through technology initiative program of $4,000,000 in FY 21.</w:t>
            </w:r>
          </w:p>
          <w:p w14:paraId="5F8D1639" w14:textId="58D2B854" w:rsidR="00114F14" w:rsidRDefault="00114F14" w:rsidP="004A104C">
            <w:pPr>
              <w:pStyle w:val="ListBullet"/>
            </w:pPr>
            <w:r>
              <w:t>Establishes 2 Education Specialist III, 2 Regional Education Representative and one Management Analyst II positions and General Fund appropriations in the budget beginning September 23, 2019 to build staffing capacity within the Department of Education in General Fund appropriations.</w:t>
            </w:r>
          </w:p>
          <w:p w14:paraId="26F653AC" w14:textId="3360558D" w:rsidR="00114F14" w:rsidRDefault="00114F14" w:rsidP="00E13B89">
            <w:pPr>
              <w:pStyle w:val="ListBullet"/>
              <w:numPr>
                <w:ilvl w:val="0"/>
                <w:numId w:val="0"/>
              </w:numPr>
              <w:ind w:left="460"/>
            </w:pPr>
          </w:p>
          <w:p w14:paraId="11BEBF4B" w14:textId="5DBD5525" w:rsidR="00CD7961" w:rsidRDefault="00CD7961" w:rsidP="00E13B89">
            <w:pPr>
              <w:pStyle w:val="ListBullet"/>
              <w:numPr>
                <w:ilvl w:val="0"/>
                <w:numId w:val="0"/>
              </w:numPr>
              <w:ind w:left="460"/>
            </w:pPr>
          </w:p>
          <w:p w14:paraId="43784F6C" w14:textId="798BBA0C" w:rsidR="00CD7961" w:rsidRDefault="00CD7961" w:rsidP="00E13B89">
            <w:pPr>
              <w:pStyle w:val="ListBullet"/>
              <w:numPr>
                <w:ilvl w:val="0"/>
                <w:numId w:val="0"/>
              </w:numPr>
              <w:ind w:left="460"/>
            </w:pPr>
          </w:p>
          <w:p w14:paraId="006D5A12" w14:textId="7E2513D1" w:rsidR="00CD7961" w:rsidRDefault="00CD7961" w:rsidP="00E13B89">
            <w:pPr>
              <w:pStyle w:val="ListBullet"/>
              <w:numPr>
                <w:ilvl w:val="0"/>
                <w:numId w:val="0"/>
              </w:numPr>
              <w:ind w:left="460"/>
            </w:pPr>
          </w:p>
          <w:p w14:paraId="6F762A5E" w14:textId="23443DAE" w:rsidR="00CD7961" w:rsidRDefault="00CD7961" w:rsidP="00E13B89">
            <w:pPr>
              <w:pStyle w:val="ListBullet"/>
              <w:numPr>
                <w:ilvl w:val="0"/>
                <w:numId w:val="0"/>
              </w:numPr>
              <w:ind w:left="460"/>
            </w:pPr>
          </w:p>
          <w:p w14:paraId="0BFEF47C" w14:textId="77777777" w:rsidR="00CD7961" w:rsidRDefault="00CD7961" w:rsidP="00E13B89">
            <w:pPr>
              <w:pStyle w:val="ListBullet"/>
              <w:numPr>
                <w:ilvl w:val="0"/>
                <w:numId w:val="0"/>
              </w:numPr>
              <w:ind w:left="46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4AF2B79A" w14:textId="77777777" w:rsidTr="0015196D">
              <w:trPr>
                <w:trHeight w:val="357"/>
              </w:trPr>
              <w:tc>
                <w:tcPr>
                  <w:tcW w:w="1980" w:type="dxa"/>
                  <w:shd w:val="clear" w:color="auto" w:fill="auto"/>
                </w:tcPr>
                <w:p w14:paraId="7FABA825" w14:textId="77777777" w:rsidR="00114F14" w:rsidRPr="008D72F0" w:rsidRDefault="00114F14" w:rsidP="004A104C">
                  <w:pPr>
                    <w:jc w:val="right"/>
                    <w:rPr>
                      <w:sz w:val="20"/>
                      <w:szCs w:val="20"/>
                      <w:u w:val="single"/>
                    </w:rPr>
                  </w:pPr>
                </w:p>
              </w:tc>
              <w:tc>
                <w:tcPr>
                  <w:tcW w:w="1260" w:type="dxa"/>
                  <w:shd w:val="clear" w:color="auto" w:fill="auto"/>
                </w:tcPr>
                <w:p w14:paraId="775E998F"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0336088D"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2E04292E" w14:textId="77777777" w:rsidTr="0015196D">
              <w:trPr>
                <w:trHeight w:val="344"/>
              </w:trPr>
              <w:tc>
                <w:tcPr>
                  <w:tcW w:w="1980" w:type="dxa"/>
                  <w:shd w:val="clear" w:color="auto" w:fill="auto"/>
                </w:tcPr>
                <w:p w14:paraId="5C7A797F"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6193D2DA" w14:textId="77777777" w:rsidR="00114F14" w:rsidRPr="008D72F0" w:rsidRDefault="00114F14" w:rsidP="004A104C">
                  <w:pPr>
                    <w:jc w:val="right"/>
                    <w:rPr>
                      <w:sz w:val="20"/>
                      <w:szCs w:val="20"/>
                    </w:rPr>
                  </w:pPr>
                  <w:r>
                    <w:rPr>
                      <w:sz w:val="20"/>
                      <w:szCs w:val="20"/>
                    </w:rPr>
                    <w:t>1.000</w:t>
                  </w:r>
                </w:p>
              </w:tc>
              <w:tc>
                <w:tcPr>
                  <w:tcW w:w="1260" w:type="dxa"/>
                  <w:vAlign w:val="center"/>
                </w:tcPr>
                <w:p w14:paraId="7F0CED9A" w14:textId="77777777" w:rsidR="00114F14" w:rsidRDefault="00114F14" w:rsidP="004A104C">
                  <w:pPr>
                    <w:jc w:val="right"/>
                    <w:rPr>
                      <w:sz w:val="20"/>
                      <w:szCs w:val="20"/>
                    </w:rPr>
                  </w:pPr>
                  <w:r>
                    <w:rPr>
                      <w:sz w:val="20"/>
                      <w:szCs w:val="20"/>
                    </w:rPr>
                    <w:t>1.000</w:t>
                  </w:r>
                </w:p>
              </w:tc>
            </w:tr>
            <w:tr w:rsidR="00114F14" w:rsidRPr="008D72F0" w14:paraId="4EF93E50" w14:textId="77777777" w:rsidTr="0015196D">
              <w:trPr>
                <w:trHeight w:val="357"/>
              </w:trPr>
              <w:tc>
                <w:tcPr>
                  <w:tcW w:w="1980" w:type="dxa"/>
                  <w:shd w:val="clear" w:color="auto" w:fill="auto"/>
                </w:tcPr>
                <w:p w14:paraId="70AC837A"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253CE13F" w14:textId="251DE35B" w:rsidR="00114F14" w:rsidRPr="008D72F0" w:rsidRDefault="00114F14" w:rsidP="004A104C">
                  <w:pPr>
                    <w:jc w:val="right"/>
                    <w:rPr>
                      <w:sz w:val="20"/>
                      <w:szCs w:val="20"/>
                    </w:rPr>
                  </w:pPr>
                  <w:r>
                    <w:rPr>
                      <w:sz w:val="20"/>
                      <w:szCs w:val="20"/>
                    </w:rPr>
                    <w:t>$67,482</w:t>
                  </w:r>
                </w:p>
              </w:tc>
              <w:tc>
                <w:tcPr>
                  <w:tcW w:w="1260" w:type="dxa"/>
                </w:tcPr>
                <w:p w14:paraId="2B9A0687" w14:textId="10B36BAE" w:rsidR="00114F14" w:rsidRPr="008D72F0" w:rsidRDefault="00114F14" w:rsidP="004A104C">
                  <w:pPr>
                    <w:jc w:val="right"/>
                    <w:rPr>
                      <w:sz w:val="20"/>
                      <w:szCs w:val="20"/>
                    </w:rPr>
                  </w:pPr>
                  <w:r>
                    <w:rPr>
                      <w:sz w:val="20"/>
                      <w:szCs w:val="20"/>
                    </w:rPr>
                    <w:t>$91,863</w:t>
                  </w:r>
                </w:p>
              </w:tc>
            </w:tr>
            <w:tr w:rsidR="00114F14" w:rsidRPr="008D72F0" w14:paraId="4CA985B2" w14:textId="77777777" w:rsidTr="0015196D">
              <w:trPr>
                <w:trHeight w:val="357"/>
              </w:trPr>
              <w:tc>
                <w:tcPr>
                  <w:tcW w:w="1980" w:type="dxa"/>
                  <w:shd w:val="clear" w:color="auto" w:fill="auto"/>
                </w:tcPr>
                <w:p w14:paraId="4AD851A9"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67C1AEFD" w14:textId="72503394" w:rsidR="00114F14" w:rsidRDefault="00114F14" w:rsidP="004A104C">
                  <w:pPr>
                    <w:jc w:val="right"/>
                    <w:rPr>
                      <w:sz w:val="20"/>
                      <w:szCs w:val="20"/>
                    </w:rPr>
                  </w:pPr>
                  <w:r>
                    <w:rPr>
                      <w:sz w:val="20"/>
                      <w:szCs w:val="20"/>
                    </w:rPr>
                    <w:t>($42,367)</w:t>
                  </w:r>
                </w:p>
              </w:tc>
              <w:tc>
                <w:tcPr>
                  <w:tcW w:w="1260" w:type="dxa"/>
                </w:tcPr>
                <w:p w14:paraId="0C62FDA6" w14:textId="2354B5A4" w:rsidR="00114F14" w:rsidRDefault="00114F14" w:rsidP="004A104C">
                  <w:pPr>
                    <w:jc w:val="right"/>
                    <w:rPr>
                      <w:sz w:val="20"/>
                      <w:szCs w:val="20"/>
                    </w:rPr>
                  </w:pPr>
                  <w:r>
                    <w:rPr>
                      <w:sz w:val="20"/>
                      <w:szCs w:val="20"/>
                    </w:rPr>
                    <w:t>($58,617)</w:t>
                  </w:r>
                </w:p>
              </w:tc>
            </w:tr>
            <w:tr w:rsidR="00114F14" w:rsidRPr="008D72F0" w14:paraId="39ABC2F7" w14:textId="77777777" w:rsidTr="0015196D">
              <w:trPr>
                <w:trHeight w:val="303"/>
              </w:trPr>
              <w:tc>
                <w:tcPr>
                  <w:tcW w:w="1980" w:type="dxa"/>
                  <w:shd w:val="clear" w:color="auto" w:fill="auto"/>
                </w:tcPr>
                <w:p w14:paraId="1E7AE6F1"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6BFA66E4" w14:textId="4F75D8D7" w:rsidR="00114F14" w:rsidRPr="002C59F4" w:rsidRDefault="00114F14" w:rsidP="004A104C">
                  <w:pPr>
                    <w:jc w:val="right"/>
                    <w:rPr>
                      <w:sz w:val="20"/>
                      <w:szCs w:val="20"/>
                      <w:u w:val="single"/>
                    </w:rPr>
                  </w:pPr>
                  <w:r w:rsidRPr="002C59F4">
                    <w:rPr>
                      <w:sz w:val="20"/>
                      <w:szCs w:val="20"/>
                      <w:u w:val="single"/>
                    </w:rPr>
                    <w:t>$</w:t>
                  </w:r>
                  <w:r>
                    <w:rPr>
                      <w:sz w:val="20"/>
                      <w:szCs w:val="20"/>
                      <w:u w:val="single"/>
                    </w:rPr>
                    <w:t>25,115</w:t>
                  </w:r>
                </w:p>
              </w:tc>
              <w:tc>
                <w:tcPr>
                  <w:tcW w:w="1260" w:type="dxa"/>
                </w:tcPr>
                <w:p w14:paraId="004A33A4" w14:textId="7E4D94C3" w:rsidR="00114F14" w:rsidRPr="002C59F4" w:rsidRDefault="00114F14" w:rsidP="004A104C">
                  <w:pPr>
                    <w:jc w:val="right"/>
                    <w:rPr>
                      <w:sz w:val="20"/>
                      <w:szCs w:val="20"/>
                      <w:u w:val="single"/>
                    </w:rPr>
                  </w:pPr>
                  <w:r w:rsidRPr="002C59F4">
                    <w:rPr>
                      <w:sz w:val="20"/>
                      <w:szCs w:val="20"/>
                      <w:u w:val="single"/>
                    </w:rPr>
                    <w:t>$</w:t>
                  </w:r>
                  <w:r>
                    <w:rPr>
                      <w:sz w:val="20"/>
                      <w:szCs w:val="20"/>
                      <w:u w:val="single"/>
                    </w:rPr>
                    <w:t>33,246</w:t>
                  </w:r>
                </w:p>
              </w:tc>
            </w:tr>
          </w:tbl>
          <w:p w14:paraId="698164CB" w14:textId="2404B742" w:rsidR="00114F14" w:rsidRDefault="00114F14" w:rsidP="004A104C">
            <w:pPr>
              <w:pStyle w:val="ListBullet"/>
              <w:numPr>
                <w:ilvl w:val="0"/>
                <w:numId w:val="0"/>
              </w:numPr>
              <w:ind w:left="280"/>
            </w:pPr>
          </w:p>
          <w:p w14:paraId="63F72DF3" w14:textId="1CAAAE5A" w:rsidR="00114F14" w:rsidRDefault="00114F14" w:rsidP="004A104C">
            <w:pPr>
              <w:pStyle w:val="ListBullet"/>
              <w:numPr>
                <w:ilvl w:val="0"/>
                <w:numId w:val="0"/>
              </w:numPr>
              <w:ind w:left="280"/>
            </w:pPr>
          </w:p>
          <w:p w14:paraId="5AEF7BD3" w14:textId="306E3248" w:rsidR="00114F14" w:rsidRDefault="00114F14" w:rsidP="004A104C">
            <w:pPr>
              <w:pStyle w:val="ListBullet"/>
              <w:numPr>
                <w:ilvl w:val="0"/>
                <w:numId w:val="0"/>
              </w:numPr>
              <w:ind w:left="280"/>
            </w:pPr>
          </w:p>
          <w:p w14:paraId="0E8BCBD3" w14:textId="24172510" w:rsidR="00114F14" w:rsidRDefault="00114F14" w:rsidP="004A104C">
            <w:pPr>
              <w:pStyle w:val="ListBullet"/>
              <w:numPr>
                <w:ilvl w:val="0"/>
                <w:numId w:val="0"/>
              </w:numPr>
              <w:ind w:left="280"/>
            </w:pPr>
          </w:p>
          <w:p w14:paraId="26F58E43" w14:textId="52F4A934" w:rsidR="00114F14" w:rsidRDefault="00114F14" w:rsidP="004A104C">
            <w:pPr>
              <w:pStyle w:val="ListBullet"/>
              <w:numPr>
                <w:ilvl w:val="0"/>
                <w:numId w:val="0"/>
              </w:numPr>
              <w:ind w:left="280"/>
            </w:pPr>
          </w:p>
          <w:p w14:paraId="0F0C00D1" w14:textId="5A880BFE" w:rsidR="00114F14" w:rsidRDefault="00114F14" w:rsidP="004A104C">
            <w:pPr>
              <w:pStyle w:val="ListBullet"/>
              <w:numPr>
                <w:ilvl w:val="0"/>
                <w:numId w:val="0"/>
              </w:numPr>
              <w:ind w:left="280"/>
            </w:pPr>
          </w:p>
          <w:p w14:paraId="304106B6" w14:textId="49AB3C1F" w:rsidR="00114F14" w:rsidRDefault="00114F14" w:rsidP="004A104C">
            <w:pPr>
              <w:pStyle w:val="ListBullet"/>
              <w:numPr>
                <w:ilvl w:val="0"/>
                <w:numId w:val="0"/>
              </w:numPr>
              <w:ind w:left="280"/>
            </w:pPr>
          </w:p>
          <w:p w14:paraId="492E6074" w14:textId="77777777" w:rsidR="00114F14" w:rsidRDefault="00114F14" w:rsidP="004A104C">
            <w:pPr>
              <w:pStyle w:val="ListBullet"/>
              <w:numPr>
                <w:ilvl w:val="0"/>
                <w:numId w:val="0"/>
              </w:numPr>
              <w:ind w:left="280"/>
            </w:pPr>
          </w:p>
          <w:p w14:paraId="1E612A24" w14:textId="39A4B450" w:rsidR="00114F14" w:rsidRDefault="00114F14" w:rsidP="004A104C">
            <w:pPr>
              <w:pStyle w:val="ListBullet"/>
            </w:pPr>
            <w:r>
              <w:t>Provides General Fund appropriations in the budget to increase the minimum annual salary for certified teachers from $30,000 in FY 20 to $35,000 in FY 21, $37,500 in FY 22 and $40,000 in FY 23 in the amount of $2,100,000 in FY 21.</w:t>
            </w:r>
          </w:p>
          <w:p w14:paraId="0FCF85E3" w14:textId="2CD21C10" w:rsidR="00114F14" w:rsidRDefault="00114F14" w:rsidP="004A104C">
            <w:pPr>
              <w:pStyle w:val="ListBullet"/>
            </w:pPr>
            <w:r>
              <w:t>Provides an additional General Fund allocation in the budget toward the state share of the total cost of public education from kindergarten to grade 12 of $28,677,547 in FY 20 and of $52,865,889 in FY 21.</w:t>
            </w:r>
          </w:p>
          <w:p w14:paraId="44207AF9" w14:textId="3B79FC35" w:rsidR="00114F14" w:rsidRDefault="00114F14" w:rsidP="004A104C">
            <w:pPr>
              <w:pStyle w:val="ListBullet"/>
            </w:pPr>
            <w:r>
              <w:t xml:space="preserve">Continues one Public Service Manager II position previously established by Financial Order and reduces All Other to fund the position. </w:t>
            </w:r>
          </w:p>
          <w:p w14:paraId="370AC06D" w14:textId="13373143" w:rsidR="00114F14" w:rsidRDefault="00114F14" w:rsidP="004A104C">
            <w:pPr>
              <w:pStyle w:val="ListBullet"/>
              <w:numPr>
                <w:ilvl w:val="0"/>
                <w:numId w:val="0"/>
              </w:numPr>
              <w:ind w:left="46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2FD8F732" w14:textId="77777777" w:rsidTr="0015196D">
              <w:trPr>
                <w:trHeight w:val="357"/>
              </w:trPr>
              <w:tc>
                <w:tcPr>
                  <w:tcW w:w="1980" w:type="dxa"/>
                  <w:shd w:val="clear" w:color="auto" w:fill="auto"/>
                </w:tcPr>
                <w:p w14:paraId="3DBE8CA9" w14:textId="77777777" w:rsidR="00114F14" w:rsidRPr="008D72F0" w:rsidRDefault="00114F14" w:rsidP="004A104C">
                  <w:pPr>
                    <w:jc w:val="right"/>
                    <w:rPr>
                      <w:sz w:val="20"/>
                      <w:szCs w:val="20"/>
                      <w:u w:val="single"/>
                    </w:rPr>
                  </w:pPr>
                </w:p>
              </w:tc>
              <w:tc>
                <w:tcPr>
                  <w:tcW w:w="1260" w:type="dxa"/>
                  <w:shd w:val="clear" w:color="auto" w:fill="auto"/>
                </w:tcPr>
                <w:p w14:paraId="522716CB"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40A25D10"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0AFB8B24" w14:textId="77777777" w:rsidTr="0015196D">
              <w:trPr>
                <w:trHeight w:val="344"/>
              </w:trPr>
              <w:tc>
                <w:tcPr>
                  <w:tcW w:w="1980" w:type="dxa"/>
                  <w:shd w:val="clear" w:color="auto" w:fill="auto"/>
                </w:tcPr>
                <w:p w14:paraId="318FFE79"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7C224278" w14:textId="77777777" w:rsidR="00114F14" w:rsidRPr="008D72F0" w:rsidRDefault="00114F14" w:rsidP="004A104C">
                  <w:pPr>
                    <w:jc w:val="right"/>
                    <w:rPr>
                      <w:sz w:val="20"/>
                      <w:szCs w:val="20"/>
                    </w:rPr>
                  </w:pPr>
                  <w:r>
                    <w:rPr>
                      <w:sz w:val="20"/>
                      <w:szCs w:val="20"/>
                    </w:rPr>
                    <w:t>1.000</w:t>
                  </w:r>
                </w:p>
              </w:tc>
              <w:tc>
                <w:tcPr>
                  <w:tcW w:w="1260" w:type="dxa"/>
                  <w:vAlign w:val="center"/>
                </w:tcPr>
                <w:p w14:paraId="495CDF9E" w14:textId="77777777" w:rsidR="00114F14" w:rsidRDefault="00114F14" w:rsidP="004A104C">
                  <w:pPr>
                    <w:jc w:val="right"/>
                    <w:rPr>
                      <w:sz w:val="20"/>
                      <w:szCs w:val="20"/>
                    </w:rPr>
                  </w:pPr>
                  <w:r>
                    <w:rPr>
                      <w:sz w:val="20"/>
                      <w:szCs w:val="20"/>
                    </w:rPr>
                    <w:t>1.000</w:t>
                  </w:r>
                </w:p>
              </w:tc>
            </w:tr>
            <w:tr w:rsidR="00114F14" w:rsidRPr="008D72F0" w14:paraId="39FBADCC" w14:textId="77777777" w:rsidTr="0015196D">
              <w:trPr>
                <w:trHeight w:val="357"/>
              </w:trPr>
              <w:tc>
                <w:tcPr>
                  <w:tcW w:w="1980" w:type="dxa"/>
                  <w:shd w:val="clear" w:color="auto" w:fill="auto"/>
                </w:tcPr>
                <w:p w14:paraId="6F159647"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2A331675" w14:textId="3FEEC860" w:rsidR="00114F14" w:rsidRPr="008D72F0" w:rsidRDefault="00114F14" w:rsidP="004A104C">
                  <w:pPr>
                    <w:jc w:val="right"/>
                    <w:rPr>
                      <w:sz w:val="20"/>
                      <w:szCs w:val="20"/>
                    </w:rPr>
                  </w:pPr>
                  <w:r>
                    <w:rPr>
                      <w:sz w:val="20"/>
                      <w:szCs w:val="20"/>
                    </w:rPr>
                    <w:t>$141,074</w:t>
                  </w:r>
                </w:p>
              </w:tc>
              <w:tc>
                <w:tcPr>
                  <w:tcW w:w="1260" w:type="dxa"/>
                </w:tcPr>
                <w:p w14:paraId="04F1594E" w14:textId="3E199ADC" w:rsidR="00114F14" w:rsidRPr="008D72F0" w:rsidRDefault="00114F14" w:rsidP="004A104C">
                  <w:pPr>
                    <w:jc w:val="right"/>
                    <w:rPr>
                      <w:sz w:val="20"/>
                      <w:szCs w:val="20"/>
                    </w:rPr>
                  </w:pPr>
                  <w:r>
                    <w:rPr>
                      <w:sz w:val="20"/>
                      <w:szCs w:val="20"/>
                    </w:rPr>
                    <w:t>$141,957</w:t>
                  </w:r>
                </w:p>
              </w:tc>
            </w:tr>
            <w:tr w:rsidR="00114F14" w:rsidRPr="008D72F0" w14:paraId="71D63544" w14:textId="77777777" w:rsidTr="0015196D">
              <w:trPr>
                <w:trHeight w:val="357"/>
              </w:trPr>
              <w:tc>
                <w:tcPr>
                  <w:tcW w:w="1980" w:type="dxa"/>
                  <w:shd w:val="clear" w:color="auto" w:fill="auto"/>
                </w:tcPr>
                <w:p w14:paraId="07474840"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54AB6A42" w14:textId="68FB9FD8" w:rsidR="00114F14" w:rsidRDefault="00114F14" w:rsidP="004A104C">
                  <w:pPr>
                    <w:jc w:val="right"/>
                    <w:rPr>
                      <w:sz w:val="20"/>
                      <w:szCs w:val="20"/>
                    </w:rPr>
                  </w:pPr>
                  <w:r>
                    <w:rPr>
                      <w:sz w:val="20"/>
                      <w:szCs w:val="20"/>
                    </w:rPr>
                    <w:t>($141,074)</w:t>
                  </w:r>
                </w:p>
              </w:tc>
              <w:tc>
                <w:tcPr>
                  <w:tcW w:w="1260" w:type="dxa"/>
                </w:tcPr>
                <w:p w14:paraId="4F1849DB" w14:textId="193F5435" w:rsidR="00114F14" w:rsidRDefault="00114F14" w:rsidP="004A104C">
                  <w:pPr>
                    <w:jc w:val="right"/>
                    <w:rPr>
                      <w:sz w:val="20"/>
                      <w:szCs w:val="20"/>
                    </w:rPr>
                  </w:pPr>
                  <w:r>
                    <w:rPr>
                      <w:sz w:val="20"/>
                      <w:szCs w:val="20"/>
                    </w:rPr>
                    <w:t>($141,957)</w:t>
                  </w:r>
                </w:p>
              </w:tc>
            </w:tr>
            <w:tr w:rsidR="00114F14" w:rsidRPr="008D72F0" w14:paraId="2A87F500" w14:textId="77777777" w:rsidTr="0015196D">
              <w:trPr>
                <w:trHeight w:val="303"/>
              </w:trPr>
              <w:tc>
                <w:tcPr>
                  <w:tcW w:w="1980" w:type="dxa"/>
                  <w:shd w:val="clear" w:color="auto" w:fill="auto"/>
                </w:tcPr>
                <w:p w14:paraId="41C66252"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72B6BDED" w14:textId="1F03BC91"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c>
                <w:tcPr>
                  <w:tcW w:w="1260" w:type="dxa"/>
                </w:tcPr>
                <w:p w14:paraId="67A11AA4" w14:textId="759FD970"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r>
          </w:tbl>
          <w:p w14:paraId="6CB79A6D" w14:textId="5AAC2CC0" w:rsidR="00114F14" w:rsidRDefault="00114F14" w:rsidP="004A104C">
            <w:pPr>
              <w:pStyle w:val="ListBullet"/>
              <w:numPr>
                <w:ilvl w:val="0"/>
                <w:numId w:val="0"/>
              </w:numPr>
              <w:ind w:left="280"/>
            </w:pPr>
          </w:p>
          <w:p w14:paraId="1A3DA3FC" w14:textId="49C8B30B" w:rsidR="00114F14" w:rsidRDefault="00114F14" w:rsidP="004A104C">
            <w:pPr>
              <w:pStyle w:val="ListBullet"/>
              <w:numPr>
                <w:ilvl w:val="0"/>
                <w:numId w:val="0"/>
              </w:numPr>
              <w:ind w:left="280"/>
            </w:pPr>
          </w:p>
          <w:p w14:paraId="33898530" w14:textId="3DC75442" w:rsidR="00114F14" w:rsidRDefault="00114F14" w:rsidP="004A104C">
            <w:pPr>
              <w:pStyle w:val="ListBullet"/>
              <w:numPr>
                <w:ilvl w:val="0"/>
                <w:numId w:val="0"/>
              </w:numPr>
              <w:ind w:left="280"/>
            </w:pPr>
          </w:p>
          <w:p w14:paraId="22F84F4E" w14:textId="2B072952" w:rsidR="00114F14" w:rsidRDefault="00114F14" w:rsidP="004A104C">
            <w:pPr>
              <w:pStyle w:val="ListBullet"/>
              <w:numPr>
                <w:ilvl w:val="0"/>
                <w:numId w:val="0"/>
              </w:numPr>
              <w:ind w:left="280"/>
            </w:pPr>
          </w:p>
          <w:p w14:paraId="4CC8FB4A" w14:textId="555D312E" w:rsidR="00114F14" w:rsidRDefault="00114F14" w:rsidP="004A104C">
            <w:pPr>
              <w:pStyle w:val="ListBullet"/>
              <w:numPr>
                <w:ilvl w:val="0"/>
                <w:numId w:val="0"/>
              </w:numPr>
              <w:ind w:left="280"/>
            </w:pPr>
          </w:p>
          <w:p w14:paraId="73348FBE" w14:textId="427B6AA7" w:rsidR="00114F14" w:rsidRDefault="00114F14" w:rsidP="004A104C">
            <w:pPr>
              <w:pStyle w:val="ListBullet"/>
              <w:numPr>
                <w:ilvl w:val="0"/>
                <w:numId w:val="0"/>
              </w:numPr>
              <w:ind w:left="280"/>
            </w:pPr>
          </w:p>
          <w:p w14:paraId="13B7619C" w14:textId="7D286872" w:rsidR="00114F14" w:rsidRDefault="00114F14" w:rsidP="004A104C">
            <w:pPr>
              <w:pStyle w:val="ListBullet"/>
              <w:numPr>
                <w:ilvl w:val="0"/>
                <w:numId w:val="0"/>
              </w:numPr>
              <w:ind w:left="280"/>
            </w:pPr>
          </w:p>
          <w:p w14:paraId="53CFE5C4" w14:textId="77777777" w:rsidR="00114F14" w:rsidRDefault="00114F14" w:rsidP="004A104C">
            <w:pPr>
              <w:pStyle w:val="ListBullet"/>
              <w:numPr>
                <w:ilvl w:val="0"/>
                <w:numId w:val="0"/>
              </w:numPr>
              <w:ind w:left="280"/>
            </w:pPr>
          </w:p>
          <w:p w14:paraId="123BE842" w14:textId="4B6AB35D" w:rsidR="00114F14" w:rsidRDefault="00114F14" w:rsidP="004A104C">
            <w:pPr>
              <w:pStyle w:val="ListBullet"/>
            </w:pPr>
            <w:r>
              <w:t>Provides General Fund appropriations in the budget to the Maine Center for the Deaf and Hard-of-Hearing and the Governor Baxter School for the Deaf for a 3% cost-of-living adjustment of $243,750 in FY 21.</w:t>
            </w:r>
          </w:p>
          <w:p w14:paraId="7B023CEF" w14:textId="78A0506A" w:rsidR="00114F14" w:rsidRDefault="00114F14" w:rsidP="004A104C">
            <w:pPr>
              <w:pStyle w:val="ListBullet"/>
            </w:pPr>
            <w:r>
              <w:t>Provides General Fund appropriations in the budget to the Maine Center for the Deaf and Hard-of-Hearing and the Governor Baxter School for the Deaf for student transportation costs of $200,000 in FY 20 and in FY 21.</w:t>
            </w:r>
          </w:p>
          <w:p w14:paraId="5C8291BD" w14:textId="5E91C6E0" w:rsidR="00114F14" w:rsidRDefault="00114F14" w:rsidP="004A104C">
            <w:pPr>
              <w:pStyle w:val="ListBullet"/>
            </w:pPr>
            <w:r>
              <w:t xml:space="preserve">Continues one Education Specialist III position previously established by Financial Order and reduces All Other to fund position.  Also eliminates one Education Specialist II position. </w:t>
            </w: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4FB0FBDB" w14:textId="77777777" w:rsidTr="0015196D">
              <w:trPr>
                <w:trHeight w:val="357"/>
              </w:trPr>
              <w:tc>
                <w:tcPr>
                  <w:tcW w:w="1980" w:type="dxa"/>
                  <w:shd w:val="clear" w:color="auto" w:fill="auto"/>
                </w:tcPr>
                <w:p w14:paraId="496A5E0F" w14:textId="77777777" w:rsidR="00114F14" w:rsidRPr="008D72F0" w:rsidRDefault="00114F14" w:rsidP="004A104C">
                  <w:pPr>
                    <w:jc w:val="right"/>
                    <w:rPr>
                      <w:sz w:val="20"/>
                      <w:szCs w:val="20"/>
                      <w:u w:val="single"/>
                    </w:rPr>
                  </w:pPr>
                </w:p>
              </w:tc>
              <w:tc>
                <w:tcPr>
                  <w:tcW w:w="1260" w:type="dxa"/>
                  <w:shd w:val="clear" w:color="auto" w:fill="auto"/>
                </w:tcPr>
                <w:p w14:paraId="10A74D14"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7D44B3C1"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033CC319" w14:textId="77777777" w:rsidTr="0015196D">
              <w:trPr>
                <w:trHeight w:val="344"/>
              </w:trPr>
              <w:tc>
                <w:tcPr>
                  <w:tcW w:w="1980" w:type="dxa"/>
                  <w:shd w:val="clear" w:color="auto" w:fill="auto"/>
                </w:tcPr>
                <w:p w14:paraId="53BAED6E"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45336BE1" w14:textId="77777777" w:rsidR="00114F14" w:rsidRPr="008D72F0" w:rsidRDefault="00114F14" w:rsidP="004A104C">
                  <w:pPr>
                    <w:jc w:val="right"/>
                    <w:rPr>
                      <w:sz w:val="20"/>
                      <w:szCs w:val="20"/>
                    </w:rPr>
                  </w:pPr>
                  <w:r>
                    <w:rPr>
                      <w:sz w:val="20"/>
                      <w:szCs w:val="20"/>
                    </w:rPr>
                    <w:t>1.000</w:t>
                  </w:r>
                </w:p>
              </w:tc>
              <w:tc>
                <w:tcPr>
                  <w:tcW w:w="1260" w:type="dxa"/>
                  <w:vAlign w:val="center"/>
                </w:tcPr>
                <w:p w14:paraId="60BE6530" w14:textId="77777777" w:rsidR="00114F14" w:rsidRDefault="00114F14" w:rsidP="004A104C">
                  <w:pPr>
                    <w:jc w:val="right"/>
                    <w:rPr>
                      <w:sz w:val="20"/>
                      <w:szCs w:val="20"/>
                    </w:rPr>
                  </w:pPr>
                  <w:r>
                    <w:rPr>
                      <w:sz w:val="20"/>
                      <w:szCs w:val="20"/>
                    </w:rPr>
                    <w:t>1.000</w:t>
                  </w:r>
                </w:p>
              </w:tc>
            </w:tr>
            <w:tr w:rsidR="00114F14" w:rsidRPr="008D72F0" w14:paraId="67A99C89" w14:textId="77777777" w:rsidTr="0015196D">
              <w:trPr>
                <w:trHeight w:val="357"/>
              </w:trPr>
              <w:tc>
                <w:tcPr>
                  <w:tcW w:w="1980" w:type="dxa"/>
                  <w:shd w:val="clear" w:color="auto" w:fill="auto"/>
                </w:tcPr>
                <w:p w14:paraId="4D1555B2"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46856FAC" w14:textId="050B3E4D" w:rsidR="00114F14" w:rsidRPr="008D72F0" w:rsidRDefault="00114F14" w:rsidP="004A104C">
                  <w:pPr>
                    <w:jc w:val="right"/>
                    <w:rPr>
                      <w:sz w:val="20"/>
                      <w:szCs w:val="20"/>
                    </w:rPr>
                  </w:pPr>
                  <w:r>
                    <w:rPr>
                      <w:sz w:val="20"/>
                      <w:szCs w:val="20"/>
                    </w:rPr>
                    <w:t>$111,437</w:t>
                  </w:r>
                </w:p>
              </w:tc>
              <w:tc>
                <w:tcPr>
                  <w:tcW w:w="1260" w:type="dxa"/>
                </w:tcPr>
                <w:p w14:paraId="0819FA72" w14:textId="186AAA23" w:rsidR="00114F14" w:rsidRPr="008D72F0" w:rsidRDefault="00114F14" w:rsidP="004A104C">
                  <w:pPr>
                    <w:jc w:val="right"/>
                    <w:rPr>
                      <w:sz w:val="20"/>
                      <w:szCs w:val="20"/>
                    </w:rPr>
                  </w:pPr>
                  <w:r>
                    <w:rPr>
                      <w:sz w:val="20"/>
                      <w:szCs w:val="20"/>
                    </w:rPr>
                    <w:t>$112,388</w:t>
                  </w:r>
                </w:p>
              </w:tc>
            </w:tr>
            <w:tr w:rsidR="00114F14" w:rsidRPr="008D72F0" w14:paraId="3F72E0E7" w14:textId="77777777" w:rsidTr="0015196D">
              <w:trPr>
                <w:trHeight w:val="357"/>
              </w:trPr>
              <w:tc>
                <w:tcPr>
                  <w:tcW w:w="1980" w:type="dxa"/>
                  <w:shd w:val="clear" w:color="auto" w:fill="auto"/>
                </w:tcPr>
                <w:p w14:paraId="70E72BA7"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6F82977B" w14:textId="42AB8FEE" w:rsidR="00114F14" w:rsidRDefault="00114F14" w:rsidP="004A104C">
                  <w:pPr>
                    <w:jc w:val="right"/>
                    <w:rPr>
                      <w:sz w:val="20"/>
                      <w:szCs w:val="20"/>
                    </w:rPr>
                  </w:pPr>
                  <w:r>
                    <w:rPr>
                      <w:sz w:val="20"/>
                      <w:szCs w:val="20"/>
                    </w:rPr>
                    <w:t>($111,437)</w:t>
                  </w:r>
                </w:p>
              </w:tc>
              <w:tc>
                <w:tcPr>
                  <w:tcW w:w="1260" w:type="dxa"/>
                </w:tcPr>
                <w:p w14:paraId="7FFA4696" w14:textId="2CCFCE8D" w:rsidR="00114F14" w:rsidRDefault="00114F14" w:rsidP="004A104C">
                  <w:pPr>
                    <w:jc w:val="right"/>
                    <w:rPr>
                      <w:sz w:val="20"/>
                      <w:szCs w:val="20"/>
                    </w:rPr>
                  </w:pPr>
                  <w:r>
                    <w:rPr>
                      <w:sz w:val="20"/>
                      <w:szCs w:val="20"/>
                    </w:rPr>
                    <w:t>($112,388)</w:t>
                  </w:r>
                </w:p>
              </w:tc>
            </w:tr>
            <w:tr w:rsidR="00114F14" w:rsidRPr="008D72F0" w14:paraId="19F8B7D9" w14:textId="77777777" w:rsidTr="0015196D">
              <w:trPr>
                <w:trHeight w:val="303"/>
              </w:trPr>
              <w:tc>
                <w:tcPr>
                  <w:tcW w:w="1980" w:type="dxa"/>
                  <w:shd w:val="clear" w:color="auto" w:fill="auto"/>
                </w:tcPr>
                <w:p w14:paraId="352AD3DD"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470E85E0" w14:textId="77777777" w:rsidR="00114F14" w:rsidRPr="002C59F4" w:rsidRDefault="00114F14" w:rsidP="004A104C">
                  <w:pPr>
                    <w:jc w:val="right"/>
                    <w:rPr>
                      <w:sz w:val="20"/>
                      <w:szCs w:val="20"/>
                      <w:u w:val="single"/>
                    </w:rPr>
                  </w:pPr>
                  <w:r>
                    <w:rPr>
                      <w:sz w:val="20"/>
                      <w:szCs w:val="20"/>
                      <w:u w:val="single"/>
                    </w:rPr>
                    <w:t>-</w:t>
                  </w:r>
                  <w:r w:rsidRPr="002C59F4">
                    <w:rPr>
                      <w:sz w:val="20"/>
                      <w:szCs w:val="20"/>
                      <w:u w:val="single"/>
                    </w:rPr>
                    <w:t>$</w:t>
                  </w:r>
                  <w:r>
                    <w:rPr>
                      <w:sz w:val="20"/>
                      <w:szCs w:val="20"/>
                      <w:u w:val="single"/>
                    </w:rPr>
                    <w:t>0-</w:t>
                  </w:r>
                </w:p>
              </w:tc>
              <w:tc>
                <w:tcPr>
                  <w:tcW w:w="1260" w:type="dxa"/>
                </w:tcPr>
                <w:p w14:paraId="1332ABE2" w14:textId="77777777" w:rsidR="00114F14" w:rsidRPr="002C59F4" w:rsidRDefault="00114F14" w:rsidP="004A104C">
                  <w:pPr>
                    <w:jc w:val="right"/>
                    <w:rPr>
                      <w:sz w:val="20"/>
                      <w:szCs w:val="20"/>
                      <w:u w:val="single"/>
                    </w:rPr>
                  </w:pPr>
                  <w:r>
                    <w:rPr>
                      <w:sz w:val="20"/>
                      <w:szCs w:val="20"/>
                      <w:u w:val="single"/>
                    </w:rPr>
                    <w:t>-</w:t>
                  </w:r>
                  <w:r w:rsidRPr="002C59F4">
                    <w:rPr>
                      <w:sz w:val="20"/>
                      <w:szCs w:val="20"/>
                      <w:u w:val="single"/>
                    </w:rPr>
                    <w:t>$</w:t>
                  </w:r>
                  <w:r>
                    <w:rPr>
                      <w:sz w:val="20"/>
                      <w:szCs w:val="20"/>
                      <w:u w:val="single"/>
                    </w:rPr>
                    <w:t>0-</w:t>
                  </w:r>
                </w:p>
              </w:tc>
            </w:tr>
          </w:tbl>
          <w:p w14:paraId="7366D045" w14:textId="4A50E65F" w:rsidR="00114F14" w:rsidRDefault="00114F14" w:rsidP="004A104C">
            <w:pPr>
              <w:pStyle w:val="ListBullet"/>
              <w:numPr>
                <w:ilvl w:val="0"/>
                <w:numId w:val="0"/>
              </w:numPr>
              <w:ind w:left="280"/>
            </w:pPr>
          </w:p>
          <w:p w14:paraId="1CA2955E" w14:textId="2448FC3C" w:rsidR="00114F14" w:rsidRDefault="00114F14" w:rsidP="004A104C">
            <w:pPr>
              <w:pStyle w:val="ListBullet"/>
              <w:numPr>
                <w:ilvl w:val="0"/>
                <w:numId w:val="0"/>
              </w:numPr>
              <w:ind w:left="280"/>
            </w:pPr>
          </w:p>
          <w:p w14:paraId="1F014F68" w14:textId="105018CF" w:rsidR="00114F14" w:rsidRDefault="00114F14" w:rsidP="004A104C">
            <w:pPr>
              <w:pStyle w:val="ListBullet"/>
              <w:numPr>
                <w:ilvl w:val="0"/>
                <w:numId w:val="0"/>
              </w:numPr>
              <w:ind w:left="280"/>
            </w:pPr>
          </w:p>
          <w:p w14:paraId="6BD4705F" w14:textId="4FE7EF09" w:rsidR="00114F14" w:rsidRDefault="00114F14" w:rsidP="004A104C">
            <w:pPr>
              <w:pStyle w:val="ListBullet"/>
              <w:numPr>
                <w:ilvl w:val="0"/>
                <w:numId w:val="0"/>
              </w:numPr>
              <w:ind w:left="280"/>
            </w:pPr>
          </w:p>
          <w:p w14:paraId="0FCA164C" w14:textId="56C615E9" w:rsidR="00114F14" w:rsidRDefault="00114F14" w:rsidP="004A104C">
            <w:pPr>
              <w:pStyle w:val="ListBullet"/>
              <w:numPr>
                <w:ilvl w:val="0"/>
                <w:numId w:val="0"/>
              </w:numPr>
              <w:ind w:left="280"/>
            </w:pPr>
          </w:p>
          <w:p w14:paraId="08435D3F" w14:textId="1B5CE5F2" w:rsidR="00114F14" w:rsidRDefault="00114F14" w:rsidP="004A104C">
            <w:pPr>
              <w:pStyle w:val="ListBullet"/>
              <w:numPr>
                <w:ilvl w:val="0"/>
                <w:numId w:val="0"/>
              </w:numPr>
              <w:ind w:left="280"/>
            </w:pPr>
          </w:p>
          <w:p w14:paraId="55EE4742" w14:textId="3130A0B8" w:rsidR="00114F14" w:rsidRDefault="00114F14" w:rsidP="004A104C">
            <w:pPr>
              <w:pStyle w:val="ListBullet"/>
              <w:numPr>
                <w:ilvl w:val="0"/>
                <w:numId w:val="0"/>
              </w:numPr>
              <w:ind w:left="280"/>
            </w:pPr>
          </w:p>
          <w:p w14:paraId="31928258" w14:textId="77777777" w:rsidR="00114F14" w:rsidRDefault="00114F14" w:rsidP="004A104C">
            <w:pPr>
              <w:pStyle w:val="ListBullet"/>
              <w:numPr>
                <w:ilvl w:val="0"/>
                <w:numId w:val="0"/>
              </w:numPr>
              <w:ind w:left="280"/>
            </w:pPr>
          </w:p>
          <w:p w14:paraId="2796E947" w14:textId="2B4302CA" w:rsidR="00114F14" w:rsidRDefault="00114F14" w:rsidP="004A104C">
            <w:pPr>
              <w:pStyle w:val="ListBullet"/>
            </w:pPr>
            <w:r>
              <w:t>Provides one-time General Fund appropriations in the budget of $2,574,611 in FY 20 to career and technical education centers or career and technical education regions to increase appropriations to FY 19 levels.</w:t>
            </w:r>
          </w:p>
          <w:p w14:paraId="224FB7D8" w14:textId="14CBC388" w:rsidR="00114F14" w:rsidRDefault="00114F14" w:rsidP="004A104C">
            <w:pPr>
              <w:pStyle w:val="ListBullet"/>
            </w:pPr>
            <w:r>
              <w:t>Provides General Fund appropriations in the budget to the Maine Center for the Deaf and Hard-of-Hearing and the Governor Baxter School for the Deaf to support positions for the new region in Bangor and Brewer.</w:t>
            </w:r>
          </w:p>
          <w:p w14:paraId="681905BB" w14:textId="22FDC228" w:rsidR="00114F14" w:rsidRDefault="00114F14" w:rsidP="00E13B89">
            <w:pPr>
              <w:pStyle w:val="ListBullet"/>
              <w:numPr>
                <w:ilvl w:val="0"/>
                <w:numId w:val="0"/>
              </w:numPr>
              <w:ind w:left="460" w:hanging="180"/>
            </w:pPr>
          </w:p>
          <w:p w14:paraId="7C0E4F98" w14:textId="77777777" w:rsidR="00114F14" w:rsidRDefault="00114F14" w:rsidP="00E13B89">
            <w:pPr>
              <w:pStyle w:val="ListBullet"/>
              <w:numPr>
                <w:ilvl w:val="0"/>
                <w:numId w:val="0"/>
              </w:numPr>
              <w:ind w:left="460" w:hanging="180"/>
            </w:pPr>
          </w:p>
          <w:p w14:paraId="5BCECB9F" w14:textId="77777777" w:rsidR="00114F14" w:rsidRPr="00E7469F" w:rsidRDefault="00114F14" w:rsidP="004A104C">
            <w:pPr>
              <w:pStyle w:val="ListBullet"/>
              <w:numPr>
                <w:ilvl w:val="0"/>
                <w:numId w:val="0"/>
              </w:numPr>
              <w:rPr>
                <w:sz w:val="22"/>
                <w:szCs w:val="22"/>
                <w:u w:val="single"/>
              </w:rPr>
            </w:pPr>
            <w:r w:rsidRPr="00E7469F">
              <w:rPr>
                <w:sz w:val="22"/>
                <w:szCs w:val="22"/>
                <w:u w:val="single"/>
              </w:rPr>
              <w:t>Higher Education and Educator Support Services</w:t>
            </w:r>
          </w:p>
          <w:p w14:paraId="27668CAD" w14:textId="77777777" w:rsidR="00114F14" w:rsidRPr="00E7469F" w:rsidRDefault="00114F14" w:rsidP="004A104C">
            <w:pPr>
              <w:pStyle w:val="ListBullet"/>
              <w:numPr>
                <w:ilvl w:val="0"/>
                <w:numId w:val="0"/>
              </w:numPr>
              <w:rPr>
                <w:sz w:val="22"/>
                <w:szCs w:val="22"/>
                <w:u w:val="single"/>
              </w:rPr>
            </w:pPr>
          </w:p>
          <w:p w14:paraId="2A018C01" w14:textId="4EF5FC55" w:rsidR="00114F14" w:rsidRDefault="00114F14" w:rsidP="004A104C">
            <w:pPr>
              <w:pStyle w:val="ListBullet"/>
            </w:pPr>
            <w:r w:rsidRPr="002A0216">
              <w:t xml:space="preserve">Provides General Fund and </w:t>
            </w:r>
            <w:r>
              <w:t>Federal Expenditures Fund</w:t>
            </w:r>
            <w:r w:rsidRPr="002A0216">
              <w:t xml:space="preserve"> appropriations in the budget for </w:t>
            </w:r>
            <w:r>
              <w:t xml:space="preserve">Higher Education and Education Support Services </w:t>
            </w:r>
            <w:r w:rsidRPr="002A0216">
              <w:t>in FY 20 and in FY 21.</w:t>
            </w:r>
          </w:p>
          <w:p w14:paraId="4DDE2710" w14:textId="5E8D7703" w:rsidR="00CD7961" w:rsidRDefault="00CD7961" w:rsidP="00CD7961">
            <w:pPr>
              <w:pStyle w:val="ListBullet"/>
              <w:numPr>
                <w:ilvl w:val="0"/>
                <w:numId w:val="0"/>
              </w:numPr>
              <w:ind w:left="460" w:hanging="180"/>
            </w:pPr>
          </w:p>
          <w:p w14:paraId="741BA500" w14:textId="6395D4F4" w:rsidR="00CD7961" w:rsidRDefault="00CD7961" w:rsidP="00CD7961">
            <w:pPr>
              <w:pStyle w:val="ListBullet"/>
              <w:numPr>
                <w:ilvl w:val="0"/>
                <w:numId w:val="0"/>
              </w:numPr>
              <w:ind w:left="460" w:hanging="180"/>
            </w:pPr>
          </w:p>
          <w:p w14:paraId="06177A79" w14:textId="4DC221AA" w:rsidR="00CD7961" w:rsidRDefault="00CD7961" w:rsidP="00CD7961">
            <w:pPr>
              <w:pStyle w:val="ListBullet"/>
              <w:numPr>
                <w:ilvl w:val="0"/>
                <w:numId w:val="0"/>
              </w:numPr>
              <w:ind w:left="460" w:hanging="180"/>
            </w:pPr>
          </w:p>
          <w:p w14:paraId="2B9248F5" w14:textId="26059C72" w:rsidR="00CD7961" w:rsidRDefault="00CD7961" w:rsidP="00CD7961">
            <w:pPr>
              <w:pStyle w:val="ListBullet"/>
              <w:numPr>
                <w:ilvl w:val="0"/>
                <w:numId w:val="0"/>
              </w:numPr>
              <w:ind w:left="460" w:hanging="180"/>
            </w:pPr>
          </w:p>
          <w:p w14:paraId="404F9928" w14:textId="48B361E8" w:rsidR="00CD7961" w:rsidRDefault="00CD7961" w:rsidP="00CD7961">
            <w:pPr>
              <w:pStyle w:val="ListBullet"/>
              <w:numPr>
                <w:ilvl w:val="0"/>
                <w:numId w:val="0"/>
              </w:numPr>
              <w:ind w:left="460" w:hanging="180"/>
            </w:pPr>
          </w:p>
          <w:p w14:paraId="24BFDAF9" w14:textId="6F404631" w:rsidR="00CD7961" w:rsidRDefault="00CD7961" w:rsidP="00CD7961">
            <w:pPr>
              <w:pStyle w:val="ListBullet"/>
              <w:numPr>
                <w:ilvl w:val="0"/>
                <w:numId w:val="0"/>
              </w:numPr>
              <w:ind w:left="460" w:hanging="180"/>
            </w:pPr>
          </w:p>
          <w:p w14:paraId="0FD1A770" w14:textId="79111ADF" w:rsidR="00CD7961" w:rsidRDefault="00CD7961" w:rsidP="00CD7961">
            <w:pPr>
              <w:pStyle w:val="ListBullet"/>
              <w:numPr>
                <w:ilvl w:val="0"/>
                <w:numId w:val="0"/>
              </w:numPr>
              <w:ind w:left="460" w:hanging="180"/>
            </w:pPr>
          </w:p>
          <w:p w14:paraId="2040DD24" w14:textId="77777777" w:rsidR="00CD7961" w:rsidRPr="002A0216" w:rsidRDefault="00CD7961" w:rsidP="00CD7961">
            <w:pPr>
              <w:pStyle w:val="ListBullet"/>
              <w:numPr>
                <w:ilvl w:val="0"/>
                <w:numId w:val="0"/>
              </w:numPr>
              <w:ind w:left="460" w:hanging="180"/>
            </w:pPr>
          </w:p>
          <w:tbl>
            <w:tblPr>
              <w:tblpPr w:leftFromText="180" w:rightFromText="180" w:vertAnchor="text" w:horzAnchor="margin" w:tblpXSpec="center" w:tblpY="212"/>
              <w:tblOverlap w:val="never"/>
              <w:tblW w:w="0" w:type="auto"/>
              <w:tblLook w:val="01E0" w:firstRow="1" w:lastRow="1" w:firstColumn="1" w:lastColumn="1" w:noHBand="0" w:noVBand="0"/>
            </w:tblPr>
            <w:tblGrid>
              <w:gridCol w:w="1666"/>
              <w:gridCol w:w="1415"/>
              <w:gridCol w:w="1415"/>
            </w:tblGrid>
            <w:tr w:rsidR="00114F14" w:rsidRPr="008D72F0" w14:paraId="6A51FDE6" w14:textId="77777777" w:rsidTr="00642FF0">
              <w:trPr>
                <w:trHeight w:val="357"/>
              </w:trPr>
              <w:tc>
                <w:tcPr>
                  <w:tcW w:w="1666" w:type="dxa"/>
                  <w:shd w:val="clear" w:color="auto" w:fill="auto"/>
                </w:tcPr>
                <w:p w14:paraId="15A4EF9D" w14:textId="77777777" w:rsidR="00114F14" w:rsidRPr="006B64F5" w:rsidRDefault="00114F14" w:rsidP="004A104C">
                  <w:pPr>
                    <w:jc w:val="right"/>
                    <w:rPr>
                      <w:b/>
                      <w:sz w:val="20"/>
                      <w:szCs w:val="20"/>
                      <w:u w:val="single"/>
                    </w:rPr>
                  </w:pPr>
                </w:p>
              </w:tc>
              <w:tc>
                <w:tcPr>
                  <w:tcW w:w="1415" w:type="dxa"/>
                  <w:shd w:val="clear" w:color="auto" w:fill="auto"/>
                </w:tcPr>
                <w:p w14:paraId="7389276F" w14:textId="79076386"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415" w:type="dxa"/>
                </w:tcPr>
                <w:p w14:paraId="6FBABF83" w14:textId="3CF33B6A" w:rsidR="00114F14" w:rsidRPr="008D72F0" w:rsidRDefault="00114F14" w:rsidP="004A104C">
                  <w:pPr>
                    <w:jc w:val="right"/>
                    <w:rPr>
                      <w:sz w:val="20"/>
                      <w:szCs w:val="20"/>
                      <w:u w:val="single"/>
                    </w:rPr>
                  </w:pPr>
                  <w:r>
                    <w:rPr>
                      <w:sz w:val="20"/>
                      <w:szCs w:val="20"/>
                      <w:u w:val="single"/>
                    </w:rPr>
                    <w:t>FY 21</w:t>
                  </w:r>
                </w:p>
              </w:tc>
            </w:tr>
            <w:tr w:rsidR="00114F14" w:rsidRPr="008D72F0" w14:paraId="1596CFB0" w14:textId="77777777" w:rsidTr="00642FF0">
              <w:trPr>
                <w:trHeight w:val="357"/>
              </w:trPr>
              <w:tc>
                <w:tcPr>
                  <w:tcW w:w="1666" w:type="dxa"/>
                  <w:shd w:val="clear" w:color="auto" w:fill="auto"/>
                </w:tcPr>
                <w:p w14:paraId="66863D64" w14:textId="77777777" w:rsidR="00114F14" w:rsidRPr="008E6261" w:rsidRDefault="00114F14" w:rsidP="004A104C">
                  <w:pPr>
                    <w:jc w:val="right"/>
                    <w:rPr>
                      <w:sz w:val="16"/>
                      <w:szCs w:val="16"/>
                    </w:rPr>
                  </w:pPr>
                  <w:r w:rsidRPr="008E6261">
                    <w:rPr>
                      <w:sz w:val="16"/>
                      <w:szCs w:val="16"/>
                    </w:rPr>
                    <w:t>General Fund</w:t>
                  </w:r>
                  <w:r w:rsidRPr="008E6261">
                    <w:rPr>
                      <w:sz w:val="16"/>
                      <w:szCs w:val="16"/>
                      <w:u w:val="single"/>
                    </w:rPr>
                    <w:t xml:space="preserve"> </w:t>
                  </w:r>
                  <w:r w:rsidRPr="008E6261">
                    <w:rPr>
                      <w:sz w:val="16"/>
                      <w:szCs w:val="16"/>
                    </w:rPr>
                    <w:t>- Position Count</w:t>
                  </w:r>
                </w:p>
              </w:tc>
              <w:tc>
                <w:tcPr>
                  <w:tcW w:w="1415" w:type="dxa"/>
                  <w:shd w:val="clear" w:color="auto" w:fill="auto"/>
                  <w:vAlign w:val="center"/>
                </w:tcPr>
                <w:p w14:paraId="46EE0131" w14:textId="77777777" w:rsidR="00114F14" w:rsidRPr="008D72F0" w:rsidRDefault="00114F14" w:rsidP="004A104C">
                  <w:pPr>
                    <w:jc w:val="right"/>
                    <w:rPr>
                      <w:sz w:val="20"/>
                      <w:szCs w:val="20"/>
                    </w:rPr>
                  </w:pPr>
                  <w:r>
                    <w:rPr>
                      <w:sz w:val="20"/>
                      <w:szCs w:val="20"/>
                    </w:rPr>
                    <w:t>11.500</w:t>
                  </w:r>
                </w:p>
              </w:tc>
              <w:tc>
                <w:tcPr>
                  <w:tcW w:w="1415" w:type="dxa"/>
                  <w:vAlign w:val="center"/>
                </w:tcPr>
                <w:p w14:paraId="33B082CD" w14:textId="77777777" w:rsidR="00114F14" w:rsidRDefault="00114F14" w:rsidP="004A104C">
                  <w:pPr>
                    <w:jc w:val="right"/>
                    <w:rPr>
                      <w:sz w:val="20"/>
                      <w:szCs w:val="20"/>
                    </w:rPr>
                  </w:pPr>
                  <w:r>
                    <w:rPr>
                      <w:sz w:val="20"/>
                      <w:szCs w:val="20"/>
                    </w:rPr>
                    <w:t>11.500</w:t>
                  </w:r>
                </w:p>
              </w:tc>
            </w:tr>
            <w:tr w:rsidR="00114F14" w:rsidRPr="008D72F0" w14:paraId="48EB279E" w14:textId="77777777" w:rsidTr="00642FF0">
              <w:trPr>
                <w:trHeight w:val="315"/>
              </w:trPr>
              <w:tc>
                <w:tcPr>
                  <w:tcW w:w="1666" w:type="dxa"/>
                  <w:shd w:val="clear" w:color="auto" w:fill="auto"/>
                </w:tcPr>
                <w:p w14:paraId="55AA44EA" w14:textId="77777777" w:rsidR="00114F14" w:rsidRPr="008E6261" w:rsidRDefault="00114F14" w:rsidP="004A104C">
                  <w:pPr>
                    <w:jc w:val="right"/>
                    <w:rPr>
                      <w:sz w:val="16"/>
                      <w:szCs w:val="16"/>
                    </w:rPr>
                  </w:pPr>
                  <w:r w:rsidRPr="008E6261">
                    <w:rPr>
                      <w:sz w:val="16"/>
                      <w:szCs w:val="16"/>
                    </w:rPr>
                    <w:t>Personal Services</w:t>
                  </w:r>
                </w:p>
              </w:tc>
              <w:tc>
                <w:tcPr>
                  <w:tcW w:w="1415" w:type="dxa"/>
                  <w:shd w:val="clear" w:color="auto" w:fill="auto"/>
                </w:tcPr>
                <w:p w14:paraId="0022A4C5" w14:textId="77777777" w:rsidR="00114F14" w:rsidRPr="008D72F0" w:rsidRDefault="00114F14" w:rsidP="004A104C">
                  <w:pPr>
                    <w:jc w:val="right"/>
                    <w:rPr>
                      <w:sz w:val="20"/>
                      <w:szCs w:val="20"/>
                    </w:rPr>
                  </w:pPr>
                  <w:r>
                    <w:rPr>
                      <w:sz w:val="20"/>
                      <w:szCs w:val="20"/>
                    </w:rPr>
                    <w:t>$1,048,837</w:t>
                  </w:r>
                </w:p>
              </w:tc>
              <w:tc>
                <w:tcPr>
                  <w:tcW w:w="1415" w:type="dxa"/>
                </w:tcPr>
                <w:p w14:paraId="4C17D249" w14:textId="77777777" w:rsidR="00114F14" w:rsidRPr="008D72F0" w:rsidRDefault="00114F14" w:rsidP="004A104C">
                  <w:pPr>
                    <w:jc w:val="right"/>
                    <w:rPr>
                      <w:sz w:val="20"/>
                      <w:szCs w:val="20"/>
                    </w:rPr>
                  </w:pPr>
                  <w:r>
                    <w:rPr>
                      <w:sz w:val="20"/>
                      <w:szCs w:val="20"/>
                    </w:rPr>
                    <w:t>$1,070,315</w:t>
                  </w:r>
                </w:p>
              </w:tc>
            </w:tr>
            <w:tr w:rsidR="00114F14" w:rsidRPr="008D72F0" w14:paraId="37A55CF5" w14:textId="77777777" w:rsidTr="00642FF0">
              <w:trPr>
                <w:trHeight w:val="303"/>
              </w:trPr>
              <w:tc>
                <w:tcPr>
                  <w:tcW w:w="1666" w:type="dxa"/>
                  <w:shd w:val="clear" w:color="auto" w:fill="auto"/>
                </w:tcPr>
                <w:p w14:paraId="005BAC3F" w14:textId="77777777" w:rsidR="00114F14" w:rsidRPr="008E6261" w:rsidRDefault="00114F14" w:rsidP="004A104C">
                  <w:pPr>
                    <w:jc w:val="right"/>
                    <w:rPr>
                      <w:sz w:val="16"/>
                      <w:szCs w:val="16"/>
                    </w:rPr>
                  </w:pPr>
                  <w:r w:rsidRPr="008E6261">
                    <w:rPr>
                      <w:sz w:val="16"/>
                      <w:szCs w:val="16"/>
                    </w:rPr>
                    <w:t>All Other</w:t>
                  </w:r>
                </w:p>
              </w:tc>
              <w:tc>
                <w:tcPr>
                  <w:tcW w:w="1415" w:type="dxa"/>
                  <w:shd w:val="clear" w:color="auto" w:fill="auto"/>
                </w:tcPr>
                <w:p w14:paraId="57EBAA2D" w14:textId="77777777" w:rsidR="00114F14" w:rsidRPr="00FE76F6" w:rsidRDefault="00114F14" w:rsidP="004A104C">
                  <w:pPr>
                    <w:jc w:val="right"/>
                    <w:rPr>
                      <w:sz w:val="20"/>
                      <w:szCs w:val="20"/>
                      <w:u w:val="single"/>
                    </w:rPr>
                  </w:pPr>
                  <w:r>
                    <w:rPr>
                      <w:sz w:val="20"/>
                      <w:szCs w:val="20"/>
                      <w:u w:val="single"/>
                    </w:rPr>
                    <w:t>$273,500</w:t>
                  </w:r>
                </w:p>
              </w:tc>
              <w:tc>
                <w:tcPr>
                  <w:tcW w:w="1415" w:type="dxa"/>
                </w:tcPr>
                <w:p w14:paraId="06EC7085" w14:textId="77777777" w:rsidR="00114F14" w:rsidRPr="00FE76F6" w:rsidRDefault="00114F14" w:rsidP="004A104C">
                  <w:pPr>
                    <w:jc w:val="right"/>
                    <w:rPr>
                      <w:sz w:val="20"/>
                      <w:szCs w:val="20"/>
                      <w:u w:val="single"/>
                    </w:rPr>
                  </w:pPr>
                  <w:r>
                    <w:rPr>
                      <w:sz w:val="20"/>
                      <w:szCs w:val="20"/>
                      <w:u w:val="single"/>
                    </w:rPr>
                    <w:t>$273,500</w:t>
                  </w:r>
                </w:p>
              </w:tc>
            </w:tr>
            <w:tr w:rsidR="00114F14" w:rsidRPr="008D72F0" w14:paraId="14B21C69" w14:textId="77777777" w:rsidTr="00642FF0">
              <w:trPr>
                <w:trHeight w:val="303"/>
              </w:trPr>
              <w:tc>
                <w:tcPr>
                  <w:tcW w:w="1666" w:type="dxa"/>
                  <w:shd w:val="clear" w:color="auto" w:fill="auto"/>
                </w:tcPr>
                <w:p w14:paraId="5DEBF726" w14:textId="77777777" w:rsidR="00114F14" w:rsidRPr="008E6261" w:rsidRDefault="00114F14" w:rsidP="004A104C">
                  <w:pPr>
                    <w:rPr>
                      <w:sz w:val="16"/>
                      <w:szCs w:val="16"/>
                      <w:u w:val="single"/>
                    </w:rPr>
                  </w:pPr>
                  <w:r w:rsidRPr="008E6261">
                    <w:rPr>
                      <w:sz w:val="16"/>
                      <w:szCs w:val="16"/>
                      <w:u w:val="single"/>
                    </w:rPr>
                    <w:t>General Fund Total</w:t>
                  </w:r>
                </w:p>
              </w:tc>
              <w:tc>
                <w:tcPr>
                  <w:tcW w:w="1415" w:type="dxa"/>
                  <w:shd w:val="clear" w:color="auto" w:fill="auto"/>
                </w:tcPr>
                <w:p w14:paraId="407545F8" w14:textId="77777777" w:rsidR="00114F14" w:rsidRPr="008D72F0" w:rsidRDefault="00114F14" w:rsidP="004A104C">
                  <w:pPr>
                    <w:jc w:val="right"/>
                    <w:rPr>
                      <w:sz w:val="20"/>
                      <w:szCs w:val="20"/>
                    </w:rPr>
                  </w:pPr>
                  <w:r>
                    <w:rPr>
                      <w:sz w:val="20"/>
                      <w:szCs w:val="20"/>
                    </w:rPr>
                    <w:t>$1,322,337</w:t>
                  </w:r>
                </w:p>
              </w:tc>
              <w:tc>
                <w:tcPr>
                  <w:tcW w:w="1415" w:type="dxa"/>
                </w:tcPr>
                <w:p w14:paraId="6E0A1AC6" w14:textId="77777777" w:rsidR="00114F14" w:rsidRPr="008D72F0" w:rsidRDefault="00114F14" w:rsidP="004A104C">
                  <w:pPr>
                    <w:jc w:val="right"/>
                    <w:rPr>
                      <w:sz w:val="20"/>
                      <w:szCs w:val="20"/>
                    </w:rPr>
                  </w:pPr>
                  <w:r>
                    <w:rPr>
                      <w:sz w:val="20"/>
                      <w:szCs w:val="20"/>
                    </w:rPr>
                    <w:t>$1,343,815</w:t>
                  </w:r>
                </w:p>
              </w:tc>
            </w:tr>
            <w:tr w:rsidR="00114F14" w:rsidRPr="008D72F0" w14:paraId="1CAB3CF9" w14:textId="77777777" w:rsidTr="00642FF0">
              <w:trPr>
                <w:trHeight w:val="303"/>
              </w:trPr>
              <w:tc>
                <w:tcPr>
                  <w:tcW w:w="1666" w:type="dxa"/>
                  <w:shd w:val="clear" w:color="auto" w:fill="auto"/>
                </w:tcPr>
                <w:p w14:paraId="0FF8B300" w14:textId="77777777" w:rsidR="00114F14" w:rsidRPr="008E6261" w:rsidRDefault="00114F14" w:rsidP="004A104C">
                  <w:pPr>
                    <w:jc w:val="right"/>
                    <w:rPr>
                      <w:sz w:val="16"/>
                      <w:szCs w:val="16"/>
                    </w:rPr>
                  </w:pPr>
                  <w:r>
                    <w:rPr>
                      <w:sz w:val="16"/>
                      <w:szCs w:val="16"/>
                    </w:rPr>
                    <w:t>Federal Expenditures Fund</w:t>
                  </w:r>
                </w:p>
              </w:tc>
              <w:tc>
                <w:tcPr>
                  <w:tcW w:w="1415" w:type="dxa"/>
                  <w:shd w:val="clear" w:color="auto" w:fill="auto"/>
                </w:tcPr>
                <w:p w14:paraId="52F7CC15" w14:textId="77777777" w:rsidR="00114F14" w:rsidRDefault="00114F14" w:rsidP="004A104C">
                  <w:pPr>
                    <w:jc w:val="right"/>
                    <w:rPr>
                      <w:sz w:val="20"/>
                      <w:szCs w:val="20"/>
                    </w:rPr>
                  </w:pPr>
                </w:p>
              </w:tc>
              <w:tc>
                <w:tcPr>
                  <w:tcW w:w="1415" w:type="dxa"/>
                </w:tcPr>
                <w:p w14:paraId="075D2D9B" w14:textId="77777777" w:rsidR="00114F14" w:rsidRDefault="00114F14" w:rsidP="004A104C">
                  <w:pPr>
                    <w:jc w:val="right"/>
                    <w:rPr>
                      <w:sz w:val="20"/>
                      <w:szCs w:val="20"/>
                    </w:rPr>
                  </w:pPr>
                </w:p>
              </w:tc>
            </w:tr>
            <w:tr w:rsidR="00114F14" w:rsidRPr="008D72F0" w14:paraId="22FB8233" w14:textId="77777777" w:rsidTr="00642FF0">
              <w:trPr>
                <w:trHeight w:val="303"/>
              </w:trPr>
              <w:tc>
                <w:tcPr>
                  <w:tcW w:w="1666" w:type="dxa"/>
                  <w:shd w:val="clear" w:color="auto" w:fill="auto"/>
                </w:tcPr>
                <w:p w14:paraId="704ECFA1" w14:textId="77777777" w:rsidR="00114F14" w:rsidRPr="008E6261" w:rsidRDefault="00114F14" w:rsidP="004A104C">
                  <w:pPr>
                    <w:jc w:val="right"/>
                    <w:rPr>
                      <w:sz w:val="16"/>
                      <w:szCs w:val="16"/>
                    </w:rPr>
                  </w:pPr>
                  <w:r w:rsidRPr="008E6261">
                    <w:rPr>
                      <w:sz w:val="16"/>
                      <w:szCs w:val="16"/>
                    </w:rPr>
                    <w:t>All Other</w:t>
                  </w:r>
                </w:p>
              </w:tc>
              <w:tc>
                <w:tcPr>
                  <w:tcW w:w="1415" w:type="dxa"/>
                  <w:shd w:val="clear" w:color="auto" w:fill="auto"/>
                </w:tcPr>
                <w:p w14:paraId="1A805604" w14:textId="77777777" w:rsidR="00114F14" w:rsidRDefault="00114F14" w:rsidP="004A104C">
                  <w:pPr>
                    <w:jc w:val="right"/>
                    <w:rPr>
                      <w:sz w:val="20"/>
                      <w:szCs w:val="20"/>
                    </w:rPr>
                  </w:pPr>
                  <w:r>
                    <w:rPr>
                      <w:sz w:val="20"/>
                      <w:szCs w:val="20"/>
                    </w:rPr>
                    <w:t>$5,480,535</w:t>
                  </w:r>
                </w:p>
              </w:tc>
              <w:tc>
                <w:tcPr>
                  <w:tcW w:w="1415" w:type="dxa"/>
                </w:tcPr>
                <w:p w14:paraId="48709B1D" w14:textId="77777777" w:rsidR="00114F14" w:rsidRDefault="00114F14" w:rsidP="004A104C">
                  <w:pPr>
                    <w:jc w:val="right"/>
                    <w:rPr>
                      <w:sz w:val="20"/>
                      <w:szCs w:val="20"/>
                    </w:rPr>
                  </w:pPr>
                  <w:r>
                    <w:rPr>
                      <w:sz w:val="20"/>
                      <w:szCs w:val="20"/>
                    </w:rPr>
                    <w:t>$5,480,535</w:t>
                  </w:r>
                </w:p>
              </w:tc>
            </w:tr>
          </w:tbl>
          <w:p w14:paraId="1AEDF617" w14:textId="360689D4" w:rsidR="00114F14" w:rsidRDefault="00114F14" w:rsidP="004A104C">
            <w:pPr>
              <w:pStyle w:val="ListBullet"/>
              <w:numPr>
                <w:ilvl w:val="0"/>
                <w:numId w:val="0"/>
              </w:numPr>
              <w:ind w:left="280"/>
            </w:pPr>
          </w:p>
          <w:p w14:paraId="33E249B5" w14:textId="0B32675E" w:rsidR="00114F14" w:rsidRDefault="00114F14" w:rsidP="004A104C">
            <w:pPr>
              <w:pStyle w:val="ListBullet"/>
              <w:numPr>
                <w:ilvl w:val="0"/>
                <w:numId w:val="0"/>
              </w:numPr>
              <w:ind w:left="280"/>
            </w:pPr>
          </w:p>
          <w:p w14:paraId="1AB933C0" w14:textId="68F1A4FE" w:rsidR="00114F14" w:rsidRDefault="00114F14" w:rsidP="004A104C">
            <w:pPr>
              <w:pStyle w:val="ListBullet"/>
              <w:numPr>
                <w:ilvl w:val="0"/>
                <w:numId w:val="0"/>
              </w:numPr>
              <w:ind w:left="460"/>
            </w:pPr>
          </w:p>
          <w:p w14:paraId="1953A634" w14:textId="391BCB05" w:rsidR="00114F14" w:rsidRDefault="00114F14" w:rsidP="004A104C">
            <w:pPr>
              <w:pStyle w:val="ListBullet"/>
              <w:numPr>
                <w:ilvl w:val="0"/>
                <w:numId w:val="0"/>
              </w:numPr>
              <w:ind w:left="460"/>
            </w:pPr>
          </w:p>
          <w:p w14:paraId="7A484625" w14:textId="41B7F6A6" w:rsidR="00114F14" w:rsidRDefault="00114F14" w:rsidP="004A104C">
            <w:pPr>
              <w:pStyle w:val="ListBullet"/>
              <w:numPr>
                <w:ilvl w:val="0"/>
                <w:numId w:val="0"/>
              </w:numPr>
              <w:ind w:left="460"/>
            </w:pPr>
          </w:p>
          <w:p w14:paraId="497E05DC" w14:textId="02B3B4AC" w:rsidR="00114F14" w:rsidRDefault="00114F14" w:rsidP="004A104C">
            <w:pPr>
              <w:pStyle w:val="ListBullet"/>
              <w:numPr>
                <w:ilvl w:val="0"/>
                <w:numId w:val="0"/>
              </w:numPr>
              <w:ind w:left="460"/>
            </w:pPr>
          </w:p>
          <w:p w14:paraId="4326E59A" w14:textId="46432ADA" w:rsidR="00114F14" w:rsidRDefault="00114F14" w:rsidP="004A104C">
            <w:pPr>
              <w:pStyle w:val="ListBullet"/>
              <w:numPr>
                <w:ilvl w:val="0"/>
                <w:numId w:val="0"/>
              </w:numPr>
              <w:ind w:left="460"/>
            </w:pPr>
          </w:p>
          <w:p w14:paraId="19CFB8E0" w14:textId="50F42E62" w:rsidR="00114F14" w:rsidRDefault="00114F14" w:rsidP="004A104C">
            <w:pPr>
              <w:pStyle w:val="ListBullet"/>
              <w:numPr>
                <w:ilvl w:val="0"/>
                <w:numId w:val="0"/>
              </w:numPr>
              <w:ind w:left="460"/>
            </w:pPr>
          </w:p>
          <w:p w14:paraId="42A44A9B" w14:textId="33CEF074" w:rsidR="00114F14" w:rsidRDefault="00114F14" w:rsidP="004A104C">
            <w:pPr>
              <w:pStyle w:val="ListBullet"/>
              <w:numPr>
                <w:ilvl w:val="0"/>
                <w:numId w:val="0"/>
              </w:numPr>
              <w:ind w:left="460"/>
            </w:pPr>
          </w:p>
          <w:p w14:paraId="24EB6B4F" w14:textId="77777777" w:rsidR="00114F14" w:rsidRDefault="00114F14" w:rsidP="004A104C">
            <w:pPr>
              <w:pStyle w:val="ListBullet"/>
              <w:numPr>
                <w:ilvl w:val="0"/>
                <w:numId w:val="0"/>
              </w:numPr>
              <w:ind w:left="460"/>
            </w:pPr>
          </w:p>
          <w:p w14:paraId="47F2BD0E" w14:textId="21193CCB" w:rsidR="00114F14" w:rsidRDefault="00114F14" w:rsidP="004A104C">
            <w:pPr>
              <w:pStyle w:val="ListBullet"/>
            </w:pPr>
            <w:r>
              <w:t xml:space="preserve">Transfers one Public Service Manager II position and General Fund appropriations from General Purpose Aid for Local Schools to Higher Education and Educator Support Services program </w:t>
            </w:r>
            <w:r w:rsidRPr="002A0216">
              <w:t>of $136,047 in FY 20 and of $140,713 in FY 21.</w:t>
            </w:r>
          </w:p>
          <w:p w14:paraId="0EE455BB" w14:textId="68B9A9B1" w:rsidR="00114F14" w:rsidRDefault="00114F14" w:rsidP="004A104C">
            <w:pPr>
              <w:pStyle w:val="ListBullet"/>
              <w:numPr>
                <w:ilvl w:val="0"/>
                <w:numId w:val="0"/>
              </w:numPr>
              <w:ind w:left="460" w:hanging="180"/>
            </w:pPr>
          </w:p>
          <w:tbl>
            <w:tblPr>
              <w:tblpPr w:leftFromText="180" w:rightFromText="180" w:vertAnchor="text" w:horzAnchor="margin" w:tblpXSpec="center" w:tblpY="-177"/>
              <w:tblOverlap w:val="never"/>
              <w:tblW w:w="0" w:type="auto"/>
              <w:tblLook w:val="01E0" w:firstRow="1" w:lastRow="1" w:firstColumn="1" w:lastColumn="1" w:noHBand="0" w:noVBand="0"/>
            </w:tblPr>
            <w:tblGrid>
              <w:gridCol w:w="1980"/>
              <w:gridCol w:w="1260"/>
              <w:gridCol w:w="1260"/>
            </w:tblGrid>
            <w:tr w:rsidR="00114F14" w:rsidRPr="008D72F0" w14:paraId="54563CA1" w14:textId="77777777" w:rsidTr="00642FF0">
              <w:trPr>
                <w:trHeight w:val="357"/>
              </w:trPr>
              <w:tc>
                <w:tcPr>
                  <w:tcW w:w="1980" w:type="dxa"/>
                  <w:shd w:val="clear" w:color="auto" w:fill="auto"/>
                </w:tcPr>
                <w:p w14:paraId="7C610490" w14:textId="77777777" w:rsidR="00114F14" w:rsidRPr="008D72F0" w:rsidRDefault="00114F14" w:rsidP="004A104C">
                  <w:pPr>
                    <w:jc w:val="right"/>
                    <w:rPr>
                      <w:sz w:val="20"/>
                      <w:szCs w:val="20"/>
                      <w:u w:val="single"/>
                    </w:rPr>
                  </w:pPr>
                </w:p>
              </w:tc>
              <w:tc>
                <w:tcPr>
                  <w:tcW w:w="1260" w:type="dxa"/>
                  <w:shd w:val="clear" w:color="auto" w:fill="auto"/>
                </w:tcPr>
                <w:p w14:paraId="30F90020"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B86902F"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56F64EBE" w14:textId="77777777" w:rsidTr="00642FF0">
              <w:trPr>
                <w:trHeight w:val="344"/>
              </w:trPr>
              <w:tc>
                <w:tcPr>
                  <w:tcW w:w="1980" w:type="dxa"/>
                  <w:shd w:val="clear" w:color="auto" w:fill="auto"/>
                </w:tcPr>
                <w:p w14:paraId="0B60D95D"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1D7F7557" w14:textId="77777777" w:rsidR="00114F14" w:rsidRPr="008D72F0" w:rsidRDefault="00114F14" w:rsidP="004A104C">
                  <w:pPr>
                    <w:jc w:val="right"/>
                    <w:rPr>
                      <w:sz w:val="20"/>
                      <w:szCs w:val="20"/>
                    </w:rPr>
                  </w:pPr>
                  <w:r>
                    <w:rPr>
                      <w:sz w:val="20"/>
                      <w:szCs w:val="20"/>
                    </w:rPr>
                    <w:t>1.000</w:t>
                  </w:r>
                </w:p>
              </w:tc>
              <w:tc>
                <w:tcPr>
                  <w:tcW w:w="1260" w:type="dxa"/>
                  <w:vAlign w:val="center"/>
                </w:tcPr>
                <w:p w14:paraId="3DC5590E" w14:textId="77777777" w:rsidR="00114F14" w:rsidRDefault="00114F14" w:rsidP="004A104C">
                  <w:pPr>
                    <w:jc w:val="right"/>
                    <w:rPr>
                      <w:sz w:val="20"/>
                      <w:szCs w:val="20"/>
                    </w:rPr>
                  </w:pPr>
                  <w:r>
                    <w:rPr>
                      <w:sz w:val="20"/>
                      <w:szCs w:val="20"/>
                    </w:rPr>
                    <w:t>1.000</w:t>
                  </w:r>
                </w:p>
              </w:tc>
            </w:tr>
            <w:tr w:rsidR="00114F14" w:rsidRPr="008D72F0" w14:paraId="3DA1F0D7" w14:textId="77777777" w:rsidTr="00642FF0">
              <w:trPr>
                <w:trHeight w:val="357"/>
              </w:trPr>
              <w:tc>
                <w:tcPr>
                  <w:tcW w:w="1980" w:type="dxa"/>
                  <w:shd w:val="clear" w:color="auto" w:fill="auto"/>
                </w:tcPr>
                <w:p w14:paraId="4237B500"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6E27A301" w14:textId="77777777" w:rsidR="00114F14" w:rsidRPr="008D72F0" w:rsidRDefault="00114F14" w:rsidP="004A104C">
                  <w:pPr>
                    <w:jc w:val="right"/>
                    <w:rPr>
                      <w:sz w:val="20"/>
                      <w:szCs w:val="20"/>
                    </w:rPr>
                  </w:pPr>
                  <w:r>
                    <w:rPr>
                      <w:sz w:val="20"/>
                      <w:szCs w:val="20"/>
                    </w:rPr>
                    <w:t>$136,047</w:t>
                  </w:r>
                </w:p>
              </w:tc>
              <w:tc>
                <w:tcPr>
                  <w:tcW w:w="1260" w:type="dxa"/>
                </w:tcPr>
                <w:p w14:paraId="01A54DAF" w14:textId="77777777" w:rsidR="00114F14" w:rsidRPr="008D72F0" w:rsidRDefault="00114F14" w:rsidP="004A104C">
                  <w:pPr>
                    <w:jc w:val="right"/>
                    <w:rPr>
                      <w:sz w:val="20"/>
                      <w:szCs w:val="20"/>
                    </w:rPr>
                  </w:pPr>
                  <w:r>
                    <w:rPr>
                      <w:sz w:val="20"/>
                      <w:szCs w:val="20"/>
                    </w:rPr>
                    <w:t>$140,713</w:t>
                  </w:r>
                </w:p>
              </w:tc>
            </w:tr>
          </w:tbl>
          <w:p w14:paraId="35AFE56F" w14:textId="3801B003" w:rsidR="00114F14" w:rsidRDefault="00114F14" w:rsidP="004A104C">
            <w:pPr>
              <w:pStyle w:val="ListBullet"/>
              <w:numPr>
                <w:ilvl w:val="0"/>
                <w:numId w:val="0"/>
              </w:numPr>
              <w:ind w:left="460" w:hanging="180"/>
            </w:pPr>
          </w:p>
          <w:p w14:paraId="33CA3104" w14:textId="6EC73CB1" w:rsidR="00114F14" w:rsidRDefault="00114F14" w:rsidP="004A104C">
            <w:pPr>
              <w:pStyle w:val="ListBullet"/>
              <w:numPr>
                <w:ilvl w:val="0"/>
                <w:numId w:val="0"/>
              </w:numPr>
              <w:ind w:left="460" w:hanging="180"/>
            </w:pPr>
          </w:p>
          <w:p w14:paraId="6C705520" w14:textId="44CE2A4E" w:rsidR="00114F14" w:rsidRDefault="00114F14" w:rsidP="004A104C">
            <w:pPr>
              <w:pStyle w:val="ListBullet"/>
              <w:numPr>
                <w:ilvl w:val="0"/>
                <w:numId w:val="0"/>
              </w:numPr>
              <w:ind w:left="460" w:hanging="180"/>
            </w:pPr>
          </w:p>
          <w:p w14:paraId="3439C07D" w14:textId="77777777" w:rsidR="00114F14" w:rsidRDefault="00114F14" w:rsidP="004A104C">
            <w:pPr>
              <w:pStyle w:val="ListBullet"/>
              <w:numPr>
                <w:ilvl w:val="0"/>
                <w:numId w:val="0"/>
              </w:numPr>
              <w:ind w:left="460" w:hanging="180"/>
            </w:pPr>
          </w:p>
          <w:p w14:paraId="27B446FC" w14:textId="45DCB431" w:rsidR="00114F14" w:rsidRDefault="00114F14" w:rsidP="004A104C">
            <w:pPr>
              <w:pStyle w:val="ListBullet"/>
            </w:pPr>
            <w:r>
              <w:t>Transfers one Education Specialist III position and General Fund appropriations from Higher Education and Educator Support Services to School Finance and Operations program of ($81,554) in FY 20 and of ($84,862) in FY 21.</w:t>
            </w:r>
          </w:p>
          <w:p w14:paraId="4836D920" w14:textId="4C107CF8" w:rsidR="00114F14" w:rsidRDefault="00114F14" w:rsidP="004A104C">
            <w:pPr>
              <w:pStyle w:val="ListBullet"/>
            </w:pPr>
            <w:r>
              <w:t>Transfers one Office Associate II position from 100% Special Services Team program Federal Expenditures Fund to 100% Higher Education and Educator Support Services program General Fund.  Reorganizes one Regional Education Representative to an Education Specialist III position.  Reallocates one Data &amp; Research Coordinator position from 50% School Finance and Operation program General Fund and 50% Special Services Team program Federal Expenditures Fund to 100% Special Services Team Federal Expenditures Fund.  Also reorganizes one Education Specialist III to a Public Service Manager II position.</w:t>
            </w:r>
          </w:p>
          <w:p w14:paraId="2F970E96" w14:textId="77777777" w:rsidR="00114F14" w:rsidRDefault="00114F14" w:rsidP="00E13B89">
            <w:pPr>
              <w:pStyle w:val="ListBullet"/>
              <w:numPr>
                <w:ilvl w:val="0"/>
                <w:numId w:val="0"/>
              </w:numPr>
              <w:ind w:left="46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1931BB21" w14:textId="77777777" w:rsidTr="0015196D">
              <w:trPr>
                <w:trHeight w:val="357"/>
              </w:trPr>
              <w:tc>
                <w:tcPr>
                  <w:tcW w:w="1980" w:type="dxa"/>
                  <w:shd w:val="clear" w:color="auto" w:fill="auto"/>
                </w:tcPr>
                <w:p w14:paraId="62CC718A" w14:textId="77777777" w:rsidR="00114F14" w:rsidRPr="008D72F0" w:rsidRDefault="00114F14" w:rsidP="004A104C">
                  <w:pPr>
                    <w:jc w:val="right"/>
                    <w:rPr>
                      <w:sz w:val="20"/>
                      <w:szCs w:val="20"/>
                      <w:u w:val="single"/>
                    </w:rPr>
                  </w:pPr>
                </w:p>
              </w:tc>
              <w:tc>
                <w:tcPr>
                  <w:tcW w:w="1260" w:type="dxa"/>
                  <w:shd w:val="clear" w:color="auto" w:fill="auto"/>
                </w:tcPr>
                <w:p w14:paraId="582C93C6"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412DE833"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2148E218" w14:textId="77777777" w:rsidTr="0015196D">
              <w:trPr>
                <w:trHeight w:val="344"/>
              </w:trPr>
              <w:tc>
                <w:tcPr>
                  <w:tcW w:w="1980" w:type="dxa"/>
                  <w:shd w:val="clear" w:color="auto" w:fill="auto"/>
                </w:tcPr>
                <w:p w14:paraId="23E4A939"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163CA715" w14:textId="77777777" w:rsidR="00114F14" w:rsidRPr="008D72F0" w:rsidRDefault="00114F14" w:rsidP="004A104C">
                  <w:pPr>
                    <w:jc w:val="right"/>
                    <w:rPr>
                      <w:sz w:val="20"/>
                      <w:szCs w:val="20"/>
                    </w:rPr>
                  </w:pPr>
                  <w:r>
                    <w:rPr>
                      <w:sz w:val="20"/>
                      <w:szCs w:val="20"/>
                    </w:rPr>
                    <w:t>1.000</w:t>
                  </w:r>
                </w:p>
              </w:tc>
              <w:tc>
                <w:tcPr>
                  <w:tcW w:w="1260" w:type="dxa"/>
                  <w:vAlign w:val="center"/>
                </w:tcPr>
                <w:p w14:paraId="2FE28D06" w14:textId="77777777" w:rsidR="00114F14" w:rsidRDefault="00114F14" w:rsidP="004A104C">
                  <w:pPr>
                    <w:jc w:val="right"/>
                    <w:rPr>
                      <w:sz w:val="20"/>
                      <w:szCs w:val="20"/>
                    </w:rPr>
                  </w:pPr>
                  <w:r>
                    <w:rPr>
                      <w:sz w:val="20"/>
                      <w:szCs w:val="20"/>
                    </w:rPr>
                    <w:t>1.000</w:t>
                  </w:r>
                </w:p>
              </w:tc>
            </w:tr>
            <w:tr w:rsidR="00114F14" w:rsidRPr="008D72F0" w14:paraId="57F73004" w14:textId="77777777" w:rsidTr="0015196D">
              <w:trPr>
                <w:trHeight w:val="357"/>
              </w:trPr>
              <w:tc>
                <w:tcPr>
                  <w:tcW w:w="1980" w:type="dxa"/>
                  <w:shd w:val="clear" w:color="auto" w:fill="auto"/>
                </w:tcPr>
                <w:p w14:paraId="04166E11"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6B893041" w14:textId="41CB95F9" w:rsidR="00114F14" w:rsidRPr="008D72F0" w:rsidRDefault="00114F14" w:rsidP="004A104C">
                  <w:pPr>
                    <w:jc w:val="right"/>
                    <w:rPr>
                      <w:sz w:val="20"/>
                      <w:szCs w:val="20"/>
                    </w:rPr>
                  </w:pPr>
                  <w:r>
                    <w:rPr>
                      <w:sz w:val="20"/>
                      <w:szCs w:val="20"/>
                    </w:rPr>
                    <w:t>$75,121</w:t>
                  </w:r>
                </w:p>
              </w:tc>
              <w:tc>
                <w:tcPr>
                  <w:tcW w:w="1260" w:type="dxa"/>
                </w:tcPr>
                <w:p w14:paraId="090D22A8" w14:textId="7164EB97" w:rsidR="00114F14" w:rsidRPr="008D72F0" w:rsidRDefault="00114F14" w:rsidP="004A104C">
                  <w:pPr>
                    <w:jc w:val="right"/>
                    <w:rPr>
                      <w:sz w:val="20"/>
                      <w:szCs w:val="20"/>
                    </w:rPr>
                  </w:pPr>
                  <w:r>
                    <w:rPr>
                      <w:sz w:val="20"/>
                      <w:szCs w:val="20"/>
                    </w:rPr>
                    <w:t>$74,646</w:t>
                  </w:r>
                </w:p>
              </w:tc>
            </w:tr>
          </w:tbl>
          <w:p w14:paraId="1A6BE962" w14:textId="77777777" w:rsidR="00114F14" w:rsidRDefault="00114F14" w:rsidP="004A104C">
            <w:pPr>
              <w:pStyle w:val="ListBullet"/>
              <w:numPr>
                <w:ilvl w:val="0"/>
                <w:numId w:val="0"/>
              </w:numPr>
              <w:ind w:left="460"/>
            </w:pPr>
          </w:p>
          <w:p w14:paraId="478DC2CD" w14:textId="24771528" w:rsidR="00114F14" w:rsidRDefault="00114F14" w:rsidP="004A104C">
            <w:pPr>
              <w:pStyle w:val="ListBullet"/>
              <w:numPr>
                <w:ilvl w:val="0"/>
                <w:numId w:val="0"/>
              </w:numPr>
              <w:ind w:left="280"/>
            </w:pPr>
          </w:p>
          <w:p w14:paraId="07735B7A" w14:textId="6F8916C8" w:rsidR="00114F14" w:rsidRDefault="00114F14" w:rsidP="004A104C">
            <w:pPr>
              <w:pStyle w:val="ListBullet"/>
              <w:numPr>
                <w:ilvl w:val="0"/>
                <w:numId w:val="0"/>
              </w:numPr>
              <w:ind w:left="280"/>
            </w:pPr>
          </w:p>
          <w:p w14:paraId="793BF116" w14:textId="0B9CD1B5" w:rsidR="00114F14" w:rsidRDefault="00114F14" w:rsidP="004A104C">
            <w:pPr>
              <w:pStyle w:val="ListBullet"/>
              <w:numPr>
                <w:ilvl w:val="0"/>
                <w:numId w:val="0"/>
              </w:numPr>
              <w:ind w:left="280"/>
            </w:pPr>
          </w:p>
          <w:p w14:paraId="1A25B1D9" w14:textId="511757D3" w:rsidR="00114F14" w:rsidRDefault="00114F14" w:rsidP="004A104C">
            <w:pPr>
              <w:pStyle w:val="ListBullet"/>
              <w:numPr>
                <w:ilvl w:val="0"/>
                <w:numId w:val="0"/>
              </w:numPr>
              <w:ind w:left="280"/>
            </w:pPr>
          </w:p>
          <w:p w14:paraId="0791107F" w14:textId="77777777" w:rsidR="00114F14" w:rsidRDefault="00114F14" w:rsidP="004A104C">
            <w:pPr>
              <w:pStyle w:val="ListBullet"/>
              <w:numPr>
                <w:ilvl w:val="0"/>
                <w:numId w:val="0"/>
              </w:numPr>
              <w:ind w:left="280"/>
            </w:pPr>
          </w:p>
          <w:p w14:paraId="1D68EACE" w14:textId="0A754928" w:rsidR="00114F14" w:rsidRDefault="00114F14" w:rsidP="004A104C">
            <w:pPr>
              <w:pStyle w:val="ListBullet"/>
            </w:pPr>
            <w:r>
              <w:t>Transfers one Public Service Manager II position and General Fund appropriations from Higher Education and Educator Support Services to Leadership Team program and reorganizes the position to a Public Service Executive II of ($120,702) in FY 20 and of ($120,983) in FY 21.</w:t>
            </w:r>
          </w:p>
          <w:p w14:paraId="1C0CB2DE" w14:textId="7A33C56C" w:rsidR="00114F14" w:rsidRDefault="00114F14" w:rsidP="004A104C">
            <w:pPr>
              <w:pStyle w:val="ListBullet"/>
            </w:pPr>
            <w:r>
              <w:t>Transfers General Fund appropriations in the budget for technology costs from School Finance and Operations to Higher Education and Educator Support Services program of $75,000 in FY 20 and in FY 21.</w:t>
            </w:r>
          </w:p>
          <w:p w14:paraId="1A999F31" w14:textId="3284E0FA" w:rsidR="00114F14" w:rsidRDefault="00114F14" w:rsidP="004A104C">
            <w:pPr>
              <w:pStyle w:val="ListBullet"/>
            </w:pPr>
            <w:r>
              <w:t>Continues one Public Service Manager II position that was established in PL 2019 Chapter 4 to support educator certification and provides funding for related All Other.</w:t>
            </w:r>
          </w:p>
          <w:p w14:paraId="160C4960" w14:textId="77777777" w:rsidR="00114F14" w:rsidRDefault="00114F14" w:rsidP="004A104C">
            <w:pPr>
              <w:pStyle w:val="ListBullet"/>
              <w:numPr>
                <w:ilvl w:val="0"/>
                <w:numId w:val="0"/>
              </w:numPr>
              <w:ind w:left="460" w:hanging="18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65C42C52" w14:textId="77777777" w:rsidTr="0034423C">
              <w:trPr>
                <w:trHeight w:val="357"/>
              </w:trPr>
              <w:tc>
                <w:tcPr>
                  <w:tcW w:w="1980" w:type="dxa"/>
                  <w:shd w:val="clear" w:color="auto" w:fill="auto"/>
                </w:tcPr>
                <w:p w14:paraId="4AFD4B72" w14:textId="77777777" w:rsidR="00114F14" w:rsidRPr="008D72F0" w:rsidRDefault="00114F14" w:rsidP="004A104C">
                  <w:pPr>
                    <w:jc w:val="right"/>
                    <w:rPr>
                      <w:sz w:val="20"/>
                      <w:szCs w:val="20"/>
                      <w:u w:val="single"/>
                    </w:rPr>
                  </w:pPr>
                </w:p>
              </w:tc>
              <w:tc>
                <w:tcPr>
                  <w:tcW w:w="1260" w:type="dxa"/>
                  <w:shd w:val="clear" w:color="auto" w:fill="auto"/>
                </w:tcPr>
                <w:p w14:paraId="72443AFD"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3E97EF4D"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499CF6DA" w14:textId="77777777" w:rsidTr="0034423C">
              <w:trPr>
                <w:trHeight w:val="344"/>
              </w:trPr>
              <w:tc>
                <w:tcPr>
                  <w:tcW w:w="1980" w:type="dxa"/>
                  <w:shd w:val="clear" w:color="auto" w:fill="auto"/>
                </w:tcPr>
                <w:p w14:paraId="31E52D57"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40093D7E" w14:textId="77777777" w:rsidR="00114F14" w:rsidRPr="008D72F0" w:rsidRDefault="00114F14" w:rsidP="004A104C">
                  <w:pPr>
                    <w:jc w:val="right"/>
                    <w:rPr>
                      <w:sz w:val="20"/>
                      <w:szCs w:val="20"/>
                    </w:rPr>
                  </w:pPr>
                  <w:r>
                    <w:rPr>
                      <w:sz w:val="20"/>
                      <w:szCs w:val="20"/>
                    </w:rPr>
                    <w:t>1.000</w:t>
                  </w:r>
                </w:p>
              </w:tc>
              <w:tc>
                <w:tcPr>
                  <w:tcW w:w="1260" w:type="dxa"/>
                  <w:vAlign w:val="center"/>
                </w:tcPr>
                <w:p w14:paraId="3D88F147" w14:textId="77777777" w:rsidR="00114F14" w:rsidRDefault="00114F14" w:rsidP="004A104C">
                  <w:pPr>
                    <w:jc w:val="right"/>
                    <w:rPr>
                      <w:sz w:val="20"/>
                      <w:szCs w:val="20"/>
                    </w:rPr>
                  </w:pPr>
                  <w:r>
                    <w:rPr>
                      <w:sz w:val="20"/>
                      <w:szCs w:val="20"/>
                    </w:rPr>
                    <w:t>1.000</w:t>
                  </w:r>
                </w:p>
              </w:tc>
            </w:tr>
            <w:tr w:rsidR="00114F14" w:rsidRPr="008D72F0" w14:paraId="6833118A" w14:textId="77777777" w:rsidTr="0034423C">
              <w:trPr>
                <w:trHeight w:val="357"/>
              </w:trPr>
              <w:tc>
                <w:tcPr>
                  <w:tcW w:w="1980" w:type="dxa"/>
                  <w:shd w:val="clear" w:color="auto" w:fill="auto"/>
                </w:tcPr>
                <w:p w14:paraId="25B6DCAB"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733C4CEE" w14:textId="7B306D9B" w:rsidR="00114F14" w:rsidRPr="008D72F0" w:rsidRDefault="00114F14" w:rsidP="004A104C">
                  <w:pPr>
                    <w:jc w:val="right"/>
                    <w:rPr>
                      <w:sz w:val="20"/>
                      <w:szCs w:val="20"/>
                    </w:rPr>
                  </w:pPr>
                  <w:r>
                    <w:rPr>
                      <w:sz w:val="20"/>
                      <w:szCs w:val="20"/>
                    </w:rPr>
                    <w:t>$112,859</w:t>
                  </w:r>
                </w:p>
              </w:tc>
              <w:tc>
                <w:tcPr>
                  <w:tcW w:w="1260" w:type="dxa"/>
                </w:tcPr>
                <w:p w14:paraId="6B604B3B" w14:textId="690399B1" w:rsidR="00114F14" w:rsidRPr="008D72F0" w:rsidRDefault="00114F14" w:rsidP="004A104C">
                  <w:pPr>
                    <w:jc w:val="right"/>
                    <w:rPr>
                      <w:sz w:val="20"/>
                      <w:szCs w:val="20"/>
                    </w:rPr>
                  </w:pPr>
                  <w:r>
                    <w:rPr>
                      <w:sz w:val="20"/>
                      <w:szCs w:val="20"/>
                    </w:rPr>
                    <w:t>$118,196</w:t>
                  </w:r>
                </w:p>
              </w:tc>
            </w:tr>
            <w:tr w:rsidR="00114F14" w:rsidRPr="008D72F0" w14:paraId="6E9879E1" w14:textId="77777777" w:rsidTr="0034423C">
              <w:trPr>
                <w:trHeight w:val="357"/>
              </w:trPr>
              <w:tc>
                <w:tcPr>
                  <w:tcW w:w="1980" w:type="dxa"/>
                  <w:shd w:val="clear" w:color="auto" w:fill="auto"/>
                </w:tcPr>
                <w:p w14:paraId="0A34C5C2"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25936929" w14:textId="3C7E0A70" w:rsidR="00114F14" w:rsidRDefault="00114F14" w:rsidP="004A104C">
                  <w:pPr>
                    <w:jc w:val="right"/>
                    <w:rPr>
                      <w:sz w:val="20"/>
                      <w:szCs w:val="20"/>
                    </w:rPr>
                  </w:pPr>
                  <w:r>
                    <w:rPr>
                      <w:sz w:val="20"/>
                      <w:szCs w:val="20"/>
                    </w:rPr>
                    <w:t>$6,383</w:t>
                  </w:r>
                </w:p>
              </w:tc>
              <w:tc>
                <w:tcPr>
                  <w:tcW w:w="1260" w:type="dxa"/>
                </w:tcPr>
                <w:p w14:paraId="233620E3" w14:textId="33525306" w:rsidR="00114F14" w:rsidRDefault="00114F14" w:rsidP="004A104C">
                  <w:pPr>
                    <w:jc w:val="right"/>
                    <w:rPr>
                      <w:sz w:val="20"/>
                      <w:szCs w:val="20"/>
                    </w:rPr>
                  </w:pPr>
                  <w:r>
                    <w:rPr>
                      <w:sz w:val="20"/>
                      <w:szCs w:val="20"/>
                    </w:rPr>
                    <w:t>$6,383</w:t>
                  </w:r>
                </w:p>
              </w:tc>
            </w:tr>
            <w:tr w:rsidR="00114F14" w:rsidRPr="008D72F0" w14:paraId="6D99957F" w14:textId="77777777" w:rsidTr="0034423C">
              <w:trPr>
                <w:trHeight w:val="303"/>
              </w:trPr>
              <w:tc>
                <w:tcPr>
                  <w:tcW w:w="1980" w:type="dxa"/>
                  <w:shd w:val="clear" w:color="auto" w:fill="auto"/>
                </w:tcPr>
                <w:p w14:paraId="6A88AFA3"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18C6E6A5" w14:textId="44CCC80A" w:rsidR="00114F14" w:rsidRPr="002C59F4" w:rsidRDefault="00114F14" w:rsidP="004A104C">
                  <w:pPr>
                    <w:jc w:val="right"/>
                    <w:rPr>
                      <w:sz w:val="20"/>
                      <w:szCs w:val="20"/>
                      <w:u w:val="single"/>
                    </w:rPr>
                  </w:pPr>
                  <w:r w:rsidRPr="002C59F4">
                    <w:rPr>
                      <w:sz w:val="20"/>
                      <w:szCs w:val="20"/>
                      <w:u w:val="single"/>
                    </w:rPr>
                    <w:t>$</w:t>
                  </w:r>
                  <w:r>
                    <w:rPr>
                      <w:sz w:val="20"/>
                      <w:szCs w:val="20"/>
                      <w:u w:val="single"/>
                    </w:rPr>
                    <w:t>119,242</w:t>
                  </w:r>
                </w:p>
              </w:tc>
              <w:tc>
                <w:tcPr>
                  <w:tcW w:w="1260" w:type="dxa"/>
                </w:tcPr>
                <w:p w14:paraId="218B0709" w14:textId="3CC36F8C" w:rsidR="00114F14" w:rsidRPr="002C59F4" w:rsidRDefault="00114F14" w:rsidP="004A104C">
                  <w:pPr>
                    <w:jc w:val="right"/>
                    <w:rPr>
                      <w:sz w:val="20"/>
                      <w:szCs w:val="20"/>
                      <w:u w:val="single"/>
                    </w:rPr>
                  </w:pPr>
                  <w:r w:rsidRPr="002C59F4">
                    <w:rPr>
                      <w:sz w:val="20"/>
                      <w:szCs w:val="20"/>
                      <w:u w:val="single"/>
                    </w:rPr>
                    <w:t>$</w:t>
                  </w:r>
                  <w:r>
                    <w:rPr>
                      <w:sz w:val="20"/>
                      <w:szCs w:val="20"/>
                      <w:u w:val="single"/>
                    </w:rPr>
                    <w:t>124,579</w:t>
                  </w:r>
                </w:p>
              </w:tc>
            </w:tr>
          </w:tbl>
          <w:p w14:paraId="5DBC7504" w14:textId="21E21197" w:rsidR="00114F14" w:rsidRDefault="00114F14" w:rsidP="004A104C">
            <w:pPr>
              <w:pStyle w:val="ListBullet"/>
              <w:numPr>
                <w:ilvl w:val="0"/>
                <w:numId w:val="0"/>
              </w:numPr>
              <w:ind w:left="280"/>
            </w:pPr>
          </w:p>
          <w:p w14:paraId="78C9A059" w14:textId="6A197602" w:rsidR="00114F14" w:rsidRDefault="00114F14" w:rsidP="004A104C">
            <w:pPr>
              <w:pStyle w:val="ListBullet"/>
              <w:numPr>
                <w:ilvl w:val="0"/>
                <w:numId w:val="0"/>
              </w:numPr>
              <w:ind w:left="280"/>
            </w:pPr>
          </w:p>
          <w:p w14:paraId="6DD11858" w14:textId="099FDE36" w:rsidR="00114F14" w:rsidRDefault="00114F14" w:rsidP="004A104C">
            <w:pPr>
              <w:pStyle w:val="ListBullet"/>
              <w:numPr>
                <w:ilvl w:val="0"/>
                <w:numId w:val="0"/>
              </w:numPr>
              <w:ind w:left="280"/>
            </w:pPr>
          </w:p>
          <w:p w14:paraId="551C6301" w14:textId="3D0F0FB4" w:rsidR="00114F14" w:rsidRDefault="00114F14" w:rsidP="004A104C">
            <w:pPr>
              <w:pStyle w:val="ListBullet"/>
              <w:numPr>
                <w:ilvl w:val="0"/>
                <w:numId w:val="0"/>
              </w:numPr>
              <w:ind w:left="280"/>
            </w:pPr>
          </w:p>
          <w:p w14:paraId="05DA4D47" w14:textId="22D34AF3" w:rsidR="00114F14" w:rsidRDefault="00114F14" w:rsidP="004A104C">
            <w:pPr>
              <w:pStyle w:val="ListBullet"/>
              <w:numPr>
                <w:ilvl w:val="0"/>
                <w:numId w:val="0"/>
              </w:numPr>
              <w:ind w:left="280"/>
            </w:pPr>
          </w:p>
          <w:p w14:paraId="1EEF21EC" w14:textId="56F525D0" w:rsidR="00114F14" w:rsidRDefault="00114F14" w:rsidP="004A104C">
            <w:pPr>
              <w:pStyle w:val="ListBullet"/>
              <w:numPr>
                <w:ilvl w:val="0"/>
                <w:numId w:val="0"/>
              </w:numPr>
              <w:ind w:left="280"/>
            </w:pPr>
          </w:p>
          <w:p w14:paraId="15B8768E" w14:textId="60A8DED4" w:rsidR="00114F14" w:rsidRDefault="00114F14" w:rsidP="004A104C">
            <w:pPr>
              <w:pStyle w:val="ListBullet"/>
              <w:numPr>
                <w:ilvl w:val="0"/>
                <w:numId w:val="0"/>
              </w:numPr>
              <w:ind w:left="280"/>
            </w:pPr>
          </w:p>
          <w:p w14:paraId="66FE2A99" w14:textId="77777777" w:rsidR="00114F14" w:rsidRDefault="00114F14" w:rsidP="004A104C">
            <w:pPr>
              <w:pStyle w:val="ListBullet"/>
              <w:numPr>
                <w:ilvl w:val="0"/>
                <w:numId w:val="0"/>
              </w:numPr>
              <w:ind w:left="460"/>
            </w:pPr>
          </w:p>
          <w:p w14:paraId="49321887" w14:textId="737078EE" w:rsidR="00114F14" w:rsidRDefault="00114F14" w:rsidP="004A104C">
            <w:pPr>
              <w:pStyle w:val="ListBullet"/>
            </w:pPr>
            <w:r>
              <w:t>Continues one Education Specialist III position that was authorized to continue thru June 15, 2019 in PL  2019 Chapter 284 Part A and provides funding for related All Other.  Also eliminates one vacant Office Associate II position.</w:t>
            </w:r>
          </w:p>
          <w:p w14:paraId="3CDC2DE9" w14:textId="65DA0967" w:rsidR="00CD7961" w:rsidRDefault="00CD7961" w:rsidP="00CD7961">
            <w:pPr>
              <w:pStyle w:val="ListBullet"/>
              <w:numPr>
                <w:ilvl w:val="0"/>
                <w:numId w:val="0"/>
              </w:numPr>
              <w:ind w:left="460" w:hanging="180"/>
            </w:pPr>
          </w:p>
          <w:p w14:paraId="78A79260" w14:textId="4FA76489" w:rsidR="00CD7961" w:rsidRDefault="00CD7961" w:rsidP="00CD7961">
            <w:pPr>
              <w:pStyle w:val="ListBullet"/>
              <w:numPr>
                <w:ilvl w:val="0"/>
                <w:numId w:val="0"/>
              </w:numPr>
              <w:ind w:left="460" w:hanging="180"/>
            </w:pPr>
          </w:p>
          <w:p w14:paraId="63C8B8C1" w14:textId="2664ADEA" w:rsidR="00CD7961" w:rsidRDefault="00CD7961" w:rsidP="00CD7961">
            <w:pPr>
              <w:pStyle w:val="ListBullet"/>
              <w:numPr>
                <w:ilvl w:val="0"/>
                <w:numId w:val="0"/>
              </w:numPr>
              <w:ind w:left="460" w:hanging="180"/>
            </w:pPr>
          </w:p>
          <w:p w14:paraId="7F70AFC3" w14:textId="77777777" w:rsidR="00CD7961" w:rsidRDefault="00CD7961" w:rsidP="00CD7961">
            <w:pPr>
              <w:pStyle w:val="ListBullet"/>
              <w:numPr>
                <w:ilvl w:val="0"/>
                <w:numId w:val="0"/>
              </w:numPr>
              <w:ind w:left="460" w:hanging="180"/>
            </w:pPr>
          </w:p>
          <w:tbl>
            <w:tblPr>
              <w:tblpPr w:leftFromText="180" w:rightFromText="180" w:vertAnchor="text" w:horzAnchor="margin" w:tblpXSpec="center" w:tblpY="256"/>
              <w:tblOverlap w:val="never"/>
              <w:tblW w:w="0" w:type="auto"/>
              <w:tblLook w:val="01E0" w:firstRow="1" w:lastRow="1" w:firstColumn="1" w:lastColumn="1" w:noHBand="0" w:noVBand="0"/>
            </w:tblPr>
            <w:tblGrid>
              <w:gridCol w:w="1980"/>
              <w:gridCol w:w="1260"/>
              <w:gridCol w:w="1260"/>
            </w:tblGrid>
            <w:tr w:rsidR="00114F14" w:rsidRPr="008D72F0" w14:paraId="57C91FF7" w14:textId="77777777" w:rsidTr="00500CB6">
              <w:trPr>
                <w:trHeight w:val="357"/>
              </w:trPr>
              <w:tc>
                <w:tcPr>
                  <w:tcW w:w="1980" w:type="dxa"/>
                  <w:shd w:val="clear" w:color="auto" w:fill="auto"/>
                </w:tcPr>
                <w:p w14:paraId="43307F16" w14:textId="77777777" w:rsidR="00114F14" w:rsidRPr="008D72F0" w:rsidRDefault="00114F14" w:rsidP="004A104C">
                  <w:pPr>
                    <w:jc w:val="right"/>
                    <w:rPr>
                      <w:sz w:val="20"/>
                      <w:szCs w:val="20"/>
                      <w:u w:val="single"/>
                    </w:rPr>
                  </w:pPr>
                </w:p>
              </w:tc>
              <w:tc>
                <w:tcPr>
                  <w:tcW w:w="1260" w:type="dxa"/>
                  <w:shd w:val="clear" w:color="auto" w:fill="auto"/>
                </w:tcPr>
                <w:p w14:paraId="36885A11"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27F4074F"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619CD892" w14:textId="77777777" w:rsidTr="00500CB6">
              <w:trPr>
                <w:trHeight w:val="344"/>
              </w:trPr>
              <w:tc>
                <w:tcPr>
                  <w:tcW w:w="1980" w:type="dxa"/>
                  <w:shd w:val="clear" w:color="auto" w:fill="auto"/>
                </w:tcPr>
                <w:p w14:paraId="59DC1E65"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6C86F675" w14:textId="77777777" w:rsidR="00114F14" w:rsidRPr="008D72F0" w:rsidRDefault="00114F14" w:rsidP="004A104C">
                  <w:pPr>
                    <w:jc w:val="right"/>
                    <w:rPr>
                      <w:sz w:val="20"/>
                      <w:szCs w:val="20"/>
                    </w:rPr>
                  </w:pPr>
                  <w:r>
                    <w:rPr>
                      <w:sz w:val="20"/>
                      <w:szCs w:val="20"/>
                    </w:rPr>
                    <w:t>1.000</w:t>
                  </w:r>
                </w:p>
              </w:tc>
              <w:tc>
                <w:tcPr>
                  <w:tcW w:w="1260" w:type="dxa"/>
                  <w:vAlign w:val="center"/>
                </w:tcPr>
                <w:p w14:paraId="10A9EAAE" w14:textId="77777777" w:rsidR="00114F14" w:rsidRDefault="00114F14" w:rsidP="004A104C">
                  <w:pPr>
                    <w:jc w:val="right"/>
                    <w:rPr>
                      <w:sz w:val="20"/>
                      <w:szCs w:val="20"/>
                    </w:rPr>
                  </w:pPr>
                  <w:r>
                    <w:rPr>
                      <w:sz w:val="20"/>
                      <w:szCs w:val="20"/>
                    </w:rPr>
                    <w:t>1.000</w:t>
                  </w:r>
                </w:p>
              </w:tc>
            </w:tr>
            <w:tr w:rsidR="00114F14" w:rsidRPr="008D72F0" w14:paraId="5145509D" w14:textId="77777777" w:rsidTr="00500CB6">
              <w:trPr>
                <w:trHeight w:val="357"/>
              </w:trPr>
              <w:tc>
                <w:tcPr>
                  <w:tcW w:w="1980" w:type="dxa"/>
                  <w:shd w:val="clear" w:color="auto" w:fill="auto"/>
                </w:tcPr>
                <w:p w14:paraId="592D3E31"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37B7BFE2" w14:textId="77777777" w:rsidR="00114F14" w:rsidRPr="008D72F0" w:rsidRDefault="00114F14" w:rsidP="004A104C">
                  <w:pPr>
                    <w:jc w:val="right"/>
                    <w:rPr>
                      <w:sz w:val="20"/>
                      <w:szCs w:val="20"/>
                    </w:rPr>
                  </w:pPr>
                  <w:r>
                    <w:rPr>
                      <w:sz w:val="20"/>
                      <w:szCs w:val="20"/>
                    </w:rPr>
                    <w:t>$111,437</w:t>
                  </w:r>
                </w:p>
              </w:tc>
              <w:tc>
                <w:tcPr>
                  <w:tcW w:w="1260" w:type="dxa"/>
                </w:tcPr>
                <w:p w14:paraId="1F491207" w14:textId="77777777" w:rsidR="00114F14" w:rsidRPr="008D72F0" w:rsidRDefault="00114F14" w:rsidP="004A104C">
                  <w:pPr>
                    <w:jc w:val="right"/>
                    <w:rPr>
                      <w:sz w:val="20"/>
                      <w:szCs w:val="20"/>
                    </w:rPr>
                  </w:pPr>
                  <w:r>
                    <w:rPr>
                      <w:sz w:val="20"/>
                      <w:szCs w:val="20"/>
                    </w:rPr>
                    <w:t>$112,388</w:t>
                  </w:r>
                </w:p>
              </w:tc>
            </w:tr>
            <w:tr w:rsidR="00114F14" w:rsidRPr="008D72F0" w14:paraId="5D1AA81F" w14:textId="77777777" w:rsidTr="00500CB6">
              <w:trPr>
                <w:trHeight w:val="357"/>
              </w:trPr>
              <w:tc>
                <w:tcPr>
                  <w:tcW w:w="1980" w:type="dxa"/>
                  <w:shd w:val="clear" w:color="auto" w:fill="auto"/>
                </w:tcPr>
                <w:p w14:paraId="6B32681B"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07D0C22F" w14:textId="77777777" w:rsidR="00114F14" w:rsidRDefault="00114F14" w:rsidP="004A104C">
                  <w:pPr>
                    <w:jc w:val="right"/>
                    <w:rPr>
                      <w:sz w:val="20"/>
                      <w:szCs w:val="20"/>
                    </w:rPr>
                  </w:pPr>
                  <w:r>
                    <w:rPr>
                      <w:sz w:val="20"/>
                      <w:szCs w:val="20"/>
                    </w:rPr>
                    <w:t>$4,000</w:t>
                  </w:r>
                </w:p>
              </w:tc>
              <w:tc>
                <w:tcPr>
                  <w:tcW w:w="1260" w:type="dxa"/>
                </w:tcPr>
                <w:p w14:paraId="6EB6279D" w14:textId="77777777" w:rsidR="00114F14" w:rsidRDefault="00114F14" w:rsidP="004A104C">
                  <w:pPr>
                    <w:jc w:val="right"/>
                    <w:rPr>
                      <w:sz w:val="20"/>
                      <w:szCs w:val="20"/>
                    </w:rPr>
                  </w:pPr>
                  <w:r>
                    <w:rPr>
                      <w:sz w:val="20"/>
                      <w:szCs w:val="20"/>
                    </w:rPr>
                    <w:t>$4,000</w:t>
                  </w:r>
                </w:p>
              </w:tc>
            </w:tr>
            <w:tr w:rsidR="00114F14" w:rsidRPr="008D72F0" w14:paraId="0024CAB0" w14:textId="77777777" w:rsidTr="00500CB6">
              <w:trPr>
                <w:trHeight w:val="303"/>
              </w:trPr>
              <w:tc>
                <w:tcPr>
                  <w:tcW w:w="1980" w:type="dxa"/>
                  <w:shd w:val="clear" w:color="auto" w:fill="auto"/>
                </w:tcPr>
                <w:p w14:paraId="62B0914A"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2AC2B088"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115,437</w:t>
                  </w:r>
                </w:p>
              </w:tc>
              <w:tc>
                <w:tcPr>
                  <w:tcW w:w="1260" w:type="dxa"/>
                </w:tcPr>
                <w:p w14:paraId="09FB136C"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116,388</w:t>
                  </w:r>
                </w:p>
              </w:tc>
            </w:tr>
          </w:tbl>
          <w:p w14:paraId="6F9033C8" w14:textId="77777777" w:rsidR="00114F14" w:rsidRDefault="00114F14" w:rsidP="004A104C">
            <w:pPr>
              <w:pStyle w:val="ListBullet"/>
              <w:numPr>
                <w:ilvl w:val="0"/>
                <w:numId w:val="0"/>
              </w:numPr>
              <w:ind w:left="460"/>
            </w:pPr>
          </w:p>
          <w:p w14:paraId="38B6C89D" w14:textId="573B06B3" w:rsidR="00114F14" w:rsidRDefault="00114F14" w:rsidP="004A104C">
            <w:pPr>
              <w:pStyle w:val="ListBullet"/>
              <w:numPr>
                <w:ilvl w:val="0"/>
                <w:numId w:val="0"/>
              </w:numPr>
              <w:ind w:left="280"/>
            </w:pPr>
          </w:p>
          <w:p w14:paraId="0E7CEECD" w14:textId="69E1E5EB" w:rsidR="00114F14" w:rsidRDefault="00114F14" w:rsidP="004A104C">
            <w:pPr>
              <w:pStyle w:val="ListBullet"/>
              <w:numPr>
                <w:ilvl w:val="0"/>
                <w:numId w:val="0"/>
              </w:numPr>
              <w:ind w:left="280"/>
            </w:pPr>
          </w:p>
          <w:p w14:paraId="1A3E5219" w14:textId="63E047DF" w:rsidR="00114F14" w:rsidRDefault="00114F14" w:rsidP="004A104C">
            <w:pPr>
              <w:pStyle w:val="ListBullet"/>
              <w:numPr>
                <w:ilvl w:val="0"/>
                <w:numId w:val="0"/>
              </w:numPr>
              <w:ind w:left="280"/>
            </w:pPr>
          </w:p>
          <w:p w14:paraId="2E321818" w14:textId="52D321A4" w:rsidR="00114F14" w:rsidRDefault="00114F14" w:rsidP="004A104C">
            <w:pPr>
              <w:pStyle w:val="ListBullet"/>
              <w:numPr>
                <w:ilvl w:val="0"/>
                <w:numId w:val="0"/>
              </w:numPr>
              <w:ind w:left="280"/>
            </w:pPr>
          </w:p>
          <w:p w14:paraId="08BE7104" w14:textId="0D02512A" w:rsidR="00114F14" w:rsidRDefault="00114F14" w:rsidP="004A104C">
            <w:pPr>
              <w:pStyle w:val="ListBullet"/>
              <w:numPr>
                <w:ilvl w:val="0"/>
                <w:numId w:val="0"/>
              </w:numPr>
              <w:ind w:left="280"/>
            </w:pPr>
          </w:p>
          <w:p w14:paraId="2CF08044" w14:textId="21757989" w:rsidR="00114F14" w:rsidRDefault="00114F14" w:rsidP="004A104C">
            <w:pPr>
              <w:pStyle w:val="ListBullet"/>
              <w:numPr>
                <w:ilvl w:val="0"/>
                <w:numId w:val="0"/>
              </w:numPr>
              <w:ind w:left="280"/>
            </w:pPr>
          </w:p>
          <w:p w14:paraId="32C44587" w14:textId="2113D02A" w:rsidR="00114F14" w:rsidRDefault="00114F14" w:rsidP="004A104C">
            <w:pPr>
              <w:pStyle w:val="ListBullet"/>
              <w:numPr>
                <w:ilvl w:val="0"/>
                <w:numId w:val="0"/>
              </w:numPr>
              <w:ind w:left="280"/>
            </w:pPr>
          </w:p>
          <w:p w14:paraId="1025ACB5" w14:textId="77777777" w:rsidR="00CD7961" w:rsidRDefault="00CD7961" w:rsidP="004A104C">
            <w:pPr>
              <w:pStyle w:val="ListBullet"/>
              <w:numPr>
                <w:ilvl w:val="0"/>
                <w:numId w:val="0"/>
              </w:numPr>
              <w:ind w:left="280"/>
            </w:pPr>
          </w:p>
          <w:p w14:paraId="1AA483D1" w14:textId="77777777" w:rsidR="00114F14" w:rsidRDefault="00114F14" w:rsidP="004A104C">
            <w:pPr>
              <w:pStyle w:val="ListBullet"/>
              <w:numPr>
                <w:ilvl w:val="0"/>
                <w:numId w:val="0"/>
              </w:numPr>
              <w:rPr>
                <w:sz w:val="22"/>
                <w:szCs w:val="22"/>
              </w:rPr>
            </w:pPr>
            <w:r>
              <w:rPr>
                <w:sz w:val="22"/>
                <w:szCs w:val="22"/>
                <w:u w:val="single"/>
              </w:rPr>
              <w:t>Leadership Team</w:t>
            </w:r>
          </w:p>
          <w:p w14:paraId="3461B6B4" w14:textId="77777777" w:rsidR="00114F14" w:rsidRDefault="00114F14" w:rsidP="004A104C">
            <w:pPr>
              <w:pStyle w:val="ListBullet"/>
              <w:numPr>
                <w:ilvl w:val="0"/>
                <w:numId w:val="0"/>
              </w:numPr>
              <w:rPr>
                <w:sz w:val="22"/>
                <w:szCs w:val="22"/>
              </w:rPr>
            </w:pPr>
          </w:p>
          <w:p w14:paraId="23AADFB3" w14:textId="1FC2DC75" w:rsidR="00114F14" w:rsidRDefault="00114F14" w:rsidP="004A104C">
            <w:pPr>
              <w:pStyle w:val="ListBullet"/>
            </w:pPr>
            <w:r w:rsidRPr="00686C65">
              <w:t>Provides General Fund</w:t>
            </w:r>
            <w:r>
              <w:t xml:space="preserve"> </w:t>
            </w:r>
            <w:r w:rsidRPr="00686C65">
              <w:t xml:space="preserve">and Other Special Revenue </w:t>
            </w:r>
            <w:r>
              <w:t xml:space="preserve">Funds </w:t>
            </w:r>
            <w:r w:rsidRPr="00686C65">
              <w:t xml:space="preserve">appropriations in the budget for </w:t>
            </w:r>
            <w:r>
              <w:t>the Leadership Team program in FY 20 and in FY 21.</w:t>
            </w:r>
            <w:r w:rsidR="00CD7961">
              <w:br/>
            </w: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79090B3F" w14:textId="77777777" w:rsidTr="0015196D">
              <w:trPr>
                <w:trHeight w:val="357"/>
              </w:trPr>
              <w:tc>
                <w:tcPr>
                  <w:tcW w:w="1980" w:type="dxa"/>
                  <w:shd w:val="clear" w:color="auto" w:fill="auto"/>
                </w:tcPr>
                <w:p w14:paraId="260D4685" w14:textId="77777777" w:rsidR="00114F14" w:rsidRPr="008D72F0" w:rsidRDefault="00114F14" w:rsidP="004A104C">
                  <w:pPr>
                    <w:jc w:val="right"/>
                    <w:rPr>
                      <w:sz w:val="20"/>
                      <w:szCs w:val="20"/>
                      <w:u w:val="single"/>
                    </w:rPr>
                  </w:pPr>
                </w:p>
              </w:tc>
              <w:tc>
                <w:tcPr>
                  <w:tcW w:w="1260" w:type="dxa"/>
                  <w:shd w:val="clear" w:color="auto" w:fill="auto"/>
                </w:tcPr>
                <w:p w14:paraId="665718B5" w14:textId="6361B23E"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365BC107" w14:textId="437F5B4E" w:rsidR="00114F14" w:rsidRPr="008D72F0" w:rsidRDefault="00114F14" w:rsidP="004A104C">
                  <w:pPr>
                    <w:jc w:val="right"/>
                    <w:rPr>
                      <w:sz w:val="20"/>
                      <w:szCs w:val="20"/>
                      <w:u w:val="single"/>
                    </w:rPr>
                  </w:pPr>
                  <w:r>
                    <w:rPr>
                      <w:sz w:val="20"/>
                      <w:szCs w:val="20"/>
                      <w:u w:val="single"/>
                    </w:rPr>
                    <w:t>FY 21</w:t>
                  </w:r>
                </w:p>
              </w:tc>
            </w:tr>
            <w:tr w:rsidR="00114F14" w:rsidRPr="008D72F0" w14:paraId="048E1F37" w14:textId="77777777" w:rsidTr="0015196D">
              <w:trPr>
                <w:trHeight w:val="357"/>
              </w:trPr>
              <w:tc>
                <w:tcPr>
                  <w:tcW w:w="1980" w:type="dxa"/>
                  <w:shd w:val="clear" w:color="auto" w:fill="auto"/>
                </w:tcPr>
                <w:p w14:paraId="6B016AB1" w14:textId="77777777" w:rsidR="00114F14" w:rsidRPr="008D72F0" w:rsidRDefault="00114F14" w:rsidP="004A104C">
                  <w:pPr>
                    <w:jc w:val="right"/>
                    <w:rPr>
                      <w:sz w:val="16"/>
                      <w:szCs w:val="16"/>
                    </w:rPr>
                  </w:pPr>
                  <w:r w:rsidRPr="00170F8D">
                    <w:rPr>
                      <w:sz w:val="16"/>
                      <w:szCs w:val="16"/>
                    </w:rPr>
                    <w:t>General Fund</w:t>
                  </w:r>
                  <w:r w:rsidRPr="008D72F0">
                    <w:rPr>
                      <w:sz w:val="16"/>
                      <w:szCs w:val="16"/>
                    </w:rPr>
                    <w:t xml:space="preserve"> - Position Count</w:t>
                  </w:r>
                </w:p>
              </w:tc>
              <w:tc>
                <w:tcPr>
                  <w:tcW w:w="1260" w:type="dxa"/>
                  <w:shd w:val="clear" w:color="auto" w:fill="auto"/>
                  <w:vAlign w:val="center"/>
                </w:tcPr>
                <w:p w14:paraId="3066FD6A" w14:textId="0453463E" w:rsidR="00114F14" w:rsidRPr="008D72F0" w:rsidRDefault="00114F14" w:rsidP="004A104C">
                  <w:pPr>
                    <w:jc w:val="right"/>
                    <w:rPr>
                      <w:sz w:val="20"/>
                      <w:szCs w:val="20"/>
                    </w:rPr>
                  </w:pPr>
                  <w:r>
                    <w:rPr>
                      <w:sz w:val="20"/>
                      <w:szCs w:val="20"/>
                    </w:rPr>
                    <w:t>12.000</w:t>
                  </w:r>
                </w:p>
              </w:tc>
              <w:tc>
                <w:tcPr>
                  <w:tcW w:w="1260" w:type="dxa"/>
                  <w:vAlign w:val="center"/>
                </w:tcPr>
                <w:p w14:paraId="7A14A1BF" w14:textId="523AF1BD" w:rsidR="00114F14" w:rsidRDefault="00114F14" w:rsidP="004A104C">
                  <w:pPr>
                    <w:jc w:val="right"/>
                    <w:rPr>
                      <w:sz w:val="20"/>
                      <w:szCs w:val="20"/>
                    </w:rPr>
                  </w:pPr>
                  <w:r>
                    <w:rPr>
                      <w:sz w:val="20"/>
                      <w:szCs w:val="20"/>
                    </w:rPr>
                    <w:t>12.000</w:t>
                  </w:r>
                </w:p>
              </w:tc>
            </w:tr>
            <w:tr w:rsidR="00114F14" w:rsidRPr="008D72F0" w14:paraId="7AD0794B" w14:textId="77777777" w:rsidTr="0015196D">
              <w:trPr>
                <w:trHeight w:val="357"/>
              </w:trPr>
              <w:tc>
                <w:tcPr>
                  <w:tcW w:w="1980" w:type="dxa"/>
                  <w:shd w:val="clear" w:color="auto" w:fill="auto"/>
                </w:tcPr>
                <w:p w14:paraId="5B503A26"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2FD3B459" w14:textId="63E7B8A2" w:rsidR="00114F14" w:rsidRPr="008D72F0" w:rsidRDefault="00114F14" w:rsidP="004A104C">
                  <w:pPr>
                    <w:jc w:val="right"/>
                    <w:rPr>
                      <w:sz w:val="20"/>
                      <w:szCs w:val="20"/>
                    </w:rPr>
                  </w:pPr>
                  <w:r>
                    <w:rPr>
                      <w:sz w:val="20"/>
                      <w:szCs w:val="20"/>
                    </w:rPr>
                    <w:t>$1,280,408</w:t>
                  </w:r>
                </w:p>
              </w:tc>
              <w:tc>
                <w:tcPr>
                  <w:tcW w:w="1260" w:type="dxa"/>
                </w:tcPr>
                <w:p w14:paraId="67BA8D6D" w14:textId="2E67D2E7" w:rsidR="00114F14" w:rsidRPr="008D72F0" w:rsidRDefault="00114F14" w:rsidP="004A104C">
                  <w:pPr>
                    <w:jc w:val="right"/>
                    <w:rPr>
                      <w:sz w:val="20"/>
                      <w:szCs w:val="20"/>
                    </w:rPr>
                  </w:pPr>
                  <w:r>
                    <w:rPr>
                      <w:sz w:val="20"/>
                      <w:szCs w:val="20"/>
                    </w:rPr>
                    <w:t>$1,296,640</w:t>
                  </w:r>
                </w:p>
              </w:tc>
            </w:tr>
            <w:tr w:rsidR="00114F14" w:rsidRPr="008D72F0" w14:paraId="4622560D" w14:textId="77777777" w:rsidTr="0015196D">
              <w:trPr>
                <w:trHeight w:val="315"/>
              </w:trPr>
              <w:tc>
                <w:tcPr>
                  <w:tcW w:w="1980" w:type="dxa"/>
                  <w:shd w:val="clear" w:color="auto" w:fill="auto"/>
                </w:tcPr>
                <w:p w14:paraId="2ACA2543"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28044E4A" w14:textId="55985609" w:rsidR="00114F14" w:rsidRPr="00FE76F6" w:rsidRDefault="00114F14" w:rsidP="004A104C">
                  <w:pPr>
                    <w:jc w:val="right"/>
                    <w:rPr>
                      <w:sz w:val="20"/>
                      <w:szCs w:val="20"/>
                      <w:u w:val="single"/>
                    </w:rPr>
                  </w:pPr>
                  <w:r>
                    <w:rPr>
                      <w:sz w:val="20"/>
                      <w:szCs w:val="20"/>
                      <w:u w:val="single"/>
                    </w:rPr>
                    <w:t>$256,890</w:t>
                  </w:r>
                </w:p>
              </w:tc>
              <w:tc>
                <w:tcPr>
                  <w:tcW w:w="1260" w:type="dxa"/>
                </w:tcPr>
                <w:p w14:paraId="483C2348" w14:textId="440BCEAC" w:rsidR="00114F14" w:rsidRPr="00FE76F6" w:rsidRDefault="00114F14" w:rsidP="004A104C">
                  <w:pPr>
                    <w:jc w:val="right"/>
                    <w:rPr>
                      <w:sz w:val="20"/>
                      <w:szCs w:val="20"/>
                      <w:u w:val="single"/>
                    </w:rPr>
                  </w:pPr>
                  <w:r>
                    <w:rPr>
                      <w:sz w:val="20"/>
                      <w:szCs w:val="20"/>
                      <w:u w:val="single"/>
                    </w:rPr>
                    <w:t>$256,890</w:t>
                  </w:r>
                </w:p>
              </w:tc>
            </w:tr>
            <w:tr w:rsidR="00114F14" w:rsidRPr="008D72F0" w14:paraId="46E5AB87" w14:textId="77777777" w:rsidTr="0015196D">
              <w:trPr>
                <w:trHeight w:val="303"/>
              </w:trPr>
              <w:tc>
                <w:tcPr>
                  <w:tcW w:w="1980" w:type="dxa"/>
                  <w:shd w:val="clear" w:color="auto" w:fill="auto"/>
                </w:tcPr>
                <w:p w14:paraId="2E4C02D8" w14:textId="77777777" w:rsidR="00114F14" w:rsidRPr="008D72F0" w:rsidRDefault="00114F14" w:rsidP="004A104C">
                  <w:pPr>
                    <w:rPr>
                      <w:sz w:val="16"/>
                      <w:szCs w:val="16"/>
                      <w:u w:val="single"/>
                    </w:rPr>
                  </w:pPr>
                  <w:r>
                    <w:rPr>
                      <w:sz w:val="16"/>
                      <w:szCs w:val="16"/>
                      <w:u w:val="single"/>
                    </w:rPr>
                    <w:t>General Fund Total</w:t>
                  </w:r>
                </w:p>
              </w:tc>
              <w:tc>
                <w:tcPr>
                  <w:tcW w:w="1260" w:type="dxa"/>
                  <w:shd w:val="clear" w:color="auto" w:fill="auto"/>
                </w:tcPr>
                <w:p w14:paraId="3515F54E" w14:textId="64957D54" w:rsidR="00114F14" w:rsidRPr="008D72F0" w:rsidRDefault="00114F14" w:rsidP="004A104C">
                  <w:pPr>
                    <w:jc w:val="right"/>
                    <w:rPr>
                      <w:sz w:val="20"/>
                      <w:szCs w:val="20"/>
                    </w:rPr>
                  </w:pPr>
                  <w:r>
                    <w:rPr>
                      <w:sz w:val="20"/>
                      <w:szCs w:val="20"/>
                    </w:rPr>
                    <w:t>$1,537,298</w:t>
                  </w:r>
                </w:p>
              </w:tc>
              <w:tc>
                <w:tcPr>
                  <w:tcW w:w="1260" w:type="dxa"/>
                </w:tcPr>
                <w:p w14:paraId="26708D33" w14:textId="0E14EFC9" w:rsidR="00114F14" w:rsidRPr="008D72F0" w:rsidRDefault="00114F14" w:rsidP="004A104C">
                  <w:pPr>
                    <w:jc w:val="right"/>
                    <w:rPr>
                      <w:sz w:val="20"/>
                      <w:szCs w:val="20"/>
                    </w:rPr>
                  </w:pPr>
                  <w:r>
                    <w:rPr>
                      <w:sz w:val="20"/>
                      <w:szCs w:val="20"/>
                    </w:rPr>
                    <w:t>$1,553,530</w:t>
                  </w:r>
                </w:p>
              </w:tc>
            </w:tr>
            <w:tr w:rsidR="00114F14" w:rsidRPr="008D72F0" w14:paraId="37439E31" w14:textId="77777777" w:rsidTr="0015196D">
              <w:trPr>
                <w:trHeight w:val="315"/>
              </w:trPr>
              <w:tc>
                <w:tcPr>
                  <w:tcW w:w="1980" w:type="dxa"/>
                  <w:shd w:val="clear" w:color="auto" w:fill="auto"/>
                </w:tcPr>
                <w:p w14:paraId="2BD0730E" w14:textId="77777777" w:rsidR="00114F14" w:rsidRPr="00170F8D" w:rsidRDefault="00114F14" w:rsidP="004A104C">
                  <w:pPr>
                    <w:jc w:val="right"/>
                    <w:rPr>
                      <w:sz w:val="16"/>
                      <w:szCs w:val="16"/>
                    </w:rPr>
                  </w:pPr>
                  <w:r w:rsidRPr="00170F8D">
                    <w:rPr>
                      <w:sz w:val="16"/>
                      <w:szCs w:val="16"/>
                    </w:rPr>
                    <w:t>Other Special Revenue Funds</w:t>
                  </w:r>
                  <w:r>
                    <w:rPr>
                      <w:sz w:val="16"/>
                      <w:szCs w:val="16"/>
                    </w:rPr>
                    <w:t>- Position Count</w:t>
                  </w:r>
                </w:p>
              </w:tc>
              <w:tc>
                <w:tcPr>
                  <w:tcW w:w="1260" w:type="dxa"/>
                  <w:shd w:val="clear" w:color="auto" w:fill="auto"/>
                </w:tcPr>
                <w:p w14:paraId="76DAA491" w14:textId="12A2716C" w:rsidR="00114F14" w:rsidRDefault="00114F14" w:rsidP="004A104C">
                  <w:pPr>
                    <w:jc w:val="right"/>
                    <w:rPr>
                      <w:sz w:val="20"/>
                      <w:szCs w:val="20"/>
                    </w:rPr>
                  </w:pPr>
                  <w:r>
                    <w:rPr>
                      <w:sz w:val="20"/>
                      <w:szCs w:val="20"/>
                    </w:rPr>
                    <w:t>3.000</w:t>
                  </w:r>
                </w:p>
              </w:tc>
              <w:tc>
                <w:tcPr>
                  <w:tcW w:w="1260" w:type="dxa"/>
                </w:tcPr>
                <w:p w14:paraId="3CE84FA1" w14:textId="1CC243F0" w:rsidR="00114F14" w:rsidRDefault="00114F14" w:rsidP="004A104C">
                  <w:pPr>
                    <w:jc w:val="right"/>
                    <w:rPr>
                      <w:sz w:val="20"/>
                      <w:szCs w:val="20"/>
                    </w:rPr>
                  </w:pPr>
                  <w:r>
                    <w:rPr>
                      <w:sz w:val="20"/>
                      <w:szCs w:val="20"/>
                    </w:rPr>
                    <w:t>3.000</w:t>
                  </w:r>
                </w:p>
              </w:tc>
            </w:tr>
            <w:tr w:rsidR="00114F14" w:rsidRPr="008D72F0" w14:paraId="72E7ABBC" w14:textId="77777777" w:rsidTr="0015196D">
              <w:trPr>
                <w:trHeight w:val="352"/>
              </w:trPr>
              <w:tc>
                <w:tcPr>
                  <w:tcW w:w="1980" w:type="dxa"/>
                  <w:shd w:val="clear" w:color="auto" w:fill="auto"/>
                </w:tcPr>
                <w:p w14:paraId="38189B50" w14:textId="77777777" w:rsidR="00114F14" w:rsidRPr="00F016F9" w:rsidRDefault="00114F14" w:rsidP="004A104C">
                  <w:pPr>
                    <w:jc w:val="right"/>
                    <w:rPr>
                      <w:sz w:val="16"/>
                      <w:szCs w:val="16"/>
                    </w:rPr>
                  </w:pPr>
                  <w:r>
                    <w:rPr>
                      <w:sz w:val="16"/>
                      <w:szCs w:val="16"/>
                    </w:rPr>
                    <w:t>Personal Services</w:t>
                  </w:r>
                </w:p>
              </w:tc>
              <w:tc>
                <w:tcPr>
                  <w:tcW w:w="1260" w:type="dxa"/>
                  <w:shd w:val="clear" w:color="auto" w:fill="auto"/>
                </w:tcPr>
                <w:p w14:paraId="230B19EA" w14:textId="719035AF" w:rsidR="00114F14" w:rsidRDefault="00114F14" w:rsidP="004A104C">
                  <w:pPr>
                    <w:jc w:val="right"/>
                    <w:rPr>
                      <w:sz w:val="20"/>
                      <w:szCs w:val="20"/>
                    </w:rPr>
                  </w:pPr>
                  <w:r>
                    <w:rPr>
                      <w:sz w:val="20"/>
                      <w:szCs w:val="20"/>
                    </w:rPr>
                    <w:t>$289,353</w:t>
                  </w:r>
                </w:p>
              </w:tc>
              <w:tc>
                <w:tcPr>
                  <w:tcW w:w="1260" w:type="dxa"/>
                </w:tcPr>
                <w:p w14:paraId="7BEDF547" w14:textId="282BAA25" w:rsidR="00114F14" w:rsidRDefault="00114F14" w:rsidP="004A104C">
                  <w:pPr>
                    <w:jc w:val="right"/>
                    <w:rPr>
                      <w:sz w:val="20"/>
                      <w:szCs w:val="20"/>
                    </w:rPr>
                  </w:pPr>
                  <w:r>
                    <w:rPr>
                      <w:sz w:val="20"/>
                      <w:szCs w:val="20"/>
                    </w:rPr>
                    <w:t>$296,121</w:t>
                  </w:r>
                </w:p>
              </w:tc>
            </w:tr>
            <w:tr w:rsidR="00114F14" w:rsidRPr="008D72F0" w14:paraId="70530D2F" w14:textId="77777777" w:rsidTr="0015196D">
              <w:trPr>
                <w:trHeight w:val="352"/>
              </w:trPr>
              <w:tc>
                <w:tcPr>
                  <w:tcW w:w="1980" w:type="dxa"/>
                  <w:shd w:val="clear" w:color="auto" w:fill="auto"/>
                </w:tcPr>
                <w:p w14:paraId="3CB450BF" w14:textId="77777777" w:rsidR="00114F14" w:rsidRDefault="00114F14" w:rsidP="004A104C">
                  <w:pPr>
                    <w:jc w:val="right"/>
                    <w:rPr>
                      <w:sz w:val="16"/>
                      <w:szCs w:val="16"/>
                    </w:rPr>
                  </w:pPr>
                  <w:r>
                    <w:rPr>
                      <w:sz w:val="16"/>
                      <w:szCs w:val="16"/>
                    </w:rPr>
                    <w:t>All Other</w:t>
                  </w:r>
                </w:p>
              </w:tc>
              <w:tc>
                <w:tcPr>
                  <w:tcW w:w="1260" w:type="dxa"/>
                  <w:shd w:val="clear" w:color="auto" w:fill="auto"/>
                </w:tcPr>
                <w:p w14:paraId="6C8A7631" w14:textId="284DBE25" w:rsidR="00114F14" w:rsidRPr="00F5055D" w:rsidRDefault="00114F14" w:rsidP="004A104C">
                  <w:pPr>
                    <w:jc w:val="right"/>
                    <w:rPr>
                      <w:sz w:val="20"/>
                      <w:szCs w:val="20"/>
                      <w:u w:val="single"/>
                    </w:rPr>
                  </w:pPr>
                  <w:r w:rsidRPr="00F5055D">
                    <w:rPr>
                      <w:sz w:val="20"/>
                      <w:szCs w:val="20"/>
                      <w:u w:val="single"/>
                    </w:rPr>
                    <w:t>$</w:t>
                  </w:r>
                  <w:r>
                    <w:rPr>
                      <w:sz w:val="20"/>
                      <w:szCs w:val="20"/>
                      <w:u w:val="single"/>
                    </w:rPr>
                    <w:t>2,181,835</w:t>
                  </w:r>
                </w:p>
              </w:tc>
              <w:tc>
                <w:tcPr>
                  <w:tcW w:w="1260" w:type="dxa"/>
                </w:tcPr>
                <w:p w14:paraId="16E52898" w14:textId="1A0CFB70" w:rsidR="00114F14" w:rsidRPr="00F5055D" w:rsidRDefault="00114F14" w:rsidP="004A104C">
                  <w:pPr>
                    <w:jc w:val="right"/>
                    <w:rPr>
                      <w:sz w:val="20"/>
                      <w:szCs w:val="20"/>
                      <w:u w:val="single"/>
                    </w:rPr>
                  </w:pPr>
                  <w:r w:rsidRPr="00F5055D">
                    <w:rPr>
                      <w:sz w:val="20"/>
                      <w:szCs w:val="20"/>
                      <w:u w:val="single"/>
                    </w:rPr>
                    <w:t>$</w:t>
                  </w:r>
                  <w:r>
                    <w:rPr>
                      <w:sz w:val="20"/>
                      <w:szCs w:val="20"/>
                      <w:u w:val="single"/>
                    </w:rPr>
                    <w:t>2,181,835</w:t>
                  </w:r>
                </w:p>
              </w:tc>
            </w:tr>
            <w:tr w:rsidR="00114F14" w:rsidRPr="008D72F0" w14:paraId="15F1BB76" w14:textId="77777777" w:rsidTr="0015196D">
              <w:trPr>
                <w:trHeight w:val="352"/>
              </w:trPr>
              <w:tc>
                <w:tcPr>
                  <w:tcW w:w="1980" w:type="dxa"/>
                  <w:shd w:val="clear" w:color="auto" w:fill="auto"/>
                </w:tcPr>
                <w:p w14:paraId="3D2DA63B" w14:textId="77777777" w:rsidR="00114F14" w:rsidRPr="00F5055D" w:rsidRDefault="00114F14" w:rsidP="004A104C">
                  <w:pPr>
                    <w:jc w:val="right"/>
                    <w:rPr>
                      <w:sz w:val="16"/>
                      <w:szCs w:val="16"/>
                      <w:u w:val="single"/>
                    </w:rPr>
                  </w:pPr>
                  <w:r w:rsidRPr="00F5055D">
                    <w:rPr>
                      <w:sz w:val="16"/>
                      <w:szCs w:val="16"/>
                      <w:u w:val="single"/>
                    </w:rPr>
                    <w:t>Other Special Revenue Funds Total</w:t>
                  </w:r>
                </w:p>
              </w:tc>
              <w:tc>
                <w:tcPr>
                  <w:tcW w:w="1260" w:type="dxa"/>
                  <w:shd w:val="clear" w:color="auto" w:fill="auto"/>
                </w:tcPr>
                <w:p w14:paraId="1B4EFD7A" w14:textId="4E4CF8D7" w:rsidR="00114F14" w:rsidRDefault="00114F14" w:rsidP="004A104C">
                  <w:pPr>
                    <w:jc w:val="right"/>
                    <w:rPr>
                      <w:sz w:val="20"/>
                      <w:szCs w:val="20"/>
                    </w:rPr>
                  </w:pPr>
                  <w:r>
                    <w:rPr>
                      <w:sz w:val="20"/>
                      <w:szCs w:val="20"/>
                    </w:rPr>
                    <w:t>$2,471,188</w:t>
                  </w:r>
                </w:p>
              </w:tc>
              <w:tc>
                <w:tcPr>
                  <w:tcW w:w="1260" w:type="dxa"/>
                </w:tcPr>
                <w:p w14:paraId="405EF535" w14:textId="71B87ECB" w:rsidR="00114F14" w:rsidRDefault="00114F14" w:rsidP="004A104C">
                  <w:pPr>
                    <w:jc w:val="right"/>
                    <w:rPr>
                      <w:sz w:val="20"/>
                      <w:szCs w:val="20"/>
                    </w:rPr>
                  </w:pPr>
                  <w:r>
                    <w:rPr>
                      <w:sz w:val="20"/>
                      <w:szCs w:val="20"/>
                    </w:rPr>
                    <w:t>$2,477,956</w:t>
                  </w:r>
                </w:p>
              </w:tc>
            </w:tr>
          </w:tbl>
          <w:p w14:paraId="634F9991" w14:textId="7FC32C82" w:rsidR="00114F14" w:rsidRDefault="00114F14" w:rsidP="004A104C">
            <w:pPr>
              <w:pStyle w:val="ListBullet"/>
              <w:numPr>
                <w:ilvl w:val="0"/>
                <w:numId w:val="0"/>
              </w:numPr>
              <w:ind w:left="280"/>
            </w:pPr>
          </w:p>
          <w:p w14:paraId="7D8F7973" w14:textId="0433254B" w:rsidR="00114F14" w:rsidRDefault="00114F14" w:rsidP="004A104C">
            <w:pPr>
              <w:pStyle w:val="ListBullet"/>
              <w:numPr>
                <w:ilvl w:val="0"/>
                <w:numId w:val="0"/>
              </w:numPr>
              <w:ind w:left="280"/>
            </w:pPr>
          </w:p>
          <w:p w14:paraId="392A731B" w14:textId="2C8EA9E0" w:rsidR="00114F14" w:rsidRDefault="00114F14" w:rsidP="004A104C">
            <w:pPr>
              <w:pStyle w:val="ListBullet"/>
              <w:numPr>
                <w:ilvl w:val="0"/>
                <w:numId w:val="0"/>
              </w:numPr>
              <w:ind w:left="280"/>
            </w:pPr>
          </w:p>
          <w:p w14:paraId="369153C3" w14:textId="00473E54" w:rsidR="00114F14" w:rsidRDefault="00114F14" w:rsidP="004A104C">
            <w:pPr>
              <w:pStyle w:val="ListBullet"/>
              <w:numPr>
                <w:ilvl w:val="0"/>
                <w:numId w:val="0"/>
              </w:numPr>
              <w:ind w:left="280"/>
            </w:pPr>
          </w:p>
          <w:p w14:paraId="067FB782" w14:textId="77777777" w:rsidR="00CD7961" w:rsidRDefault="00CD7961" w:rsidP="00CD7961">
            <w:pPr>
              <w:pStyle w:val="ListBullet"/>
              <w:numPr>
                <w:ilvl w:val="0"/>
                <w:numId w:val="0"/>
              </w:numPr>
              <w:ind w:left="280"/>
            </w:pPr>
          </w:p>
          <w:p w14:paraId="2B6A006A" w14:textId="77777777" w:rsidR="00CD7961" w:rsidRDefault="00CD7961" w:rsidP="00CD7961">
            <w:pPr>
              <w:pStyle w:val="ListBullet"/>
              <w:numPr>
                <w:ilvl w:val="0"/>
                <w:numId w:val="0"/>
              </w:numPr>
              <w:ind w:left="280"/>
            </w:pPr>
          </w:p>
          <w:p w14:paraId="10A0F486" w14:textId="77777777" w:rsidR="00CD7961" w:rsidRDefault="00CD7961" w:rsidP="00CD7961">
            <w:pPr>
              <w:pStyle w:val="ListBullet"/>
              <w:numPr>
                <w:ilvl w:val="0"/>
                <w:numId w:val="0"/>
              </w:numPr>
              <w:ind w:left="280"/>
            </w:pPr>
          </w:p>
          <w:p w14:paraId="44963087" w14:textId="77777777" w:rsidR="00CD7961" w:rsidRDefault="00CD7961" w:rsidP="00CD7961">
            <w:pPr>
              <w:pStyle w:val="ListBullet"/>
              <w:numPr>
                <w:ilvl w:val="0"/>
                <w:numId w:val="0"/>
              </w:numPr>
              <w:ind w:left="280"/>
            </w:pPr>
          </w:p>
          <w:p w14:paraId="6A86A3C5" w14:textId="77777777" w:rsidR="00CD7961" w:rsidRDefault="00CD7961" w:rsidP="00CD7961">
            <w:pPr>
              <w:pStyle w:val="ListBullet"/>
              <w:numPr>
                <w:ilvl w:val="0"/>
                <w:numId w:val="0"/>
              </w:numPr>
              <w:ind w:left="280"/>
            </w:pPr>
          </w:p>
          <w:p w14:paraId="70566403" w14:textId="77777777" w:rsidR="00CD7961" w:rsidRDefault="00CD7961" w:rsidP="00CD7961">
            <w:pPr>
              <w:pStyle w:val="ListBullet"/>
              <w:numPr>
                <w:ilvl w:val="0"/>
                <w:numId w:val="0"/>
              </w:numPr>
              <w:ind w:left="280"/>
            </w:pPr>
          </w:p>
          <w:p w14:paraId="0398F24F" w14:textId="77777777" w:rsidR="00CD7961" w:rsidRDefault="00CD7961" w:rsidP="00CD7961">
            <w:pPr>
              <w:pStyle w:val="ListBullet"/>
              <w:numPr>
                <w:ilvl w:val="0"/>
                <w:numId w:val="0"/>
              </w:numPr>
              <w:ind w:left="280"/>
            </w:pPr>
          </w:p>
          <w:p w14:paraId="65533BD5" w14:textId="4CEA8F87" w:rsidR="00CD7961" w:rsidRDefault="00CD7961" w:rsidP="00CD7961">
            <w:pPr>
              <w:pStyle w:val="ListBullet"/>
              <w:numPr>
                <w:ilvl w:val="0"/>
                <w:numId w:val="0"/>
              </w:numPr>
              <w:ind w:left="280"/>
            </w:pPr>
          </w:p>
          <w:p w14:paraId="5D9106E8" w14:textId="77777777" w:rsidR="00CD7961" w:rsidRDefault="00CD7961" w:rsidP="00CD7961">
            <w:pPr>
              <w:pStyle w:val="ListBullet"/>
              <w:numPr>
                <w:ilvl w:val="0"/>
                <w:numId w:val="0"/>
              </w:numPr>
              <w:ind w:left="280"/>
            </w:pPr>
          </w:p>
          <w:p w14:paraId="031B1DE1" w14:textId="1D948230" w:rsidR="00114F14" w:rsidRDefault="00114F14" w:rsidP="00CD7961">
            <w:pPr>
              <w:pStyle w:val="ListBullet"/>
            </w:pPr>
            <w:r w:rsidRPr="002A0216">
              <w:t xml:space="preserve">Transfers and reallocates the cost of one Education Specialist II position from 50% Learning Systems Team Federal Expenditures Fund and 50% Leadership Team Other Special Revenue Funds to 100% General Purpose Aid for Local Schools </w:t>
            </w:r>
            <w:r>
              <w:t xml:space="preserve">General Fund </w:t>
            </w:r>
            <w:r w:rsidRPr="002A0216">
              <w:t xml:space="preserve">beginning September 30, 2019 and reduces All Other to fund the position. </w:t>
            </w:r>
          </w:p>
          <w:p w14:paraId="6FE1F883" w14:textId="77777777" w:rsidR="00114F14" w:rsidRPr="002A0216" w:rsidRDefault="00114F14" w:rsidP="004A104C">
            <w:pPr>
              <w:pStyle w:val="ListBullet"/>
              <w:numPr>
                <w:ilvl w:val="0"/>
                <w:numId w:val="0"/>
              </w:numPr>
              <w:ind w:left="460" w:hanging="18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2F1CB9E7" w14:textId="77777777" w:rsidTr="001544A4">
              <w:trPr>
                <w:trHeight w:val="357"/>
              </w:trPr>
              <w:tc>
                <w:tcPr>
                  <w:tcW w:w="1980" w:type="dxa"/>
                  <w:shd w:val="clear" w:color="auto" w:fill="auto"/>
                </w:tcPr>
                <w:p w14:paraId="045D14C7" w14:textId="77777777" w:rsidR="00114F14" w:rsidRPr="008D72F0" w:rsidRDefault="00114F14" w:rsidP="004A104C">
                  <w:pPr>
                    <w:jc w:val="right"/>
                    <w:rPr>
                      <w:sz w:val="20"/>
                      <w:szCs w:val="20"/>
                      <w:u w:val="single"/>
                    </w:rPr>
                  </w:pPr>
                </w:p>
              </w:tc>
              <w:tc>
                <w:tcPr>
                  <w:tcW w:w="1260" w:type="dxa"/>
                  <w:shd w:val="clear" w:color="auto" w:fill="auto"/>
                </w:tcPr>
                <w:p w14:paraId="01F2B7B7"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77E9B68"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2391E375" w14:textId="77777777" w:rsidTr="001544A4">
              <w:trPr>
                <w:trHeight w:val="357"/>
              </w:trPr>
              <w:tc>
                <w:tcPr>
                  <w:tcW w:w="1980" w:type="dxa"/>
                  <w:shd w:val="clear" w:color="auto" w:fill="auto"/>
                </w:tcPr>
                <w:p w14:paraId="16056B46"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68F11885" w14:textId="65BFE355" w:rsidR="00114F14" w:rsidRPr="008D72F0" w:rsidRDefault="00114F14" w:rsidP="004A104C">
                  <w:pPr>
                    <w:jc w:val="right"/>
                    <w:rPr>
                      <w:sz w:val="20"/>
                      <w:szCs w:val="20"/>
                    </w:rPr>
                  </w:pPr>
                  <w:r>
                    <w:rPr>
                      <w:sz w:val="20"/>
                      <w:szCs w:val="20"/>
                    </w:rPr>
                    <w:t>$38,569</w:t>
                  </w:r>
                </w:p>
              </w:tc>
              <w:tc>
                <w:tcPr>
                  <w:tcW w:w="1260" w:type="dxa"/>
                </w:tcPr>
                <w:p w14:paraId="04469A16" w14:textId="2EF129EB" w:rsidR="00114F14" w:rsidRPr="008D72F0" w:rsidRDefault="00114F14" w:rsidP="004A104C">
                  <w:pPr>
                    <w:jc w:val="right"/>
                    <w:rPr>
                      <w:sz w:val="20"/>
                      <w:szCs w:val="20"/>
                    </w:rPr>
                  </w:pPr>
                  <w:r>
                    <w:rPr>
                      <w:sz w:val="20"/>
                      <w:szCs w:val="20"/>
                    </w:rPr>
                    <w:t>$51,877</w:t>
                  </w:r>
                </w:p>
              </w:tc>
            </w:tr>
            <w:tr w:rsidR="00114F14" w:rsidRPr="008D72F0" w14:paraId="362467BD" w14:textId="77777777" w:rsidTr="001544A4">
              <w:trPr>
                <w:trHeight w:val="357"/>
              </w:trPr>
              <w:tc>
                <w:tcPr>
                  <w:tcW w:w="1980" w:type="dxa"/>
                  <w:shd w:val="clear" w:color="auto" w:fill="auto"/>
                </w:tcPr>
                <w:p w14:paraId="2ECFD273"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75C96289" w14:textId="6F0C13C8" w:rsidR="00114F14" w:rsidRDefault="00114F14" w:rsidP="004A104C">
                  <w:pPr>
                    <w:jc w:val="right"/>
                    <w:rPr>
                      <w:sz w:val="20"/>
                      <w:szCs w:val="20"/>
                    </w:rPr>
                  </w:pPr>
                  <w:r>
                    <w:rPr>
                      <w:sz w:val="20"/>
                      <w:szCs w:val="20"/>
                    </w:rPr>
                    <w:t>($38,569)</w:t>
                  </w:r>
                </w:p>
              </w:tc>
              <w:tc>
                <w:tcPr>
                  <w:tcW w:w="1260" w:type="dxa"/>
                </w:tcPr>
                <w:p w14:paraId="49D61D07" w14:textId="789B8C58" w:rsidR="00114F14" w:rsidRDefault="00114F14" w:rsidP="004A104C">
                  <w:pPr>
                    <w:jc w:val="right"/>
                    <w:rPr>
                      <w:sz w:val="20"/>
                      <w:szCs w:val="20"/>
                    </w:rPr>
                  </w:pPr>
                  <w:r>
                    <w:rPr>
                      <w:sz w:val="20"/>
                      <w:szCs w:val="20"/>
                    </w:rPr>
                    <w:t>($51,877)</w:t>
                  </w:r>
                </w:p>
              </w:tc>
            </w:tr>
            <w:tr w:rsidR="00114F14" w:rsidRPr="008D72F0" w14:paraId="260DDC12" w14:textId="77777777" w:rsidTr="001544A4">
              <w:trPr>
                <w:trHeight w:val="303"/>
              </w:trPr>
              <w:tc>
                <w:tcPr>
                  <w:tcW w:w="1980" w:type="dxa"/>
                  <w:shd w:val="clear" w:color="auto" w:fill="auto"/>
                </w:tcPr>
                <w:p w14:paraId="2DACA177"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52BB29F8"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c>
                <w:tcPr>
                  <w:tcW w:w="1260" w:type="dxa"/>
                </w:tcPr>
                <w:p w14:paraId="714603D4"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r>
          </w:tbl>
          <w:p w14:paraId="7B86C6F4" w14:textId="7C8B77CC" w:rsidR="00114F14" w:rsidRDefault="00114F14" w:rsidP="004A104C">
            <w:pPr>
              <w:pStyle w:val="ListBullet"/>
              <w:numPr>
                <w:ilvl w:val="0"/>
                <w:numId w:val="0"/>
              </w:numPr>
              <w:ind w:left="280"/>
            </w:pPr>
          </w:p>
          <w:p w14:paraId="0D7FC260" w14:textId="79509AB0" w:rsidR="00114F14" w:rsidRDefault="00114F14" w:rsidP="004A104C">
            <w:pPr>
              <w:pStyle w:val="ListBullet"/>
              <w:numPr>
                <w:ilvl w:val="0"/>
                <w:numId w:val="0"/>
              </w:numPr>
              <w:ind w:left="280"/>
            </w:pPr>
          </w:p>
          <w:p w14:paraId="244B4C86" w14:textId="77C36A72" w:rsidR="00114F14" w:rsidRDefault="00114F14" w:rsidP="004A104C">
            <w:pPr>
              <w:pStyle w:val="ListBullet"/>
              <w:numPr>
                <w:ilvl w:val="0"/>
                <w:numId w:val="0"/>
              </w:numPr>
              <w:ind w:left="280"/>
            </w:pPr>
          </w:p>
          <w:p w14:paraId="1ED79958" w14:textId="5022773F" w:rsidR="00114F14" w:rsidRDefault="00114F14" w:rsidP="004A104C">
            <w:pPr>
              <w:pStyle w:val="ListBullet"/>
              <w:numPr>
                <w:ilvl w:val="0"/>
                <w:numId w:val="0"/>
              </w:numPr>
              <w:ind w:left="280"/>
            </w:pPr>
          </w:p>
          <w:p w14:paraId="55458127" w14:textId="6678AA21" w:rsidR="00114F14" w:rsidRDefault="00114F14" w:rsidP="004A104C">
            <w:pPr>
              <w:pStyle w:val="ListBullet"/>
              <w:numPr>
                <w:ilvl w:val="0"/>
                <w:numId w:val="0"/>
              </w:numPr>
              <w:ind w:left="280"/>
            </w:pPr>
          </w:p>
          <w:p w14:paraId="3E23A295" w14:textId="78210BDC" w:rsidR="00114F14" w:rsidRDefault="00114F14" w:rsidP="004A104C">
            <w:pPr>
              <w:pStyle w:val="ListBullet"/>
              <w:numPr>
                <w:ilvl w:val="0"/>
                <w:numId w:val="0"/>
              </w:numPr>
              <w:ind w:left="280"/>
            </w:pPr>
          </w:p>
          <w:p w14:paraId="5336A587" w14:textId="23C434B1" w:rsidR="00114F14" w:rsidRPr="002A0216" w:rsidRDefault="00114F14" w:rsidP="004A104C">
            <w:pPr>
              <w:pStyle w:val="ListBullet"/>
            </w:pPr>
            <w:r w:rsidRPr="002A0216">
              <w:t xml:space="preserve">Transfers and reallocates one </w:t>
            </w:r>
            <w:r>
              <w:t xml:space="preserve">Office Associate </w:t>
            </w:r>
            <w:r w:rsidRPr="002A0216">
              <w:t>II position from 50% Lea</w:t>
            </w:r>
            <w:r>
              <w:t>dership Team Other Special Revenue Funds</w:t>
            </w:r>
            <w:r w:rsidRPr="002A0216">
              <w:t xml:space="preserve"> and 50% Lea</w:t>
            </w:r>
            <w:r>
              <w:t xml:space="preserve">rning Systems Team General </w:t>
            </w:r>
            <w:r w:rsidRPr="002A0216">
              <w:t xml:space="preserve">Fund to 100% </w:t>
            </w:r>
            <w:r>
              <w:t>Learning Systems Team program General Fund of ($23,846) in FY 20 and of ($24,939) in FY 21</w:t>
            </w:r>
            <w:r w:rsidRPr="002A0216">
              <w:t xml:space="preserve">. </w:t>
            </w:r>
          </w:p>
          <w:p w14:paraId="086D94A8" w14:textId="2193F966" w:rsidR="00114F14" w:rsidRPr="002A0216" w:rsidRDefault="00114F14" w:rsidP="004A104C">
            <w:pPr>
              <w:pStyle w:val="ListBullet"/>
            </w:pPr>
            <w:r w:rsidRPr="002A0216">
              <w:t xml:space="preserve">Transfers and reallocates one </w:t>
            </w:r>
            <w:r>
              <w:t>Public Service Manager II position from 60% Leadership Team Other Special Revenue Funds</w:t>
            </w:r>
            <w:r w:rsidRPr="002A0216">
              <w:t xml:space="preserve"> and </w:t>
            </w:r>
            <w:r>
              <w:t>4</w:t>
            </w:r>
            <w:r w:rsidRPr="002A0216">
              <w:t>0% Lea</w:t>
            </w:r>
            <w:r>
              <w:t xml:space="preserve">rning Systems Team General </w:t>
            </w:r>
            <w:r w:rsidRPr="002A0216">
              <w:t xml:space="preserve">Fund to 100% </w:t>
            </w:r>
            <w:r>
              <w:t>Learning Systems Team program General Fund of ($78,696) in FY 20 and of ($79,217) in FY 21</w:t>
            </w:r>
            <w:r w:rsidRPr="002A0216">
              <w:t xml:space="preserve">. </w:t>
            </w:r>
          </w:p>
          <w:p w14:paraId="650046C8" w14:textId="5D1ADA4E" w:rsidR="00114F14" w:rsidRPr="003474BF" w:rsidRDefault="00114F14" w:rsidP="004A104C">
            <w:pPr>
              <w:pStyle w:val="ListBullet"/>
            </w:pPr>
            <w:r>
              <w:t>Reallocates 50% of one Director of Policy and Programs position from General Purpose Aid for Local Schools to Leadership Team program.  Reorganizes one Public Service Coordinator II to a Public Service Manager III position, one Public Service Manager III position</w:t>
            </w:r>
            <w:r w:rsidRPr="003474BF">
              <w:t xml:space="preserve"> from range 34 to 35 and one Director of Communications </w:t>
            </w:r>
            <w:r>
              <w:t>position f</w:t>
            </w:r>
            <w:r w:rsidRPr="003474BF">
              <w:t>rom range 33 to 36 all in General Fund of $</w:t>
            </w:r>
            <w:r>
              <w:t>159,473</w:t>
            </w:r>
            <w:r w:rsidRPr="003474BF">
              <w:t xml:space="preserve"> in FY 20 and of $</w:t>
            </w:r>
            <w:r>
              <w:t>149,257</w:t>
            </w:r>
            <w:r w:rsidRPr="003474BF">
              <w:t xml:space="preserve"> in FY 21.</w:t>
            </w:r>
          </w:p>
          <w:tbl>
            <w:tblPr>
              <w:tblpPr w:leftFromText="180" w:rightFromText="180" w:vertAnchor="text" w:horzAnchor="margin" w:tblpXSpec="center" w:tblpY="1616"/>
              <w:tblOverlap w:val="never"/>
              <w:tblW w:w="0" w:type="auto"/>
              <w:tblLook w:val="01E0" w:firstRow="1" w:lastRow="1" w:firstColumn="1" w:lastColumn="1" w:noHBand="0" w:noVBand="0"/>
            </w:tblPr>
            <w:tblGrid>
              <w:gridCol w:w="1980"/>
              <w:gridCol w:w="1260"/>
              <w:gridCol w:w="1260"/>
            </w:tblGrid>
            <w:tr w:rsidR="00114F14" w:rsidRPr="008D72F0" w14:paraId="23AEBE21" w14:textId="77777777" w:rsidTr="00500CB6">
              <w:trPr>
                <w:trHeight w:val="357"/>
              </w:trPr>
              <w:tc>
                <w:tcPr>
                  <w:tcW w:w="1980" w:type="dxa"/>
                  <w:shd w:val="clear" w:color="auto" w:fill="auto"/>
                </w:tcPr>
                <w:p w14:paraId="542C9E3E" w14:textId="77777777" w:rsidR="00114F14" w:rsidRPr="008D72F0" w:rsidRDefault="00114F14" w:rsidP="004A104C">
                  <w:pPr>
                    <w:jc w:val="right"/>
                    <w:rPr>
                      <w:sz w:val="20"/>
                      <w:szCs w:val="20"/>
                      <w:u w:val="single"/>
                    </w:rPr>
                  </w:pPr>
                </w:p>
              </w:tc>
              <w:tc>
                <w:tcPr>
                  <w:tcW w:w="1260" w:type="dxa"/>
                  <w:shd w:val="clear" w:color="auto" w:fill="auto"/>
                </w:tcPr>
                <w:p w14:paraId="4EBF8AE3"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2540028E"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58D57369" w14:textId="77777777" w:rsidTr="00500CB6">
              <w:trPr>
                <w:trHeight w:val="344"/>
              </w:trPr>
              <w:tc>
                <w:tcPr>
                  <w:tcW w:w="1980" w:type="dxa"/>
                  <w:shd w:val="clear" w:color="auto" w:fill="auto"/>
                </w:tcPr>
                <w:p w14:paraId="01C0C8D7"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5BE59335" w14:textId="77777777" w:rsidR="00114F14" w:rsidRPr="008D72F0" w:rsidRDefault="00114F14" w:rsidP="004A104C">
                  <w:pPr>
                    <w:jc w:val="right"/>
                    <w:rPr>
                      <w:sz w:val="20"/>
                      <w:szCs w:val="20"/>
                    </w:rPr>
                  </w:pPr>
                  <w:r>
                    <w:rPr>
                      <w:sz w:val="20"/>
                      <w:szCs w:val="20"/>
                    </w:rPr>
                    <w:t>1.000</w:t>
                  </w:r>
                </w:p>
              </w:tc>
              <w:tc>
                <w:tcPr>
                  <w:tcW w:w="1260" w:type="dxa"/>
                  <w:vAlign w:val="center"/>
                </w:tcPr>
                <w:p w14:paraId="114D2D74" w14:textId="77777777" w:rsidR="00114F14" w:rsidRDefault="00114F14" w:rsidP="004A104C">
                  <w:pPr>
                    <w:jc w:val="right"/>
                    <w:rPr>
                      <w:sz w:val="20"/>
                      <w:szCs w:val="20"/>
                    </w:rPr>
                  </w:pPr>
                  <w:r>
                    <w:rPr>
                      <w:sz w:val="20"/>
                      <w:szCs w:val="20"/>
                    </w:rPr>
                    <w:t>1.000</w:t>
                  </w:r>
                </w:p>
              </w:tc>
            </w:tr>
            <w:tr w:rsidR="00114F14" w:rsidRPr="008D72F0" w14:paraId="210B074F" w14:textId="77777777" w:rsidTr="00500CB6">
              <w:trPr>
                <w:trHeight w:val="357"/>
              </w:trPr>
              <w:tc>
                <w:tcPr>
                  <w:tcW w:w="1980" w:type="dxa"/>
                  <w:shd w:val="clear" w:color="auto" w:fill="auto"/>
                </w:tcPr>
                <w:p w14:paraId="0FB96CCC"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578F85EE" w14:textId="77777777" w:rsidR="00114F14" w:rsidRPr="008D72F0" w:rsidRDefault="00114F14" w:rsidP="004A104C">
                  <w:pPr>
                    <w:jc w:val="right"/>
                    <w:rPr>
                      <w:sz w:val="20"/>
                      <w:szCs w:val="20"/>
                    </w:rPr>
                  </w:pPr>
                  <w:r>
                    <w:rPr>
                      <w:sz w:val="20"/>
                      <w:szCs w:val="20"/>
                    </w:rPr>
                    <w:t>$150,036</w:t>
                  </w:r>
                </w:p>
              </w:tc>
              <w:tc>
                <w:tcPr>
                  <w:tcW w:w="1260" w:type="dxa"/>
                </w:tcPr>
                <w:p w14:paraId="3811E1AA" w14:textId="77777777" w:rsidR="00114F14" w:rsidRPr="008D72F0" w:rsidRDefault="00114F14" w:rsidP="004A104C">
                  <w:pPr>
                    <w:jc w:val="right"/>
                    <w:rPr>
                      <w:sz w:val="20"/>
                      <w:szCs w:val="20"/>
                    </w:rPr>
                  </w:pPr>
                  <w:r>
                    <w:rPr>
                      <w:sz w:val="20"/>
                      <w:szCs w:val="20"/>
                    </w:rPr>
                    <w:t>$144,351</w:t>
                  </w:r>
                </w:p>
              </w:tc>
            </w:tr>
          </w:tbl>
          <w:p w14:paraId="59FA2DBA" w14:textId="6FA8BBC8" w:rsidR="00114F14" w:rsidRDefault="00114F14" w:rsidP="004A104C">
            <w:pPr>
              <w:pStyle w:val="ListBullet"/>
            </w:pPr>
            <w:r>
              <w:t>Transfers one Public Service Manager II position and General Fund appropriations from Higher Education and Educator Support Services to Leadership Team program and reorganizes the position to a Public Service Executive II.</w:t>
            </w:r>
          </w:p>
          <w:p w14:paraId="73B8AD23" w14:textId="0ED7063D" w:rsidR="00114F14" w:rsidRDefault="00114F14" w:rsidP="004A104C">
            <w:pPr>
              <w:pStyle w:val="ListBullet"/>
              <w:numPr>
                <w:ilvl w:val="0"/>
                <w:numId w:val="0"/>
              </w:numPr>
              <w:ind w:left="280"/>
            </w:pPr>
          </w:p>
          <w:p w14:paraId="6A1702A3" w14:textId="0FCD1510" w:rsidR="00114F14" w:rsidRDefault="00114F14" w:rsidP="004A104C">
            <w:pPr>
              <w:pStyle w:val="ListBullet"/>
              <w:numPr>
                <w:ilvl w:val="0"/>
                <w:numId w:val="0"/>
              </w:numPr>
              <w:ind w:left="280"/>
            </w:pPr>
          </w:p>
          <w:p w14:paraId="36D5617E" w14:textId="77777777" w:rsidR="00114F14" w:rsidRDefault="00114F14" w:rsidP="004A104C">
            <w:pPr>
              <w:pStyle w:val="ListBullet"/>
              <w:numPr>
                <w:ilvl w:val="0"/>
                <w:numId w:val="0"/>
              </w:numPr>
              <w:ind w:left="280"/>
            </w:pPr>
          </w:p>
          <w:p w14:paraId="21DB21F7" w14:textId="77777777" w:rsidR="00114F14" w:rsidRDefault="00114F14" w:rsidP="004A104C">
            <w:pPr>
              <w:pStyle w:val="ListBullet"/>
              <w:numPr>
                <w:ilvl w:val="0"/>
                <w:numId w:val="0"/>
              </w:numPr>
              <w:ind w:left="280"/>
            </w:pPr>
          </w:p>
          <w:p w14:paraId="5CFC75C8" w14:textId="77777777" w:rsidR="00114F14" w:rsidRDefault="00114F14" w:rsidP="004A104C">
            <w:pPr>
              <w:pStyle w:val="ListBullet"/>
              <w:numPr>
                <w:ilvl w:val="0"/>
                <w:numId w:val="0"/>
              </w:numPr>
              <w:ind w:left="280"/>
            </w:pPr>
          </w:p>
          <w:p w14:paraId="59C9A90E" w14:textId="77777777" w:rsidR="00114F14" w:rsidRDefault="00114F14" w:rsidP="004A104C">
            <w:pPr>
              <w:pStyle w:val="ListBullet"/>
              <w:numPr>
                <w:ilvl w:val="0"/>
                <w:numId w:val="0"/>
              </w:numPr>
              <w:ind w:left="280"/>
            </w:pPr>
          </w:p>
          <w:p w14:paraId="25EEBDC8" w14:textId="185E0BB6" w:rsidR="00114F14" w:rsidRDefault="00114F14" w:rsidP="004A104C">
            <w:pPr>
              <w:pStyle w:val="ListBullet"/>
            </w:pPr>
            <w:r>
              <w:t>Provides General Fund appropriations in the budget due to increases in costs for financial and human resource management services provided by the Department of Administrative and Financial Services of $79,050 in FY 20 and in FY 21.</w:t>
            </w:r>
          </w:p>
          <w:p w14:paraId="14832F48" w14:textId="2C9D5081" w:rsidR="00114F14" w:rsidRDefault="00114F14" w:rsidP="004A104C">
            <w:pPr>
              <w:pStyle w:val="ListBullet"/>
            </w:pPr>
            <w:r>
              <w:t>Continues one Public Service Coordinator II position and General Fund appropriations previously established by financial order in FY 19 and provides related All Other costs.</w:t>
            </w:r>
          </w:p>
          <w:p w14:paraId="31DB48BD" w14:textId="77777777" w:rsidR="00114F14" w:rsidRDefault="00114F14" w:rsidP="004A104C">
            <w:pPr>
              <w:pStyle w:val="ListBullet"/>
              <w:numPr>
                <w:ilvl w:val="0"/>
                <w:numId w:val="0"/>
              </w:numPr>
              <w:ind w:left="460"/>
            </w:pPr>
          </w:p>
          <w:tbl>
            <w:tblPr>
              <w:tblpPr w:leftFromText="180" w:rightFromText="180" w:vertAnchor="text" w:horzAnchor="margin" w:tblpXSpec="center" w:tblpY="-79"/>
              <w:tblOverlap w:val="never"/>
              <w:tblW w:w="0" w:type="auto"/>
              <w:tblLook w:val="01E0" w:firstRow="1" w:lastRow="1" w:firstColumn="1" w:lastColumn="1" w:noHBand="0" w:noVBand="0"/>
            </w:tblPr>
            <w:tblGrid>
              <w:gridCol w:w="1980"/>
              <w:gridCol w:w="1260"/>
              <w:gridCol w:w="1260"/>
            </w:tblGrid>
            <w:tr w:rsidR="00114F14" w:rsidRPr="008D72F0" w14:paraId="4FC531EA" w14:textId="77777777" w:rsidTr="00500CB6">
              <w:trPr>
                <w:trHeight w:val="357"/>
              </w:trPr>
              <w:tc>
                <w:tcPr>
                  <w:tcW w:w="1980" w:type="dxa"/>
                  <w:shd w:val="clear" w:color="auto" w:fill="auto"/>
                </w:tcPr>
                <w:p w14:paraId="181FB345" w14:textId="77777777" w:rsidR="00114F14" w:rsidRPr="008D72F0" w:rsidRDefault="00114F14" w:rsidP="004A104C">
                  <w:pPr>
                    <w:jc w:val="right"/>
                    <w:rPr>
                      <w:sz w:val="20"/>
                      <w:szCs w:val="20"/>
                      <w:u w:val="single"/>
                    </w:rPr>
                  </w:pPr>
                </w:p>
              </w:tc>
              <w:tc>
                <w:tcPr>
                  <w:tcW w:w="1260" w:type="dxa"/>
                  <w:shd w:val="clear" w:color="auto" w:fill="auto"/>
                </w:tcPr>
                <w:p w14:paraId="132D2E65"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47598161"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24E6AA4A" w14:textId="77777777" w:rsidTr="00500CB6">
              <w:trPr>
                <w:trHeight w:val="344"/>
              </w:trPr>
              <w:tc>
                <w:tcPr>
                  <w:tcW w:w="1980" w:type="dxa"/>
                  <w:shd w:val="clear" w:color="auto" w:fill="auto"/>
                </w:tcPr>
                <w:p w14:paraId="5B18C961"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60F2733D" w14:textId="77777777" w:rsidR="00114F14" w:rsidRPr="008D72F0" w:rsidRDefault="00114F14" w:rsidP="004A104C">
                  <w:pPr>
                    <w:jc w:val="right"/>
                    <w:rPr>
                      <w:sz w:val="20"/>
                      <w:szCs w:val="20"/>
                    </w:rPr>
                  </w:pPr>
                  <w:r>
                    <w:rPr>
                      <w:sz w:val="20"/>
                      <w:szCs w:val="20"/>
                    </w:rPr>
                    <w:t>1.000</w:t>
                  </w:r>
                </w:p>
              </w:tc>
              <w:tc>
                <w:tcPr>
                  <w:tcW w:w="1260" w:type="dxa"/>
                  <w:vAlign w:val="center"/>
                </w:tcPr>
                <w:p w14:paraId="503BE5AB" w14:textId="77777777" w:rsidR="00114F14" w:rsidRDefault="00114F14" w:rsidP="004A104C">
                  <w:pPr>
                    <w:jc w:val="right"/>
                    <w:rPr>
                      <w:sz w:val="20"/>
                      <w:szCs w:val="20"/>
                    </w:rPr>
                  </w:pPr>
                  <w:r>
                    <w:rPr>
                      <w:sz w:val="20"/>
                      <w:szCs w:val="20"/>
                    </w:rPr>
                    <w:t>1.000</w:t>
                  </w:r>
                </w:p>
              </w:tc>
            </w:tr>
            <w:tr w:rsidR="00114F14" w:rsidRPr="008D72F0" w14:paraId="3D874937" w14:textId="77777777" w:rsidTr="00500CB6">
              <w:trPr>
                <w:trHeight w:val="357"/>
              </w:trPr>
              <w:tc>
                <w:tcPr>
                  <w:tcW w:w="1980" w:type="dxa"/>
                  <w:shd w:val="clear" w:color="auto" w:fill="auto"/>
                </w:tcPr>
                <w:p w14:paraId="401F9234"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1638AD02" w14:textId="35541031" w:rsidR="00114F14" w:rsidRPr="008D72F0" w:rsidRDefault="00114F14" w:rsidP="004A104C">
                  <w:pPr>
                    <w:jc w:val="right"/>
                    <w:rPr>
                      <w:sz w:val="20"/>
                      <w:szCs w:val="20"/>
                    </w:rPr>
                  </w:pPr>
                  <w:r>
                    <w:rPr>
                      <w:sz w:val="20"/>
                      <w:szCs w:val="20"/>
                    </w:rPr>
                    <w:t>$134,514</w:t>
                  </w:r>
                </w:p>
              </w:tc>
              <w:tc>
                <w:tcPr>
                  <w:tcW w:w="1260" w:type="dxa"/>
                </w:tcPr>
                <w:p w14:paraId="1751F095" w14:textId="6FB1A3DD" w:rsidR="00114F14" w:rsidRPr="008D72F0" w:rsidRDefault="00114F14" w:rsidP="004A104C">
                  <w:pPr>
                    <w:jc w:val="right"/>
                    <w:rPr>
                      <w:sz w:val="20"/>
                      <w:szCs w:val="20"/>
                    </w:rPr>
                  </w:pPr>
                  <w:r>
                    <w:rPr>
                      <w:sz w:val="20"/>
                      <w:szCs w:val="20"/>
                    </w:rPr>
                    <w:t>$135,415</w:t>
                  </w:r>
                </w:p>
              </w:tc>
            </w:tr>
            <w:tr w:rsidR="00114F14" w:rsidRPr="008D72F0" w14:paraId="219DC4F5" w14:textId="77777777" w:rsidTr="00500CB6">
              <w:trPr>
                <w:trHeight w:val="357"/>
              </w:trPr>
              <w:tc>
                <w:tcPr>
                  <w:tcW w:w="1980" w:type="dxa"/>
                  <w:shd w:val="clear" w:color="auto" w:fill="auto"/>
                </w:tcPr>
                <w:p w14:paraId="0A108898"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3754D8E1" w14:textId="45116AC9" w:rsidR="00114F14" w:rsidRDefault="00114F14" w:rsidP="004A104C">
                  <w:pPr>
                    <w:jc w:val="right"/>
                    <w:rPr>
                      <w:sz w:val="20"/>
                      <w:szCs w:val="20"/>
                    </w:rPr>
                  </w:pPr>
                  <w:r>
                    <w:rPr>
                      <w:sz w:val="20"/>
                      <w:szCs w:val="20"/>
                    </w:rPr>
                    <w:t>$6,383</w:t>
                  </w:r>
                </w:p>
              </w:tc>
              <w:tc>
                <w:tcPr>
                  <w:tcW w:w="1260" w:type="dxa"/>
                </w:tcPr>
                <w:p w14:paraId="4D110947" w14:textId="2CEFAA8D" w:rsidR="00114F14" w:rsidRDefault="00114F14" w:rsidP="004A104C">
                  <w:pPr>
                    <w:jc w:val="right"/>
                    <w:rPr>
                      <w:sz w:val="20"/>
                      <w:szCs w:val="20"/>
                    </w:rPr>
                  </w:pPr>
                  <w:r>
                    <w:rPr>
                      <w:sz w:val="20"/>
                      <w:szCs w:val="20"/>
                    </w:rPr>
                    <w:t>$6,383</w:t>
                  </w:r>
                </w:p>
              </w:tc>
            </w:tr>
            <w:tr w:rsidR="00114F14" w:rsidRPr="008D72F0" w14:paraId="2E297779" w14:textId="77777777" w:rsidTr="00500CB6">
              <w:trPr>
                <w:trHeight w:val="303"/>
              </w:trPr>
              <w:tc>
                <w:tcPr>
                  <w:tcW w:w="1980" w:type="dxa"/>
                  <w:shd w:val="clear" w:color="auto" w:fill="auto"/>
                </w:tcPr>
                <w:p w14:paraId="3C99AE84"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6EC8CAAD" w14:textId="4AD8CE5B" w:rsidR="00114F14" w:rsidRPr="002C59F4" w:rsidRDefault="00114F14" w:rsidP="004A104C">
                  <w:pPr>
                    <w:jc w:val="right"/>
                    <w:rPr>
                      <w:sz w:val="20"/>
                      <w:szCs w:val="20"/>
                      <w:u w:val="single"/>
                    </w:rPr>
                  </w:pPr>
                  <w:r w:rsidRPr="002C59F4">
                    <w:rPr>
                      <w:sz w:val="20"/>
                      <w:szCs w:val="20"/>
                      <w:u w:val="single"/>
                    </w:rPr>
                    <w:t>$</w:t>
                  </w:r>
                  <w:r>
                    <w:rPr>
                      <w:sz w:val="20"/>
                      <w:szCs w:val="20"/>
                      <w:u w:val="single"/>
                    </w:rPr>
                    <w:t>140,897</w:t>
                  </w:r>
                </w:p>
              </w:tc>
              <w:tc>
                <w:tcPr>
                  <w:tcW w:w="1260" w:type="dxa"/>
                </w:tcPr>
                <w:p w14:paraId="28144F0D" w14:textId="151ED25C" w:rsidR="00114F14" w:rsidRPr="002C59F4" w:rsidRDefault="00114F14" w:rsidP="004A104C">
                  <w:pPr>
                    <w:jc w:val="right"/>
                    <w:rPr>
                      <w:sz w:val="20"/>
                      <w:szCs w:val="20"/>
                      <w:u w:val="single"/>
                    </w:rPr>
                  </w:pPr>
                  <w:r w:rsidRPr="002C59F4">
                    <w:rPr>
                      <w:sz w:val="20"/>
                      <w:szCs w:val="20"/>
                      <w:u w:val="single"/>
                    </w:rPr>
                    <w:t>$</w:t>
                  </w:r>
                  <w:r>
                    <w:rPr>
                      <w:sz w:val="20"/>
                      <w:szCs w:val="20"/>
                      <w:u w:val="single"/>
                    </w:rPr>
                    <w:t>141,798</w:t>
                  </w:r>
                </w:p>
              </w:tc>
            </w:tr>
          </w:tbl>
          <w:p w14:paraId="385321CC" w14:textId="77777777" w:rsidR="00114F14" w:rsidRDefault="00114F14" w:rsidP="004A104C">
            <w:pPr>
              <w:pStyle w:val="ListBullet"/>
              <w:numPr>
                <w:ilvl w:val="0"/>
                <w:numId w:val="0"/>
              </w:numPr>
              <w:ind w:left="460"/>
            </w:pPr>
            <w:r>
              <w:t xml:space="preserve"> </w:t>
            </w:r>
          </w:p>
          <w:p w14:paraId="49ADC53A" w14:textId="39602408" w:rsidR="00114F14" w:rsidRDefault="00114F14" w:rsidP="004A104C">
            <w:pPr>
              <w:pStyle w:val="ListBullet"/>
              <w:numPr>
                <w:ilvl w:val="0"/>
                <w:numId w:val="0"/>
              </w:numPr>
              <w:ind w:left="460"/>
            </w:pPr>
          </w:p>
          <w:p w14:paraId="4522D703" w14:textId="649F6CA6" w:rsidR="00114F14" w:rsidRDefault="00114F14" w:rsidP="004A104C">
            <w:pPr>
              <w:pStyle w:val="ListBullet"/>
              <w:numPr>
                <w:ilvl w:val="0"/>
                <w:numId w:val="0"/>
              </w:numPr>
              <w:ind w:left="280"/>
            </w:pPr>
          </w:p>
          <w:p w14:paraId="5317FEFC" w14:textId="5A9DEBDA" w:rsidR="00114F14" w:rsidRDefault="00114F14" w:rsidP="004A104C">
            <w:pPr>
              <w:pStyle w:val="ListBullet"/>
              <w:numPr>
                <w:ilvl w:val="0"/>
                <w:numId w:val="0"/>
              </w:numPr>
              <w:ind w:left="280"/>
            </w:pPr>
          </w:p>
          <w:p w14:paraId="776DF005" w14:textId="4F9DEA40" w:rsidR="00114F14" w:rsidRDefault="00114F14" w:rsidP="004A104C">
            <w:pPr>
              <w:pStyle w:val="ListBullet"/>
              <w:numPr>
                <w:ilvl w:val="0"/>
                <w:numId w:val="0"/>
              </w:numPr>
              <w:ind w:left="280"/>
            </w:pPr>
          </w:p>
          <w:p w14:paraId="78306B98" w14:textId="749C97F5" w:rsidR="00114F14" w:rsidRDefault="00114F14" w:rsidP="004A104C">
            <w:pPr>
              <w:pStyle w:val="ListBullet"/>
              <w:numPr>
                <w:ilvl w:val="0"/>
                <w:numId w:val="0"/>
              </w:numPr>
              <w:ind w:left="280"/>
            </w:pPr>
          </w:p>
          <w:p w14:paraId="367E8804" w14:textId="2F34DE97" w:rsidR="00114F14" w:rsidRDefault="00114F14" w:rsidP="004A104C">
            <w:pPr>
              <w:pStyle w:val="ListBullet"/>
              <w:numPr>
                <w:ilvl w:val="0"/>
                <w:numId w:val="0"/>
              </w:numPr>
              <w:ind w:left="280"/>
            </w:pPr>
          </w:p>
          <w:p w14:paraId="66F49168" w14:textId="1657A70D" w:rsidR="00114F14" w:rsidRDefault="00114F14" w:rsidP="004A104C">
            <w:pPr>
              <w:pStyle w:val="ListBullet"/>
            </w:pPr>
            <w:r>
              <w:t>Continues one Public Service Manager II position and General Fund appropriations previously established by financial order in FY 19 and provides related All Other costs.</w:t>
            </w:r>
          </w:p>
          <w:p w14:paraId="55E378A5" w14:textId="77777777" w:rsidR="00114F14" w:rsidRDefault="00114F14" w:rsidP="004A104C">
            <w:pPr>
              <w:pStyle w:val="ListBullet"/>
              <w:numPr>
                <w:ilvl w:val="0"/>
                <w:numId w:val="0"/>
              </w:numPr>
              <w:ind w:left="460"/>
            </w:pPr>
          </w:p>
          <w:tbl>
            <w:tblPr>
              <w:tblpPr w:leftFromText="180" w:rightFromText="180" w:vertAnchor="text" w:horzAnchor="margin" w:tblpXSpec="center" w:tblpY="-79"/>
              <w:tblOverlap w:val="never"/>
              <w:tblW w:w="0" w:type="auto"/>
              <w:tblLook w:val="01E0" w:firstRow="1" w:lastRow="1" w:firstColumn="1" w:lastColumn="1" w:noHBand="0" w:noVBand="0"/>
            </w:tblPr>
            <w:tblGrid>
              <w:gridCol w:w="1980"/>
              <w:gridCol w:w="1260"/>
              <w:gridCol w:w="1260"/>
            </w:tblGrid>
            <w:tr w:rsidR="00114F14" w:rsidRPr="008D72F0" w14:paraId="70396389" w14:textId="77777777" w:rsidTr="001544A4">
              <w:trPr>
                <w:trHeight w:val="357"/>
              </w:trPr>
              <w:tc>
                <w:tcPr>
                  <w:tcW w:w="1980" w:type="dxa"/>
                  <w:shd w:val="clear" w:color="auto" w:fill="auto"/>
                </w:tcPr>
                <w:p w14:paraId="0459478A" w14:textId="77777777" w:rsidR="00114F14" w:rsidRPr="008D72F0" w:rsidRDefault="00114F14" w:rsidP="004A104C">
                  <w:pPr>
                    <w:jc w:val="right"/>
                    <w:rPr>
                      <w:sz w:val="20"/>
                      <w:szCs w:val="20"/>
                      <w:u w:val="single"/>
                    </w:rPr>
                  </w:pPr>
                </w:p>
              </w:tc>
              <w:tc>
                <w:tcPr>
                  <w:tcW w:w="1260" w:type="dxa"/>
                  <w:shd w:val="clear" w:color="auto" w:fill="auto"/>
                </w:tcPr>
                <w:p w14:paraId="701A22F1"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35BB5F07"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60D826EC" w14:textId="77777777" w:rsidTr="001544A4">
              <w:trPr>
                <w:trHeight w:val="344"/>
              </w:trPr>
              <w:tc>
                <w:tcPr>
                  <w:tcW w:w="1980" w:type="dxa"/>
                  <w:shd w:val="clear" w:color="auto" w:fill="auto"/>
                </w:tcPr>
                <w:p w14:paraId="64AC705C"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465F6159" w14:textId="77777777" w:rsidR="00114F14" w:rsidRPr="008D72F0" w:rsidRDefault="00114F14" w:rsidP="004A104C">
                  <w:pPr>
                    <w:jc w:val="right"/>
                    <w:rPr>
                      <w:sz w:val="20"/>
                      <w:szCs w:val="20"/>
                    </w:rPr>
                  </w:pPr>
                  <w:r>
                    <w:rPr>
                      <w:sz w:val="20"/>
                      <w:szCs w:val="20"/>
                    </w:rPr>
                    <w:t>1.000</w:t>
                  </w:r>
                </w:p>
              </w:tc>
              <w:tc>
                <w:tcPr>
                  <w:tcW w:w="1260" w:type="dxa"/>
                  <w:vAlign w:val="center"/>
                </w:tcPr>
                <w:p w14:paraId="54266AB3" w14:textId="77777777" w:rsidR="00114F14" w:rsidRDefault="00114F14" w:rsidP="004A104C">
                  <w:pPr>
                    <w:jc w:val="right"/>
                    <w:rPr>
                      <w:sz w:val="20"/>
                      <w:szCs w:val="20"/>
                    </w:rPr>
                  </w:pPr>
                  <w:r>
                    <w:rPr>
                      <w:sz w:val="20"/>
                      <w:szCs w:val="20"/>
                    </w:rPr>
                    <w:t>1.000</w:t>
                  </w:r>
                </w:p>
              </w:tc>
            </w:tr>
            <w:tr w:rsidR="00114F14" w:rsidRPr="008D72F0" w14:paraId="07D4B6D5" w14:textId="77777777" w:rsidTr="001544A4">
              <w:trPr>
                <w:trHeight w:val="357"/>
              </w:trPr>
              <w:tc>
                <w:tcPr>
                  <w:tcW w:w="1980" w:type="dxa"/>
                  <w:shd w:val="clear" w:color="auto" w:fill="auto"/>
                </w:tcPr>
                <w:p w14:paraId="5F5A1A07"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1EA566C5" w14:textId="214F7E2D" w:rsidR="00114F14" w:rsidRPr="008D72F0" w:rsidRDefault="00114F14" w:rsidP="004A104C">
                  <w:pPr>
                    <w:jc w:val="right"/>
                    <w:rPr>
                      <w:sz w:val="20"/>
                      <w:szCs w:val="20"/>
                    </w:rPr>
                  </w:pPr>
                  <w:r>
                    <w:rPr>
                      <w:sz w:val="20"/>
                      <w:szCs w:val="20"/>
                    </w:rPr>
                    <w:t>$129,986</w:t>
                  </w:r>
                </w:p>
              </w:tc>
              <w:tc>
                <w:tcPr>
                  <w:tcW w:w="1260" w:type="dxa"/>
                </w:tcPr>
                <w:p w14:paraId="4A646071" w14:textId="673A4CE5" w:rsidR="00114F14" w:rsidRPr="008D72F0" w:rsidRDefault="00114F14" w:rsidP="004A104C">
                  <w:pPr>
                    <w:jc w:val="right"/>
                    <w:rPr>
                      <w:sz w:val="20"/>
                      <w:szCs w:val="20"/>
                    </w:rPr>
                  </w:pPr>
                  <w:r>
                    <w:rPr>
                      <w:sz w:val="20"/>
                      <w:szCs w:val="20"/>
                    </w:rPr>
                    <w:t>$130,898</w:t>
                  </w:r>
                </w:p>
              </w:tc>
            </w:tr>
            <w:tr w:rsidR="00114F14" w:rsidRPr="008D72F0" w14:paraId="54426779" w14:textId="77777777" w:rsidTr="001544A4">
              <w:trPr>
                <w:trHeight w:val="357"/>
              </w:trPr>
              <w:tc>
                <w:tcPr>
                  <w:tcW w:w="1980" w:type="dxa"/>
                  <w:shd w:val="clear" w:color="auto" w:fill="auto"/>
                </w:tcPr>
                <w:p w14:paraId="0676AC73"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11C26B8E" w14:textId="77777777" w:rsidR="00114F14" w:rsidRDefault="00114F14" w:rsidP="004A104C">
                  <w:pPr>
                    <w:jc w:val="right"/>
                    <w:rPr>
                      <w:sz w:val="20"/>
                      <w:szCs w:val="20"/>
                    </w:rPr>
                  </w:pPr>
                  <w:r>
                    <w:rPr>
                      <w:sz w:val="20"/>
                      <w:szCs w:val="20"/>
                    </w:rPr>
                    <w:t>$6,383</w:t>
                  </w:r>
                </w:p>
              </w:tc>
              <w:tc>
                <w:tcPr>
                  <w:tcW w:w="1260" w:type="dxa"/>
                </w:tcPr>
                <w:p w14:paraId="6AA4EDC4" w14:textId="77777777" w:rsidR="00114F14" w:rsidRDefault="00114F14" w:rsidP="004A104C">
                  <w:pPr>
                    <w:jc w:val="right"/>
                    <w:rPr>
                      <w:sz w:val="20"/>
                      <w:szCs w:val="20"/>
                    </w:rPr>
                  </w:pPr>
                  <w:r>
                    <w:rPr>
                      <w:sz w:val="20"/>
                      <w:szCs w:val="20"/>
                    </w:rPr>
                    <w:t>$6,383</w:t>
                  </w:r>
                </w:p>
              </w:tc>
            </w:tr>
            <w:tr w:rsidR="00114F14" w:rsidRPr="008D72F0" w14:paraId="500C5236" w14:textId="77777777" w:rsidTr="001544A4">
              <w:trPr>
                <w:trHeight w:val="303"/>
              </w:trPr>
              <w:tc>
                <w:tcPr>
                  <w:tcW w:w="1980" w:type="dxa"/>
                  <w:shd w:val="clear" w:color="auto" w:fill="auto"/>
                </w:tcPr>
                <w:p w14:paraId="12885CAF"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1458633E" w14:textId="069A4BCD" w:rsidR="00114F14" w:rsidRPr="002C59F4" w:rsidRDefault="00114F14" w:rsidP="004A104C">
                  <w:pPr>
                    <w:jc w:val="right"/>
                    <w:rPr>
                      <w:sz w:val="20"/>
                      <w:szCs w:val="20"/>
                      <w:u w:val="single"/>
                    </w:rPr>
                  </w:pPr>
                  <w:r w:rsidRPr="002C59F4">
                    <w:rPr>
                      <w:sz w:val="20"/>
                      <w:szCs w:val="20"/>
                      <w:u w:val="single"/>
                    </w:rPr>
                    <w:t>$</w:t>
                  </w:r>
                  <w:r>
                    <w:rPr>
                      <w:sz w:val="20"/>
                      <w:szCs w:val="20"/>
                      <w:u w:val="single"/>
                    </w:rPr>
                    <w:t>136,369</w:t>
                  </w:r>
                </w:p>
              </w:tc>
              <w:tc>
                <w:tcPr>
                  <w:tcW w:w="1260" w:type="dxa"/>
                </w:tcPr>
                <w:p w14:paraId="1DE407CF" w14:textId="3A6E17E3" w:rsidR="00114F14" w:rsidRPr="002C59F4" w:rsidRDefault="00114F14" w:rsidP="004A104C">
                  <w:pPr>
                    <w:jc w:val="right"/>
                    <w:rPr>
                      <w:sz w:val="20"/>
                      <w:szCs w:val="20"/>
                      <w:u w:val="single"/>
                    </w:rPr>
                  </w:pPr>
                  <w:r w:rsidRPr="002C59F4">
                    <w:rPr>
                      <w:sz w:val="20"/>
                      <w:szCs w:val="20"/>
                      <w:u w:val="single"/>
                    </w:rPr>
                    <w:t>$</w:t>
                  </w:r>
                  <w:r>
                    <w:rPr>
                      <w:sz w:val="20"/>
                      <w:szCs w:val="20"/>
                      <w:u w:val="single"/>
                    </w:rPr>
                    <w:t>137,281</w:t>
                  </w:r>
                </w:p>
              </w:tc>
            </w:tr>
          </w:tbl>
          <w:p w14:paraId="1A4C183B" w14:textId="744A4CF2" w:rsidR="00114F14" w:rsidRDefault="00114F14" w:rsidP="004A104C">
            <w:pPr>
              <w:pStyle w:val="ListBullet"/>
              <w:numPr>
                <w:ilvl w:val="0"/>
                <w:numId w:val="0"/>
              </w:numPr>
              <w:ind w:left="280"/>
            </w:pPr>
          </w:p>
          <w:p w14:paraId="6176E4FC" w14:textId="293B882A" w:rsidR="00114F14" w:rsidRDefault="00114F14" w:rsidP="004A104C">
            <w:pPr>
              <w:pStyle w:val="ListBullet"/>
              <w:numPr>
                <w:ilvl w:val="0"/>
                <w:numId w:val="0"/>
              </w:numPr>
              <w:ind w:left="280"/>
            </w:pPr>
          </w:p>
          <w:p w14:paraId="6BE38D52" w14:textId="13B1695E" w:rsidR="00114F14" w:rsidRDefault="00114F14" w:rsidP="004A104C">
            <w:pPr>
              <w:pStyle w:val="ListBullet"/>
              <w:numPr>
                <w:ilvl w:val="0"/>
                <w:numId w:val="0"/>
              </w:numPr>
              <w:ind w:left="280"/>
            </w:pPr>
          </w:p>
          <w:p w14:paraId="18240841" w14:textId="395D5591" w:rsidR="00114F14" w:rsidRDefault="00114F14" w:rsidP="004A104C">
            <w:pPr>
              <w:pStyle w:val="ListBullet"/>
              <w:numPr>
                <w:ilvl w:val="0"/>
                <w:numId w:val="0"/>
              </w:numPr>
              <w:ind w:left="280"/>
            </w:pPr>
          </w:p>
          <w:p w14:paraId="4CA87F1B" w14:textId="77210A11" w:rsidR="00114F14" w:rsidRDefault="00114F14" w:rsidP="004A104C">
            <w:pPr>
              <w:pStyle w:val="ListBullet"/>
              <w:numPr>
                <w:ilvl w:val="0"/>
                <w:numId w:val="0"/>
              </w:numPr>
              <w:ind w:left="280"/>
            </w:pPr>
          </w:p>
          <w:p w14:paraId="498C3785" w14:textId="233AC136" w:rsidR="00114F14" w:rsidRDefault="00114F14" w:rsidP="004A104C">
            <w:pPr>
              <w:pStyle w:val="ListBullet"/>
              <w:numPr>
                <w:ilvl w:val="0"/>
                <w:numId w:val="0"/>
              </w:numPr>
              <w:ind w:left="280"/>
            </w:pPr>
          </w:p>
          <w:p w14:paraId="2012EA91" w14:textId="10BD8E20" w:rsidR="00114F14" w:rsidRDefault="00114F14" w:rsidP="004A104C">
            <w:pPr>
              <w:pStyle w:val="ListBullet"/>
              <w:numPr>
                <w:ilvl w:val="0"/>
                <w:numId w:val="0"/>
              </w:numPr>
              <w:ind w:left="280"/>
            </w:pPr>
          </w:p>
          <w:p w14:paraId="264BDA88" w14:textId="7797D2A4" w:rsidR="00114F14" w:rsidRDefault="00114F14" w:rsidP="004A104C">
            <w:pPr>
              <w:pStyle w:val="ListBullet"/>
            </w:pPr>
            <w:r>
              <w:t>Continues one Public Service Executive II position and General Fund appropriations previously established by PL 2019 Chapter 4 and related All Other costs.</w:t>
            </w:r>
          </w:p>
          <w:p w14:paraId="470B6694" w14:textId="77777777" w:rsidR="00114F14" w:rsidRDefault="00114F14" w:rsidP="004A104C">
            <w:pPr>
              <w:pStyle w:val="ListBullet"/>
              <w:numPr>
                <w:ilvl w:val="0"/>
                <w:numId w:val="0"/>
              </w:numPr>
              <w:ind w:left="460"/>
            </w:pPr>
          </w:p>
          <w:tbl>
            <w:tblPr>
              <w:tblpPr w:leftFromText="180" w:rightFromText="180" w:vertAnchor="text" w:horzAnchor="margin" w:tblpXSpec="center" w:tblpY="-79"/>
              <w:tblOverlap w:val="never"/>
              <w:tblW w:w="0" w:type="auto"/>
              <w:tblLook w:val="01E0" w:firstRow="1" w:lastRow="1" w:firstColumn="1" w:lastColumn="1" w:noHBand="0" w:noVBand="0"/>
            </w:tblPr>
            <w:tblGrid>
              <w:gridCol w:w="1980"/>
              <w:gridCol w:w="1260"/>
              <w:gridCol w:w="1260"/>
            </w:tblGrid>
            <w:tr w:rsidR="00114F14" w:rsidRPr="008D72F0" w14:paraId="1B11F85E" w14:textId="77777777" w:rsidTr="001544A4">
              <w:trPr>
                <w:trHeight w:val="357"/>
              </w:trPr>
              <w:tc>
                <w:tcPr>
                  <w:tcW w:w="1980" w:type="dxa"/>
                  <w:shd w:val="clear" w:color="auto" w:fill="auto"/>
                </w:tcPr>
                <w:p w14:paraId="1B6B0712" w14:textId="77777777" w:rsidR="00114F14" w:rsidRPr="008D72F0" w:rsidRDefault="00114F14" w:rsidP="004A104C">
                  <w:pPr>
                    <w:jc w:val="right"/>
                    <w:rPr>
                      <w:sz w:val="20"/>
                      <w:szCs w:val="20"/>
                      <w:u w:val="single"/>
                    </w:rPr>
                  </w:pPr>
                </w:p>
              </w:tc>
              <w:tc>
                <w:tcPr>
                  <w:tcW w:w="1260" w:type="dxa"/>
                  <w:shd w:val="clear" w:color="auto" w:fill="auto"/>
                </w:tcPr>
                <w:p w14:paraId="73FB0611"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0024B3CA"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1F72FF6B" w14:textId="77777777" w:rsidTr="001544A4">
              <w:trPr>
                <w:trHeight w:val="344"/>
              </w:trPr>
              <w:tc>
                <w:tcPr>
                  <w:tcW w:w="1980" w:type="dxa"/>
                  <w:shd w:val="clear" w:color="auto" w:fill="auto"/>
                </w:tcPr>
                <w:p w14:paraId="1B71F988"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7E7E8DED" w14:textId="77777777" w:rsidR="00114F14" w:rsidRPr="008D72F0" w:rsidRDefault="00114F14" w:rsidP="004A104C">
                  <w:pPr>
                    <w:jc w:val="right"/>
                    <w:rPr>
                      <w:sz w:val="20"/>
                      <w:szCs w:val="20"/>
                    </w:rPr>
                  </w:pPr>
                  <w:r>
                    <w:rPr>
                      <w:sz w:val="20"/>
                      <w:szCs w:val="20"/>
                    </w:rPr>
                    <w:t>1.000</w:t>
                  </w:r>
                </w:p>
              </w:tc>
              <w:tc>
                <w:tcPr>
                  <w:tcW w:w="1260" w:type="dxa"/>
                  <w:vAlign w:val="center"/>
                </w:tcPr>
                <w:p w14:paraId="5817ADCA" w14:textId="77777777" w:rsidR="00114F14" w:rsidRDefault="00114F14" w:rsidP="004A104C">
                  <w:pPr>
                    <w:jc w:val="right"/>
                    <w:rPr>
                      <w:sz w:val="20"/>
                      <w:szCs w:val="20"/>
                    </w:rPr>
                  </w:pPr>
                  <w:r>
                    <w:rPr>
                      <w:sz w:val="20"/>
                      <w:szCs w:val="20"/>
                    </w:rPr>
                    <w:t>1.000</w:t>
                  </w:r>
                </w:p>
              </w:tc>
            </w:tr>
            <w:tr w:rsidR="00114F14" w:rsidRPr="008D72F0" w14:paraId="0700A7A9" w14:textId="77777777" w:rsidTr="001544A4">
              <w:trPr>
                <w:trHeight w:val="357"/>
              </w:trPr>
              <w:tc>
                <w:tcPr>
                  <w:tcW w:w="1980" w:type="dxa"/>
                  <w:shd w:val="clear" w:color="auto" w:fill="auto"/>
                </w:tcPr>
                <w:p w14:paraId="19BD67F7"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124A3C22" w14:textId="4D5F4599" w:rsidR="00114F14" w:rsidRPr="008D72F0" w:rsidRDefault="00114F14" w:rsidP="004A104C">
                  <w:pPr>
                    <w:jc w:val="right"/>
                    <w:rPr>
                      <w:sz w:val="20"/>
                      <w:szCs w:val="20"/>
                    </w:rPr>
                  </w:pPr>
                  <w:r>
                    <w:rPr>
                      <w:sz w:val="20"/>
                      <w:szCs w:val="20"/>
                    </w:rPr>
                    <w:t>$128,844</w:t>
                  </w:r>
                </w:p>
              </w:tc>
              <w:tc>
                <w:tcPr>
                  <w:tcW w:w="1260" w:type="dxa"/>
                </w:tcPr>
                <w:p w14:paraId="44F1B02E" w14:textId="7D8464EB" w:rsidR="00114F14" w:rsidRPr="008D72F0" w:rsidRDefault="00114F14" w:rsidP="004A104C">
                  <w:pPr>
                    <w:jc w:val="right"/>
                    <w:rPr>
                      <w:sz w:val="20"/>
                      <w:szCs w:val="20"/>
                    </w:rPr>
                  </w:pPr>
                  <w:r>
                    <w:rPr>
                      <w:sz w:val="20"/>
                      <w:szCs w:val="20"/>
                    </w:rPr>
                    <w:t>$134,991</w:t>
                  </w:r>
                </w:p>
              </w:tc>
            </w:tr>
            <w:tr w:rsidR="00114F14" w:rsidRPr="008D72F0" w14:paraId="0C7024DE" w14:textId="77777777" w:rsidTr="001544A4">
              <w:trPr>
                <w:trHeight w:val="357"/>
              </w:trPr>
              <w:tc>
                <w:tcPr>
                  <w:tcW w:w="1980" w:type="dxa"/>
                  <w:shd w:val="clear" w:color="auto" w:fill="auto"/>
                </w:tcPr>
                <w:p w14:paraId="3F2CB4CB"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3120A4A4" w14:textId="77777777" w:rsidR="00114F14" w:rsidRDefault="00114F14" w:rsidP="004A104C">
                  <w:pPr>
                    <w:jc w:val="right"/>
                    <w:rPr>
                      <w:sz w:val="20"/>
                      <w:szCs w:val="20"/>
                    </w:rPr>
                  </w:pPr>
                  <w:r>
                    <w:rPr>
                      <w:sz w:val="20"/>
                      <w:szCs w:val="20"/>
                    </w:rPr>
                    <w:t>$6,383</w:t>
                  </w:r>
                </w:p>
              </w:tc>
              <w:tc>
                <w:tcPr>
                  <w:tcW w:w="1260" w:type="dxa"/>
                </w:tcPr>
                <w:p w14:paraId="4C58F9B3" w14:textId="77777777" w:rsidR="00114F14" w:rsidRDefault="00114F14" w:rsidP="004A104C">
                  <w:pPr>
                    <w:jc w:val="right"/>
                    <w:rPr>
                      <w:sz w:val="20"/>
                      <w:szCs w:val="20"/>
                    </w:rPr>
                  </w:pPr>
                  <w:r>
                    <w:rPr>
                      <w:sz w:val="20"/>
                      <w:szCs w:val="20"/>
                    </w:rPr>
                    <w:t>$6,383</w:t>
                  </w:r>
                </w:p>
              </w:tc>
            </w:tr>
            <w:tr w:rsidR="00114F14" w:rsidRPr="008D72F0" w14:paraId="6961EDB3" w14:textId="77777777" w:rsidTr="001544A4">
              <w:trPr>
                <w:trHeight w:val="303"/>
              </w:trPr>
              <w:tc>
                <w:tcPr>
                  <w:tcW w:w="1980" w:type="dxa"/>
                  <w:shd w:val="clear" w:color="auto" w:fill="auto"/>
                </w:tcPr>
                <w:p w14:paraId="45430E26"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388295CE" w14:textId="2F6ED516" w:rsidR="00114F14" w:rsidRPr="002C59F4" w:rsidRDefault="00114F14" w:rsidP="004A104C">
                  <w:pPr>
                    <w:jc w:val="right"/>
                    <w:rPr>
                      <w:sz w:val="20"/>
                      <w:szCs w:val="20"/>
                      <w:u w:val="single"/>
                    </w:rPr>
                  </w:pPr>
                  <w:r w:rsidRPr="002C59F4">
                    <w:rPr>
                      <w:sz w:val="20"/>
                      <w:szCs w:val="20"/>
                      <w:u w:val="single"/>
                    </w:rPr>
                    <w:t>$</w:t>
                  </w:r>
                  <w:r>
                    <w:rPr>
                      <w:sz w:val="20"/>
                      <w:szCs w:val="20"/>
                      <w:u w:val="single"/>
                    </w:rPr>
                    <w:t>135,227</w:t>
                  </w:r>
                </w:p>
              </w:tc>
              <w:tc>
                <w:tcPr>
                  <w:tcW w:w="1260" w:type="dxa"/>
                </w:tcPr>
                <w:p w14:paraId="04B9DD0D" w14:textId="48EC9957" w:rsidR="00114F14" w:rsidRPr="002C59F4" w:rsidRDefault="00114F14" w:rsidP="004A104C">
                  <w:pPr>
                    <w:jc w:val="right"/>
                    <w:rPr>
                      <w:sz w:val="20"/>
                      <w:szCs w:val="20"/>
                      <w:u w:val="single"/>
                    </w:rPr>
                  </w:pPr>
                  <w:r w:rsidRPr="002C59F4">
                    <w:rPr>
                      <w:sz w:val="20"/>
                      <w:szCs w:val="20"/>
                      <w:u w:val="single"/>
                    </w:rPr>
                    <w:t>$</w:t>
                  </w:r>
                  <w:r>
                    <w:rPr>
                      <w:sz w:val="20"/>
                      <w:szCs w:val="20"/>
                      <w:u w:val="single"/>
                    </w:rPr>
                    <w:t>141,374</w:t>
                  </w:r>
                </w:p>
              </w:tc>
            </w:tr>
          </w:tbl>
          <w:p w14:paraId="6CE8CBC9" w14:textId="77777777" w:rsidR="00114F14" w:rsidRDefault="00114F14" w:rsidP="004A104C">
            <w:pPr>
              <w:pStyle w:val="ListBullet"/>
              <w:numPr>
                <w:ilvl w:val="0"/>
                <w:numId w:val="0"/>
              </w:numPr>
              <w:ind w:left="280"/>
            </w:pPr>
          </w:p>
          <w:p w14:paraId="39DEBD1B" w14:textId="77777777" w:rsidR="00114F14" w:rsidRDefault="00114F14" w:rsidP="004A104C">
            <w:pPr>
              <w:pStyle w:val="ListBullet"/>
              <w:numPr>
                <w:ilvl w:val="0"/>
                <w:numId w:val="0"/>
              </w:numPr>
              <w:ind w:left="280"/>
            </w:pPr>
          </w:p>
          <w:p w14:paraId="31097B9E" w14:textId="77777777" w:rsidR="00114F14" w:rsidRDefault="00114F14" w:rsidP="004A104C">
            <w:pPr>
              <w:pStyle w:val="ListBullet"/>
              <w:numPr>
                <w:ilvl w:val="0"/>
                <w:numId w:val="0"/>
              </w:numPr>
              <w:ind w:left="280"/>
            </w:pPr>
          </w:p>
          <w:p w14:paraId="53D828D3" w14:textId="77777777" w:rsidR="00114F14" w:rsidRDefault="00114F14" w:rsidP="004A104C">
            <w:pPr>
              <w:pStyle w:val="ListBullet"/>
              <w:numPr>
                <w:ilvl w:val="0"/>
                <w:numId w:val="0"/>
              </w:numPr>
              <w:ind w:left="280"/>
            </w:pPr>
          </w:p>
          <w:p w14:paraId="26A30AFC" w14:textId="77777777" w:rsidR="00114F14" w:rsidRDefault="00114F14" w:rsidP="004A104C">
            <w:pPr>
              <w:pStyle w:val="ListBullet"/>
              <w:numPr>
                <w:ilvl w:val="0"/>
                <w:numId w:val="0"/>
              </w:numPr>
              <w:ind w:left="280"/>
            </w:pPr>
          </w:p>
          <w:p w14:paraId="57E92157" w14:textId="77777777" w:rsidR="00114F14" w:rsidRDefault="00114F14" w:rsidP="004A104C">
            <w:pPr>
              <w:pStyle w:val="ListBullet"/>
              <w:numPr>
                <w:ilvl w:val="0"/>
                <w:numId w:val="0"/>
              </w:numPr>
              <w:ind w:left="280"/>
            </w:pPr>
          </w:p>
          <w:p w14:paraId="25B0DE80" w14:textId="129836DF" w:rsidR="00114F14" w:rsidRDefault="00114F14" w:rsidP="004A104C">
            <w:pPr>
              <w:pStyle w:val="ListBullet"/>
              <w:numPr>
                <w:ilvl w:val="0"/>
                <w:numId w:val="0"/>
              </w:numPr>
              <w:ind w:left="280"/>
            </w:pPr>
          </w:p>
          <w:p w14:paraId="747DD62F" w14:textId="119036BE" w:rsidR="00114F14" w:rsidRDefault="00114F14" w:rsidP="004A104C">
            <w:pPr>
              <w:pStyle w:val="ListBullet"/>
              <w:numPr>
                <w:ilvl w:val="0"/>
                <w:numId w:val="0"/>
              </w:numPr>
              <w:ind w:left="280"/>
            </w:pPr>
          </w:p>
          <w:p w14:paraId="6490E060" w14:textId="77777777" w:rsidR="00CD7961" w:rsidRDefault="00CD7961" w:rsidP="004A104C">
            <w:pPr>
              <w:pStyle w:val="ListBullet"/>
              <w:numPr>
                <w:ilvl w:val="0"/>
                <w:numId w:val="0"/>
              </w:numPr>
              <w:ind w:left="280"/>
            </w:pPr>
          </w:p>
          <w:p w14:paraId="070B0DE6" w14:textId="77777777" w:rsidR="00114F14" w:rsidRDefault="00114F14" w:rsidP="004A104C">
            <w:pPr>
              <w:pStyle w:val="ListBullet"/>
              <w:numPr>
                <w:ilvl w:val="0"/>
                <w:numId w:val="0"/>
              </w:numPr>
              <w:rPr>
                <w:sz w:val="22"/>
                <w:szCs w:val="22"/>
                <w:u w:val="single"/>
              </w:rPr>
            </w:pPr>
            <w:r>
              <w:rPr>
                <w:sz w:val="22"/>
                <w:szCs w:val="22"/>
                <w:u w:val="single"/>
              </w:rPr>
              <w:t>Learning Systems Team</w:t>
            </w:r>
          </w:p>
          <w:p w14:paraId="4E20DEDC" w14:textId="77777777" w:rsidR="00114F14" w:rsidRPr="00EE47D8" w:rsidRDefault="00114F14" w:rsidP="004A104C">
            <w:pPr>
              <w:pStyle w:val="ListBullet"/>
              <w:numPr>
                <w:ilvl w:val="0"/>
                <w:numId w:val="0"/>
              </w:numPr>
              <w:ind w:left="162"/>
              <w:rPr>
                <w:sz w:val="22"/>
                <w:szCs w:val="22"/>
                <w:u w:val="single"/>
              </w:rPr>
            </w:pPr>
          </w:p>
          <w:p w14:paraId="5E128180" w14:textId="00029D03" w:rsidR="00114F14" w:rsidRDefault="00114F14" w:rsidP="004A104C">
            <w:pPr>
              <w:pStyle w:val="ListBullet"/>
            </w:pPr>
            <w:r w:rsidRPr="00F8721F">
              <w:t xml:space="preserve">Provides General Fund, Federal Expenditures Fund, Other Special Revenue Funds and Federal Block Grant Fund appropriations in the budget for the Learning Systems Team </w:t>
            </w:r>
            <w:r>
              <w:t xml:space="preserve">program </w:t>
            </w:r>
            <w:r w:rsidRPr="00F8721F">
              <w:t xml:space="preserve">in FY </w:t>
            </w:r>
            <w:r>
              <w:t>20</w:t>
            </w:r>
            <w:r w:rsidRPr="00F8721F">
              <w:t xml:space="preserve"> and in FY </w:t>
            </w:r>
            <w:r>
              <w:t>21</w:t>
            </w:r>
            <w:r w:rsidRPr="00F8721F">
              <w:t>.</w:t>
            </w:r>
          </w:p>
          <w:p w14:paraId="5302261C" w14:textId="07671F4C" w:rsidR="00114F14" w:rsidRDefault="00114F14" w:rsidP="004A104C">
            <w:pPr>
              <w:pStyle w:val="ListBullet"/>
              <w:numPr>
                <w:ilvl w:val="0"/>
                <w:numId w:val="0"/>
              </w:numPr>
              <w:ind w:left="280"/>
            </w:pPr>
          </w:p>
          <w:tbl>
            <w:tblPr>
              <w:tblpPr w:leftFromText="180" w:rightFromText="180" w:vertAnchor="text" w:horzAnchor="margin" w:tblpXSpec="center" w:tblpY="-68"/>
              <w:tblOverlap w:val="never"/>
              <w:tblW w:w="0" w:type="auto"/>
              <w:tblLook w:val="01E0" w:firstRow="1" w:lastRow="1" w:firstColumn="1" w:lastColumn="1" w:noHBand="0" w:noVBand="0"/>
            </w:tblPr>
            <w:tblGrid>
              <w:gridCol w:w="1980"/>
              <w:gridCol w:w="1260"/>
              <w:gridCol w:w="1260"/>
            </w:tblGrid>
            <w:tr w:rsidR="00114F14" w:rsidRPr="008D72F0" w14:paraId="60AEC51B" w14:textId="77777777" w:rsidTr="001544A4">
              <w:trPr>
                <w:trHeight w:val="357"/>
              </w:trPr>
              <w:tc>
                <w:tcPr>
                  <w:tcW w:w="1980" w:type="dxa"/>
                  <w:shd w:val="clear" w:color="auto" w:fill="auto"/>
                </w:tcPr>
                <w:p w14:paraId="19A48933" w14:textId="77777777" w:rsidR="00114F14" w:rsidRPr="008D72F0" w:rsidRDefault="00114F14" w:rsidP="004A104C">
                  <w:pPr>
                    <w:jc w:val="right"/>
                    <w:rPr>
                      <w:sz w:val="20"/>
                      <w:szCs w:val="20"/>
                      <w:u w:val="single"/>
                    </w:rPr>
                  </w:pPr>
                </w:p>
              </w:tc>
              <w:tc>
                <w:tcPr>
                  <w:tcW w:w="1260" w:type="dxa"/>
                  <w:shd w:val="clear" w:color="auto" w:fill="auto"/>
                </w:tcPr>
                <w:p w14:paraId="583034AE"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4C61D82B"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2B38DE27" w14:textId="77777777" w:rsidTr="001544A4">
              <w:trPr>
                <w:trHeight w:val="357"/>
              </w:trPr>
              <w:tc>
                <w:tcPr>
                  <w:tcW w:w="1980" w:type="dxa"/>
                  <w:shd w:val="clear" w:color="auto" w:fill="auto"/>
                </w:tcPr>
                <w:p w14:paraId="2BCC94B2" w14:textId="77777777" w:rsidR="00114F14" w:rsidRPr="008D72F0" w:rsidRDefault="00114F14" w:rsidP="004A104C">
                  <w:pPr>
                    <w:jc w:val="right"/>
                    <w:rPr>
                      <w:sz w:val="16"/>
                      <w:szCs w:val="16"/>
                    </w:rPr>
                  </w:pPr>
                  <w:r w:rsidRPr="00170F8D">
                    <w:rPr>
                      <w:sz w:val="16"/>
                      <w:szCs w:val="16"/>
                    </w:rPr>
                    <w:t>General Fund</w:t>
                  </w:r>
                  <w:r w:rsidRPr="008D72F0">
                    <w:rPr>
                      <w:sz w:val="16"/>
                      <w:szCs w:val="16"/>
                    </w:rPr>
                    <w:t xml:space="preserve"> - Position Count</w:t>
                  </w:r>
                </w:p>
              </w:tc>
              <w:tc>
                <w:tcPr>
                  <w:tcW w:w="1260" w:type="dxa"/>
                  <w:shd w:val="clear" w:color="auto" w:fill="auto"/>
                  <w:vAlign w:val="center"/>
                </w:tcPr>
                <w:p w14:paraId="62713C1D" w14:textId="77777777" w:rsidR="00114F14" w:rsidRPr="008D72F0" w:rsidRDefault="00114F14" w:rsidP="004A104C">
                  <w:pPr>
                    <w:jc w:val="right"/>
                    <w:rPr>
                      <w:sz w:val="20"/>
                      <w:szCs w:val="20"/>
                    </w:rPr>
                  </w:pPr>
                  <w:r>
                    <w:rPr>
                      <w:sz w:val="20"/>
                      <w:szCs w:val="20"/>
                    </w:rPr>
                    <w:t>17.000</w:t>
                  </w:r>
                </w:p>
              </w:tc>
              <w:tc>
                <w:tcPr>
                  <w:tcW w:w="1260" w:type="dxa"/>
                  <w:vAlign w:val="center"/>
                </w:tcPr>
                <w:p w14:paraId="2D1C215E" w14:textId="77777777" w:rsidR="00114F14" w:rsidRDefault="00114F14" w:rsidP="004A104C">
                  <w:pPr>
                    <w:jc w:val="right"/>
                    <w:rPr>
                      <w:sz w:val="20"/>
                      <w:szCs w:val="20"/>
                    </w:rPr>
                  </w:pPr>
                  <w:r>
                    <w:rPr>
                      <w:sz w:val="20"/>
                      <w:szCs w:val="20"/>
                    </w:rPr>
                    <w:t>17.000</w:t>
                  </w:r>
                </w:p>
              </w:tc>
            </w:tr>
            <w:tr w:rsidR="00114F14" w:rsidRPr="008D72F0" w14:paraId="06E10131" w14:textId="77777777" w:rsidTr="001544A4">
              <w:trPr>
                <w:trHeight w:val="357"/>
              </w:trPr>
              <w:tc>
                <w:tcPr>
                  <w:tcW w:w="1980" w:type="dxa"/>
                  <w:shd w:val="clear" w:color="auto" w:fill="auto"/>
                </w:tcPr>
                <w:p w14:paraId="3FAF5130"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43CA822B" w14:textId="77777777" w:rsidR="00114F14" w:rsidRPr="008D72F0" w:rsidRDefault="00114F14" w:rsidP="004A104C">
                  <w:pPr>
                    <w:jc w:val="right"/>
                    <w:rPr>
                      <w:sz w:val="20"/>
                      <w:szCs w:val="20"/>
                    </w:rPr>
                  </w:pPr>
                  <w:r>
                    <w:rPr>
                      <w:sz w:val="20"/>
                      <w:szCs w:val="20"/>
                    </w:rPr>
                    <w:t>$2,105,573</w:t>
                  </w:r>
                </w:p>
              </w:tc>
              <w:tc>
                <w:tcPr>
                  <w:tcW w:w="1260" w:type="dxa"/>
                </w:tcPr>
                <w:p w14:paraId="4AF07C65" w14:textId="77777777" w:rsidR="00114F14" w:rsidRPr="008D72F0" w:rsidRDefault="00114F14" w:rsidP="004A104C">
                  <w:pPr>
                    <w:jc w:val="right"/>
                    <w:rPr>
                      <w:sz w:val="20"/>
                      <w:szCs w:val="20"/>
                    </w:rPr>
                  </w:pPr>
                  <w:r>
                    <w:rPr>
                      <w:sz w:val="20"/>
                      <w:szCs w:val="20"/>
                    </w:rPr>
                    <w:t>$2,127,454</w:t>
                  </w:r>
                </w:p>
              </w:tc>
            </w:tr>
            <w:tr w:rsidR="00114F14" w:rsidRPr="008D72F0" w14:paraId="53E89711" w14:textId="77777777" w:rsidTr="001544A4">
              <w:trPr>
                <w:trHeight w:val="315"/>
              </w:trPr>
              <w:tc>
                <w:tcPr>
                  <w:tcW w:w="1980" w:type="dxa"/>
                  <w:shd w:val="clear" w:color="auto" w:fill="auto"/>
                </w:tcPr>
                <w:p w14:paraId="00F767C2"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2E541E5F" w14:textId="77777777" w:rsidR="00114F14" w:rsidRPr="00FE76F6" w:rsidRDefault="00114F14" w:rsidP="004A104C">
                  <w:pPr>
                    <w:jc w:val="right"/>
                    <w:rPr>
                      <w:sz w:val="20"/>
                      <w:szCs w:val="20"/>
                      <w:u w:val="single"/>
                    </w:rPr>
                  </w:pPr>
                  <w:r>
                    <w:rPr>
                      <w:sz w:val="20"/>
                      <w:szCs w:val="20"/>
                      <w:u w:val="single"/>
                    </w:rPr>
                    <w:t>$2,950,280</w:t>
                  </w:r>
                </w:p>
              </w:tc>
              <w:tc>
                <w:tcPr>
                  <w:tcW w:w="1260" w:type="dxa"/>
                </w:tcPr>
                <w:p w14:paraId="6C1DF262" w14:textId="77777777" w:rsidR="00114F14" w:rsidRPr="00FE76F6" w:rsidRDefault="00114F14" w:rsidP="004A104C">
                  <w:pPr>
                    <w:jc w:val="right"/>
                    <w:rPr>
                      <w:sz w:val="20"/>
                      <w:szCs w:val="20"/>
                      <w:u w:val="single"/>
                    </w:rPr>
                  </w:pPr>
                  <w:r>
                    <w:rPr>
                      <w:sz w:val="20"/>
                      <w:szCs w:val="20"/>
                      <w:u w:val="single"/>
                    </w:rPr>
                    <w:t>$2,950,280</w:t>
                  </w:r>
                </w:p>
              </w:tc>
            </w:tr>
            <w:tr w:rsidR="00114F14" w:rsidRPr="008D72F0" w14:paraId="7ADF8549" w14:textId="77777777" w:rsidTr="001544A4">
              <w:trPr>
                <w:trHeight w:val="303"/>
              </w:trPr>
              <w:tc>
                <w:tcPr>
                  <w:tcW w:w="1980" w:type="dxa"/>
                  <w:shd w:val="clear" w:color="auto" w:fill="auto"/>
                </w:tcPr>
                <w:p w14:paraId="1CF85A58" w14:textId="77777777" w:rsidR="00114F14" w:rsidRPr="008D72F0" w:rsidRDefault="00114F14" w:rsidP="004A104C">
                  <w:pPr>
                    <w:rPr>
                      <w:sz w:val="16"/>
                      <w:szCs w:val="16"/>
                      <w:u w:val="single"/>
                    </w:rPr>
                  </w:pPr>
                  <w:r>
                    <w:rPr>
                      <w:sz w:val="16"/>
                      <w:szCs w:val="16"/>
                      <w:u w:val="single"/>
                    </w:rPr>
                    <w:t>General Fund Total</w:t>
                  </w:r>
                </w:p>
              </w:tc>
              <w:tc>
                <w:tcPr>
                  <w:tcW w:w="1260" w:type="dxa"/>
                  <w:shd w:val="clear" w:color="auto" w:fill="auto"/>
                </w:tcPr>
                <w:p w14:paraId="7EAE9C69" w14:textId="77777777" w:rsidR="00114F14" w:rsidRPr="008D72F0" w:rsidRDefault="00114F14" w:rsidP="004A104C">
                  <w:pPr>
                    <w:jc w:val="right"/>
                    <w:rPr>
                      <w:sz w:val="20"/>
                      <w:szCs w:val="20"/>
                    </w:rPr>
                  </w:pPr>
                  <w:r>
                    <w:rPr>
                      <w:sz w:val="20"/>
                      <w:szCs w:val="20"/>
                    </w:rPr>
                    <w:t>$5,055,853</w:t>
                  </w:r>
                </w:p>
              </w:tc>
              <w:tc>
                <w:tcPr>
                  <w:tcW w:w="1260" w:type="dxa"/>
                </w:tcPr>
                <w:p w14:paraId="0BB35C10" w14:textId="77777777" w:rsidR="00114F14" w:rsidRPr="008D72F0" w:rsidRDefault="00114F14" w:rsidP="004A104C">
                  <w:pPr>
                    <w:jc w:val="right"/>
                    <w:rPr>
                      <w:sz w:val="20"/>
                      <w:szCs w:val="20"/>
                    </w:rPr>
                  </w:pPr>
                  <w:r>
                    <w:rPr>
                      <w:sz w:val="20"/>
                      <w:szCs w:val="20"/>
                    </w:rPr>
                    <w:t>$5,077,734</w:t>
                  </w:r>
                </w:p>
              </w:tc>
            </w:tr>
            <w:tr w:rsidR="00114F14" w:rsidRPr="008D72F0" w14:paraId="7A4099C3" w14:textId="77777777" w:rsidTr="001544A4">
              <w:trPr>
                <w:trHeight w:val="315"/>
              </w:trPr>
              <w:tc>
                <w:tcPr>
                  <w:tcW w:w="1980" w:type="dxa"/>
                  <w:shd w:val="clear" w:color="auto" w:fill="auto"/>
                </w:tcPr>
                <w:p w14:paraId="6C09398D" w14:textId="77777777" w:rsidR="00114F14" w:rsidRDefault="00114F14" w:rsidP="004A104C">
                  <w:pPr>
                    <w:jc w:val="right"/>
                    <w:rPr>
                      <w:sz w:val="16"/>
                      <w:szCs w:val="16"/>
                    </w:rPr>
                  </w:pPr>
                  <w:r>
                    <w:rPr>
                      <w:sz w:val="16"/>
                      <w:szCs w:val="16"/>
                    </w:rPr>
                    <w:t>Federal Expenditures Fund – Position Count</w:t>
                  </w:r>
                </w:p>
              </w:tc>
              <w:tc>
                <w:tcPr>
                  <w:tcW w:w="1260" w:type="dxa"/>
                  <w:shd w:val="clear" w:color="auto" w:fill="auto"/>
                  <w:vAlign w:val="center"/>
                </w:tcPr>
                <w:p w14:paraId="38F1D620" w14:textId="77777777" w:rsidR="00114F14" w:rsidRDefault="00114F14" w:rsidP="004A104C">
                  <w:pPr>
                    <w:jc w:val="right"/>
                    <w:rPr>
                      <w:sz w:val="20"/>
                      <w:szCs w:val="20"/>
                    </w:rPr>
                  </w:pPr>
                  <w:r>
                    <w:rPr>
                      <w:sz w:val="20"/>
                      <w:szCs w:val="20"/>
                    </w:rPr>
                    <w:t>23.000</w:t>
                  </w:r>
                </w:p>
              </w:tc>
              <w:tc>
                <w:tcPr>
                  <w:tcW w:w="1260" w:type="dxa"/>
                  <w:vAlign w:val="center"/>
                </w:tcPr>
                <w:p w14:paraId="30B065DD" w14:textId="77777777" w:rsidR="00114F14" w:rsidRDefault="00114F14" w:rsidP="004A104C">
                  <w:pPr>
                    <w:jc w:val="right"/>
                    <w:rPr>
                      <w:sz w:val="20"/>
                      <w:szCs w:val="20"/>
                    </w:rPr>
                  </w:pPr>
                  <w:r>
                    <w:rPr>
                      <w:sz w:val="20"/>
                      <w:szCs w:val="20"/>
                    </w:rPr>
                    <w:t>23.000</w:t>
                  </w:r>
                </w:p>
              </w:tc>
            </w:tr>
            <w:tr w:rsidR="00114F14" w:rsidRPr="008D72F0" w14:paraId="46A43512" w14:textId="77777777" w:rsidTr="001544A4">
              <w:trPr>
                <w:trHeight w:val="315"/>
              </w:trPr>
              <w:tc>
                <w:tcPr>
                  <w:tcW w:w="1980" w:type="dxa"/>
                  <w:shd w:val="clear" w:color="auto" w:fill="auto"/>
                </w:tcPr>
                <w:p w14:paraId="1B57BCD0" w14:textId="77777777" w:rsidR="00114F14" w:rsidRPr="008B530B" w:rsidRDefault="00114F14" w:rsidP="004A104C">
                  <w:pPr>
                    <w:jc w:val="right"/>
                    <w:rPr>
                      <w:sz w:val="16"/>
                      <w:szCs w:val="16"/>
                    </w:rPr>
                  </w:pPr>
                  <w:r>
                    <w:rPr>
                      <w:sz w:val="16"/>
                      <w:szCs w:val="16"/>
                    </w:rPr>
                    <w:t>Personal Services</w:t>
                  </w:r>
                </w:p>
              </w:tc>
              <w:tc>
                <w:tcPr>
                  <w:tcW w:w="1260" w:type="dxa"/>
                  <w:shd w:val="clear" w:color="auto" w:fill="auto"/>
                </w:tcPr>
                <w:p w14:paraId="0FF32B7E" w14:textId="77777777" w:rsidR="00114F14" w:rsidRPr="008D72F0" w:rsidRDefault="00114F14" w:rsidP="004A104C">
                  <w:pPr>
                    <w:jc w:val="right"/>
                    <w:rPr>
                      <w:sz w:val="20"/>
                      <w:szCs w:val="20"/>
                    </w:rPr>
                  </w:pPr>
                  <w:r>
                    <w:rPr>
                      <w:sz w:val="20"/>
                      <w:szCs w:val="20"/>
                    </w:rPr>
                    <w:t>$2,234,692</w:t>
                  </w:r>
                </w:p>
              </w:tc>
              <w:tc>
                <w:tcPr>
                  <w:tcW w:w="1260" w:type="dxa"/>
                </w:tcPr>
                <w:p w14:paraId="7ED82F86" w14:textId="77777777" w:rsidR="00114F14" w:rsidRPr="008D72F0" w:rsidRDefault="00114F14" w:rsidP="004A104C">
                  <w:pPr>
                    <w:jc w:val="right"/>
                    <w:rPr>
                      <w:sz w:val="20"/>
                      <w:szCs w:val="20"/>
                    </w:rPr>
                  </w:pPr>
                  <w:r>
                    <w:rPr>
                      <w:sz w:val="20"/>
                      <w:szCs w:val="20"/>
                    </w:rPr>
                    <w:t>$2,262,085</w:t>
                  </w:r>
                </w:p>
              </w:tc>
            </w:tr>
            <w:tr w:rsidR="00114F14" w:rsidRPr="008D72F0" w14:paraId="07852D6E" w14:textId="77777777" w:rsidTr="001544A4">
              <w:trPr>
                <w:trHeight w:val="315"/>
              </w:trPr>
              <w:tc>
                <w:tcPr>
                  <w:tcW w:w="1980" w:type="dxa"/>
                  <w:shd w:val="clear" w:color="auto" w:fill="auto"/>
                </w:tcPr>
                <w:p w14:paraId="2494C417" w14:textId="77777777" w:rsidR="00114F14" w:rsidRPr="008B530B" w:rsidRDefault="00114F14" w:rsidP="004A104C">
                  <w:pPr>
                    <w:jc w:val="right"/>
                    <w:rPr>
                      <w:sz w:val="16"/>
                      <w:szCs w:val="16"/>
                    </w:rPr>
                  </w:pPr>
                  <w:r>
                    <w:rPr>
                      <w:sz w:val="16"/>
                      <w:szCs w:val="16"/>
                    </w:rPr>
                    <w:t>All Other</w:t>
                  </w:r>
                </w:p>
              </w:tc>
              <w:tc>
                <w:tcPr>
                  <w:tcW w:w="1260" w:type="dxa"/>
                  <w:shd w:val="clear" w:color="auto" w:fill="auto"/>
                </w:tcPr>
                <w:p w14:paraId="7A3363F1" w14:textId="77777777" w:rsidR="00114F14" w:rsidRPr="00FE76F6" w:rsidRDefault="00114F14" w:rsidP="004A104C">
                  <w:pPr>
                    <w:jc w:val="right"/>
                    <w:rPr>
                      <w:sz w:val="20"/>
                      <w:szCs w:val="20"/>
                      <w:u w:val="single"/>
                    </w:rPr>
                  </w:pPr>
                  <w:r>
                    <w:rPr>
                      <w:sz w:val="20"/>
                      <w:szCs w:val="20"/>
                      <w:u w:val="single"/>
                    </w:rPr>
                    <w:t>$96,117,898</w:t>
                  </w:r>
                </w:p>
              </w:tc>
              <w:tc>
                <w:tcPr>
                  <w:tcW w:w="1260" w:type="dxa"/>
                </w:tcPr>
                <w:p w14:paraId="208E2098" w14:textId="77777777" w:rsidR="00114F14" w:rsidRPr="00FE76F6" w:rsidRDefault="00114F14" w:rsidP="004A104C">
                  <w:pPr>
                    <w:jc w:val="right"/>
                    <w:rPr>
                      <w:sz w:val="20"/>
                      <w:szCs w:val="20"/>
                      <w:u w:val="single"/>
                    </w:rPr>
                  </w:pPr>
                  <w:r>
                    <w:rPr>
                      <w:sz w:val="20"/>
                      <w:szCs w:val="20"/>
                      <w:u w:val="single"/>
                    </w:rPr>
                    <w:t>$96,117,898</w:t>
                  </w:r>
                </w:p>
              </w:tc>
            </w:tr>
            <w:tr w:rsidR="00114F14" w:rsidRPr="008D72F0" w14:paraId="2A0F0A45" w14:textId="77777777" w:rsidTr="001544A4">
              <w:trPr>
                <w:trHeight w:val="315"/>
              </w:trPr>
              <w:tc>
                <w:tcPr>
                  <w:tcW w:w="1980" w:type="dxa"/>
                  <w:shd w:val="clear" w:color="auto" w:fill="auto"/>
                </w:tcPr>
                <w:p w14:paraId="1B2C9002" w14:textId="77777777" w:rsidR="00114F14" w:rsidRPr="008B530B" w:rsidRDefault="00114F14" w:rsidP="004A104C">
                  <w:pPr>
                    <w:rPr>
                      <w:sz w:val="16"/>
                      <w:szCs w:val="16"/>
                      <w:u w:val="single"/>
                    </w:rPr>
                  </w:pPr>
                  <w:r>
                    <w:rPr>
                      <w:sz w:val="16"/>
                      <w:szCs w:val="16"/>
                      <w:u w:val="single"/>
                    </w:rPr>
                    <w:t>Federal Expenditures Fund Total</w:t>
                  </w:r>
                </w:p>
              </w:tc>
              <w:tc>
                <w:tcPr>
                  <w:tcW w:w="1260" w:type="dxa"/>
                  <w:shd w:val="clear" w:color="auto" w:fill="auto"/>
                </w:tcPr>
                <w:p w14:paraId="179D554D" w14:textId="77777777" w:rsidR="00114F14" w:rsidRPr="008D72F0" w:rsidRDefault="00114F14" w:rsidP="004A104C">
                  <w:pPr>
                    <w:jc w:val="right"/>
                    <w:rPr>
                      <w:sz w:val="20"/>
                      <w:szCs w:val="20"/>
                    </w:rPr>
                  </w:pPr>
                  <w:r>
                    <w:rPr>
                      <w:sz w:val="20"/>
                      <w:szCs w:val="20"/>
                    </w:rPr>
                    <w:t>$98,352,590</w:t>
                  </w:r>
                </w:p>
              </w:tc>
              <w:tc>
                <w:tcPr>
                  <w:tcW w:w="1260" w:type="dxa"/>
                </w:tcPr>
                <w:p w14:paraId="09DE23C6" w14:textId="77777777" w:rsidR="00114F14" w:rsidRPr="008D72F0" w:rsidRDefault="00114F14" w:rsidP="004A104C">
                  <w:pPr>
                    <w:jc w:val="right"/>
                    <w:rPr>
                      <w:sz w:val="20"/>
                      <w:szCs w:val="20"/>
                    </w:rPr>
                  </w:pPr>
                  <w:r>
                    <w:rPr>
                      <w:sz w:val="20"/>
                      <w:szCs w:val="20"/>
                    </w:rPr>
                    <w:t>$98,379,983</w:t>
                  </w:r>
                </w:p>
              </w:tc>
            </w:tr>
            <w:tr w:rsidR="00114F14" w:rsidRPr="008D72F0" w14:paraId="17E127FB" w14:textId="77777777" w:rsidTr="001544A4">
              <w:trPr>
                <w:trHeight w:val="315"/>
              </w:trPr>
              <w:tc>
                <w:tcPr>
                  <w:tcW w:w="1980" w:type="dxa"/>
                  <w:shd w:val="clear" w:color="auto" w:fill="auto"/>
                </w:tcPr>
                <w:p w14:paraId="1E09BA68" w14:textId="77777777" w:rsidR="00114F14" w:rsidRPr="00170F8D" w:rsidRDefault="00114F14" w:rsidP="004A104C">
                  <w:pPr>
                    <w:jc w:val="right"/>
                    <w:rPr>
                      <w:sz w:val="16"/>
                      <w:szCs w:val="16"/>
                    </w:rPr>
                  </w:pPr>
                  <w:r w:rsidRPr="00170F8D">
                    <w:rPr>
                      <w:sz w:val="16"/>
                      <w:szCs w:val="16"/>
                    </w:rPr>
                    <w:t>Other Special Revenue Funds</w:t>
                  </w:r>
                  <w:r>
                    <w:rPr>
                      <w:sz w:val="16"/>
                      <w:szCs w:val="16"/>
                    </w:rPr>
                    <w:t>- Position Count</w:t>
                  </w:r>
                </w:p>
              </w:tc>
              <w:tc>
                <w:tcPr>
                  <w:tcW w:w="1260" w:type="dxa"/>
                  <w:shd w:val="clear" w:color="auto" w:fill="auto"/>
                  <w:vAlign w:val="center"/>
                </w:tcPr>
                <w:p w14:paraId="7640EA3D" w14:textId="77777777" w:rsidR="00114F14" w:rsidRDefault="00114F14" w:rsidP="004A104C">
                  <w:pPr>
                    <w:jc w:val="right"/>
                    <w:rPr>
                      <w:sz w:val="20"/>
                      <w:szCs w:val="20"/>
                    </w:rPr>
                  </w:pPr>
                  <w:r>
                    <w:rPr>
                      <w:sz w:val="20"/>
                      <w:szCs w:val="20"/>
                    </w:rPr>
                    <w:t>2.000</w:t>
                  </w:r>
                </w:p>
              </w:tc>
              <w:tc>
                <w:tcPr>
                  <w:tcW w:w="1260" w:type="dxa"/>
                  <w:vAlign w:val="center"/>
                </w:tcPr>
                <w:p w14:paraId="33672AC9" w14:textId="77777777" w:rsidR="00114F14" w:rsidRDefault="00114F14" w:rsidP="004A104C">
                  <w:pPr>
                    <w:jc w:val="right"/>
                    <w:rPr>
                      <w:sz w:val="20"/>
                      <w:szCs w:val="20"/>
                    </w:rPr>
                  </w:pPr>
                  <w:r>
                    <w:rPr>
                      <w:sz w:val="20"/>
                      <w:szCs w:val="20"/>
                    </w:rPr>
                    <w:t>2.000</w:t>
                  </w:r>
                </w:p>
              </w:tc>
            </w:tr>
            <w:tr w:rsidR="00114F14" w:rsidRPr="008D72F0" w14:paraId="210FDF53" w14:textId="77777777" w:rsidTr="001544A4">
              <w:trPr>
                <w:trHeight w:val="352"/>
              </w:trPr>
              <w:tc>
                <w:tcPr>
                  <w:tcW w:w="1980" w:type="dxa"/>
                  <w:shd w:val="clear" w:color="auto" w:fill="auto"/>
                </w:tcPr>
                <w:p w14:paraId="33C77C2F" w14:textId="77777777" w:rsidR="00114F14" w:rsidRPr="00F016F9" w:rsidRDefault="00114F14" w:rsidP="004A104C">
                  <w:pPr>
                    <w:jc w:val="right"/>
                    <w:rPr>
                      <w:sz w:val="16"/>
                      <w:szCs w:val="16"/>
                    </w:rPr>
                  </w:pPr>
                  <w:r>
                    <w:rPr>
                      <w:sz w:val="16"/>
                      <w:szCs w:val="16"/>
                    </w:rPr>
                    <w:t>Personal Services</w:t>
                  </w:r>
                </w:p>
              </w:tc>
              <w:tc>
                <w:tcPr>
                  <w:tcW w:w="1260" w:type="dxa"/>
                  <w:shd w:val="clear" w:color="auto" w:fill="auto"/>
                </w:tcPr>
                <w:p w14:paraId="06F3F32A" w14:textId="77777777" w:rsidR="00114F14" w:rsidRDefault="00114F14" w:rsidP="004A104C">
                  <w:pPr>
                    <w:jc w:val="right"/>
                    <w:rPr>
                      <w:sz w:val="20"/>
                      <w:szCs w:val="20"/>
                    </w:rPr>
                  </w:pPr>
                  <w:r>
                    <w:rPr>
                      <w:sz w:val="20"/>
                      <w:szCs w:val="20"/>
                    </w:rPr>
                    <w:t>$65,918</w:t>
                  </w:r>
                </w:p>
              </w:tc>
              <w:tc>
                <w:tcPr>
                  <w:tcW w:w="1260" w:type="dxa"/>
                </w:tcPr>
                <w:p w14:paraId="57C44ECC" w14:textId="77777777" w:rsidR="00114F14" w:rsidRDefault="00114F14" w:rsidP="004A104C">
                  <w:pPr>
                    <w:jc w:val="right"/>
                    <w:rPr>
                      <w:sz w:val="20"/>
                      <w:szCs w:val="20"/>
                    </w:rPr>
                  </w:pPr>
                  <w:r>
                    <w:rPr>
                      <w:sz w:val="20"/>
                      <w:szCs w:val="20"/>
                    </w:rPr>
                    <w:t>$66,919</w:t>
                  </w:r>
                </w:p>
              </w:tc>
            </w:tr>
            <w:tr w:rsidR="00114F14" w:rsidRPr="008D72F0" w14:paraId="1B67139B" w14:textId="77777777" w:rsidTr="001544A4">
              <w:trPr>
                <w:trHeight w:val="352"/>
              </w:trPr>
              <w:tc>
                <w:tcPr>
                  <w:tcW w:w="1980" w:type="dxa"/>
                  <w:shd w:val="clear" w:color="auto" w:fill="auto"/>
                </w:tcPr>
                <w:p w14:paraId="78F72640" w14:textId="77777777" w:rsidR="00114F14" w:rsidRDefault="00114F14" w:rsidP="004A104C">
                  <w:pPr>
                    <w:jc w:val="right"/>
                    <w:rPr>
                      <w:sz w:val="16"/>
                      <w:szCs w:val="16"/>
                    </w:rPr>
                  </w:pPr>
                  <w:r>
                    <w:rPr>
                      <w:sz w:val="16"/>
                      <w:szCs w:val="16"/>
                    </w:rPr>
                    <w:t>All Other</w:t>
                  </w:r>
                </w:p>
              </w:tc>
              <w:tc>
                <w:tcPr>
                  <w:tcW w:w="1260" w:type="dxa"/>
                  <w:shd w:val="clear" w:color="auto" w:fill="auto"/>
                </w:tcPr>
                <w:p w14:paraId="3C8360CF" w14:textId="77777777" w:rsidR="00114F14" w:rsidRPr="00F5055D" w:rsidRDefault="00114F14" w:rsidP="004A104C">
                  <w:pPr>
                    <w:jc w:val="right"/>
                    <w:rPr>
                      <w:sz w:val="20"/>
                      <w:szCs w:val="20"/>
                      <w:u w:val="single"/>
                    </w:rPr>
                  </w:pPr>
                  <w:r w:rsidRPr="00F5055D">
                    <w:rPr>
                      <w:sz w:val="20"/>
                      <w:szCs w:val="20"/>
                      <w:u w:val="single"/>
                    </w:rPr>
                    <w:t>$</w:t>
                  </w:r>
                  <w:r>
                    <w:rPr>
                      <w:sz w:val="20"/>
                      <w:szCs w:val="20"/>
                      <w:u w:val="single"/>
                    </w:rPr>
                    <w:t>71,897</w:t>
                  </w:r>
                </w:p>
              </w:tc>
              <w:tc>
                <w:tcPr>
                  <w:tcW w:w="1260" w:type="dxa"/>
                </w:tcPr>
                <w:p w14:paraId="1725ACE9" w14:textId="77777777" w:rsidR="00114F14" w:rsidRPr="00F5055D" w:rsidRDefault="00114F14" w:rsidP="004A104C">
                  <w:pPr>
                    <w:jc w:val="right"/>
                    <w:rPr>
                      <w:sz w:val="20"/>
                      <w:szCs w:val="20"/>
                      <w:u w:val="single"/>
                    </w:rPr>
                  </w:pPr>
                  <w:r w:rsidRPr="00F5055D">
                    <w:rPr>
                      <w:sz w:val="20"/>
                      <w:szCs w:val="20"/>
                      <w:u w:val="single"/>
                    </w:rPr>
                    <w:t>$</w:t>
                  </w:r>
                  <w:r>
                    <w:rPr>
                      <w:sz w:val="20"/>
                      <w:szCs w:val="20"/>
                      <w:u w:val="single"/>
                    </w:rPr>
                    <w:t>71,897</w:t>
                  </w:r>
                </w:p>
              </w:tc>
            </w:tr>
            <w:tr w:rsidR="00114F14" w:rsidRPr="008D72F0" w14:paraId="75B9E9E7" w14:textId="77777777" w:rsidTr="001544A4">
              <w:trPr>
                <w:trHeight w:val="352"/>
              </w:trPr>
              <w:tc>
                <w:tcPr>
                  <w:tcW w:w="1980" w:type="dxa"/>
                  <w:shd w:val="clear" w:color="auto" w:fill="auto"/>
                </w:tcPr>
                <w:p w14:paraId="5C67D42F" w14:textId="77777777" w:rsidR="00114F14" w:rsidRPr="00F5055D" w:rsidRDefault="00114F14" w:rsidP="004A104C">
                  <w:pPr>
                    <w:jc w:val="right"/>
                    <w:rPr>
                      <w:sz w:val="16"/>
                      <w:szCs w:val="16"/>
                      <w:u w:val="single"/>
                    </w:rPr>
                  </w:pPr>
                  <w:r w:rsidRPr="00F5055D">
                    <w:rPr>
                      <w:sz w:val="16"/>
                      <w:szCs w:val="16"/>
                      <w:u w:val="single"/>
                    </w:rPr>
                    <w:t>Other Special Revenue Funds Total</w:t>
                  </w:r>
                </w:p>
              </w:tc>
              <w:tc>
                <w:tcPr>
                  <w:tcW w:w="1260" w:type="dxa"/>
                  <w:shd w:val="clear" w:color="auto" w:fill="auto"/>
                </w:tcPr>
                <w:p w14:paraId="1643F5BB" w14:textId="77777777" w:rsidR="00114F14" w:rsidRDefault="00114F14" w:rsidP="004A104C">
                  <w:pPr>
                    <w:jc w:val="right"/>
                    <w:rPr>
                      <w:sz w:val="20"/>
                      <w:szCs w:val="20"/>
                    </w:rPr>
                  </w:pPr>
                  <w:r>
                    <w:rPr>
                      <w:sz w:val="20"/>
                      <w:szCs w:val="20"/>
                    </w:rPr>
                    <w:t>$137,815</w:t>
                  </w:r>
                </w:p>
              </w:tc>
              <w:tc>
                <w:tcPr>
                  <w:tcW w:w="1260" w:type="dxa"/>
                </w:tcPr>
                <w:p w14:paraId="4836B491" w14:textId="77777777" w:rsidR="00114F14" w:rsidRDefault="00114F14" w:rsidP="004A104C">
                  <w:pPr>
                    <w:jc w:val="right"/>
                    <w:rPr>
                      <w:sz w:val="20"/>
                      <w:szCs w:val="20"/>
                    </w:rPr>
                  </w:pPr>
                  <w:r>
                    <w:rPr>
                      <w:sz w:val="20"/>
                      <w:szCs w:val="20"/>
                    </w:rPr>
                    <w:t>$138,816</w:t>
                  </w:r>
                </w:p>
              </w:tc>
            </w:tr>
            <w:tr w:rsidR="00114F14" w:rsidRPr="008D72F0" w14:paraId="246A8B46" w14:textId="77777777" w:rsidTr="001544A4">
              <w:trPr>
                <w:trHeight w:val="352"/>
              </w:trPr>
              <w:tc>
                <w:tcPr>
                  <w:tcW w:w="1980" w:type="dxa"/>
                  <w:shd w:val="clear" w:color="auto" w:fill="auto"/>
                  <w:vAlign w:val="center"/>
                </w:tcPr>
                <w:p w14:paraId="784F2AD7" w14:textId="77777777" w:rsidR="00114F14" w:rsidRPr="00093B79" w:rsidRDefault="00114F14" w:rsidP="004A104C">
                  <w:pPr>
                    <w:jc w:val="right"/>
                    <w:rPr>
                      <w:sz w:val="16"/>
                      <w:szCs w:val="16"/>
                    </w:rPr>
                  </w:pPr>
                  <w:r>
                    <w:rPr>
                      <w:sz w:val="16"/>
                      <w:szCs w:val="16"/>
                    </w:rPr>
                    <w:t>Federal Block Grant Fund – Position Count</w:t>
                  </w:r>
                </w:p>
              </w:tc>
              <w:tc>
                <w:tcPr>
                  <w:tcW w:w="1260" w:type="dxa"/>
                  <w:shd w:val="clear" w:color="auto" w:fill="auto"/>
                  <w:vAlign w:val="center"/>
                </w:tcPr>
                <w:p w14:paraId="102B77EA" w14:textId="77777777" w:rsidR="00114F14" w:rsidRDefault="00114F14" w:rsidP="004A104C">
                  <w:pPr>
                    <w:jc w:val="right"/>
                    <w:rPr>
                      <w:sz w:val="20"/>
                      <w:szCs w:val="20"/>
                    </w:rPr>
                  </w:pPr>
                  <w:r>
                    <w:rPr>
                      <w:sz w:val="20"/>
                      <w:szCs w:val="20"/>
                    </w:rPr>
                    <w:t>2.000</w:t>
                  </w:r>
                </w:p>
              </w:tc>
              <w:tc>
                <w:tcPr>
                  <w:tcW w:w="1260" w:type="dxa"/>
                  <w:vAlign w:val="center"/>
                </w:tcPr>
                <w:p w14:paraId="6EA3FE95" w14:textId="77777777" w:rsidR="00114F14" w:rsidRDefault="00114F14" w:rsidP="004A104C">
                  <w:pPr>
                    <w:jc w:val="right"/>
                    <w:rPr>
                      <w:sz w:val="20"/>
                      <w:szCs w:val="20"/>
                    </w:rPr>
                  </w:pPr>
                  <w:r>
                    <w:rPr>
                      <w:sz w:val="20"/>
                      <w:szCs w:val="20"/>
                    </w:rPr>
                    <w:t>2.000</w:t>
                  </w:r>
                </w:p>
              </w:tc>
            </w:tr>
            <w:tr w:rsidR="00114F14" w:rsidRPr="008D72F0" w14:paraId="7EE40854" w14:textId="77777777" w:rsidTr="001544A4">
              <w:trPr>
                <w:trHeight w:val="352"/>
              </w:trPr>
              <w:tc>
                <w:tcPr>
                  <w:tcW w:w="1980" w:type="dxa"/>
                  <w:shd w:val="clear" w:color="auto" w:fill="auto"/>
                </w:tcPr>
                <w:p w14:paraId="266DBAB2" w14:textId="77777777" w:rsidR="00114F14" w:rsidRPr="00093B79" w:rsidRDefault="00114F14" w:rsidP="004A104C">
                  <w:pPr>
                    <w:jc w:val="right"/>
                    <w:rPr>
                      <w:sz w:val="16"/>
                      <w:szCs w:val="16"/>
                    </w:rPr>
                  </w:pPr>
                  <w:r w:rsidRPr="00093B79">
                    <w:rPr>
                      <w:sz w:val="16"/>
                      <w:szCs w:val="16"/>
                    </w:rPr>
                    <w:t>Personal Services</w:t>
                  </w:r>
                </w:p>
              </w:tc>
              <w:tc>
                <w:tcPr>
                  <w:tcW w:w="1260" w:type="dxa"/>
                  <w:shd w:val="clear" w:color="auto" w:fill="auto"/>
                </w:tcPr>
                <w:p w14:paraId="5AA01654" w14:textId="77777777" w:rsidR="00114F14" w:rsidRPr="00093B79" w:rsidRDefault="00114F14" w:rsidP="004A104C">
                  <w:pPr>
                    <w:jc w:val="right"/>
                    <w:rPr>
                      <w:sz w:val="20"/>
                      <w:szCs w:val="20"/>
                    </w:rPr>
                  </w:pPr>
                  <w:r>
                    <w:rPr>
                      <w:sz w:val="20"/>
                      <w:szCs w:val="20"/>
                    </w:rPr>
                    <w:t>$201,400</w:t>
                  </w:r>
                </w:p>
              </w:tc>
              <w:tc>
                <w:tcPr>
                  <w:tcW w:w="1260" w:type="dxa"/>
                </w:tcPr>
                <w:p w14:paraId="4A858249" w14:textId="77777777" w:rsidR="00114F14" w:rsidRDefault="00114F14" w:rsidP="004A104C">
                  <w:pPr>
                    <w:jc w:val="right"/>
                    <w:rPr>
                      <w:sz w:val="20"/>
                      <w:szCs w:val="20"/>
                    </w:rPr>
                  </w:pPr>
                  <w:r>
                    <w:rPr>
                      <w:sz w:val="20"/>
                      <w:szCs w:val="20"/>
                    </w:rPr>
                    <w:t>$203,129</w:t>
                  </w:r>
                </w:p>
              </w:tc>
            </w:tr>
            <w:tr w:rsidR="00114F14" w:rsidRPr="008D72F0" w14:paraId="1D4FE242" w14:textId="77777777" w:rsidTr="001544A4">
              <w:trPr>
                <w:trHeight w:val="352"/>
              </w:trPr>
              <w:tc>
                <w:tcPr>
                  <w:tcW w:w="1980" w:type="dxa"/>
                  <w:shd w:val="clear" w:color="auto" w:fill="auto"/>
                </w:tcPr>
                <w:p w14:paraId="0D20683E" w14:textId="77777777" w:rsidR="00114F14" w:rsidRPr="00093B79" w:rsidRDefault="00114F14" w:rsidP="004A104C">
                  <w:pPr>
                    <w:jc w:val="right"/>
                    <w:rPr>
                      <w:sz w:val="16"/>
                      <w:szCs w:val="16"/>
                    </w:rPr>
                  </w:pPr>
                  <w:r>
                    <w:rPr>
                      <w:sz w:val="16"/>
                      <w:szCs w:val="16"/>
                    </w:rPr>
                    <w:t>All Other</w:t>
                  </w:r>
                </w:p>
              </w:tc>
              <w:tc>
                <w:tcPr>
                  <w:tcW w:w="1260" w:type="dxa"/>
                  <w:shd w:val="clear" w:color="auto" w:fill="auto"/>
                </w:tcPr>
                <w:p w14:paraId="2F4BD164" w14:textId="77777777" w:rsidR="00114F14" w:rsidRPr="00093B79" w:rsidRDefault="00114F14" w:rsidP="004A104C">
                  <w:pPr>
                    <w:jc w:val="right"/>
                    <w:rPr>
                      <w:sz w:val="20"/>
                      <w:szCs w:val="20"/>
                      <w:u w:val="single"/>
                    </w:rPr>
                  </w:pPr>
                  <w:r w:rsidRPr="00093B79">
                    <w:rPr>
                      <w:sz w:val="20"/>
                      <w:szCs w:val="20"/>
                      <w:u w:val="single"/>
                    </w:rPr>
                    <w:t>$48,246</w:t>
                  </w:r>
                </w:p>
              </w:tc>
              <w:tc>
                <w:tcPr>
                  <w:tcW w:w="1260" w:type="dxa"/>
                </w:tcPr>
                <w:p w14:paraId="0AACAC05" w14:textId="77777777" w:rsidR="00114F14" w:rsidRPr="00093B79" w:rsidRDefault="00114F14" w:rsidP="004A104C">
                  <w:pPr>
                    <w:jc w:val="right"/>
                    <w:rPr>
                      <w:sz w:val="20"/>
                      <w:szCs w:val="20"/>
                      <w:u w:val="single"/>
                    </w:rPr>
                  </w:pPr>
                  <w:r w:rsidRPr="00093B79">
                    <w:rPr>
                      <w:sz w:val="20"/>
                      <w:szCs w:val="20"/>
                      <w:u w:val="single"/>
                    </w:rPr>
                    <w:t>$48,246</w:t>
                  </w:r>
                </w:p>
              </w:tc>
            </w:tr>
            <w:tr w:rsidR="00114F14" w:rsidRPr="008D72F0" w14:paraId="4D6B75B9" w14:textId="77777777" w:rsidTr="001544A4">
              <w:trPr>
                <w:trHeight w:val="352"/>
              </w:trPr>
              <w:tc>
                <w:tcPr>
                  <w:tcW w:w="1980" w:type="dxa"/>
                  <w:shd w:val="clear" w:color="auto" w:fill="auto"/>
                </w:tcPr>
                <w:p w14:paraId="1CA7B86C" w14:textId="77777777" w:rsidR="00114F14" w:rsidRPr="00F5055D" w:rsidRDefault="00114F14" w:rsidP="004A104C">
                  <w:pPr>
                    <w:jc w:val="right"/>
                    <w:rPr>
                      <w:sz w:val="16"/>
                      <w:szCs w:val="16"/>
                      <w:u w:val="single"/>
                    </w:rPr>
                  </w:pPr>
                  <w:r>
                    <w:rPr>
                      <w:sz w:val="16"/>
                      <w:szCs w:val="16"/>
                      <w:u w:val="single"/>
                    </w:rPr>
                    <w:t>Federal Block Grand Fund Total</w:t>
                  </w:r>
                </w:p>
              </w:tc>
              <w:tc>
                <w:tcPr>
                  <w:tcW w:w="1260" w:type="dxa"/>
                  <w:shd w:val="clear" w:color="auto" w:fill="auto"/>
                </w:tcPr>
                <w:p w14:paraId="695AD4C8" w14:textId="77777777" w:rsidR="00114F14" w:rsidRDefault="00114F14" w:rsidP="004A104C">
                  <w:pPr>
                    <w:jc w:val="right"/>
                    <w:rPr>
                      <w:sz w:val="20"/>
                      <w:szCs w:val="20"/>
                    </w:rPr>
                  </w:pPr>
                  <w:r>
                    <w:rPr>
                      <w:sz w:val="20"/>
                      <w:szCs w:val="20"/>
                    </w:rPr>
                    <w:t>$249,646</w:t>
                  </w:r>
                </w:p>
              </w:tc>
              <w:tc>
                <w:tcPr>
                  <w:tcW w:w="1260" w:type="dxa"/>
                </w:tcPr>
                <w:p w14:paraId="5CA1FCC8" w14:textId="77777777" w:rsidR="00114F14" w:rsidRDefault="00114F14" w:rsidP="004A104C">
                  <w:pPr>
                    <w:jc w:val="right"/>
                    <w:rPr>
                      <w:sz w:val="20"/>
                      <w:szCs w:val="20"/>
                    </w:rPr>
                  </w:pPr>
                  <w:r>
                    <w:rPr>
                      <w:sz w:val="20"/>
                      <w:szCs w:val="20"/>
                    </w:rPr>
                    <w:t>$251,375</w:t>
                  </w:r>
                </w:p>
              </w:tc>
            </w:tr>
          </w:tbl>
          <w:p w14:paraId="1A285DD6" w14:textId="77777777" w:rsidR="00114F14" w:rsidRDefault="00114F14" w:rsidP="004A104C">
            <w:pPr>
              <w:pStyle w:val="ListBullet"/>
              <w:numPr>
                <w:ilvl w:val="0"/>
                <w:numId w:val="0"/>
              </w:numPr>
              <w:ind w:left="280"/>
            </w:pPr>
          </w:p>
          <w:p w14:paraId="781B6D86" w14:textId="4F459BC0" w:rsidR="00114F14" w:rsidRDefault="00114F14" w:rsidP="004A104C">
            <w:pPr>
              <w:pStyle w:val="ListBullet"/>
              <w:numPr>
                <w:ilvl w:val="0"/>
                <w:numId w:val="0"/>
              </w:numPr>
              <w:ind w:left="280"/>
            </w:pPr>
          </w:p>
          <w:p w14:paraId="3C74E825" w14:textId="6BFAB3A6" w:rsidR="00114F14" w:rsidRDefault="00114F14" w:rsidP="004A104C">
            <w:pPr>
              <w:pStyle w:val="ListBullet"/>
              <w:numPr>
                <w:ilvl w:val="0"/>
                <w:numId w:val="0"/>
              </w:numPr>
              <w:ind w:left="280"/>
            </w:pPr>
          </w:p>
          <w:p w14:paraId="0BCAC9D7" w14:textId="7FC33C70" w:rsidR="00114F14" w:rsidRDefault="00114F14" w:rsidP="004A104C">
            <w:pPr>
              <w:pStyle w:val="ListBullet"/>
              <w:numPr>
                <w:ilvl w:val="0"/>
                <w:numId w:val="0"/>
              </w:numPr>
              <w:ind w:left="280"/>
            </w:pPr>
          </w:p>
          <w:p w14:paraId="7FF2932A" w14:textId="1804A37A" w:rsidR="00114F14" w:rsidRDefault="00114F14" w:rsidP="004A104C">
            <w:pPr>
              <w:pStyle w:val="ListBullet"/>
              <w:numPr>
                <w:ilvl w:val="0"/>
                <w:numId w:val="0"/>
              </w:numPr>
              <w:ind w:left="280"/>
            </w:pPr>
          </w:p>
          <w:p w14:paraId="0500447C" w14:textId="764FEF42" w:rsidR="00114F14" w:rsidRDefault="00114F14" w:rsidP="004A104C">
            <w:pPr>
              <w:pStyle w:val="ListBullet"/>
              <w:numPr>
                <w:ilvl w:val="0"/>
                <w:numId w:val="0"/>
              </w:numPr>
              <w:ind w:left="280"/>
            </w:pPr>
          </w:p>
          <w:p w14:paraId="739AA93D" w14:textId="0F5B8984" w:rsidR="00114F14" w:rsidRDefault="00114F14" w:rsidP="004A104C">
            <w:pPr>
              <w:pStyle w:val="ListBullet"/>
              <w:numPr>
                <w:ilvl w:val="0"/>
                <w:numId w:val="0"/>
              </w:numPr>
              <w:ind w:left="280"/>
            </w:pPr>
          </w:p>
          <w:p w14:paraId="45B74646" w14:textId="230FC38C" w:rsidR="00114F14" w:rsidRDefault="00114F14" w:rsidP="004A104C">
            <w:pPr>
              <w:pStyle w:val="ListBullet"/>
              <w:numPr>
                <w:ilvl w:val="0"/>
                <w:numId w:val="0"/>
              </w:numPr>
              <w:ind w:left="280"/>
            </w:pPr>
          </w:p>
          <w:p w14:paraId="2ECD9CB7" w14:textId="2101DD91" w:rsidR="00114F14" w:rsidRDefault="00114F14" w:rsidP="004A104C">
            <w:pPr>
              <w:pStyle w:val="ListBullet"/>
              <w:numPr>
                <w:ilvl w:val="0"/>
                <w:numId w:val="0"/>
              </w:numPr>
              <w:ind w:left="280"/>
            </w:pPr>
          </w:p>
          <w:p w14:paraId="5F9DC948" w14:textId="433FC58B" w:rsidR="00114F14" w:rsidRDefault="00114F14" w:rsidP="004A104C">
            <w:pPr>
              <w:pStyle w:val="ListBullet"/>
              <w:numPr>
                <w:ilvl w:val="0"/>
                <w:numId w:val="0"/>
              </w:numPr>
              <w:ind w:left="280"/>
            </w:pPr>
          </w:p>
          <w:p w14:paraId="008A3F0A" w14:textId="52A1186E" w:rsidR="00114F14" w:rsidRDefault="00114F14" w:rsidP="004A104C">
            <w:pPr>
              <w:pStyle w:val="ListBullet"/>
              <w:numPr>
                <w:ilvl w:val="0"/>
                <w:numId w:val="0"/>
              </w:numPr>
              <w:ind w:left="280"/>
            </w:pPr>
          </w:p>
          <w:p w14:paraId="09331DD7" w14:textId="090C72F0" w:rsidR="00114F14" w:rsidRDefault="00114F14" w:rsidP="004A104C">
            <w:pPr>
              <w:pStyle w:val="ListBullet"/>
              <w:numPr>
                <w:ilvl w:val="0"/>
                <w:numId w:val="0"/>
              </w:numPr>
              <w:ind w:left="280"/>
            </w:pPr>
          </w:p>
          <w:p w14:paraId="3DA20CA5" w14:textId="0CCBFD45" w:rsidR="00114F14" w:rsidRDefault="00114F14" w:rsidP="004A104C">
            <w:pPr>
              <w:pStyle w:val="ListBullet"/>
              <w:numPr>
                <w:ilvl w:val="0"/>
                <w:numId w:val="0"/>
              </w:numPr>
              <w:ind w:left="280"/>
            </w:pPr>
          </w:p>
          <w:p w14:paraId="08C0060E" w14:textId="49B4ED39" w:rsidR="00114F14" w:rsidRDefault="00114F14" w:rsidP="004A104C">
            <w:pPr>
              <w:pStyle w:val="ListBullet"/>
              <w:numPr>
                <w:ilvl w:val="0"/>
                <w:numId w:val="0"/>
              </w:numPr>
              <w:ind w:left="280"/>
            </w:pPr>
          </w:p>
          <w:p w14:paraId="3CFD8F01" w14:textId="6663F765" w:rsidR="00114F14" w:rsidRDefault="00114F14" w:rsidP="004A104C">
            <w:pPr>
              <w:pStyle w:val="ListBullet"/>
              <w:numPr>
                <w:ilvl w:val="0"/>
                <w:numId w:val="0"/>
              </w:numPr>
              <w:ind w:left="280"/>
            </w:pPr>
          </w:p>
          <w:p w14:paraId="2416DC52" w14:textId="1C0F0E95" w:rsidR="00114F14" w:rsidRDefault="00114F14" w:rsidP="004A104C">
            <w:pPr>
              <w:pStyle w:val="ListBullet"/>
              <w:numPr>
                <w:ilvl w:val="0"/>
                <w:numId w:val="0"/>
              </w:numPr>
              <w:ind w:left="280"/>
            </w:pPr>
          </w:p>
          <w:p w14:paraId="08AF26F9" w14:textId="4276E4D1" w:rsidR="00114F14" w:rsidRDefault="00114F14" w:rsidP="004A104C">
            <w:pPr>
              <w:pStyle w:val="ListBullet"/>
              <w:numPr>
                <w:ilvl w:val="0"/>
                <w:numId w:val="0"/>
              </w:numPr>
              <w:ind w:left="280"/>
            </w:pPr>
          </w:p>
          <w:p w14:paraId="6634EEE7" w14:textId="17BE10FA" w:rsidR="00114F14" w:rsidRDefault="00114F14" w:rsidP="004A104C">
            <w:pPr>
              <w:pStyle w:val="ListBullet"/>
              <w:numPr>
                <w:ilvl w:val="0"/>
                <w:numId w:val="0"/>
              </w:numPr>
              <w:ind w:left="280"/>
            </w:pPr>
          </w:p>
          <w:p w14:paraId="719E005D" w14:textId="5580DCCE" w:rsidR="00114F14" w:rsidRDefault="00114F14" w:rsidP="004A104C">
            <w:pPr>
              <w:pStyle w:val="ListBullet"/>
              <w:numPr>
                <w:ilvl w:val="0"/>
                <w:numId w:val="0"/>
              </w:numPr>
              <w:ind w:left="280"/>
            </w:pPr>
          </w:p>
          <w:p w14:paraId="4BA3AFC4" w14:textId="619ABF61" w:rsidR="00114F14" w:rsidRDefault="00114F14" w:rsidP="004A104C">
            <w:pPr>
              <w:pStyle w:val="ListBullet"/>
              <w:numPr>
                <w:ilvl w:val="0"/>
                <w:numId w:val="0"/>
              </w:numPr>
              <w:ind w:left="280"/>
            </w:pPr>
          </w:p>
          <w:p w14:paraId="08ACC987" w14:textId="67BBF8FD" w:rsidR="00114F14" w:rsidRDefault="00114F14" w:rsidP="004A104C">
            <w:pPr>
              <w:pStyle w:val="ListBullet"/>
              <w:numPr>
                <w:ilvl w:val="0"/>
                <w:numId w:val="0"/>
              </w:numPr>
              <w:ind w:left="280"/>
            </w:pPr>
          </w:p>
          <w:p w14:paraId="314BDD8C" w14:textId="467F2351" w:rsidR="00114F14" w:rsidRDefault="00114F14" w:rsidP="004A104C">
            <w:pPr>
              <w:pStyle w:val="ListBullet"/>
              <w:numPr>
                <w:ilvl w:val="0"/>
                <w:numId w:val="0"/>
              </w:numPr>
              <w:ind w:left="280"/>
            </w:pPr>
          </w:p>
          <w:p w14:paraId="011FB9F3" w14:textId="392D57ED" w:rsidR="00114F14" w:rsidRDefault="00114F14" w:rsidP="004A104C">
            <w:pPr>
              <w:pStyle w:val="ListBullet"/>
              <w:numPr>
                <w:ilvl w:val="0"/>
                <w:numId w:val="0"/>
              </w:numPr>
              <w:ind w:left="280"/>
            </w:pPr>
          </w:p>
          <w:p w14:paraId="712B329C" w14:textId="64A68478" w:rsidR="00114F14" w:rsidRPr="002A0216" w:rsidRDefault="00114F14" w:rsidP="004A104C">
            <w:pPr>
              <w:pStyle w:val="ListBullet"/>
            </w:pPr>
            <w:r w:rsidRPr="002A0216">
              <w:t xml:space="preserve">Transfers and reallocates the cost of one Education Specialist II position from 50% Learning Systems Team Federal Expenditures Fund and 50% Leadership Team Other Special Revenue Funds to 100% General Purpose Aid for Local Schools </w:t>
            </w:r>
            <w:r>
              <w:t xml:space="preserve">General Fund </w:t>
            </w:r>
            <w:r w:rsidRPr="002A0216">
              <w:t>beginning September 30, 2019 and reduces All Other to fund the position</w:t>
            </w:r>
            <w:r>
              <w:t xml:space="preserve"> of ($38,570) in FY 20 and of ($51,881) in FY 21</w:t>
            </w:r>
            <w:r w:rsidRPr="002A0216">
              <w:t xml:space="preserve">. </w:t>
            </w:r>
          </w:p>
          <w:p w14:paraId="042DD16B" w14:textId="5A1748B0" w:rsidR="00114F14" w:rsidRPr="003474BF" w:rsidRDefault="00114F14" w:rsidP="004A104C">
            <w:pPr>
              <w:pStyle w:val="ListBullet"/>
            </w:pPr>
            <w:r w:rsidRPr="003474BF">
              <w:t>Transfers one Public Service Manager II position and 2 Regional Education Representatives positions and General Fund appropriations from General Purpose Aid for Local Schools to the Learning Systems Team program</w:t>
            </w:r>
            <w:r>
              <w:t>.</w:t>
            </w:r>
          </w:p>
          <w:tbl>
            <w:tblPr>
              <w:tblpPr w:leftFromText="180" w:rightFromText="180" w:vertAnchor="text" w:horzAnchor="margin" w:tblpXSpec="center" w:tblpY="145"/>
              <w:tblOverlap w:val="never"/>
              <w:tblW w:w="0" w:type="auto"/>
              <w:tblLook w:val="01E0" w:firstRow="1" w:lastRow="1" w:firstColumn="1" w:lastColumn="1" w:noHBand="0" w:noVBand="0"/>
            </w:tblPr>
            <w:tblGrid>
              <w:gridCol w:w="1980"/>
              <w:gridCol w:w="1260"/>
              <w:gridCol w:w="1260"/>
            </w:tblGrid>
            <w:tr w:rsidR="00114F14" w:rsidRPr="008D72F0" w14:paraId="0FF400B4" w14:textId="77777777" w:rsidTr="00D20D2B">
              <w:trPr>
                <w:trHeight w:val="357"/>
              </w:trPr>
              <w:tc>
                <w:tcPr>
                  <w:tcW w:w="1980" w:type="dxa"/>
                  <w:shd w:val="clear" w:color="auto" w:fill="auto"/>
                </w:tcPr>
                <w:p w14:paraId="4FB66608" w14:textId="77777777" w:rsidR="00114F14" w:rsidRPr="008D72F0" w:rsidRDefault="00114F14" w:rsidP="004A104C">
                  <w:pPr>
                    <w:jc w:val="right"/>
                    <w:rPr>
                      <w:sz w:val="20"/>
                      <w:szCs w:val="20"/>
                      <w:u w:val="single"/>
                    </w:rPr>
                  </w:pPr>
                </w:p>
              </w:tc>
              <w:tc>
                <w:tcPr>
                  <w:tcW w:w="1260" w:type="dxa"/>
                  <w:shd w:val="clear" w:color="auto" w:fill="auto"/>
                </w:tcPr>
                <w:p w14:paraId="23751E45"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F16FCFB"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7A081C27" w14:textId="77777777" w:rsidTr="00D20D2B">
              <w:trPr>
                <w:trHeight w:val="344"/>
              </w:trPr>
              <w:tc>
                <w:tcPr>
                  <w:tcW w:w="1980" w:type="dxa"/>
                  <w:shd w:val="clear" w:color="auto" w:fill="auto"/>
                </w:tcPr>
                <w:p w14:paraId="1ECBB2DD"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079987FA" w14:textId="401D1E42" w:rsidR="00114F14" w:rsidRPr="008D72F0" w:rsidRDefault="00114F14" w:rsidP="004A104C">
                  <w:pPr>
                    <w:jc w:val="right"/>
                    <w:rPr>
                      <w:sz w:val="20"/>
                      <w:szCs w:val="20"/>
                    </w:rPr>
                  </w:pPr>
                  <w:r>
                    <w:rPr>
                      <w:sz w:val="20"/>
                      <w:szCs w:val="20"/>
                    </w:rPr>
                    <w:t>3.000</w:t>
                  </w:r>
                </w:p>
              </w:tc>
              <w:tc>
                <w:tcPr>
                  <w:tcW w:w="1260" w:type="dxa"/>
                  <w:vAlign w:val="center"/>
                </w:tcPr>
                <w:p w14:paraId="2802446F" w14:textId="031B1606" w:rsidR="00114F14" w:rsidRDefault="00114F14" w:rsidP="004A104C">
                  <w:pPr>
                    <w:jc w:val="right"/>
                    <w:rPr>
                      <w:sz w:val="20"/>
                      <w:szCs w:val="20"/>
                    </w:rPr>
                  </w:pPr>
                  <w:r>
                    <w:rPr>
                      <w:sz w:val="20"/>
                      <w:szCs w:val="20"/>
                    </w:rPr>
                    <w:t>3.000</w:t>
                  </w:r>
                </w:p>
              </w:tc>
            </w:tr>
            <w:tr w:rsidR="00114F14" w:rsidRPr="008D72F0" w14:paraId="1B2A5182" w14:textId="77777777" w:rsidTr="00D20D2B">
              <w:trPr>
                <w:trHeight w:val="357"/>
              </w:trPr>
              <w:tc>
                <w:tcPr>
                  <w:tcW w:w="1980" w:type="dxa"/>
                  <w:shd w:val="clear" w:color="auto" w:fill="auto"/>
                </w:tcPr>
                <w:p w14:paraId="242D0F76"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6FB6EF1E" w14:textId="1E44D0CE" w:rsidR="00114F14" w:rsidRPr="008D72F0" w:rsidRDefault="00114F14" w:rsidP="004A104C">
                  <w:pPr>
                    <w:jc w:val="right"/>
                    <w:rPr>
                      <w:sz w:val="20"/>
                      <w:szCs w:val="20"/>
                    </w:rPr>
                  </w:pPr>
                  <w:r>
                    <w:rPr>
                      <w:sz w:val="20"/>
                      <w:szCs w:val="20"/>
                    </w:rPr>
                    <w:t>$379,724</w:t>
                  </w:r>
                </w:p>
              </w:tc>
              <w:tc>
                <w:tcPr>
                  <w:tcW w:w="1260" w:type="dxa"/>
                </w:tcPr>
                <w:p w14:paraId="58003627" w14:textId="4395D748" w:rsidR="00114F14" w:rsidRPr="008D72F0" w:rsidRDefault="00114F14" w:rsidP="004A104C">
                  <w:pPr>
                    <w:jc w:val="right"/>
                    <w:rPr>
                      <w:sz w:val="20"/>
                      <w:szCs w:val="20"/>
                    </w:rPr>
                  </w:pPr>
                  <w:r>
                    <w:rPr>
                      <w:sz w:val="20"/>
                      <w:szCs w:val="20"/>
                    </w:rPr>
                    <w:t>$380,598</w:t>
                  </w:r>
                </w:p>
              </w:tc>
            </w:tr>
          </w:tbl>
          <w:p w14:paraId="5B13DB4F" w14:textId="23D13979" w:rsidR="00114F14" w:rsidRDefault="00114F14" w:rsidP="004A104C">
            <w:pPr>
              <w:pStyle w:val="ListBullet"/>
              <w:numPr>
                <w:ilvl w:val="0"/>
                <w:numId w:val="0"/>
              </w:numPr>
              <w:ind w:left="280"/>
            </w:pPr>
          </w:p>
          <w:p w14:paraId="305910EC" w14:textId="63EB0B3E" w:rsidR="00114F14" w:rsidRDefault="00114F14" w:rsidP="004A104C">
            <w:pPr>
              <w:pStyle w:val="ListBullet"/>
              <w:numPr>
                <w:ilvl w:val="0"/>
                <w:numId w:val="0"/>
              </w:numPr>
              <w:ind w:left="280"/>
            </w:pPr>
          </w:p>
          <w:p w14:paraId="4B1B3DBD" w14:textId="6F1C4AEF" w:rsidR="00114F14" w:rsidRDefault="00114F14" w:rsidP="004A104C">
            <w:pPr>
              <w:pStyle w:val="ListBullet"/>
              <w:numPr>
                <w:ilvl w:val="0"/>
                <w:numId w:val="0"/>
              </w:numPr>
              <w:ind w:left="280"/>
            </w:pPr>
          </w:p>
          <w:p w14:paraId="2B739369" w14:textId="0BEADBDE" w:rsidR="00114F14" w:rsidRDefault="00114F14" w:rsidP="004A104C">
            <w:pPr>
              <w:pStyle w:val="ListBullet"/>
              <w:numPr>
                <w:ilvl w:val="0"/>
                <w:numId w:val="0"/>
              </w:numPr>
              <w:ind w:left="280"/>
            </w:pPr>
          </w:p>
          <w:p w14:paraId="4C019A61" w14:textId="748C670F" w:rsidR="00114F14" w:rsidRDefault="00114F14" w:rsidP="004A104C">
            <w:pPr>
              <w:pStyle w:val="ListBullet"/>
              <w:numPr>
                <w:ilvl w:val="0"/>
                <w:numId w:val="0"/>
              </w:numPr>
              <w:ind w:left="280"/>
            </w:pPr>
          </w:p>
          <w:p w14:paraId="2D8A406B" w14:textId="400396F2" w:rsidR="00114F14" w:rsidRPr="002A0216" w:rsidRDefault="00114F14" w:rsidP="004A104C">
            <w:pPr>
              <w:pStyle w:val="ListBullet"/>
            </w:pPr>
            <w:r w:rsidRPr="002A0216">
              <w:t xml:space="preserve">Transfers and reallocates one </w:t>
            </w:r>
            <w:r>
              <w:t xml:space="preserve">Office Associate </w:t>
            </w:r>
            <w:r w:rsidRPr="002A0216">
              <w:t>II position from 50% Lea</w:t>
            </w:r>
            <w:r>
              <w:t>dership Team Other Special Revenue Funds</w:t>
            </w:r>
            <w:r w:rsidRPr="002A0216">
              <w:t xml:space="preserve"> and 50% Lea</w:t>
            </w:r>
            <w:r>
              <w:t xml:space="preserve">rning Systems Team General </w:t>
            </w:r>
            <w:r w:rsidRPr="002A0216">
              <w:t xml:space="preserve">Fund to 100% </w:t>
            </w:r>
            <w:r>
              <w:t>Learning Systems Team program General Fund</w:t>
            </w:r>
            <w:r w:rsidRPr="002A0216">
              <w:t xml:space="preserve">. </w:t>
            </w:r>
          </w:p>
          <w:p w14:paraId="495A92E6" w14:textId="32C2637D" w:rsidR="00114F14" w:rsidRDefault="00114F14" w:rsidP="004A104C">
            <w:pPr>
              <w:pStyle w:val="ListBullet"/>
              <w:numPr>
                <w:ilvl w:val="0"/>
                <w:numId w:val="0"/>
              </w:numPr>
              <w:ind w:left="280"/>
            </w:pPr>
          </w:p>
          <w:tbl>
            <w:tblPr>
              <w:tblpPr w:leftFromText="180" w:rightFromText="180" w:vertAnchor="text" w:horzAnchor="margin" w:tblpXSpec="center" w:tblpYSpec="top"/>
              <w:tblOverlap w:val="never"/>
              <w:tblW w:w="0" w:type="auto"/>
              <w:tblLook w:val="01E0" w:firstRow="1" w:lastRow="1" w:firstColumn="1" w:lastColumn="1" w:noHBand="0" w:noVBand="0"/>
            </w:tblPr>
            <w:tblGrid>
              <w:gridCol w:w="1980"/>
              <w:gridCol w:w="1260"/>
              <w:gridCol w:w="1260"/>
            </w:tblGrid>
            <w:tr w:rsidR="00114F14" w:rsidRPr="008D72F0" w14:paraId="62EAD9B1" w14:textId="77777777" w:rsidTr="007D4691">
              <w:trPr>
                <w:trHeight w:val="357"/>
              </w:trPr>
              <w:tc>
                <w:tcPr>
                  <w:tcW w:w="1980" w:type="dxa"/>
                  <w:shd w:val="clear" w:color="auto" w:fill="auto"/>
                </w:tcPr>
                <w:p w14:paraId="6A5D7FA4" w14:textId="77777777" w:rsidR="00114F14" w:rsidRPr="008D72F0" w:rsidRDefault="00114F14" w:rsidP="004A104C">
                  <w:pPr>
                    <w:jc w:val="right"/>
                    <w:rPr>
                      <w:sz w:val="20"/>
                      <w:szCs w:val="20"/>
                      <w:u w:val="single"/>
                    </w:rPr>
                  </w:pPr>
                </w:p>
              </w:tc>
              <w:tc>
                <w:tcPr>
                  <w:tcW w:w="1260" w:type="dxa"/>
                  <w:shd w:val="clear" w:color="auto" w:fill="auto"/>
                </w:tcPr>
                <w:p w14:paraId="1FF6A938"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4C69FBC"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0FA985D3" w14:textId="77777777" w:rsidTr="007D4691">
              <w:trPr>
                <w:trHeight w:val="344"/>
              </w:trPr>
              <w:tc>
                <w:tcPr>
                  <w:tcW w:w="1980" w:type="dxa"/>
                  <w:shd w:val="clear" w:color="auto" w:fill="auto"/>
                </w:tcPr>
                <w:p w14:paraId="66AE58CE"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4991BA31" w14:textId="77777777" w:rsidR="00114F14" w:rsidRPr="008D72F0" w:rsidRDefault="00114F14" w:rsidP="004A104C">
                  <w:pPr>
                    <w:jc w:val="right"/>
                    <w:rPr>
                      <w:sz w:val="20"/>
                      <w:szCs w:val="20"/>
                    </w:rPr>
                  </w:pPr>
                  <w:r>
                    <w:rPr>
                      <w:sz w:val="20"/>
                      <w:szCs w:val="20"/>
                    </w:rPr>
                    <w:t>1.000</w:t>
                  </w:r>
                </w:p>
              </w:tc>
              <w:tc>
                <w:tcPr>
                  <w:tcW w:w="1260" w:type="dxa"/>
                  <w:vAlign w:val="center"/>
                </w:tcPr>
                <w:p w14:paraId="76A0BE18" w14:textId="77777777" w:rsidR="00114F14" w:rsidRDefault="00114F14" w:rsidP="004A104C">
                  <w:pPr>
                    <w:jc w:val="right"/>
                    <w:rPr>
                      <w:sz w:val="20"/>
                      <w:szCs w:val="20"/>
                    </w:rPr>
                  </w:pPr>
                  <w:r>
                    <w:rPr>
                      <w:sz w:val="20"/>
                      <w:szCs w:val="20"/>
                    </w:rPr>
                    <w:t>1.000</w:t>
                  </w:r>
                </w:p>
              </w:tc>
            </w:tr>
            <w:tr w:rsidR="00114F14" w:rsidRPr="008D72F0" w14:paraId="6FCBEC7F" w14:textId="77777777" w:rsidTr="007D4691">
              <w:trPr>
                <w:trHeight w:val="357"/>
              </w:trPr>
              <w:tc>
                <w:tcPr>
                  <w:tcW w:w="1980" w:type="dxa"/>
                  <w:shd w:val="clear" w:color="auto" w:fill="auto"/>
                </w:tcPr>
                <w:p w14:paraId="757FA0BA"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3C45FECD" w14:textId="77777777" w:rsidR="00114F14" w:rsidRPr="008D72F0" w:rsidRDefault="00114F14" w:rsidP="004A104C">
                  <w:pPr>
                    <w:jc w:val="right"/>
                    <w:rPr>
                      <w:sz w:val="20"/>
                      <w:szCs w:val="20"/>
                    </w:rPr>
                  </w:pPr>
                  <w:r>
                    <w:rPr>
                      <w:sz w:val="20"/>
                      <w:szCs w:val="20"/>
                    </w:rPr>
                    <w:t>$23,846</w:t>
                  </w:r>
                </w:p>
              </w:tc>
              <w:tc>
                <w:tcPr>
                  <w:tcW w:w="1260" w:type="dxa"/>
                </w:tcPr>
                <w:p w14:paraId="644CC26E" w14:textId="77777777" w:rsidR="00114F14" w:rsidRPr="008D72F0" w:rsidRDefault="00114F14" w:rsidP="004A104C">
                  <w:pPr>
                    <w:jc w:val="right"/>
                    <w:rPr>
                      <w:sz w:val="20"/>
                      <w:szCs w:val="20"/>
                    </w:rPr>
                  </w:pPr>
                  <w:r>
                    <w:rPr>
                      <w:sz w:val="20"/>
                      <w:szCs w:val="20"/>
                    </w:rPr>
                    <w:t>$24,939</w:t>
                  </w:r>
                </w:p>
              </w:tc>
            </w:tr>
          </w:tbl>
          <w:p w14:paraId="666F7565" w14:textId="5CF78C5D" w:rsidR="00114F14" w:rsidRDefault="00114F14" w:rsidP="004A104C">
            <w:pPr>
              <w:pStyle w:val="ListBullet"/>
              <w:numPr>
                <w:ilvl w:val="0"/>
                <w:numId w:val="0"/>
              </w:numPr>
              <w:ind w:left="280"/>
            </w:pPr>
          </w:p>
          <w:p w14:paraId="1FD0C279" w14:textId="26C16B02" w:rsidR="00114F14" w:rsidRDefault="00114F14" w:rsidP="004A104C">
            <w:pPr>
              <w:pStyle w:val="ListBullet"/>
              <w:numPr>
                <w:ilvl w:val="0"/>
                <w:numId w:val="0"/>
              </w:numPr>
              <w:ind w:left="280"/>
            </w:pPr>
          </w:p>
          <w:p w14:paraId="6532F767" w14:textId="6F4A15CA" w:rsidR="00114F14" w:rsidRDefault="00114F14" w:rsidP="004A104C">
            <w:pPr>
              <w:pStyle w:val="ListBullet"/>
              <w:numPr>
                <w:ilvl w:val="0"/>
                <w:numId w:val="0"/>
              </w:numPr>
              <w:ind w:left="280"/>
            </w:pPr>
          </w:p>
          <w:p w14:paraId="0832CB64" w14:textId="1FB1691D" w:rsidR="00114F14" w:rsidRDefault="00114F14" w:rsidP="004A104C">
            <w:pPr>
              <w:pStyle w:val="ListBullet"/>
              <w:numPr>
                <w:ilvl w:val="0"/>
                <w:numId w:val="0"/>
              </w:numPr>
              <w:ind w:left="280"/>
            </w:pPr>
          </w:p>
          <w:p w14:paraId="741A3055" w14:textId="2BBD32ED" w:rsidR="00114F14" w:rsidRDefault="00114F14" w:rsidP="004A104C">
            <w:pPr>
              <w:pStyle w:val="ListBullet"/>
              <w:numPr>
                <w:ilvl w:val="0"/>
                <w:numId w:val="0"/>
              </w:numPr>
              <w:ind w:left="280"/>
            </w:pPr>
          </w:p>
          <w:p w14:paraId="16061B7E" w14:textId="7CFEEA41" w:rsidR="00114F14" w:rsidRDefault="00114F14" w:rsidP="004A104C">
            <w:pPr>
              <w:pStyle w:val="ListBullet"/>
            </w:pPr>
            <w:r w:rsidRPr="002A0216">
              <w:t xml:space="preserve">Transfers and reallocates one </w:t>
            </w:r>
            <w:r>
              <w:t>Public Service Manager II position from 60% Leadership Team Other Special Revenue Funds</w:t>
            </w:r>
            <w:r w:rsidRPr="002A0216">
              <w:t xml:space="preserve"> and </w:t>
            </w:r>
            <w:r>
              <w:t>4</w:t>
            </w:r>
            <w:r w:rsidRPr="002A0216">
              <w:t>0% Lea</w:t>
            </w:r>
            <w:r>
              <w:t xml:space="preserve">rning Systems Team General </w:t>
            </w:r>
            <w:r w:rsidRPr="002A0216">
              <w:t xml:space="preserve">Fund to 100% </w:t>
            </w:r>
            <w:r>
              <w:t>Learning Systems Team program General Fund.</w:t>
            </w:r>
          </w:p>
          <w:p w14:paraId="499E87E0" w14:textId="77777777" w:rsidR="00114F14" w:rsidRDefault="00114F14" w:rsidP="004A104C">
            <w:pPr>
              <w:pStyle w:val="ListBullet"/>
              <w:numPr>
                <w:ilvl w:val="0"/>
                <w:numId w:val="0"/>
              </w:numPr>
              <w:ind w:left="280"/>
            </w:pPr>
          </w:p>
          <w:tbl>
            <w:tblPr>
              <w:tblpPr w:leftFromText="180" w:rightFromText="180" w:vertAnchor="text" w:horzAnchor="margin" w:tblpXSpec="center" w:tblpYSpec="top"/>
              <w:tblOverlap w:val="never"/>
              <w:tblW w:w="0" w:type="auto"/>
              <w:tblLook w:val="01E0" w:firstRow="1" w:lastRow="1" w:firstColumn="1" w:lastColumn="1" w:noHBand="0" w:noVBand="0"/>
            </w:tblPr>
            <w:tblGrid>
              <w:gridCol w:w="1980"/>
              <w:gridCol w:w="1260"/>
              <w:gridCol w:w="1260"/>
            </w:tblGrid>
            <w:tr w:rsidR="00114F14" w:rsidRPr="008D72F0" w14:paraId="5DE01F62" w14:textId="77777777" w:rsidTr="001544A4">
              <w:trPr>
                <w:trHeight w:val="357"/>
              </w:trPr>
              <w:tc>
                <w:tcPr>
                  <w:tcW w:w="1980" w:type="dxa"/>
                  <w:shd w:val="clear" w:color="auto" w:fill="auto"/>
                </w:tcPr>
                <w:p w14:paraId="134F300E" w14:textId="77777777" w:rsidR="00114F14" w:rsidRPr="008D72F0" w:rsidRDefault="00114F14" w:rsidP="004A104C">
                  <w:pPr>
                    <w:jc w:val="right"/>
                    <w:rPr>
                      <w:sz w:val="20"/>
                      <w:szCs w:val="20"/>
                      <w:u w:val="single"/>
                    </w:rPr>
                  </w:pPr>
                </w:p>
              </w:tc>
              <w:tc>
                <w:tcPr>
                  <w:tcW w:w="1260" w:type="dxa"/>
                  <w:shd w:val="clear" w:color="auto" w:fill="auto"/>
                </w:tcPr>
                <w:p w14:paraId="5FF3543D"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14F3891F"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503902FD" w14:textId="77777777" w:rsidTr="001544A4">
              <w:trPr>
                <w:trHeight w:val="344"/>
              </w:trPr>
              <w:tc>
                <w:tcPr>
                  <w:tcW w:w="1980" w:type="dxa"/>
                  <w:shd w:val="clear" w:color="auto" w:fill="auto"/>
                </w:tcPr>
                <w:p w14:paraId="7A20EA7C"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5BD088DD" w14:textId="77777777" w:rsidR="00114F14" w:rsidRPr="008D72F0" w:rsidRDefault="00114F14" w:rsidP="004A104C">
                  <w:pPr>
                    <w:jc w:val="right"/>
                    <w:rPr>
                      <w:sz w:val="20"/>
                      <w:szCs w:val="20"/>
                    </w:rPr>
                  </w:pPr>
                  <w:r>
                    <w:rPr>
                      <w:sz w:val="20"/>
                      <w:szCs w:val="20"/>
                    </w:rPr>
                    <w:t>1.000</w:t>
                  </w:r>
                </w:p>
              </w:tc>
              <w:tc>
                <w:tcPr>
                  <w:tcW w:w="1260" w:type="dxa"/>
                  <w:vAlign w:val="center"/>
                </w:tcPr>
                <w:p w14:paraId="6A1F5CD3" w14:textId="77777777" w:rsidR="00114F14" w:rsidRDefault="00114F14" w:rsidP="004A104C">
                  <w:pPr>
                    <w:jc w:val="right"/>
                    <w:rPr>
                      <w:sz w:val="20"/>
                      <w:szCs w:val="20"/>
                    </w:rPr>
                  </w:pPr>
                  <w:r>
                    <w:rPr>
                      <w:sz w:val="20"/>
                      <w:szCs w:val="20"/>
                    </w:rPr>
                    <w:t>1.000</w:t>
                  </w:r>
                </w:p>
              </w:tc>
            </w:tr>
            <w:tr w:rsidR="00114F14" w:rsidRPr="008D72F0" w14:paraId="2B2BF2BF" w14:textId="77777777" w:rsidTr="001544A4">
              <w:trPr>
                <w:trHeight w:val="357"/>
              </w:trPr>
              <w:tc>
                <w:tcPr>
                  <w:tcW w:w="1980" w:type="dxa"/>
                  <w:shd w:val="clear" w:color="auto" w:fill="auto"/>
                </w:tcPr>
                <w:p w14:paraId="363472D0"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1525534E" w14:textId="4D38FA9C" w:rsidR="00114F14" w:rsidRPr="008D72F0" w:rsidRDefault="00114F14" w:rsidP="004A104C">
                  <w:pPr>
                    <w:jc w:val="right"/>
                    <w:rPr>
                      <w:sz w:val="20"/>
                      <w:szCs w:val="20"/>
                    </w:rPr>
                  </w:pPr>
                  <w:r>
                    <w:rPr>
                      <w:sz w:val="20"/>
                      <w:szCs w:val="20"/>
                    </w:rPr>
                    <w:t>$78,696</w:t>
                  </w:r>
                </w:p>
              </w:tc>
              <w:tc>
                <w:tcPr>
                  <w:tcW w:w="1260" w:type="dxa"/>
                </w:tcPr>
                <w:p w14:paraId="53F9A496" w14:textId="0FD5D153" w:rsidR="00114F14" w:rsidRPr="008D72F0" w:rsidRDefault="00114F14" w:rsidP="004A104C">
                  <w:pPr>
                    <w:jc w:val="right"/>
                    <w:rPr>
                      <w:sz w:val="20"/>
                      <w:szCs w:val="20"/>
                    </w:rPr>
                  </w:pPr>
                  <w:r>
                    <w:rPr>
                      <w:sz w:val="20"/>
                      <w:szCs w:val="20"/>
                    </w:rPr>
                    <w:t>$79,217</w:t>
                  </w:r>
                </w:p>
              </w:tc>
            </w:tr>
          </w:tbl>
          <w:p w14:paraId="04001C6D" w14:textId="77777777" w:rsidR="00114F14" w:rsidRDefault="00114F14" w:rsidP="004A104C">
            <w:pPr>
              <w:pStyle w:val="ListBullet"/>
              <w:numPr>
                <w:ilvl w:val="0"/>
                <w:numId w:val="0"/>
              </w:numPr>
              <w:ind w:left="280"/>
            </w:pPr>
          </w:p>
          <w:p w14:paraId="7DB8E30F" w14:textId="38EBB1DB" w:rsidR="00114F14" w:rsidRDefault="00114F14" w:rsidP="004A104C">
            <w:pPr>
              <w:pStyle w:val="ListBullet"/>
              <w:numPr>
                <w:ilvl w:val="0"/>
                <w:numId w:val="0"/>
              </w:numPr>
              <w:ind w:left="280"/>
            </w:pPr>
          </w:p>
          <w:p w14:paraId="4512FEB1" w14:textId="04C1A7DE" w:rsidR="00114F14" w:rsidRDefault="00114F14" w:rsidP="004A104C">
            <w:pPr>
              <w:pStyle w:val="ListBullet"/>
              <w:numPr>
                <w:ilvl w:val="0"/>
                <w:numId w:val="0"/>
              </w:numPr>
              <w:ind w:left="280"/>
            </w:pPr>
          </w:p>
          <w:p w14:paraId="1451A1C7" w14:textId="1AB816A1" w:rsidR="00114F14" w:rsidRDefault="00114F14" w:rsidP="004A104C">
            <w:pPr>
              <w:pStyle w:val="ListBullet"/>
              <w:numPr>
                <w:ilvl w:val="0"/>
                <w:numId w:val="0"/>
              </w:numPr>
              <w:ind w:left="280"/>
            </w:pPr>
          </w:p>
          <w:p w14:paraId="2348CEF8" w14:textId="3B38C793" w:rsidR="00114F14" w:rsidRDefault="00114F14" w:rsidP="004A104C">
            <w:pPr>
              <w:pStyle w:val="ListBullet"/>
              <w:numPr>
                <w:ilvl w:val="0"/>
                <w:numId w:val="0"/>
              </w:numPr>
              <w:ind w:left="280"/>
            </w:pPr>
          </w:p>
          <w:p w14:paraId="6639B295" w14:textId="5C9CA4E7" w:rsidR="00114F14" w:rsidRPr="003474BF" w:rsidRDefault="00114F14" w:rsidP="004A104C">
            <w:pPr>
              <w:pStyle w:val="ListBullet"/>
            </w:pPr>
            <w:r w:rsidRPr="003474BF">
              <w:t>Transfers one Education Specialist III position and General Fund appropriations from Learning System</w:t>
            </w:r>
            <w:r>
              <w:t xml:space="preserve">s </w:t>
            </w:r>
            <w:r w:rsidRPr="003474BF">
              <w:t xml:space="preserve">program to General Purpose Aid for Local Schools program of </w:t>
            </w:r>
            <w:r>
              <w:t>(</w:t>
            </w:r>
            <w:r w:rsidRPr="003474BF">
              <w:t>$100,611</w:t>
            </w:r>
            <w:r>
              <w:t>)</w:t>
            </w:r>
            <w:r w:rsidRPr="003474BF">
              <w:t xml:space="preserve"> in FY 20 and of </w:t>
            </w:r>
            <w:r>
              <w:t>($</w:t>
            </w:r>
            <w:r w:rsidRPr="003474BF">
              <w:t>100,967</w:t>
            </w:r>
            <w:r>
              <w:t>)</w:t>
            </w:r>
            <w:r w:rsidRPr="003474BF">
              <w:t xml:space="preserve"> in FY 21.</w:t>
            </w:r>
          </w:p>
          <w:p w14:paraId="6EB06C4B" w14:textId="77777777" w:rsidR="00114F14" w:rsidRPr="003474BF" w:rsidRDefault="00114F14" w:rsidP="004A104C">
            <w:pPr>
              <w:pStyle w:val="ListBullet"/>
            </w:pPr>
            <w:r w:rsidRPr="003474BF">
              <w:t>Transfers and reallocates one Public Service Manager I position from 25% Federal Expenditures Fund and 75% General Fund in Learning Systems Team program to 100% General fund in General Purpose Aid for Local Schools program and reduces All Other to partially fund the position.  Also reallocates 25% of one Public Service Manager II position from General Fund to Federal Expenditures Fund in Learning Systems program and provides funding for related All Other costs.</w:t>
            </w:r>
          </w:p>
          <w:p w14:paraId="0C4D372F" w14:textId="094AC551" w:rsidR="00114F14" w:rsidRDefault="00114F14" w:rsidP="004A104C">
            <w:pPr>
              <w:pStyle w:val="ListBullet"/>
              <w:numPr>
                <w:ilvl w:val="0"/>
                <w:numId w:val="0"/>
              </w:numPr>
              <w:ind w:left="280"/>
            </w:pPr>
          </w:p>
          <w:tbl>
            <w:tblPr>
              <w:tblpPr w:leftFromText="180" w:rightFromText="180" w:vertAnchor="text" w:horzAnchor="margin" w:tblpXSpec="center" w:tblpY="212"/>
              <w:tblOverlap w:val="never"/>
              <w:tblW w:w="0" w:type="auto"/>
              <w:tblLook w:val="01E0" w:firstRow="1" w:lastRow="1" w:firstColumn="1" w:lastColumn="1" w:noHBand="0" w:noVBand="0"/>
            </w:tblPr>
            <w:tblGrid>
              <w:gridCol w:w="1666"/>
              <w:gridCol w:w="1415"/>
              <w:gridCol w:w="1415"/>
            </w:tblGrid>
            <w:tr w:rsidR="00114F14" w:rsidRPr="008D72F0" w14:paraId="32F12460" w14:textId="77777777" w:rsidTr="001544A4">
              <w:trPr>
                <w:trHeight w:val="357"/>
              </w:trPr>
              <w:tc>
                <w:tcPr>
                  <w:tcW w:w="1666" w:type="dxa"/>
                  <w:shd w:val="clear" w:color="auto" w:fill="auto"/>
                </w:tcPr>
                <w:p w14:paraId="234B378E" w14:textId="77777777" w:rsidR="00114F14" w:rsidRPr="006B64F5" w:rsidRDefault="00114F14" w:rsidP="004A104C">
                  <w:pPr>
                    <w:jc w:val="right"/>
                    <w:rPr>
                      <w:b/>
                      <w:sz w:val="20"/>
                      <w:szCs w:val="20"/>
                      <w:u w:val="single"/>
                    </w:rPr>
                  </w:pPr>
                </w:p>
              </w:tc>
              <w:tc>
                <w:tcPr>
                  <w:tcW w:w="1415" w:type="dxa"/>
                  <w:shd w:val="clear" w:color="auto" w:fill="auto"/>
                </w:tcPr>
                <w:p w14:paraId="179EF82A"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415" w:type="dxa"/>
                </w:tcPr>
                <w:p w14:paraId="48A311DD"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2EDB1422" w14:textId="77777777" w:rsidTr="001544A4">
              <w:trPr>
                <w:trHeight w:val="357"/>
              </w:trPr>
              <w:tc>
                <w:tcPr>
                  <w:tcW w:w="1666" w:type="dxa"/>
                  <w:shd w:val="clear" w:color="auto" w:fill="auto"/>
                </w:tcPr>
                <w:p w14:paraId="680D4F97" w14:textId="77777777" w:rsidR="00114F14" w:rsidRPr="008E6261" w:rsidRDefault="00114F14" w:rsidP="004A104C">
                  <w:pPr>
                    <w:jc w:val="right"/>
                    <w:rPr>
                      <w:sz w:val="16"/>
                      <w:szCs w:val="16"/>
                    </w:rPr>
                  </w:pPr>
                  <w:r w:rsidRPr="008E6261">
                    <w:rPr>
                      <w:sz w:val="16"/>
                      <w:szCs w:val="16"/>
                    </w:rPr>
                    <w:t>General Fund</w:t>
                  </w:r>
                  <w:r w:rsidRPr="008E6261">
                    <w:rPr>
                      <w:sz w:val="16"/>
                      <w:szCs w:val="16"/>
                      <w:u w:val="single"/>
                    </w:rPr>
                    <w:t xml:space="preserve"> </w:t>
                  </w:r>
                  <w:r w:rsidRPr="008E6261">
                    <w:rPr>
                      <w:sz w:val="16"/>
                      <w:szCs w:val="16"/>
                    </w:rPr>
                    <w:t>- Position Count</w:t>
                  </w:r>
                </w:p>
              </w:tc>
              <w:tc>
                <w:tcPr>
                  <w:tcW w:w="1415" w:type="dxa"/>
                  <w:shd w:val="clear" w:color="auto" w:fill="auto"/>
                  <w:vAlign w:val="center"/>
                </w:tcPr>
                <w:p w14:paraId="61B33017" w14:textId="00A9B32C" w:rsidR="00114F14" w:rsidRPr="008D72F0" w:rsidRDefault="00114F14" w:rsidP="004A104C">
                  <w:pPr>
                    <w:jc w:val="right"/>
                    <w:rPr>
                      <w:sz w:val="20"/>
                      <w:szCs w:val="20"/>
                    </w:rPr>
                  </w:pPr>
                  <w:r>
                    <w:rPr>
                      <w:sz w:val="20"/>
                      <w:szCs w:val="20"/>
                    </w:rPr>
                    <w:t>(1.000)</w:t>
                  </w:r>
                </w:p>
              </w:tc>
              <w:tc>
                <w:tcPr>
                  <w:tcW w:w="1415" w:type="dxa"/>
                  <w:vAlign w:val="center"/>
                </w:tcPr>
                <w:p w14:paraId="3248D333" w14:textId="71FD72F5" w:rsidR="00114F14" w:rsidRDefault="00114F14" w:rsidP="004A104C">
                  <w:pPr>
                    <w:jc w:val="right"/>
                    <w:rPr>
                      <w:sz w:val="20"/>
                      <w:szCs w:val="20"/>
                    </w:rPr>
                  </w:pPr>
                  <w:r>
                    <w:rPr>
                      <w:sz w:val="20"/>
                      <w:szCs w:val="20"/>
                    </w:rPr>
                    <w:t>(1.000)</w:t>
                  </w:r>
                </w:p>
              </w:tc>
            </w:tr>
            <w:tr w:rsidR="00114F14" w:rsidRPr="008D72F0" w14:paraId="43852392" w14:textId="77777777" w:rsidTr="001544A4">
              <w:trPr>
                <w:trHeight w:val="315"/>
              </w:trPr>
              <w:tc>
                <w:tcPr>
                  <w:tcW w:w="1666" w:type="dxa"/>
                  <w:shd w:val="clear" w:color="auto" w:fill="auto"/>
                </w:tcPr>
                <w:p w14:paraId="25A03691" w14:textId="77777777" w:rsidR="00114F14" w:rsidRPr="008E6261" w:rsidRDefault="00114F14" w:rsidP="004A104C">
                  <w:pPr>
                    <w:jc w:val="right"/>
                    <w:rPr>
                      <w:sz w:val="16"/>
                      <w:szCs w:val="16"/>
                    </w:rPr>
                  </w:pPr>
                  <w:r w:rsidRPr="008E6261">
                    <w:rPr>
                      <w:sz w:val="16"/>
                      <w:szCs w:val="16"/>
                    </w:rPr>
                    <w:t>Personal Services</w:t>
                  </w:r>
                </w:p>
              </w:tc>
              <w:tc>
                <w:tcPr>
                  <w:tcW w:w="1415" w:type="dxa"/>
                  <w:shd w:val="clear" w:color="auto" w:fill="auto"/>
                </w:tcPr>
                <w:p w14:paraId="0E5A26D4" w14:textId="2BFEA5B8" w:rsidR="00114F14" w:rsidRPr="008D72F0" w:rsidRDefault="00114F14" w:rsidP="004A104C">
                  <w:pPr>
                    <w:jc w:val="right"/>
                    <w:rPr>
                      <w:sz w:val="20"/>
                      <w:szCs w:val="20"/>
                    </w:rPr>
                  </w:pPr>
                  <w:r>
                    <w:rPr>
                      <w:sz w:val="20"/>
                      <w:szCs w:val="20"/>
                    </w:rPr>
                    <w:t>($123,966)</w:t>
                  </w:r>
                </w:p>
              </w:tc>
              <w:tc>
                <w:tcPr>
                  <w:tcW w:w="1415" w:type="dxa"/>
                </w:tcPr>
                <w:p w14:paraId="339057CD" w14:textId="6655E4B0" w:rsidR="00114F14" w:rsidRPr="008D72F0" w:rsidRDefault="00114F14" w:rsidP="004A104C">
                  <w:pPr>
                    <w:jc w:val="right"/>
                    <w:rPr>
                      <w:sz w:val="20"/>
                      <w:szCs w:val="20"/>
                    </w:rPr>
                  </w:pPr>
                  <w:r>
                    <w:rPr>
                      <w:sz w:val="20"/>
                      <w:szCs w:val="20"/>
                    </w:rPr>
                    <w:t>($124,730)</w:t>
                  </w:r>
                </w:p>
              </w:tc>
            </w:tr>
            <w:tr w:rsidR="00114F14" w:rsidRPr="008D72F0" w14:paraId="6714711B" w14:textId="77777777" w:rsidTr="001544A4">
              <w:trPr>
                <w:trHeight w:val="303"/>
              </w:trPr>
              <w:tc>
                <w:tcPr>
                  <w:tcW w:w="1666" w:type="dxa"/>
                  <w:shd w:val="clear" w:color="auto" w:fill="auto"/>
                </w:tcPr>
                <w:p w14:paraId="41DF1EEF" w14:textId="77777777" w:rsidR="00114F14" w:rsidRPr="008E6261" w:rsidRDefault="00114F14" w:rsidP="004A104C">
                  <w:pPr>
                    <w:jc w:val="right"/>
                    <w:rPr>
                      <w:sz w:val="16"/>
                      <w:szCs w:val="16"/>
                    </w:rPr>
                  </w:pPr>
                  <w:r>
                    <w:rPr>
                      <w:sz w:val="16"/>
                      <w:szCs w:val="16"/>
                    </w:rPr>
                    <w:t>Federal Expenditures Fund</w:t>
                  </w:r>
                </w:p>
              </w:tc>
              <w:tc>
                <w:tcPr>
                  <w:tcW w:w="1415" w:type="dxa"/>
                  <w:shd w:val="clear" w:color="auto" w:fill="auto"/>
                </w:tcPr>
                <w:p w14:paraId="27B29DDA" w14:textId="77777777" w:rsidR="00114F14" w:rsidRDefault="00114F14" w:rsidP="004A104C">
                  <w:pPr>
                    <w:jc w:val="right"/>
                    <w:rPr>
                      <w:sz w:val="20"/>
                      <w:szCs w:val="20"/>
                    </w:rPr>
                  </w:pPr>
                </w:p>
              </w:tc>
              <w:tc>
                <w:tcPr>
                  <w:tcW w:w="1415" w:type="dxa"/>
                </w:tcPr>
                <w:p w14:paraId="0A5E84AC" w14:textId="77777777" w:rsidR="00114F14" w:rsidRDefault="00114F14" w:rsidP="004A104C">
                  <w:pPr>
                    <w:jc w:val="right"/>
                    <w:rPr>
                      <w:sz w:val="20"/>
                      <w:szCs w:val="20"/>
                    </w:rPr>
                  </w:pPr>
                </w:p>
              </w:tc>
            </w:tr>
            <w:tr w:rsidR="00114F14" w:rsidRPr="008D72F0" w14:paraId="60636408" w14:textId="77777777" w:rsidTr="001544A4">
              <w:trPr>
                <w:trHeight w:val="303"/>
              </w:trPr>
              <w:tc>
                <w:tcPr>
                  <w:tcW w:w="1666" w:type="dxa"/>
                  <w:shd w:val="clear" w:color="auto" w:fill="auto"/>
                </w:tcPr>
                <w:p w14:paraId="1644029C" w14:textId="447A6E00" w:rsidR="00114F14" w:rsidRPr="008E6261" w:rsidRDefault="00114F14" w:rsidP="004A104C">
                  <w:pPr>
                    <w:jc w:val="right"/>
                    <w:rPr>
                      <w:sz w:val="16"/>
                      <w:szCs w:val="16"/>
                    </w:rPr>
                  </w:pPr>
                  <w:r>
                    <w:rPr>
                      <w:sz w:val="16"/>
                      <w:szCs w:val="16"/>
                    </w:rPr>
                    <w:t>Personal Services</w:t>
                  </w:r>
                </w:p>
              </w:tc>
              <w:tc>
                <w:tcPr>
                  <w:tcW w:w="1415" w:type="dxa"/>
                  <w:shd w:val="clear" w:color="auto" w:fill="auto"/>
                </w:tcPr>
                <w:p w14:paraId="4A24E06E" w14:textId="13F56EA7" w:rsidR="00114F14" w:rsidRDefault="00114F14" w:rsidP="004A104C">
                  <w:pPr>
                    <w:jc w:val="right"/>
                    <w:rPr>
                      <w:sz w:val="20"/>
                      <w:szCs w:val="20"/>
                    </w:rPr>
                  </w:pPr>
                  <w:r>
                    <w:rPr>
                      <w:sz w:val="20"/>
                      <w:szCs w:val="20"/>
                    </w:rPr>
                    <w:t>$1,963</w:t>
                  </w:r>
                </w:p>
              </w:tc>
              <w:tc>
                <w:tcPr>
                  <w:tcW w:w="1415" w:type="dxa"/>
                </w:tcPr>
                <w:p w14:paraId="03C2B9ED" w14:textId="2BE62F7B" w:rsidR="00114F14" w:rsidRDefault="00114F14" w:rsidP="004A104C">
                  <w:pPr>
                    <w:jc w:val="right"/>
                    <w:rPr>
                      <w:sz w:val="20"/>
                      <w:szCs w:val="20"/>
                    </w:rPr>
                  </w:pPr>
                  <w:r>
                    <w:rPr>
                      <w:sz w:val="20"/>
                      <w:szCs w:val="20"/>
                    </w:rPr>
                    <w:t>$1,794</w:t>
                  </w:r>
                </w:p>
              </w:tc>
            </w:tr>
            <w:tr w:rsidR="00114F14" w:rsidRPr="008D72F0" w14:paraId="1CDBD3E4" w14:textId="77777777" w:rsidTr="001544A4">
              <w:trPr>
                <w:trHeight w:val="303"/>
              </w:trPr>
              <w:tc>
                <w:tcPr>
                  <w:tcW w:w="1666" w:type="dxa"/>
                  <w:shd w:val="clear" w:color="auto" w:fill="auto"/>
                </w:tcPr>
                <w:p w14:paraId="2BBA59E3" w14:textId="5B244ACC" w:rsidR="00114F14" w:rsidRPr="008E6261" w:rsidRDefault="00114F14" w:rsidP="004A104C">
                  <w:pPr>
                    <w:jc w:val="right"/>
                    <w:rPr>
                      <w:sz w:val="16"/>
                      <w:szCs w:val="16"/>
                    </w:rPr>
                  </w:pPr>
                  <w:r>
                    <w:rPr>
                      <w:sz w:val="16"/>
                      <w:szCs w:val="16"/>
                    </w:rPr>
                    <w:t>All Other</w:t>
                  </w:r>
                </w:p>
              </w:tc>
              <w:tc>
                <w:tcPr>
                  <w:tcW w:w="1415" w:type="dxa"/>
                  <w:shd w:val="clear" w:color="auto" w:fill="auto"/>
                </w:tcPr>
                <w:p w14:paraId="27172512" w14:textId="3A99DCDE" w:rsidR="00114F14" w:rsidRPr="00A80669" w:rsidRDefault="00114F14" w:rsidP="004A104C">
                  <w:pPr>
                    <w:jc w:val="right"/>
                    <w:rPr>
                      <w:sz w:val="20"/>
                      <w:szCs w:val="20"/>
                    </w:rPr>
                  </w:pPr>
                  <w:r w:rsidRPr="00A80669">
                    <w:rPr>
                      <w:sz w:val="20"/>
                      <w:szCs w:val="20"/>
                    </w:rPr>
                    <w:t>$30,502</w:t>
                  </w:r>
                </w:p>
              </w:tc>
              <w:tc>
                <w:tcPr>
                  <w:tcW w:w="1415" w:type="dxa"/>
                </w:tcPr>
                <w:p w14:paraId="3DF5E195" w14:textId="42B87C79" w:rsidR="00114F14" w:rsidRPr="00A80669" w:rsidRDefault="00114F14" w:rsidP="004A104C">
                  <w:pPr>
                    <w:jc w:val="right"/>
                    <w:rPr>
                      <w:sz w:val="20"/>
                      <w:szCs w:val="20"/>
                    </w:rPr>
                  </w:pPr>
                  <w:r w:rsidRPr="00A80669">
                    <w:rPr>
                      <w:sz w:val="20"/>
                      <w:szCs w:val="20"/>
                    </w:rPr>
                    <w:t>$30,734</w:t>
                  </w:r>
                </w:p>
              </w:tc>
            </w:tr>
            <w:tr w:rsidR="00114F14" w:rsidRPr="008D72F0" w14:paraId="5C72A6F6" w14:textId="77777777" w:rsidTr="001544A4">
              <w:trPr>
                <w:trHeight w:val="303"/>
              </w:trPr>
              <w:tc>
                <w:tcPr>
                  <w:tcW w:w="1666" w:type="dxa"/>
                  <w:shd w:val="clear" w:color="auto" w:fill="auto"/>
                </w:tcPr>
                <w:p w14:paraId="0CBC2A96" w14:textId="24BB1D7F" w:rsidR="00114F14" w:rsidRPr="00291163" w:rsidRDefault="00114F14" w:rsidP="004A104C">
                  <w:pPr>
                    <w:jc w:val="right"/>
                    <w:rPr>
                      <w:sz w:val="16"/>
                      <w:szCs w:val="16"/>
                      <w:u w:val="single"/>
                    </w:rPr>
                  </w:pPr>
                  <w:r>
                    <w:rPr>
                      <w:sz w:val="16"/>
                      <w:szCs w:val="16"/>
                      <w:u w:val="single"/>
                    </w:rPr>
                    <w:t>Federal Expenditures Fund Totals</w:t>
                  </w:r>
                </w:p>
              </w:tc>
              <w:tc>
                <w:tcPr>
                  <w:tcW w:w="1415" w:type="dxa"/>
                  <w:shd w:val="clear" w:color="auto" w:fill="auto"/>
                </w:tcPr>
                <w:p w14:paraId="29BA8446" w14:textId="5F6AE9D9" w:rsidR="00114F14" w:rsidRPr="00A80669" w:rsidRDefault="00114F14" w:rsidP="004A104C">
                  <w:pPr>
                    <w:jc w:val="right"/>
                    <w:rPr>
                      <w:sz w:val="20"/>
                      <w:szCs w:val="20"/>
                      <w:u w:val="single"/>
                    </w:rPr>
                  </w:pPr>
                  <w:r w:rsidRPr="00A80669">
                    <w:rPr>
                      <w:sz w:val="20"/>
                      <w:szCs w:val="20"/>
                      <w:u w:val="single"/>
                    </w:rPr>
                    <w:t>$32,465</w:t>
                  </w:r>
                </w:p>
              </w:tc>
              <w:tc>
                <w:tcPr>
                  <w:tcW w:w="1415" w:type="dxa"/>
                </w:tcPr>
                <w:p w14:paraId="73714BB7" w14:textId="5064F3A4" w:rsidR="00114F14" w:rsidRPr="00A80669" w:rsidRDefault="00114F14" w:rsidP="004A104C">
                  <w:pPr>
                    <w:jc w:val="right"/>
                    <w:rPr>
                      <w:sz w:val="20"/>
                      <w:szCs w:val="20"/>
                      <w:u w:val="single"/>
                    </w:rPr>
                  </w:pPr>
                  <w:r w:rsidRPr="00A80669">
                    <w:rPr>
                      <w:sz w:val="20"/>
                      <w:szCs w:val="20"/>
                      <w:u w:val="single"/>
                    </w:rPr>
                    <w:t>$32,528</w:t>
                  </w:r>
                </w:p>
              </w:tc>
            </w:tr>
          </w:tbl>
          <w:p w14:paraId="14807398" w14:textId="1EDF466B" w:rsidR="00114F14" w:rsidRDefault="00114F14" w:rsidP="004A104C">
            <w:pPr>
              <w:pStyle w:val="ListBullet"/>
              <w:numPr>
                <w:ilvl w:val="0"/>
                <w:numId w:val="0"/>
              </w:numPr>
              <w:ind w:left="280"/>
            </w:pPr>
          </w:p>
          <w:p w14:paraId="769D332F" w14:textId="07C19ABF" w:rsidR="00114F14" w:rsidRDefault="00114F14" w:rsidP="004A104C">
            <w:pPr>
              <w:pStyle w:val="ListBullet"/>
              <w:numPr>
                <w:ilvl w:val="0"/>
                <w:numId w:val="0"/>
              </w:numPr>
              <w:ind w:left="280"/>
            </w:pPr>
          </w:p>
          <w:p w14:paraId="295A50DA" w14:textId="08DC8F45" w:rsidR="00114F14" w:rsidRDefault="00114F14" w:rsidP="004A104C">
            <w:pPr>
              <w:pStyle w:val="ListBullet"/>
              <w:numPr>
                <w:ilvl w:val="0"/>
                <w:numId w:val="0"/>
              </w:numPr>
              <w:ind w:left="280"/>
            </w:pPr>
          </w:p>
          <w:p w14:paraId="1070F5E7" w14:textId="58965C5C" w:rsidR="00114F14" w:rsidRDefault="00114F14" w:rsidP="004A104C">
            <w:pPr>
              <w:pStyle w:val="ListBullet"/>
              <w:numPr>
                <w:ilvl w:val="0"/>
                <w:numId w:val="0"/>
              </w:numPr>
              <w:ind w:left="280"/>
            </w:pPr>
          </w:p>
          <w:p w14:paraId="1B620D2A" w14:textId="1B9FD2A3" w:rsidR="00114F14" w:rsidRDefault="00114F14" w:rsidP="004A104C">
            <w:pPr>
              <w:pStyle w:val="ListBullet"/>
              <w:numPr>
                <w:ilvl w:val="0"/>
                <w:numId w:val="0"/>
              </w:numPr>
              <w:ind w:left="280"/>
            </w:pPr>
          </w:p>
          <w:p w14:paraId="5D606A8A" w14:textId="56E41A3B" w:rsidR="00114F14" w:rsidRDefault="00114F14" w:rsidP="004A104C">
            <w:pPr>
              <w:pStyle w:val="ListBullet"/>
              <w:numPr>
                <w:ilvl w:val="0"/>
                <w:numId w:val="0"/>
              </w:numPr>
              <w:ind w:left="280"/>
            </w:pPr>
          </w:p>
          <w:p w14:paraId="07CF2B12" w14:textId="31B3F8A7" w:rsidR="00114F14" w:rsidRDefault="00114F14" w:rsidP="004A104C">
            <w:pPr>
              <w:pStyle w:val="ListBullet"/>
              <w:numPr>
                <w:ilvl w:val="0"/>
                <w:numId w:val="0"/>
              </w:numPr>
              <w:ind w:left="280"/>
            </w:pPr>
          </w:p>
          <w:p w14:paraId="6056F176" w14:textId="027A310F" w:rsidR="00114F14" w:rsidRDefault="00114F14" w:rsidP="004A104C">
            <w:pPr>
              <w:pStyle w:val="ListBullet"/>
              <w:numPr>
                <w:ilvl w:val="0"/>
                <w:numId w:val="0"/>
              </w:numPr>
              <w:ind w:left="280"/>
            </w:pPr>
          </w:p>
          <w:p w14:paraId="24B8C339" w14:textId="5F263314" w:rsidR="00114F14" w:rsidRDefault="00114F14" w:rsidP="004A104C">
            <w:pPr>
              <w:pStyle w:val="ListBullet"/>
              <w:numPr>
                <w:ilvl w:val="0"/>
                <w:numId w:val="0"/>
              </w:numPr>
              <w:ind w:left="280"/>
            </w:pPr>
          </w:p>
          <w:p w14:paraId="57828126" w14:textId="44A16473" w:rsidR="00114F14" w:rsidRDefault="00114F14" w:rsidP="004A104C">
            <w:pPr>
              <w:pStyle w:val="ListBullet"/>
              <w:numPr>
                <w:ilvl w:val="0"/>
                <w:numId w:val="0"/>
              </w:numPr>
              <w:ind w:left="280"/>
            </w:pPr>
          </w:p>
          <w:p w14:paraId="1AB9E198" w14:textId="373FC3A0" w:rsidR="00114F14" w:rsidRDefault="00114F14" w:rsidP="004A104C">
            <w:pPr>
              <w:pStyle w:val="ListBullet"/>
            </w:pPr>
            <w:r>
              <w:t>Transfers Federal Expenditures Fund appropriations in the budget per a memorandum of understanding to the Department of Health &amp; Human Services to offset costs related to the administration of a youth risk behavior survey of ($35,000) in FY 20 and in FY 21.</w:t>
            </w:r>
          </w:p>
          <w:p w14:paraId="023013C1" w14:textId="604A7322" w:rsidR="00114F14" w:rsidRDefault="00114F14" w:rsidP="004A104C">
            <w:pPr>
              <w:pStyle w:val="ListBullet"/>
            </w:pPr>
            <w:r>
              <w:t>Provides Federal Expenditures Fund appropriations in the budget for the Student Support and Academic Enrichment Program of $5,270,196 in FY 20 and in FY 21.</w:t>
            </w:r>
          </w:p>
          <w:p w14:paraId="7E975ADA" w14:textId="1071BD52" w:rsidR="00114F14" w:rsidRDefault="00114F14" w:rsidP="004A104C">
            <w:pPr>
              <w:pStyle w:val="ListBullet"/>
            </w:pPr>
            <w:r>
              <w:t xml:space="preserve"> Transfers and reallocates one Public Service Manager II, 5 Education Specialist III, one Public Service Coordinator I, one Management Analyst II and one Office Associate II positions and associated All Other costs from various federal accounts to </w:t>
            </w:r>
            <w:proofErr w:type="gramStart"/>
            <w:r>
              <w:t>the Every</w:t>
            </w:r>
            <w:proofErr w:type="gramEnd"/>
            <w:r>
              <w:t xml:space="preserve"> Student Succeeds Act consolidated administration account all within Learning Systems Team.  Also provides funding for the account to cover expenditures in multiple grant years of $325,000 in FY 20 and in FY 21.</w:t>
            </w:r>
          </w:p>
          <w:p w14:paraId="7678BC71" w14:textId="7B6CE11D" w:rsidR="00114F14" w:rsidRDefault="00114F14" w:rsidP="004A104C">
            <w:pPr>
              <w:pStyle w:val="ListBullet"/>
            </w:pPr>
            <w:r>
              <w:t>Provides Federal Expenditures Fund appropriations in the budget for the Education for Homeless Children and Youths grant of $94,443 in FY 20 and in FY 21.</w:t>
            </w:r>
          </w:p>
          <w:p w14:paraId="75809080" w14:textId="7177A36A" w:rsidR="00114F14" w:rsidRDefault="00114F14" w:rsidP="004A104C">
            <w:pPr>
              <w:pStyle w:val="ListBullet"/>
            </w:pPr>
            <w:r>
              <w:t>Reorganizes one Office Associate II to an Education Specialist II position and reallocates cost of the position between accounts within the Learning Systems Team program.  Also reduces All Other to fund the reallocation.</w:t>
            </w:r>
          </w:p>
          <w:p w14:paraId="15C506FB" w14:textId="77777777" w:rsidR="00114F14" w:rsidRDefault="00114F14" w:rsidP="004A104C">
            <w:pPr>
              <w:pStyle w:val="ListBullet"/>
              <w:numPr>
                <w:ilvl w:val="0"/>
                <w:numId w:val="0"/>
              </w:numPr>
              <w:ind w:left="460" w:hanging="18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6AD58728" w14:textId="77777777" w:rsidTr="00BC149C">
              <w:trPr>
                <w:trHeight w:val="357"/>
              </w:trPr>
              <w:tc>
                <w:tcPr>
                  <w:tcW w:w="1980" w:type="dxa"/>
                  <w:shd w:val="clear" w:color="auto" w:fill="auto"/>
                </w:tcPr>
                <w:p w14:paraId="142576B1" w14:textId="77777777" w:rsidR="00114F14" w:rsidRPr="008D72F0" w:rsidRDefault="00114F14" w:rsidP="004A104C">
                  <w:pPr>
                    <w:jc w:val="right"/>
                    <w:rPr>
                      <w:sz w:val="20"/>
                      <w:szCs w:val="20"/>
                      <w:u w:val="single"/>
                    </w:rPr>
                  </w:pPr>
                </w:p>
              </w:tc>
              <w:tc>
                <w:tcPr>
                  <w:tcW w:w="1260" w:type="dxa"/>
                  <w:shd w:val="clear" w:color="auto" w:fill="auto"/>
                </w:tcPr>
                <w:p w14:paraId="7C4722B6"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00BAC15"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0EDB752A" w14:textId="77777777" w:rsidTr="00BC149C">
              <w:trPr>
                <w:trHeight w:val="357"/>
              </w:trPr>
              <w:tc>
                <w:tcPr>
                  <w:tcW w:w="1980" w:type="dxa"/>
                  <w:shd w:val="clear" w:color="auto" w:fill="auto"/>
                </w:tcPr>
                <w:p w14:paraId="1CAEE818"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7D0A9D2F" w14:textId="6251F5F2" w:rsidR="00114F14" w:rsidRPr="008D72F0" w:rsidRDefault="00114F14" w:rsidP="004A104C">
                  <w:pPr>
                    <w:jc w:val="right"/>
                    <w:rPr>
                      <w:sz w:val="20"/>
                      <w:szCs w:val="20"/>
                    </w:rPr>
                  </w:pPr>
                  <w:r>
                    <w:rPr>
                      <w:sz w:val="20"/>
                      <w:szCs w:val="20"/>
                    </w:rPr>
                    <w:t>$21,687</w:t>
                  </w:r>
                </w:p>
              </w:tc>
              <w:tc>
                <w:tcPr>
                  <w:tcW w:w="1260" w:type="dxa"/>
                </w:tcPr>
                <w:p w14:paraId="1B3D0452" w14:textId="52CAEAD5" w:rsidR="00114F14" w:rsidRPr="008D72F0" w:rsidRDefault="00114F14" w:rsidP="004A104C">
                  <w:pPr>
                    <w:jc w:val="right"/>
                    <w:rPr>
                      <w:sz w:val="20"/>
                      <w:szCs w:val="20"/>
                    </w:rPr>
                  </w:pPr>
                  <w:r>
                    <w:rPr>
                      <w:sz w:val="20"/>
                      <w:szCs w:val="20"/>
                    </w:rPr>
                    <w:t>$18,141</w:t>
                  </w:r>
                </w:p>
              </w:tc>
            </w:tr>
            <w:tr w:rsidR="00114F14" w:rsidRPr="008D72F0" w14:paraId="0F39E268" w14:textId="77777777" w:rsidTr="00BC149C">
              <w:trPr>
                <w:trHeight w:val="357"/>
              </w:trPr>
              <w:tc>
                <w:tcPr>
                  <w:tcW w:w="1980" w:type="dxa"/>
                  <w:shd w:val="clear" w:color="auto" w:fill="auto"/>
                </w:tcPr>
                <w:p w14:paraId="142A88A7"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3EC93194" w14:textId="09963D38" w:rsidR="00114F14" w:rsidRDefault="00114F14" w:rsidP="004A104C">
                  <w:pPr>
                    <w:jc w:val="right"/>
                    <w:rPr>
                      <w:sz w:val="20"/>
                      <w:szCs w:val="20"/>
                    </w:rPr>
                  </w:pPr>
                  <w:r>
                    <w:rPr>
                      <w:sz w:val="20"/>
                      <w:szCs w:val="20"/>
                    </w:rPr>
                    <w:t>($47,329)</w:t>
                  </w:r>
                </w:p>
              </w:tc>
              <w:tc>
                <w:tcPr>
                  <w:tcW w:w="1260" w:type="dxa"/>
                </w:tcPr>
                <w:p w14:paraId="477FDC79" w14:textId="0FFD0018" w:rsidR="00114F14" w:rsidRDefault="00114F14" w:rsidP="004A104C">
                  <w:pPr>
                    <w:jc w:val="right"/>
                    <w:rPr>
                      <w:sz w:val="20"/>
                      <w:szCs w:val="20"/>
                    </w:rPr>
                  </w:pPr>
                  <w:r>
                    <w:rPr>
                      <w:sz w:val="20"/>
                      <w:szCs w:val="20"/>
                    </w:rPr>
                    <w:t>($45,067)</w:t>
                  </w:r>
                </w:p>
              </w:tc>
            </w:tr>
            <w:tr w:rsidR="00114F14" w:rsidRPr="008D72F0" w14:paraId="7D210DAC" w14:textId="77777777" w:rsidTr="00BC149C">
              <w:trPr>
                <w:trHeight w:val="303"/>
              </w:trPr>
              <w:tc>
                <w:tcPr>
                  <w:tcW w:w="1980" w:type="dxa"/>
                  <w:shd w:val="clear" w:color="auto" w:fill="auto"/>
                </w:tcPr>
                <w:p w14:paraId="3AAF5818" w14:textId="4D56DCE1" w:rsidR="00114F14" w:rsidRPr="002C59F4" w:rsidRDefault="00114F14" w:rsidP="004A104C">
                  <w:pPr>
                    <w:rPr>
                      <w:sz w:val="16"/>
                      <w:szCs w:val="16"/>
                      <w:u w:val="single"/>
                    </w:rPr>
                  </w:pPr>
                  <w:r>
                    <w:rPr>
                      <w:sz w:val="16"/>
                      <w:szCs w:val="16"/>
                      <w:u w:val="single"/>
                    </w:rPr>
                    <w:t>Federal Expenditures Fund Totals</w:t>
                  </w:r>
                </w:p>
              </w:tc>
              <w:tc>
                <w:tcPr>
                  <w:tcW w:w="1260" w:type="dxa"/>
                  <w:shd w:val="clear" w:color="auto" w:fill="auto"/>
                </w:tcPr>
                <w:p w14:paraId="73D35FEA" w14:textId="0DA25FA1" w:rsidR="00114F14" w:rsidRPr="002C59F4" w:rsidRDefault="00114F14" w:rsidP="004A104C">
                  <w:pPr>
                    <w:spacing w:before="240"/>
                    <w:jc w:val="right"/>
                    <w:rPr>
                      <w:sz w:val="20"/>
                      <w:szCs w:val="20"/>
                      <w:u w:val="single"/>
                    </w:rPr>
                  </w:pPr>
                  <w:r>
                    <w:rPr>
                      <w:sz w:val="20"/>
                      <w:szCs w:val="20"/>
                      <w:u w:val="single"/>
                    </w:rPr>
                    <w:t>($25,642)</w:t>
                  </w:r>
                </w:p>
              </w:tc>
              <w:tc>
                <w:tcPr>
                  <w:tcW w:w="1260" w:type="dxa"/>
                </w:tcPr>
                <w:p w14:paraId="530E9902" w14:textId="77777777" w:rsidR="00114F14" w:rsidRDefault="00114F14" w:rsidP="004A104C">
                  <w:pPr>
                    <w:jc w:val="right"/>
                    <w:rPr>
                      <w:sz w:val="20"/>
                      <w:szCs w:val="20"/>
                      <w:u w:val="single"/>
                    </w:rPr>
                  </w:pPr>
                </w:p>
                <w:p w14:paraId="0F1393FD" w14:textId="0B86F26B" w:rsidR="00114F14" w:rsidRPr="002C59F4" w:rsidRDefault="00114F14" w:rsidP="004A104C">
                  <w:pPr>
                    <w:jc w:val="right"/>
                    <w:rPr>
                      <w:sz w:val="20"/>
                      <w:szCs w:val="20"/>
                      <w:u w:val="single"/>
                    </w:rPr>
                  </w:pPr>
                  <w:r>
                    <w:rPr>
                      <w:sz w:val="20"/>
                      <w:szCs w:val="20"/>
                      <w:u w:val="single"/>
                    </w:rPr>
                    <w:t>($26,926)</w:t>
                  </w:r>
                </w:p>
              </w:tc>
            </w:tr>
          </w:tbl>
          <w:p w14:paraId="0A62A38C" w14:textId="0528E39E" w:rsidR="00114F14" w:rsidRDefault="00114F14" w:rsidP="004A104C">
            <w:pPr>
              <w:pStyle w:val="ListBullet"/>
              <w:numPr>
                <w:ilvl w:val="0"/>
                <w:numId w:val="0"/>
              </w:numPr>
              <w:ind w:left="280"/>
            </w:pPr>
          </w:p>
          <w:p w14:paraId="0CB0C8E4" w14:textId="751797E9" w:rsidR="00114F14" w:rsidRDefault="00114F14" w:rsidP="004A104C">
            <w:pPr>
              <w:pStyle w:val="ListBullet"/>
              <w:numPr>
                <w:ilvl w:val="0"/>
                <w:numId w:val="0"/>
              </w:numPr>
              <w:ind w:left="280"/>
            </w:pPr>
          </w:p>
          <w:p w14:paraId="252BB19E" w14:textId="1849CA80" w:rsidR="00114F14" w:rsidRDefault="00114F14" w:rsidP="004A104C">
            <w:pPr>
              <w:pStyle w:val="ListBullet"/>
              <w:numPr>
                <w:ilvl w:val="0"/>
                <w:numId w:val="0"/>
              </w:numPr>
              <w:ind w:left="280"/>
            </w:pPr>
          </w:p>
          <w:p w14:paraId="61EA4AA5" w14:textId="743E73FB" w:rsidR="00114F14" w:rsidRDefault="00114F14" w:rsidP="004A104C">
            <w:pPr>
              <w:pStyle w:val="ListBullet"/>
              <w:numPr>
                <w:ilvl w:val="0"/>
                <w:numId w:val="0"/>
              </w:numPr>
              <w:ind w:left="280"/>
            </w:pPr>
          </w:p>
          <w:p w14:paraId="1AF44E6F" w14:textId="2971C1AE" w:rsidR="00114F14" w:rsidRDefault="00114F14" w:rsidP="004A104C">
            <w:pPr>
              <w:pStyle w:val="ListBullet"/>
              <w:numPr>
                <w:ilvl w:val="0"/>
                <w:numId w:val="0"/>
              </w:numPr>
              <w:ind w:left="280"/>
            </w:pPr>
          </w:p>
          <w:p w14:paraId="0C200363" w14:textId="432E91E8" w:rsidR="00114F14" w:rsidRDefault="00114F14" w:rsidP="004A104C">
            <w:pPr>
              <w:pStyle w:val="ListBullet"/>
              <w:numPr>
                <w:ilvl w:val="0"/>
                <w:numId w:val="0"/>
              </w:numPr>
              <w:ind w:left="280"/>
            </w:pPr>
          </w:p>
          <w:p w14:paraId="6CA039CF" w14:textId="59D6B3CE" w:rsidR="00114F14" w:rsidRDefault="00114F14" w:rsidP="004A104C">
            <w:pPr>
              <w:pStyle w:val="ListBullet"/>
              <w:numPr>
                <w:ilvl w:val="0"/>
                <w:numId w:val="0"/>
              </w:numPr>
              <w:ind w:left="280"/>
            </w:pPr>
          </w:p>
          <w:p w14:paraId="1CBCDE8C" w14:textId="37515DAD" w:rsidR="00114F14" w:rsidRDefault="00114F14" w:rsidP="004A104C">
            <w:pPr>
              <w:pStyle w:val="ListBullet"/>
            </w:pPr>
            <w:r>
              <w:t>Continues one limited-period Education Specialist III previously established by a financial order through September 30, 2023 and provides All Other Federal Expenditures Fund associated with the position.</w:t>
            </w:r>
          </w:p>
          <w:p w14:paraId="368601F7" w14:textId="4E06219E" w:rsidR="00114F14" w:rsidRDefault="00114F14" w:rsidP="004A104C">
            <w:pPr>
              <w:pStyle w:val="ListBullet"/>
              <w:numPr>
                <w:ilvl w:val="0"/>
                <w:numId w:val="0"/>
              </w:numPr>
              <w:ind w:left="28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2830E7B4" w14:textId="77777777" w:rsidTr="00BC149C">
              <w:trPr>
                <w:trHeight w:val="357"/>
              </w:trPr>
              <w:tc>
                <w:tcPr>
                  <w:tcW w:w="1980" w:type="dxa"/>
                  <w:shd w:val="clear" w:color="auto" w:fill="auto"/>
                </w:tcPr>
                <w:p w14:paraId="5FFB299F" w14:textId="77777777" w:rsidR="00114F14" w:rsidRPr="008D72F0" w:rsidRDefault="00114F14" w:rsidP="004A104C">
                  <w:pPr>
                    <w:jc w:val="right"/>
                    <w:rPr>
                      <w:sz w:val="20"/>
                      <w:szCs w:val="20"/>
                      <w:u w:val="single"/>
                    </w:rPr>
                  </w:pPr>
                </w:p>
              </w:tc>
              <w:tc>
                <w:tcPr>
                  <w:tcW w:w="1260" w:type="dxa"/>
                  <w:shd w:val="clear" w:color="auto" w:fill="auto"/>
                </w:tcPr>
                <w:p w14:paraId="4178A1BD"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4BE1957E"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081AF85C" w14:textId="77777777" w:rsidTr="00BC149C">
              <w:trPr>
                <w:trHeight w:val="357"/>
              </w:trPr>
              <w:tc>
                <w:tcPr>
                  <w:tcW w:w="1980" w:type="dxa"/>
                  <w:shd w:val="clear" w:color="auto" w:fill="auto"/>
                </w:tcPr>
                <w:p w14:paraId="7735B190"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61E9E4F6" w14:textId="4F771B51" w:rsidR="00114F14" w:rsidRPr="008D72F0" w:rsidRDefault="00114F14" w:rsidP="004A104C">
                  <w:pPr>
                    <w:jc w:val="right"/>
                    <w:rPr>
                      <w:sz w:val="20"/>
                      <w:szCs w:val="20"/>
                    </w:rPr>
                  </w:pPr>
                  <w:r>
                    <w:rPr>
                      <w:sz w:val="20"/>
                      <w:szCs w:val="20"/>
                    </w:rPr>
                    <w:t>$111,437</w:t>
                  </w:r>
                </w:p>
              </w:tc>
              <w:tc>
                <w:tcPr>
                  <w:tcW w:w="1260" w:type="dxa"/>
                </w:tcPr>
                <w:p w14:paraId="650190C0" w14:textId="47A8B197" w:rsidR="00114F14" w:rsidRPr="008D72F0" w:rsidRDefault="00114F14" w:rsidP="004A104C">
                  <w:pPr>
                    <w:jc w:val="right"/>
                    <w:rPr>
                      <w:sz w:val="20"/>
                      <w:szCs w:val="20"/>
                    </w:rPr>
                  </w:pPr>
                  <w:r>
                    <w:rPr>
                      <w:sz w:val="20"/>
                      <w:szCs w:val="20"/>
                    </w:rPr>
                    <w:t>$112,388</w:t>
                  </w:r>
                </w:p>
              </w:tc>
            </w:tr>
            <w:tr w:rsidR="00114F14" w:rsidRPr="008D72F0" w14:paraId="029A1827" w14:textId="77777777" w:rsidTr="00BC149C">
              <w:trPr>
                <w:trHeight w:val="357"/>
              </w:trPr>
              <w:tc>
                <w:tcPr>
                  <w:tcW w:w="1980" w:type="dxa"/>
                  <w:shd w:val="clear" w:color="auto" w:fill="auto"/>
                </w:tcPr>
                <w:p w14:paraId="0DB69666"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30B48AA4" w14:textId="604C1F65" w:rsidR="00114F14" w:rsidRDefault="00114F14" w:rsidP="004A104C">
                  <w:pPr>
                    <w:jc w:val="right"/>
                    <w:rPr>
                      <w:sz w:val="20"/>
                      <w:szCs w:val="20"/>
                    </w:rPr>
                  </w:pPr>
                  <w:r>
                    <w:rPr>
                      <w:sz w:val="20"/>
                      <w:szCs w:val="20"/>
                    </w:rPr>
                    <w:t>$875,843</w:t>
                  </w:r>
                </w:p>
              </w:tc>
              <w:tc>
                <w:tcPr>
                  <w:tcW w:w="1260" w:type="dxa"/>
                </w:tcPr>
                <w:p w14:paraId="19378947" w14:textId="3EDC9314" w:rsidR="00114F14" w:rsidRDefault="00114F14" w:rsidP="004A104C">
                  <w:pPr>
                    <w:jc w:val="right"/>
                    <w:rPr>
                      <w:sz w:val="20"/>
                      <w:szCs w:val="20"/>
                    </w:rPr>
                  </w:pPr>
                  <w:r>
                    <w:rPr>
                      <w:sz w:val="20"/>
                      <w:szCs w:val="20"/>
                    </w:rPr>
                    <w:t>$870,368</w:t>
                  </w:r>
                </w:p>
              </w:tc>
            </w:tr>
            <w:tr w:rsidR="00114F14" w:rsidRPr="008D72F0" w14:paraId="4D6FD35A" w14:textId="77777777" w:rsidTr="00BC149C">
              <w:trPr>
                <w:trHeight w:val="303"/>
              </w:trPr>
              <w:tc>
                <w:tcPr>
                  <w:tcW w:w="1980" w:type="dxa"/>
                  <w:shd w:val="clear" w:color="auto" w:fill="auto"/>
                </w:tcPr>
                <w:p w14:paraId="6C9D3BD9" w14:textId="18647962" w:rsidR="00114F14" w:rsidRPr="002C59F4" w:rsidRDefault="00114F14" w:rsidP="004A104C">
                  <w:pPr>
                    <w:rPr>
                      <w:sz w:val="16"/>
                      <w:szCs w:val="16"/>
                      <w:u w:val="single"/>
                    </w:rPr>
                  </w:pPr>
                  <w:r>
                    <w:rPr>
                      <w:sz w:val="16"/>
                      <w:szCs w:val="16"/>
                      <w:u w:val="single"/>
                    </w:rPr>
                    <w:t>Federal Expenditures Fund Totals</w:t>
                  </w:r>
                </w:p>
              </w:tc>
              <w:tc>
                <w:tcPr>
                  <w:tcW w:w="1260" w:type="dxa"/>
                  <w:shd w:val="clear" w:color="auto" w:fill="auto"/>
                </w:tcPr>
                <w:p w14:paraId="670DF010" w14:textId="69E522B4" w:rsidR="00114F14" w:rsidRPr="002C59F4" w:rsidRDefault="00114F14" w:rsidP="004A104C">
                  <w:pPr>
                    <w:spacing w:before="240"/>
                    <w:jc w:val="right"/>
                    <w:rPr>
                      <w:sz w:val="20"/>
                      <w:szCs w:val="20"/>
                      <w:u w:val="single"/>
                    </w:rPr>
                  </w:pPr>
                  <w:r>
                    <w:rPr>
                      <w:sz w:val="20"/>
                      <w:szCs w:val="20"/>
                      <w:u w:val="single"/>
                    </w:rPr>
                    <w:t>$987,280</w:t>
                  </w:r>
                </w:p>
              </w:tc>
              <w:tc>
                <w:tcPr>
                  <w:tcW w:w="1260" w:type="dxa"/>
                </w:tcPr>
                <w:p w14:paraId="1CBF8CE0" w14:textId="77777777" w:rsidR="00114F14" w:rsidRDefault="00114F14" w:rsidP="004A104C">
                  <w:pPr>
                    <w:jc w:val="right"/>
                    <w:rPr>
                      <w:sz w:val="20"/>
                      <w:szCs w:val="20"/>
                      <w:u w:val="single"/>
                    </w:rPr>
                  </w:pPr>
                </w:p>
                <w:p w14:paraId="7B8C38E6" w14:textId="664F17DD" w:rsidR="00114F14" w:rsidRPr="002C59F4" w:rsidRDefault="00114F14" w:rsidP="004A104C">
                  <w:pPr>
                    <w:jc w:val="right"/>
                    <w:rPr>
                      <w:sz w:val="20"/>
                      <w:szCs w:val="20"/>
                      <w:u w:val="single"/>
                    </w:rPr>
                  </w:pPr>
                  <w:r>
                    <w:rPr>
                      <w:sz w:val="20"/>
                      <w:szCs w:val="20"/>
                      <w:u w:val="single"/>
                    </w:rPr>
                    <w:t>$982,756</w:t>
                  </w:r>
                </w:p>
              </w:tc>
            </w:tr>
          </w:tbl>
          <w:p w14:paraId="5C448FC6" w14:textId="4D4C95EA" w:rsidR="00114F14" w:rsidRDefault="00114F14" w:rsidP="004A104C">
            <w:pPr>
              <w:pStyle w:val="ListBullet"/>
              <w:numPr>
                <w:ilvl w:val="0"/>
                <w:numId w:val="0"/>
              </w:numPr>
              <w:ind w:left="280"/>
            </w:pPr>
          </w:p>
          <w:p w14:paraId="0E201CEF" w14:textId="0102B806" w:rsidR="00114F14" w:rsidRDefault="00114F14" w:rsidP="004A104C">
            <w:pPr>
              <w:pStyle w:val="ListBullet"/>
              <w:numPr>
                <w:ilvl w:val="0"/>
                <w:numId w:val="0"/>
              </w:numPr>
              <w:ind w:left="280"/>
            </w:pPr>
          </w:p>
          <w:p w14:paraId="605A5E53" w14:textId="05E16D13" w:rsidR="00114F14" w:rsidRDefault="00114F14" w:rsidP="004A104C">
            <w:pPr>
              <w:pStyle w:val="ListBullet"/>
              <w:numPr>
                <w:ilvl w:val="0"/>
                <w:numId w:val="0"/>
              </w:numPr>
              <w:ind w:left="280"/>
            </w:pPr>
          </w:p>
          <w:p w14:paraId="34222574" w14:textId="1D03ABC9" w:rsidR="00114F14" w:rsidRDefault="00114F14" w:rsidP="004A104C">
            <w:pPr>
              <w:pStyle w:val="ListBullet"/>
              <w:numPr>
                <w:ilvl w:val="0"/>
                <w:numId w:val="0"/>
              </w:numPr>
              <w:ind w:left="280"/>
            </w:pPr>
          </w:p>
          <w:p w14:paraId="30E1ECED" w14:textId="664B0EB2" w:rsidR="00114F14" w:rsidRDefault="00114F14" w:rsidP="004A104C">
            <w:pPr>
              <w:pStyle w:val="ListBullet"/>
              <w:numPr>
                <w:ilvl w:val="0"/>
                <w:numId w:val="0"/>
              </w:numPr>
              <w:ind w:left="280"/>
            </w:pPr>
          </w:p>
          <w:p w14:paraId="687FB142" w14:textId="05C00EB7" w:rsidR="00114F14" w:rsidRDefault="00114F14" w:rsidP="004A104C">
            <w:pPr>
              <w:pStyle w:val="ListBullet"/>
              <w:numPr>
                <w:ilvl w:val="0"/>
                <w:numId w:val="0"/>
              </w:numPr>
              <w:ind w:left="280"/>
            </w:pPr>
          </w:p>
          <w:p w14:paraId="34013EE0" w14:textId="2ED5DA4A" w:rsidR="00114F14" w:rsidRDefault="00114F14" w:rsidP="004A104C">
            <w:pPr>
              <w:pStyle w:val="ListBullet"/>
              <w:numPr>
                <w:ilvl w:val="0"/>
                <w:numId w:val="0"/>
              </w:numPr>
              <w:ind w:left="280"/>
            </w:pPr>
          </w:p>
          <w:p w14:paraId="5D240439" w14:textId="2AD83F96" w:rsidR="00114F14" w:rsidRDefault="00114F14" w:rsidP="004A104C">
            <w:pPr>
              <w:pStyle w:val="ListBullet"/>
            </w:pPr>
            <w:r>
              <w:t>Establishes one Public Service Executive II position and General Fund appropriations in the budget to serve as deputy director of Learning Systems Team and provides related All Other costs.</w:t>
            </w:r>
          </w:p>
          <w:p w14:paraId="6C333A40" w14:textId="3FB52751" w:rsidR="00114F14" w:rsidRDefault="00114F14" w:rsidP="004A104C">
            <w:pPr>
              <w:pStyle w:val="ListBullet"/>
              <w:numPr>
                <w:ilvl w:val="0"/>
                <w:numId w:val="0"/>
              </w:numPr>
              <w:ind w:left="280"/>
            </w:pPr>
          </w:p>
          <w:p w14:paraId="23B2324F" w14:textId="7A2CE775" w:rsidR="00114F14" w:rsidRDefault="00114F14" w:rsidP="004A104C">
            <w:pPr>
              <w:pStyle w:val="ListBullet"/>
              <w:numPr>
                <w:ilvl w:val="0"/>
                <w:numId w:val="0"/>
              </w:numPr>
              <w:ind w:left="280"/>
            </w:pPr>
          </w:p>
          <w:p w14:paraId="27B87535" w14:textId="6A7535E9" w:rsidR="00114F14" w:rsidRDefault="00114F14" w:rsidP="004A104C">
            <w:pPr>
              <w:pStyle w:val="ListBullet"/>
              <w:numPr>
                <w:ilvl w:val="0"/>
                <w:numId w:val="0"/>
              </w:numPr>
              <w:ind w:left="280"/>
            </w:pPr>
          </w:p>
          <w:p w14:paraId="2DA22CAC" w14:textId="77777777" w:rsidR="00114F14" w:rsidRDefault="00114F14" w:rsidP="004A104C">
            <w:pPr>
              <w:pStyle w:val="ListBullet"/>
              <w:numPr>
                <w:ilvl w:val="0"/>
                <w:numId w:val="0"/>
              </w:numPr>
              <w:ind w:left="280"/>
            </w:pPr>
          </w:p>
          <w:p w14:paraId="54DCBC19" w14:textId="77777777" w:rsidR="00114F14" w:rsidRDefault="00114F14" w:rsidP="004A104C">
            <w:pPr>
              <w:pStyle w:val="ListBullet"/>
              <w:numPr>
                <w:ilvl w:val="0"/>
                <w:numId w:val="0"/>
              </w:numPr>
              <w:ind w:left="280"/>
            </w:pPr>
          </w:p>
          <w:tbl>
            <w:tblPr>
              <w:tblpPr w:leftFromText="180" w:rightFromText="180" w:vertAnchor="text" w:horzAnchor="margin" w:tblpXSpec="center" w:tblpYSpec="top"/>
              <w:tblOverlap w:val="never"/>
              <w:tblW w:w="0" w:type="auto"/>
              <w:tblLook w:val="01E0" w:firstRow="1" w:lastRow="1" w:firstColumn="1" w:lastColumn="1" w:noHBand="0" w:noVBand="0"/>
            </w:tblPr>
            <w:tblGrid>
              <w:gridCol w:w="1980"/>
              <w:gridCol w:w="1260"/>
              <w:gridCol w:w="1260"/>
            </w:tblGrid>
            <w:tr w:rsidR="00114F14" w:rsidRPr="008D72F0" w14:paraId="6A696CC9" w14:textId="77777777" w:rsidTr="00BC149C">
              <w:trPr>
                <w:trHeight w:val="357"/>
              </w:trPr>
              <w:tc>
                <w:tcPr>
                  <w:tcW w:w="1980" w:type="dxa"/>
                  <w:shd w:val="clear" w:color="auto" w:fill="auto"/>
                </w:tcPr>
                <w:p w14:paraId="0EAB8D91" w14:textId="77777777" w:rsidR="00114F14" w:rsidRPr="008D72F0" w:rsidRDefault="00114F14" w:rsidP="004A104C">
                  <w:pPr>
                    <w:jc w:val="right"/>
                    <w:rPr>
                      <w:sz w:val="20"/>
                      <w:szCs w:val="20"/>
                      <w:u w:val="single"/>
                    </w:rPr>
                  </w:pPr>
                </w:p>
              </w:tc>
              <w:tc>
                <w:tcPr>
                  <w:tcW w:w="1260" w:type="dxa"/>
                  <w:shd w:val="clear" w:color="auto" w:fill="auto"/>
                </w:tcPr>
                <w:p w14:paraId="6662A0C8"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70BEFFD4"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60A43DEC" w14:textId="77777777" w:rsidTr="00BC149C">
              <w:trPr>
                <w:trHeight w:val="344"/>
              </w:trPr>
              <w:tc>
                <w:tcPr>
                  <w:tcW w:w="1980" w:type="dxa"/>
                  <w:shd w:val="clear" w:color="auto" w:fill="auto"/>
                </w:tcPr>
                <w:p w14:paraId="697F5620"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5517F42C" w14:textId="77777777" w:rsidR="00114F14" w:rsidRPr="008D72F0" w:rsidRDefault="00114F14" w:rsidP="004A104C">
                  <w:pPr>
                    <w:jc w:val="right"/>
                    <w:rPr>
                      <w:sz w:val="20"/>
                      <w:szCs w:val="20"/>
                    </w:rPr>
                  </w:pPr>
                  <w:r>
                    <w:rPr>
                      <w:sz w:val="20"/>
                      <w:szCs w:val="20"/>
                    </w:rPr>
                    <w:t>1.000</w:t>
                  </w:r>
                </w:p>
              </w:tc>
              <w:tc>
                <w:tcPr>
                  <w:tcW w:w="1260" w:type="dxa"/>
                  <w:vAlign w:val="center"/>
                </w:tcPr>
                <w:p w14:paraId="12FF2111" w14:textId="77777777" w:rsidR="00114F14" w:rsidRDefault="00114F14" w:rsidP="004A104C">
                  <w:pPr>
                    <w:jc w:val="right"/>
                    <w:rPr>
                      <w:sz w:val="20"/>
                      <w:szCs w:val="20"/>
                    </w:rPr>
                  </w:pPr>
                  <w:r>
                    <w:rPr>
                      <w:sz w:val="20"/>
                      <w:szCs w:val="20"/>
                    </w:rPr>
                    <w:t>1.000</w:t>
                  </w:r>
                </w:p>
              </w:tc>
            </w:tr>
            <w:tr w:rsidR="00114F14" w:rsidRPr="008D72F0" w14:paraId="1BDF5150" w14:textId="77777777" w:rsidTr="00BC149C">
              <w:trPr>
                <w:trHeight w:val="357"/>
              </w:trPr>
              <w:tc>
                <w:tcPr>
                  <w:tcW w:w="1980" w:type="dxa"/>
                  <w:shd w:val="clear" w:color="auto" w:fill="auto"/>
                </w:tcPr>
                <w:p w14:paraId="17E88225"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4DD57F23" w14:textId="2AD8F411" w:rsidR="00114F14" w:rsidRPr="008D72F0" w:rsidRDefault="00114F14" w:rsidP="004A104C">
                  <w:pPr>
                    <w:jc w:val="right"/>
                    <w:rPr>
                      <w:sz w:val="20"/>
                      <w:szCs w:val="20"/>
                    </w:rPr>
                  </w:pPr>
                  <w:r>
                    <w:rPr>
                      <w:sz w:val="20"/>
                      <w:szCs w:val="20"/>
                    </w:rPr>
                    <w:t>$128,844</w:t>
                  </w:r>
                </w:p>
              </w:tc>
              <w:tc>
                <w:tcPr>
                  <w:tcW w:w="1260" w:type="dxa"/>
                </w:tcPr>
                <w:p w14:paraId="127B3650" w14:textId="19F75D1D" w:rsidR="00114F14" w:rsidRPr="008D72F0" w:rsidRDefault="00114F14" w:rsidP="004A104C">
                  <w:pPr>
                    <w:jc w:val="right"/>
                    <w:rPr>
                      <w:sz w:val="20"/>
                      <w:szCs w:val="20"/>
                    </w:rPr>
                  </w:pPr>
                  <w:r>
                    <w:rPr>
                      <w:sz w:val="20"/>
                      <w:szCs w:val="20"/>
                    </w:rPr>
                    <w:t>$134,991</w:t>
                  </w:r>
                </w:p>
              </w:tc>
            </w:tr>
            <w:tr w:rsidR="00114F14" w:rsidRPr="008D72F0" w14:paraId="44C232E2" w14:textId="77777777" w:rsidTr="00BC149C">
              <w:trPr>
                <w:trHeight w:val="357"/>
              </w:trPr>
              <w:tc>
                <w:tcPr>
                  <w:tcW w:w="1980" w:type="dxa"/>
                  <w:shd w:val="clear" w:color="auto" w:fill="auto"/>
                </w:tcPr>
                <w:p w14:paraId="35BC1404" w14:textId="79BD141D" w:rsidR="00114F14" w:rsidRPr="008D72F0" w:rsidRDefault="00114F14" w:rsidP="004A104C">
                  <w:pPr>
                    <w:jc w:val="right"/>
                    <w:rPr>
                      <w:sz w:val="16"/>
                      <w:szCs w:val="16"/>
                    </w:rPr>
                  </w:pPr>
                  <w:r>
                    <w:rPr>
                      <w:sz w:val="16"/>
                      <w:szCs w:val="16"/>
                    </w:rPr>
                    <w:t>All Other</w:t>
                  </w:r>
                </w:p>
              </w:tc>
              <w:tc>
                <w:tcPr>
                  <w:tcW w:w="1260" w:type="dxa"/>
                  <w:shd w:val="clear" w:color="auto" w:fill="auto"/>
                </w:tcPr>
                <w:p w14:paraId="0B58AE4E" w14:textId="362D498F" w:rsidR="00114F14" w:rsidRPr="00A80669" w:rsidRDefault="00114F14" w:rsidP="004A104C">
                  <w:pPr>
                    <w:jc w:val="right"/>
                    <w:rPr>
                      <w:sz w:val="20"/>
                      <w:szCs w:val="20"/>
                    </w:rPr>
                  </w:pPr>
                  <w:r w:rsidRPr="00A80669">
                    <w:rPr>
                      <w:sz w:val="20"/>
                      <w:szCs w:val="20"/>
                    </w:rPr>
                    <w:t>$6,383</w:t>
                  </w:r>
                </w:p>
              </w:tc>
              <w:tc>
                <w:tcPr>
                  <w:tcW w:w="1260" w:type="dxa"/>
                </w:tcPr>
                <w:p w14:paraId="6423996F" w14:textId="46AC7E71" w:rsidR="00114F14" w:rsidRPr="00A80669" w:rsidRDefault="00114F14" w:rsidP="004A104C">
                  <w:pPr>
                    <w:jc w:val="right"/>
                    <w:rPr>
                      <w:sz w:val="20"/>
                      <w:szCs w:val="20"/>
                    </w:rPr>
                  </w:pPr>
                  <w:r w:rsidRPr="00A80669">
                    <w:rPr>
                      <w:sz w:val="20"/>
                      <w:szCs w:val="20"/>
                    </w:rPr>
                    <w:t>$6,383</w:t>
                  </w:r>
                </w:p>
              </w:tc>
            </w:tr>
            <w:tr w:rsidR="00114F14" w:rsidRPr="008D72F0" w14:paraId="5B7C6267" w14:textId="77777777" w:rsidTr="00BC149C">
              <w:trPr>
                <w:trHeight w:val="357"/>
              </w:trPr>
              <w:tc>
                <w:tcPr>
                  <w:tcW w:w="1980" w:type="dxa"/>
                  <w:shd w:val="clear" w:color="auto" w:fill="auto"/>
                </w:tcPr>
                <w:p w14:paraId="6EC68822" w14:textId="70998A2D" w:rsidR="00114F14" w:rsidRPr="0038485C" w:rsidRDefault="00114F14" w:rsidP="004A104C">
                  <w:pPr>
                    <w:jc w:val="right"/>
                    <w:rPr>
                      <w:sz w:val="16"/>
                      <w:szCs w:val="16"/>
                      <w:u w:val="single"/>
                    </w:rPr>
                  </w:pPr>
                  <w:r w:rsidRPr="0038485C">
                    <w:rPr>
                      <w:sz w:val="16"/>
                      <w:szCs w:val="16"/>
                      <w:u w:val="single"/>
                    </w:rPr>
                    <w:t>General Fund Totals</w:t>
                  </w:r>
                </w:p>
              </w:tc>
              <w:tc>
                <w:tcPr>
                  <w:tcW w:w="1260" w:type="dxa"/>
                  <w:shd w:val="clear" w:color="auto" w:fill="auto"/>
                </w:tcPr>
                <w:p w14:paraId="51617EFB" w14:textId="25C4151C" w:rsidR="00114F14" w:rsidRPr="00A80669" w:rsidRDefault="00114F14" w:rsidP="004A104C">
                  <w:pPr>
                    <w:jc w:val="right"/>
                    <w:rPr>
                      <w:sz w:val="20"/>
                      <w:szCs w:val="20"/>
                      <w:u w:val="single"/>
                    </w:rPr>
                  </w:pPr>
                  <w:r w:rsidRPr="00A80669">
                    <w:rPr>
                      <w:sz w:val="20"/>
                      <w:szCs w:val="20"/>
                      <w:u w:val="single"/>
                    </w:rPr>
                    <w:t>$135,227</w:t>
                  </w:r>
                </w:p>
              </w:tc>
              <w:tc>
                <w:tcPr>
                  <w:tcW w:w="1260" w:type="dxa"/>
                </w:tcPr>
                <w:p w14:paraId="24513C20" w14:textId="2716F175" w:rsidR="00114F14" w:rsidRPr="0038485C" w:rsidRDefault="00114F14" w:rsidP="004A104C">
                  <w:pPr>
                    <w:jc w:val="right"/>
                    <w:rPr>
                      <w:sz w:val="20"/>
                      <w:szCs w:val="20"/>
                      <w:u w:val="single"/>
                    </w:rPr>
                  </w:pPr>
                  <w:r>
                    <w:rPr>
                      <w:sz w:val="20"/>
                      <w:szCs w:val="20"/>
                      <w:u w:val="single"/>
                    </w:rPr>
                    <w:t>$141,374</w:t>
                  </w:r>
                </w:p>
              </w:tc>
            </w:tr>
          </w:tbl>
          <w:p w14:paraId="547D8A4A" w14:textId="6F2F1A96" w:rsidR="00114F14" w:rsidRDefault="00114F14" w:rsidP="004A104C">
            <w:pPr>
              <w:pStyle w:val="ListBullet"/>
              <w:numPr>
                <w:ilvl w:val="0"/>
                <w:numId w:val="0"/>
              </w:numPr>
              <w:ind w:left="280"/>
            </w:pPr>
          </w:p>
          <w:p w14:paraId="7D1BE74C" w14:textId="328543B9" w:rsidR="00114F14" w:rsidRDefault="00114F14" w:rsidP="004A104C">
            <w:pPr>
              <w:pStyle w:val="ListBullet"/>
              <w:numPr>
                <w:ilvl w:val="0"/>
                <w:numId w:val="0"/>
              </w:numPr>
              <w:ind w:left="280"/>
            </w:pPr>
          </w:p>
          <w:p w14:paraId="3D83E673" w14:textId="082CA63E" w:rsidR="00114F14" w:rsidRDefault="00114F14" w:rsidP="004A104C">
            <w:pPr>
              <w:pStyle w:val="ListBullet"/>
              <w:numPr>
                <w:ilvl w:val="0"/>
                <w:numId w:val="0"/>
              </w:numPr>
              <w:ind w:left="280"/>
            </w:pPr>
          </w:p>
          <w:p w14:paraId="33F2518C" w14:textId="722F2419" w:rsidR="00114F14" w:rsidRDefault="00114F14" w:rsidP="004A104C">
            <w:pPr>
              <w:pStyle w:val="ListBullet"/>
              <w:numPr>
                <w:ilvl w:val="0"/>
                <w:numId w:val="0"/>
              </w:numPr>
              <w:ind w:left="280"/>
            </w:pPr>
          </w:p>
          <w:p w14:paraId="1588D4C9" w14:textId="3D57E6AE" w:rsidR="00114F14" w:rsidRDefault="00114F14" w:rsidP="004A104C">
            <w:pPr>
              <w:pStyle w:val="ListBullet"/>
              <w:numPr>
                <w:ilvl w:val="0"/>
                <w:numId w:val="0"/>
              </w:numPr>
              <w:ind w:left="280"/>
            </w:pPr>
          </w:p>
          <w:p w14:paraId="70397BDF" w14:textId="685211F8" w:rsidR="00114F14" w:rsidRDefault="00114F14" w:rsidP="004A104C">
            <w:pPr>
              <w:pStyle w:val="ListBullet"/>
              <w:numPr>
                <w:ilvl w:val="0"/>
                <w:numId w:val="0"/>
              </w:numPr>
              <w:ind w:left="280"/>
            </w:pPr>
          </w:p>
          <w:p w14:paraId="2F884FF4" w14:textId="1B701CF5" w:rsidR="00114F14" w:rsidRDefault="00114F14" w:rsidP="004A104C">
            <w:pPr>
              <w:pStyle w:val="ListBullet"/>
              <w:numPr>
                <w:ilvl w:val="0"/>
                <w:numId w:val="0"/>
              </w:numPr>
              <w:ind w:left="280"/>
            </w:pPr>
          </w:p>
          <w:p w14:paraId="122AFA19" w14:textId="64ED9867" w:rsidR="00114F14" w:rsidRDefault="00114F14" w:rsidP="004A104C">
            <w:pPr>
              <w:pStyle w:val="ListBullet"/>
            </w:pPr>
            <w:r>
              <w:t>Transfers General Fund appropriations from Learning Systems to General Purpose Aid for Local Schools program for compliance with criminal history record check and fingerprinting requirements for employees of school administrative units of ($13,508) in FY 20 and in FY 21.</w:t>
            </w:r>
          </w:p>
          <w:p w14:paraId="3713AA43" w14:textId="3F40E30D" w:rsidR="00114F14" w:rsidRDefault="00114F14" w:rsidP="004A104C">
            <w:pPr>
              <w:pStyle w:val="ListBullet"/>
            </w:pPr>
            <w:r>
              <w:t>Provides General Fund appropriations in the budget for vision and hearing screening training for school nurses of $20,000 in FY 20 and in FY 21.</w:t>
            </w:r>
          </w:p>
          <w:p w14:paraId="28B6BAD0" w14:textId="088354D0" w:rsidR="00114F14" w:rsidRDefault="00114F14" w:rsidP="004A104C">
            <w:pPr>
              <w:pStyle w:val="ListBullet"/>
            </w:pPr>
            <w:r>
              <w:t>Establishes 2 Education Specialist III, 2 Regional Education Representative and one Management Analyst II positions and General Fund appropriations in the budget beginning September 23, 2019 to build staffing capacity within the Department of Education in General Fund appropriations.</w:t>
            </w:r>
          </w:p>
          <w:p w14:paraId="639BBF87" w14:textId="690F982D" w:rsidR="00114F14" w:rsidRDefault="00114F14" w:rsidP="004A104C">
            <w:pPr>
              <w:pStyle w:val="ListBullet"/>
              <w:numPr>
                <w:ilvl w:val="0"/>
                <w:numId w:val="0"/>
              </w:numPr>
              <w:ind w:left="28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1F77A849" w14:textId="77777777" w:rsidTr="00BC149C">
              <w:trPr>
                <w:trHeight w:val="357"/>
              </w:trPr>
              <w:tc>
                <w:tcPr>
                  <w:tcW w:w="1980" w:type="dxa"/>
                  <w:shd w:val="clear" w:color="auto" w:fill="auto"/>
                </w:tcPr>
                <w:p w14:paraId="28B622B7" w14:textId="77777777" w:rsidR="00114F14" w:rsidRPr="008D72F0" w:rsidRDefault="00114F14" w:rsidP="004A104C">
                  <w:pPr>
                    <w:jc w:val="right"/>
                    <w:rPr>
                      <w:sz w:val="20"/>
                      <w:szCs w:val="20"/>
                      <w:u w:val="single"/>
                    </w:rPr>
                  </w:pPr>
                </w:p>
              </w:tc>
              <w:tc>
                <w:tcPr>
                  <w:tcW w:w="1260" w:type="dxa"/>
                  <w:shd w:val="clear" w:color="auto" w:fill="auto"/>
                </w:tcPr>
                <w:p w14:paraId="6E5E9FB8"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3F223C7F"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2C88FDC2" w14:textId="77777777" w:rsidTr="00BC149C">
              <w:trPr>
                <w:trHeight w:val="344"/>
              </w:trPr>
              <w:tc>
                <w:tcPr>
                  <w:tcW w:w="1980" w:type="dxa"/>
                  <w:shd w:val="clear" w:color="auto" w:fill="auto"/>
                </w:tcPr>
                <w:p w14:paraId="4C7FAB52"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58DC4879" w14:textId="59090EF6" w:rsidR="00114F14" w:rsidRPr="008D72F0" w:rsidRDefault="00114F14" w:rsidP="004A104C">
                  <w:pPr>
                    <w:jc w:val="right"/>
                    <w:rPr>
                      <w:sz w:val="20"/>
                      <w:szCs w:val="20"/>
                    </w:rPr>
                  </w:pPr>
                  <w:r>
                    <w:rPr>
                      <w:sz w:val="20"/>
                      <w:szCs w:val="20"/>
                    </w:rPr>
                    <w:t>4.000</w:t>
                  </w:r>
                </w:p>
              </w:tc>
              <w:tc>
                <w:tcPr>
                  <w:tcW w:w="1260" w:type="dxa"/>
                  <w:vAlign w:val="center"/>
                </w:tcPr>
                <w:p w14:paraId="15D52213" w14:textId="6863E90B" w:rsidR="00114F14" w:rsidRDefault="00114F14" w:rsidP="004A104C">
                  <w:pPr>
                    <w:jc w:val="right"/>
                    <w:rPr>
                      <w:sz w:val="20"/>
                      <w:szCs w:val="20"/>
                    </w:rPr>
                  </w:pPr>
                  <w:r>
                    <w:rPr>
                      <w:sz w:val="20"/>
                      <w:szCs w:val="20"/>
                    </w:rPr>
                    <w:t>4.000</w:t>
                  </w:r>
                </w:p>
              </w:tc>
            </w:tr>
            <w:tr w:rsidR="00114F14" w:rsidRPr="008D72F0" w14:paraId="396FE604" w14:textId="77777777" w:rsidTr="00BC149C">
              <w:trPr>
                <w:trHeight w:val="357"/>
              </w:trPr>
              <w:tc>
                <w:tcPr>
                  <w:tcW w:w="1980" w:type="dxa"/>
                  <w:shd w:val="clear" w:color="auto" w:fill="auto"/>
                </w:tcPr>
                <w:p w14:paraId="1E7BC090"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0C9719ED" w14:textId="79264DCF" w:rsidR="00114F14" w:rsidRPr="008D72F0" w:rsidRDefault="00114F14" w:rsidP="004A104C">
                  <w:pPr>
                    <w:jc w:val="right"/>
                    <w:rPr>
                      <w:sz w:val="20"/>
                      <w:szCs w:val="20"/>
                    </w:rPr>
                  </w:pPr>
                  <w:r>
                    <w:rPr>
                      <w:sz w:val="20"/>
                      <w:szCs w:val="20"/>
                    </w:rPr>
                    <w:t>$296,470</w:t>
                  </w:r>
                </w:p>
              </w:tc>
              <w:tc>
                <w:tcPr>
                  <w:tcW w:w="1260" w:type="dxa"/>
                </w:tcPr>
                <w:p w14:paraId="1BCA42C3" w14:textId="293D2FD7" w:rsidR="00114F14" w:rsidRPr="008D72F0" w:rsidRDefault="00114F14" w:rsidP="004A104C">
                  <w:pPr>
                    <w:jc w:val="right"/>
                    <w:rPr>
                      <w:sz w:val="20"/>
                      <w:szCs w:val="20"/>
                    </w:rPr>
                  </w:pPr>
                  <w:r>
                    <w:rPr>
                      <w:sz w:val="20"/>
                      <w:szCs w:val="20"/>
                    </w:rPr>
                    <w:t>$403,488</w:t>
                  </w:r>
                </w:p>
              </w:tc>
            </w:tr>
            <w:tr w:rsidR="00114F14" w:rsidRPr="008D72F0" w14:paraId="7A769059" w14:textId="77777777" w:rsidTr="00BC149C">
              <w:trPr>
                <w:trHeight w:val="357"/>
              </w:trPr>
              <w:tc>
                <w:tcPr>
                  <w:tcW w:w="1980" w:type="dxa"/>
                  <w:shd w:val="clear" w:color="auto" w:fill="auto"/>
                </w:tcPr>
                <w:p w14:paraId="14D8039E"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3E0F87E9" w14:textId="7B18C5CD" w:rsidR="00114F14" w:rsidRDefault="00114F14" w:rsidP="004A104C">
                  <w:pPr>
                    <w:jc w:val="right"/>
                    <w:rPr>
                      <w:sz w:val="20"/>
                      <w:szCs w:val="20"/>
                    </w:rPr>
                  </w:pPr>
                  <w:r>
                    <w:rPr>
                      <w:sz w:val="20"/>
                      <w:szCs w:val="20"/>
                    </w:rPr>
                    <w:t>$25,532</w:t>
                  </w:r>
                </w:p>
              </w:tc>
              <w:tc>
                <w:tcPr>
                  <w:tcW w:w="1260" w:type="dxa"/>
                </w:tcPr>
                <w:p w14:paraId="74DDC25E" w14:textId="35F8CC76" w:rsidR="00114F14" w:rsidRDefault="00114F14" w:rsidP="004A104C">
                  <w:pPr>
                    <w:jc w:val="right"/>
                    <w:rPr>
                      <w:sz w:val="20"/>
                      <w:szCs w:val="20"/>
                    </w:rPr>
                  </w:pPr>
                  <w:r>
                    <w:rPr>
                      <w:sz w:val="20"/>
                      <w:szCs w:val="20"/>
                    </w:rPr>
                    <w:t>$25,532</w:t>
                  </w:r>
                </w:p>
              </w:tc>
            </w:tr>
            <w:tr w:rsidR="00114F14" w:rsidRPr="008D72F0" w14:paraId="6907186A" w14:textId="77777777" w:rsidTr="00BC149C">
              <w:trPr>
                <w:trHeight w:val="303"/>
              </w:trPr>
              <w:tc>
                <w:tcPr>
                  <w:tcW w:w="1980" w:type="dxa"/>
                  <w:shd w:val="clear" w:color="auto" w:fill="auto"/>
                </w:tcPr>
                <w:p w14:paraId="318C9E71"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7AA7357B" w14:textId="2F06668C" w:rsidR="00114F14" w:rsidRPr="002C59F4" w:rsidRDefault="00114F14" w:rsidP="004A104C">
                  <w:pPr>
                    <w:jc w:val="right"/>
                    <w:rPr>
                      <w:sz w:val="20"/>
                      <w:szCs w:val="20"/>
                      <w:u w:val="single"/>
                    </w:rPr>
                  </w:pPr>
                  <w:r w:rsidRPr="002C59F4">
                    <w:rPr>
                      <w:sz w:val="20"/>
                      <w:szCs w:val="20"/>
                      <w:u w:val="single"/>
                    </w:rPr>
                    <w:t>$</w:t>
                  </w:r>
                  <w:r>
                    <w:rPr>
                      <w:sz w:val="20"/>
                      <w:szCs w:val="20"/>
                      <w:u w:val="single"/>
                    </w:rPr>
                    <w:t>322,002</w:t>
                  </w:r>
                </w:p>
              </w:tc>
              <w:tc>
                <w:tcPr>
                  <w:tcW w:w="1260" w:type="dxa"/>
                </w:tcPr>
                <w:p w14:paraId="7BBBA71E" w14:textId="1FD8AB82" w:rsidR="00114F14" w:rsidRPr="002C59F4" w:rsidRDefault="00114F14" w:rsidP="004A104C">
                  <w:pPr>
                    <w:jc w:val="right"/>
                    <w:rPr>
                      <w:sz w:val="20"/>
                      <w:szCs w:val="20"/>
                      <w:u w:val="single"/>
                    </w:rPr>
                  </w:pPr>
                  <w:r w:rsidRPr="002C59F4">
                    <w:rPr>
                      <w:sz w:val="20"/>
                      <w:szCs w:val="20"/>
                      <w:u w:val="single"/>
                    </w:rPr>
                    <w:t>$</w:t>
                  </w:r>
                  <w:r>
                    <w:rPr>
                      <w:sz w:val="20"/>
                      <w:szCs w:val="20"/>
                      <w:u w:val="single"/>
                    </w:rPr>
                    <w:t>429,020</w:t>
                  </w:r>
                </w:p>
              </w:tc>
            </w:tr>
          </w:tbl>
          <w:p w14:paraId="3E7E8E0F" w14:textId="181C9FA2" w:rsidR="00114F14" w:rsidRDefault="00114F14" w:rsidP="004A104C">
            <w:pPr>
              <w:pStyle w:val="ListBullet"/>
              <w:numPr>
                <w:ilvl w:val="0"/>
                <w:numId w:val="0"/>
              </w:numPr>
              <w:ind w:left="280"/>
            </w:pPr>
          </w:p>
          <w:p w14:paraId="1D24B696" w14:textId="247D5CD4" w:rsidR="00114F14" w:rsidRDefault="00114F14" w:rsidP="004A104C">
            <w:pPr>
              <w:pStyle w:val="ListBullet"/>
              <w:numPr>
                <w:ilvl w:val="0"/>
                <w:numId w:val="0"/>
              </w:numPr>
              <w:ind w:left="280"/>
            </w:pPr>
          </w:p>
          <w:p w14:paraId="785EFDAA" w14:textId="6F365BFD" w:rsidR="00114F14" w:rsidRDefault="00114F14" w:rsidP="004A104C">
            <w:pPr>
              <w:pStyle w:val="ListBullet"/>
              <w:numPr>
                <w:ilvl w:val="0"/>
                <w:numId w:val="0"/>
              </w:numPr>
              <w:ind w:left="280"/>
            </w:pPr>
          </w:p>
          <w:p w14:paraId="1373F538" w14:textId="62932601" w:rsidR="00114F14" w:rsidRDefault="00114F14" w:rsidP="004A104C">
            <w:pPr>
              <w:pStyle w:val="ListBullet"/>
              <w:numPr>
                <w:ilvl w:val="0"/>
                <w:numId w:val="0"/>
              </w:numPr>
              <w:ind w:left="280"/>
            </w:pPr>
          </w:p>
          <w:p w14:paraId="4225EB33" w14:textId="43BCE083" w:rsidR="00114F14" w:rsidRDefault="00114F14" w:rsidP="004A104C">
            <w:pPr>
              <w:pStyle w:val="ListBullet"/>
              <w:numPr>
                <w:ilvl w:val="0"/>
                <w:numId w:val="0"/>
              </w:numPr>
              <w:ind w:left="280"/>
            </w:pPr>
          </w:p>
          <w:p w14:paraId="3FFDEB64" w14:textId="0B3C2117" w:rsidR="00114F14" w:rsidRDefault="00114F14" w:rsidP="004A104C">
            <w:pPr>
              <w:pStyle w:val="ListBullet"/>
              <w:numPr>
                <w:ilvl w:val="0"/>
                <w:numId w:val="0"/>
              </w:numPr>
              <w:ind w:left="280"/>
            </w:pPr>
          </w:p>
          <w:p w14:paraId="1CCE26F4" w14:textId="2BB92FF0" w:rsidR="00114F14" w:rsidRDefault="00114F14" w:rsidP="004A104C">
            <w:pPr>
              <w:pStyle w:val="ListBullet"/>
              <w:numPr>
                <w:ilvl w:val="0"/>
                <w:numId w:val="0"/>
              </w:numPr>
              <w:ind w:left="280"/>
            </w:pPr>
          </w:p>
          <w:p w14:paraId="7A70E718" w14:textId="3328DF9A" w:rsidR="00114F14" w:rsidRDefault="00114F14" w:rsidP="004A104C">
            <w:pPr>
              <w:pStyle w:val="ListBullet"/>
            </w:pPr>
            <w:r>
              <w:t>Reallocates cost of one Regional Education Representative position from 90% Federal Block Grant Fund and 10 % Federal Expenditures Fund to 80% Federal Block Grant and 20% Federal Expenditures Fund in Learning Systems Team and transfers All Other to fund position.  Also adjusts Personal Services savings to All Other in Federal Block Grant Fund.</w:t>
            </w:r>
          </w:p>
          <w:p w14:paraId="4216EC97" w14:textId="77777777" w:rsidR="00114F14" w:rsidRDefault="00114F14" w:rsidP="004A104C">
            <w:pPr>
              <w:pStyle w:val="ListBullet"/>
              <w:numPr>
                <w:ilvl w:val="0"/>
                <w:numId w:val="0"/>
              </w:numPr>
              <w:ind w:left="46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1EF79479" w14:textId="77777777" w:rsidTr="00B83F9B">
              <w:trPr>
                <w:trHeight w:val="357"/>
              </w:trPr>
              <w:tc>
                <w:tcPr>
                  <w:tcW w:w="1980" w:type="dxa"/>
                  <w:shd w:val="clear" w:color="auto" w:fill="auto"/>
                </w:tcPr>
                <w:p w14:paraId="0DE2B78B" w14:textId="77777777" w:rsidR="00114F14" w:rsidRPr="008D72F0" w:rsidRDefault="00114F14" w:rsidP="004A104C">
                  <w:pPr>
                    <w:jc w:val="right"/>
                    <w:rPr>
                      <w:sz w:val="20"/>
                      <w:szCs w:val="20"/>
                      <w:u w:val="single"/>
                    </w:rPr>
                  </w:pPr>
                </w:p>
              </w:tc>
              <w:tc>
                <w:tcPr>
                  <w:tcW w:w="1260" w:type="dxa"/>
                  <w:shd w:val="clear" w:color="auto" w:fill="auto"/>
                </w:tcPr>
                <w:p w14:paraId="4DA80239"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416A1D6C"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61E46751" w14:textId="77777777" w:rsidTr="00B83F9B">
              <w:trPr>
                <w:trHeight w:val="357"/>
              </w:trPr>
              <w:tc>
                <w:tcPr>
                  <w:tcW w:w="1980" w:type="dxa"/>
                  <w:shd w:val="clear" w:color="auto" w:fill="auto"/>
                </w:tcPr>
                <w:p w14:paraId="0879EE02" w14:textId="12E6E582" w:rsidR="00114F14" w:rsidRPr="008D72F0" w:rsidRDefault="00114F14" w:rsidP="004A104C">
                  <w:pPr>
                    <w:jc w:val="right"/>
                    <w:rPr>
                      <w:sz w:val="16"/>
                      <w:szCs w:val="16"/>
                    </w:rPr>
                  </w:pPr>
                  <w:r>
                    <w:rPr>
                      <w:sz w:val="16"/>
                      <w:szCs w:val="16"/>
                    </w:rPr>
                    <w:t>Federal Expenditures Fund</w:t>
                  </w:r>
                </w:p>
              </w:tc>
              <w:tc>
                <w:tcPr>
                  <w:tcW w:w="1260" w:type="dxa"/>
                  <w:shd w:val="clear" w:color="auto" w:fill="auto"/>
                </w:tcPr>
                <w:p w14:paraId="48AC6605" w14:textId="77777777" w:rsidR="00114F14" w:rsidRDefault="00114F14" w:rsidP="004A104C">
                  <w:pPr>
                    <w:jc w:val="right"/>
                    <w:rPr>
                      <w:sz w:val="20"/>
                      <w:szCs w:val="20"/>
                    </w:rPr>
                  </w:pPr>
                </w:p>
              </w:tc>
              <w:tc>
                <w:tcPr>
                  <w:tcW w:w="1260" w:type="dxa"/>
                </w:tcPr>
                <w:p w14:paraId="18D29680" w14:textId="77777777" w:rsidR="00114F14" w:rsidRDefault="00114F14" w:rsidP="004A104C">
                  <w:pPr>
                    <w:jc w:val="right"/>
                    <w:rPr>
                      <w:sz w:val="20"/>
                      <w:szCs w:val="20"/>
                    </w:rPr>
                  </w:pPr>
                </w:p>
              </w:tc>
            </w:tr>
            <w:tr w:rsidR="00114F14" w:rsidRPr="008D72F0" w14:paraId="6C332104" w14:textId="77777777" w:rsidTr="00B83F9B">
              <w:trPr>
                <w:trHeight w:val="357"/>
              </w:trPr>
              <w:tc>
                <w:tcPr>
                  <w:tcW w:w="1980" w:type="dxa"/>
                  <w:shd w:val="clear" w:color="auto" w:fill="auto"/>
                </w:tcPr>
                <w:p w14:paraId="1B07B070"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1108814C" w14:textId="6B24F36F" w:rsidR="00114F14" w:rsidRPr="008D72F0" w:rsidRDefault="00114F14" w:rsidP="004A104C">
                  <w:pPr>
                    <w:jc w:val="right"/>
                    <w:rPr>
                      <w:sz w:val="20"/>
                      <w:szCs w:val="20"/>
                    </w:rPr>
                  </w:pPr>
                  <w:r>
                    <w:rPr>
                      <w:sz w:val="20"/>
                      <w:szCs w:val="20"/>
                    </w:rPr>
                    <w:t>$10,753</w:t>
                  </w:r>
                </w:p>
              </w:tc>
              <w:tc>
                <w:tcPr>
                  <w:tcW w:w="1260" w:type="dxa"/>
                </w:tcPr>
                <w:p w14:paraId="0E54F477" w14:textId="29D8226E" w:rsidR="00114F14" w:rsidRPr="008D72F0" w:rsidRDefault="00114F14" w:rsidP="004A104C">
                  <w:pPr>
                    <w:jc w:val="right"/>
                    <w:rPr>
                      <w:sz w:val="20"/>
                      <w:szCs w:val="20"/>
                    </w:rPr>
                  </w:pPr>
                  <w:r>
                    <w:rPr>
                      <w:sz w:val="20"/>
                      <w:szCs w:val="20"/>
                    </w:rPr>
                    <w:t>$10,840</w:t>
                  </w:r>
                </w:p>
              </w:tc>
            </w:tr>
            <w:tr w:rsidR="00114F14" w:rsidRPr="008D72F0" w14:paraId="48C24326" w14:textId="77777777" w:rsidTr="00B83F9B">
              <w:trPr>
                <w:trHeight w:val="357"/>
              </w:trPr>
              <w:tc>
                <w:tcPr>
                  <w:tcW w:w="1980" w:type="dxa"/>
                  <w:shd w:val="clear" w:color="auto" w:fill="auto"/>
                </w:tcPr>
                <w:p w14:paraId="0086819B"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4326C132" w14:textId="193E1D26" w:rsidR="00114F14" w:rsidRDefault="00114F14" w:rsidP="004A104C">
                  <w:pPr>
                    <w:jc w:val="right"/>
                    <w:rPr>
                      <w:sz w:val="20"/>
                      <w:szCs w:val="20"/>
                    </w:rPr>
                  </w:pPr>
                  <w:r>
                    <w:rPr>
                      <w:sz w:val="20"/>
                      <w:szCs w:val="20"/>
                    </w:rPr>
                    <w:t>($10,753)</w:t>
                  </w:r>
                </w:p>
              </w:tc>
              <w:tc>
                <w:tcPr>
                  <w:tcW w:w="1260" w:type="dxa"/>
                </w:tcPr>
                <w:p w14:paraId="40CE633F" w14:textId="3823A336" w:rsidR="00114F14" w:rsidRDefault="00114F14" w:rsidP="004A104C">
                  <w:pPr>
                    <w:jc w:val="right"/>
                    <w:rPr>
                      <w:sz w:val="20"/>
                      <w:szCs w:val="20"/>
                    </w:rPr>
                  </w:pPr>
                  <w:r>
                    <w:rPr>
                      <w:sz w:val="20"/>
                      <w:szCs w:val="20"/>
                    </w:rPr>
                    <w:t>($10,840)</w:t>
                  </w:r>
                </w:p>
              </w:tc>
            </w:tr>
            <w:tr w:rsidR="00114F14" w:rsidRPr="008D72F0" w14:paraId="318DC990" w14:textId="77777777" w:rsidTr="00B83F9B">
              <w:trPr>
                <w:trHeight w:val="303"/>
              </w:trPr>
              <w:tc>
                <w:tcPr>
                  <w:tcW w:w="1980" w:type="dxa"/>
                  <w:shd w:val="clear" w:color="auto" w:fill="auto"/>
                </w:tcPr>
                <w:p w14:paraId="5F96EBC9" w14:textId="4063FE40" w:rsidR="00114F14" w:rsidRPr="002C59F4" w:rsidRDefault="00114F14" w:rsidP="004A104C">
                  <w:pPr>
                    <w:rPr>
                      <w:sz w:val="16"/>
                      <w:szCs w:val="16"/>
                      <w:u w:val="single"/>
                    </w:rPr>
                  </w:pPr>
                  <w:r>
                    <w:rPr>
                      <w:sz w:val="16"/>
                      <w:szCs w:val="16"/>
                      <w:u w:val="single"/>
                    </w:rPr>
                    <w:t>Federal Expenditures Fund Total</w:t>
                  </w:r>
                </w:p>
              </w:tc>
              <w:tc>
                <w:tcPr>
                  <w:tcW w:w="1260" w:type="dxa"/>
                  <w:shd w:val="clear" w:color="auto" w:fill="auto"/>
                </w:tcPr>
                <w:p w14:paraId="3BE055D6"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c>
                <w:tcPr>
                  <w:tcW w:w="1260" w:type="dxa"/>
                </w:tcPr>
                <w:p w14:paraId="2849C816"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r>
            <w:tr w:rsidR="00114F14" w:rsidRPr="008D72F0" w14:paraId="05EB6B91" w14:textId="77777777" w:rsidTr="00B83F9B">
              <w:trPr>
                <w:trHeight w:val="303"/>
              </w:trPr>
              <w:tc>
                <w:tcPr>
                  <w:tcW w:w="1980" w:type="dxa"/>
                  <w:shd w:val="clear" w:color="auto" w:fill="auto"/>
                </w:tcPr>
                <w:p w14:paraId="3EA16EC6" w14:textId="5EF57883" w:rsidR="00114F14" w:rsidRPr="006F7093" w:rsidRDefault="00114F14" w:rsidP="004A104C">
                  <w:pPr>
                    <w:rPr>
                      <w:sz w:val="16"/>
                      <w:szCs w:val="16"/>
                    </w:rPr>
                  </w:pPr>
                  <w:r w:rsidRPr="006F7093">
                    <w:rPr>
                      <w:sz w:val="16"/>
                      <w:szCs w:val="16"/>
                    </w:rPr>
                    <w:t>Federal Block Grant Fund</w:t>
                  </w:r>
                </w:p>
              </w:tc>
              <w:tc>
                <w:tcPr>
                  <w:tcW w:w="1260" w:type="dxa"/>
                  <w:shd w:val="clear" w:color="auto" w:fill="auto"/>
                </w:tcPr>
                <w:p w14:paraId="522377A6" w14:textId="77777777" w:rsidR="00114F14" w:rsidRPr="002C59F4" w:rsidRDefault="00114F14" w:rsidP="004A104C">
                  <w:pPr>
                    <w:jc w:val="right"/>
                    <w:rPr>
                      <w:sz w:val="20"/>
                      <w:szCs w:val="20"/>
                      <w:u w:val="single"/>
                    </w:rPr>
                  </w:pPr>
                </w:p>
              </w:tc>
              <w:tc>
                <w:tcPr>
                  <w:tcW w:w="1260" w:type="dxa"/>
                </w:tcPr>
                <w:p w14:paraId="35B1ED5A" w14:textId="77777777" w:rsidR="00114F14" w:rsidRPr="002C59F4" w:rsidRDefault="00114F14" w:rsidP="004A104C">
                  <w:pPr>
                    <w:jc w:val="right"/>
                    <w:rPr>
                      <w:sz w:val="20"/>
                      <w:szCs w:val="20"/>
                      <w:u w:val="single"/>
                    </w:rPr>
                  </w:pPr>
                </w:p>
              </w:tc>
            </w:tr>
            <w:tr w:rsidR="00114F14" w:rsidRPr="008D72F0" w14:paraId="679BFAC7" w14:textId="77777777" w:rsidTr="00B83F9B">
              <w:trPr>
                <w:trHeight w:val="303"/>
              </w:trPr>
              <w:tc>
                <w:tcPr>
                  <w:tcW w:w="1980" w:type="dxa"/>
                  <w:shd w:val="clear" w:color="auto" w:fill="auto"/>
                </w:tcPr>
                <w:p w14:paraId="1D3FB000" w14:textId="6EFF61FD" w:rsidR="00114F14" w:rsidRPr="006F7093" w:rsidRDefault="00114F14" w:rsidP="004A104C">
                  <w:pPr>
                    <w:rPr>
                      <w:sz w:val="16"/>
                      <w:szCs w:val="16"/>
                    </w:rPr>
                  </w:pPr>
                  <w:r w:rsidRPr="008D72F0">
                    <w:rPr>
                      <w:sz w:val="16"/>
                      <w:szCs w:val="16"/>
                    </w:rPr>
                    <w:t>Personal Services</w:t>
                  </w:r>
                </w:p>
              </w:tc>
              <w:tc>
                <w:tcPr>
                  <w:tcW w:w="1260" w:type="dxa"/>
                  <w:shd w:val="clear" w:color="auto" w:fill="auto"/>
                </w:tcPr>
                <w:p w14:paraId="2F4FB1CA" w14:textId="7EF0EDD4" w:rsidR="00114F14" w:rsidRPr="002C59F4" w:rsidRDefault="00114F14" w:rsidP="004A104C">
                  <w:pPr>
                    <w:jc w:val="right"/>
                    <w:rPr>
                      <w:sz w:val="20"/>
                      <w:szCs w:val="20"/>
                      <w:u w:val="single"/>
                    </w:rPr>
                  </w:pPr>
                  <w:r>
                    <w:rPr>
                      <w:sz w:val="20"/>
                      <w:szCs w:val="20"/>
                    </w:rPr>
                    <w:t>$10,753</w:t>
                  </w:r>
                </w:p>
              </w:tc>
              <w:tc>
                <w:tcPr>
                  <w:tcW w:w="1260" w:type="dxa"/>
                </w:tcPr>
                <w:p w14:paraId="1F64584B" w14:textId="4A3925FC" w:rsidR="00114F14" w:rsidRPr="002C59F4" w:rsidRDefault="00114F14" w:rsidP="004A104C">
                  <w:pPr>
                    <w:jc w:val="right"/>
                    <w:rPr>
                      <w:sz w:val="20"/>
                      <w:szCs w:val="20"/>
                      <w:u w:val="single"/>
                    </w:rPr>
                  </w:pPr>
                  <w:r>
                    <w:rPr>
                      <w:sz w:val="20"/>
                      <w:szCs w:val="20"/>
                    </w:rPr>
                    <w:t>$10,840</w:t>
                  </w:r>
                </w:p>
              </w:tc>
            </w:tr>
            <w:tr w:rsidR="00114F14" w:rsidRPr="008D72F0" w14:paraId="1DD005EC" w14:textId="77777777" w:rsidTr="00B83F9B">
              <w:trPr>
                <w:trHeight w:val="303"/>
              </w:trPr>
              <w:tc>
                <w:tcPr>
                  <w:tcW w:w="1980" w:type="dxa"/>
                  <w:shd w:val="clear" w:color="auto" w:fill="auto"/>
                </w:tcPr>
                <w:p w14:paraId="7A4A7CA8" w14:textId="1AC9301C" w:rsidR="00114F14" w:rsidRPr="006F7093" w:rsidRDefault="00114F14" w:rsidP="004A104C">
                  <w:pPr>
                    <w:rPr>
                      <w:sz w:val="16"/>
                      <w:szCs w:val="16"/>
                    </w:rPr>
                  </w:pPr>
                  <w:r>
                    <w:rPr>
                      <w:sz w:val="16"/>
                      <w:szCs w:val="16"/>
                    </w:rPr>
                    <w:t>All Other</w:t>
                  </w:r>
                </w:p>
              </w:tc>
              <w:tc>
                <w:tcPr>
                  <w:tcW w:w="1260" w:type="dxa"/>
                  <w:shd w:val="clear" w:color="auto" w:fill="auto"/>
                </w:tcPr>
                <w:p w14:paraId="169D40BB" w14:textId="7BE0D29A" w:rsidR="00114F14" w:rsidRPr="002C59F4" w:rsidRDefault="00114F14" w:rsidP="004A104C">
                  <w:pPr>
                    <w:jc w:val="right"/>
                    <w:rPr>
                      <w:sz w:val="20"/>
                      <w:szCs w:val="20"/>
                      <w:u w:val="single"/>
                    </w:rPr>
                  </w:pPr>
                  <w:r>
                    <w:rPr>
                      <w:sz w:val="20"/>
                      <w:szCs w:val="20"/>
                    </w:rPr>
                    <w:t>($10,753)</w:t>
                  </w:r>
                </w:p>
              </w:tc>
              <w:tc>
                <w:tcPr>
                  <w:tcW w:w="1260" w:type="dxa"/>
                </w:tcPr>
                <w:p w14:paraId="29C8F79D" w14:textId="0D730672" w:rsidR="00114F14" w:rsidRPr="002C59F4" w:rsidRDefault="00114F14" w:rsidP="004A104C">
                  <w:pPr>
                    <w:jc w:val="right"/>
                    <w:rPr>
                      <w:sz w:val="20"/>
                      <w:szCs w:val="20"/>
                      <w:u w:val="single"/>
                    </w:rPr>
                  </w:pPr>
                  <w:r>
                    <w:rPr>
                      <w:sz w:val="20"/>
                      <w:szCs w:val="20"/>
                    </w:rPr>
                    <w:t>($10,840)</w:t>
                  </w:r>
                </w:p>
              </w:tc>
            </w:tr>
            <w:tr w:rsidR="00114F14" w:rsidRPr="008D72F0" w14:paraId="6BABAC4F" w14:textId="77777777" w:rsidTr="00B83F9B">
              <w:trPr>
                <w:trHeight w:val="303"/>
              </w:trPr>
              <w:tc>
                <w:tcPr>
                  <w:tcW w:w="1980" w:type="dxa"/>
                  <w:shd w:val="clear" w:color="auto" w:fill="auto"/>
                </w:tcPr>
                <w:p w14:paraId="085BB176" w14:textId="75CE6A1F" w:rsidR="00114F14" w:rsidRPr="006F7093" w:rsidRDefault="00114F14" w:rsidP="004A104C">
                  <w:pPr>
                    <w:rPr>
                      <w:sz w:val="16"/>
                      <w:szCs w:val="16"/>
                    </w:rPr>
                  </w:pPr>
                  <w:r>
                    <w:rPr>
                      <w:sz w:val="16"/>
                      <w:szCs w:val="16"/>
                      <w:u w:val="single"/>
                    </w:rPr>
                    <w:t>Federal Block Grant Fund Total</w:t>
                  </w:r>
                </w:p>
              </w:tc>
              <w:tc>
                <w:tcPr>
                  <w:tcW w:w="1260" w:type="dxa"/>
                  <w:shd w:val="clear" w:color="auto" w:fill="auto"/>
                </w:tcPr>
                <w:p w14:paraId="40B3AFCB" w14:textId="4FFC047D"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c>
                <w:tcPr>
                  <w:tcW w:w="1260" w:type="dxa"/>
                </w:tcPr>
                <w:p w14:paraId="486BD3DD" w14:textId="124506B4"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r>
          </w:tbl>
          <w:p w14:paraId="3E50B6F6" w14:textId="3987DFEC" w:rsidR="00114F14" w:rsidRDefault="00114F14" w:rsidP="004A104C">
            <w:pPr>
              <w:pStyle w:val="ListBullet"/>
              <w:numPr>
                <w:ilvl w:val="0"/>
                <w:numId w:val="0"/>
              </w:numPr>
              <w:ind w:left="280"/>
            </w:pPr>
          </w:p>
          <w:p w14:paraId="2CA6316F" w14:textId="7EC33AD9" w:rsidR="00114F14" w:rsidRDefault="00114F14" w:rsidP="004A104C">
            <w:pPr>
              <w:pStyle w:val="ListBullet"/>
              <w:numPr>
                <w:ilvl w:val="0"/>
                <w:numId w:val="0"/>
              </w:numPr>
              <w:ind w:left="280"/>
            </w:pPr>
          </w:p>
          <w:p w14:paraId="22B59AA2" w14:textId="2BF9FFCF" w:rsidR="00114F14" w:rsidRDefault="00114F14" w:rsidP="004A104C">
            <w:pPr>
              <w:pStyle w:val="ListBullet"/>
              <w:numPr>
                <w:ilvl w:val="0"/>
                <w:numId w:val="0"/>
              </w:numPr>
              <w:ind w:left="280"/>
            </w:pPr>
          </w:p>
          <w:p w14:paraId="30D78290" w14:textId="56B8AA66" w:rsidR="00114F14" w:rsidRDefault="00114F14" w:rsidP="004A104C">
            <w:pPr>
              <w:pStyle w:val="ListBullet"/>
              <w:numPr>
                <w:ilvl w:val="0"/>
                <w:numId w:val="0"/>
              </w:numPr>
              <w:ind w:left="280"/>
            </w:pPr>
          </w:p>
          <w:p w14:paraId="056DEDF7" w14:textId="654EC736" w:rsidR="00114F14" w:rsidRDefault="00114F14" w:rsidP="004A104C">
            <w:pPr>
              <w:pStyle w:val="ListBullet"/>
              <w:numPr>
                <w:ilvl w:val="0"/>
                <w:numId w:val="0"/>
              </w:numPr>
              <w:ind w:left="280"/>
            </w:pPr>
          </w:p>
          <w:p w14:paraId="1A3D6273" w14:textId="3FF6849C" w:rsidR="00114F14" w:rsidRDefault="00114F14" w:rsidP="004A104C">
            <w:pPr>
              <w:pStyle w:val="ListBullet"/>
              <w:numPr>
                <w:ilvl w:val="0"/>
                <w:numId w:val="0"/>
              </w:numPr>
              <w:ind w:left="280"/>
            </w:pPr>
          </w:p>
          <w:p w14:paraId="6F4A1C4D" w14:textId="092CA8B1" w:rsidR="00114F14" w:rsidRDefault="00114F14" w:rsidP="004A104C">
            <w:pPr>
              <w:pStyle w:val="ListBullet"/>
              <w:numPr>
                <w:ilvl w:val="0"/>
                <w:numId w:val="0"/>
              </w:numPr>
              <w:ind w:left="280"/>
            </w:pPr>
          </w:p>
          <w:p w14:paraId="11504560" w14:textId="4F823AC2" w:rsidR="00114F14" w:rsidRDefault="00114F14" w:rsidP="004A104C">
            <w:pPr>
              <w:pStyle w:val="ListBullet"/>
              <w:numPr>
                <w:ilvl w:val="0"/>
                <w:numId w:val="0"/>
              </w:numPr>
              <w:ind w:left="280"/>
            </w:pPr>
          </w:p>
          <w:p w14:paraId="5214F7DF" w14:textId="09760639" w:rsidR="00114F14" w:rsidRDefault="00114F14" w:rsidP="004A104C">
            <w:pPr>
              <w:pStyle w:val="ListBullet"/>
              <w:numPr>
                <w:ilvl w:val="0"/>
                <w:numId w:val="0"/>
              </w:numPr>
              <w:ind w:left="280"/>
            </w:pPr>
          </w:p>
          <w:p w14:paraId="0FD974E1" w14:textId="246589BF" w:rsidR="00114F14" w:rsidRDefault="00114F14" w:rsidP="004A104C">
            <w:pPr>
              <w:pStyle w:val="ListBullet"/>
              <w:numPr>
                <w:ilvl w:val="0"/>
                <w:numId w:val="0"/>
              </w:numPr>
              <w:ind w:left="280"/>
            </w:pPr>
          </w:p>
          <w:p w14:paraId="66622C17" w14:textId="5F42680A" w:rsidR="00114F14" w:rsidRDefault="00114F14" w:rsidP="004A104C">
            <w:pPr>
              <w:pStyle w:val="ListBullet"/>
              <w:numPr>
                <w:ilvl w:val="0"/>
                <w:numId w:val="0"/>
              </w:numPr>
              <w:ind w:left="280"/>
            </w:pPr>
          </w:p>
          <w:p w14:paraId="119E20E0" w14:textId="7A5FF1A9" w:rsidR="00114F14" w:rsidRDefault="00114F14" w:rsidP="004A104C">
            <w:pPr>
              <w:pStyle w:val="ListBullet"/>
              <w:numPr>
                <w:ilvl w:val="0"/>
                <w:numId w:val="0"/>
              </w:numPr>
              <w:ind w:left="280"/>
            </w:pPr>
          </w:p>
          <w:p w14:paraId="08DD64BE" w14:textId="34A375AC" w:rsidR="00114F14" w:rsidRDefault="00114F14" w:rsidP="004A104C">
            <w:pPr>
              <w:pStyle w:val="ListBullet"/>
            </w:pPr>
            <w:r>
              <w:t>Continues one Education Specialist III position and Federal Expenditures Fund appropriations previously established by financial order and reduces All Other to fund position of ($82,183) in FY 20 and of ($86,037) in FY 21.  Also eliminates one Education Specialist II position.</w:t>
            </w:r>
          </w:p>
          <w:p w14:paraId="4DC6DAC0" w14:textId="536EED33" w:rsidR="00114F14" w:rsidRDefault="00114F14" w:rsidP="004A104C">
            <w:pPr>
              <w:pStyle w:val="ListBullet"/>
              <w:numPr>
                <w:ilvl w:val="0"/>
                <w:numId w:val="0"/>
              </w:numPr>
              <w:ind w:left="460"/>
            </w:pPr>
          </w:p>
          <w:p w14:paraId="618E99EA" w14:textId="77777777" w:rsidR="00114F14" w:rsidRDefault="00114F14" w:rsidP="004A104C">
            <w:pPr>
              <w:pStyle w:val="ListBullet"/>
              <w:numPr>
                <w:ilvl w:val="0"/>
                <w:numId w:val="0"/>
              </w:numPr>
              <w:ind w:left="460"/>
            </w:pPr>
          </w:p>
          <w:p w14:paraId="0266BBE3" w14:textId="77777777" w:rsidR="00114F14" w:rsidRPr="00317852" w:rsidRDefault="00114F14" w:rsidP="004A104C">
            <w:pPr>
              <w:pStyle w:val="ListBullet"/>
              <w:numPr>
                <w:ilvl w:val="0"/>
                <w:numId w:val="0"/>
              </w:numPr>
              <w:rPr>
                <w:sz w:val="22"/>
                <w:szCs w:val="22"/>
                <w:u w:val="single"/>
              </w:rPr>
            </w:pPr>
            <w:r w:rsidRPr="00317852">
              <w:rPr>
                <w:sz w:val="22"/>
                <w:szCs w:val="22"/>
                <w:u w:val="single"/>
              </w:rPr>
              <w:t>Learning Through Technology</w:t>
            </w:r>
          </w:p>
          <w:p w14:paraId="3A42970E" w14:textId="77777777" w:rsidR="00114F14" w:rsidRDefault="00114F14" w:rsidP="004A104C">
            <w:pPr>
              <w:pStyle w:val="ListBullet"/>
              <w:numPr>
                <w:ilvl w:val="0"/>
                <w:numId w:val="0"/>
              </w:numPr>
              <w:ind w:left="162"/>
              <w:rPr>
                <w:sz w:val="22"/>
                <w:szCs w:val="22"/>
              </w:rPr>
            </w:pPr>
          </w:p>
          <w:p w14:paraId="27A9D8A5" w14:textId="1B3BBB40" w:rsidR="00114F14" w:rsidRPr="00F067BC" w:rsidRDefault="00114F14" w:rsidP="004A104C">
            <w:pPr>
              <w:pStyle w:val="ListBullet"/>
            </w:pPr>
            <w:r w:rsidRPr="00F067BC">
              <w:t>Provides Other Special Revenue Funds appropriations in the budget for Learning Through Technology program of $12,141,815 in FY 20 and in FY 21.</w:t>
            </w:r>
          </w:p>
          <w:p w14:paraId="3E51BDCA" w14:textId="36B37E6D" w:rsidR="00114F14" w:rsidRDefault="00114F14" w:rsidP="004A104C">
            <w:pPr>
              <w:pStyle w:val="ListBullet"/>
              <w:numPr>
                <w:ilvl w:val="0"/>
                <w:numId w:val="0"/>
              </w:numPr>
              <w:ind w:left="280"/>
            </w:pPr>
          </w:p>
          <w:p w14:paraId="1F05DBF7" w14:textId="77777777" w:rsidR="00114F14" w:rsidRDefault="00114F14" w:rsidP="004A104C">
            <w:pPr>
              <w:pStyle w:val="ListBullet"/>
              <w:numPr>
                <w:ilvl w:val="0"/>
                <w:numId w:val="0"/>
              </w:numPr>
              <w:ind w:left="280"/>
            </w:pPr>
          </w:p>
          <w:p w14:paraId="2647A978" w14:textId="77777777" w:rsidR="00114F14" w:rsidRPr="00317852" w:rsidRDefault="00114F14" w:rsidP="004A104C">
            <w:pPr>
              <w:pStyle w:val="ListBullet"/>
              <w:numPr>
                <w:ilvl w:val="0"/>
                <w:numId w:val="0"/>
              </w:numPr>
              <w:rPr>
                <w:sz w:val="22"/>
                <w:szCs w:val="22"/>
                <w:u w:val="single"/>
              </w:rPr>
            </w:pPr>
            <w:r>
              <w:rPr>
                <w:sz w:val="22"/>
                <w:szCs w:val="22"/>
                <w:u w:val="single"/>
              </w:rPr>
              <w:t>Maine Commission for Community Service</w:t>
            </w:r>
          </w:p>
          <w:p w14:paraId="263D2707" w14:textId="77777777" w:rsidR="00114F14" w:rsidRDefault="00114F14" w:rsidP="004A104C">
            <w:pPr>
              <w:pStyle w:val="ListBullet"/>
              <w:numPr>
                <w:ilvl w:val="0"/>
                <w:numId w:val="0"/>
              </w:numPr>
              <w:ind w:left="280"/>
              <w:rPr>
                <w:sz w:val="22"/>
                <w:szCs w:val="22"/>
              </w:rPr>
            </w:pPr>
          </w:p>
          <w:p w14:paraId="1C916022" w14:textId="143EB65B" w:rsidR="00114F14" w:rsidRPr="00FE1AB6" w:rsidRDefault="00114F14" w:rsidP="004A104C">
            <w:pPr>
              <w:pStyle w:val="ListBullet"/>
            </w:pPr>
            <w:r w:rsidRPr="00FE1AB6">
              <w:t>Provides Federal Expenditures Fund and Other Special Revenue Funds appropriations in the budget for the Maine Commission for Community Service program in FY 20 and in FY 21.</w:t>
            </w:r>
          </w:p>
          <w:tbl>
            <w:tblPr>
              <w:tblpPr w:leftFromText="180" w:rightFromText="180" w:vertAnchor="page" w:horzAnchor="margin" w:tblpXSpec="center" w:tblpY="193"/>
              <w:tblOverlap w:val="never"/>
              <w:tblW w:w="0" w:type="auto"/>
              <w:tblLook w:val="01E0" w:firstRow="1" w:lastRow="1" w:firstColumn="1" w:lastColumn="1" w:noHBand="0" w:noVBand="0"/>
            </w:tblPr>
            <w:tblGrid>
              <w:gridCol w:w="1980"/>
              <w:gridCol w:w="1260"/>
              <w:gridCol w:w="1260"/>
            </w:tblGrid>
            <w:tr w:rsidR="00114F14" w:rsidRPr="008D72F0" w14:paraId="6C7DE994" w14:textId="77777777" w:rsidTr="00FE1AB6">
              <w:trPr>
                <w:trHeight w:val="357"/>
              </w:trPr>
              <w:tc>
                <w:tcPr>
                  <w:tcW w:w="1980" w:type="dxa"/>
                  <w:shd w:val="clear" w:color="auto" w:fill="auto"/>
                </w:tcPr>
                <w:p w14:paraId="3B574282" w14:textId="77777777" w:rsidR="00114F14" w:rsidRPr="008D72F0" w:rsidRDefault="00114F14" w:rsidP="004A104C">
                  <w:pPr>
                    <w:jc w:val="right"/>
                    <w:rPr>
                      <w:sz w:val="20"/>
                      <w:szCs w:val="20"/>
                      <w:u w:val="single"/>
                    </w:rPr>
                  </w:pPr>
                </w:p>
              </w:tc>
              <w:tc>
                <w:tcPr>
                  <w:tcW w:w="1260" w:type="dxa"/>
                  <w:shd w:val="clear" w:color="auto" w:fill="auto"/>
                </w:tcPr>
                <w:p w14:paraId="1D9F4B66"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031C3730"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4FECC5C5" w14:textId="77777777" w:rsidTr="00FE1AB6">
              <w:trPr>
                <w:trHeight w:val="357"/>
              </w:trPr>
              <w:tc>
                <w:tcPr>
                  <w:tcW w:w="1980" w:type="dxa"/>
                  <w:shd w:val="clear" w:color="auto" w:fill="auto"/>
                </w:tcPr>
                <w:p w14:paraId="3576B500" w14:textId="77777777" w:rsidR="00114F14" w:rsidRPr="008D72F0" w:rsidRDefault="00114F14" w:rsidP="004A104C">
                  <w:pPr>
                    <w:jc w:val="right"/>
                    <w:rPr>
                      <w:sz w:val="16"/>
                      <w:szCs w:val="16"/>
                    </w:rPr>
                  </w:pPr>
                  <w:r>
                    <w:rPr>
                      <w:sz w:val="16"/>
                      <w:szCs w:val="16"/>
                    </w:rPr>
                    <w:t>Federal Expenditures Fund</w:t>
                  </w:r>
                  <w:r w:rsidRPr="008D72F0">
                    <w:rPr>
                      <w:sz w:val="16"/>
                      <w:szCs w:val="16"/>
                    </w:rPr>
                    <w:t xml:space="preserve"> - Position Count</w:t>
                  </w:r>
                </w:p>
              </w:tc>
              <w:tc>
                <w:tcPr>
                  <w:tcW w:w="1260" w:type="dxa"/>
                  <w:shd w:val="clear" w:color="auto" w:fill="auto"/>
                  <w:vAlign w:val="center"/>
                </w:tcPr>
                <w:p w14:paraId="260A9080" w14:textId="77777777" w:rsidR="00114F14" w:rsidRPr="008D72F0" w:rsidRDefault="00114F14" w:rsidP="004A104C">
                  <w:pPr>
                    <w:jc w:val="right"/>
                    <w:rPr>
                      <w:sz w:val="20"/>
                      <w:szCs w:val="20"/>
                    </w:rPr>
                  </w:pPr>
                  <w:r>
                    <w:rPr>
                      <w:sz w:val="20"/>
                      <w:szCs w:val="20"/>
                    </w:rPr>
                    <w:t>5.000</w:t>
                  </w:r>
                </w:p>
              </w:tc>
              <w:tc>
                <w:tcPr>
                  <w:tcW w:w="1260" w:type="dxa"/>
                  <w:vAlign w:val="center"/>
                </w:tcPr>
                <w:p w14:paraId="7E564D9F" w14:textId="77777777" w:rsidR="00114F14" w:rsidRDefault="00114F14" w:rsidP="004A104C">
                  <w:pPr>
                    <w:jc w:val="right"/>
                    <w:rPr>
                      <w:sz w:val="20"/>
                      <w:szCs w:val="20"/>
                    </w:rPr>
                  </w:pPr>
                  <w:r>
                    <w:rPr>
                      <w:sz w:val="20"/>
                      <w:szCs w:val="20"/>
                    </w:rPr>
                    <w:t>5.000</w:t>
                  </w:r>
                </w:p>
              </w:tc>
            </w:tr>
            <w:tr w:rsidR="00114F14" w:rsidRPr="008D72F0" w14:paraId="707A9220" w14:textId="77777777" w:rsidTr="00FE1AB6">
              <w:trPr>
                <w:trHeight w:val="357"/>
              </w:trPr>
              <w:tc>
                <w:tcPr>
                  <w:tcW w:w="1980" w:type="dxa"/>
                  <w:shd w:val="clear" w:color="auto" w:fill="auto"/>
                </w:tcPr>
                <w:p w14:paraId="496BFDE4"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4EF8002D" w14:textId="77777777" w:rsidR="00114F14" w:rsidRPr="008D72F0" w:rsidRDefault="00114F14" w:rsidP="004A104C">
                  <w:pPr>
                    <w:jc w:val="right"/>
                    <w:rPr>
                      <w:sz w:val="20"/>
                      <w:szCs w:val="20"/>
                    </w:rPr>
                  </w:pPr>
                  <w:r>
                    <w:rPr>
                      <w:sz w:val="20"/>
                      <w:szCs w:val="20"/>
                    </w:rPr>
                    <w:t>$353,078</w:t>
                  </w:r>
                </w:p>
              </w:tc>
              <w:tc>
                <w:tcPr>
                  <w:tcW w:w="1260" w:type="dxa"/>
                </w:tcPr>
                <w:p w14:paraId="1B2B8ADA" w14:textId="77777777" w:rsidR="00114F14" w:rsidRPr="008D72F0" w:rsidRDefault="00114F14" w:rsidP="004A104C">
                  <w:pPr>
                    <w:jc w:val="right"/>
                    <w:rPr>
                      <w:sz w:val="20"/>
                      <w:szCs w:val="20"/>
                    </w:rPr>
                  </w:pPr>
                  <w:r>
                    <w:rPr>
                      <w:sz w:val="20"/>
                      <w:szCs w:val="20"/>
                    </w:rPr>
                    <w:t>$364,556</w:t>
                  </w:r>
                </w:p>
              </w:tc>
            </w:tr>
            <w:tr w:rsidR="00114F14" w:rsidRPr="008D72F0" w14:paraId="4046FDFD" w14:textId="77777777" w:rsidTr="00FE1AB6">
              <w:trPr>
                <w:trHeight w:val="315"/>
              </w:trPr>
              <w:tc>
                <w:tcPr>
                  <w:tcW w:w="1980" w:type="dxa"/>
                  <w:shd w:val="clear" w:color="auto" w:fill="auto"/>
                </w:tcPr>
                <w:p w14:paraId="2944DA06"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516CF085" w14:textId="77777777" w:rsidR="00114F14" w:rsidRPr="00FE76F6" w:rsidRDefault="00114F14" w:rsidP="004A104C">
                  <w:pPr>
                    <w:jc w:val="right"/>
                    <w:rPr>
                      <w:sz w:val="20"/>
                      <w:szCs w:val="20"/>
                      <w:u w:val="single"/>
                    </w:rPr>
                  </w:pPr>
                  <w:r>
                    <w:rPr>
                      <w:sz w:val="20"/>
                      <w:szCs w:val="20"/>
                      <w:u w:val="single"/>
                    </w:rPr>
                    <w:t>$2,358,339</w:t>
                  </w:r>
                </w:p>
              </w:tc>
              <w:tc>
                <w:tcPr>
                  <w:tcW w:w="1260" w:type="dxa"/>
                </w:tcPr>
                <w:p w14:paraId="5B53FE13" w14:textId="77777777" w:rsidR="00114F14" w:rsidRPr="00FE76F6" w:rsidRDefault="00114F14" w:rsidP="004A104C">
                  <w:pPr>
                    <w:jc w:val="right"/>
                    <w:rPr>
                      <w:sz w:val="20"/>
                      <w:szCs w:val="20"/>
                      <w:u w:val="single"/>
                    </w:rPr>
                  </w:pPr>
                  <w:r>
                    <w:rPr>
                      <w:sz w:val="20"/>
                      <w:szCs w:val="20"/>
                      <w:u w:val="single"/>
                    </w:rPr>
                    <w:t>$2,358,339</w:t>
                  </w:r>
                </w:p>
              </w:tc>
            </w:tr>
            <w:tr w:rsidR="00114F14" w:rsidRPr="008D72F0" w14:paraId="3F179784" w14:textId="77777777" w:rsidTr="00FE1AB6">
              <w:trPr>
                <w:trHeight w:val="303"/>
              </w:trPr>
              <w:tc>
                <w:tcPr>
                  <w:tcW w:w="1980" w:type="dxa"/>
                  <w:shd w:val="clear" w:color="auto" w:fill="auto"/>
                </w:tcPr>
                <w:p w14:paraId="7E8A99A4" w14:textId="77777777" w:rsidR="00114F14" w:rsidRPr="008D72F0" w:rsidRDefault="00114F14" w:rsidP="004A104C">
                  <w:pPr>
                    <w:rPr>
                      <w:sz w:val="16"/>
                      <w:szCs w:val="16"/>
                      <w:u w:val="single"/>
                    </w:rPr>
                  </w:pPr>
                  <w:r>
                    <w:rPr>
                      <w:sz w:val="16"/>
                      <w:szCs w:val="16"/>
                      <w:u w:val="single"/>
                    </w:rPr>
                    <w:t>Federal Expenditures Fund Total</w:t>
                  </w:r>
                </w:p>
              </w:tc>
              <w:tc>
                <w:tcPr>
                  <w:tcW w:w="1260" w:type="dxa"/>
                  <w:shd w:val="clear" w:color="auto" w:fill="auto"/>
                </w:tcPr>
                <w:p w14:paraId="26351467" w14:textId="77777777" w:rsidR="00114F14" w:rsidRPr="008D72F0" w:rsidRDefault="00114F14" w:rsidP="004A104C">
                  <w:pPr>
                    <w:jc w:val="right"/>
                    <w:rPr>
                      <w:sz w:val="20"/>
                      <w:szCs w:val="20"/>
                    </w:rPr>
                  </w:pPr>
                  <w:r>
                    <w:rPr>
                      <w:sz w:val="20"/>
                      <w:szCs w:val="20"/>
                    </w:rPr>
                    <w:t>$2,711,417</w:t>
                  </w:r>
                </w:p>
              </w:tc>
              <w:tc>
                <w:tcPr>
                  <w:tcW w:w="1260" w:type="dxa"/>
                </w:tcPr>
                <w:p w14:paraId="5D5C7594" w14:textId="77777777" w:rsidR="00114F14" w:rsidRPr="008D72F0" w:rsidRDefault="00114F14" w:rsidP="004A104C">
                  <w:pPr>
                    <w:jc w:val="right"/>
                    <w:rPr>
                      <w:sz w:val="20"/>
                      <w:szCs w:val="20"/>
                    </w:rPr>
                  </w:pPr>
                  <w:r>
                    <w:rPr>
                      <w:sz w:val="20"/>
                      <w:szCs w:val="20"/>
                    </w:rPr>
                    <w:t>$2,722,895</w:t>
                  </w:r>
                </w:p>
              </w:tc>
            </w:tr>
            <w:tr w:rsidR="00114F14" w:rsidRPr="008D72F0" w14:paraId="2A689CAC" w14:textId="77777777" w:rsidTr="00FE1AB6">
              <w:trPr>
                <w:trHeight w:val="180"/>
              </w:trPr>
              <w:tc>
                <w:tcPr>
                  <w:tcW w:w="1980" w:type="dxa"/>
                  <w:shd w:val="clear" w:color="auto" w:fill="auto"/>
                </w:tcPr>
                <w:p w14:paraId="071C7A40" w14:textId="77777777" w:rsidR="00114F14" w:rsidRPr="008D72F0" w:rsidRDefault="00114F14" w:rsidP="004A104C">
                  <w:pPr>
                    <w:jc w:val="right"/>
                    <w:rPr>
                      <w:sz w:val="16"/>
                      <w:szCs w:val="16"/>
                    </w:rPr>
                  </w:pPr>
                  <w:r>
                    <w:rPr>
                      <w:sz w:val="16"/>
                      <w:szCs w:val="16"/>
                    </w:rPr>
                    <w:t>Other Special Revenue Funds</w:t>
                  </w:r>
                </w:p>
              </w:tc>
              <w:tc>
                <w:tcPr>
                  <w:tcW w:w="1260" w:type="dxa"/>
                  <w:shd w:val="clear" w:color="auto" w:fill="auto"/>
                  <w:vAlign w:val="center"/>
                </w:tcPr>
                <w:p w14:paraId="6A8A8DD0" w14:textId="77777777" w:rsidR="00114F14" w:rsidRPr="008D72F0" w:rsidRDefault="00114F14" w:rsidP="004A104C">
                  <w:pPr>
                    <w:jc w:val="right"/>
                    <w:rPr>
                      <w:sz w:val="20"/>
                      <w:szCs w:val="20"/>
                    </w:rPr>
                  </w:pPr>
                </w:p>
              </w:tc>
              <w:tc>
                <w:tcPr>
                  <w:tcW w:w="1260" w:type="dxa"/>
                  <w:vAlign w:val="center"/>
                </w:tcPr>
                <w:p w14:paraId="606F56FA" w14:textId="77777777" w:rsidR="00114F14" w:rsidRPr="008D72F0" w:rsidRDefault="00114F14" w:rsidP="004A104C">
                  <w:pPr>
                    <w:jc w:val="right"/>
                    <w:rPr>
                      <w:sz w:val="20"/>
                      <w:szCs w:val="20"/>
                    </w:rPr>
                  </w:pPr>
                </w:p>
              </w:tc>
            </w:tr>
            <w:tr w:rsidR="00114F14" w:rsidRPr="008D72F0" w14:paraId="2A3417AD" w14:textId="77777777" w:rsidTr="00FE1AB6">
              <w:trPr>
                <w:trHeight w:val="315"/>
              </w:trPr>
              <w:tc>
                <w:tcPr>
                  <w:tcW w:w="1980" w:type="dxa"/>
                  <w:shd w:val="clear" w:color="auto" w:fill="auto"/>
                </w:tcPr>
                <w:p w14:paraId="0A4F42E3" w14:textId="77777777" w:rsidR="00114F14" w:rsidRPr="008B530B" w:rsidRDefault="00114F14" w:rsidP="004A104C">
                  <w:pPr>
                    <w:jc w:val="right"/>
                    <w:rPr>
                      <w:sz w:val="16"/>
                      <w:szCs w:val="16"/>
                    </w:rPr>
                  </w:pPr>
                  <w:r>
                    <w:rPr>
                      <w:sz w:val="16"/>
                      <w:szCs w:val="16"/>
                    </w:rPr>
                    <w:t>Personal Services</w:t>
                  </w:r>
                </w:p>
              </w:tc>
              <w:tc>
                <w:tcPr>
                  <w:tcW w:w="1260" w:type="dxa"/>
                  <w:shd w:val="clear" w:color="auto" w:fill="auto"/>
                </w:tcPr>
                <w:p w14:paraId="1DC5AE1F" w14:textId="77777777" w:rsidR="00114F14" w:rsidRPr="008D72F0" w:rsidRDefault="00114F14" w:rsidP="004A104C">
                  <w:pPr>
                    <w:jc w:val="right"/>
                    <w:rPr>
                      <w:sz w:val="20"/>
                      <w:szCs w:val="20"/>
                    </w:rPr>
                  </w:pPr>
                  <w:r>
                    <w:rPr>
                      <w:sz w:val="20"/>
                      <w:szCs w:val="20"/>
                    </w:rPr>
                    <w:t>$29,273</w:t>
                  </w:r>
                </w:p>
              </w:tc>
              <w:tc>
                <w:tcPr>
                  <w:tcW w:w="1260" w:type="dxa"/>
                </w:tcPr>
                <w:p w14:paraId="43B5A2D1" w14:textId="77777777" w:rsidR="00114F14" w:rsidRPr="008D72F0" w:rsidRDefault="00114F14" w:rsidP="004A104C">
                  <w:pPr>
                    <w:jc w:val="right"/>
                    <w:rPr>
                      <w:sz w:val="20"/>
                      <w:szCs w:val="20"/>
                    </w:rPr>
                  </w:pPr>
                  <w:r>
                    <w:rPr>
                      <w:sz w:val="20"/>
                      <w:szCs w:val="20"/>
                    </w:rPr>
                    <w:t>$30,670</w:t>
                  </w:r>
                </w:p>
              </w:tc>
            </w:tr>
            <w:tr w:rsidR="00114F14" w:rsidRPr="008D72F0" w14:paraId="2DC7F0FB" w14:textId="77777777" w:rsidTr="00FE1AB6">
              <w:trPr>
                <w:trHeight w:val="315"/>
              </w:trPr>
              <w:tc>
                <w:tcPr>
                  <w:tcW w:w="1980" w:type="dxa"/>
                  <w:shd w:val="clear" w:color="auto" w:fill="auto"/>
                </w:tcPr>
                <w:p w14:paraId="2B7D02F8" w14:textId="77777777" w:rsidR="00114F14" w:rsidRPr="008B530B" w:rsidRDefault="00114F14" w:rsidP="004A104C">
                  <w:pPr>
                    <w:jc w:val="right"/>
                    <w:rPr>
                      <w:sz w:val="16"/>
                      <w:szCs w:val="16"/>
                    </w:rPr>
                  </w:pPr>
                  <w:r>
                    <w:rPr>
                      <w:sz w:val="16"/>
                      <w:szCs w:val="16"/>
                    </w:rPr>
                    <w:t>All Other</w:t>
                  </w:r>
                </w:p>
              </w:tc>
              <w:tc>
                <w:tcPr>
                  <w:tcW w:w="1260" w:type="dxa"/>
                  <w:shd w:val="clear" w:color="auto" w:fill="auto"/>
                </w:tcPr>
                <w:p w14:paraId="75E7A3A1" w14:textId="77777777" w:rsidR="00114F14" w:rsidRPr="00FE76F6" w:rsidRDefault="00114F14" w:rsidP="004A104C">
                  <w:pPr>
                    <w:jc w:val="right"/>
                    <w:rPr>
                      <w:sz w:val="20"/>
                      <w:szCs w:val="20"/>
                      <w:u w:val="single"/>
                    </w:rPr>
                  </w:pPr>
                  <w:r>
                    <w:rPr>
                      <w:sz w:val="20"/>
                      <w:szCs w:val="20"/>
                      <w:u w:val="single"/>
                    </w:rPr>
                    <w:t>$194,282</w:t>
                  </w:r>
                </w:p>
              </w:tc>
              <w:tc>
                <w:tcPr>
                  <w:tcW w:w="1260" w:type="dxa"/>
                </w:tcPr>
                <w:p w14:paraId="527D58E3" w14:textId="77777777" w:rsidR="00114F14" w:rsidRPr="00FE76F6" w:rsidRDefault="00114F14" w:rsidP="004A104C">
                  <w:pPr>
                    <w:jc w:val="right"/>
                    <w:rPr>
                      <w:sz w:val="20"/>
                      <w:szCs w:val="20"/>
                      <w:u w:val="single"/>
                    </w:rPr>
                  </w:pPr>
                  <w:r>
                    <w:rPr>
                      <w:sz w:val="20"/>
                      <w:szCs w:val="20"/>
                      <w:u w:val="single"/>
                    </w:rPr>
                    <w:t>$194,282</w:t>
                  </w:r>
                </w:p>
              </w:tc>
            </w:tr>
            <w:tr w:rsidR="00114F14" w:rsidRPr="008D72F0" w14:paraId="601F25BD" w14:textId="77777777" w:rsidTr="00FE1AB6">
              <w:trPr>
                <w:trHeight w:val="315"/>
              </w:trPr>
              <w:tc>
                <w:tcPr>
                  <w:tcW w:w="1980" w:type="dxa"/>
                  <w:shd w:val="clear" w:color="auto" w:fill="auto"/>
                </w:tcPr>
                <w:p w14:paraId="6A7491F7" w14:textId="77777777" w:rsidR="00114F14" w:rsidRPr="008B530B" w:rsidRDefault="00114F14" w:rsidP="004A104C">
                  <w:pPr>
                    <w:rPr>
                      <w:sz w:val="16"/>
                      <w:szCs w:val="16"/>
                      <w:u w:val="single"/>
                    </w:rPr>
                  </w:pPr>
                  <w:r>
                    <w:rPr>
                      <w:sz w:val="16"/>
                      <w:szCs w:val="16"/>
                      <w:u w:val="single"/>
                    </w:rPr>
                    <w:t>Other Special Revenue Funds Total</w:t>
                  </w:r>
                </w:p>
              </w:tc>
              <w:tc>
                <w:tcPr>
                  <w:tcW w:w="1260" w:type="dxa"/>
                  <w:shd w:val="clear" w:color="auto" w:fill="auto"/>
                </w:tcPr>
                <w:p w14:paraId="1510A732" w14:textId="77777777" w:rsidR="00114F14" w:rsidRPr="008D72F0" w:rsidRDefault="00114F14" w:rsidP="004A104C">
                  <w:pPr>
                    <w:jc w:val="right"/>
                    <w:rPr>
                      <w:sz w:val="20"/>
                      <w:szCs w:val="20"/>
                    </w:rPr>
                  </w:pPr>
                  <w:r>
                    <w:rPr>
                      <w:sz w:val="20"/>
                      <w:szCs w:val="20"/>
                    </w:rPr>
                    <w:t>$223,555</w:t>
                  </w:r>
                </w:p>
              </w:tc>
              <w:tc>
                <w:tcPr>
                  <w:tcW w:w="1260" w:type="dxa"/>
                </w:tcPr>
                <w:p w14:paraId="3AEAE34F" w14:textId="77777777" w:rsidR="00114F14" w:rsidRPr="008D72F0" w:rsidRDefault="00114F14" w:rsidP="004A104C">
                  <w:pPr>
                    <w:jc w:val="right"/>
                    <w:rPr>
                      <w:sz w:val="20"/>
                      <w:szCs w:val="20"/>
                    </w:rPr>
                  </w:pPr>
                  <w:r>
                    <w:rPr>
                      <w:sz w:val="20"/>
                      <w:szCs w:val="20"/>
                    </w:rPr>
                    <w:t>$224,952</w:t>
                  </w:r>
                </w:p>
              </w:tc>
            </w:tr>
            <w:tr w:rsidR="00CD7961" w:rsidRPr="008D72F0" w14:paraId="262F8774" w14:textId="77777777" w:rsidTr="00FE1AB6">
              <w:trPr>
                <w:trHeight w:val="315"/>
              </w:trPr>
              <w:tc>
                <w:tcPr>
                  <w:tcW w:w="1980" w:type="dxa"/>
                  <w:shd w:val="clear" w:color="auto" w:fill="auto"/>
                </w:tcPr>
                <w:p w14:paraId="1B78C8F2" w14:textId="77777777" w:rsidR="00CD7961" w:rsidRDefault="00CD7961" w:rsidP="004A104C">
                  <w:pPr>
                    <w:rPr>
                      <w:sz w:val="16"/>
                      <w:szCs w:val="16"/>
                      <w:u w:val="single"/>
                    </w:rPr>
                  </w:pPr>
                </w:p>
              </w:tc>
              <w:tc>
                <w:tcPr>
                  <w:tcW w:w="1260" w:type="dxa"/>
                  <w:shd w:val="clear" w:color="auto" w:fill="auto"/>
                </w:tcPr>
                <w:p w14:paraId="03C1BE30" w14:textId="77777777" w:rsidR="00CD7961" w:rsidRDefault="00CD7961" w:rsidP="004A104C">
                  <w:pPr>
                    <w:jc w:val="right"/>
                    <w:rPr>
                      <w:sz w:val="20"/>
                      <w:szCs w:val="20"/>
                    </w:rPr>
                  </w:pPr>
                </w:p>
              </w:tc>
              <w:tc>
                <w:tcPr>
                  <w:tcW w:w="1260" w:type="dxa"/>
                </w:tcPr>
                <w:p w14:paraId="3AA9FBD9" w14:textId="77777777" w:rsidR="00CD7961" w:rsidRDefault="00CD7961" w:rsidP="004A104C">
                  <w:pPr>
                    <w:jc w:val="right"/>
                    <w:rPr>
                      <w:sz w:val="20"/>
                      <w:szCs w:val="20"/>
                    </w:rPr>
                  </w:pPr>
                </w:p>
              </w:tc>
            </w:tr>
          </w:tbl>
          <w:p w14:paraId="351E9AD5" w14:textId="77777777" w:rsidR="00CD7961" w:rsidRDefault="00CD7961" w:rsidP="00CD7961">
            <w:pPr>
              <w:pStyle w:val="ListBullet"/>
              <w:numPr>
                <w:ilvl w:val="0"/>
                <w:numId w:val="0"/>
              </w:numPr>
              <w:ind w:left="280"/>
            </w:pPr>
          </w:p>
          <w:p w14:paraId="50784639" w14:textId="77777777" w:rsidR="00CD7961" w:rsidRDefault="00CD7961" w:rsidP="00CD7961">
            <w:pPr>
              <w:pStyle w:val="ListBullet"/>
              <w:numPr>
                <w:ilvl w:val="0"/>
                <w:numId w:val="0"/>
              </w:numPr>
              <w:ind w:left="280"/>
            </w:pPr>
          </w:p>
          <w:p w14:paraId="5EE67799" w14:textId="77777777" w:rsidR="00CD7961" w:rsidRPr="00CD7961" w:rsidRDefault="00CD7961" w:rsidP="001C5801">
            <w:pPr>
              <w:pStyle w:val="ListBullet"/>
              <w:numPr>
                <w:ilvl w:val="0"/>
                <w:numId w:val="0"/>
              </w:numPr>
              <w:ind w:left="280"/>
            </w:pPr>
          </w:p>
          <w:p w14:paraId="38693B6D" w14:textId="77777777" w:rsidR="00CD7961" w:rsidRPr="00CD7961" w:rsidRDefault="00CD7961" w:rsidP="001C5801">
            <w:pPr>
              <w:pStyle w:val="ListBullet"/>
              <w:numPr>
                <w:ilvl w:val="0"/>
                <w:numId w:val="0"/>
              </w:numPr>
              <w:ind w:left="280"/>
            </w:pPr>
          </w:p>
          <w:p w14:paraId="468766E6" w14:textId="77777777" w:rsidR="00CD7961" w:rsidRPr="00CD7961" w:rsidRDefault="00CD7961" w:rsidP="001C5801">
            <w:pPr>
              <w:pStyle w:val="ListBullet"/>
              <w:numPr>
                <w:ilvl w:val="0"/>
                <w:numId w:val="0"/>
              </w:numPr>
              <w:ind w:left="280"/>
            </w:pPr>
          </w:p>
          <w:p w14:paraId="71EF775C" w14:textId="77777777" w:rsidR="00CD7961" w:rsidRPr="00CD7961" w:rsidRDefault="00CD7961" w:rsidP="001C5801">
            <w:pPr>
              <w:pStyle w:val="ListBullet"/>
              <w:numPr>
                <w:ilvl w:val="0"/>
                <w:numId w:val="0"/>
              </w:numPr>
              <w:ind w:left="280"/>
            </w:pPr>
          </w:p>
          <w:p w14:paraId="768400A5" w14:textId="77777777" w:rsidR="00CD7961" w:rsidRPr="00CD7961" w:rsidRDefault="00CD7961" w:rsidP="001C5801">
            <w:pPr>
              <w:pStyle w:val="ListBullet"/>
              <w:numPr>
                <w:ilvl w:val="0"/>
                <w:numId w:val="0"/>
              </w:numPr>
              <w:ind w:left="280"/>
            </w:pPr>
          </w:p>
          <w:p w14:paraId="11F5DB67" w14:textId="77777777" w:rsidR="00CD7961" w:rsidRPr="00CD7961" w:rsidRDefault="00CD7961" w:rsidP="001C5801">
            <w:pPr>
              <w:pStyle w:val="ListBullet"/>
              <w:numPr>
                <w:ilvl w:val="0"/>
                <w:numId w:val="0"/>
              </w:numPr>
              <w:ind w:left="280"/>
            </w:pPr>
          </w:p>
          <w:p w14:paraId="24480310" w14:textId="77777777" w:rsidR="00CD7961" w:rsidRPr="00CD7961" w:rsidRDefault="00CD7961" w:rsidP="001C5801">
            <w:pPr>
              <w:pStyle w:val="ListBullet"/>
              <w:numPr>
                <w:ilvl w:val="0"/>
                <w:numId w:val="0"/>
              </w:numPr>
              <w:ind w:left="280"/>
            </w:pPr>
          </w:p>
          <w:p w14:paraId="1313A126" w14:textId="77777777" w:rsidR="00CD7961" w:rsidRPr="00CD7961" w:rsidRDefault="00CD7961" w:rsidP="001C5801">
            <w:pPr>
              <w:pStyle w:val="ListBullet"/>
              <w:numPr>
                <w:ilvl w:val="0"/>
                <w:numId w:val="0"/>
              </w:numPr>
              <w:ind w:left="280"/>
            </w:pPr>
          </w:p>
          <w:p w14:paraId="462F919E" w14:textId="77777777" w:rsidR="00CD7961" w:rsidRPr="00CD7961" w:rsidRDefault="00CD7961" w:rsidP="001C5801">
            <w:pPr>
              <w:pStyle w:val="ListBullet"/>
              <w:numPr>
                <w:ilvl w:val="0"/>
                <w:numId w:val="0"/>
              </w:numPr>
              <w:ind w:left="280"/>
            </w:pPr>
          </w:p>
          <w:p w14:paraId="4B4C5F86" w14:textId="77777777" w:rsidR="00CD7961" w:rsidRPr="00CD7961" w:rsidRDefault="00CD7961" w:rsidP="001C5801">
            <w:pPr>
              <w:pStyle w:val="ListBullet"/>
              <w:numPr>
                <w:ilvl w:val="0"/>
                <w:numId w:val="0"/>
              </w:numPr>
              <w:ind w:left="280"/>
            </w:pPr>
          </w:p>
          <w:p w14:paraId="39E11FDF" w14:textId="77777777" w:rsidR="00CD7961" w:rsidRPr="00CD7961" w:rsidRDefault="00CD7961" w:rsidP="001C5801">
            <w:pPr>
              <w:pStyle w:val="ListBullet"/>
              <w:numPr>
                <w:ilvl w:val="0"/>
                <w:numId w:val="0"/>
              </w:numPr>
              <w:ind w:left="280"/>
            </w:pPr>
          </w:p>
          <w:p w14:paraId="1DD59D99" w14:textId="77777777" w:rsidR="00CD7961" w:rsidRPr="00CD7961" w:rsidRDefault="00CD7961" w:rsidP="001C5801">
            <w:pPr>
              <w:pStyle w:val="ListBullet"/>
              <w:numPr>
                <w:ilvl w:val="0"/>
                <w:numId w:val="0"/>
              </w:numPr>
              <w:ind w:left="280"/>
            </w:pPr>
          </w:p>
          <w:p w14:paraId="4EB53269" w14:textId="54C1FCEE" w:rsidR="00114F14" w:rsidRDefault="00114F14" w:rsidP="004A104C">
            <w:pPr>
              <w:pStyle w:val="ListBullet"/>
            </w:pPr>
            <w:r>
              <w:t xml:space="preserve">Provides funding in the budget to increase the hours of one Senior Planner position from 54 </w:t>
            </w:r>
            <w:proofErr w:type="spellStart"/>
            <w:r>
              <w:t>hrs</w:t>
            </w:r>
            <w:proofErr w:type="spellEnd"/>
            <w:r>
              <w:t xml:space="preserve"> to 80 </w:t>
            </w:r>
            <w:proofErr w:type="spellStart"/>
            <w:r>
              <w:t>hrs</w:t>
            </w:r>
            <w:proofErr w:type="spellEnd"/>
            <w:r>
              <w:t xml:space="preserve"> biweekly and reallocates the position from 75% Federal Expenditures Fund and 25% Other Special Revenue Funds to 60% Federal Expenditures Fund and 40% General Fund in Maine Commission for Community Services program.  Also provides General Fund All Other appropriations to support the Maine service fellows program.</w:t>
            </w:r>
          </w:p>
          <w:p w14:paraId="31111F83" w14:textId="77777777" w:rsidR="00D540F9" w:rsidRDefault="00D540F9" w:rsidP="00D540F9">
            <w:pPr>
              <w:pStyle w:val="ListBullet"/>
              <w:numPr>
                <w:ilvl w:val="0"/>
                <w:numId w:val="0"/>
              </w:numPr>
              <w:ind w:left="460" w:hanging="180"/>
            </w:pPr>
          </w:p>
          <w:p w14:paraId="57A86755" w14:textId="08A441B5" w:rsidR="00114F14" w:rsidRDefault="00114F14" w:rsidP="004A104C">
            <w:pPr>
              <w:pStyle w:val="ListBullet"/>
              <w:numPr>
                <w:ilvl w:val="0"/>
                <w:numId w:val="0"/>
              </w:numPr>
              <w:ind w:left="280"/>
            </w:pPr>
          </w:p>
          <w:p w14:paraId="207960B9" w14:textId="77777777" w:rsidR="00CD7961" w:rsidRDefault="00CD7961" w:rsidP="004A104C">
            <w:pPr>
              <w:pStyle w:val="ListBullet"/>
              <w:numPr>
                <w:ilvl w:val="0"/>
                <w:numId w:val="0"/>
              </w:numPr>
              <w:ind w:left="280"/>
            </w:pPr>
          </w:p>
          <w:tbl>
            <w:tblPr>
              <w:tblpPr w:leftFromText="180" w:rightFromText="180" w:vertAnchor="page" w:horzAnchor="margin" w:tblpXSpec="center" w:tblpY="6361"/>
              <w:tblOverlap w:val="never"/>
              <w:tblW w:w="0" w:type="auto"/>
              <w:tblLook w:val="01E0" w:firstRow="1" w:lastRow="1" w:firstColumn="1" w:lastColumn="1" w:noHBand="0" w:noVBand="0"/>
            </w:tblPr>
            <w:tblGrid>
              <w:gridCol w:w="1980"/>
              <w:gridCol w:w="1260"/>
              <w:gridCol w:w="1260"/>
            </w:tblGrid>
            <w:tr w:rsidR="00CD7961" w:rsidRPr="008D72F0" w14:paraId="778DFF1B" w14:textId="77777777" w:rsidTr="00D540F9">
              <w:trPr>
                <w:trHeight w:val="357"/>
              </w:trPr>
              <w:tc>
                <w:tcPr>
                  <w:tcW w:w="1980" w:type="dxa"/>
                  <w:shd w:val="clear" w:color="auto" w:fill="auto"/>
                </w:tcPr>
                <w:p w14:paraId="26A08C18" w14:textId="77777777" w:rsidR="00CD7961" w:rsidRPr="008D72F0" w:rsidRDefault="00CD7961" w:rsidP="00CD7961">
                  <w:pPr>
                    <w:jc w:val="right"/>
                    <w:rPr>
                      <w:sz w:val="20"/>
                      <w:szCs w:val="20"/>
                      <w:u w:val="single"/>
                    </w:rPr>
                  </w:pPr>
                </w:p>
              </w:tc>
              <w:tc>
                <w:tcPr>
                  <w:tcW w:w="1260" w:type="dxa"/>
                  <w:shd w:val="clear" w:color="auto" w:fill="auto"/>
                </w:tcPr>
                <w:p w14:paraId="782B353B" w14:textId="77777777" w:rsidR="00CD7961" w:rsidRPr="008D72F0" w:rsidRDefault="00CD7961" w:rsidP="00CD7961">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2CA60156" w14:textId="77777777" w:rsidR="00CD7961" w:rsidRPr="008D72F0" w:rsidRDefault="00CD7961" w:rsidP="00CD7961">
                  <w:pPr>
                    <w:jc w:val="right"/>
                    <w:rPr>
                      <w:sz w:val="20"/>
                      <w:szCs w:val="20"/>
                      <w:u w:val="single"/>
                    </w:rPr>
                  </w:pPr>
                  <w:r>
                    <w:rPr>
                      <w:sz w:val="20"/>
                      <w:szCs w:val="20"/>
                      <w:u w:val="single"/>
                    </w:rPr>
                    <w:t>FY 21</w:t>
                  </w:r>
                </w:p>
              </w:tc>
            </w:tr>
            <w:tr w:rsidR="00CD7961" w:rsidRPr="008D72F0" w14:paraId="375403C9" w14:textId="77777777" w:rsidTr="00D540F9">
              <w:trPr>
                <w:trHeight w:val="273"/>
              </w:trPr>
              <w:tc>
                <w:tcPr>
                  <w:tcW w:w="1980" w:type="dxa"/>
                  <w:shd w:val="clear" w:color="auto" w:fill="auto"/>
                </w:tcPr>
                <w:p w14:paraId="1D8097DC" w14:textId="77777777" w:rsidR="00CD7961" w:rsidRPr="008D72F0" w:rsidRDefault="00CD7961" w:rsidP="00CD7961">
                  <w:pPr>
                    <w:jc w:val="right"/>
                    <w:rPr>
                      <w:sz w:val="16"/>
                      <w:szCs w:val="16"/>
                    </w:rPr>
                  </w:pPr>
                  <w:r>
                    <w:rPr>
                      <w:sz w:val="16"/>
                      <w:szCs w:val="16"/>
                    </w:rPr>
                    <w:t>General Fund</w:t>
                  </w:r>
                </w:p>
              </w:tc>
              <w:tc>
                <w:tcPr>
                  <w:tcW w:w="1260" w:type="dxa"/>
                  <w:shd w:val="clear" w:color="auto" w:fill="auto"/>
                  <w:vAlign w:val="center"/>
                </w:tcPr>
                <w:p w14:paraId="694E9FDF" w14:textId="77777777" w:rsidR="00CD7961" w:rsidRPr="008D72F0" w:rsidRDefault="00CD7961" w:rsidP="00CD7961">
                  <w:pPr>
                    <w:jc w:val="right"/>
                    <w:rPr>
                      <w:sz w:val="20"/>
                      <w:szCs w:val="20"/>
                    </w:rPr>
                  </w:pPr>
                </w:p>
              </w:tc>
              <w:tc>
                <w:tcPr>
                  <w:tcW w:w="1260" w:type="dxa"/>
                  <w:vAlign w:val="center"/>
                </w:tcPr>
                <w:p w14:paraId="08581CC2" w14:textId="77777777" w:rsidR="00CD7961" w:rsidRDefault="00CD7961" w:rsidP="00CD7961">
                  <w:pPr>
                    <w:jc w:val="right"/>
                    <w:rPr>
                      <w:sz w:val="20"/>
                      <w:szCs w:val="20"/>
                    </w:rPr>
                  </w:pPr>
                </w:p>
              </w:tc>
            </w:tr>
            <w:tr w:rsidR="00CD7961" w:rsidRPr="008D72F0" w14:paraId="543E3CB9" w14:textId="77777777" w:rsidTr="00D540F9">
              <w:trPr>
                <w:trHeight w:val="357"/>
              </w:trPr>
              <w:tc>
                <w:tcPr>
                  <w:tcW w:w="1980" w:type="dxa"/>
                  <w:shd w:val="clear" w:color="auto" w:fill="auto"/>
                </w:tcPr>
                <w:p w14:paraId="2D221089" w14:textId="77777777" w:rsidR="00CD7961" w:rsidRPr="008D72F0" w:rsidRDefault="00CD7961" w:rsidP="00CD7961">
                  <w:pPr>
                    <w:jc w:val="right"/>
                    <w:rPr>
                      <w:sz w:val="16"/>
                      <w:szCs w:val="16"/>
                    </w:rPr>
                  </w:pPr>
                  <w:r w:rsidRPr="008D72F0">
                    <w:rPr>
                      <w:sz w:val="16"/>
                      <w:szCs w:val="16"/>
                    </w:rPr>
                    <w:t>Personal Services</w:t>
                  </w:r>
                </w:p>
              </w:tc>
              <w:tc>
                <w:tcPr>
                  <w:tcW w:w="1260" w:type="dxa"/>
                  <w:shd w:val="clear" w:color="auto" w:fill="auto"/>
                </w:tcPr>
                <w:p w14:paraId="0EE11B6F" w14:textId="77777777" w:rsidR="00CD7961" w:rsidRPr="008D72F0" w:rsidRDefault="00CD7961" w:rsidP="00CD7961">
                  <w:pPr>
                    <w:jc w:val="right"/>
                    <w:rPr>
                      <w:sz w:val="20"/>
                      <w:szCs w:val="20"/>
                    </w:rPr>
                  </w:pPr>
                  <w:r>
                    <w:rPr>
                      <w:sz w:val="20"/>
                      <w:szCs w:val="20"/>
                    </w:rPr>
                    <w:t>$34,084</w:t>
                  </w:r>
                </w:p>
              </w:tc>
              <w:tc>
                <w:tcPr>
                  <w:tcW w:w="1260" w:type="dxa"/>
                </w:tcPr>
                <w:p w14:paraId="6CE6259F" w14:textId="77777777" w:rsidR="00CD7961" w:rsidRPr="008D72F0" w:rsidRDefault="00CD7961" w:rsidP="00CD7961">
                  <w:pPr>
                    <w:jc w:val="right"/>
                    <w:rPr>
                      <w:sz w:val="20"/>
                      <w:szCs w:val="20"/>
                    </w:rPr>
                  </w:pPr>
                  <w:r>
                    <w:rPr>
                      <w:sz w:val="20"/>
                      <w:szCs w:val="20"/>
                    </w:rPr>
                    <w:t>$35,636</w:t>
                  </w:r>
                </w:p>
              </w:tc>
            </w:tr>
            <w:tr w:rsidR="00CD7961" w:rsidRPr="008D72F0" w14:paraId="6179C2F6" w14:textId="77777777" w:rsidTr="00D540F9">
              <w:trPr>
                <w:trHeight w:val="315"/>
              </w:trPr>
              <w:tc>
                <w:tcPr>
                  <w:tcW w:w="1980" w:type="dxa"/>
                  <w:shd w:val="clear" w:color="auto" w:fill="auto"/>
                </w:tcPr>
                <w:p w14:paraId="72AC57B3" w14:textId="77777777" w:rsidR="00CD7961" w:rsidRPr="008D72F0" w:rsidRDefault="00CD7961" w:rsidP="00CD7961">
                  <w:pPr>
                    <w:jc w:val="right"/>
                    <w:rPr>
                      <w:sz w:val="16"/>
                      <w:szCs w:val="16"/>
                    </w:rPr>
                  </w:pPr>
                  <w:r>
                    <w:rPr>
                      <w:sz w:val="16"/>
                      <w:szCs w:val="16"/>
                    </w:rPr>
                    <w:t>All Other</w:t>
                  </w:r>
                </w:p>
              </w:tc>
              <w:tc>
                <w:tcPr>
                  <w:tcW w:w="1260" w:type="dxa"/>
                  <w:shd w:val="clear" w:color="auto" w:fill="auto"/>
                </w:tcPr>
                <w:p w14:paraId="58AD6DB4" w14:textId="77777777" w:rsidR="00CD7961" w:rsidRPr="00FE76F6" w:rsidRDefault="00CD7961" w:rsidP="00CD7961">
                  <w:pPr>
                    <w:jc w:val="right"/>
                    <w:rPr>
                      <w:sz w:val="20"/>
                      <w:szCs w:val="20"/>
                      <w:u w:val="single"/>
                    </w:rPr>
                  </w:pPr>
                  <w:r>
                    <w:rPr>
                      <w:sz w:val="20"/>
                      <w:szCs w:val="20"/>
                      <w:u w:val="single"/>
                    </w:rPr>
                    <w:t>$60,276</w:t>
                  </w:r>
                </w:p>
              </w:tc>
              <w:tc>
                <w:tcPr>
                  <w:tcW w:w="1260" w:type="dxa"/>
                </w:tcPr>
                <w:p w14:paraId="10568004" w14:textId="77777777" w:rsidR="00CD7961" w:rsidRPr="00FE76F6" w:rsidRDefault="00CD7961" w:rsidP="00CD7961">
                  <w:pPr>
                    <w:jc w:val="right"/>
                    <w:rPr>
                      <w:sz w:val="20"/>
                      <w:szCs w:val="20"/>
                      <w:u w:val="single"/>
                    </w:rPr>
                  </w:pPr>
                  <w:r>
                    <w:rPr>
                      <w:sz w:val="20"/>
                      <w:szCs w:val="20"/>
                      <w:u w:val="single"/>
                    </w:rPr>
                    <w:t>$60,276</w:t>
                  </w:r>
                </w:p>
              </w:tc>
            </w:tr>
            <w:tr w:rsidR="00CD7961" w:rsidRPr="008D72F0" w14:paraId="29687AEE" w14:textId="77777777" w:rsidTr="00D540F9">
              <w:trPr>
                <w:trHeight w:val="303"/>
              </w:trPr>
              <w:tc>
                <w:tcPr>
                  <w:tcW w:w="1980" w:type="dxa"/>
                  <w:shd w:val="clear" w:color="auto" w:fill="auto"/>
                </w:tcPr>
                <w:p w14:paraId="17394956" w14:textId="77777777" w:rsidR="00CD7961" w:rsidRPr="008D72F0" w:rsidRDefault="00CD7961" w:rsidP="00CD7961">
                  <w:pPr>
                    <w:rPr>
                      <w:sz w:val="16"/>
                      <w:szCs w:val="16"/>
                      <w:u w:val="single"/>
                    </w:rPr>
                  </w:pPr>
                  <w:r>
                    <w:rPr>
                      <w:sz w:val="16"/>
                      <w:szCs w:val="16"/>
                      <w:u w:val="single"/>
                    </w:rPr>
                    <w:t>General Fund Total</w:t>
                  </w:r>
                </w:p>
              </w:tc>
              <w:tc>
                <w:tcPr>
                  <w:tcW w:w="1260" w:type="dxa"/>
                  <w:shd w:val="clear" w:color="auto" w:fill="auto"/>
                </w:tcPr>
                <w:p w14:paraId="0BBF2649" w14:textId="77777777" w:rsidR="00CD7961" w:rsidRPr="008D72F0" w:rsidRDefault="00CD7961" w:rsidP="00CD7961">
                  <w:pPr>
                    <w:jc w:val="right"/>
                    <w:rPr>
                      <w:sz w:val="20"/>
                      <w:szCs w:val="20"/>
                    </w:rPr>
                  </w:pPr>
                  <w:r>
                    <w:rPr>
                      <w:sz w:val="20"/>
                      <w:szCs w:val="20"/>
                    </w:rPr>
                    <w:t>$94,360</w:t>
                  </w:r>
                </w:p>
              </w:tc>
              <w:tc>
                <w:tcPr>
                  <w:tcW w:w="1260" w:type="dxa"/>
                </w:tcPr>
                <w:p w14:paraId="3F2C8148" w14:textId="77777777" w:rsidR="00CD7961" w:rsidRPr="008D72F0" w:rsidRDefault="00CD7961" w:rsidP="00CD7961">
                  <w:pPr>
                    <w:jc w:val="right"/>
                    <w:rPr>
                      <w:sz w:val="20"/>
                      <w:szCs w:val="20"/>
                    </w:rPr>
                  </w:pPr>
                  <w:r>
                    <w:rPr>
                      <w:sz w:val="20"/>
                      <w:szCs w:val="20"/>
                    </w:rPr>
                    <w:t>$95,912</w:t>
                  </w:r>
                </w:p>
              </w:tc>
            </w:tr>
            <w:tr w:rsidR="00CD7961" w:rsidRPr="008D72F0" w14:paraId="690812FE" w14:textId="77777777" w:rsidTr="00D540F9">
              <w:trPr>
                <w:trHeight w:val="180"/>
              </w:trPr>
              <w:tc>
                <w:tcPr>
                  <w:tcW w:w="1980" w:type="dxa"/>
                  <w:shd w:val="clear" w:color="auto" w:fill="auto"/>
                </w:tcPr>
                <w:p w14:paraId="2840B2C9" w14:textId="77777777" w:rsidR="00CD7961" w:rsidRPr="008D72F0" w:rsidRDefault="00CD7961" w:rsidP="00CD7961">
                  <w:pPr>
                    <w:jc w:val="right"/>
                    <w:rPr>
                      <w:sz w:val="16"/>
                      <w:szCs w:val="16"/>
                    </w:rPr>
                  </w:pPr>
                  <w:r>
                    <w:rPr>
                      <w:sz w:val="16"/>
                      <w:szCs w:val="16"/>
                    </w:rPr>
                    <w:t>Federal Expenditures Fund</w:t>
                  </w:r>
                </w:p>
              </w:tc>
              <w:tc>
                <w:tcPr>
                  <w:tcW w:w="1260" w:type="dxa"/>
                  <w:shd w:val="clear" w:color="auto" w:fill="auto"/>
                  <w:vAlign w:val="center"/>
                </w:tcPr>
                <w:p w14:paraId="551796F2" w14:textId="77777777" w:rsidR="00CD7961" w:rsidRPr="008D72F0" w:rsidRDefault="00CD7961" w:rsidP="00CD7961">
                  <w:pPr>
                    <w:jc w:val="right"/>
                    <w:rPr>
                      <w:sz w:val="20"/>
                      <w:szCs w:val="20"/>
                    </w:rPr>
                  </w:pPr>
                </w:p>
              </w:tc>
              <w:tc>
                <w:tcPr>
                  <w:tcW w:w="1260" w:type="dxa"/>
                  <w:vAlign w:val="center"/>
                </w:tcPr>
                <w:p w14:paraId="05069829" w14:textId="77777777" w:rsidR="00CD7961" w:rsidRPr="008D72F0" w:rsidRDefault="00CD7961" w:rsidP="00CD7961">
                  <w:pPr>
                    <w:jc w:val="right"/>
                    <w:rPr>
                      <w:sz w:val="20"/>
                      <w:szCs w:val="20"/>
                    </w:rPr>
                  </w:pPr>
                </w:p>
              </w:tc>
            </w:tr>
            <w:tr w:rsidR="00CD7961" w:rsidRPr="008D72F0" w14:paraId="29DD572C" w14:textId="77777777" w:rsidTr="00D540F9">
              <w:trPr>
                <w:trHeight w:val="315"/>
              </w:trPr>
              <w:tc>
                <w:tcPr>
                  <w:tcW w:w="1980" w:type="dxa"/>
                  <w:shd w:val="clear" w:color="auto" w:fill="auto"/>
                </w:tcPr>
                <w:p w14:paraId="75CD79A7" w14:textId="77777777" w:rsidR="00CD7961" w:rsidRPr="008B530B" w:rsidRDefault="00CD7961" w:rsidP="00CD7961">
                  <w:pPr>
                    <w:jc w:val="right"/>
                    <w:rPr>
                      <w:sz w:val="16"/>
                      <w:szCs w:val="16"/>
                    </w:rPr>
                  </w:pPr>
                  <w:r>
                    <w:rPr>
                      <w:sz w:val="16"/>
                      <w:szCs w:val="16"/>
                    </w:rPr>
                    <w:t>Personal Services</w:t>
                  </w:r>
                </w:p>
              </w:tc>
              <w:tc>
                <w:tcPr>
                  <w:tcW w:w="1260" w:type="dxa"/>
                  <w:shd w:val="clear" w:color="auto" w:fill="auto"/>
                </w:tcPr>
                <w:p w14:paraId="66C104A3" w14:textId="77777777" w:rsidR="00CD7961" w:rsidRPr="008D72F0" w:rsidRDefault="00CD7961" w:rsidP="00CD7961">
                  <w:pPr>
                    <w:jc w:val="right"/>
                    <w:rPr>
                      <w:sz w:val="20"/>
                      <w:szCs w:val="20"/>
                    </w:rPr>
                  </w:pPr>
                  <w:r>
                    <w:rPr>
                      <w:sz w:val="20"/>
                      <w:szCs w:val="20"/>
                    </w:rPr>
                    <w:t>$7,924</w:t>
                  </w:r>
                </w:p>
              </w:tc>
              <w:tc>
                <w:tcPr>
                  <w:tcW w:w="1260" w:type="dxa"/>
                </w:tcPr>
                <w:p w14:paraId="15DBBC8E" w14:textId="77777777" w:rsidR="00CD7961" w:rsidRPr="008D72F0" w:rsidRDefault="00CD7961" w:rsidP="00CD7961">
                  <w:pPr>
                    <w:jc w:val="right"/>
                    <w:rPr>
                      <w:sz w:val="20"/>
                      <w:szCs w:val="20"/>
                    </w:rPr>
                  </w:pPr>
                  <w:r>
                    <w:rPr>
                      <w:sz w:val="20"/>
                      <w:szCs w:val="20"/>
                    </w:rPr>
                    <w:t>$8,289</w:t>
                  </w:r>
                </w:p>
              </w:tc>
            </w:tr>
            <w:tr w:rsidR="00CD7961" w:rsidRPr="008D72F0" w14:paraId="50A7A318" w14:textId="77777777" w:rsidTr="00D540F9">
              <w:trPr>
                <w:trHeight w:val="315"/>
              </w:trPr>
              <w:tc>
                <w:tcPr>
                  <w:tcW w:w="1980" w:type="dxa"/>
                  <w:shd w:val="clear" w:color="auto" w:fill="auto"/>
                </w:tcPr>
                <w:p w14:paraId="2B6606AE" w14:textId="77777777" w:rsidR="00CD7961" w:rsidRPr="00603A89" w:rsidRDefault="00CD7961" w:rsidP="00CD7961">
                  <w:pPr>
                    <w:rPr>
                      <w:sz w:val="16"/>
                      <w:szCs w:val="16"/>
                    </w:rPr>
                  </w:pPr>
                  <w:r w:rsidRPr="00603A89">
                    <w:rPr>
                      <w:sz w:val="16"/>
                      <w:szCs w:val="16"/>
                    </w:rPr>
                    <w:t>Other Special Revenue Fund</w:t>
                  </w:r>
                  <w:r>
                    <w:rPr>
                      <w:sz w:val="16"/>
                      <w:szCs w:val="16"/>
                    </w:rPr>
                    <w:t>s</w:t>
                  </w:r>
                </w:p>
              </w:tc>
              <w:tc>
                <w:tcPr>
                  <w:tcW w:w="1260" w:type="dxa"/>
                  <w:shd w:val="clear" w:color="auto" w:fill="auto"/>
                </w:tcPr>
                <w:p w14:paraId="041B16EF" w14:textId="77777777" w:rsidR="00CD7961" w:rsidRPr="008D72F0" w:rsidRDefault="00CD7961" w:rsidP="00CD7961">
                  <w:pPr>
                    <w:jc w:val="right"/>
                    <w:rPr>
                      <w:sz w:val="20"/>
                      <w:szCs w:val="20"/>
                    </w:rPr>
                  </w:pPr>
                </w:p>
              </w:tc>
              <w:tc>
                <w:tcPr>
                  <w:tcW w:w="1260" w:type="dxa"/>
                </w:tcPr>
                <w:p w14:paraId="1E4B7A83" w14:textId="77777777" w:rsidR="00CD7961" w:rsidRPr="008D72F0" w:rsidRDefault="00CD7961" w:rsidP="00CD7961">
                  <w:pPr>
                    <w:jc w:val="right"/>
                    <w:rPr>
                      <w:sz w:val="20"/>
                      <w:szCs w:val="20"/>
                    </w:rPr>
                  </w:pPr>
                </w:p>
              </w:tc>
            </w:tr>
            <w:tr w:rsidR="00CD7961" w:rsidRPr="008D72F0" w14:paraId="10BEF406" w14:textId="77777777" w:rsidTr="00D540F9">
              <w:trPr>
                <w:trHeight w:val="315"/>
              </w:trPr>
              <w:tc>
                <w:tcPr>
                  <w:tcW w:w="1980" w:type="dxa"/>
                  <w:shd w:val="clear" w:color="auto" w:fill="auto"/>
                </w:tcPr>
                <w:p w14:paraId="4A28AFB4" w14:textId="77777777" w:rsidR="00CD7961" w:rsidRPr="000442DC" w:rsidRDefault="00CD7961" w:rsidP="00CD7961">
                  <w:pPr>
                    <w:jc w:val="right"/>
                    <w:rPr>
                      <w:sz w:val="16"/>
                      <w:szCs w:val="16"/>
                    </w:rPr>
                  </w:pPr>
                  <w:r w:rsidRPr="000442DC">
                    <w:rPr>
                      <w:sz w:val="16"/>
                      <w:szCs w:val="16"/>
                    </w:rPr>
                    <w:t>Personal Services</w:t>
                  </w:r>
                </w:p>
              </w:tc>
              <w:tc>
                <w:tcPr>
                  <w:tcW w:w="1260" w:type="dxa"/>
                  <w:shd w:val="clear" w:color="auto" w:fill="auto"/>
                </w:tcPr>
                <w:p w14:paraId="15E95A05" w14:textId="77777777" w:rsidR="00CD7961" w:rsidRPr="000442DC" w:rsidRDefault="00CD7961" w:rsidP="00CD7961">
                  <w:pPr>
                    <w:jc w:val="right"/>
                    <w:rPr>
                      <w:sz w:val="20"/>
                      <w:szCs w:val="20"/>
                    </w:rPr>
                  </w:pPr>
                  <w:r>
                    <w:rPr>
                      <w:sz w:val="20"/>
                      <w:szCs w:val="20"/>
                    </w:rPr>
                    <w:t>($14,399)</w:t>
                  </w:r>
                </w:p>
              </w:tc>
              <w:tc>
                <w:tcPr>
                  <w:tcW w:w="1260" w:type="dxa"/>
                </w:tcPr>
                <w:p w14:paraId="342F2C30" w14:textId="77777777" w:rsidR="00CD7961" w:rsidRDefault="00CD7961" w:rsidP="00CD7961">
                  <w:pPr>
                    <w:jc w:val="right"/>
                    <w:rPr>
                      <w:sz w:val="20"/>
                      <w:szCs w:val="20"/>
                    </w:rPr>
                  </w:pPr>
                  <w:r>
                    <w:rPr>
                      <w:sz w:val="20"/>
                      <w:szCs w:val="20"/>
                    </w:rPr>
                    <w:t>($15,054)</w:t>
                  </w:r>
                </w:p>
              </w:tc>
            </w:tr>
          </w:tbl>
          <w:p w14:paraId="0ABCEC51" w14:textId="086C3BE5" w:rsidR="00114F14" w:rsidRDefault="00114F14" w:rsidP="004A104C">
            <w:pPr>
              <w:pStyle w:val="ListBullet"/>
              <w:numPr>
                <w:ilvl w:val="0"/>
                <w:numId w:val="0"/>
              </w:numPr>
              <w:ind w:left="280"/>
            </w:pPr>
          </w:p>
          <w:p w14:paraId="3B426FFF" w14:textId="7ECF5F20" w:rsidR="00CD7961" w:rsidRDefault="00CD7961" w:rsidP="004A104C">
            <w:pPr>
              <w:pStyle w:val="ListBullet"/>
              <w:numPr>
                <w:ilvl w:val="0"/>
                <w:numId w:val="0"/>
              </w:numPr>
              <w:ind w:left="280"/>
            </w:pPr>
          </w:p>
          <w:p w14:paraId="7481587D" w14:textId="212CBC02" w:rsidR="00CD7961" w:rsidRDefault="00CD7961" w:rsidP="004A104C">
            <w:pPr>
              <w:pStyle w:val="ListBullet"/>
              <w:numPr>
                <w:ilvl w:val="0"/>
                <w:numId w:val="0"/>
              </w:numPr>
              <w:ind w:left="280"/>
            </w:pPr>
          </w:p>
          <w:p w14:paraId="4C35514C" w14:textId="347CAFC5" w:rsidR="00CD7961" w:rsidRDefault="00CD7961" w:rsidP="004A104C">
            <w:pPr>
              <w:pStyle w:val="ListBullet"/>
              <w:numPr>
                <w:ilvl w:val="0"/>
                <w:numId w:val="0"/>
              </w:numPr>
              <w:ind w:left="280"/>
            </w:pPr>
          </w:p>
          <w:p w14:paraId="2E6FE645" w14:textId="77777777" w:rsidR="00CD7961" w:rsidRDefault="00CD7961" w:rsidP="004A104C">
            <w:pPr>
              <w:pStyle w:val="ListBullet"/>
              <w:numPr>
                <w:ilvl w:val="0"/>
                <w:numId w:val="0"/>
              </w:numPr>
              <w:ind w:left="280"/>
            </w:pPr>
          </w:p>
          <w:p w14:paraId="1DA78F52" w14:textId="4031F19D" w:rsidR="00114F14" w:rsidRDefault="00114F14" w:rsidP="004A104C">
            <w:pPr>
              <w:pStyle w:val="ListBullet"/>
              <w:numPr>
                <w:ilvl w:val="0"/>
                <w:numId w:val="0"/>
              </w:numPr>
              <w:ind w:left="280"/>
            </w:pPr>
          </w:p>
          <w:p w14:paraId="570EF00C" w14:textId="77777777" w:rsidR="00114F14" w:rsidRDefault="00114F14" w:rsidP="004A104C">
            <w:pPr>
              <w:pStyle w:val="ListBullet"/>
              <w:numPr>
                <w:ilvl w:val="0"/>
                <w:numId w:val="0"/>
              </w:numPr>
              <w:ind w:left="280"/>
            </w:pPr>
          </w:p>
          <w:p w14:paraId="4099DA67" w14:textId="695C7E67" w:rsidR="00114F14" w:rsidRDefault="00114F14" w:rsidP="004A104C">
            <w:pPr>
              <w:pStyle w:val="ListBullet"/>
              <w:numPr>
                <w:ilvl w:val="0"/>
                <w:numId w:val="0"/>
              </w:numPr>
              <w:ind w:left="280"/>
            </w:pPr>
          </w:p>
          <w:p w14:paraId="1C6A1F38" w14:textId="2E3C6D1A" w:rsidR="00114F14" w:rsidRDefault="00114F14" w:rsidP="004A104C">
            <w:pPr>
              <w:pStyle w:val="ListBullet"/>
              <w:numPr>
                <w:ilvl w:val="0"/>
                <w:numId w:val="0"/>
              </w:numPr>
              <w:ind w:left="280"/>
            </w:pPr>
          </w:p>
          <w:p w14:paraId="5F325C67" w14:textId="2A0FD315" w:rsidR="00114F14" w:rsidRDefault="00114F14" w:rsidP="004A104C">
            <w:pPr>
              <w:pStyle w:val="ListBullet"/>
              <w:numPr>
                <w:ilvl w:val="0"/>
                <w:numId w:val="0"/>
              </w:numPr>
              <w:ind w:left="280"/>
            </w:pPr>
          </w:p>
          <w:p w14:paraId="3C21832D" w14:textId="6CB2382D" w:rsidR="00114F14" w:rsidRDefault="00114F14" w:rsidP="004A104C">
            <w:pPr>
              <w:pStyle w:val="ListBullet"/>
              <w:numPr>
                <w:ilvl w:val="0"/>
                <w:numId w:val="0"/>
              </w:numPr>
              <w:ind w:left="280"/>
            </w:pPr>
          </w:p>
          <w:p w14:paraId="0C220698" w14:textId="1063AC98" w:rsidR="00114F14" w:rsidRDefault="00114F14" w:rsidP="004A104C">
            <w:pPr>
              <w:pStyle w:val="ListBullet"/>
              <w:numPr>
                <w:ilvl w:val="0"/>
                <w:numId w:val="0"/>
              </w:numPr>
              <w:ind w:left="280"/>
            </w:pPr>
          </w:p>
          <w:p w14:paraId="5AE0FF9C" w14:textId="77777777" w:rsidR="00114F14" w:rsidRDefault="00114F14" w:rsidP="004A104C">
            <w:pPr>
              <w:pStyle w:val="ListBullet"/>
              <w:numPr>
                <w:ilvl w:val="0"/>
                <w:numId w:val="0"/>
              </w:numPr>
              <w:ind w:left="280"/>
            </w:pPr>
          </w:p>
          <w:p w14:paraId="506F1C0A" w14:textId="77777777" w:rsidR="00114F14" w:rsidRDefault="00114F14" w:rsidP="004A104C">
            <w:pPr>
              <w:pStyle w:val="ListBullet"/>
              <w:numPr>
                <w:ilvl w:val="0"/>
                <w:numId w:val="0"/>
              </w:numPr>
              <w:rPr>
                <w:sz w:val="22"/>
                <w:szCs w:val="22"/>
                <w:u w:val="single"/>
              </w:rPr>
            </w:pPr>
            <w:r>
              <w:rPr>
                <w:sz w:val="22"/>
                <w:szCs w:val="22"/>
                <w:u w:val="single"/>
              </w:rPr>
              <w:t>Maine HIV Prevention Education Program</w:t>
            </w:r>
          </w:p>
          <w:p w14:paraId="51938A57" w14:textId="77777777" w:rsidR="00114F14" w:rsidRPr="00CB1A5D" w:rsidRDefault="00114F14" w:rsidP="004A104C">
            <w:pPr>
              <w:pStyle w:val="ListBullet"/>
              <w:numPr>
                <w:ilvl w:val="0"/>
                <w:numId w:val="0"/>
              </w:numPr>
              <w:ind w:left="162"/>
            </w:pPr>
          </w:p>
          <w:p w14:paraId="242F1C3A" w14:textId="63C6C9A1" w:rsidR="00114F14" w:rsidRPr="00CB1A5D" w:rsidRDefault="00114F14" w:rsidP="004A104C">
            <w:pPr>
              <w:pStyle w:val="ListBullet"/>
            </w:pPr>
            <w:r w:rsidRPr="00CB1A5D">
              <w:t>Provides General Fund appropriations in the budget for the Maine HIV Prevention Education Program of $150,000 in FY 20 and in FY 21.</w:t>
            </w:r>
          </w:p>
          <w:p w14:paraId="3E5A90C5" w14:textId="3ED44755" w:rsidR="00114F14" w:rsidRDefault="00114F14" w:rsidP="004A104C">
            <w:pPr>
              <w:pStyle w:val="ListBullet"/>
              <w:numPr>
                <w:ilvl w:val="0"/>
                <w:numId w:val="0"/>
              </w:numPr>
              <w:ind w:left="460"/>
            </w:pPr>
          </w:p>
          <w:p w14:paraId="70C14EFC" w14:textId="77777777" w:rsidR="00114F14" w:rsidRPr="00022D53" w:rsidRDefault="00114F14" w:rsidP="004A104C">
            <w:pPr>
              <w:pStyle w:val="ListBullet"/>
              <w:numPr>
                <w:ilvl w:val="0"/>
                <w:numId w:val="0"/>
              </w:numPr>
              <w:ind w:left="460"/>
            </w:pPr>
          </w:p>
          <w:p w14:paraId="3370BC25" w14:textId="77777777" w:rsidR="00114F14" w:rsidRDefault="00114F14" w:rsidP="004A104C">
            <w:pPr>
              <w:pStyle w:val="ListBullet"/>
              <w:numPr>
                <w:ilvl w:val="0"/>
                <w:numId w:val="0"/>
              </w:numPr>
              <w:rPr>
                <w:sz w:val="22"/>
                <w:szCs w:val="22"/>
              </w:rPr>
            </w:pPr>
            <w:r>
              <w:rPr>
                <w:sz w:val="22"/>
                <w:szCs w:val="22"/>
                <w:u w:val="single"/>
              </w:rPr>
              <w:t>National Board Certification Salary Supplement Fund</w:t>
            </w:r>
          </w:p>
          <w:p w14:paraId="06EEA479" w14:textId="77777777" w:rsidR="00114F14" w:rsidRDefault="00114F14" w:rsidP="004A104C">
            <w:pPr>
              <w:pStyle w:val="ListBullet"/>
              <w:numPr>
                <w:ilvl w:val="0"/>
                <w:numId w:val="0"/>
              </w:numPr>
              <w:ind w:left="162"/>
              <w:rPr>
                <w:sz w:val="22"/>
                <w:szCs w:val="22"/>
              </w:rPr>
            </w:pPr>
          </w:p>
          <w:p w14:paraId="0C285EF2" w14:textId="1922429F" w:rsidR="00114F14" w:rsidRPr="00CB1A5D" w:rsidRDefault="00114F14" w:rsidP="004A104C">
            <w:pPr>
              <w:pStyle w:val="ListBullet"/>
            </w:pPr>
            <w:r w:rsidRPr="00CB1A5D">
              <w:t xml:space="preserve">Provides Other Special Revenue Funds appropriations in the budget for the National Board Certification Salary Supplement Fund </w:t>
            </w:r>
            <w:r>
              <w:t xml:space="preserve">program </w:t>
            </w:r>
            <w:r w:rsidRPr="00CB1A5D">
              <w:t>of $335,000 in FY 20 and in FY 21.</w:t>
            </w:r>
          </w:p>
          <w:p w14:paraId="16B16FC2" w14:textId="430001D9" w:rsidR="00114F14" w:rsidRDefault="00114F14" w:rsidP="004A104C">
            <w:pPr>
              <w:pStyle w:val="ListBullet"/>
              <w:numPr>
                <w:ilvl w:val="0"/>
                <w:numId w:val="0"/>
              </w:numPr>
              <w:ind w:left="280"/>
            </w:pPr>
          </w:p>
          <w:p w14:paraId="7253B5AD" w14:textId="77777777" w:rsidR="00114F14" w:rsidRDefault="00114F14" w:rsidP="004A104C">
            <w:pPr>
              <w:pStyle w:val="ListBullet"/>
              <w:numPr>
                <w:ilvl w:val="0"/>
                <w:numId w:val="0"/>
              </w:numPr>
              <w:ind w:left="280"/>
            </w:pPr>
          </w:p>
          <w:p w14:paraId="1FF09D18" w14:textId="77777777" w:rsidR="00114F14" w:rsidRDefault="00114F14" w:rsidP="004A104C">
            <w:pPr>
              <w:pStyle w:val="ListBullet"/>
              <w:numPr>
                <w:ilvl w:val="0"/>
                <w:numId w:val="0"/>
              </w:numPr>
              <w:rPr>
                <w:sz w:val="22"/>
                <w:szCs w:val="22"/>
              </w:rPr>
            </w:pPr>
            <w:r>
              <w:rPr>
                <w:sz w:val="22"/>
                <w:szCs w:val="22"/>
                <w:u w:val="single"/>
              </w:rPr>
              <w:t>National Board Certification Scholarship Fund</w:t>
            </w:r>
          </w:p>
          <w:p w14:paraId="6CC765D3" w14:textId="77777777" w:rsidR="00114F14" w:rsidRDefault="00114F14" w:rsidP="004A104C">
            <w:pPr>
              <w:pStyle w:val="ListBullet"/>
              <w:numPr>
                <w:ilvl w:val="0"/>
                <w:numId w:val="0"/>
              </w:numPr>
              <w:ind w:left="162"/>
              <w:rPr>
                <w:b/>
                <w:sz w:val="22"/>
                <w:szCs w:val="22"/>
              </w:rPr>
            </w:pPr>
          </w:p>
          <w:p w14:paraId="389A5420" w14:textId="3D08D891" w:rsidR="00114F14" w:rsidRPr="00CB1A5D" w:rsidRDefault="00114F14" w:rsidP="004A104C">
            <w:pPr>
              <w:pStyle w:val="ListBullet"/>
            </w:pPr>
            <w:r w:rsidRPr="00CB1A5D">
              <w:t xml:space="preserve">Provides Other Special Revenue Funds appropriations in the budget for the National Board Certification Scholarship Fund </w:t>
            </w:r>
            <w:r>
              <w:t xml:space="preserve">program </w:t>
            </w:r>
            <w:r w:rsidRPr="00CB1A5D">
              <w:t>of $75,000 in FY 20 and in FY 21.</w:t>
            </w:r>
          </w:p>
          <w:p w14:paraId="44B24686" w14:textId="106D9181" w:rsidR="00114F14" w:rsidRDefault="00114F14" w:rsidP="004A104C">
            <w:pPr>
              <w:pStyle w:val="ListBullet"/>
              <w:numPr>
                <w:ilvl w:val="0"/>
                <w:numId w:val="0"/>
              </w:numPr>
              <w:ind w:left="280"/>
            </w:pPr>
          </w:p>
          <w:p w14:paraId="5673CBD1" w14:textId="77777777" w:rsidR="00114F14" w:rsidRDefault="00114F14" w:rsidP="004A104C">
            <w:pPr>
              <w:pStyle w:val="ListBullet"/>
              <w:numPr>
                <w:ilvl w:val="0"/>
                <w:numId w:val="0"/>
              </w:numPr>
              <w:ind w:left="280"/>
            </w:pPr>
          </w:p>
          <w:p w14:paraId="1A704BD9" w14:textId="77777777" w:rsidR="00114F14" w:rsidRPr="009C3A17" w:rsidRDefault="00114F14" w:rsidP="004A104C">
            <w:pPr>
              <w:pStyle w:val="ListBullet"/>
              <w:numPr>
                <w:ilvl w:val="0"/>
                <w:numId w:val="0"/>
              </w:numPr>
              <w:rPr>
                <w:sz w:val="22"/>
                <w:szCs w:val="22"/>
                <w:u w:val="single"/>
              </w:rPr>
            </w:pPr>
            <w:r>
              <w:rPr>
                <w:sz w:val="22"/>
                <w:szCs w:val="22"/>
                <w:u w:val="single"/>
              </w:rPr>
              <w:t>Obesity and Chronic Disease Fund</w:t>
            </w:r>
          </w:p>
          <w:p w14:paraId="611A8EE9" w14:textId="77777777" w:rsidR="00114F14" w:rsidRDefault="00114F14" w:rsidP="004A104C">
            <w:pPr>
              <w:pStyle w:val="ListBullet"/>
              <w:numPr>
                <w:ilvl w:val="0"/>
                <w:numId w:val="0"/>
              </w:numPr>
              <w:ind w:left="460" w:hanging="180"/>
              <w:rPr>
                <w:sz w:val="22"/>
                <w:szCs w:val="22"/>
              </w:rPr>
            </w:pPr>
          </w:p>
          <w:p w14:paraId="52E95AA2" w14:textId="6494F83C" w:rsidR="00114F14" w:rsidRPr="00CB1A5D" w:rsidRDefault="00114F14" w:rsidP="004A104C">
            <w:pPr>
              <w:pStyle w:val="ListBullet"/>
            </w:pPr>
            <w:r w:rsidRPr="00CB1A5D">
              <w:t xml:space="preserve">Provides Other Special Revenue Funds appropriations in the budget for the Obesity and Chronic Disease Fund </w:t>
            </w:r>
            <w:r>
              <w:t xml:space="preserve">program </w:t>
            </w:r>
            <w:r w:rsidRPr="00CB1A5D">
              <w:t>of $500 in FY 20 and in FY 21.</w:t>
            </w:r>
          </w:p>
          <w:p w14:paraId="2F597EC3" w14:textId="37428B79" w:rsidR="00114F14" w:rsidRDefault="00114F14" w:rsidP="004A104C">
            <w:pPr>
              <w:pStyle w:val="ListBullet"/>
              <w:numPr>
                <w:ilvl w:val="0"/>
                <w:numId w:val="0"/>
              </w:numPr>
              <w:rPr>
                <w:sz w:val="22"/>
                <w:szCs w:val="22"/>
                <w:u w:val="single"/>
              </w:rPr>
            </w:pPr>
          </w:p>
          <w:p w14:paraId="0EED837E" w14:textId="77777777" w:rsidR="00114F14" w:rsidRPr="009C3A17" w:rsidRDefault="00114F14" w:rsidP="004A104C">
            <w:pPr>
              <w:pStyle w:val="ListBullet"/>
              <w:numPr>
                <w:ilvl w:val="0"/>
                <w:numId w:val="0"/>
              </w:numPr>
              <w:rPr>
                <w:sz w:val="22"/>
                <w:szCs w:val="22"/>
                <w:u w:val="single"/>
              </w:rPr>
            </w:pPr>
          </w:p>
          <w:p w14:paraId="1F393D74" w14:textId="77777777" w:rsidR="00114F14" w:rsidRDefault="00114F14" w:rsidP="004A104C">
            <w:pPr>
              <w:pStyle w:val="ListBullet"/>
              <w:numPr>
                <w:ilvl w:val="0"/>
                <w:numId w:val="0"/>
              </w:numPr>
              <w:rPr>
                <w:sz w:val="22"/>
                <w:szCs w:val="22"/>
              </w:rPr>
            </w:pPr>
            <w:r>
              <w:rPr>
                <w:sz w:val="22"/>
                <w:szCs w:val="22"/>
                <w:u w:val="single"/>
              </w:rPr>
              <w:t xml:space="preserve">Retired Teachers Group Life Insurance </w:t>
            </w:r>
          </w:p>
          <w:p w14:paraId="71F75338" w14:textId="77777777" w:rsidR="00114F14" w:rsidRDefault="00114F14" w:rsidP="004A104C">
            <w:pPr>
              <w:pStyle w:val="ListBullet"/>
              <w:numPr>
                <w:ilvl w:val="0"/>
                <w:numId w:val="0"/>
              </w:numPr>
              <w:ind w:left="162"/>
              <w:rPr>
                <w:sz w:val="22"/>
                <w:szCs w:val="22"/>
              </w:rPr>
            </w:pPr>
          </w:p>
          <w:p w14:paraId="38408182" w14:textId="3C14E0F1" w:rsidR="00114F14" w:rsidRPr="00CB1A5D" w:rsidRDefault="00114F14" w:rsidP="004A104C">
            <w:pPr>
              <w:pStyle w:val="ListBullet"/>
            </w:pPr>
            <w:r w:rsidRPr="00CB1A5D">
              <w:t>Provides General Fund appropriations in the budget for the Retired Teachers Group Life Insurance</w:t>
            </w:r>
            <w:r>
              <w:t xml:space="preserve"> program</w:t>
            </w:r>
            <w:r w:rsidRPr="00CB1A5D">
              <w:t xml:space="preserve"> of $3,547,000 in FY 20 and in FY 21.</w:t>
            </w:r>
          </w:p>
          <w:p w14:paraId="1DB51CF0" w14:textId="65E3E566" w:rsidR="00114F14" w:rsidRPr="00CB1A5D" w:rsidRDefault="00114F14" w:rsidP="004A104C">
            <w:pPr>
              <w:pStyle w:val="ListBullet"/>
            </w:pPr>
            <w:r w:rsidRPr="00CB1A5D">
              <w:t>Provides General Fund appropriations for group life insurance for retired teachers of $931,086 in FY 20 and of $1,054,233 in FY 21.</w:t>
            </w:r>
          </w:p>
          <w:p w14:paraId="50407EE5" w14:textId="48DA26C7" w:rsidR="00114F14" w:rsidRDefault="00114F14" w:rsidP="004A104C">
            <w:pPr>
              <w:pStyle w:val="ListBullet"/>
              <w:numPr>
                <w:ilvl w:val="0"/>
                <w:numId w:val="0"/>
              </w:numPr>
              <w:ind w:left="280"/>
            </w:pPr>
          </w:p>
          <w:p w14:paraId="3E96D87B" w14:textId="77777777" w:rsidR="00114F14" w:rsidRDefault="00114F14" w:rsidP="004A104C">
            <w:pPr>
              <w:pStyle w:val="ListBullet"/>
              <w:numPr>
                <w:ilvl w:val="0"/>
                <w:numId w:val="0"/>
              </w:numPr>
              <w:rPr>
                <w:sz w:val="22"/>
                <w:szCs w:val="22"/>
              </w:rPr>
            </w:pPr>
            <w:r>
              <w:rPr>
                <w:sz w:val="22"/>
                <w:szCs w:val="22"/>
                <w:u w:val="single"/>
              </w:rPr>
              <w:t xml:space="preserve">Retired Teachers’ Health Insurance </w:t>
            </w:r>
          </w:p>
          <w:p w14:paraId="3BFBB9DB" w14:textId="77777777" w:rsidR="00114F14" w:rsidRDefault="00114F14" w:rsidP="004A104C">
            <w:pPr>
              <w:pStyle w:val="ListBullet"/>
              <w:numPr>
                <w:ilvl w:val="0"/>
                <w:numId w:val="0"/>
              </w:numPr>
              <w:ind w:left="162"/>
              <w:rPr>
                <w:sz w:val="22"/>
                <w:szCs w:val="22"/>
              </w:rPr>
            </w:pPr>
          </w:p>
          <w:p w14:paraId="4315D1DD" w14:textId="2AAA6848" w:rsidR="00114F14" w:rsidRPr="00F067BC" w:rsidRDefault="00114F14" w:rsidP="004A104C">
            <w:pPr>
              <w:pStyle w:val="ListBullet"/>
            </w:pPr>
            <w:r w:rsidRPr="00F067BC">
              <w:t xml:space="preserve">Provides General Fund appropriations in the budget for the Retired Teachers’ Health Insurance </w:t>
            </w:r>
            <w:r>
              <w:t xml:space="preserve">program </w:t>
            </w:r>
            <w:r w:rsidRPr="00F067BC">
              <w:t>of $45,000,000 in FY 20 and in FY 21.</w:t>
            </w:r>
          </w:p>
          <w:p w14:paraId="3F280AB2" w14:textId="6D78591A" w:rsidR="00114F14" w:rsidRDefault="00114F14" w:rsidP="004A104C">
            <w:pPr>
              <w:pStyle w:val="ListBullet"/>
              <w:numPr>
                <w:ilvl w:val="0"/>
                <w:numId w:val="0"/>
              </w:numPr>
              <w:ind w:left="280"/>
            </w:pPr>
          </w:p>
          <w:p w14:paraId="3CFF3A0C" w14:textId="77777777" w:rsidR="00114F14" w:rsidRDefault="00114F14" w:rsidP="004A104C">
            <w:pPr>
              <w:pStyle w:val="ListBullet"/>
              <w:numPr>
                <w:ilvl w:val="0"/>
                <w:numId w:val="0"/>
              </w:numPr>
              <w:ind w:left="280"/>
            </w:pPr>
          </w:p>
          <w:p w14:paraId="4DC801EA" w14:textId="77777777" w:rsidR="00114F14" w:rsidRDefault="00114F14" w:rsidP="004A104C">
            <w:pPr>
              <w:pStyle w:val="ListBullet"/>
              <w:numPr>
                <w:ilvl w:val="0"/>
                <w:numId w:val="0"/>
              </w:numPr>
              <w:rPr>
                <w:sz w:val="22"/>
                <w:szCs w:val="22"/>
              </w:rPr>
            </w:pPr>
            <w:r>
              <w:rPr>
                <w:sz w:val="22"/>
                <w:szCs w:val="22"/>
                <w:u w:val="single"/>
              </w:rPr>
              <w:t xml:space="preserve">School Finance and Operations </w:t>
            </w:r>
          </w:p>
          <w:p w14:paraId="0CFE48D3" w14:textId="77777777" w:rsidR="00114F14" w:rsidRDefault="00114F14" w:rsidP="004A104C">
            <w:pPr>
              <w:pStyle w:val="ListBullet"/>
              <w:numPr>
                <w:ilvl w:val="0"/>
                <w:numId w:val="0"/>
              </w:numPr>
              <w:ind w:left="162"/>
              <w:rPr>
                <w:sz w:val="22"/>
                <w:szCs w:val="22"/>
              </w:rPr>
            </w:pPr>
          </w:p>
          <w:p w14:paraId="123C7FD3" w14:textId="5FE0FDAA" w:rsidR="00114F14" w:rsidRPr="00CB1A5D" w:rsidRDefault="00114F14" w:rsidP="004A104C">
            <w:pPr>
              <w:pStyle w:val="ListBullet"/>
            </w:pPr>
            <w:r w:rsidRPr="00CB1A5D">
              <w:t xml:space="preserve">Provides General Fund, Federal Expenditures Fund and Other Special Revenue Funds appropriations in the budget for School Finance and Operations </w:t>
            </w:r>
            <w:r>
              <w:t xml:space="preserve">program </w:t>
            </w:r>
            <w:r w:rsidRPr="00CB1A5D">
              <w:t>in FY 20 and in FY 21.</w:t>
            </w:r>
          </w:p>
          <w:p w14:paraId="4D206DF3" w14:textId="77777777" w:rsidR="00114F14" w:rsidRDefault="00114F14" w:rsidP="004A104C">
            <w:pPr>
              <w:pStyle w:val="ListBullet"/>
              <w:numPr>
                <w:ilvl w:val="0"/>
                <w:numId w:val="0"/>
              </w:numPr>
              <w:ind w:left="460"/>
              <w:rPr>
                <w:sz w:val="22"/>
                <w:szCs w:val="22"/>
              </w:rPr>
            </w:pPr>
          </w:p>
          <w:p w14:paraId="000A0F06" w14:textId="77777777" w:rsidR="00114F14" w:rsidRDefault="00114F14" w:rsidP="004A104C">
            <w:pPr>
              <w:pStyle w:val="ListBullet"/>
              <w:numPr>
                <w:ilvl w:val="0"/>
                <w:numId w:val="0"/>
              </w:numPr>
              <w:ind w:left="460" w:hanging="180"/>
              <w:rPr>
                <w:sz w:val="22"/>
                <w:szCs w:val="22"/>
              </w:rPr>
            </w:pPr>
          </w:p>
          <w:tbl>
            <w:tblPr>
              <w:tblpPr w:leftFromText="180" w:rightFromText="180" w:vertAnchor="text" w:horzAnchor="margin" w:tblpXSpec="center" w:tblpY="-105"/>
              <w:tblOverlap w:val="never"/>
              <w:tblW w:w="0" w:type="auto"/>
              <w:tblLook w:val="01E0" w:firstRow="1" w:lastRow="1" w:firstColumn="1" w:lastColumn="1" w:noHBand="0" w:noVBand="0"/>
            </w:tblPr>
            <w:tblGrid>
              <w:gridCol w:w="1980"/>
              <w:gridCol w:w="1260"/>
              <w:gridCol w:w="1260"/>
            </w:tblGrid>
            <w:tr w:rsidR="00114F14" w:rsidRPr="008D72F0" w14:paraId="43DFFC28" w14:textId="77777777" w:rsidTr="00FE1AB6">
              <w:trPr>
                <w:trHeight w:val="357"/>
              </w:trPr>
              <w:tc>
                <w:tcPr>
                  <w:tcW w:w="1980" w:type="dxa"/>
                  <w:shd w:val="clear" w:color="auto" w:fill="auto"/>
                </w:tcPr>
                <w:p w14:paraId="682A12DC" w14:textId="77777777" w:rsidR="00114F14" w:rsidRPr="008D72F0" w:rsidRDefault="00114F14" w:rsidP="004A104C">
                  <w:pPr>
                    <w:jc w:val="right"/>
                    <w:rPr>
                      <w:sz w:val="20"/>
                      <w:szCs w:val="20"/>
                      <w:u w:val="single"/>
                    </w:rPr>
                  </w:pPr>
                </w:p>
              </w:tc>
              <w:tc>
                <w:tcPr>
                  <w:tcW w:w="1260" w:type="dxa"/>
                  <w:shd w:val="clear" w:color="auto" w:fill="auto"/>
                </w:tcPr>
                <w:p w14:paraId="312267FA"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0FFBA46F"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5141DE78" w14:textId="77777777" w:rsidTr="00FE1AB6">
              <w:trPr>
                <w:trHeight w:val="357"/>
              </w:trPr>
              <w:tc>
                <w:tcPr>
                  <w:tcW w:w="1980" w:type="dxa"/>
                  <w:shd w:val="clear" w:color="auto" w:fill="auto"/>
                </w:tcPr>
                <w:p w14:paraId="02D96F77" w14:textId="77777777" w:rsidR="00114F14" w:rsidRPr="005A5D9F" w:rsidRDefault="00114F14" w:rsidP="004A104C">
                  <w:pPr>
                    <w:jc w:val="right"/>
                    <w:rPr>
                      <w:sz w:val="16"/>
                      <w:szCs w:val="16"/>
                    </w:rPr>
                  </w:pPr>
                  <w:r w:rsidRPr="005A5D9F">
                    <w:rPr>
                      <w:sz w:val="16"/>
                      <w:szCs w:val="16"/>
                    </w:rPr>
                    <w:t>General Fund - Position Count</w:t>
                  </w:r>
                </w:p>
              </w:tc>
              <w:tc>
                <w:tcPr>
                  <w:tcW w:w="1260" w:type="dxa"/>
                  <w:shd w:val="clear" w:color="auto" w:fill="auto"/>
                  <w:vAlign w:val="center"/>
                </w:tcPr>
                <w:p w14:paraId="6A95CF0B" w14:textId="77777777" w:rsidR="00114F14" w:rsidRPr="005A5D9F" w:rsidRDefault="00114F14" w:rsidP="004A104C">
                  <w:pPr>
                    <w:jc w:val="right"/>
                    <w:rPr>
                      <w:sz w:val="20"/>
                      <w:szCs w:val="20"/>
                    </w:rPr>
                  </w:pPr>
                  <w:r>
                    <w:rPr>
                      <w:sz w:val="20"/>
                      <w:szCs w:val="20"/>
                    </w:rPr>
                    <w:t>5</w:t>
                  </w:r>
                  <w:r w:rsidRPr="005A5D9F">
                    <w:rPr>
                      <w:sz w:val="20"/>
                      <w:szCs w:val="20"/>
                    </w:rPr>
                    <w:t>.000</w:t>
                  </w:r>
                </w:p>
              </w:tc>
              <w:tc>
                <w:tcPr>
                  <w:tcW w:w="1260" w:type="dxa"/>
                  <w:vAlign w:val="center"/>
                </w:tcPr>
                <w:p w14:paraId="1034B64A" w14:textId="77777777" w:rsidR="00114F14" w:rsidRPr="005A5D9F" w:rsidRDefault="00114F14" w:rsidP="004A104C">
                  <w:pPr>
                    <w:jc w:val="right"/>
                    <w:rPr>
                      <w:sz w:val="20"/>
                      <w:szCs w:val="20"/>
                    </w:rPr>
                  </w:pPr>
                  <w:r>
                    <w:rPr>
                      <w:sz w:val="20"/>
                      <w:szCs w:val="20"/>
                    </w:rPr>
                    <w:t>5</w:t>
                  </w:r>
                  <w:r w:rsidRPr="005A5D9F">
                    <w:rPr>
                      <w:sz w:val="20"/>
                      <w:szCs w:val="20"/>
                    </w:rPr>
                    <w:t>.000</w:t>
                  </w:r>
                </w:p>
              </w:tc>
            </w:tr>
            <w:tr w:rsidR="00114F14" w:rsidRPr="008D72F0" w14:paraId="6A30F919" w14:textId="77777777" w:rsidTr="00FE1AB6">
              <w:trPr>
                <w:trHeight w:val="357"/>
              </w:trPr>
              <w:tc>
                <w:tcPr>
                  <w:tcW w:w="1980" w:type="dxa"/>
                  <w:shd w:val="clear" w:color="auto" w:fill="auto"/>
                </w:tcPr>
                <w:p w14:paraId="6700742A" w14:textId="77777777" w:rsidR="00114F14" w:rsidRPr="005A5D9F" w:rsidRDefault="00114F14" w:rsidP="004A104C">
                  <w:pPr>
                    <w:jc w:val="right"/>
                    <w:rPr>
                      <w:sz w:val="16"/>
                      <w:szCs w:val="16"/>
                    </w:rPr>
                  </w:pPr>
                  <w:r w:rsidRPr="005A5D9F">
                    <w:rPr>
                      <w:sz w:val="16"/>
                      <w:szCs w:val="16"/>
                    </w:rPr>
                    <w:t>Personal Services</w:t>
                  </w:r>
                </w:p>
              </w:tc>
              <w:tc>
                <w:tcPr>
                  <w:tcW w:w="1260" w:type="dxa"/>
                  <w:shd w:val="clear" w:color="auto" w:fill="auto"/>
                </w:tcPr>
                <w:p w14:paraId="17754F8B" w14:textId="77777777" w:rsidR="00114F14" w:rsidRPr="005A5D9F" w:rsidRDefault="00114F14" w:rsidP="004A104C">
                  <w:pPr>
                    <w:jc w:val="right"/>
                    <w:rPr>
                      <w:sz w:val="20"/>
                      <w:szCs w:val="20"/>
                    </w:rPr>
                  </w:pPr>
                  <w:r w:rsidRPr="005A5D9F">
                    <w:rPr>
                      <w:sz w:val="20"/>
                      <w:szCs w:val="20"/>
                    </w:rPr>
                    <w:t>$</w:t>
                  </w:r>
                  <w:r>
                    <w:rPr>
                      <w:sz w:val="20"/>
                      <w:szCs w:val="20"/>
                    </w:rPr>
                    <w:t>9485,362</w:t>
                  </w:r>
                </w:p>
              </w:tc>
              <w:tc>
                <w:tcPr>
                  <w:tcW w:w="1260" w:type="dxa"/>
                </w:tcPr>
                <w:p w14:paraId="0A794AA3" w14:textId="77777777" w:rsidR="00114F14" w:rsidRPr="005A5D9F" w:rsidRDefault="00114F14" w:rsidP="004A104C">
                  <w:pPr>
                    <w:jc w:val="right"/>
                    <w:rPr>
                      <w:sz w:val="20"/>
                      <w:szCs w:val="20"/>
                    </w:rPr>
                  </w:pPr>
                  <w:r w:rsidRPr="005A5D9F">
                    <w:rPr>
                      <w:sz w:val="20"/>
                      <w:szCs w:val="20"/>
                    </w:rPr>
                    <w:t>$</w:t>
                  </w:r>
                  <w:r>
                    <w:rPr>
                      <w:sz w:val="20"/>
                      <w:szCs w:val="20"/>
                    </w:rPr>
                    <w:t>491,659</w:t>
                  </w:r>
                </w:p>
              </w:tc>
            </w:tr>
            <w:tr w:rsidR="00114F14" w:rsidRPr="008D72F0" w14:paraId="00A3E8D8" w14:textId="77777777" w:rsidTr="00FE1AB6">
              <w:trPr>
                <w:trHeight w:val="315"/>
              </w:trPr>
              <w:tc>
                <w:tcPr>
                  <w:tcW w:w="1980" w:type="dxa"/>
                  <w:shd w:val="clear" w:color="auto" w:fill="auto"/>
                </w:tcPr>
                <w:p w14:paraId="73D12286" w14:textId="77777777" w:rsidR="00114F14" w:rsidRPr="005A5D9F" w:rsidRDefault="00114F14" w:rsidP="004A104C">
                  <w:pPr>
                    <w:jc w:val="right"/>
                    <w:rPr>
                      <w:sz w:val="16"/>
                      <w:szCs w:val="16"/>
                    </w:rPr>
                  </w:pPr>
                  <w:r w:rsidRPr="005A5D9F">
                    <w:rPr>
                      <w:sz w:val="16"/>
                      <w:szCs w:val="16"/>
                    </w:rPr>
                    <w:t>All Other</w:t>
                  </w:r>
                </w:p>
              </w:tc>
              <w:tc>
                <w:tcPr>
                  <w:tcW w:w="1260" w:type="dxa"/>
                  <w:shd w:val="clear" w:color="auto" w:fill="auto"/>
                </w:tcPr>
                <w:p w14:paraId="392664D8" w14:textId="77777777" w:rsidR="00114F14" w:rsidRPr="005A5D9F" w:rsidRDefault="00114F14" w:rsidP="004A104C">
                  <w:pPr>
                    <w:jc w:val="right"/>
                    <w:rPr>
                      <w:sz w:val="20"/>
                      <w:szCs w:val="20"/>
                      <w:u w:val="single"/>
                    </w:rPr>
                  </w:pPr>
                  <w:r w:rsidRPr="005A5D9F">
                    <w:rPr>
                      <w:sz w:val="20"/>
                      <w:szCs w:val="20"/>
                      <w:u w:val="single"/>
                    </w:rPr>
                    <w:t>$</w:t>
                  </w:r>
                  <w:r>
                    <w:rPr>
                      <w:sz w:val="20"/>
                      <w:szCs w:val="20"/>
                      <w:u w:val="single"/>
                    </w:rPr>
                    <w:t>2,153,059</w:t>
                  </w:r>
                </w:p>
              </w:tc>
              <w:tc>
                <w:tcPr>
                  <w:tcW w:w="1260" w:type="dxa"/>
                </w:tcPr>
                <w:p w14:paraId="10F7772E" w14:textId="77777777" w:rsidR="00114F14" w:rsidRPr="005A5D9F" w:rsidRDefault="00114F14" w:rsidP="004A104C">
                  <w:pPr>
                    <w:jc w:val="right"/>
                    <w:rPr>
                      <w:sz w:val="20"/>
                      <w:szCs w:val="20"/>
                      <w:u w:val="single"/>
                    </w:rPr>
                  </w:pPr>
                  <w:r w:rsidRPr="005A5D9F">
                    <w:rPr>
                      <w:sz w:val="20"/>
                      <w:szCs w:val="20"/>
                      <w:u w:val="single"/>
                    </w:rPr>
                    <w:t>$</w:t>
                  </w:r>
                  <w:r>
                    <w:rPr>
                      <w:sz w:val="20"/>
                      <w:szCs w:val="20"/>
                      <w:u w:val="single"/>
                    </w:rPr>
                    <w:t>2,153,059</w:t>
                  </w:r>
                </w:p>
              </w:tc>
            </w:tr>
            <w:tr w:rsidR="00114F14" w:rsidRPr="008D72F0" w14:paraId="0B5866B7" w14:textId="77777777" w:rsidTr="00FE1AB6">
              <w:trPr>
                <w:trHeight w:val="303"/>
              </w:trPr>
              <w:tc>
                <w:tcPr>
                  <w:tcW w:w="1980" w:type="dxa"/>
                  <w:shd w:val="clear" w:color="auto" w:fill="auto"/>
                </w:tcPr>
                <w:p w14:paraId="2B2864BC" w14:textId="77777777" w:rsidR="00114F14" w:rsidRPr="005A5D9F" w:rsidRDefault="00114F14" w:rsidP="004A104C">
                  <w:pPr>
                    <w:rPr>
                      <w:sz w:val="16"/>
                      <w:szCs w:val="16"/>
                      <w:u w:val="single"/>
                    </w:rPr>
                  </w:pPr>
                  <w:r w:rsidRPr="005A5D9F">
                    <w:rPr>
                      <w:sz w:val="16"/>
                      <w:szCs w:val="16"/>
                      <w:u w:val="single"/>
                    </w:rPr>
                    <w:t>General Fund Total</w:t>
                  </w:r>
                </w:p>
              </w:tc>
              <w:tc>
                <w:tcPr>
                  <w:tcW w:w="1260" w:type="dxa"/>
                  <w:shd w:val="clear" w:color="auto" w:fill="auto"/>
                </w:tcPr>
                <w:p w14:paraId="47AD57F7" w14:textId="77777777" w:rsidR="00114F14" w:rsidRPr="005A5D9F" w:rsidRDefault="00114F14" w:rsidP="004A104C">
                  <w:pPr>
                    <w:jc w:val="right"/>
                    <w:rPr>
                      <w:sz w:val="20"/>
                      <w:szCs w:val="20"/>
                    </w:rPr>
                  </w:pPr>
                  <w:r w:rsidRPr="005A5D9F">
                    <w:rPr>
                      <w:sz w:val="20"/>
                      <w:szCs w:val="20"/>
                    </w:rPr>
                    <w:t>$</w:t>
                  </w:r>
                  <w:r>
                    <w:rPr>
                      <w:sz w:val="20"/>
                      <w:szCs w:val="20"/>
                    </w:rPr>
                    <w:t>2,638,421</w:t>
                  </w:r>
                </w:p>
              </w:tc>
              <w:tc>
                <w:tcPr>
                  <w:tcW w:w="1260" w:type="dxa"/>
                </w:tcPr>
                <w:p w14:paraId="601471A3" w14:textId="77777777" w:rsidR="00114F14" w:rsidRPr="005A5D9F" w:rsidRDefault="00114F14" w:rsidP="004A104C">
                  <w:pPr>
                    <w:jc w:val="right"/>
                    <w:rPr>
                      <w:sz w:val="20"/>
                      <w:szCs w:val="20"/>
                    </w:rPr>
                  </w:pPr>
                  <w:r w:rsidRPr="005A5D9F">
                    <w:rPr>
                      <w:sz w:val="20"/>
                      <w:szCs w:val="20"/>
                    </w:rPr>
                    <w:t>$</w:t>
                  </w:r>
                  <w:r>
                    <w:rPr>
                      <w:sz w:val="20"/>
                      <w:szCs w:val="20"/>
                    </w:rPr>
                    <w:t>2,644,718</w:t>
                  </w:r>
                </w:p>
              </w:tc>
            </w:tr>
            <w:tr w:rsidR="00114F14" w:rsidRPr="008D72F0" w14:paraId="38740B02" w14:textId="77777777" w:rsidTr="00FE1AB6">
              <w:trPr>
                <w:trHeight w:val="315"/>
              </w:trPr>
              <w:tc>
                <w:tcPr>
                  <w:tcW w:w="1980" w:type="dxa"/>
                  <w:shd w:val="clear" w:color="auto" w:fill="auto"/>
                </w:tcPr>
                <w:p w14:paraId="59692E8E" w14:textId="77777777" w:rsidR="00114F14" w:rsidRPr="005A5D9F" w:rsidRDefault="00114F14" w:rsidP="004A104C">
                  <w:pPr>
                    <w:jc w:val="right"/>
                    <w:rPr>
                      <w:sz w:val="16"/>
                      <w:szCs w:val="16"/>
                    </w:rPr>
                  </w:pPr>
                  <w:r w:rsidRPr="005A5D9F">
                    <w:rPr>
                      <w:sz w:val="16"/>
                      <w:szCs w:val="16"/>
                    </w:rPr>
                    <w:t>Federal Expenditures Fund – Position Count</w:t>
                  </w:r>
                </w:p>
              </w:tc>
              <w:tc>
                <w:tcPr>
                  <w:tcW w:w="1260" w:type="dxa"/>
                  <w:shd w:val="clear" w:color="auto" w:fill="auto"/>
                  <w:vAlign w:val="center"/>
                </w:tcPr>
                <w:p w14:paraId="332BE0A4" w14:textId="77777777" w:rsidR="00114F14" w:rsidRPr="005A5D9F" w:rsidRDefault="00114F14" w:rsidP="004A104C">
                  <w:pPr>
                    <w:jc w:val="right"/>
                    <w:rPr>
                      <w:sz w:val="20"/>
                      <w:szCs w:val="20"/>
                    </w:rPr>
                  </w:pPr>
                  <w:r>
                    <w:rPr>
                      <w:sz w:val="20"/>
                      <w:szCs w:val="20"/>
                    </w:rPr>
                    <w:t>12</w:t>
                  </w:r>
                  <w:r w:rsidRPr="005A5D9F">
                    <w:rPr>
                      <w:sz w:val="20"/>
                      <w:szCs w:val="20"/>
                    </w:rPr>
                    <w:t>.000</w:t>
                  </w:r>
                </w:p>
              </w:tc>
              <w:tc>
                <w:tcPr>
                  <w:tcW w:w="1260" w:type="dxa"/>
                  <w:vAlign w:val="center"/>
                </w:tcPr>
                <w:p w14:paraId="3555D25D" w14:textId="77777777" w:rsidR="00114F14" w:rsidRPr="005A5D9F" w:rsidRDefault="00114F14" w:rsidP="004A104C">
                  <w:pPr>
                    <w:jc w:val="right"/>
                    <w:rPr>
                      <w:sz w:val="20"/>
                      <w:szCs w:val="20"/>
                    </w:rPr>
                  </w:pPr>
                  <w:r>
                    <w:rPr>
                      <w:sz w:val="20"/>
                      <w:szCs w:val="20"/>
                    </w:rPr>
                    <w:t>12</w:t>
                  </w:r>
                  <w:r w:rsidRPr="005A5D9F">
                    <w:rPr>
                      <w:sz w:val="20"/>
                      <w:szCs w:val="20"/>
                    </w:rPr>
                    <w:t>.000</w:t>
                  </w:r>
                </w:p>
              </w:tc>
            </w:tr>
            <w:tr w:rsidR="00114F14" w:rsidRPr="008D72F0" w14:paraId="34BCF4E4" w14:textId="77777777" w:rsidTr="00FE1AB6">
              <w:trPr>
                <w:trHeight w:val="315"/>
              </w:trPr>
              <w:tc>
                <w:tcPr>
                  <w:tcW w:w="1980" w:type="dxa"/>
                  <w:shd w:val="clear" w:color="auto" w:fill="auto"/>
                </w:tcPr>
                <w:p w14:paraId="56D721AB" w14:textId="77777777" w:rsidR="00114F14" w:rsidRPr="005A5D9F" w:rsidRDefault="00114F14" w:rsidP="004A104C">
                  <w:pPr>
                    <w:jc w:val="right"/>
                    <w:rPr>
                      <w:sz w:val="16"/>
                      <w:szCs w:val="16"/>
                    </w:rPr>
                  </w:pPr>
                  <w:r w:rsidRPr="005A5D9F">
                    <w:rPr>
                      <w:sz w:val="16"/>
                      <w:szCs w:val="16"/>
                    </w:rPr>
                    <w:t>Personal Services</w:t>
                  </w:r>
                </w:p>
              </w:tc>
              <w:tc>
                <w:tcPr>
                  <w:tcW w:w="1260" w:type="dxa"/>
                  <w:shd w:val="clear" w:color="auto" w:fill="auto"/>
                </w:tcPr>
                <w:p w14:paraId="16338413" w14:textId="77777777" w:rsidR="00114F14" w:rsidRPr="005A5D9F" w:rsidRDefault="00114F14" w:rsidP="004A104C">
                  <w:pPr>
                    <w:jc w:val="right"/>
                    <w:rPr>
                      <w:sz w:val="20"/>
                      <w:szCs w:val="20"/>
                    </w:rPr>
                  </w:pPr>
                  <w:r>
                    <w:rPr>
                      <w:sz w:val="20"/>
                      <w:szCs w:val="20"/>
                    </w:rPr>
                    <w:t>$1,030,614</w:t>
                  </w:r>
                </w:p>
              </w:tc>
              <w:tc>
                <w:tcPr>
                  <w:tcW w:w="1260" w:type="dxa"/>
                </w:tcPr>
                <w:p w14:paraId="515E9668" w14:textId="77777777" w:rsidR="00114F14" w:rsidRPr="005A5D9F" w:rsidRDefault="00114F14" w:rsidP="004A104C">
                  <w:pPr>
                    <w:jc w:val="right"/>
                    <w:rPr>
                      <w:sz w:val="20"/>
                      <w:szCs w:val="20"/>
                    </w:rPr>
                  </w:pPr>
                  <w:r w:rsidRPr="005A5D9F">
                    <w:rPr>
                      <w:sz w:val="20"/>
                      <w:szCs w:val="20"/>
                    </w:rPr>
                    <w:t>$</w:t>
                  </w:r>
                  <w:r>
                    <w:rPr>
                      <w:sz w:val="20"/>
                      <w:szCs w:val="20"/>
                    </w:rPr>
                    <w:t>1,046,406</w:t>
                  </w:r>
                </w:p>
              </w:tc>
            </w:tr>
            <w:tr w:rsidR="00114F14" w:rsidRPr="008D72F0" w14:paraId="207EE14D" w14:textId="77777777" w:rsidTr="00FE1AB6">
              <w:trPr>
                <w:trHeight w:val="315"/>
              </w:trPr>
              <w:tc>
                <w:tcPr>
                  <w:tcW w:w="1980" w:type="dxa"/>
                  <w:shd w:val="clear" w:color="auto" w:fill="auto"/>
                </w:tcPr>
                <w:p w14:paraId="500B91E3" w14:textId="77777777" w:rsidR="00114F14" w:rsidRPr="005A5D9F" w:rsidRDefault="00114F14" w:rsidP="004A104C">
                  <w:pPr>
                    <w:jc w:val="right"/>
                    <w:rPr>
                      <w:sz w:val="16"/>
                      <w:szCs w:val="16"/>
                    </w:rPr>
                  </w:pPr>
                  <w:r w:rsidRPr="005A5D9F">
                    <w:rPr>
                      <w:sz w:val="16"/>
                      <w:szCs w:val="16"/>
                    </w:rPr>
                    <w:t>All Other</w:t>
                  </w:r>
                </w:p>
              </w:tc>
              <w:tc>
                <w:tcPr>
                  <w:tcW w:w="1260" w:type="dxa"/>
                  <w:shd w:val="clear" w:color="auto" w:fill="auto"/>
                </w:tcPr>
                <w:p w14:paraId="66E8A11B" w14:textId="77777777" w:rsidR="00114F14" w:rsidRPr="005A5D9F" w:rsidRDefault="00114F14" w:rsidP="004A104C">
                  <w:pPr>
                    <w:jc w:val="right"/>
                    <w:rPr>
                      <w:sz w:val="20"/>
                      <w:szCs w:val="20"/>
                      <w:u w:val="single"/>
                    </w:rPr>
                  </w:pPr>
                  <w:r w:rsidRPr="005A5D9F">
                    <w:rPr>
                      <w:sz w:val="20"/>
                      <w:szCs w:val="20"/>
                      <w:u w:val="single"/>
                    </w:rPr>
                    <w:t>$</w:t>
                  </w:r>
                  <w:r>
                    <w:rPr>
                      <w:sz w:val="20"/>
                      <w:szCs w:val="20"/>
                      <w:u w:val="single"/>
                    </w:rPr>
                    <w:t>59,609,848</w:t>
                  </w:r>
                </w:p>
              </w:tc>
              <w:tc>
                <w:tcPr>
                  <w:tcW w:w="1260" w:type="dxa"/>
                </w:tcPr>
                <w:p w14:paraId="05797B61" w14:textId="77777777" w:rsidR="00114F14" w:rsidRPr="005A5D9F" w:rsidRDefault="00114F14" w:rsidP="004A104C">
                  <w:pPr>
                    <w:jc w:val="right"/>
                    <w:rPr>
                      <w:sz w:val="20"/>
                      <w:szCs w:val="20"/>
                      <w:u w:val="single"/>
                    </w:rPr>
                  </w:pPr>
                  <w:r w:rsidRPr="005A5D9F">
                    <w:rPr>
                      <w:sz w:val="20"/>
                      <w:szCs w:val="20"/>
                      <w:u w:val="single"/>
                    </w:rPr>
                    <w:t>$</w:t>
                  </w:r>
                  <w:r>
                    <w:rPr>
                      <w:sz w:val="20"/>
                      <w:szCs w:val="20"/>
                      <w:u w:val="single"/>
                    </w:rPr>
                    <w:t>59,609,848</w:t>
                  </w:r>
                </w:p>
              </w:tc>
            </w:tr>
            <w:tr w:rsidR="00114F14" w:rsidRPr="008D72F0" w14:paraId="19D46FD0" w14:textId="77777777" w:rsidTr="00FE1AB6">
              <w:trPr>
                <w:trHeight w:val="315"/>
              </w:trPr>
              <w:tc>
                <w:tcPr>
                  <w:tcW w:w="1980" w:type="dxa"/>
                  <w:shd w:val="clear" w:color="auto" w:fill="auto"/>
                </w:tcPr>
                <w:p w14:paraId="3E960F21" w14:textId="77777777" w:rsidR="00114F14" w:rsidRPr="005A5D9F" w:rsidRDefault="00114F14" w:rsidP="004A104C">
                  <w:pPr>
                    <w:rPr>
                      <w:sz w:val="16"/>
                      <w:szCs w:val="16"/>
                      <w:u w:val="single"/>
                    </w:rPr>
                  </w:pPr>
                  <w:r w:rsidRPr="005A5D9F">
                    <w:rPr>
                      <w:sz w:val="16"/>
                      <w:szCs w:val="16"/>
                      <w:u w:val="single"/>
                    </w:rPr>
                    <w:t>Federal Expenditures Fund Total</w:t>
                  </w:r>
                </w:p>
              </w:tc>
              <w:tc>
                <w:tcPr>
                  <w:tcW w:w="1260" w:type="dxa"/>
                  <w:shd w:val="clear" w:color="auto" w:fill="auto"/>
                </w:tcPr>
                <w:p w14:paraId="1DCF3BC2" w14:textId="77777777" w:rsidR="00114F14" w:rsidRPr="005A5D9F" w:rsidRDefault="00114F14" w:rsidP="004A104C">
                  <w:pPr>
                    <w:jc w:val="right"/>
                    <w:rPr>
                      <w:sz w:val="20"/>
                      <w:szCs w:val="20"/>
                    </w:rPr>
                  </w:pPr>
                  <w:r w:rsidRPr="005A5D9F">
                    <w:rPr>
                      <w:sz w:val="20"/>
                      <w:szCs w:val="20"/>
                    </w:rPr>
                    <w:t>$</w:t>
                  </w:r>
                  <w:r>
                    <w:rPr>
                      <w:sz w:val="20"/>
                      <w:szCs w:val="20"/>
                    </w:rPr>
                    <w:t>60,640,462</w:t>
                  </w:r>
                </w:p>
              </w:tc>
              <w:tc>
                <w:tcPr>
                  <w:tcW w:w="1260" w:type="dxa"/>
                </w:tcPr>
                <w:p w14:paraId="323441FE" w14:textId="77777777" w:rsidR="00114F14" w:rsidRPr="005A5D9F" w:rsidRDefault="00114F14" w:rsidP="004A104C">
                  <w:pPr>
                    <w:jc w:val="right"/>
                    <w:rPr>
                      <w:sz w:val="20"/>
                      <w:szCs w:val="20"/>
                    </w:rPr>
                  </w:pPr>
                  <w:r w:rsidRPr="005A5D9F">
                    <w:rPr>
                      <w:sz w:val="20"/>
                      <w:szCs w:val="20"/>
                    </w:rPr>
                    <w:t>$</w:t>
                  </w:r>
                  <w:r>
                    <w:rPr>
                      <w:sz w:val="20"/>
                      <w:szCs w:val="20"/>
                    </w:rPr>
                    <w:t>60,656,254</w:t>
                  </w:r>
                </w:p>
              </w:tc>
            </w:tr>
            <w:tr w:rsidR="00114F14" w:rsidRPr="008D72F0" w14:paraId="55EDA4B1" w14:textId="77777777" w:rsidTr="00FE1AB6">
              <w:trPr>
                <w:trHeight w:val="315"/>
              </w:trPr>
              <w:tc>
                <w:tcPr>
                  <w:tcW w:w="1980" w:type="dxa"/>
                  <w:shd w:val="clear" w:color="auto" w:fill="auto"/>
                </w:tcPr>
                <w:p w14:paraId="05D23D6E" w14:textId="77777777" w:rsidR="00114F14" w:rsidRPr="005A5D9F" w:rsidRDefault="00114F14" w:rsidP="004A104C">
                  <w:pPr>
                    <w:jc w:val="right"/>
                    <w:rPr>
                      <w:sz w:val="16"/>
                      <w:szCs w:val="16"/>
                    </w:rPr>
                  </w:pPr>
                  <w:r w:rsidRPr="005A5D9F">
                    <w:rPr>
                      <w:sz w:val="16"/>
                      <w:szCs w:val="16"/>
                    </w:rPr>
                    <w:t>Other Special Revenue Funds- Position Count</w:t>
                  </w:r>
                </w:p>
              </w:tc>
              <w:tc>
                <w:tcPr>
                  <w:tcW w:w="1260" w:type="dxa"/>
                  <w:shd w:val="clear" w:color="auto" w:fill="auto"/>
                  <w:vAlign w:val="center"/>
                </w:tcPr>
                <w:p w14:paraId="6D8B67A5" w14:textId="77777777" w:rsidR="00114F14" w:rsidRPr="005A5D9F" w:rsidRDefault="00114F14" w:rsidP="004A104C">
                  <w:pPr>
                    <w:jc w:val="right"/>
                    <w:rPr>
                      <w:sz w:val="20"/>
                      <w:szCs w:val="20"/>
                    </w:rPr>
                  </w:pPr>
                  <w:r>
                    <w:rPr>
                      <w:sz w:val="20"/>
                      <w:szCs w:val="20"/>
                    </w:rPr>
                    <w:t>5</w:t>
                  </w:r>
                  <w:r w:rsidRPr="005A5D9F">
                    <w:rPr>
                      <w:sz w:val="20"/>
                      <w:szCs w:val="20"/>
                    </w:rPr>
                    <w:t>.000</w:t>
                  </w:r>
                </w:p>
              </w:tc>
              <w:tc>
                <w:tcPr>
                  <w:tcW w:w="1260" w:type="dxa"/>
                  <w:vAlign w:val="center"/>
                </w:tcPr>
                <w:p w14:paraId="1814181C" w14:textId="77777777" w:rsidR="00114F14" w:rsidRPr="005A5D9F" w:rsidRDefault="00114F14" w:rsidP="004A104C">
                  <w:pPr>
                    <w:jc w:val="right"/>
                    <w:rPr>
                      <w:sz w:val="20"/>
                      <w:szCs w:val="20"/>
                    </w:rPr>
                  </w:pPr>
                  <w:r>
                    <w:rPr>
                      <w:sz w:val="20"/>
                      <w:szCs w:val="20"/>
                    </w:rPr>
                    <w:t>5</w:t>
                  </w:r>
                  <w:r w:rsidRPr="005A5D9F">
                    <w:rPr>
                      <w:sz w:val="20"/>
                      <w:szCs w:val="20"/>
                    </w:rPr>
                    <w:t>.000</w:t>
                  </w:r>
                </w:p>
              </w:tc>
            </w:tr>
            <w:tr w:rsidR="00114F14" w:rsidRPr="008D72F0" w14:paraId="688EE1E8" w14:textId="77777777" w:rsidTr="00FE1AB6">
              <w:trPr>
                <w:trHeight w:val="352"/>
              </w:trPr>
              <w:tc>
                <w:tcPr>
                  <w:tcW w:w="1980" w:type="dxa"/>
                  <w:shd w:val="clear" w:color="auto" w:fill="auto"/>
                </w:tcPr>
                <w:p w14:paraId="18D3EED3" w14:textId="77777777" w:rsidR="00114F14" w:rsidRPr="005A5D9F" w:rsidRDefault="00114F14" w:rsidP="004A104C">
                  <w:pPr>
                    <w:jc w:val="right"/>
                    <w:rPr>
                      <w:sz w:val="16"/>
                      <w:szCs w:val="16"/>
                    </w:rPr>
                  </w:pPr>
                  <w:r w:rsidRPr="005A5D9F">
                    <w:rPr>
                      <w:sz w:val="16"/>
                      <w:szCs w:val="16"/>
                    </w:rPr>
                    <w:t>Personal Services</w:t>
                  </w:r>
                </w:p>
              </w:tc>
              <w:tc>
                <w:tcPr>
                  <w:tcW w:w="1260" w:type="dxa"/>
                  <w:shd w:val="clear" w:color="auto" w:fill="auto"/>
                </w:tcPr>
                <w:p w14:paraId="157DC3EF" w14:textId="77777777" w:rsidR="00114F14" w:rsidRPr="005A5D9F" w:rsidRDefault="00114F14" w:rsidP="004A104C">
                  <w:pPr>
                    <w:jc w:val="right"/>
                    <w:rPr>
                      <w:sz w:val="20"/>
                      <w:szCs w:val="20"/>
                    </w:rPr>
                  </w:pPr>
                  <w:r w:rsidRPr="005A5D9F">
                    <w:rPr>
                      <w:sz w:val="20"/>
                      <w:szCs w:val="20"/>
                    </w:rPr>
                    <w:t>$</w:t>
                  </w:r>
                  <w:r>
                    <w:rPr>
                      <w:sz w:val="20"/>
                      <w:szCs w:val="20"/>
                    </w:rPr>
                    <w:t>579</w:t>
                  </w:r>
                  <w:r w:rsidRPr="005A5D9F">
                    <w:rPr>
                      <w:sz w:val="20"/>
                      <w:szCs w:val="20"/>
                    </w:rPr>
                    <w:t>,</w:t>
                  </w:r>
                  <w:r>
                    <w:rPr>
                      <w:sz w:val="20"/>
                      <w:szCs w:val="20"/>
                    </w:rPr>
                    <w:t>507</w:t>
                  </w:r>
                </w:p>
              </w:tc>
              <w:tc>
                <w:tcPr>
                  <w:tcW w:w="1260" w:type="dxa"/>
                </w:tcPr>
                <w:p w14:paraId="14D272E8" w14:textId="77777777" w:rsidR="00114F14" w:rsidRPr="005A5D9F" w:rsidRDefault="00114F14" w:rsidP="004A104C">
                  <w:pPr>
                    <w:jc w:val="right"/>
                    <w:rPr>
                      <w:sz w:val="20"/>
                      <w:szCs w:val="20"/>
                    </w:rPr>
                  </w:pPr>
                  <w:r w:rsidRPr="005A5D9F">
                    <w:rPr>
                      <w:sz w:val="20"/>
                      <w:szCs w:val="20"/>
                    </w:rPr>
                    <w:t>$5</w:t>
                  </w:r>
                  <w:r>
                    <w:rPr>
                      <w:sz w:val="20"/>
                      <w:szCs w:val="20"/>
                    </w:rPr>
                    <w:t>82,040</w:t>
                  </w:r>
                </w:p>
              </w:tc>
            </w:tr>
            <w:tr w:rsidR="00114F14" w:rsidRPr="008D72F0" w14:paraId="50515AD2" w14:textId="77777777" w:rsidTr="00FE1AB6">
              <w:trPr>
                <w:trHeight w:val="352"/>
              </w:trPr>
              <w:tc>
                <w:tcPr>
                  <w:tcW w:w="1980" w:type="dxa"/>
                  <w:shd w:val="clear" w:color="auto" w:fill="auto"/>
                </w:tcPr>
                <w:p w14:paraId="4C7D60E4" w14:textId="77777777" w:rsidR="00114F14" w:rsidRPr="005A5D9F" w:rsidRDefault="00114F14" w:rsidP="004A104C">
                  <w:pPr>
                    <w:jc w:val="right"/>
                    <w:rPr>
                      <w:sz w:val="16"/>
                      <w:szCs w:val="16"/>
                    </w:rPr>
                  </w:pPr>
                  <w:r w:rsidRPr="005A5D9F">
                    <w:rPr>
                      <w:sz w:val="16"/>
                      <w:szCs w:val="16"/>
                    </w:rPr>
                    <w:t>All Other</w:t>
                  </w:r>
                </w:p>
              </w:tc>
              <w:tc>
                <w:tcPr>
                  <w:tcW w:w="1260" w:type="dxa"/>
                  <w:shd w:val="clear" w:color="auto" w:fill="auto"/>
                </w:tcPr>
                <w:p w14:paraId="00FADBFB" w14:textId="77777777" w:rsidR="00114F14" w:rsidRPr="005A5D9F" w:rsidRDefault="00114F14" w:rsidP="004A104C">
                  <w:pPr>
                    <w:jc w:val="right"/>
                    <w:rPr>
                      <w:sz w:val="20"/>
                      <w:szCs w:val="20"/>
                      <w:u w:val="single"/>
                    </w:rPr>
                  </w:pPr>
                  <w:r w:rsidRPr="005A5D9F">
                    <w:rPr>
                      <w:sz w:val="20"/>
                      <w:szCs w:val="20"/>
                      <w:u w:val="single"/>
                    </w:rPr>
                    <w:t>$</w:t>
                  </w:r>
                  <w:r>
                    <w:rPr>
                      <w:sz w:val="20"/>
                      <w:szCs w:val="20"/>
                      <w:u w:val="single"/>
                    </w:rPr>
                    <w:t>432,777</w:t>
                  </w:r>
                </w:p>
              </w:tc>
              <w:tc>
                <w:tcPr>
                  <w:tcW w:w="1260" w:type="dxa"/>
                </w:tcPr>
                <w:p w14:paraId="32D5D4CC" w14:textId="77777777" w:rsidR="00114F14" w:rsidRPr="005A5D9F" w:rsidRDefault="00114F14" w:rsidP="004A104C">
                  <w:pPr>
                    <w:jc w:val="right"/>
                    <w:rPr>
                      <w:sz w:val="20"/>
                      <w:szCs w:val="20"/>
                      <w:u w:val="single"/>
                    </w:rPr>
                  </w:pPr>
                  <w:r w:rsidRPr="005A5D9F">
                    <w:rPr>
                      <w:sz w:val="20"/>
                      <w:szCs w:val="20"/>
                      <w:u w:val="single"/>
                    </w:rPr>
                    <w:t>$</w:t>
                  </w:r>
                  <w:r>
                    <w:rPr>
                      <w:sz w:val="20"/>
                      <w:szCs w:val="20"/>
                      <w:u w:val="single"/>
                    </w:rPr>
                    <w:t>432,777</w:t>
                  </w:r>
                </w:p>
              </w:tc>
            </w:tr>
            <w:tr w:rsidR="00114F14" w:rsidRPr="008D72F0" w14:paraId="6CAD1D34" w14:textId="77777777" w:rsidTr="00FE1AB6">
              <w:trPr>
                <w:trHeight w:val="352"/>
              </w:trPr>
              <w:tc>
                <w:tcPr>
                  <w:tcW w:w="1980" w:type="dxa"/>
                  <w:shd w:val="clear" w:color="auto" w:fill="auto"/>
                </w:tcPr>
                <w:p w14:paraId="5C15FEEB" w14:textId="77777777" w:rsidR="00114F14" w:rsidRPr="005A5D9F" w:rsidRDefault="00114F14" w:rsidP="004A104C">
                  <w:pPr>
                    <w:jc w:val="right"/>
                    <w:rPr>
                      <w:sz w:val="16"/>
                      <w:szCs w:val="16"/>
                      <w:u w:val="single"/>
                    </w:rPr>
                  </w:pPr>
                  <w:r w:rsidRPr="005A5D9F">
                    <w:rPr>
                      <w:sz w:val="16"/>
                      <w:szCs w:val="16"/>
                      <w:u w:val="single"/>
                    </w:rPr>
                    <w:t>Other Special Revenue Funds Total</w:t>
                  </w:r>
                </w:p>
              </w:tc>
              <w:tc>
                <w:tcPr>
                  <w:tcW w:w="1260" w:type="dxa"/>
                  <w:shd w:val="clear" w:color="auto" w:fill="auto"/>
                </w:tcPr>
                <w:p w14:paraId="52E1709C" w14:textId="77777777" w:rsidR="00114F14" w:rsidRPr="005A5D9F" w:rsidRDefault="00114F14" w:rsidP="004A104C">
                  <w:pPr>
                    <w:jc w:val="right"/>
                    <w:rPr>
                      <w:sz w:val="20"/>
                      <w:szCs w:val="20"/>
                    </w:rPr>
                  </w:pPr>
                  <w:r w:rsidRPr="005A5D9F">
                    <w:rPr>
                      <w:sz w:val="20"/>
                      <w:szCs w:val="20"/>
                    </w:rPr>
                    <w:t>$</w:t>
                  </w:r>
                  <w:r>
                    <w:rPr>
                      <w:sz w:val="20"/>
                      <w:szCs w:val="20"/>
                    </w:rPr>
                    <w:t>1,012,284</w:t>
                  </w:r>
                </w:p>
              </w:tc>
              <w:tc>
                <w:tcPr>
                  <w:tcW w:w="1260" w:type="dxa"/>
                </w:tcPr>
                <w:p w14:paraId="2DA9F873" w14:textId="77777777" w:rsidR="00114F14" w:rsidRPr="005A5D9F" w:rsidRDefault="00114F14" w:rsidP="004A104C">
                  <w:pPr>
                    <w:jc w:val="right"/>
                    <w:rPr>
                      <w:sz w:val="20"/>
                      <w:szCs w:val="20"/>
                    </w:rPr>
                  </w:pPr>
                  <w:r w:rsidRPr="005A5D9F">
                    <w:rPr>
                      <w:sz w:val="20"/>
                      <w:szCs w:val="20"/>
                    </w:rPr>
                    <w:t>$</w:t>
                  </w:r>
                  <w:r>
                    <w:rPr>
                      <w:sz w:val="20"/>
                      <w:szCs w:val="20"/>
                    </w:rPr>
                    <w:t>1,014,817</w:t>
                  </w:r>
                </w:p>
              </w:tc>
            </w:tr>
          </w:tbl>
          <w:p w14:paraId="1E77C35B" w14:textId="081BDD92" w:rsidR="00114F14" w:rsidRDefault="00114F14" w:rsidP="004A104C">
            <w:pPr>
              <w:pStyle w:val="ListBullet"/>
              <w:numPr>
                <w:ilvl w:val="0"/>
                <w:numId w:val="0"/>
              </w:numPr>
              <w:ind w:left="280"/>
            </w:pPr>
          </w:p>
          <w:p w14:paraId="300FCE15" w14:textId="6961BD44" w:rsidR="00114F14" w:rsidRDefault="00114F14" w:rsidP="004A104C">
            <w:pPr>
              <w:pStyle w:val="ListBullet"/>
              <w:numPr>
                <w:ilvl w:val="0"/>
                <w:numId w:val="0"/>
              </w:numPr>
              <w:ind w:left="280"/>
            </w:pPr>
          </w:p>
          <w:p w14:paraId="65A6B809" w14:textId="47EF2569" w:rsidR="00114F14" w:rsidRDefault="00114F14" w:rsidP="004A104C">
            <w:pPr>
              <w:pStyle w:val="ListBullet"/>
              <w:numPr>
                <w:ilvl w:val="0"/>
                <w:numId w:val="0"/>
              </w:numPr>
              <w:ind w:left="280"/>
            </w:pPr>
          </w:p>
          <w:p w14:paraId="3C7AF573" w14:textId="5427217B" w:rsidR="00114F14" w:rsidRDefault="00114F14" w:rsidP="004A104C">
            <w:pPr>
              <w:pStyle w:val="ListBullet"/>
              <w:numPr>
                <w:ilvl w:val="0"/>
                <w:numId w:val="0"/>
              </w:numPr>
              <w:ind w:left="280"/>
            </w:pPr>
          </w:p>
          <w:p w14:paraId="7C3C4A51" w14:textId="77777777" w:rsidR="00114F14" w:rsidRDefault="00114F14" w:rsidP="004A104C">
            <w:pPr>
              <w:pStyle w:val="ListBullet"/>
              <w:numPr>
                <w:ilvl w:val="0"/>
                <w:numId w:val="0"/>
              </w:numPr>
              <w:ind w:left="280"/>
            </w:pPr>
          </w:p>
          <w:p w14:paraId="3172A710" w14:textId="167FD8F9" w:rsidR="00114F14" w:rsidRDefault="00114F14" w:rsidP="004A104C">
            <w:pPr>
              <w:pStyle w:val="ListBullet"/>
              <w:numPr>
                <w:ilvl w:val="0"/>
                <w:numId w:val="0"/>
              </w:numPr>
              <w:ind w:left="280"/>
            </w:pPr>
          </w:p>
          <w:p w14:paraId="41B378DC" w14:textId="1D3076CD" w:rsidR="00114F14" w:rsidRDefault="00114F14" w:rsidP="004A104C">
            <w:pPr>
              <w:pStyle w:val="ListBullet"/>
              <w:numPr>
                <w:ilvl w:val="0"/>
                <w:numId w:val="0"/>
              </w:numPr>
              <w:ind w:left="280"/>
            </w:pPr>
          </w:p>
          <w:p w14:paraId="674A5902" w14:textId="2A4586F5" w:rsidR="00114F14" w:rsidRDefault="00114F14" w:rsidP="004A104C">
            <w:pPr>
              <w:pStyle w:val="ListBullet"/>
              <w:numPr>
                <w:ilvl w:val="0"/>
                <w:numId w:val="0"/>
              </w:numPr>
              <w:ind w:left="280"/>
            </w:pPr>
          </w:p>
          <w:p w14:paraId="485727B1" w14:textId="529A7E1A" w:rsidR="00114F14" w:rsidRDefault="00114F14" w:rsidP="004A104C">
            <w:pPr>
              <w:pStyle w:val="ListBullet"/>
              <w:numPr>
                <w:ilvl w:val="0"/>
                <w:numId w:val="0"/>
              </w:numPr>
              <w:ind w:left="280"/>
            </w:pPr>
          </w:p>
          <w:p w14:paraId="0BE48C42" w14:textId="59E5672A" w:rsidR="00114F14" w:rsidRDefault="00114F14" w:rsidP="004A104C">
            <w:pPr>
              <w:pStyle w:val="ListBullet"/>
              <w:numPr>
                <w:ilvl w:val="0"/>
                <w:numId w:val="0"/>
              </w:numPr>
              <w:ind w:left="280"/>
            </w:pPr>
          </w:p>
          <w:p w14:paraId="50B39005" w14:textId="13A900E3" w:rsidR="00114F14" w:rsidRDefault="00114F14" w:rsidP="004A104C">
            <w:pPr>
              <w:pStyle w:val="ListBullet"/>
              <w:numPr>
                <w:ilvl w:val="0"/>
                <w:numId w:val="0"/>
              </w:numPr>
              <w:ind w:left="280"/>
            </w:pPr>
          </w:p>
          <w:p w14:paraId="5593BB9C" w14:textId="1F9143E3" w:rsidR="00114F14" w:rsidRDefault="00114F14" w:rsidP="004A104C">
            <w:pPr>
              <w:pStyle w:val="ListBullet"/>
              <w:numPr>
                <w:ilvl w:val="0"/>
                <w:numId w:val="0"/>
              </w:numPr>
              <w:ind w:left="280"/>
            </w:pPr>
          </w:p>
          <w:p w14:paraId="22E62ABE" w14:textId="7302753D" w:rsidR="00114F14" w:rsidRDefault="00114F14" w:rsidP="004A104C">
            <w:pPr>
              <w:pStyle w:val="ListBullet"/>
              <w:numPr>
                <w:ilvl w:val="0"/>
                <w:numId w:val="0"/>
              </w:numPr>
              <w:ind w:left="280"/>
            </w:pPr>
          </w:p>
          <w:p w14:paraId="4058AA88" w14:textId="24930989" w:rsidR="00114F14" w:rsidRDefault="00114F14" w:rsidP="004A104C">
            <w:pPr>
              <w:pStyle w:val="ListBullet"/>
              <w:numPr>
                <w:ilvl w:val="0"/>
                <w:numId w:val="0"/>
              </w:numPr>
              <w:ind w:left="280"/>
            </w:pPr>
          </w:p>
          <w:p w14:paraId="37E1965A" w14:textId="6451BC68" w:rsidR="00114F14" w:rsidRDefault="00114F14" w:rsidP="004A104C">
            <w:pPr>
              <w:pStyle w:val="ListBullet"/>
              <w:numPr>
                <w:ilvl w:val="0"/>
                <w:numId w:val="0"/>
              </w:numPr>
              <w:ind w:left="280"/>
            </w:pPr>
          </w:p>
          <w:p w14:paraId="2EB5C716" w14:textId="0EA360A6" w:rsidR="00114F14" w:rsidRDefault="00114F14" w:rsidP="004A104C">
            <w:pPr>
              <w:pStyle w:val="ListBullet"/>
              <w:numPr>
                <w:ilvl w:val="0"/>
                <w:numId w:val="0"/>
              </w:numPr>
              <w:ind w:left="280"/>
            </w:pPr>
          </w:p>
          <w:p w14:paraId="21056269" w14:textId="669D12AF" w:rsidR="00114F14" w:rsidRDefault="00114F14" w:rsidP="004A104C">
            <w:pPr>
              <w:pStyle w:val="ListBullet"/>
              <w:numPr>
                <w:ilvl w:val="0"/>
                <w:numId w:val="0"/>
              </w:numPr>
              <w:ind w:left="280"/>
            </w:pPr>
          </w:p>
          <w:p w14:paraId="18D7ADBB" w14:textId="3B02710F" w:rsidR="00114F14" w:rsidRDefault="00114F14" w:rsidP="004A104C">
            <w:pPr>
              <w:pStyle w:val="ListBullet"/>
            </w:pPr>
            <w:r>
              <w:t>Transfers one Education Specialist III position and General Fund appropriations from Higher Education and Educator Support Services to School Finance and Operations program.</w:t>
            </w:r>
          </w:p>
          <w:p w14:paraId="77E18C3D" w14:textId="22CDEE28" w:rsidR="00114F14" w:rsidRDefault="00114F14" w:rsidP="004A104C">
            <w:pPr>
              <w:pStyle w:val="ListBullet"/>
              <w:numPr>
                <w:ilvl w:val="0"/>
                <w:numId w:val="0"/>
              </w:numPr>
              <w:ind w:left="280"/>
            </w:pPr>
          </w:p>
          <w:tbl>
            <w:tblPr>
              <w:tblpPr w:leftFromText="180" w:rightFromText="180" w:vertAnchor="text" w:horzAnchor="margin" w:tblpXSpec="center" w:tblpY="152"/>
              <w:tblOverlap w:val="never"/>
              <w:tblW w:w="0" w:type="auto"/>
              <w:tblLook w:val="01E0" w:firstRow="1" w:lastRow="1" w:firstColumn="1" w:lastColumn="1" w:noHBand="0" w:noVBand="0"/>
            </w:tblPr>
            <w:tblGrid>
              <w:gridCol w:w="1980"/>
              <w:gridCol w:w="1260"/>
              <w:gridCol w:w="1260"/>
            </w:tblGrid>
            <w:tr w:rsidR="00114F14" w:rsidRPr="008D72F0" w14:paraId="05BE8B8B" w14:textId="77777777" w:rsidTr="00FE1AB6">
              <w:trPr>
                <w:trHeight w:val="357"/>
              </w:trPr>
              <w:tc>
                <w:tcPr>
                  <w:tcW w:w="1980" w:type="dxa"/>
                  <w:shd w:val="clear" w:color="auto" w:fill="auto"/>
                </w:tcPr>
                <w:p w14:paraId="7FE28906" w14:textId="77777777" w:rsidR="00114F14" w:rsidRPr="008D72F0" w:rsidRDefault="00114F14" w:rsidP="004A104C">
                  <w:pPr>
                    <w:jc w:val="right"/>
                    <w:rPr>
                      <w:sz w:val="20"/>
                      <w:szCs w:val="20"/>
                      <w:u w:val="single"/>
                    </w:rPr>
                  </w:pPr>
                </w:p>
              </w:tc>
              <w:tc>
                <w:tcPr>
                  <w:tcW w:w="1260" w:type="dxa"/>
                  <w:shd w:val="clear" w:color="auto" w:fill="auto"/>
                </w:tcPr>
                <w:p w14:paraId="30AFA11E"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CC4D224"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7CD61577" w14:textId="77777777" w:rsidTr="00FE1AB6">
              <w:trPr>
                <w:trHeight w:val="344"/>
              </w:trPr>
              <w:tc>
                <w:tcPr>
                  <w:tcW w:w="1980" w:type="dxa"/>
                  <w:shd w:val="clear" w:color="auto" w:fill="auto"/>
                </w:tcPr>
                <w:p w14:paraId="79FC0C83" w14:textId="77777777" w:rsidR="00114F14" w:rsidRPr="008D72F0" w:rsidRDefault="00114F14" w:rsidP="004A104C">
                  <w:pPr>
                    <w:jc w:val="right"/>
                    <w:rPr>
                      <w:sz w:val="16"/>
                      <w:szCs w:val="16"/>
                    </w:rPr>
                  </w:pPr>
                  <w:r>
                    <w:rPr>
                      <w:sz w:val="16"/>
                      <w:szCs w:val="16"/>
                    </w:rPr>
                    <w:t>General Fund- Position Count</w:t>
                  </w:r>
                  <w:r w:rsidRPr="008D72F0">
                    <w:rPr>
                      <w:sz w:val="16"/>
                      <w:szCs w:val="16"/>
                    </w:rPr>
                    <w:t xml:space="preserve"> </w:t>
                  </w:r>
                </w:p>
              </w:tc>
              <w:tc>
                <w:tcPr>
                  <w:tcW w:w="1260" w:type="dxa"/>
                  <w:shd w:val="clear" w:color="auto" w:fill="auto"/>
                  <w:vAlign w:val="center"/>
                </w:tcPr>
                <w:p w14:paraId="5579068F" w14:textId="77777777" w:rsidR="00114F14" w:rsidRPr="008D72F0" w:rsidRDefault="00114F14" w:rsidP="004A104C">
                  <w:pPr>
                    <w:jc w:val="right"/>
                    <w:rPr>
                      <w:sz w:val="20"/>
                      <w:szCs w:val="20"/>
                    </w:rPr>
                  </w:pPr>
                  <w:r>
                    <w:rPr>
                      <w:sz w:val="20"/>
                      <w:szCs w:val="20"/>
                    </w:rPr>
                    <w:t>1.000</w:t>
                  </w:r>
                </w:p>
              </w:tc>
              <w:tc>
                <w:tcPr>
                  <w:tcW w:w="1260" w:type="dxa"/>
                  <w:vAlign w:val="center"/>
                </w:tcPr>
                <w:p w14:paraId="1EFD774A" w14:textId="77777777" w:rsidR="00114F14" w:rsidRDefault="00114F14" w:rsidP="004A104C">
                  <w:pPr>
                    <w:jc w:val="right"/>
                    <w:rPr>
                      <w:sz w:val="20"/>
                      <w:szCs w:val="20"/>
                    </w:rPr>
                  </w:pPr>
                  <w:r>
                    <w:rPr>
                      <w:sz w:val="20"/>
                      <w:szCs w:val="20"/>
                    </w:rPr>
                    <w:t>1.000</w:t>
                  </w:r>
                </w:p>
              </w:tc>
            </w:tr>
            <w:tr w:rsidR="00114F14" w:rsidRPr="008D72F0" w14:paraId="2011FD09" w14:textId="77777777" w:rsidTr="00FE1AB6">
              <w:trPr>
                <w:trHeight w:val="357"/>
              </w:trPr>
              <w:tc>
                <w:tcPr>
                  <w:tcW w:w="1980" w:type="dxa"/>
                  <w:shd w:val="clear" w:color="auto" w:fill="auto"/>
                </w:tcPr>
                <w:p w14:paraId="3C02704A"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449A9CAD" w14:textId="04BDDA0D" w:rsidR="00114F14" w:rsidRPr="008D72F0" w:rsidRDefault="00114F14" w:rsidP="004A104C">
                  <w:pPr>
                    <w:jc w:val="right"/>
                    <w:rPr>
                      <w:sz w:val="20"/>
                      <w:szCs w:val="20"/>
                    </w:rPr>
                  </w:pPr>
                  <w:r>
                    <w:rPr>
                      <w:sz w:val="20"/>
                      <w:szCs w:val="20"/>
                    </w:rPr>
                    <w:t>$81,554</w:t>
                  </w:r>
                </w:p>
              </w:tc>
              <w:tc>
                <w:tcPr>
                  <w:tcW w:w="1260" w:type="dxa"/>
                </w:tcPr>
                <w:p w14:paraId="7A7971DC" w14:textId="5866EC86" w:rsidR="00114F14" w:rsidRPr="008D72F0" w:rsidRDefault="00114F14" w:rsidP="004A104C">
                  <w:pPr>
                    <w:jc w:val="right"/>
                    <w:rPr>
                      <w:sz w:val="20"/>
                      <w:szCs w:val="20"/>
                    </w:rPr>
                  </w:pPr>
                  <w:r>
                    <w:rPr>
                      <w:sz w:val="20"/>
                      <w:szCs w:val="20"/>
                    </w:rPr>
                    <w:t>$84,862</w:t>
                  </w:r>
                </w:p>
              </w:tc>
            </w:tr>
          </w:tbl>
          <w:p w14:paraId="1A91C3B9" w14:textId="650E6181" w:rsidR="00114F14" w:rsidRDefault="00114F14" w:rsidP="004A104C">
            <w:pPr>
              <w:pStyle w:val="ListBullet"/>
              <w:numPr>
                <w:ilvl w:val="0"/>
                <w:numId w:val="0"/>
              </w:numPr>
              <w:ind w:left="280"/>
            </w:pPr>
          </w:p>
          <w:p w14:paraId="73BF6EC6" w14:textId="120984C3" w:rsidR="00114F14" w:rsidRDefault="00114F14" w:rsidP="004A104C">
            <w:pPr>
              <w:pStyle w:val="ListBullet"/>
              <w:numPr>
                <w:ilvl w:val="0"/>
                <w:numId w:val="0"/>
              </w:numPr>
              <w:ind w:left="280"/>
            </w:pPr>
          </w:p>
          <w:p w14:paraId="1236F6CC" w14:textId="61A6AE4C" w:rsidR="00114F14" w:rsidRDefault="00114F14" w:rsidP="004A104C">
            <w:pPr>
              <w:pStyle w:val="ListBullet"/>
              <w:numPr>
                <w:ilvl w:val="0"/>
                <w:numId w:val="0"/>
              </w:numPr>
              <w:ind w:left="280"/>
            </w:pPr>
          </w:p>
          <w:p w14:paraId="527990AB" w14:textId="1CAFE204" w:rsidR="00114F14" w:rsidRDefault="00114F14" w:rsidP="004A104C">
            <w:pPr>
              <w:pStyle w:val="ListBullet"/>
              <w:numPr>
                <w:ilvl w:val="0"/>
                <w:numId w:val="0"/>
              </w:numPr>
              <w:ind w:left="280"/>
            </w:pPr>
          </w:p>
          <w:p w14:paraId="227E6A87" w14:textId="66C983EC" w:rsidR="00114F14" w:rsidRDefault="00114F14" w:rsidP="004A104C">
            <w:pPr>
              <w:pStyle w:val="ListBullet"/>
              <w:numPr>
                <w:ilvl w:val="0"/>
                <w:numId w:val="0"/>
              </w:numPr>
              <w:ind w:left="280"/>
            </w:pPr>
          </w:p>
          <w:p w14:paraId="70A72062" w14:textId="77777777" w:rsidR="00114F14" w:rsidRDefault="00114F14" w:rsidP="004A104C">
            <w:pPr>
              <w:pStyle w:val="ListBullet"/>
            </w:pPr>
            <w:r>
              <w:t>Transfers one Office Associate II position from 100% Special Services Team program Federal Expenditures Fund to 100% Higher Education and Educator Support Services program General Fund.  Reorganizes one Regional Education Representative to an Education Specialist III position.  Reallocates one Data &amp; Research Coordinator position from 50% School Finance and Operation program General Fund and 50% Special Services Team program Federal Expenditures Fund to 100% Special Services Team Federal Expenditures Fund of ($55,305) in FY 20 and of ($55,749) in FY 21.</w:t>
            </w:r>
          </w:p>
          <w:p w14:paraId="58AD98E3" w14:textId="77777777" w:rsidR="00114F14" w:rsidRDefault="00114F14" w:rsidP="004A104C">
            <w:pPr>
              <w:pStyle w:val="ListBullet"/>
              <w:numPr>
                <w:ilvl w:val="0"/>
                <w:numId w:val="0"/>
              </w:numPr>
              <w:ind w:left="460"/>
            </w:pPr>
            <w:r>
              <w:t xml:space="preserve">Also reorganizes one Education Specialist III to a Public Service Manager II position. </w:t>
            </w:r>
          </w:p>
          <w:p w14:paraId="43A8F7BB" w14:textId="45152EB4" w:rsidR="00114F14" w:rsidRDefault="00114F14" w:rsidP="004A104C">
            <w:pPr>
              <w:pStyle w:val="ListBullet"/>
            </w:pPr>
            <w:r>
              <w:t>Transfers General Fund appropriations in the budget for technology costs from School Finance and Operations to Higher Education and Educator Support Services program of ($75,000) in FY 20 and in FY 21.</w:t>
            </w:r>
          </w:p>
          <w:p w14:paraId="66A5E580" w14:textId="77777777" w:rsidR="00114F14" w:rsidRPr="002A0216" w:rsidRDefault="00114F14" w:rsidP="004A104C">
            <w:pPr>
              <w:pStyle w:val="ListBullet"/>
            </w:pPr>
            <w:r w:rsidRPr="002A0216">
              <w:t>Transfers one Public Service Executive II position, one Public Service Manager II position, 2 Public Service Coordinator II positions and one Secretary Associate position and appropriations from School Finance and Operations Other Special Revenue Funds program, to establish the Facilities, Safety and Transportation program in FY 20 and in FY 21.</w:t>
            </w:r>
          </w:p>
          <w:p w14:paraId="07D87AB8" w14:textId="78F2B163" w:rsidR="00114F14" w:rsidRDefault="00114F14" w:rsidP="004A104C">
            <w:pPr>
              <w:pStyle w:val="ListBullet"/>
              <w:numPr>
                <w:ilvl w:val="0"/>
                <w:numId w:val="0"/>
              </w:numPr>
              <w:ind w:left="280"/>
            </w:pPr>
          </w:p>
          <w:p w14:paraId="118C2A23" w14:textId="49394E44" w:rsidR="00D540F9" w:rsidRDefault="00D540F9" w:rsidP="004A104C">
            <w:pPr>
              <w:pStyle w:val="ListBullet"/>
              <w:numPr>
                <w:ilvl w:val="0"/>
                <w:numId w:val="0"/>
              </w:numPr>
              <w:ind w:left="280"/>
            </w:pPr>
          </w:p>
          <w:p w14:paraId="367C6078" w14:textId="5C8DA64C" w:rsidR="00D540F9" w:rsidRDefault="00D540F9" w:rsidP="004A104C">
            <w:pPr>
              <w:pStyle w:val="ListBullet"/>
              <w:numPr>
                <w:ilvl w:val="0"/>
                <w:numId w:val="0"/>
              </w:numPr>
              <w:ind w:left="280"/>
            </w:pPr>
          </w:p>
          <w:p w14:paraId="41318F1F" w14:textId="77777777" w:rsidR="00D540F9" w:rsidRDefault="00D540F9" w:rsidP="004A104C">
            <w:pPr>
              <w:pStyle w:val="ListBullet"/>
              <w:numPr>
                <w:ilvl w:val="0"/>
                <w:numId w:val="0"/>
              </w:numPr>
              <w:ind w:left="280"/>
            </w:pPr>
          </w:p>
          <w:p w14:paraId="50DF9E70" w14:textId="77777777" w:rsidR="00114F14" w:rsidRDefault="00114F14" w:rsidP="004A104C">
            <w:pPr>
              <w:pStyle w:val="ListBullet"/>
              <w:numPr>
                <w:ilvl w:val="0"/>
                <w:numId w:val="0"/>
              </w:numPr>
              <w:ind w:left="280"/>
            </w:pPr>
          </w:p>
          <w:tbl>
            <w:tblPr>
              <w:tblW w:w="0" w:type="auto"/>
              <w:tblInd w:w="1320" w:type="dxa"/>
              <w:tblLook w:val="01E0" w:firstRow="1" w:lastRow="1" w:firstColumn="1" w:lastColumn="1" w:noHBand="0" w:noVBand="0"/>
            </w:tblPr>
            <w:tblGrid>
              <w:gridCol w:w="1710"/>
              <w:gridCol w:w="1350"/>
              <w:gridCol w:w="1350"/>
            </w:tblGrid>
            <w:tr w:rsidR="00114F14" w:rsidRPr="008D72F0" w14:paraId="353A54D8" w14:textId="77777777" w:rsidTr="00A04841">
              <w:trPr>
                <w:trHeight w:val="357"/>
              </w:trPr>
              <w:tc>
                <w:tcPr>
                  <w:tcW w:w="1710" w:type="dxa"/>
                  <w:shd w:val="clear" w:color="auto" w:fill="auto"/>
                </w:tcPr>
                <w:p w14:paraId="3F1E218B" w14:textId="77777777" w:rsidR="00114F14" w:rsidRPr="008D72F0" w:rsidRDefault="00114F14" w:rsidP="004A104C">
                  <w:pPr>
                    <w:jc w:val="right"/>
                    <w:rPr>
                      <w:sz w:val="20"/>
                      <w:szCs w:val="20"/>
                      <w:u w:val="single"/>
                    </w:rPr>
                  </w:pPr>
                </w:p>
              </w:tc>
              <w:tc>
                <w:tcPr>
                  <w:tcW w:w="1350" w:type="dxa"/>
                  <w:shd w:val="clear" w:color="auto" w:fill="auto"/>
                </w:tcPr>
                <w:p w14:paraId="01F9B96D"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350" w:type="dxa"/>
                </w:tcPr>
                <w:p w14:paraId="644B3B99" w14:textId="77777777" w:rsidR="00114F14" w:rsidRPr="008D72F0" w:rsidRDefault="00114F14" w:rsidP="004A104C">
                  <w:pPr>
                    <w:jc w:val="right"/>
                    <w:rPr>
                      <w:sz w:val="20"/>
                      <w:szCs w:val="20"/>
                      <w:u w:val="single"/>
                    </w:rPr>
                  </w:pPr>
                  <w:r>
                    <w:rPr>
                      <w:sz w:val="20"/>
                      <w:szCs w:val="20"/>
                      <w:u w:val="single"/>
                    </w:rPr>
                    <w:t>FY 21</w:t>
                  </w:r>
                </w:p>
              </w:tc>
            </w:tr>
            <w:tr w:rsidR="00114F14" w14:paraId="1BD9EEEF" w14:textId="77777777" w:rsidTr="00A04841">
              <w:trPr>
                <w:trHeight w:val="357"/>
              </w:trPr>
              <w:tc>
                <w:tcPr>
                  <w:tcW w:w="1710" w:type="dxa"/>
                  <w:shd w:val="clear" w:color="auto" w:fill="auto"/>
                </w:tcPr>
                <w:p w14:paraId="19D5C168" w14:textId="77777777" w:rsidR="00114F14" w:rsidRPr="008D72F0" w:rsidRDefault="00114F14" w:rsidP="004A104C">
                  <w:pPr>
                    <w:jc w:val="right"/>
                    <w:rPr>
                      <w:sz w:val="16"/>
                      <w:szCs w:val="16"/>
                    </w:rPr>
                  </w:pPr>
                  <w:r>
                    <w:rPr>
                      <w:sz w:val="16"/>
                      <w:szCs w:val="16"/>
                    </w:rPr>
                    <w:t>Other Special Revenue Funds</w:t>
                  </w:r>
                  <w:r w:rsidRPr="008D72F0">
                    <w:rPr>
                      <w:sz w:val="16"/>
                      <w:szCs w:val="16"/>
                    </w:rPr>
                    <w:t xml:space="preserve"> - Position Count</w:t>
                  </w:r>
                </w:p>
              </w:tc>
              <w:tc>
                <w:tcPr>
                  <w:tcW w:w="1350" w:type="dxa"/>
                  <w:shd w:val="clear" w:color="auto" w:fill="auto"/>
                  <w:vAlign w:val="center"/>
                </w:tcPr>
                <w:p w14:paraId="38696B94" w14:textId="77777777" w:rsidR="00114F14" w:rsidRPr="008D72F0" w:rsidRDefault="00114F14" w:rsidP="004A104C">
                  <w:pPr>
                    <w:jc w:val="right"/>
                    <w:rPr>
                      <w:sz w:val="20"/>
                      <w:szCs w:val="20"/>
                    </w:rPr>
                  </w:pPr>
                  <w:r>
                    <w:rPr>
                      <w:sz w:val="20"/>
                      <w:szCs w:val="20"/>
                    </w:rPr>
                    <w:t>5.000</w:t>
                  </w:r>
                </w:p>
              </w:tc>
              <w:tc>
                <w:tcPr>
                  <w:tcW w:w="1350" w:type="dxa"/>
                  <w:vAlign w:val="center"/>
                </w:tcPr>
                <w:p w14:paraId="3F50DA77" w14:textId="77777777" w:rsidR="00114F14" w:rsidRDefault="00114F14" w:rsidP="004A104C">
                  <w:pPr>
                    <w:jc w:val="right"/>
                    <w:rPr>
                      <w:sz w:val="20"/>
                      <w:szCs w:val="20"/>
                    </w:rPr>
                  </w:pPr>
                  <w:r>
                    <w:rPr>
                      <w:sz w:val="20"/>
                      <w:szCs w:val="20"/>
                    </w:rPr>
                    <w:t>5.000</w:t>
                  </w:r>
                </w:p>
              </w:tc>
            </w:tr>
            <w:tr w:rsidR="00114F14" w:rsidRPr="008D72F0" w14:paraId="2C3EEFA9" w14:textId="77777777" w:rsidTr="00A04841">
              <w:trPr>
                <w:trHeight w:val="357"/>
              </w:trPr>
              <w:tc>
                <w:tcPr>
                  <w:tcW w:w="1710" w:type="dxa"/>
                  <w:shd w:val="clear" w:color="auto" w:fill="auto"/>
                </w:tcPr>
                <w:p w14:paraId="12B0094A" w14:textId="77777777" w:rsidR="00114F14" w:rsidRPr="008D72F0" w:rsidRDefault="00114F14" w:rsidP="004A104C">
                  <w:pPr>
                    <w:jc w:val="right"/>
                    <w:rPr>
                      <w:sz w:val="16"/>
                      <w:szCs w:val="16"/>
                    </w:rPr>
                  </w:pPr>
                  <w:r w:rsidRPr="008D72F0">
                    <w:rPr>
                      <w:sz w:val="16"/>
                      <w:szCs w:val="16"/>
                    </w:rPr>
                    <w:t>Personal Services</w:t>
                  </w:r>
                </w:p>
              </w:tc>
              <w:tc>
                <w:tcPr>
                  <w:tcW w:w="1350" w:type="dxa"/>
                  <w:shd w:val="clear" w:color="auto" w:fill="auto"/>
                </w:tcPr>
                <w:p w14:paraId="066113C8" w14:textId="7B0D6C14" w:rsidR="00114F14" w:rsidRPr="008D72F0" w:rsidRDefault="00114F14" w:rsidP="004A104C">
                  <w:pPr>
                    <w:jc w:val="right"/>
                    <w:rPr>
                      <w:sz w:val="20"/>
                      <w:szCs w:val="20"/>
                    </w:rPr>
                  </w:pPr>
                  <w:r>
                    <w:rPr>
                      <w:sz w:val="20"/>
                      <w:szCs w:val="20"/>
                    </w:rPr>
                    <w:t>($653,855)</w:t>
                  </w:r>
                </w:p>
              </w:tc>
              <w:tc>
                <w:tcPr>
                  <w:tcW w:w="1350" w:type="dxa"/>
                </w:tcPr>
                <w:p w14:paraId="5540A676" w14:textId="67F4B473" w:rsidR="00114F14" w:rsidRPr="008D72F0" w:rsidRDefault="00114F14" w:rsidP="004A104C">
                  <w:pPr>
                    <w:jc w:val="right"/>
                    <w:rPr>
                      <w:sz w:val="20"/>
                      <w:szCs w:val="20"/>
                    </w:rPr>
                  </w:pPr>
                  <w:r>
                    <w:rPr>
                      <w:sz w:val="20"/>
                      <w:szCs w:val="20"/>
                    </w:rPr>
                    <w:t>($607,883)</w:t>
                  </w:r>
                </w:p>
              </w:tc>
            </w:tr>
            <w:tr w:rsidR="00114F14" w:rsidRPr="00FE76F6" w14:paraId="505C9158" w14:textId="77777777" w:rsidTr="00A04841">
              <w:trPr>
                <w:trHeight w:val="315"/>
              </w:trPr>
              <w:tc>
                <w:tcPr>
                  <w:tcW w:w="1710" w:type="dxa"/>
                  <w:shd w:val="clear" w:color="auto" w:fill="auto"/>
                </w:tcPr>
                <w:p w14:paraId="057CE45D" w14:textId="77777777" w:rsidR="00114F14" w:rsidRPr="008D72F0" w:rsidRDefault="00114F14" w:rsidP="004A104C">
                  <w:pPr>
                    <w:jc w:val="right"/>
                    <w:rPr>
                      <w:sz w:val="16"/>
                      <w:szCs w:val="16"/>
                    </w:rPr>
                  </w:pPr>
                  <w:r>
                    <w:rPr>
                      <w:sz w:val="16"/>
                      <w:szCs w:val="16"/>
                    </w:rPr>
                    <w:t>All Other</w:t>
                  </w:r>
                </w:p>
              </w:tc>
              <w:tc>
                <w:tcPr>
                  <w:tcW w:w="1350" w:type="dxa"/>
                  <w:shd w:val="clear" w:color="auto" w:fill="auto"/>
                </w:tcPr>
                <w:p w14:paraId="23517F94" w14:textId="6BB44398" w:rsidR="00114F14" w:rsidRPr="00FE76F6" w:rsidRDefault="00114F14" w:rsidP="004A104C">
                  <w:pPr>
                    <w:jc w:val="right"/>
                    <w:rPr>
                      <w:sz w:val="20"/>
                      <w:szCs w:val="20"/>
                      <w:u w:val="single"/>
                    </w:rPr>
                  </w:pPr>
                  <w:r>
                    <w:rPr>
                      <w:sz w:val="20"/>
                      <w:szCs w:val="20"/>
                      <w:u w:val="single"/>
                    </w:rPr>
                    <w:t>(</w:t>
                  </w:r>
                  <w:r w:rsidRPr="00FE76F6">
                    <w:rPr>
                      <w:sz w:val="20"/>
                      <w:szCs w:val="20"/>
                      <w:u w:val="single"/>
                    </w:rPr>
                    <w:t>$</w:t>
                  </w:r>
                  <w:r>
                    <w:rPr>
                      <w:sz w:val="20"/>
                      <w:szCs w:val="20"/>
                      <w:u w:val="single"/>
                    </w:rPr>
                    <w:t>342,884)</w:t>
                  </w:r>
                </w:p>
              </w:tc>
              <w:tc>
                <w:tcPr>
                  <w:tcW w:w="1350" w:type="dxa"/>
                </w:tcPr>
                <w:p w14:paraId="089828A9" w14:textId="3C217A27" w:rsidR="00114F14" w:rsidRPr="00FE76F6" w:rsidRDefault="00114F14" w:rsidP="004A104C">
                  <w:pPr>
                    <w:jc w:val="right"/>
                    <w:rPr>
                      <w:sz w:val="20"/>
                      <w:szCs w:val="20"/>
                      <w:u w:val="single"/>
                    </w:rPr>
                  </w:pPr>
                  <w:r>
                    <w:rPr>
                      <w:sz w:val="20"/>
                      <w:szCs w:val="20"/>
                      <w:u w:val="single"/>
                    </w:rPr>
                    <w:t>($391,389)</w:t>
                  </w:r>
                </w:p>
              </w:tc>
            </w:tr>
            <w:tr w:rsidR="00114F14" w:rsidRPr="008D72F0" w14:paraId="077C6F03" w14:textId="77777777" w:rsidTr="00A04841">
              <w:trPr>
                <w:trHeight w:val="303"/>
              </w:trPr>
              <w:tc>
                <w:tcPr>
                  <w:tcW w:w="1710" w:type="dxa"/>
                  <w:shd w:val="clear" w:color="auto" w:fill="auto"/>
                </w:tcPr>
                <w:p w14:paraId="0A40AE6B" w14:textId="77777777" w:rsidR="00114F14" w:rsidRPr="008D72F0" w:rsidRDefault="00114F14" w:rsidP="004A104C">
                  <w:pPr>
                    <w:rPr>
                      <w:sz w:val="16"/>
                      <w:szCs w:val="16"/>
                      <w:u w:val="single"/>
                    </w:rPr>
                  </w:pPr>
                  <w:r>
                    <w:rPr>
                      <w:sz w:val="16"/>
                      <w:szCs w:val="16"/>
                      <w:u w:val="single"/>
                    </w:rPr>
                    <w:t>Other Special Revenue Funds Total</w:t>
                  </w:r>
                </w:p>
              </w:tc>
              <w:tc>
                <w:tcPr>
                  <w:tcW w:w="1350" w:type="dxa"/>
                  <w:shd w:val="clear" w:color="auto" w:fill="auto"/>
                </w:tcPr>
                <w:p w14:paraId="6E70035A" w14:textId="4DD4D58B" w:rsidR="00114F14" w:rsidRPr="008D72F0" w:rsidRDefault="00114F14" w:rsidP="004A104C">
                  <w:pPr>
                    <w:jc w:val="right"/>
                    <w:rPr>
                      <w:sz w:val="20"/>
                      <w:szCs w:val="20"/>
                    </w:rPr>
                  </w:pPr>
                  <w:r>
                    <w:rPr>
                      <w:sz w:val="20"/>
                      <w:szCs w:val="20"/>
                    </w:rPr>
                    <w:t>($996,739)</w:t>
                  </w:r>
                </w:p>
              </w:tc>
              <w:tc>
                <w:tcPr>
                  <w:tcW w:w="1350" w:type="dxa"/>
                </w:tcPr>
                <w:p w14:paraId="5A3D94A5" w14:textId="66C32D1B" w:rsidR="00114F14" w:rsidRPr="008D72F0" w:rsidRDefault="00114F14" w:rsidP="004A104C">
                  <w:pPr>
                    <w:jc w:val="right"/>
                    <w:rPr>
                      <w:sz w:val="20"/>
                      <w:szCs w:val="20"/>
                    </w:rPr>
                  </w:pPr>
                  <w:r>
                    <w:rPr>
                      <w:sz w:val="20"/>
                      <w:szCs w:val="20"/>
                    </w:rPr>
                    <w:t>($999,272)</w:t>
                  </w:r>
                </w:p>
              </w:tc>
            </w:tr>
          </w:tbl>
          <w:p w14:paraId="728B6666" w14:textId="68E43DB4" w:rsidR="00114F14" w:rsidRDefault="00114F14" w:rsidP="004A104C">
            <w:pPr>
              <w:pStyle w:val="ListBullet"/>
              <w:numPr>
                <w:ilvl w:val="0"/>
                <w:numId w:val="0"/>
              </w:numPr>
              <w:ind w:left="280"/>
            </w:pPr>
          </w:p>
          <w:p w14:paraId="17201CE7" w14:textId="254C661D" w:rsidR="00114F14" w:rsidRDefault="00114F14" w:rsidP="004A104C">
            <w:pPr>
              <w:pStyle w:val="ListBullet"/>
            </w:pPr>
            <w:r>
              <w:t>Provides funding for proposed reorganization of one Education Specialist III to a Public Service Manager II and transfers General Fund All Other appropriations to fund the reorganization.</w:t>
            </w:r>
          </w:p>
          <w:p w14:paraId="7EF635CE" w14:textId="77777777" w:rsidR="00D540F9" w:rsidRDefault="00D540F9" w:rsidP="00D540F9">
            <w:pPr>
              <w:pStyle w:val="ListBullet"/>
              <w:numPr>
                <w:ilvl w:val="0"/>
                <w:numId w:val="0"/>
              </w:numPr>
              <w:ind w:left="460" w:hanging="18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68694255" w14:textId="77777777" w:rsidTr="00B83F9B">
              <w:trPr>
                <w:trHeight w:val="357"/>
              </w:trPr>
              <w:tc>
                <w:tcPr>
                  <w:tcW w:w="1980" w:type="dxa"/>
                  <w:shd w:val="clear" w:color="auto" w:fill="auto"/>
                </w:tcPr>
                <w:p w14:paraId="38A33344" w14:textId="77777777" w:rsidR="00114F14" w:rsidRPr="008D72F0" w:rsidRDefault="00114F14" w:rsidP="004A104C">
                  <w:pPr>
                    <w:jc w:val="right"/>
                    <w:rPr>
                      <w:sz w:val="20"/>
                      <w:szCs w:val="20"/>
                      <w:u w:val="single"/>
                    </w:rPr>
                  </w:pPr>
                </w:p>
              </w:tc>
              <w:tc>
                <w:tcPr>
                  <w:tcW w:w="1260" w:type="dxa"/>
                  <w:shd w:val="clear" w:color="auto" w:fill="auto"/>
                </w:tcPr>
                <w:p w14:paraId="67F287B9"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E4DC41C"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4E5CDA96" w14:textId="77777777" w:rsidTr="00B83F9B">
              <w:trPr>
                <w:trHeight w:val="357"/>
              </w:trPr>
              <w:tc>
                <w:tcPr>
                  <w:tcW w:w="1980" w:type="dxa"/>
                  <w:shd w:val="clear" w:color="auto" w:fill="auto"/>
                </w:tcPr>
                <w:p w14:paraId="2922A0C1"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307DD8D7" w14:textId="29949024" w:rsidR="00114F14" w:rsidRPr="008D72F0" w:rsidRDefault="00114F14" w:rsidP="004A104C">
                  <w:pPr>
                    <w:jc w:val="right"/>
                    <w:rPr>
                      <w:sz w:val="20"/>
                      <w:szCs w:val="20"/>
                    </w:rPr>
                  </w:pPr>
                  <w:r>
                    <w:rPr>
                      <w:sz w:val="20"/>
                      <w:szCs w:val="20"/>
                    </w:rPr>
                    <w:t>$7,950</w:t>
                  </w:r>
                </w:p>
              </w:tc>
              <w:tc>
                <w:tcPr>
                  <w:tcW w:w="1260" w:type="dxa"/>
                </w:tcPr>
                <w:p w14:paraId="66F489F1" w14:textId="5BF45D18" w:rsidR="00114F14" w:rsidRPr="008D72F0" w:rsidRDefault="00114F14" w:rsidP="004A104C">
                  <w:pPr>
                    <w:jc w:val="right"/>
                    <w:rPr>
                      <w:sz w:val="20"/>
                      <w:szCs w:val="20"/>
                    </w:rPr>
                  </w:pPr>
                  <w:r>
                    <w:rPr>
                      <w:sz w:val="20"/>
                      <w:szCs w:val="20"/>
                    </w:rPr>
                    <w:t>$8,804</w:t>
                  </w:r>
                </w:p>
              </w:tc>
            </w:tr>
            <w:tr w:rsidR="00114F14" w:rsidRPr="008D72F0" w14:paraId="7789621E" w14:textId="77777777" w:rsidTr="00B83F9B">
              <w:trPr>
                <w:trHeight w:val="357"/>
              </w:trPr>
              <w:tc>
                <w:tcPr>
                  <w:tcW w:w="1980" w:type="dxa"/>
                  <w:shd w:val="clear" w:color="auto" w:fill="auto"/>
                </w:tcPr>
                <w:p w14:paraId="5B3A85E1"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6F2EFD53" w14:textId="1020A76F" w:rsidR="00114F14" w:rsidRDefault="00114F14" w:rsidP="004A104C">
                  <w:pPr>
                    <w:jc w:val="right"/>
                    <w:rPr>
                      <w:sz w:val="20"/>
                      <w:szCs w:val="20"/>
                    </w:rPr>
                  </w:pPr>
                  <w:r>
                    <w:rPr>
                      <w:sz w:val="20"/>
                      <w:szCs w:val="20"/>
                    </w:rPr>
                    <w:t>($7,950)</w:t>
                  </w:r>
                </w:p>
              </w:tc>
              <w:tc>
                <w:tcPr>
                  <w:tcW w:w="1260" w:type="dxa"/>
                </w:tcPr>
                <w:p w14:paraId="78B94B44" w14:textId="2D6C0F00" w:rsidR="00114F14" w:rsidRDefault="00114F14" w:rsidP="004A104C">
                  <w:pPr>
                    <w:jc w:val="right"/>
                    <w:rPr>
                      <w:sz w:val="20"/>
                      <w:szCs w:val="20"/>
                    </w:rPr>
                  </w:pPr>
                  <w:r>
                    <w:rPr>
                      <w:sz w:val="20"/>
                      <w:szCs w:val="20"/>
                    </w:rPr>
                    <w:t>($8,804)</w:t>
                  </w:r>
                </w:p>
              </w:tc>
            </w:tr>
            <w:tr w:rsidR="00114F14" w:rsidRPr="008D72F0" w14:paraId="6289D13F" w14:textId="77777777" w:rsidTr="00B83F9B">
              <w:trPr>
                <w:trHeight w:val="303"/>
              </w:trPr>
              <w:tc>
                <w:tcPr>
                  <w:tcW w:w="1980" w:type="dxa"/>
                  <w:shd w:val="clear" w:color="auto" w:fill="auto"/>
                </w:tcPr>
                <w:p w14:paraId="6C8600D2"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6BDA7617"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c>
                <w:tcPr>
                  <w:tcW w:w="1260" w:type="dxa"/>
                </w:tcPr>
                <w:p w14:paraId="36F14FA9"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r>
          </w:tbl>
          <w:p w14:paraId="421A7E87" w14:textId="0D74D929" w:rsidR="00114F14" w:rsidRDefault="00114F14" w:rsidP="004A104C">
            <w:pPr>
              <w:pStyle w:val="ListBullet"/>
              <w:numPr>
                <w:ilvl w:val="0"/>
                <w:numId w:val="0"/>
              </w:numPr>
              <w:ind w:left="280"/>
            </w:pPr>
          </w:p>
          <w:p w14:paraId="56BBC4BF" w14:textId="7C77BED5" w:rsidR="00114F14" w:rsidRDefault="00114F14" w:rsidP="004A104C">
            <w:pPr>
              <w:pStyle w:val="ListBullet"/>
              <w:numPr>
                <w:ilvl w:val="0"/>
                <w:numId w:val="0"/>
              </w:numPr>
              <w:ind w:left="280"/>
            </w:pPr>
          </w:p>
          <w:p w14:paraId="18E0DD5A" w14:textId="059895CC" w:rsidR="00114F14" w:rsidRDefault="00114F14" w:rsidP="004A104C">
            <w:pPr>
              <w:pStyle w:val="ListBullet"/>
              <w:numPr>
                <w:ilvl w:val="0"/>
                <w:numId w:val="0"/>
              </w:numPr>
              <w:ind w:left="280"/>
            </w:pPr>
          </w:p>
          <w:p w14:paraId="49B76D41" w14:textId="1CE72EA8" w:rsidR="00114F14" w:rsidRDefault="00114F14" w:rsidP="004A104C">
            <w:pPr>
              <w:pStyle w:val="ListBullet"/>
              <w:numPr>
                <w:ilvl w:val="0"/>
                <w:numId w:val="0"/>
              </w:numPr>
              <w:ind w:left="280"/>
            </w:pPr>
          </w:p>
          <w:p w14:paraId="6BF5A6EA" w14:textId="4A114E93" w:rsidR="00114F14" w:rsidRDefault="00114F14" w:rsidP="004A104C">
            <w:pPr>
              <w:pStyle w:val="ListBullet"/>
              <w:numPr>
                <w:ilvl w:val="0"/>
                <w:numId w:val="0"/>
              </w:numPr>
              <w:ind w:left="280"/>
            </w:pPr>
          </w:p>
          <w:p w14:paraId="15004914" w14:textId="4700386A" w:rsidR="00114F14" w:rsidRDefault="00114F14" w:rsidP="004A104C">
            <w:pPr>
              <w:pStyle w:val="ListBullet"/>
              <w:numPr>
                <w:ilvl w:val="0"/>
                <w:numId w:val="0"/>
              </w:numPr>
              <w:ind w:left="280"/>
            </w:pPr>
          </w:p>
          <w:p w14:paraId="6E812487" w14:textId="4B424BA2" w:rsidR="00114F14" w:rsidRDefault="00114F14" w:rsidP="004A104C">
            <w:pPr>
              <w:pStyle w:val="ListBullet"/>
            </w:pPr>
            <w:r>
              <w:t>Provides funding for proposed reorganization of one Education Specialist III to an Education Program Supervisor position and transfers General Fund All Other appropriations to fund the reorganization.</w:t>
            </w: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293726F6" w14:textId="77777777" w:rsidTr="00B83F9B">
              <w:trPr>
                <w:trHeight w:val="357"/>
              </w:trPr>
              <w:tc>
                <w:tcPr>
                  <w:tcW w:w="1980" w:type="dxa"/>
                  <w:shd w:val="clear" w:color="auto" w:fill="auto"/>
                </w:tcPr>
                <w:p w14:paraId="4EEB9D56" w14:textId="77777777" w:rsidR="00114F14" w:rsidRPr="008D72F0" w:rsidRDefault="00114F14" w:rsidP="004A104C">
                  <w:pPr>
                    <w:jc w:val="right"/>
                    <w:rPr>
                      <w:sz w:val="20"/>
                      <w:szCs w:val="20"/>
                      <w:u w:val="single"/>
                    </w:rPr>
                  </w:pPr>
                </w:p>
              </w:tc>
              <w:tc>
                <w:tcPr>
                  <w:tcW w:w="1260" w:type="dxa"/>
                  <w:shd w:val="clear" w:color="auto" w:fill="auto"/>
                </w:tcPr>
                <w:p w14:paraId="3FFFCC86"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3561A2E"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3A9FFD95" w14:textId="77777777" w:rsidTr="00B83F9B">
              <w:trPr>
                <w:trHeight w:val="357"/>
              </w:trPr>
              <w:tc>
                <w:tcPr>
                  <w:tcW w:w="1980" w:type="dxa"/>
                  <w:shd w:val="clear" w:color="auto" w:fill="auto"/>
                </w:tcPr>
                <w:p w14:paraId="43DE7373"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47FFD293" w14:textId="6CA1F8B6" w:rsidR="00114F14" w:rsidRPr="008D72F0" w:rsidRDefault="00114F14" w:rsidP="004A104C">
                  <w:pPr>
                    <w:jc w:val="right"/>
                    <w:rPr>
                      <w:sz w:val="20"/>
                      <w:szCs w:val="20"/>
                    </w:rPr>
                  </w:pPr>
                  <w:r>
                    <w:rPr>
                      <w:sz w:val="20"/>
                      <w:szCs w:val="20"/>
                    </w:rPr>
                    <w:t>$8,048</w:t>
                  </w:r>
                </w:p>
              </w:tc>
              <w:tc>
                <w:tcPr>
                  <w:tcW w:w="1260" w:type="dxa"/>
                </w:tcPr>
                <w:p w14:paraId="3C3E3C67" w14:textId="3B72FDC1" w:rsidR="00114F14" w:rsidRPr="008D72F0" w:rsidRDefault="00114F14" w:rsidP="004A104C">
                  <w:pPr>
                    <w:jc w:val="right"/>
                    <w:rPr>
                      <w:sz w:val="20"/>
                      <w:szCs w:val="20"/>
                    </w:rPr>
                  </w:pPr>
                  <w:r>
                    <w:rPr>
                      <w:sz w:val="20"/>
                      <w:szCs w:val="20"/>
                    </w:rPr>
                    <w:t>$11,918</w:t>
                  </w:r>
                </w:p>
              </w:tc>
            </w:tr>
            <w:tr w:rsidR="00114F14" w:rsidRPr="008D72F0" w14:paraId="30495EFB" w14:textId="77777777" w:rsidTr="00B83F9B">
              <w:trPr>
                <w:trHeight w:val="357"/>
              </w:trPr>
              <w:tc>
                <w:tcPr>
                  <w:tcW w:w="1980" w:type="dxa"/>
                  <w:shd w:val="clear" w:color="auto" w:fill="auto"/>
                </w:tcPr>
                <w:p w14:paraId="26CFFF84"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148A423F" w14:textId="67985EC6" w:rsidR="00114F14" w:rsidRDefault="00114F14" w:rsidP="004A104C">
                  <w:pPr>
                    <w:jc w:val="right"/>
                    <w:rPr>
                      <w:sz w:val="20"/>
                      <w:szCs w:val="20"/>
                    </w:rPr>
                  </w:pPr>
                  <w:r>
                    <w:rPr>
                      <w:sz w:val="20"/>
                      <w:szCs w:val="20"/>
                    </w:rPr>
                    <w:t>($8,048)</w:t>
                  </w:r>
                </w:p>
              </w:tc>
              <w:tc>
                <w:tcPr>
                  <w:tcW w:w="1260" w:type="dxa"/>
                </w:tcPr>
                <w:p w14:paraId="171C35D1" w14:textId="5515D61B" w:rsidR="00114F14" w:rsidRDefault="00114F14" w:rsidP="004A104C">
                  <w:pPr>
                    <w:jc w:val="right"/>
                    <w:rPr>
                      <w:sz w:val="20"/>
                      <w:szCs w:val="20"/>
                    </w:rPr>
                  </w:pPr>
                  <w:r>
                    <w:rPr>
                      <w:sz w:val="20"/>
                      <w:szCs w:val="20"/>
                    </w:rPr>
                    <w:t>($11,918)</w:t>
                  </w:r>
                </w:p>
              </w:tc>
            </w:tr>
            <w:tr w:rsidR="00114F14" w:rsidRPr="008D72F0" w14:paraId="2DEE2AD2" w14:textId="77777777" w:rsidTr="00B83F9B">
              <w:trPr>
                <w:trHeight w:val="303"/>
              </w:trPr>
              <w:tc>
                <w:tcPr>
                  <w:tcW w:w="1980" w:type="dxa"/>
                  <w:shd w:val="clear" w:color="auto" w:fill="auto"/>
                </w:tcPr>
                <w:p w14:paraId="09CD84AD" w14:textId="77777777" w:rsidR="00114F14" w:rsidRPr="002C59F4" w:rsidRDefault="00114F14" w:rsidP="004A104C">
                  <w:pPr>
                    <w:rPr>
                      <w:sz w:val="16"/>
                      <w:szCs w:val="16"/>
                      <w:u w:val="single"/>
                    </w:rPr>
                  </w:pPr>
                  <w:r>
                    <w:rPr>
                      <w:sz w:val="16"/>
                      <w:szCs w:val="16"/>
                      <w:u w:val="single"/>
                    </w:rPr>
                    <w:t>General Fund Total</w:t>
                  </w:r>
                </w:p>
              </w:tc>
              <w:tc>
                <w:tcPr>
                  <w:tcW w:w="1260" w:type="dxa"/>
                  <w:shd w:val="clear" w:color="auto" w:fill="auto"/>
                </w:tcPr>
                <w:p w14:paraId="2C678AE2"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c>
                <w:tcPr>
                  <w:tcW w:w="1260" w:type="dxa"/>
                </w:tcPr>
                <w:p w14:paraId="1B47D61F"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r>
          </w:tbl>
          <w:p w14:paraId="3B874194" w14:textId="77777777" w:rsidR="00114F14" w:rsidRDefault="00114F14" w:rsidP="004A104C">
            <w:pPr>
              <w:pStyle w:val="ListBullet"/>
              <w:numPr>
                <w:ilvl w:val="0"/>
                <w:numId w:val="0"/>
              </w:numPr>
              <w:ind w:left="280"/>
            </w:pPr>
          </w:p>
          <w:p w14:paraId="4ACB25B6" w14:textId="6E72A57C" w:rsidR="00114F14" w:rsidRDefault="00114F14" w:rsidP="004A104C">
            <w:pPr>
              <w:pStyle w:val="ListBullet"/>
              <w:numPr>
                <w:ilvl w:val="0"/>
                <w:numId w:val="0"/>
              </w:numPr>
              <w:ind w:left="280"/>
            </w:pPr>
          </w:p>
          <w:p w14:paraId="3F43753E" w14:textId="19F59448" w:rsidR="00114F14" w:rsidRDefault="00114F14" w:rsidP="004A104C">
            <w:pPr>
              <w:pStyle w:val="ListBullet"/>
              <w:numPr>
                <w:ilvl w:val="0"/>
                <w:numId w:val="0"/>
              </w:numPr>
              <w:ind w:left="280"/>
            </w:pPr>
          </w:p>
          <w:p w14:paraId="7D464FF1" w14:textId="0D75BCD3" w:rsidR="00114F14" w:rsidRDefault="00114F14" w:rsidP="004A104C">
            <w:pPr>
              <w:pStyle w:val="ListBullet"/>
              <w:numPr>
                <w:ilvl w:val="0"/>
                <w:numId w:val="0"/>
              </w:numPr>
              <w:ind w:left="280"/>
            </w:pPr>
          </w:p>
          <w:p w14:paraId="78D9B042" w14:textId="524BCA5D" w:rsidR="00114F14" w:rsidRDefault="00114F14" w:rsidP="004A104C">
            <w:pPr>
              <w:pStyle w:val="ListBullet"/>
              <w:numPr>
                <w:ilvl w:val="0"/>
                <w:numId w:val="0"/>
              </w:numPr>
              <w:ind w:left="280"/>
            </w:pPr>
          </w:p>
          <w:p w14:paraId="409F2B53" w14:textId="354DEB51" w:rsidR="00114F14" w:rsidRDefault="00114F14" w:rsidP="004A104C">
            <w:pPr>
              <w:pStyle w:val="ListBullet"/>
              <w:numPr>
                <w:ilvl w:val="0"/>
                <w:numId w:val="0"/>
              </w:numPr>
              <w:ind w:left="280"/>
            </w:pPr>
          </w:p>
          <w:p w14:paraId="094945F1" w14:textId="0F6EFEED" w:rsidR="00114F14" w:rsidRDefault="00114F14" w:rsidP="004A104C">
            <w:pPr>
              <w:pStyle w:val="ListBullet"/>
            </w:pPr>
            <w:r>
              <w:t xml:space="preserve">Provides General Fund appropriations in the budget for the difference between the federal reimbursement for a reduced-price lunch and the federal reimbursement for a free lunch.  Also provides one-time General Fund appropriations in the budget in FY 20 to </w:t>
            </w:r>
            <w:bookmarkStart w:id="5" w:name="_GoBack"/>
            <w:bookmarkEnd w:id="5"/>
            <w:r>
              <w:t>modify the existing school meal software application to accommodate this change.  General Fund appropriations are $669,788 in FY 20 and of $584,483 in FY 21.</w:t>
            </w:r>
          </w:p>
          <w:p w14:paraId="1650EEDA" w14:textId="76CB7A59" w:rsidR="00114F14" w:rsidRDefault="00114F14" w:rsidP="004A104C">
            <w:pPr>
              <w:pStyle w:val="ListBullet"/>
            </w:pPr>
            <w:r>
              <w:t xml:space="preserve">Establishes one Education Specialist II position and General Fund appropriations in the budget and provides funding for related All Other costs.  Also provides funding to support the use of local produce in schools. </w:t>
            </w:r>
          </w:p>
          <w:p w14:paraId="0C9D4A42" w14:textId="09366DD8" w:rsidR="00114F14" w:rsidRDefault="00114F14" w:rsidP="004A104C">
            <w:pPr>
              <w:pStyle w:val="ListBullet"/>
              <w:numPr>
                <w:ilvl w:val="0"/>
                <w:numId w:val="0"/>
              </w:numPr>
              <w:ind w:left="280"/>
            </w:pPr>
          </w:p>
          <w:tbl>
            <w:tblPr>
              <w:tblW w:w="0" w:type="auto"/>
              <w:tblInd w:w="1320" w:type="dxa"/>
              <w:tblLook w:val="01E0" w:firstRow="1" w:lastRow="1" w:firstColumn="1" w:lastColumn="1" w:noHBand="0" w:noVBand="0"/>
            </w:tblPr>
            <w:tblGrid>
              <w:gridCol w:w="1710"/>
              <w:gridCol w:w="1350"/>
              <w:gridCol w:w="1350"/>
            </w:tblGrid>
            <w:tr w:rsidR="00114F14" w:rsidRPr="008D72F0" w14:paraId="3B398B44" w14:textId="77777777" w:rsidTr="00D540F9">
              <w:trPr>
                <w:trHeight w:val="357"/>
              </w:trPr>
              <w:tc>
                <w:tcPr>
                  <w:tcW w:w="1710" w:type="dxa"/>
                  <w:shd w:val="clear" w:color="auto" w:fill="auto"/>
                </w:tcPr>
                <w:p w14:paraId="06D4222C" w14:textId="77777777" w:rsidR="00114F14" w:rsidRPr="008D72F0" w:rsidRDefault="00114F14" w:rsidP="004A104C">
                  <w:pPr>
                    <w:jc w:val="right"/>
                    <w:rPr>
                      <w:sz w:val="20"/>
                      <w:szCs w:val="20"/>
                      <w:u w:val="single"/>
                    </w:rPr>
                  </w:pPr>
                </w:p>
              </w:tc>
              <w:tc>
                <w:tcPr>
                  <w:tcW w:w="1350" w:type="dxa"/>
                  <w:shd w:val="clear" w:color="auto" w:fill="auto"/>
                </w:tcPr>
                <w:p w14:paraId="132F95E1"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350" w:type="dxa"/>
                </w:tcPr>
                <w:p w14:paraId="23958C71" w14:textId="77777777" w:rsidR="00114F14" w:rsidRPr="008D72F0" w:rsidRDefault="00114F14" w:rsidP="004A104C">
                  <w:pPr>
                    <w:jc w:val="right"/>
                    <w:rPr>
                      <w:sz w:val="20"/>
                      <w:szCs w:val="20"/>
                      <w:u w:val="single"/>
                    </w:rPr>
                  </w:pPr>
                  <w:r>
                    <w:rPr>
                      <w:sz w:val="20"/>
                      <w:szCs w:val="20"/>
                      <w:u w:val="single"/>
                    </w:rPr>
                    <w:t>FY 21</w:t>
                  </w:r>
                </w:p>
              </w:tc>
            </w:tr>
            <w:tr w:rsidR="00114F14" w14:paraId="3F5BF0A4" w14:textId="77777777" w:rsidTr="00D540F9">
              <w:trPr>
                <w:trHeight w:val="357"/>
              </w:trPr>
              <w:tc>
                <w:tcPr>
                  <w:tcW w:w="1710" w:type="dxa"/>
                  <w:shd w:val="clear" w:color="auto" w:fill="auto"/>
                </w:tcPr>
                <w:p w14:paraId="29A07CBB" w14:textId="548439CD" w:rsidR="00114F14" w:rsidRPr="008D72F0" w:rsidRDefault="00114F14" w:rsidP="004A104C">
                  <w:pPr>
                    <w:jc w:val="right"/>
                    <w:rPr>
                      <w:sz w:val="16"/>
                      <w:szCs w:val="16"/>
                    </w:rPr>
                  </w:pPr>
                  <w:r>
                    <w:rPr>
                      <w:sz w:val="16"/>
                      <w:szCs w:val="16"/>
                    </w:rPr>
                    <w:t>General Fund</w:t>
                  </w:r>
                  <w:r w:rsidRPr="008D72F0">
                    <w:rPr>
                      <w:sz w:val="16"/>
                      <w:szCs w:val="16"/>
                    </w:rPr>
                    <w:t xml:space="preserve"> - Position Count</w:t>
                  </w:r>
                </w:p>
              </w:tc>
              <w:tc>
                <w:tcPr>
                  <w:tcW w:w="1350" w:type="dxa"/>
                  <w:shd w:val="clear" w:color="auto" w:fill="auto"/>
                  <w:vAlign w:val="center"/>
                </w:tcPr>
                <w:p w14:paraId="0CDDE149" w14:textId="72E61513" w:rsidR="00114F14" w:rsidRPr="008D72F0" w:rsidRDefault="00114F14" w:rsidP="004A104C">
                  <w:pPr>
                    <w:jc w:val="right"/>
                    <w:rPr>
                      <w:sz w:val="20"/>
                      <w:szCs w:val="20"/>
                    </w:rPr>
                  </w:pPr>
                  <w:r>
                    <w:rPr>
                      <w:sz w:val="20"/>
                      <w:szCs w:val="20"/>
                    </w:rPr>
                    <w:t>1.000</w:t>
                  </w:r>
                </w:p>
              </w:tc>
              <w:tc>
                <w:tcPr>
                  <w:tcW w:w="1350" w:type="dxa"/>
                  <w:vAlign w:val="center"/>
                </w:tcPr>
                <w:p w14:paraId="37186EB5" w14:textId="09E82748" w:rsidR="00114F14" w:rsidRDefault="00114F14" w:rsidP="004A104C">
                  <w:pPr>
                    <w:jc w:val="right"/>
                    <w:rPr>
                      <w:sz w:val="20"/>
                      <w:szCs w:val="20"/>
                    </w:rPr>
                  </w:pPr>
                  <w:r>
                    <w:rPr>
                      <w:sz w:val="20"/>
                      <w:szCs w:val="20"/>
                    </w:rPr>
                    <w:t>1.000</w:t>
                  </w:r>
                </w:p>
              </w:tc>
            </w:tr>
            <w:tr w:rsidR="00114F14" w:rsidRPr="008D72F0" w14:paraId="3394D8F5" w14:textId="77777777" w:rsidTr="00D540F9">
              <w:trPr>
                <w:trHeight w:val="357"/>
              </w:trPr>
              <w:tc>
                <w:tcPr>
                  <w:tcW w:w="1710" w:type="dxa"/>
                  <w:shd w:val="clear" w:color="auto" w:fill="auto"/>
                </w:tcPr>
                <w:p w14:paraId="452BAA14" w14:textId="77777777" w:rsidR="00114F14" w:rsidRPr="008D72F0" w:rsidRDefault="00114F14" w:rsidP="004A104C">
                  <w:pPr>
                    <w:jc w:val="right"/>
                    <w:rPr>
                      <w:sz w:val="16"/>
                      <w:szCs w:val="16"/>
                    </w:rPr>
                  </w:pPr>
                  <w:r w:rsidRPr="008D72F0">
                    <w:rPr>
                      <w:sz w:val="16"/>
                      <w:szCs w:val="16"/>
                    </w:rPr>
                    <w:t>Personal Services</w:t>
                  </w:r>
                </w:p>
              </w:tc>
              <w:tc>
                <w:tcPr>
                  <w:tcW w:w="1350" w:type="dxa"/>
                  <w:shd w:val="clear" w:color="auto" w:fill="auto"/>
                </w:tcPr>
                <w:p w14:paraId="3728ADB0" w14:textId="38785E3A" w:rsidR="00114F14" w:rsidRPr="008D72F0" w:rsidRDefault="00114F14" w:rsidP="004A104C">
                  <w:pPr>
                    <w:jc w:val="right"/>
                    <w:rPr>
                      <w:sz w:val="20"/>
                      <w:szCs w:val="20"/>
                    </w:rPr>
                  </w:pPr>
                  <w:r>
                    <w:rPr>
                      <w:sz w:val="20"/>
                      <w:szCs w:val="20"/>
                    </w:rPr>
                    <w:t>$87,848</w:t>
                  </w:r>
                </w:p>
              </w:tc>
              <w:tc>
                <w:tcPr>
                  <w:tcW w:w="1350" w:type="dxa"/>
                </w:tcPr>
                <w:p w14:paraId="2E9C0C69" w14:textId="2FF51B86" w:rsidR="00114F14" w:rsidRPr="008D72F0" w:rsidRDefault="00114F14" w:rsidP="004A104C">
                  <w:pPr>
                    <w:jc w:val="right"/>
                    <w:rPr>
                      <w:sz w:val="20"/>
                      <w:szCs w:val="20"/>
                    </w:rPr>
                  </w:pPr>
                  <w:r>
                    <w:rPr>
                      <w:sz w:val="20"/>
                      <w:szCs w:val="20"/>
                    </w:rPr>
                    <w:t>$91,863</w:t>
                  </w:r>
                </w:p>
              </w:tc>
            </w:tr>
            <w:tr w:rsidR="00114F14" w:rsidRPr="00FE76F6" w14:paraId="61F4240E" w14:textId="77777777" w:rsidTr="00D540F9">
              <w:trPr>
                <w:trHeight w:val="315"/>
              </w:trPr>
              <w:tc>
                <w:tcPr>
                  <w:tcW w:w="1710" w:type="dxa"/>
                  <w:shd w:val="clear" w:color="auto" w:fill="auto"/>
                </w:tcPr>
                <w:p w14:paraId="70540D69" w14:textId="77777777" w:rsidR="00114F14" w:rsidRPr="008D72F0" w:rsidRDefault="00114F14" w:rsidP="004A104C">
                  <w:pPr>
                    <w:jc w:val="right"/>
                    <w:rPr>
                      <w:sz w:val="16"/>
                      <w:szCs w:val="16"/>
                    </w:rPr>
                  </w:pPr>
                  <w:r>
                    <w:rPr>
                      <w:sz w:val="16"/>
                      <w:szCs w:val="16"/>
                    </w:rPr>
                    <w:t>All Other</w:t>
                  </w:r>
                </w:p>
              </w:tc>
              <w:tc>
                <w:tcPr>
                  <w:tcW w:w="1350" w:type="dxa"/>
                  <w:shd w:val="clear" w:color="auto" w:fill="auto"/>
                </w:tcPr>
                <w:p w14:paraId="63937040" w14:textId="50BBDFD9" w:rsidR="00114F14" w:rsidRPr="00FE76F6" w:rsidRDefault="00114F14" w:rsidP="004A104C">
                  <w:pPr>
                    <w:jc w:val="right"/>
                    <w:rPr>
                      <w:sz w:val="20"/>
                      <w:szCs w:val="20"/>
                      <w:u w:val="single"/>
                    </w:rPr>
                  </w:pPr>
                  <w:r w:rsidRPr="00FE76F6">
                    <w:rPr>
                      <w:sz w:val="20"/>
                      <w:szCs w:val="20"/>
                      <w:u w:val="single"/>
                    </w:rPr>
                    <w:t>$</w:t>
                  </w:r>
                  <w:r>
                    <w:rPr>
                      <w:sz w:val="20"/>
                      <w:szCs w:val="20"/>
                      <w:u w:val="single"/>
                    </w:rPr>
                    <w:t>221,383</w:t>
                  </w:r>
                </w:p>
              </w:tc>
              <w:tc>
                <w:tcPr>
                  <w:tcW w:w="1350" w:type="dxa"/>
                </w:tcPr>
                <w:p w14:paraId="2A4631E0" w14:textId="469BD5DD" w:rsidR="00114F14" w:rsidRPr="00FE76F6" w:rsidRDefault="00114F14" w:rsidP="004A104C">
                  <w:pPr>
                    <w:jc w:val="right"/>
                    <w:rPr>
                      <w:sz w:val="20"/>
                      <w:szCs w:val="20"/>
                      <w:u w:val="single"/>
                    </w:rPr>
                  </w:pPr>
                  <w:r>
                    <w:rPr>
                      <w:sz w:val="20"/>
                      <w:szCs w:val="20"/>
                      <w:u w:val="single"/>
                    </w:rPr>
                    <w:t>$328,883</w:t>
                  </w:r>
                </w:p>
              </w:tc>
            </w:tr>
            <w:tr w:rsidR="00114F14" w:rsidRPr="008D72F0" w14:paraId="2EB20657" w14:textId="77777777" w:rsidTr="00D540F9">
              <w:trPr>
                <w:trHeight w:val="303"/>
              </w:trPr>
              <w:tc>
                <w:tcPr>
                  <w:tcW w:w="1710" w:type="dxa"/>
                  <w:shd w:val="clear" w:color="auto" w:fill="auto"/>
                </w:tcPr>
                <w:p w14:paraId="6E182A70" w14:textId="7D56EDDE" w:rsidR="00114F14" w:rsidRPr="008D72F0" w:rsidRDefault="00114F14" w:rsidP="004A104C">
                  <w:pPr>
                    <w:rPr>
                      <w:sz w:val="16"/>
                      <w:szCs w:val="16"/>
                      <w:u w:val="single"/>
                    </w:rPr>
                  </w:pPr>
                  <w:r>
                    <w:rPr>
                      <w:sz w:val="16"/>
                      <w:szCs w:val="16"/>
                      <w:u w:val="single"/>
                    </w:rPr>
                    <w:t>General Fund Total</w:t>
                  </w:r>
                </w:p>
              </w:tc>
              <w:tc>
                <w:tcPr>
                  <w:tcW w:w="1350" w:type="dxa"/>
                  <w:shd w:val="clear" w:color="auto" w:fill="auto"/>
                </w:tcPr>
                <w:p w14:paraId="30210678" w14:textId="47093A14" w:rsidR="00114F14" w:rsidRPr="008D72F0" w:rsidRDefault="00114F14" w:rsidP="004A104C">
                  <w:pPr>
                    <w:jc w:val="right"/>
                    <w:rPr>
                      <w:sz w:val="20"/>
                      <w:szCs w:val="20"/>
                    </w:rPr>
                  </w:pPr>
                  <w:r>
                    <w:rPr>
                      <w:sz w:val="20"/>
                      <w:szCs w:val="20"/>
                    </w:rPr>
                    <w:t>$309,231</w:t>
                  </w:r>
                </w:p>
              </w:tc>
              <w:tc>
                <w:tcPr>
                  <w:tcW w:w="1350" w:type="dxa"/>
                </w:tcPr>
                <w:p w14:paraId="7E020620" w14:textId="6E81411D" w:rsidR="00114F14" w:rsidRPr="008D72F0" w:rsidRDefault="00114F14" w:rsidP="004A104C">
                  <w:pPr>
                    <w:jc w:val="right"/>
                    <w:rPr>
                      <w:sz w:val="20"/>
                      <w:szCs w:val="20"/>
                    </w:rPr>
                  </w:pPr>
                  <w:r>
                    <w:rPr>
                      <w:sz w:val="20"/>
                      <w:szCs w:val="20"/>
                    </w:rPr>
                    <w:t>$420,746</w:t>
                  </w:r>
                </w:p>
              </w:tc>
            </w:tr>
          </w:tbl>
          <w:p w14:paraId="1E87AB70" w14:textId="79C10DF5" w:rsidR="00114F14" w:rsidRDefault="00114F14" w:rsidP="004A104C">
            <w:pPr>
              <w:pStyle w:val="ListBullet"/>
              <w:numPr>
                <w:ilvl w:val="0"/>
                <w:numId w:val="0"/>
              </w:numPr>
              <w:ind w:left="280"/>
            </w:pPr>
          </w:p>
          <w:p w14:paraId="7E416E08" w14:textId="77777777" w:rsidR="00114F14" w:rsidRDefault="00114F14" w:rsidP="004A104C">
            <w:pPr>
              <w:pStyle w:val="ListBullet"/>
              <w:numPr>
                <w:ilvl w:val="0"/>
                <w:numId w:val="0"/>
              </w:numPr>
              <w:ind w:left="280"/>
            </w:pPr>
          </w:p>
          <w:p w14:paraId="211558B5" w14:textId="77777777" w:rsidR="00114F14" w:rsidRDefault="00114F14" w:rsidP="004A104C">
            <w:pPr>
              <w:pStyle w:val="ListBullet"/>
              <w:numPr>
                <w:ilvl w:val="0"/>
                <w:numId w:val="0"/>
              </w:numPr>
              <w:rPr>
                <w:sz w:val="22"/>
                <w:szCs w:val="22"/>
              </w:rPr>
            </w:pPr>
            <w:r>
              <w:rPr>
                <w:sz w:val="22"/>
                <w:szCs w:val="22"/>
                <w:u w:val="single"/>
              </w:rPr>
              <w:t xml:space="preserve">Special Services Team </w:t>
            </w:r>
          </w:p>
          <w:p w14:paraId="4AF8D6B1" w14:textId="77777777" w:rsidR="00114F14" w:rsidRDefault="00114F14" w:rsidP="004A104C">
            <w:pPr>
              <w:pStyle w:val="ListBullet"/>
              <w:numPr>
                <w:ilvl w:val="0"/>
                <w:numId w:val="0"/>
              </w:numPr>
              <w:ind w:left="162"/>
              <w:rPr>
                <w:sz w:val="22"/>
                <w:szCs w:val="22"/>
              </w:rPr>
            </w:pPr>
          </w:p>
          <w:p w14:paraId="47513452" w14:textId="57E8BA87" w:rsidR="00114F14" w:rsidRPr="005E49CF" w:rsidRDefault="00114F14" w:rsidP="004A104C">
            <w:pPr>
              <w:pStyle w:val="ListBullet"/>
            </w:pPr>
            <w:r w:rsidRPr="005E49CF">
              <w:t>Provides General Fund and Federal Expenditures Fund appropriations in the budget for the Special Services Team program in FY 20 and in FY 21.</w:t>
            </w:r>
          </w:p>
          <w:p w14:paraId="1150F679" w14:textId="77777777" w:rsidR="00114F14" w:rsidRDefault="00114F14" w:rsidP="004A104C">
            <w:pPr>
              <w:pStyle w:val="ListBullet"/>
              <w:numPr>
                <w:ilvl w:val="0"/>
                <w:numId w:val="0"/>
              </w:numPr>
              <w:ind w:left="460"/>
              <w:rPr>
                <w:sz w:val="22"/>
                <w:szCs w:val="22"/>
              </w:rPr>
            </w:pPr>
          </w:p>
          <w:tbl>
            <w:tblPr>
              <w:tblpPr w:leftFromText="180" w:rightFromText="180" w:vertAnchor="text" w:horzAnchor="margin" w:tblpXSpec="center" w:tblpY="129"/>
              <w:tblOverlap w:val="never"/>
              <w:tblW w:w="0" w:type="auto"/>
              <w:tblLook w:val="01E0" w:firstRow="1" w:lastRow="1" w:firstColumn="1" w:lastColumn="1" w:noHBand="0" w:noVBand="0"/>
            </w:tblPr>
            <w:tblGrid>
              <w:gridCol w:w="1980"/>
              <w:gridCol w:w="1260"/>
              <w:gridCol w:w="1260"/>
            </w:tblGrid>
            <w:tr w:rsidR="00114F14" w:rsidRPr="008D72F0" w14:paraId="4C4CA8B7" w14:textId="77777777" w:rsidTr="00B83F9B">
              <w:trPr>
                <w:trHeight w:val="357"/>
              </w:trPr>
              <w:tc>
                <w:tcPr>
                  <w:tcW w:w="1980" w:type="dxa"/>
                  <w:shd w:val="clear" w:color="auto" w:fill="auto"/>
                </w:tcPr>
                <w:p w14:paraId="6A0C3AC6" w14:textId="77777777" w:rsidR="00114F14" w:rsidRPr="008D72F0" w:rsidRDefault="00114F14" w:rsidP="004A104C">
                  <w:pPr>
                    <w:jc w:val="right"/>
                    <w:rPr>
                      <w:sz w:val="20"/>
                      <w:szCs w:val="20"/>
                      <w:u w:val="single"/>
                    </w:rPr>
                  </w:pPr>
                </w:p>
              </w:tc>
              <w:tc>
                <w:tcPr>
                  <w:tcW w:w="1260" w:type="dxa"/>
                  <w:shd w:val="clear" w:color="auto" w:fill="auto"/>
                </w:tcPr>
                <w:p w14:paraId="7237AE52" w14:textId="4BD18146"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5D276B4F" w14:textId="3E14931B" w:rsidR="00114F14" w:rsidRPr="008D72F0" w:rsidRDefault="00114F14" w:rsidP="004A104C">
                  <w:pPr>
                    <w:jc w:val="right"/>
                    <w:rPr>
                      <w:sz w:val="20"/>
                      <w:szCs w:val="20"/>
                      <w:u w:val="single"/>
                    </w:rPr>
                  </w:pPr>
                  <w:r>
                    <w:rPr>
                      <w:sz w:val="20"/>
                      <w:szCs w:val="20"/>
                      <w:u w:val="single"/>
                    </w:rPr>
                    <w:t>FY 21</w:t>
                  </w:r>
                </w:p>
              </w:tc>
            </w:tr>
            <w:tr w:rsidR="00114F14" w:rsidRPr="008D72F0" w14:paraId="11F0B059" w14:textId="77777777" w:rsidTr="00B83F9B">
              <w:trPr>
                <w:trHeight w:val="343"/>
              </w:trPr>
              <w:tc>
                <w:tcPr>
                  <w:tcW w:w="1980" w:type="dxa"/>
                  <w:shd w:val="clear" w:color="auto" w:fill="auto"/>
                </w:tcPr>
                <w:p w14:paraId="33F1475A" w14:textId="77777777" w:rsidR="00114F14" w:rsidRPr="005A5D9F" w:rsidRDefault="00114F14" w:rsidP="004A104C">
                  <w:pPr>
                    <w:jc w:val="right"/>
                    <w:rPr>
                      <w:sz w:val="16"/>
                      <w:szCs w:val="16"/>
                    </w:rPr>
                  </w:pPr>
                  <w:r w:rsidRPr="005A5D9F">
                    <w:rPr>
                      <w:sz w:val="16"/>
                      <w:szCs w:val="16"/>
                    </w:rPr>
                    <w:t xml:space="preserve">General Fund </w:t>
                  </w:r>
                </w:p>
              </w:tc>
              <w:tc>
                <w:tcPr>
                  <w:tcW w:w="1260" w:type="dxa"/>
                  <w:shd w:val="clear" w:color="auto" w:fill="auto"/>
                  <w:vAlign w:val="center"/>
                </w:tcPr>
                <w:p w14:paraId="4A4B1D7D" w14:textId="77777777" w:rsidR="00114F14" w:rsidRPr="005A5D9F" w:rsidRDefault="00114F14" w:rsidP="004A104C">
                  <w:pPr>
                    <w:jc w:val="right"/>
                    <w:rPr>
                      <w:sz w:val="20"/>
                      <w:szCs w:val="20"/>
                    </w:rPr>
                  </w:pPr>
                </w:p>
              </w:tc>
              <w:tc>
                <w:tcPr>
                  <w:tcW w:w="1260" w:type="dxa"/>
                  <w:vAlign w:val="center"/>
                </w:tcPr>
                <w:p w14:paraId="3EB71D6D" w14:textId="77777777" w:rsidR="00114F14" w:rsidRPr="005A5D9F" w:rsidRDefault="00114F14" w:rsidP="004A104C">
                  <w:pPr>
                    <w:jc w:val="right"/>
                    <w:rPr>
                      <w:sz w:val="20"/>
                      <w:szCs w:val="20"/>
                    </w:rPr>
                  </w:pPr>
                </w:p>
              </w:tc>
            </w:tr>
            <w:tr w:rsidR="00114F14" w:rsidRPr="008D72F0" w14:paraId="1A351649" w14:textId="77777777" w:rsidTr="00B83F9B">
              <w:trPr>
                <w:trHeight w:val="357"/>
              </w:trPr>
              <w:tc>
                <w:tcPr>
                  <w:tcW w:w="1980" w:type="dxa"/>
                  <w:shd w:val="clear" w:color="auto" w:fill="auto"/>
                </w:tcPr>
                <w:p w14:paraId="59AA0053" w14:textId="77777777" w:rsidR="00114F14" w:rsidRPr="005A5D9F" w:rsidRDefault="00114F14" w:rsidP="004A104C">
                  <w:pPr>
                    <w:jc w:val="right"/>
                    <w:rPr>
                      <w:sz w:val="16"/>
                      <w:szCs w:val="16"/>
                    </w:rPr>
                  </w:pPr>
                  <w:r w:rsidRPr="005A5D9F">
                    <w:rPr>
                      <w:sz w:val="16"/>
                      <w:szCs w:val="16"/>
                    </w:rPr>
                    <w:t>Personal Services</w:t>
                  </w:r>
                </w:p>
              </w:tc>
              <w:tc>
                <w:tcPr>
                  <w:tcW w:w="1260" w:type="dxa"/>
                  <w:shd w:val="clear" w:color="auto" w:fill="auto"/>
                </w:tcPr>
                <w:p w14:paraId="69DB609E" w14:textId="461CFC46" w:rsidR="00114F14" w:rsidRPr="005A5D9F" w:rsidRDefault="00114F14" w:rsidP="004A104C">
                  <w:pPr>
                    <w:jc w:val="right"/>
                    <w:rPr>
                      <w:sz w:val="20"/>
                      <w:szCs w:val="20"/>
                    </w:rPr>
                  </w:pPr>
                  <w:r>
                    <w:rPr>
                      <w:sz w:val="20"/>
                      <w:szCs w:val="20"/>
                    </w:rPr>
                    <w:t>$93,526</w:t>
                  </w:r>
                </w:p>
              </w:tc>
              <w:tc>
                <w:tcPr>
                  <w:tcW w:w="1260" w:type="dxa"/>
                </w:tcPr>
                <w:p w14:paraId="20167FE4" w14:textId="7CB6F653" w:rsidR="00114F14" w:rsidRPr="005A5D9F" w:rsidRDefault="00114F14" w:rsidP="004A104C">
                  <w:pPr>
                    <w:jc w:val="right"/>
                    <w:rPr>
                      <w:sz w:val="20"/>
                      <w:szCs w:val="20"/>
                    </w:rPr>
                  </w:pPr>
                  <w:r>
                    <w:rPr>
                      <w:sz w:val="20"/>
                      <w:szCs w:val="20"/>
                    </w:rPr>
                    <w:t>$93,857</w:t>
                  </w:r>
                </w:p>
              </w:tc>
            </w:tr>
            <w:tr w:rsidR="00114F14" w:rsidRPr="008D72F0" w14:paraId="39CC5C33" w14:textId="77777777" w:rsidTr="00B83F9B">
              <w:trPr>
                <w:trHeight w:val="315"/>
              </w:trPr>
              <w:tc>
                <w:tcPr>
                  <w:tcW w:w="1980" w:type="dxa"/>
                  <w:shd w:val="clear" w:color="auto" w:fill="auto"/>
                </w:tcPr>
                <w:p w14:paraId="01A4BACD" w14:textId="77777777" w:rsidR="00114F14" w:rsidRPr="005A5D9F" w:rsidRDefault="00114F14" w:rsidP="004A104C">
                  <w:pPr>
                    <w:jc w:val="right"/>
                    <w:rPr>
                      <w:sz w:val="16"/>
                      <w:szCs w:val="16"/>
                    </w:rPr>
                  </w:pPr>
                  <w:r w:rsidRPr="005A5D9F">
                    <w:rPr>
                      <w:sz w:val="16"/>
                      <w:szCs w:val="16"/>
                    </w:rPr>
                    <w:t>All Other</w:t>
                  </w:r>
                </w:p>
              </w:tc>
              <w:tc>
                <w:tcPr>
                  <w:tcW w:w="1260" w:type="dxa"/>
                  <w:shd w:val="clear" w:color="auto" w:fill="auto"/>
                </w:tcPr>
                <w:p w14:paraId="279EFA81" w14:textId="76D16520" w:rsidR="00114F14" w:rsidRPr="005A5D9F" w:rsidRDefault="00114F14" w:rsidP="004A104C">
                  <w:pPr>
                    <w:jc w:val="right"/>
                    <w:rPr>
                      <w:sz w:val="20"/>
                      <w:szCs w:val="20"/>
                      <w:u w:val="single"/>
                    </w:rPr>
                  </w:pPr>
                  <w:r>
                    <w:rPr>
                      <w:sz w:val="20"/>
                      <w:szCs w:val="20"/>
                      <w:u w:val="single"/>
                    </w:rPr>
                    <w:t>$151,943</w:t>
                  </w:r>
                </w:p>
              </w:tc>
              <w:tc>
                <w:tcPr>
                  <w:tcW w:w="1260" w:type="dxa"/>
                </w:tcPr>
                <w:p w14:paraId="18FCEAE7" w14:textId="5E08A6D9" w:rsidR="00114F14" w:rsidRPr="005A5D9F" w:rsidRDefault="00114F14" w:rsidP="004A104C">
                  <w:pPr>
                    <w:jc w:val="right"/>
                    <w:rPr>
                      <w:sz w:val="20"/>
                      <w:szCs w:val="20"/>
                      <w:u w:val="single"/>
                    </w:rPr>
                  </w:pPr>
                  <w:r w:rsidRPr="005A5D9F">
                    <w:rPr>
                      <w:sz w:val="20"/>
                      <w:szCs w:val="20"/>
                      <w:u w:val="single"/>
                    </w:rPr>
                    <w:t>$</w:t>
                  </w:r>
                  <w:r>
                    <w:rPr>
                      <w:sz w:val="20"/>
                      <w:szCs w:val="20"/>
                      <w:u w:val="single"/>
                    </w:rPr>
                    <w:t>151,943</w:t>
                  </w:r>
                </w:p>
              </w:tc>
            </w:tr>
            <w:tr w:rsidR="00114F14" w:rsidRPr="008D72F0" w14:paraId="70876BCE" w14:textId="77777777" w:rsidTr="00B83F9B">
              <w:trPr>
                <w:trHeight w:val="303"/>
              </w:trPr>
              <w:tc>
                <w:tcPr>
                  <w:tcW w:w="1980" w:type="dxa"/>
                  <w:shd w:val="clear" w:color="auto" w:fill="auto"/>
                </w:tcPr>
                <w:p w14:paraId="6FF9DC2A" w14:textId="77777777" w:rsidR="00114F14" w:rsidRPr="005A5D9F" w:rsidRDefault="00114F14" w:rsidP="004A104C">
                  <w:pPr>
                    <w:rPr>
                      <w:sz w:val="16"/>
                      <w:szCs w:val="16"/>
                      <w:u w:val="single"/>
                    </w:rPr>
                  </w:pPr>
                  <w:r w:rsidRPr="005A5D9F">
                    <w:rPr>
                      <w:sz w:val="16"/>
                      <w:szCs w:val="16"/>
                      <w:u w:val="single"/>
                    </w:rPr>
                    <w:t>General Fund Total</w:t>
                  </w:r>
                </w:p>
              </w:tc>
              <w:tc>
                <w:tcPr>
                  <w:tcW w:w="1260" w:type="dxa"/>
                  <w:shd w:val="clear" w:color="auto" w:fill="auto"/>
                </w:tcPr>
                <w:p w14:paraId="5F80324A" w14:textId="7F39D325" w:rsidR="00114F14" w:rsidRPr="005A5D9F" w:rsidRDefault="00114F14" w:rsidP="004A104C">
                  <w:pPr>
                    <w:jc w:val="right"/>
                    <w:rPr>
                      <w:sz w:val="20"/>
                      <w:szCs w:val="20"/>
                    </w:rPr>
                  </w:pPr>
                  <w:r w:rsidRPr="005A5D9F">
                    <w:rPr>
                      <w:sz w:val="20"/>
                      <w:szCs w:val="20"/>
                    </w:rPr>
                    <w:t>$</w:t>
                  </w:r>
                  <w:r>
                    <w:rPr>
                      <w:sz w:val="20"/>
                      <w:szCs w:val="20"/>
                    </w:rPr>
                    <w:t>245,469</w:t>
                  </w:r>
                </w:p>
              </w:tc>
              <w:tc>
                <w:tcPr>
                  <w:tcW w:w="1260" w:type="dxa"/>
                </w:tcPr>
                <w:p w14:paraId="5416249D" w14:textId="1828BC47" w:rsidR="00114F14" w:rsidRPr="005A5D9F" w:rsidRDefault="00114F14" w:rsidP="004A104C">
                  <w:pPr>
                    <w:jc w:val="right"/>
                    <w:rPr>
                      <w:sz w:val="20"/>
                      <w:szCs w:val="20"/>
                    </w:rPr>
                  </w:pPr>
                  <w:r w:rsidRPr="005A5D9F">
                    <w:rPr>
                      <w:sz w:val="20"/>
                      <w:szCs w:val="20"/>
                    </w:rPr>
                    <w:t>$</w:t>
                  </w:r>
                  <w:r>
                    <w:rPr>
                      <w:sz w:val="20"/>
                      <w:szCs w:val="20"/>
                    </w:rPr>
                    <w:t>245,800</w:t>
                  </w:r>
                </w:p>
              </w:tc>
            </w:tr>
            <w:tr w:rsidR="00114F14" w:rsidRPr="008D72F0" w14:paraId="573177D0" w14:textId="77777777" w:rsidTr="00B83F9B">
              <w:trPr>
                <w:trHeight w:val="315"/>
              </w:trPr>
              <w:tc>
                <w:tcPr>
                  <w:tcW w:w="1980" w:type="dxa"/>
                  <w:shd w:val="clear" w:color="auto" w:fill="auto"/>
                </w:tcPr>
                <w:p w14:paraId="163FB6B3" w14:textId="77777777" w:rsidR="00114F14" w:rsidRPr="005A5D9F" w:rsidRDefault="00114F14" w:rsidP="004A104C">
                  <w:pPr>
                    <w:jc w:val="right"/>
                    <w:rPr>
                      <w:sz w:val="16"/>
                      <w:szCs w:val="16"/>
                    </w:rPr>
                  </w:pPr>
                  <w:r w:rsidRPr="005A5D9F">
                    <w:rPr>
                      <w:sz w:val="16"/>
                      <w:szCs w:val="16"/>
                    </w:rPr>
                    <w:t>Federal Expenditures Fund – Position Count</w:t>
                  </w:r>
                </w:p>
              </w:tc>
              <w:tc>
                <w:tcPr>
                  <w:tcW w:w="1260" w:type="dxa"/>
                  <w:shd w:val="clear" w:color="auto" w:fill="auto"/>
                  <w:vAlign w:val="center"/>
                </w:tcPr>
                <w:p w14:paraId="2550A40E" w14:textId="47990159" w:rsidR="00114F14" w:rsidRPr="005A5D9F" w:rsidRDefault="00114F14" w:rsidP="004A104C">
                  <w:pPr>
                    <w:jc w:val="right"/>
                    <w:rPr>
                      <w:sz w:val="20"/>
                      <w:szCs w:val="20"/>
                    </w:rPr>
                  </w:pPr>
                  <w:r>
                    <w:rPr>
                      <w:sz w:val="20"/>
                      <w:szCs w:val="20"/>
                    </w:rPr>
                    <w:t>22</w:t>
                  </w:r>
                  <w:r w:rsidRPr="005A5D9F">
                    <w:rPr>
                      <w:sz w:val="20"/>
                      <w:szCs w:val="20"/>
                    </w:rPr>
                    <w:t>.000</w:t>
                  </w:r>
                </w:p>
              </w:tc>
              <w:tc>
                <w:tcPr>
                  <w:tcW w:w="1260" w:type="dxa"/>
                  <w:vAlign w:val="center"/>
                </w:tcPr>
                <w:p w14:paraId="21B27B50" w14:textId="455BA2B6" w:rsidR="00114F14" w:rsidRPr="005A5D9F" w:rsidRDefault="00114F14" w:rsidP="004A104C">
                  <w:pPr>
                    <w:jc w:val="right"/>
                    <w:rPr>
                      <w:sz w:val="20"/>
                      <w:szCs w:val="20"/>
                    </w:rPr>
                  </w:pPr>
                  <w:r>
                    <w:rPr>
                      <w:sz w:val="20"/>
                      <w:szCs w:val="20"/>
                    </w:rPr>
                    <w:t>22</w:t>
                  </w:r>
                  <w:r w:rsidRPr="005A5D9F">
                    <w:rPr>
                      <w:sz w:val="20"/>
                      <w:szCs w:val="20"/>
                    </w:rPr>
                    <w:t>.000</w:t>
                  </w:r>
                </w:p>
              </w:tc>
            </w:tr>
            <w:tr w:rsidR="00114F14" w:rsidRPr="008D72F0" w14:paraId="36E467EB" w14:textId="77777777" w:rsidTr="00B83F9B">
              <w:trPr>
                <w:trHeight w:val="315"/>
              </w:trPr>
              <w:tc>
                <w:tcPr>
                  <w:tcW w:w="1980" w:type="dxa"/>
                  <w:shd w:val="clear" w:color="auto" w:fill="auto"/>
                </w:tcPr>
                <w:p w14:paraId="1FCE58E8" w14:textId="77777777" w:rsidR="00114F14" w:rsidRPr="005A5D9F" w:rsidRDefault="00114F14" w:rsidP="004A104C">
                  <w:pPr>
                    <w:jc w:val="right"/>
                    <w:rPr>
                      <w:sz w:val="16"/>
                      <w:szCs w:val="16"/>
                    </w:rPr>
                  </w:pPr>
                  <w:r w:rsidRPr="005A5D9F">
                    <w:rPr>
                      <w:sz w:val="16"/>
                      <w:szCs w:val="16"/>
                    </w:rPr>
                    <w:t>Personal Services</w:t>
                  </w:r>
                </w:p>
              </w:tc>
              <w:tc>
                <w:tcPr>
                  <w:tcW w:w="1260" w:type="dxa"/>
                  <w:shd w:val="clear" w:color="auto" w:fill="auto"/>
                </w:tcPr>
                <w:p w14:paraId="4A3576CD" w14:textId="628A5C4C" w:rsidR="00114F14" w:rsidRPr="005A5D9F" w:rsidRDefault="00114F14" w:rsidP="004A104C">
                  <w:pPr>
                    <w:jc w:val="right"/>
                    <w:rPr>
                      <w:sz w:val="20"/>
                      <w:szCs w:val="20"/>
                    </w:rPr>
                  </w:pPr>
                  <w:r>
                    <w:rPr>
                      <w:sz w:val="20"/>
                      <w:szCs w:val="20"/>
                    </w:rPr>
                    <w:t>$2,053,153</w:t>
                  </w:r>
                </w:p>
              </w:tc>
              <w:tc>
                <w:tcPr>
                  <w:tcW w:w="1260" w:type="dxa"/>
                </w:tcPr>
                <w:p w14:paraId="001B6AFF" w14:textId="616CAC17" w:rsidR="00114F14" w:rsidRPr="005A5D9F" w:rsidRDefault="00114F14" w:rsidP="004A104C">
                  <w:pPr>
                    <w:jc w:val="right"/>
                    <w:rPr>
                      <w:sz w:val="20"/>
                      <w:szCs w:val="20"/>
                    </w:rPr>
                  </w:pPr>
                  <w:r w:rsidRPr="005A5D9F">
                    <w:rPr>
                      <w:sz w:val="20"/>
                      <w:szCs w:val="20"/>
                    </w:rPr>
                    <w:t>$</w:t>
                  </w:r>
                  <w:r>
                    <w:rPr>
                      <w:sz w:val="20"/>
                      <w:szCs w:val="20"/>
                    </w:rPr>
                    <w:t>2,074,614</w:t>
                  </w:r>
                </w:p>
              </w:tc>
            </w:tr>
            <w:tr w:rsidR="00114F14" w:rsidRPr="008D72F0" w14:paraId="64136B96" w14:textId="77777777" w:rsidTr="00B83F9B">
              <w:trPr>
                <w:trHeight w:val="315"/>
              </w:trPr>
              <w:tc>
                <w:tcPr>
                  <w:tcW w:w="1980" w:type="dxa"/>
                  <w:shd w:val="clear" w:color="auto" w:fill="auto"/>
                </w:tcPr>
                <w:p w14:paraId="73736D73" w14:textId="77777777" w:rsidR="00114F14" w:rsidRPr="005A5D9F" w:rsidRDefault="00114F14" w:rsidP="004A104C">
                  <w:pPr>
                    <w:jc w:val="right"/>
                    <w:rPr>
                      <w:sz w:val="16"/>
                      <w:szCs w:val="16"/>
                    </w:rPr>
                  </w:pPr>
                  <w:r w:rsidRPr="005A5D9F">
                    <w:rPr>
                      <w:sz w:val="16"/>
                      <w:szCs w:val="16"/>
                    </w:rPr>
                    <w:t>All Other</w:t>
                  </w:r>
                </w:p>
              </w:tc>
              <w:tc>
                <w:tcPr>
                  <w:tcW w:w="1260" w:type="dxa"/>
                  <w:shd w:val="clear" w:color="auto" w:fill="auto"/>
                </w:tcPr>
                <w:p w14:paraId="2E3ABD27" w14:textId="76A61F20" w:rsidR="00114F14" w:rsidRPr="005A5D9F" w:rsidRDefault="00114F14" w:rsidP="004A104C">
                  <w:pPr>
                    <w:jc w:val="right"/>
                    <w:rPr>
                      <w:sz w:val="20"/>
                      <w:szCs w:val="20"/>
                      <w:u w:val="single"/>
                    </w:rPr>
                  </w:pPr>
                  <w:r w:rsidRPr="005A5D9F">
                    <w:rPr>
                      <w:sz w:val="20"/>
                      <w:szCs w:val="20"/>
                      <w:u w:val="single"/>
                    </w:rPr>
                    <w:t>$</w:t>
                  </w:r>
                  <w:r>
                    <w:rPr>
                      <w:sz w:val="20"/>
                      <w:szCs w:val="20"/>
                      <w:u w:val="single"/>
                    </w:rPr>
                    <w:t>59,881,518</w:t>
                  </w:r>
                </w:p>
              </w:tc>
              <w:tc>
                <w:tcPr>
                  <w:tcW w:w="1260" w:type="dxa"/>
                </w:tcPr>
                <w:p w14:paraId="1E775C0F" w14:textId="2B87A967" w:rsidR="00114F14" w:rsidRPr="005A5D9F" w:rsidRDefault="00114F14" w:rsidP="004A104C">
                  <w:pPr>
                    <w:jc w:val="right"/>
                    <w:rPr>
                      <w:sz w:val="20"/>
                      <w:szCs w:val="20"/>
                      <w:u w:val="single"/>
                    </w:rPr>
                  </w:pPr>
                  <w:r w:rsidRPr="005A5D9F">
                    <w:rPr>
                      <w:sz w:val="20"/>
                      <w:szCs w:val="20"/>
                      <w:u w:val="single"/>
                    </w:rPr>
                    <w:t>$</w:t>
                  </w:r>
                  <w:r>
                    <w:rPr>
                      <w:sz w:val="20"/>
                      <w:szCs w:val="20"/>
                      <w:u w:val="single"/>
                    </w:rPr>
                    <w:t>59,881,518</w:t>
                  </w:r>
                </w:p>
              </w:tc>
            </w:tr>
            <w:tr w:rsidR="00114F14" w:rsidRPr="008D72F0" w14:paraId="0BA456A0" w14:textId="77777777" w:rsidTr="00B83F9B">
              <w:trPr>
                <w:trHeight w:val="315"/>
              </w:trPr>
              <w:tc>
                <w:tcPr>
                  <w:tcW w:w="1980" w:type="dxa"/>
                  <w:shd w:val="clear" w:color="auto" w:fill="auto"/>
                </w:tcPr>
                <w:p w14:paraId="581345EA" w14:textId="77777777" w:rsidR="00114F14" w:rsidRPr="005A5D9F" w:rsidRDefault="00114F14" w:rsidP="004A104C">
                  <w:pPr>
                    <w:rPr>
                      <w:sz w:val="16"/>
                      <w:szCs w:val="16"/>
                      <w:u w:val="single"/>
                    </w:rPr>
                  </w:pPr>
                  <w:r w:rsidRPr="005A5D9F">
                    <w:rPr>
                      <w:sz w:val="16"/>
                      <w:szCs w:val="16"/>
                      <w:u w:val="single"/>
                    </w:rPr>
                    <w:t>Federal Expenditures Fund Total</w:t>
                  </w:r>
                </w:p>
              </w:tc>
              <w:tc>
                <w:tcPr>
                  <w:tcW w:w="1260" w:type="dxa"/>
                  <w:shd w:val="clear" w:color="auto" w:fill="auto"/>
                </w:tcPr>
                <w:p w14:paraId="766DF57A" w14:textId="6851F787" w:rsidR="00114F14" w:rsidRPr="005A5D9F" w:rsidRDefault="00114F14" w:rsidP="004A104C">
                  <w:pPr>
                    <w:jc w:val="right"/>
                    <w:rPr>
                      <w:sz w:val="20"/>
                      <w:szCs w:val="20"/>
                    </w:rPr>
                  </w:pPr>
                  <w:r w:rsidRPr="005A5D9F">
                    <w:rPr>
                      <w:sz w:val="20"/>
                      <w:szCs w:val="20"/>
                    </w:rPr>
                    <w:t>$</w:t>
                  </w:r>
                  <w:r>
                    <w:rPr>
                      <w:sz w:val="20"/>
                      <w:szCs w:val="20"/>
                    </w:rPr>
                    <w:t>61,934,671</w:t>
                  </w:r>
                </w:p>
              </w:tc>
              <w:tc>
                <w:tcPr>
                  <w:tcW w:w="1260" w:type="dxa"/>
                </w:tcPr>
                <w:p w14:paraId="736F307E" w14:textId="0F4FF408" w:rsidR="00114F14" w:rsidRPr="005A5D9F" w:rsidRDefault="00114F14" w:rsidP="004A104C">
                  <w:pPr>
                    <w:jc w:val="right"/>
                    <w:rPr>
                      <w:sz w:val="20"/>
                      <w:szCs w:val="20"/>
                    </w:rPr>
                  </w:pPr>
                  <w:r w:rsidRPr="005A5D9F">
                    <w:rPr>
                      <w:sz w:val="20"/>
                      <w:szCs w:val="20"/>
                    </w:rPr>
                    <w:t>$</w:t>
                  </w:r>
                  <w:r>
                    <w:rPr>
                      <w:sz w:val="20"/>
                      <w:szCs w:val="20"/>
                    </w:rPr>
                    <w:t>61,956,132</w:t>
                  </w:r>
                </w:p>
              </w:tc>
            </w:tr>
          </w:tbl>
          <w:p w14:paraId="2EE314BE" w14:textId="77777777" w:rsidR="00114F14" w:rsidRDefault="00114F14" w:rsidP="004A104C">
            <w:pPr>
              <w:pStyle w:val="ListBullet"/>
              <w:numPr>
                <w:ilvl w:val="0"/>
                <w:numId w:val="0"/>
              </w:numPr>
              <w:ind w:left="280"/>
            </w:pPr>
          </w:p>
          <w:p w14:paraId="10E912E6" w14:textId="5886CCA2" w:rsidR="00114F14" w:rsidRDefault="00114F14" w:rsidP="004A104C">
            <w:pPr>
              <w:pStyle w:val="ListBullet"/>
              <w:numPr>
                <w:ilvl w:val="0"/>
                <w:numId w:val="0"/>
              </w:numPr>
              <w:ind w:left="280"/>
            </w:pPr>
          </w:p>
          <w:p w14:paraId="46653CD7" w14:textId="34DBE3B7" w:rsidR="00114F14" w:rsidRDefault="00114F14" w:rsidP="004A104C">
            <w:pPr>
              <w:pStyle w:val="ListBullet"/>
              <w:numPr>
                <w:ilvl w:val="0"/>
                <w:numId w:val="0"/>
              </w:numPr>
              <w:ind w:left="280"/>
            </w:pPr>
          </w:p>
          <w:p w14:paraId="72BBB4A0" w14:textId="260D5377" w:rsidR="00114F14" w:rsidRDefault="00114F14" w:rsidP="004A104C">
            <w:pPr>
              <w:pStyle w:val="ListBullet"/>
              <w:numPr>
                <w:ilvl w:val="0"/>
                <w:numId w:val="0"/>
              </w:numPr>
              <w:ind w:left="280"/>
            </w:pPr>
          </w:p>
          <w:p w14:paraId="6847C116" w14:textId="23C7666D" w:rsidR="00114F14" w:rsidRDefault="00114F14" w:rsidP="004A104C">
            <w:pPr>
              <w:pStyle w:val="ListBullet"/>
              <w:numPr>
                <w:ilvl w:val="0"/>
                <w:numId w:val="0"/>
              </w:numPr>
              <w:ind w:left="280"/>
            </w:pPr>
          </w:p>
          <w:p w14:paraId="33B1199F" w14:textId="2C30C12E" w:rsidR="00114F14" w:rsidRDefault="00114F14" w:rsidP="004A104C">
            <w:pPr>
              <w:pStyle w:val="ListBullet"/>
              <w:numPr>
                <w:ilvl w:val="0"/>
                <w:numId w:val="0"/>
              </w:numPr>
              <w:ind w:left="280"/>
            </w:pPr>
          </w:p>
          <w:p w14:paraId="656FC213" w14:textId="0B752DDE" w:rsidR="00114F14" w:rsidRDefault="00114F14" w:rsidP="004A104C">
            <w:pPr>
              <w:pStyle w:val="ListBullet"/>
              <w:numPr>
                <w:ilvl w:val="0"/>
                <w:numId w:val="0"/>
              </w:numPr>
              <w:ind w:left="280"/>
            </w:pPr>
          </w:p>
          <w:p w14:paraId="296D64C2" w14:textId="4F7C5FF3" w:rsidR="00114F14" w:rsidRDefault="00114F14" w:rsidP="004A104C">
            <w:pPr>
              <w:pStyle w:val="ListBullet"/>
              <w:numPr>
                <w:ilvl w:val="0"/>
                <w:numId w:val="0"/>
              </w:numPr>
              <w:ind w:left="280"/>
            </w:pPr>
          </w:p>
          <w:p w14:paraId="7179DB0B" w14:textId="6AD5392B" w:rsidR="00114F14" w:rsidRDefault="00114F14" w:rsidP="004A104C">
            <w:pPr>
              <w:pStyle w:val="ListBullet"/>
              <w:numPr>
                <w:ilvl w:val="0"/>
                <w:numId w:val="0"/>
              </w:numPr>
              <w:ind w:left="280"/>
            </w:pPr>
          </w:p>
          <w:p w14:paraId="10FF1059" w14:textId="2422E533" w:rsidR="00114F14" w:rsidRDefault="00114F14" w:rsidP="004A104C">
            <w:pPr>
              <w:pStyle w:val="ListBullet"/>
              <w:numPr>
                <w:ilvl w:val="0"/>
                <w:numId w:val="0"/>
              </w:numPr>
              <w:ind w:left="280"/>
            </w:pPr>
          </w:p>
          <w:p w14:paraId="69BF9836" w14:textId="763F42C7" w:rsidR="00114F14" w:rsidRDefault="00114F14" w:rsidP="004A104C">
            <w:pPr>
              <w:pStyle w:val="ListBullet"/>
              <w:numPr>
                <w:ilvl w:val="0"/>
                <w:numId w:val="0"/>
              </w:numPr>
              <w:ind w:left="280"/>
            </w:pPr>
          </w:p>
          <w:p w14:paraId="73F1D376" w14:textId="1F4A49C9" w:rsidR="00114F14" w:rsidRDefault="00114F14" w:rsidP="004A104C">
            <w:pPr>
              <w:pStyle w:val="ListBullet"/>
              <w:numPr>
                <w:ilvl w:val="0"/>
                <w:numId w:val="0"/>
              </w:numPr>
              <w:ind w:left="280"/>
            </w:pPr>
          </w:p>
          <w:p w14:paraId="7FFD577E" w14:textId="321EF862" w:rsidR="00114F14" w:rsidRDefault="00114F14" w:rsidP="004A104C">
            <w:pPr>
              <w:pStyle w:val="ListBullet"/>
            </w:pPr>
            <w:r>
              <w:t xml:space="preserve">Continues one Public Service Coordinator II position previously established and continued by financial orders </w:t>
            </w:r>
          </w:p>
          <w:p w14:paraId="45A74E38" w14:textId="29CBD154" w:rsidR="00114F14" w:rsidRDefault="00114F14" w:rsidP="004A104C">
            <w:pPr>
              <w:pStyle w:val="ListBullet"/>
              <w:numPr>
                <w:ilvl w:val="0"/>
                <w:numId w:val="0"/>
              </w:numPr>
              <w:ind w:left="460"/>
            </w:pPr>
            <w:r>
              <w:t>and transfers Federal Expenditures Fund appropriations from All Other to Personal Services to fund the position.</w:t>
            </w:r>
          </w:p>
          <w:p w14:paraId="201802BE" w14:textId="542DE8D2" w:rsidR="00114F14" w:rsidRDefault="00114F14" w:rsidP="004A104C">
            <w:pPr>
              <w:pStyle w:val="ListBullet"/>
              <w:numPr>
                <w:ilvl w:val="0"/>
                <w:numId w:val="0"/>
              </w:numPr>
              <w:ind w:left="280"/>
            </w:pPr>
          </w:p>
          <w:tbl>
            <w:tblPr>
              <w:tblpPr w:leftFromText="180" w:rightFromText="180" w:vertAnchor="text" w:horzAnchor="margin" w:tblpXSpec="center" w:tblpY="128"/>
              <w:tblOverlap w:val="never"/>
              <w:tblW w:w="0" w:type="auto"/>
              <w:tblLook w:val="01E0" w:firstRow="1" w:lastRow="1" w:firstColumn="1" w:lastColumn="1" w:noHBand="0" w:noVBand="0"/>
            </w:tblPr>
            <w:tblGrid>
              <w:gridCol w:w="1980"/>
              <w:gridCol w:w="1260"/>
              <w:gridCol w:w="1260"/>
            </w:tblGrid>
            <w:tr w:rsidR="00114F14" w:rsidRPr="008D72F0" w14:paraId="695C05C8" w14:textId="77777777" w:rsidTr="00B83F9B">
              <w:trPr>
                <w:trHeight w:val="357"/>
              </w:trPr>
              <w:tc>
                <w:tcPr>
                  <w:tcW w:w="1980" w:type="dxa"/>
                  <w:shd w:val="clear" w:color="auto" w:fill="auto"/>
                </w:tcPr>
                <w:p w14:paraId="11A16D19" w14:textId="77777777" w:rsidR="00114F14" w:rsidRPr="008D72F0" w:rsidRDefault="00114F14" w:rsidP="004A104C">
                  <w:pPr>
                    <w:jc w:val="right"/>
                    <w:rPr>
                      <w:sz w:val="20"/>
                      <w:szCs w:val="20"/>
                      <w:u w:val="single"/>
                    </w:rPr>
                  </w:pPr>
                </w:p>
              </w:tc>
              <w:tc>
                <w:tcPr>
                  <w:tcW w:w="1260" w:type="dxa"/>
                  <w:shd w:val="clear" w:color="auto" w:fill="auto"/>
                </w:tcPr>
                <w:p w14:paraId="78E31E5D"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3C10BE29" w14:textId="77777777" w:rsidR="00114F14" w:rsidRPr="008D72F0" w:rsidRDefault="00114F14" w:rsidP="004A104C">
                  <w:pPr>
                    <w:jc w:val="right"/>
                    <w:rPr>
                      <w:sz w:val="20"/>
                      <w:szCs w:val="20"/>
                      <w:u w:val="single"/>
                    </w:rPr>
                  </w:pPr>
                  <w:r>
                    <w:rPr>
                      <w:sz w:val="20"/>
                      <w:szCs w:val="20"/>
                      <w:u w:val="single"/>
                    </w:rPr>
                    <w:t>FY 21</w:t>
                  </w:r>
                </w:p>
              </w:tc>
            </w:tr>
            <w:tr w:rsidR="00114F14" w:rsidRPr="008D72F0" w14:paraId="1CA7975A" w14:textId="77777777" w:rsidTr="00B83F9B">
              <w:trPr>
                <w:trHeight w:val="357"/>
              </w:trPr>
              <w:tc>
                <w:tcPr>
                  <w:tcW w:w="1980" w:type="dxa"/>
                  <w:shd w:val="clear" w:color="auto" w:fill="auto"/>
                </w:tcPr>
                <w:p w14:paraId="0A56B029"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3AB0DAF4" w14:textId="5EDD9D77" w:rsidR="00114F14" w:rsidRPr="008D72F0" w:rsidRDefault="00114F14" w:rsidP="004A104C">
                  <w:pPr>
                    <w:jc w:val="right"/>
                    <w:rPr>
                      <w:sz w:val="20"/>
                      <w:szCs w:val="20"/>
                    </w:rPr>
                  </w:pPr>
                  <w:r>
                    <w:rPr>
                      <w:sz w:val="20"/>
                      <w:szCs w:val="20"/>
                    </w:rPr>
                    <w:t>$31,447</w:t>
                  </w:r>
                </w:p>
              </w:tc>
              <w:tc>
                <w:tcPr>
                  <w:tcW w:w="1260" w:type="dxa"/>
                </w:tcPr>
                <w:p w14:paraId="2DCC961D" w14:textId="7DEF4F61" w:rsidR="00114F14" w:rsidRPr="008D72F0" w:rsidRDefault="00114F14" w:rsidP="004A104C">
                  <w:pPr>
                    <w:jc w:val="right"/>
                    <w:rPr>
                      <w:sz w:val="20"/>
                      <w:szCs w:val="20"/>
                    </w:rPr>
                  </w:pPr>
                  <w:r>
                    <w:rPr>
                      <w:sz w:val="20"/>
                      <w:szCs w:val="20"/>
                    </w:rPr>
                    <w:t>$31,677</w:t>
                  </w:r>
                </w:p>
              </w:tc>
            </w:tr>
            <w:tr w:rsidR="00114F14" w:rsidRPr="008D72F0" w14:paraId="1358EFD5" w14:textId="77777777" w:rsidTr="00B83F9B">
              <w:trPr>
                <w:trHeight w:val="357"/>
              </w:trPr>
              <w:tc>
                <w:tcPr>
                  <w:tcW w:w="1980" w:type="dxa"/>
                  <w:shd w:val="clear" w:color="auto" w:fill="auto"/>
                </w:tcPr>
                <w:p w14:paraId="64660FBD"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3A76C0C5" w14:textId="0A329813" w:rsidR="00114F14" w:rsidRDefault="00114F14" w:rsidP="004A104C">
                  <w:pPr>
                    <w:jc w:val="right"/>
                    <w:rPr>
                      <w:sz w:val="20"/>
                      <w:szCs w:val="20"/>
                    </w:rPr>
                  </w:pPr>
                  <w:r>
                    <w:rPr>
                      <w:sz w:val="20"/>
                      <w:szCs w:val="20"/>
                    </w:rPr>
                    <w:t>($31,447)</w:t>
                  </w:r>
                </w:p>
              </w:tc>
              <w:tc>
                <w:tcPr>
                  <w:tcW w:w="1260" w:type="dxa"/>
                </w:tcPr>
                <w:p w14:paraId="78CE09BF" w14:textId="7E795259" w:rsidR="00114F14" w:rsidRDefault="00114F14" w:rsidP="004A104C">
                  <w:pPr>
                    <w:jc w:val="right"/>
                    <w:rPr>
                      <w:sz w:val="20"/>
                      <w:szCs w:val="20"/>
                    </w:rPr>
                  </w:pPr>
                  <w:r>
                    <w:rPr>
                      <w:sz w:val="20"/>
                      <w:szCs w:val="20"/>
                    </w:rPr>
                    <w:t>($31,677)</w:t>
                  </w:r>
                </w:p>
              </w:tc>
            </w:tr>
            <w:tr w:rsidR="00114F14" w:rsidRPr="008D72F0" w14:paraId="1BCA3088" w14:textId="77777777" w:rsidTr="00B83F9B">
              <w:trPr>
                <w:trHeight w:val="303"/>
              </w:trPr>
              <w:tc>
                <w:tcPr>
                  <w:tcW w:w="1980" w:type="dxa"/>
                  <w:shd w:val="clear" w:color="auto" w:fill="auto"/>
                </w:tcPr>
                <w:p w14:paraId="55F57334" w14:textId="3B9C72B1" w:rsidR="00114F14" w:rsidRPr="002C59F4" w:rsidRDefault="00114F14" w:rsidP="004A104C">
                  <w:pPr>
                    <w:rPr>
                      <w:sz w:val="16"/>
                      <w:szCs w:val="16"/>
                      <w:u w:val="single"/>
                    </w:rPr>
                  </w:pPr>
                  <w:r>
                    <w:rPr>
                      <w:sz w:val="16"/>
                      <w:szCs w:val="16"/>
                      <w:u w:val="single"/>
                    </w:rPr>
                    <w:t>Federal Expenditures Fund Total</w:t>
                  </w:r>
                </w:p>
              </w:tc>
              <w:tc>
                <w:tcPr>
                  <w:tcW w:w="1260" w:type="dxa"/>
                  <w:shd w:val="clear" w:color="auto" w:fill="auto"/>
                </w:tcPr>
                <w:p w14:paraId="44516DE7"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c>
                <w:tcPr>
                  <w:tcW w:w="1260" w:type="dxa"/>
                </w:tcPr>
                <w:p w14:paraId="02F212DC" w14:textId="77777777" w:rsidR="00114F14" w:rsidRPr="002C59F4" w:rsidRDefault="00114F14" w:rsidP="004A104C">
                  <w:pPr>
                    <w:jc w:val="right"/>
                    <w:rPr>
                      <w:sz w:val="20"/>
                      <w:szCs w:val="20"/>
                      <w:u w:val="single"/>
                    </w:rPr>
                  </w:pPr>
                  <w:r w:rsidRPr="002C59F4">
                    <w:rPr>
                      <w:sz w:val="20"/>
                      <w:szCs w:val="20"/>
                      <w:u w:val="single"/>
                    </w:rPr>
                    <w:t>$</w:t>
                  </w:r>
                  <w:r>
                    <w:rPr>
                      <w:sz w:val="20"/>
                      <w:szCs w:val="20"/>
                      <w:u w:val="single"/>
                    </w:rPr>
                    <w:t>-0-</w:t>
                  </w:r>
                </w:p>
              </w:tc>
            </w:tr>
          </w:tbl>
          <w:p w14:paraId="0049AA2B" w14:textId="2511D9FD" w:rsidR="00114F14" w:rsidRDefault="00114F14" w:rsidP="004A104C">
            <w:pPr>
              <w:pStyle w:val="ListBullet"/>
              <w:numPr>
                <w:ilvl w:val="0"/>
                <w:numId w:val="0"/>
              </w:numPr>
              <w:ind w:left="280"/>
            </w:pPr>
          </w:p>
          <w:p w14:paraId="38E47263" w14:textId="2F052006" w:rsidR="00114F14" w:rsidRDefault="00114F14" w:rsidP="004A104C">
            <w:pPr>
              <w:pStyle w:val="ListBullet"/>
              <w:numPr>
                <w:ilvl w:val="0"/>
                <w:numId w:val="0"/>
              </w:numPr>
              <w:ind w:left="280"/>
            </w:pPr>
          </w:p>
          <w:p w14:paraId="72AA5AC5" w14:textId="0C693A8B" w:rsidR="00114F14" w:rsidRDefault="00114F14" w:rsidP="004A104C">
            <w:pPr>
              <w:pStyle w:val="ListBullet"/>
              <w:numPr>
                <w:ilvl w:val="0"/>
                <w:numId w:val="0"/>
              </w:numPr>
              <w:ind w:left="280"/>
            </w:pPr>
          </w:p>
          <w:p w14:paraId="3BF7AD74" w14:textId="27C61582" w:rsidR="00114F14" w:rsidRDefault="00114F14" w:rsidP="004A104C">
            <w:pPr>
              <w:pStyle w:val="ListBullet"/>
              <w:numPr>
                <w:ilvl w:val="0"/>
                <w:numId w:val="0"/>
              </w:numPr>
              <w:ind w:left="280"/>
            </w:pPr>
          </w:p>
          <w:p w14:paraId="7533D1F2" w14:textId="600A3A2E" w:rsidR="00114F14" w:rsidRDefault="00114F14" w:rsidP="004A104C">
            <w:pPr>
              <w:pStyle w:val="ListBullet"/>
              <w:numPr>
                <w:ilvl w:val="0"/>
                <w:numId w:val="0"/>
              </w:numPr>
              <w:ind w:left="280"/>
            </w:pPr>
          </w:p>
          <w:p w14:paraId="0366EDED" w14:textId="1EC25033" w:rsidR="00114F14" w:rsidRDefault="00114F14" w:rsidP="004A104C">
            <w:pPr>
              <w:pStyle w:val="ListBullet"/>
              <w:numPr>
                <w:ilvl w:val="0"/>
                <w:numId w:val="0"/>
              </w:numPr>
              <w:ind w:left="280"/>
            </w:pPr>
          </w:p>
          <w:p w14:paraId="1F8B89B9" w14:textId="472F45D7" w:rsidR="00114F14" w:rsidRDefault="00114F14" w:rsidP="004A104C">
            <w:pPr>
              <w:pStyle w:val="ListBullet"/>
              <w:numPr>
                <w:ilvl w:val="0"/>
                <w:numId w:val="0"/>
              </w:numPr>
              <w:ind w:left="280"/>
            </w:pPr>
          </w:p>
          <w:p w14:paraId="25067B67" w14:textId="6095BC25" w:rsidR="00114F14" w:rsidRDefault="00114F14" w:rsidP="004A104C">
            <w:pPr>
              <w:pStyle w:val="ListBullet"/>
            </w:pPr>
            <w:r>
              <w:t>Transfers one Office Associate II position from 100% Special Services Team program Federal Expenditures Fund to 100% Higher Education and Educator Support Services program General Fund.  Reorganizes one Regional Education Representative to an Education Specialist III position.  Reallocates one Data &amp; Research Coordinator position from 50% School Finance and Operation program General Fund and 50% Special Services Team program Federal Expenditures Fund to 100% Special Services Team Federal Expenditures Fund.  Also reorganizes one Education Specialist III to a Public Service Manager II position of Federal Expenditures Fund appropriations of ($9,921) in FY 20 and of ($9,928) in FY 21.</w:t>
            </w:r>
          </w:p>
          <w:p w14:paraId="107F7981" w14:textId="5806FFF7" w:rsidR="00114F14" w:rsidRDefault="00114F14" w:rsidP="004A104C">
            <w:pPr>
              <w:pStyle w:val="ListBullet"/>
            </w:pPr>
            <w:r>
              <w:t>Continues one Public Service Executive II position previously established and continued by financial orders</w:t>
            </w:r>
          </w:p>
          <w:p w14:paraId="6D02C4DF" w14:textId="77777777" w:rsidR="00114F14" w:rsidRDefault="00114F14" w:rsidP="004A104C">
            <w:pPr>
              <w:pStyle w:val="ListBullet"/>
              <w:numPr>
                <w:ilvl w:val="0"/>
                <w:numId w:val="0"/>
              </w:numPr>
              <w:ind w:left="460"/>
            </w:pPr>
            <w:r>
              <w:t>and transfers Federal Expenditures Fund appropriations from All Other to Personal Services to fund the position.</w:t>
            </w:r>
          </w:p>
          <w:p w14:paraId="0FAAF505" w14:textId="2C868048" w:rsidR="00114F14" w:rsidRDefault="00114F14" w:rsidP="004A104C">
            <w:pPr>
              <w:pStyle w:val="ListBullet"/>
              <w:numPr>
                <w:ilvl w:val="0"/>
                <w:numId w:val="0"/>
              </w:numPr>
              <w:ind w:left="280"/>
            </w:pPr>
          </w:p>
          <w:tbl>
            <w:tblPr>
              <w:tblW w:w="0" w:type="auto"/>
              <w:tblInd w:w="1320" w:type="dxa"/>
              <w:tblLook w:val="01E0" w:firstRow="1" w:lastRow="1" w:firstColumn="1" w:lastColumn="1" w:noHBand="0" w:noVBand="0"/>
            </w:tblPr>
            <w:tblGrid>
              <w:gridCol w:w="1710"/>
              <w:gridCol w:w="1350"/>
              <w:gridCol w:w="1350"/>
            </w:tblGrid>
            <w:tr w:rsidR="00114F14" w:rsidRPr="008D72F0" w14:paraId="3D120F5D" w14:textId="77777777" w:rsidTr="00D540F9">
              <w:trPr>
                <w:trHeight w:val="357"/>
              </w:trPr>
              <w:tc>
                <w:tcPr>
                  <w:tcW w:w="1710" w:type="dxa"/>
                  <w:shd w:val="clear" w:color="auto" w:fill="auto"/>
                </w:tcPr>
                <w:p w14:paraId="23A0A90B" w14:textId="77777777" w:rsidR="00114F14" w:rsidRPr="008D72F0" w:rsidRDefault="00114F14" w:rsidP="004A104C">
                  <w:pPr>
                    <w:jc w:val="right"/>
                    <w:rPr>
                      <w:sz w:val="20"/>
                      <w:szCs w:val="20"/>
                      <w:u w:val="single"/>
                    </w:rPr>
                  </w:pPr>
                </w:p>
              </w:tc>
              <w:tc>
                <w:tcPr>
                  <w:tcW w:w="1350" w:type="dxa"/>
                  <w:shd w:val="clear" w:color="auto" w:fill="auto"/>
                </w:tcPr>
                <w:p w14:paraId="6581DC4B" w14:textId="77777777"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350" w:type="dxa"/>
                </w:tcPr>
                <w:p w14:paraId="41ED0628" w14:textId="77777777" w:rsidR="00114F14" w:rsidRPr="008D72F0" w:rsidRDefault="00114F14" w:rsidP="004A104C">
                  <w:pPr>
                    <w:jc w:val="right"/>
                    <w:rPr>
                      <w:sz w:val="20"/>
                      <w:szCs w:val="20"/>
                      <w:u w:val="single"/>
                    </w:rPr>
                  </w:pPr>
                  <w:r>
                    <w:rPr>
                      <w:sz w:val="20"/>
                      <w:szCs w:val="20"/>
                      <w:u w:val="single"/>
                    </w:rPr>
                    <w:t>FY 21</w:t>
                  </w:r>
                </w:p>
              </w:tc>
            </w:tr>
            <w:tr w:rsidR="00114F14" w14:paraId="3B638F68" w14:textId="77777777" w:rsidTr="00D540F9">
              <w:trPr>
                <w:trHeight w:val="357"/>
              </w:trPr>
              <w:tc>
                <w:tcPr>
                  <w:tcW w:w="1710" w:type="dxa"/>
                  <w:shd w:val="clear" w:color="auto" w:fill="auto"/>
                </w:tcPr>
                <w:p w14:paraId="78E42CA9" w14:textId="5CF7DA5E" w:rsidR="00114F14" w:rsidRPr="008D72F0" w:rsidRDefault="00114F14" w:rsidP="004A104C">
                  <w:pPr>
                    <w:jc w:val="right"/>
                    <w:rPr>
                      <w:sz w:val="16"/>
                      <w:szCs w:val="16"/>
                    </w:rPr>
                  </w:pPr>
                  <w:r>
                    <w:rPr>
                      <w:sz w:val="16"/>
                      <w:szCs w:val="16"/>
                    </w:rPr>
                    <w:t>Federal Expenditures Fund</w:t>
                  </w:r>
                  <w:r w:rsidRPr="008D72F0">
                    <w:rPr>
                      <w:sz w:val="16"/>
                      <w:szCs w:val="16"/>
                    </w:rPr>
                    <w:t xml:space="preserve"> - Position Count</w:t>
                  </w:r>
                </w:p>
              </w:tc>
              <w:tc>
                <w:tcPr>
                  <w:tcW w:w="1350" w:type="dxa"/>
                  <w:shd w:val="clear" w:color="auto" w:fill="auto"/>
                  <w:vAlign w:val="center"/>
                </w:tcPr>
                <w:p w14:paraId="64925357" w14:textId="77777777" w:rsidR="00114F14" w:rsidRPr="008D72F0" w:rsidRDefault="00114F14" w:rsidP="004A104C">
                  <w:pPr>
                    <w:jc w:val="right"/>
                    <w:rPr>
                      <w:sz w:val="20"/>
                      <w:szCs w:val="20"/>
                    </w:rPr>
                  </w:pPr>
                  <w:r>
                    <w:rPr>
                      <w:sz w:val="20"/>
                      <w:szCs w:val="20"/>
                    </w:rPr>
                    <w:t>1.000</w:t>
                  </w:r>
                </w:p>
              </w:tc>
              <w:tc>
                <w:tcPr>
                  <w:tcW w:w="1350" w:type="dxa"/>
                  <w:vAlign w:val="center"/>
                </w:tcPr>
                <w:p w14:paraId="5C942BDC" w14:textId="77777777" w:rsidR="00114F14" w:rsidRDefault="00114F14" w:rsidP="004A104C">
                  <w:pPr>
                    <w:jc w:val="right"/>
                    <w:rPr>
                      <w:sz w:val="20"/>
                      <w:szCs w:val="20"/>
                    </w:rPr>
                  </w:pPr>
                  <w:r>
                    <w:rPr>
                      <w:sz w:val="20"/>
                      <w:szCs w:val="20"/>
                    </w:rPr>
                    <w:t>1.000</w:t>
                  </w:r>
                </w:p>
              </w:tc>
            </w:tr>
            <w:tr w:rsidR="00114F14" w:rsidRPr="008D72F0" w14:paraId="77BFA88E" w14:textId="77777777" w:rsidTr="00D540F9">
              <w:trPr>
                <w:trHeight w:val="357"/>
              </w:trPr>
              <w:tc>
                <w:tcPr>
                  <w:tcW w:w="1710" w:type="dxa"/>
                  <w:shd w:val="clear" w:color="auto" w:fill="auto"/>
                </w:tcPr>
                <w:p w14:paraId="7581659D" w14:textId="77777777" w:rsidR="00114F14" w:rsidRPr="008D72F0" w:rsidRDefault="00114F14" w:rsidP="004A104C">
                  <w:pPr>
                    <w:jc w:val="right"/>
                    <w:rPr>
                      <w:sz w:val="16"/>
                      <w:szCs w:val="16"/>
                    </w:rPr>
                  </w:pPr>
                  <w:r w:rsidRPr="008D72F0">
                    <w:rPr>
                      <w:sz w:val="16"/>
                      <w:szCs w:val="16"/>
                    </w:rPr>
                    <w:t>Personal Services</w:t>
                  </w:r>
                </w:p>
              </w:tc>
              <w:tc>
                <w:tcPr>
                  <w:tcW w:w="1350" w:type="dxa"/>
                  <w:shd w:val="clear" w:color="auto" w:fill="auto"/>
                </w:tcPr>
                <w:p w14:paraId="00243A44" w14:textId="37B2AF32" w:rsidR="00114F14" w:rsidRPr="008D72F0" w:rsidRDefault="00114F14" w:rsidP="004A104C">
                  <w:pPr>
                    <w:jc w:val="right"/>
                    <w:rPr>
                      <w:sz w:val="20"/>
                      <w:szCs w:val="20"/>
                    </w:rPr>
                  </w:pPr>
                  <w:r>
                    <w:rPr>
                      <w:sz w:val="20"/>
                      <w:szCs w:val="20"/>
                    </w:rPr>
                    <w:t>$145,433</w:t>
                  </w:r>
                </w:p>
              </w:tc>
              <w:tc>
                <w:tcPr>
                  <w:tcW w:w="1350" w:type="dxa"/>
                </w:tcPr>
                <w:p w14:paraId="08DBEA7E" w14:textId="12D2DB16" w:rsidR="00114F14" w:rsidRPr="008D72F0" w:rsidRDefault="00114F14" w:rsidP="004A104C">
                  <w:pPr>
                    <w:jc w:val="right"/>
                    <w:rPr>
                      <w:sz w:val="20"/>
                      <w:szCs w:val="20"/>
                    </w:rPr>
                  </w:pPr>
                  <w:r>
                    <w:rPr>
                      <w:sz w:val="20"/>
                      <w:szCs w:val="20"/>
                    </w:rPr>
                    <w:t>$151,255</w:t>
                  </w:r>
                </w:p>
              </w:tc>
            </w:tr>
            <w:tr w:rsidR="00114F14" w:rsidRPr="00FE76F6" w14:paraId="6A7A7F45" w14:textId="77777777" w:rsidTr="00D540F9">
              <w:trPr>
                <w:trHeight w:val="315"/>
              </w:trPr>
              <w:tc>
                <w:tcPr>
                  <w:tcW w:w="1710" w:type="dxa"/>
                  <w:shd w:val="clear" w:color="auto" w:fill="auto"/>
                </w:tcPr>
                <w:p w14:paraId="0EB2546E" w14:textId="77777777" w:rsidR="00114F14" w:rsidRPr="008D72F0" w:rsidRDefault="00114F14" w:rsidP="004A104C">
                  <w:pPr>
                    <w:jc w:val="right"/>
                    <w:rPr>
                      <w:sz w:val="16"/>
                      <w:szCs w:val="16"/>
                    </w:rPr>
                  </w:pPr>
                  <w:r>
                    <w:rPr>
                      <w:sz w:val="16"/>
                      <w:szCs w:val="16"/>
                    </w:rPr>
                    <w:t>All Other</w:t>
                  </w:r>
                </w:p>
              </w:tc>
              <w:tc>
                <w:tcPr>
                  <w:tcW w:w="1350" w:type="dxa"/>
                  <w:shd w:val="clear" w:color="auto" w:fill="auto"/>
                </w:tcPr>
                <w:p w14:paraId="6A5DA619" w14:textId="4B5E31BB" w:rsidR="00114F14" w:rsidRPr="00FE76F6" w:rsidRDefault="00114F14" w:rsidP="004A104C">
                  <w:pPr>
                    <w:jc w:val="right"/>
                    <w:rPr>
                      <w:sz w:val="20"/>
                      <w:szCs w:val="20"/>
                      <w:u w:val="single"/>
                    </w:rPr>
                  </w:pPr>
                  <w:r>
                    <w:rPr>
                      <w:sz w:val="20"/>
                      <w:szCs w:val="20"/>
                      <w:u w:val="single"/>
                    </w:rPr>
                    <w:t>(</w:t>
                  </w:r>
                  <w:r w:rsidRPr="00FE76F6">
                    <w:rPr>
                      <w:sz w:val="20"/>
                      <w:szCs w:val="20"/>
                      <w:u w:val="single"/>
                    </w:rPr>
                    <w:t>$</w:t>
                  </w:r>
                  <w:r>
                    <w:rPr>
                      <w:sz w:val="20"/>
                      <w:szCs w:val="20"/>
                      <w:u w:val="single"/>
                    </w:rPr>
                    <w:t>145,433)</w:t>
                  </w:r>
                </w:p>
              </w:tc>
              <w:tc>
                <w:tcPr>
                  <w:tcW w:w="1350" w:type="dxa"/>
                </w:tcPr>
                <w:p w14:paraId="25B9F862" w14:textId="652D4796" w:rsidR="00114F14" w:rsidRPr="00FE76F6" w:rsidRDefault="00114F14" w:rsidP="004A104C">
                  <w:pPr>
                    <w:jc w:val="right"/>
                    <w:rPr>
                      <w:sz w:val="20"/>
                      <w:szCs w:val="20"/>
                      <w:u w:val="single"/>
                    </w:rPr>
                  </w:pPr>
                  <w:r>
                    <w:rPr>
                      <w:sz w:val="20"/>
                      <w:szCs w:val="20"/>
                      <w:u w:val="single"/>
                    </w:rPr>
                    <w:t>($151,255)</w:t>
                  </w:r>
                </w:p>
              </w:tc>
            </w:tr>
            <w:tr w:rsidR="00114F14" w:rsidRPr="008D72F0" w14:paraId="1589D290" w14:textId="77777777" w:rsidTr="00D540F9">
              <w:trPr>
                <w:trHeight w:val="303"/>
              </w:trPr>
              <w:tc>
                <w:tcPr>
                  <w:tcW w:w="1710" w:type="dxa"/>
                  <w:shd w:val="clear" w:color="auto" w:fill="auto"/>
                </w:tcPr>
                <w:p w14:paraId="787178B1" w14:textId="77777777" w:rsidR="00114F14" w:rsidRPr="008D72F0" w:rsidRDefault="00114F14" w:rsidP="004A104C">
                  <w:pPr>
                    <w:rPr>
                      <w:sz w:val="16"/>
                      <w:szCs w:val="16"/>
                      <w:u w:val="single"/>
                    </w:rPr>
                  </w:pPr>
                  <w:r>
                    <w:rPr>
                      <w:sz w:val="16"/>
                      <w:szCs w:val="16"/>
                      <w:u w:val="single"/>
                    </w:rPr>
                    <w:t>General Fund Total</w:t>
                  </w:r>
                </w:p>
              </w:tc>
              <w:tc>
                <w:tcPr>
                  <w:tcW w:w="1350" w:type="dxa"/>
                  <w:shd w:val="clear" w:color="auto" w:fill="auto"/>
                </w:tcPr>
                <w:p w14:paraId="34301D75" w14:textId="2921259F" w:rsidR="00114F14" w:rsidRPr="008D72F0" w:rsidRDefault="00114F14" w:rsidP="004A104C">
                  <w:pPr>
                    <w:jc w:val="right"/>
                    <w:rPr>
                      <w:sz w:val="20"/>
                      <w:szCs w:val="20"/>
                    </w:rPr>
                  </w:pPr>
                  <w:r>
                    <w:rPr>
                      <w:sz w:val="20"/>
                      <w:szCs w:val="20"/>
                    </w:rPr>
                    <w:t>$-0-</w:t>
                  </w:r>
                </w:p>
              </w:tc>
              <w:tc>
                <w:tcPr>
                  <w:tcW w:w="1350" w:type="dxa"/>
                </w:tcPr>
                <w:p w14:paraId="34E6CE6C" w14:textId="00BAA399" w:rsidR="00114F14" w:rsidRPr="008D72F0" w:rsidRDefault="00114F14" w:rsidP="004A104C">
                  <w:pPr>
                    <w:jc w:val="right"/>
                    <w:rPr>
                      <w:sz w:val="20"/>
                      <w:szCs w:val="20"/>
                    </w:rPr>
                  </w:pPr>
                  <w:r>
                    <w:rPr>
                      <w:sz w:val="20"/>
                      <w:szCs w:val="20"/>
                    </w:rPr>
                    <w:t>$-0-</w:t>
                  </w:r>
                </w:p>
              </w:tc>
            </w:tr>
          </w:tbl>
          <w:p w14:paraId="29208378" w14:textId="2F2716D4" w:rsidR="00114F14" w:rsidRDefault="00114F14" w:rsidP="004A104C">
            <w:pPr>
              <w:pStyle w:val="ListBullet"/>
              <w:numPr>
                <w:ilvl w:val="0"/>
                <w:numId w:val="0"/>
              </w:numPr>
              <w:ind w:left="280"/>
            </w:pPr>
          </w:p>
          <w:p w14:paraId="09A3887A" w14:textId="77777777" w:rsidR="00114F14" w:rsidRDefault="00114F14" w:rsidP="004A104C">
            <w:pPr>
              <w:pStyle w:val="ListBullet"/>
              <w:numPr>
                <w:ilvl w:val="0"/>
                <w:numId w:val="0"/>
              </w:numPr>
              <w:ind w:left="280"/>
            </w:pPr>
          </w:p>
          <w:p w14:paraId="1D902F5D" w14:textId="77777777" w:rsidR="00114F14" w:rsidRDefault="00114F14" w:rsidP="004A104C">
            <w:pPr>
              <w:pStyle w:val="ListBullet"/>
              <w:numPr>
                <w:ilvl w:val="0"/>
                <w:numId w:val="0"/>
              </w:numPr>
              <w:rPr>
                <w:sz w:val="22"/>
                <w:szCs w:val="22"/>
              </w:rPr>
            </w:pPr>
            <w:r>
              <w:rPr>
                <w:sz w:val="22"/>
                <w:szCs w:val="22"/>
                <w:u w:val="single"/>
              </w:rPr>
              <w:t xml:space="preserve">Teacher Retirement </w:t>
            </w:r>
          </w:p>
          <w:p w14:paraId="3F75CBB1" w14:textId="77777777" w:rsidR="00114F14" w:rsidRDefault="00114F14" w:rsidP="004A104C">
            <w:pPr>
              <w:pStyle w:val="ListBullet"/>
              <w:numPr>
                <w:ilvl w:val="0"/>
                <w:numId w:val="0"/>
              </w:numPr>
              <w:ind w:left="162"/>
              <w:rPr>
                <w:sz w:val="22"/>
                <w:szCs w:val="22"/>
              </w:rPr>
            </w:pPr>
          </w:p>
          <w:p w14:paraId="25141507" w14:textId="4EB61DD3" w:rsidR="00114F14" w:rsidRDefault="00114F14" w:rsidP="004A104C">
            <w:pPr>
              <w:pStyle w:val="ListBullet"/>
            </w:pPr>
            <w:r w:rsidRPr="005E49CF">
              <w:t xml:space="preserve">Provides General Fund appropriations in the budget for Teacher Retirement </w:t>
            </w:r>
            <w:r>
              <w:t xml:space="preserve">program </w:t>
            </w:r>
            <w:r w:rsidRPr="005E49CF">
              <w:t>of $1</w:t>
            </w:r>
            <w:r>
              <w:t>32,980,833 in</w:t>
            </w:r>
            <w:r w:rsidRPr="005E49CF">
              <w:t xml:space="preserve"> FY </w:t>
            </w:r>
            <w:r>
              <w:t>20</w:t>
            </w:r>
            <w:r w:rsidRPr="005E49CF">
              <w:t xml:space="preserve"> and in FY </w:t>
            </w:r>
            <w:r>
              <w:t>21</w:t>
            </w:r>
            <w:r w:rsidRPr="005E49CF">
              <w:t>.</w:t>
            </w:r>
          </w:p>
          <w:p w14:paraId="005425B6" w14:textId="1027A3EA" w:rsidR="00114F14" w:rsidRPr="005E49CF" w:rsidRDefault="00114F14" w:rsidP="004A104C">
            <w:pPr>
              <w:pStyle w:val="ListBullet"/>
            </w:pPr>
            <w:r>
              <w:t>Provides General Fund appropriations for teacher retirement costs based on actuarial estimates from the Maine Public Employees Retirement System of $41,549,532 in FY 20 and of $46,349,117 in FY 21.</w:t>
            </w:r>
          </w:p>
          <w:p w14:paraId="112CB000" w14:textId="0F339820" w:rsidR="00114F14" w:rsidRDefault="00114F14" w:rsidP="004A104C">
            <w:pPr>
              <w:pStyle w:val="ListBullet"/>
              <w:numPr>
                <w:ilvl w:val="0"/>
                <w:numId w:val="0"/>
              </w:numPr>
              <w:ind w:left="280"/>
            </w:pPr>
          </w:p>
          <w:p w14:paraId="495FAD23" w14:textId="7681E351" w:rsidR="00114F14" w:rsidRDefault="00114F14" w:rsidP="004A104C">
            <w:pPr>
              <w:pStyle w:val="ListBullet"/>
              <w:numPr>
                <w:ilvl w:val="0"/>
                <w:numId w:val="0"/>
              </w:numPr>
              <w:ind w:left="280"/>
            </w:pPr>
          </w:p>
          <w:p w14:paraId="6FFA7ED4" w14:textId="77777777" w:rsidR="00114F14" w:rsidRPr="005E49CF" w:rsidRDefault="00114F14" w:rsidP="004A104C">
            <w:pPr>
              <w:pStyle w:val="ListBullet"/>
              <w:numPr>
                <w:ilvl w:val="0"/>
                <w:numId w:val="0"/>
              </w:numPr>
              <w:ind w:left="280"/>
            </w:pPr>
          </w:p>
          <w:p w14:paraId="69A5F0AF" w14:textId="77777777" w:rsidR="00114F14" w:rsidRDefault="00114F14" w:rsidP="004A104C">
            <w:pPr>
              <w:pStyle w:val="ListBullet"/>
              <w:numPr>
                <w:ilvl w:val="0"/>
                <w:numId w:val="0"/>
              </w:numPr>
              <w:rPr>
                <w:sz w:val="22"/>
                <w:szCs w:val="22"/>
                <w:u w:val="single"/>
              </w:rPr>
            </w:pPr>
            <w:r>
              <w:rPr>
                <w:b/>
                <w:sz w:val="22"/>
                <w:szCs w:val="22"/>
                <w:u w:val="single"/>
              </w:rPr>
              <w:t>State Board of Education</w:t>
            </w:r>
          </w:p>
          <w:p w14:paraId="1E0F5C11" w14:textId="77777777" w:rsidR="00114F14" w:rsidRDefault="00114F14" w:rsidP="004A104C">
            <w:pPr>
              <w:pStyle w:val="ListBullet"/>
              <w:numPr>
                <w:ilvl w:val="0"/>
                <w:numId w:val="0"/>
              </w:numPr>
              <w:ind w:left="162"/>
              <w:rPr>
                <w:sz w:val="22"/>
                <w:szCs w:val="22"/>
                <w:u w:val="single"/>
              </w:rPr>
            </w:pPr>
          </w:p>
          <w:p w14:paraId="4E4BC0A2" w14:textId="5DF849BF" w:rsidR="00114F14" w:rsidRPr="004C2E27" w:rsidRDefault="00114F14" w:rsidP="004A104C">
            <w:pPr>
              <w:pStyle w:val="ListBullet"/>
            </w:pPr>
            <w:r w:rsidRPr="004C2E27">
              <w:t xml:space="preserve">Provides General Fund appropriations in the budget for the State Board of Education in FY </w:t>
            </w:r>
            <w:r>
              <w:t>20</w:t>
            </w:r>
            <w:r w:rsidRPr="004C2E27">
              <w:t xml:space="preserve"> and in FY </w:t>
            </w:r>
            <w:r>
              <w:t>21</w:t>
            </w:r>
            <w:r w:rsidRPr="004C2E27">
              <w:t>.</w:t>
            </w:r>
          </w:p>
          <w:p w14:paraId="4B29D321" w14:textId="77777777" w:rsidR="00114F14" w:rsidRPr="00AF11C3" w:rsidRDefault="00114F14" w:rsidP="004A104C">
            <w:pPr>
              <w:pStyle w:val="ListBullet"/>
              <w:numPr>
                <w:ilvl w:val="0"/>
                <w:numId w:val="0"/>
              </w:numPr>
              <w:ind w:left="162"/>
              <w:rPr>
                <w:sz w:val="22"/>
                <w:szCs w:val="22"/>
                <w:u w:val="single"/>
              </w:rPr>
            </w:pPr>
          </w:p>
          <w:tbl>
            <w:tblPr>
              <w:tblW w:w="0" w:type="auto"/>
              <w:tblInd w:w="1278" w:type="dxa"/>
              <w:tblLook w:val="01E0" w:firstRow="1" w:lastRow="1" w:firstColumn="1" w:lastColumn="1" w:noHBand="0" w:noVBand="0"/>
            </w:tblPr>
            <w:tblGrid>
              <w:gridCol w:w="1980"/>
              <w:gridCol w:w="1260"/>
              <w:gridCol w:w="1260"/>
            </w:tblGrid>
            <w:tr w:rsidR="00114F14" w:rsidRPr="008D72F0" w14:paraId="2DD3B06A" w14:textId="77777777" w:rsidTr="00D540F9">
              <w:trPr>
                <w:trHeight w:val="357"/>
              </w:trPr>
              <w:tc>
                <w:tcPr>
                  <w:tcW w:w="1980" w:type="dxa"/>
                  <w:shd w:val="clear" w:color="auto" w:fill="auto"/>
                </w:tcPr>
                <w:p w14:paraId="1E956F62" w14:textId="77777777" w:rsidR="00114F14" w:rsidRPr="008D72F0" w:rsidRDefault="00114F14" w:rsidP="004A104C">
                  <w:pPr>
                    <w:jc w:val="right"/>
                    <w:rPr>
                      <w:sz w:val="20"/>
                      <w:szCs w:val="20"/>
                      <w:u w:val="single"/>
                    </w:rPr>
                  </w:pPr>
                </w:p>
              </w:tc>
              <w:tc>
                <w:tcPr>
                  <w:tcW w:w="1260" w:type="dxa"/>
                  <w:shd w:val="clear" w:color="auto" w:fill="auto"/>
                </w:tcPr>
                <w:p w14:paraId="65DEC6A2" w14:textId="45D76B58"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2E77325C" w14:textId="6142FD6E" w:rsidR="00114F14" w:rsidRPr="008D72F0" w:rsidRDefault="00114F14" w:rsidP="004A104C">
                  <w:pPr>
                    <w:jc w:val="right"/>
                    <w:rPr>
                      <w:sz w:val="20"/>
                      <w:szCs w:val="20"/>
                      <w:u w:val="single"/>
                    </w:rPr>
                  </w:pPr>
                  <w:r>
                    <w:rPr>
                      <w:sz w:val="20"/>
                      <w:szCs w:val="20"/>
                      <w:u w:val="single"/>
                    </w:rPr>
                    <w:t>FY 21</w:t>
                  </w:r>
                </w:p>
              </w:tc>
            </w:tr>
            <w:tr w:rsidR="00114F14" w:rsidRPr="008D72F0" w14:paraId="5BD0F255" w14:textId="77777777" w:rsidTr="00D540F9">
              <w:trPr>
                <w:trHeight w:val="357"/>
              </w:trPr>
              <w:tc>
                <w:tcPr>
                  <w:tcW w:w="1980" w:type="dxa"/>
                  <w:shd w:val="clear" w:color="auto" w:fill="auto"/>
                </w:tcPr>
                <w:p w14:paraId="2D23A6CE" w14:textId="77777777" w:rsidR="00114F14" w:rsidRPr="008D72F0" w:rsidRDefault="00114F14" w:rsidP="004A104C">
                  <w:pPr>
                    <w:jc w:val="right"/>
                    <w:rPr>
                      <w:sz w:val="16"/>
                      <w:szCs w:val="16"/>
                    </w:rPr>
                  </w:pPr>
                  <w:r w:rsidRPr="00170F8D">
                    <w:rPr>
                      <w:sz w:val="16"/>
                      <w:szCs w:val="16"/>
                    </w:rPr>
                    <w:t>General Fund</w:t>
                  </w:r>
                  <w:r w:rsidRPr="008D72F0">
                    <w:rPr>
                      <w:sz w:val="16"/>
                      <w:szCs w:val="16"/>
                    </w:rPr>
                    <w:t xml:space="preserve"> - Position Count</w:t>
                  </w:r>
                </w:p>
              </w:tc>
              <w:tc>
                <w:tcPr>
                  <w:tcW w:w="1260" w:type="dxa"/>
                  <w:shd w:val="clear" w:color="auto" w:fill="auto"/>
                  <w:vAlign w:val="center"/>
                </w:tcPr>
                <w:p w14:paraId="4BC2ED93" w14:textId="77777777" w:rsidR="00114F14" w:rsidRPr="008D72F0" w:rsidRDefault="00114F14" w:rsidP="004A104C">
                  <w:pPr>
                    <w:jc w:val="right"/>
                    <w:rPr>
                      <w:sz w:val="20"/>
                      <w:szCs w:val="20"/>
                    </w:rPr>
                  </w:pPr>
                  <w:r>
                    <w:rPr>
                      <w:sz w:val="20"/>
                      <w:szCs w:val="20"/>
                    </w:rPr>
                    <w:t>1.000</w:t>
                  </w:r>
                </w:p>
              </w:tc>
              <w:tc>
                <w:tcPr>
                  <w:tcW w:w="1260" w:type="dxa"/>
                  <w:vAlign w:val="center"/>
                </w:tcPr>
                <w:p w14:paraId="1020F7D9" w14:textId="77777777" w:rsidR="00114F14" w:rsidRDefault="00114F14" w:rsidP="004A104C">
                  <w:pPr>
                    <w:jc w:val="right"/>
                    <w:rPr>
                      <w:sz w:val="20"/>
                      <w:szCs w:val="20"/>
                    </w:rPr>
                  </w:pPr>
                  <w:r>
                    <w:rPr>
                      <w:sz w:val="20"/>
                      <w:szCs w:val="20"/>
                    </w:rPr>
                    <w:t>1.000</w:t>
                  </w:r>
                </w:p>
              </w:tc>
            </w:tr>
            <w:tr w:rsidR="00114F14" w:rsidRPr="008D72F0" w14:paraId="4B04CB66" w14:textId="77777777" w:rsidTr="00D540F9">
              <w:trPr>
                <w:trHeight w:val="357"/>
              </w:trPr>
              <w:tc>
                <w:tcPr>
                  <w:tcW w:w="1980" w:type="dxa"/>
                  <w:shd w:val="clear" w:color="auto" w:fill="auto"/>
                </w:tcPr>
                <w:p w14:paraId="79ED910D"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0729EF76" w14:textId="77777777" w:rsidR="00114F14" w:rsidRDefault="00114F14" w:rsidP="004A104C">
                  <w:pPr>
                    <w:jc w:val="right"/>
                    <w:rPr>
                      <w:sz w:val="20"/>
                      <w:szCs w:val="20"/>
                    </w:rPr>
                  </w:pPr>
                  <w:r>
                    <w:rPr>
                      <w:sz w:val="20"/>
                      <w:szCs w:val="20"/>
                    </w:rPr>
                    <w:t>$95,562</w:t>
                  </w:r>
                </w:p>
                <w:p w14:paraId="29E28853" w14:textId="4E7B16BA" w:rsidR="00114F14" w:rsidRPr="008D72F0" w:rsidRDefault="00114F14" w:rsidP="004A104C">
                  <w:pPr>
                    <w:jc w:val="center"/>
                    <w:rPr>
                      <w:sz w:val="20"/>
                      <w:szCs w:val="20"/>
                    </w:rPr>
                  </w:pPr>
                </w:p>
              </w:tc>
              <w:tc>
                <w:tcPr>
                  <w:tcW w:w="1260" w:type="dxa"/>
                </w:tcPr>
                <w:p w14:paraId="7294A181" w14:textId="69EA4AA6" w:rsidR="00114F14" w:rsidRPr="008D72F0" w:rsidRDefault="00114F14" w:rsidP="004A104C">
                  <w:pPr>
                    <w:jc w:val="right"/>
                    <w:rPr>
                      <w:sz w:val="20"/>
                      <w:szCs w:val="20"/>
                    </w:rPr>
                  </w:pPr>
                  <w:r>
                    <w:rPr>
                      <w:sz w:val="20"/>
                      <w:szCs w:val="20"/>
                    </w:rPr>
                    <w:t>$96,423</w:t>
                  </w:r>
                </w:p>
              </w:tc>
            </w:tr>
            <w:tr w:rsidR="00114F14" w:rsidRPr="008D72F0" w14:paraId="6B166624" w14:textId="77777777" w:rsidTr="00D540F9">
              <w:trPr>
                <w:trHeight w:val="315"/>
              </w:trPr>
              <w:tc>
                <w:tcPr>
                  <w:tcW w:w="1980" w:type="dxa"/>
                  <w:shd w:val="clear" w:color="auto" w:fill="auto"/>
                </w:tcPr>
                <w:p w14:paraId="11FBD383"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04EDF8B3" w14:textId="48A9F9E5" w:rsidR="00114F14" w:rsidRPr="00FE76F6" w:rsidRDefault="00114F14" w:rsidP="004A104C">
                  <w:pPr>
                    <w:jc w:val="right"/>
                    <w:rPr>
                      <w:sz w:val="20"/>
                      <w:szCs w:val="20"/>
                      <w:u w:val="single"/>
                    </w:rPr>
                  </w:pPr>
                  <w:r>
                    <w:rPr>
                      <w:sz w:val="20"/>
                      <w:szCs w:val="20"/>
                      <w:u w:val="single"/>
                    </w:rPr>
                    <w:t>$73,694</w:t>
                  </w:r>
                </w:p>
              </w:tc>
              <w:tc>
                <w:tcPr>
                  <w:tcW w:w="1260" w:type="dxa"/>
                </w:tcPr>
                <w:p w14:paraId="386A8FAB" w14:textId="77777777" w:rsidR="00114F14" w:rsidRPr="00FE76F6" w:rsidRDefault="00114F14" w:rsidP="004A104C">
                  <w:pPr>
                    <w:jc w:val="right"/>
                    <w:rPr>
                      <w:sz w:val="20"/>
                      <w:szCs w:val="20"/>
                      <w:u w:val="single"/>
                    </w:rPr>
                  </w:pPr>
                  <w:r>
                    <w:rPr>
                      <w:sz w:val="20"/>
                      <w:szCs w:val="20"/>
                      <w:u w:val="single"/>
                    </w:rPr>
                    <w:t>$73,694</w:t>
                  </w:r>
                </w:p>
              </w:tc>
            </w:tr>
            <w:tr w:rsidR="00114F14" w:rsidRPr="008D72F0" w14:paraId="505418D8" w14:textId="77777777" w:rsidTr="00D540F9">
              <w:trPr>
                <w:trHeight w:val="303"/>
              </w:trPr>
              <w:tc>
                <w:tcPr>
                  <w:tcW w:w="1980" w:type="dxa"/>
                  <w:shd w:val="clear" w:color="auto" w:fill="auto"/>
                </w:tcPr>
                <w:p w14:paraId="555956CF" w14:textId="77777777" w:rsidR="00114F14" w:rsidRPr="008D72F0" w:rsidRDefault="00114F14" w:rsidP="004A104C">
                  <w:pPr>
                    <w:rPr>
                      <w:sz w:val="16"/>
                      <w:szCs w:val="16"/>
                      <w:u w:val="single"/>
                    </w:rPr>
                  </w:pPr>
                  <w:r>
                    <w:rPr>
                      <w:sz w:val="16"/>
                      <w:szCs w:val="16"/>
                      <w:u w:val="single"/>
                    </w:rPr>
                    <w:t>General Fund Total</w:t>
                  </w:r>
                </w:p>
              </w:tc>
              <w:tc>
                <w:tcPr>
                  <w:tcW w:w="1260" w:type="dxa"/>
                  <w:shd w:val="clear" w:color="auto" w:fill="auto"/>
                </w:tcPr>
                <w:p w14:paraId="5F64140C" w14:textId="61A0B970" w:rsidR="00114F14" w:rsidRPr="008D72F0" w:rsidRDefault="00114F14" w:rsidP="004A104C">
                  <w:pPr>
                    <w:jc w:val="right"/>
                    <w:rPr>
                      <w:sz w:val="20"/>
                      <w:szCs w:val="20"/>
                    </w:rPr>
                  </w:pPr>
                  <w:r>
                    <w:rPr>
                      <w:sz w:val="20"/>
                      <w:szCs w:val="20"/>
                    </w:rPr>
                    <w:t>$169,256</w:t>
                  </w:r>
                </w:p>
              </w:tc>
              <w:tc>
                <w:tcPr>
                  <w:tcW w:w="1260" w:type="dxa"/>
                </w:tcPr>
                <w:p w14:paraId="1D61E9D4" w14:textId="40FC536D" w:rsidR="00114F14" w:rsidRPr="008D72F0" w:rsidRDefault="00114F14" w:rsidP="004A104C">
                  <w:pPr>
                    <w:jc w:val="right"/>
                    <w:rPr>
                      <w:sz w:val="20"/>
                      <w:szCs w:val="20"/>
                    </w:rPr>
                  </w:pPr>
                  <w:r>
                    <w:rPr>
                      <w:sz w:val="20"/>
                      <w:szCs w:val="20"/>
                    </w:rPr>
                    <w:t>$170,117</w:t>
                  </w:r>
                </w:p>
              </w:tc>
            </w:tr>
          </w:tbl>
          <w:p w14:paraId="454A0477" w14:textId="2B196174" w:rsidR="00114F14" w:rsidRDefault="00114F14" w:rsidP="004A104C">
            <w:pPr>
              <w:pStyle w:val="ListBullet"/>
              <w:numPr>
                <w:ilvl w:val="0"/>
                <w:numId w:val="0"/>
              </w:numPr>
              <w:rPr>
                <w:b/>
                <w:sz w:val="22"/>
                <w:szCs w:val="22"/>
                <w:u w:val="single"/>
              </w:rPr>
            </w:pPr>
          </w:p>
          <w:p w14:paraId="012D49B4" w14:textId="1D3657AC" w:rsidR="00114F14" w:rsidRPr="002C0547" w:rsidRDefault="00114F14" w:rsidP="004A104C">
            <w:pPr>
              <w:pStyle w:val="ListBullet"/>
              <w:rPr>
                <w:b/>
                <w:sz w:val="22"/>
                <w:szCs w:val="22"/>
                <w:u w:val="single"/>
              </w:rPr>
            </w:pPr>
            <w:r>
              <w:t>Provides General Fund appropriations in Personal Services for the approved reclassification of one Secretary Associate to a Secretary Specialist position retroactive to August 2017 of $15,686 in FY 20 and of $7,387 in FY 21.</w:t>
            </w:r>
          </w:p>
          <w:p w14:paraId="2FA1172B" w14:textId="5202875D" w:rsidR="00114F14" w:rsidRDefault="00114F14" w:rsidP="004A104C">
            <w:pPr>
              <w:pStyle w:val="ListBullet"/>
              <w:numPr>
                <w:ilvl w:val="0"/>
                <w:numId w:val="0"/>
              </w:numPr>
              <w:rPr>
                <w:b/>
                <w:sz w:val="22"/>
                <w:szCs w:val="22"/>
                <w:u w:val="single"/>
              </w:rPr>
            </w:pPr>
          </w:p>
          <w:p w14:paraId="460FE436" w14:textId="467B26C8" w:rsidR="00114F14" w:rsidRDefault="00114F14" w:rsidP="004A104C">
            <w:pPr>
              <w:pStyle w:val="ListBullet"/>
              <w:numPr>
                <w:ilvl w:val="0"/>
                <w:numId w:val="0"/>
              </w:numPr>
              <w:rPr>
                <w:b/>
                <w:sz w:val="22"/>
                <w:szCs w:val="22"/>
                <w:u w:val="single"/>
              </w:rPr>
            </w:pPr>
          </w:p>
          <w:p w14:paraId="7D8BA5BD" w14:textId="716230C1" w:rsidR="00D540F9" w:rsidRDefault="00D540F9" w:rsidP="004A104C">
            <w:pPr>
              <w:pStyle w:val="ListBullet"/>
              <w:numPr>
                <w:ilvl w:val="0"/>
                <w:numId w:val="0"/>
              </w:numPr>
              <w:rPr>
                <w:b/>
                <w:sz w:val="22"/>
                <w:szCs w:val="22"/>
                <w:u w:val="single"/>
              </w:rPr>
            </w:pPr>
          </w:p>
          <w:p w14:paraId="5EF547EF" w14:textId="02D5845A" w:rsidR="00D540F9" w:rsidRDefault="00D540F9" w:rsidP="004A104C">
            <w:pPr>
              <w:pStyle w:val="ListBullet"/>
              <w:numPr>
                <w:ilvl w:val="0"/>
                <w:numId w:val="0"/>
              </w:numPr>
              <w:rPr>
                <w:b/>
                <w:sz w:val="22"/>
                <w:szCs w:val="22"/>
                <w:u w:val="single"/>
              </w:rPr>
            </w:pPr>
          </w:p>
          <w:p w14:paraId="64D2A7C1" w14:textId="77777777" w:rsidR="00114F14" w:rsidRDefault="00114F14" w:rsidP="004A104C">
            <w:pPr>
              <w:pStyle w:val="ListBullet"/>
              <w:numPr>
                <w:ilvl w:val="0"/>
                <w:numId w:val="0"/>
              </w:numPr>
              <w:rPr>
                <w:b/>
                <w:sz w:val="22"/>
                <w:szCs w:val="22"/>
                <w:u w:val="single"/>
              </w:rPr>
            </w:pPr>
          </w:p>
          <w:p w14:paraId="439A1595" w14:textId="51D341C4" w:rsidR="00114F14" w:rsidRDefault="00114F14" w:rsidP="004A104C">
            <w:pPr>
              <w:pStyle w:val="ListBullet"/>
              <w:numPr>
                <w:ilvl w:val="0"/>
                <w:numId w:val="0"/>
              </w:numPr>
              <w:rPr>
                <w:b/>
                <w:sz w:val="22"/>
                <w:szCs w:val="22"/>
                <w:u w:val="single"/>
              </w:rPr>
            </w:pPr>
            <w:r>
              <w:rPr>
                <w:b/>
                <w:sz w:val="22"/>
                <w:szCs w:val="22"/>
                <w:u w:val="single"/>
              </w:rPr>
              <w:t xml:space="preserve">Maine Charter School Commission </w:t>
            </w:r>
          </w:p>
          <w:p w14:paraId="093AD27E" w14:textId="77777777" w:rsidR="00114F14" w:rsidRDefault="00114F14" w:rsidP="004A104C">
            <w:pPr>
              <w:pStyle w:val="ListBullet"/>
              <w:numPr>
                <w:ilvl w:val="0"/>
                <w:numId w:val="0"/>
              </w:numPr>
              <w:ind w:left="162"/>
              <w:rPr>
                <w:sz w:val="22"/>
                <w:szCs w:val="22"/>
              </w:rPr>
            </w:pPr>
          </w:p>
          <w:p w14:paraId="30A9EBB0" w14:textId="158D7665" w:rsidR="00114F14" w:rsidRPr="004C2E27" w:rsidRDefault="00114F14" w:rsidP="004A104C">
            <w:pPr>
              <w:pStyle w:val="ListBullet"/>
            </w:pPr>
            <w:r w:rsidRPr="004C2E27">
              <w:t xml:space="preserve">Provides Other Special Revenue Funds appropriations in the budget for the </w:t>
            </w:r>
            <w:r>
              <w:t>Maine</w:t>
            </w:r>
            <w:r w:rsidRPr="004C2E27">
              <w:t xml:space="preserve"> Charter School Commission in FY </w:t>
            </w:r>
            <w:r>
              <w:t>20</w:t>
            </w:r>
            <w:r w:rsidRPr="004C2E27">
              <w:t xml:space="preserve"> and in FY </w:t>
            </w:r>
            <w:r>
              <w:t>21</w:t>
            </w:r>
            <w:r w:rsidRPr="004C2E27">
              <w:t>.</w:t>
            </w:r>
          </w:p>
          <w:p w14:paraId="01C39675" w14:textId="496D60FD" w:rsidR="00114F14" w:rsidRDefault="00114F14" w:rsidP="004A104C">
            <w:pPr>
              <w:pStyle w:val="ListBullet"/>
              <w:numPr>
                <w:ilvl w:val="0"/>
                <w:numId w:val="0"/>
              </w:numPr>
              <w:ind w:left="162"/>
              <w:rPr>
                <w:b/>
                <w:sz w:val="22"/>
                <w:szCs w:val="22"/>
              </w:rPr>
            </w:pPr>
          </w:p>
          <w:p w14:paraId="042EB570" w14:textId="0EF32FE7" w:rsidR="00D540F9" w:rsidRDefault="00D540F9" w:rsidP="004A104C">
            <w:pPr>
              <w:pStyle w:val="ListBullet"/>
              <w:numPr>
                <w:ilvl w:val="0"/>
                <w:numId w:val="0"/>
              </w:numPr>
              <w:ind w:left="162"/>
              <w:rPr>
                <w:b/>
                <w:sz w:val="22"/>
                <w:szCs w:val="22"/>
              </w:rPr>
            </w:pPr>
          </w:p>
          <w:p w14:paraId="22817CD3" w14:textId="77777777" w:rsidR="00D540F9" w:rsidRDefault="00D540F9" w:rsidP="004A104C">
            <w:pPr>
              <w:pStyle w:val="ListBullet"/>
              <w:numPr>
                <w:ilvl w:val="0"/>
                <w:numId w:val="0"/>
              </w:numPr>
              <w:ind w:left="162"/>
              <w:rPr>
                <w:b/>
                <w:sz w:val="22"/>
                <w:szCs w:val="22"/>
              </w:rPr>
            </w:pPr>
          </w:p>
          <w:tbl>
            <w:tblPr>
              <w:tblW w:w="0" w:type="auto"/>
              <w:tblInd w:w="1278" w:type="dxa"/>
              <w:tblLook w:val="01E0" w:firstRow="1" w:lastRow="1" w:firstColumn="1" w:lastColumn="1" w:noHBand="0" w:noVBand="0"/>
            </w:tblPr>
            <w:tblGrid>
              <w:gridCol w:w="1980"/>
              <w:gridCol w:w="1260"/>
              <w:gridCol w:w="1260"/>
            </w:tblGrid>
            <w:tr w:rsidR="00114F14" w:rsidRPr="008D72F0" w14:paraId="1DD47E06" w14:textId="77777777" w:rsidTr="00D540F9">
              <w:trPr>
                <w:trHeight w:val="357"/>
              </w:trPr>
              <w:tc>
                <w:tcPr>
                  <w:tcW w:w="1980" w:type="dxa"/>
                  <w:shd w:val="clear" w:color="auto" w:fill="auto"/>
                </w:tcPr>
                <w:p w14:paraId="476FBFF9" w14:textId="77777777" w:rsidR="00114F14" w:rsidRPr="008D72F0" w:rsidRDefault="00114F14" w:rsidP="004A104C">
                  <w:pPr>
                    <w:jc w:val="right"/>
                    <w:rPr>
                      <w:sz w:val="20"/>
                      <w:szCs w:val="20"/>
                      <w:u w:val="single"/>
                    </w:rPr>
                  </w:pPr>
                </w:p>
              </w:tc>
              <w:tc>
                <w:tcPr>
                  <w:tcW w:w="1260" w:type="dxa"/>
                  <w:shd w:val="clear" w:color="auto" w:fill="auto"/>
                </w:tcPr>
                <w:p w14:paraId="25249983" w14:textId="571A121C" w:rsidR="00114F14" w:rsidRPr="008D72F0" w:rsidRDefault="00114F14" w:rsidP="004A104C">
                  <w:pPr>
                    <w:jc w:val="right"/>
                    <w:rPr>
                      <w:sz w:val="20"/>
                      <w:szCs w:val="20"/>
                      <w:u w:val="single"/>
                    </w:rPr>
                  </w:pPr>
                  <w:r w:rsidRPr="008D72F0">
                    <w:rPr>
                      <w:sz w:val="20"/>
                      <w:szCs w:val="20"/>
                      <w:u w:val="single"/>
                    </w:rPr>
                    <w:t xml:space="preserve">FY </w:t>
                  </w:r>
                  <w:r>
                    <w:rPr>
                      <w:sz w:val="20"/>
                      <w:szCs w:val="20"/>
                      <w:u w:val="single"/>
                    </w:rPr>
                    <w:t>20</w:t>
                  </w:r>
                </w:p>
              </w:tc>
              <w:tc>
                <w:tcPr>
                  <w:tcW w:w="1260" w:type="dxa"/>
                </w:tcPr>
                <w:p w14:paraId="08221035" w14:textId="2DBC0287" w:rsidR="00114F14" w:rsidRPr="008D72F0" w:rsidRDefault="00114F14" w:rsidP="004A104C">
                  <w:pPr>
                    <w:jc w:val="right"/>
                    <w:rPr>
                      <w:sz w:val="20"/>
                      <w:szCs w:val="20"/>
                      <w:u w:val="single"/>
                    </w:rPr>
                  </w:pPr>
                  <w:r>
                    <w:rPr>
                      <w:sz w:val="20"/>
                      <w:szCs w:val="20"/>
                      <w:u w:val="single"/>
                    </w:rPr>
                    <w:t>FY 21</w:t>
                  </w:r>
                </w:p>
              </w:tc>
            </w:tr>
            <w:tr w:rsidR="00114F14" w:rsidRPr="008D72F0" w14:paraId="288A09FE" w14:textId="77777777" w:rsidTr="00D540F9">
              <w:trPr>
                <w:trHeight w:val="357"/>
              </w:trPr>
              <w:tc>
                <w:tcPr>
                  <w:tcW w:w="1980" w:type="dxa"/>
                  <w:shd w:val="clear" w:color="auto" w:fill="auto"/>
                </w:tcPr>
                <w:p w14:paraId="7BF36B91" w14:textId="77777777" w:rsidR="00114F14" w:rsidRPr="008D72F0" w:rsidRDefault="00114F14" w:rsidP="004A104C">
                  <w:pPr>
                    <w:jc w:val="right"/>
                    <w:rPr>
                      <w:sz w:val="16"/>
                      <w:szCs w:val="16"/>
                    </w:rPr>
                  </w:pPr>
                  <w:r>
                    <w:rPr>
                      <w:sz w:val="16"/>
                      <w:szCs w:val="16"/>
                    </w:rPr>
                    <w:t>Other Special Revenue Funds</w:t>
                  </w:r>
                </w:p>
              </w:tc>
              <w:tc>
                <w:tcPr>
                  <w:tcW w:w="1260" w:type="dxa"/>
                  <w:shd w:val="clear" w:color="auto" w:fill="auto"/>
                  <w:vAlign w:val="center"/>
                </w:tcPr>
                <w:p w14:paraId="44728D24" w14:textId="77777777" w:rsidR="00114F14" w:rsidRPr="008D72F0" w:rsidRDefault="00114F14" w:rsidP="004A104C">
                  <w:pPr>
                    <w:jc w:val="right"/>
                    <w:rPr>
                      <w:sz w:val="20"/>
                      <w:szCs w:val="20"/>
                    </w:rPr>
                  </w:pPr>
                </w:p>
              </w:tc>
              <w:tc>
                <w:tcPr>
                  <w:tcW w:w="1260" w:type="dxa"/>
                  <w:vAlign w:val="center"/>
                </w:tcPr>
                <w:p w14:paraId="799D7478" w14:textId="77777777" w:rsidR="00114F14" w:rsidRDefault="00114F14" w:rsidP="004A104C">
                  <w:pPr>
                    <w:jc w:val="right"/>
                    <w:rPr>
                      <w:sz w:val="20"/>
                      <w:szCs w:val="20"/>
                    </w:rPr>
                  </w:pPr>
                </w:p>
              </w:tc>
            </w:tr>
            <w:tr w:rsidR="00114F14" w:rsidRPr="008D72F0" w14:paraId="428E87F1" w14:textId="77777777" w:rsidTr="00D540F9">
              <w:trPr>
                <w:trHeight w:val="357"/>
              </w:trPr>
              <w:tc>
                <w:tcPr>
                  <w:tcW w:w="1980" w:type="dxa"/>
                  <w:shd w:val="clear" w:color="auto" w:fill="auto"/>
                </w:tcPr>
                <w:p w14:paraId="52AE2C6A" w14:textId="77777777" w:rsidR="00114F14" w:rsidRPr="008D72F0" w:rsidRDefault="00114F14" w:rsidP="004A104C">
                  <w:pPr>
                    <w:jc w:val="right"/>
                    <w:rPr>
                      <w:sz w:val="16"/>
                      <w:szCs w:val="16"/>
                    </w:rPr>
                  </w:pPr>
                  <w:r w:rsidRPr="008D72F0">
                    <w:rPr>
                      <w:sz w:val="16"/>
                      <w:szCs w:val="16"/>
                    </w:rPr>
                    <w:t>Personal Services</w:t>
                  </w:r>
                </w:p>
              </w:tc>
              <w:tc>
                <w:tcPr>
                  <w:tcW w:w="1260" w:type="dxa"/>
                  <w:shd w:val="clear" w:color="auto" w:fill="auto"/>
                </w:tcPr>
                <w:p w14:paraId="7EEAC1DC" w14:textId="3FA8E561" w:rsidR="00114F14" w:rsidRPr="008D72F0" w:rsidRDefault="00114F14" w:rsidP="004A104C">
                  <w:pPr>
                    <w:jc w:val="right"/>
                    <w:rPr>
                      <w:sz w:val="20"/>
                      <w:szCs w:val="20"/>
                    </w:rPr>
                  </w:pPr>
                  <w:r>
                    <w:rPr>
                      <w:sz w:val="20"/>
                      <w:szCs w:val="20"/>
                    </w:rPr>
                    <w:t>$15,400</w:t>
                  </w:r>
                </w:p>
              </w:tc>
              <w:tc>
                <w:tcPr>
                  <w:tcW w:w="1260" w:type="dxa"/>
                </w:tcPr>
                <w:p w14:paraId="0F1C0F95" w14:textId="7DB82C76" w:rsidR="00114F14" w:rsidRPr="008D72F0" w:rsidRDefault="00114F14" w:rsidP="004A104C">
                  <w:pPr>
                    <w:jc w:val="right"/>
                    <w:rPr>
                      <w:sz w:val="20"/>
                      <w:szCs w:val="20"/>
                    </w:rPr>
                  </w:pPr>
                  <w:r>
                    <w:rPr>
                      <w:sz w:val="20"/>
                      <w:szCs w:val="20"/>
                    </w:rPr>
                    <w:t>$15,400</w:t>
                  </w:r>
                </w:p>
              </w:tc>
            </w:tr>
            <w:tr w:rsidR="00114F14" w:rsidRPr="008D72F0" w14:paraId="0EB363DF" w14:textId="77777777" w:rsidTr="00D540F9">
              <w:trPr>
                <w:trHeight w:val="315"/>
              </w:trPr>
              <w:tc>
                <w:tcPr>
                  <w:tcW w:w="1980" w:type="dxa"/>
                  <w:shd w:val="clear" w:color="auto" w:fill="auto"/>
                </w:tcPr>
                <w:p w14:paraId="710206F5" w14:textId="77777777" w:rsidR="00114F14" w:rsidRPr="008D72F0" w:rsidRDefault="00114F14" w:rsidP="004A104C">
                  <w:pPr>
                    <w:jc w:val="right"/>
                    <w:rPr>
                      <w:sz w:val="16"/>
                      <w:szCs w:val="16"/>
                    </w:rPr>
                  </w:pPr>
                  <w:r>
                    <w:rPr>
                      <w:sz w:val="16"/>
                      <w:szCs w:val="16"/>
                    </w:rPr>
                    <w:t>All Other</w:t>
                  </w:r>
                </w:p>
              </w:tc>
              <w:tc>
                <w:tcPr>
                  <w:tcW w:w="1260" w:type="dxa"/>
                  <w:shd w:val="clear" w:color="auto" w:fill="auto"/>
                </w:tcPr>
                <w:p w14:paraId="75D1E01C" w14:textId="1098D0BE" w:rsidR="00114F14" w:rsidRPr="00FE76F6" w:rsidRDefault="00114F14" w:rsidP="004A104C">
                  <w:pPr>
                    <w:jc w:val="right"/>
                    <w:rPr>
                      <w:sz w:val="20"/>
                      <w:szCs w:val="20"/>
                      <w:u w:val="single"/>
                    </w:rPr>
                  </w:pPr>
                  <w:r>
                    <w:rPr>
                      <w:sz w:val="20"/>
                      <w:szCs w:val="20"/>
                      <w:u w:val="single"/>
                    </w:rPr>
                    <w:t>$583,139</w:t>
                  </w:r>
                </w:p>
              </w:tc>
              <w:tc>
                <w:tcPr>
                  <w:tcW w:w="1260" w:type="dxa"/>
                </w:tcPr>
                <w:p w14:paraId="0F8F7CCC" w14:textId="11107CA2" w:rsidR="00114F14" w:rsidRPr="00FE76F6" w:rsidRDefault="00114F14" w:rsidP="004A104C">
                  <w:pPr>
                    <w:jc w:val="right"/>
                    <w:rPr>
                      <w:sz w:val="20"/>
                      <w:szCs w:val="20"/>
                      <w:u w:val="single"/>
                    </w:rPr>
                  </w:pPr>
                  <w:r>
                    <w:rPr>
                      <w:sz w:val="20"/>
                      <w:szCs w:val="20"/>
                      <w:u w:val="single"/>
                    </w:rPr>
                    <w:t>$583,139</w:t>
                  </w:r>
                </w:p>
              </w:tc>
            </w:tr>
            <w:tr w:rsidR="00114F14" w:rsidRPr="008D72F0" w14:paraId="259A8A32" w14:textId="77777777" w:rsidTr="00D540F9">
              <w:trPr>
                <w:trHeight w:val="303"/>
              </w:trPr>
              <w:tc>
                <w:tcPr>
                  <w:tcW w:w="1980" w:type="dxa"/>
                  <w:shd w:val="clear" w:color="auto" w:fill="auto"/>
                </w:tcPr>
                <w:p w14:paraId="130B199D" w14:textId="77777777" w:rsidR="00114F14" w:rsidRPr="008D72F0" w:rsidRDefault="00114F14" w:rsidP="004A104C">
                  <w:pPr>
                    <w:rPr>
                      <w:sz w:val="16"/>
                      <w:szCs w:val="16"/>
                      <w:u w:val="single"/>
                    </w:rPr>
                  </w:pPr>
                  <w:r>
                    <w:rPr>
                      <w:sz w:val="16"/>
                      <w:szCs w:val="16"/>
                      <w:u w:val="single"/>
                    </w:rPr>
                    <w:t>Other Special Revenue Funds Total</w:t>
                  </w:r>
                </w:p>
              </w:tc>
              <w:tc>
                <w:tcPr>
                  <w:tcW w:w="1260" w:type="dxa"/>
                  <w:shd w:val="clear" w:color="auto" w:fill="auto"/>
                </w:tcPr>
                <w:p w14:paraId="2BE246F8" w14:textId="2F515E29" w:rsidR="00114F14" w:rsidRPr="008D72F0" w:rsidRDefault="00114F14" w:rsidP="004A104C">
                  <w:pPr>
                    <w:jc w:val="right"/>
                    <w:rPr>
                      <w:sz w:val="20"/>
                      <w:szCs w:val="20"/>
                    </w:rPr>
                  </w:pPr>
                  <w:r>
                    <w:rPr>
                      <w:sz w:val="20"/>
                      <w:szCs w:val="20"/>
                    </w:rPr>
                    <w:t>$598,539</w:t>
                  </w:r>
                </w:p>
              </w:tc>
              <w:tc>
                <w:tcPr>
                  <w:tcW w:w="1260" w:type="dxa"/>
                </w:tcPr>
                <w:p w14:paraId="22C97502" w14:textId="598E22AD" w:rsidR="00114F14" w:rsidRPr="008D72F0" w:rsidRDefault="00114F14" w:rsidP="004A104C">
                  <w:pPr>
                    <w:jc w:val="right"/>
                    <w:rPr>
                      <w:sz w:val="20"/>
                      <w:szCs w:val="20"/>
                    </w:rPr>
                  </w:pPr>
                  <w:r>
                    <w:rPr>
                      <w:sz w:val="20"/>
                      <w:szCs w:val="20"/>
                    </w:rPr>
                    <w:t>$598,539</w:t>
                  </w:r>
                </w:p>
              </w:tc>
            </w:tr>
          </w:tbl>
          <w:p w14:paraId="34B46A0B" w14:textId="77777777" w:rsidR="00114F14" w:rsidRDefault="00114F14" w:rsidP="004A104C">
            <w:pPr>
              <w:pStyle w:val="ListBullet"/>
              <w:numPr>
                <w:ilvl w:val="0"/>
                <w:numId w:val="0"/>
              </w:numPr>
              <w:ind w:left="162"/>
              <w:rPr>
                <w:b/>
                <w:sz w:val="22"/>
                <w:szCs w:val="22"/>
              </w:rPr>
            </w:pPr>
          </w:p>
          <w:p w14:paraId="08550596" w14:textId="186647FC" w:rsidR="00114F14" w:rsidRDefault="00114F14" w:rsidP="004A104C">
            <w:pPr>
              <w:pStyle w:val="ListBullet"/>
            </w:pPr>
            <w:r w:rsidRPr="00014F48">
              <w:t>Provides Other Special Revenue Funds appropriations for</w:t>
            </w:r>
            <w:r>
              <w:t xml:space="preserve"> </w:t>
            </w:r>
            <w:r w:rsidRPr="00014F48">
              <w:t>costs related to overseeing public charter schools</w:t>
            </w:r>
            <w:r>
              <w:t xml:space="preserve"> of $50,963 in FY 20 and of $96,270 in FY 21.</w:t>
            </w:r>
          </w:p>
          <w:p w14:paraId="40C3F9F3" w14:textId="61B77268" w:rsidR="00114F14" w:rsidRDefault="00114F14" w:rsidP="004A104C">
            <w:pPr>
              <w:pStyle w:val="ListBullet"/>
              <w:numPr>
                <w:ilvl w:val="0"/>
                <w:numId w:val="0"/>
              </w:numPr>
              <w:ind w:left="162"/>
              <w:rPr>
                <w:b/>
                <w:sz w:val="22"/>
                <w:szCs w:val="22"/>
              </w:rPr>
            </w:pPr>
          </w:p>
          <w:p w14:paraId="55ACE190" w14:textId="77777777" w:rsidR="00114F14" w:rsidRDefault="00114F14" w:rsidP="004A104C">
            <w:pPr>
              <w:pStyle w:val="ListBullet"/>
              <w:numPr>
                <w:ilvl w:val="0"/>
                <w:numId w:val="0"/>
              </w:numPr>
              <w:ind w:left="162"/>
              <w:rPr>
                <w:b/>
                <w:sz w:val="22"/>
                <w:szCs w:val="22"/>
              </w:rPr>
            </w:pPr>
          </w:p>
          <w:p w14:paraId="1CE52101" w14:textId="77777777" w:rsidR="00114F14" w:rsidRPr="007B219E" w:rsidRDefault="00114F14" w:rsidP="004A104C">
            <w:pPr>
              <w:rPr>
                <w:b/>
                <w:sz w:val="22"/>
                <w:szCs w:val="22"/>
                <w:u w:val="single"/>
              </w:rPr>
            </w:pPr>
            <w:r w:rsidRPr="007B219E">
              <w:rPr>
                <w:b/>
                <w:sz w:val="22"/>
                <w:szCs w:val="22"/>
                <w:u w:val="single"/>
              </w:rPr>
              <w:t>PART B</w:t>
            </w:r>
          </w:p>
          <w:p w14:paraId="1D2FE647" w14:textId="77777777" w:rsidR="00114F14" w:rsidRPr="007B219E" w:rsidRDefault="00114F14" w:rsidP="004A104C">
            <w:pPr>
              <w:rPr>
                <w:b/>
                <w:sz w:val="22"/>
                <w:szCs w:val="22"/>
              </w:rPr>
            </w:pPr>
          </w:p>
          <w:p w14:paraId="51A1ED23" w14:textId="77777777" w:rsidR="00114F14" w:rsidRPr="007B219E" w:rsidRDefault="00114F14" w:rsidP="004A104C">
            <w:pPr>
              <w:rPr>
                <w:b/>
                <w:sz w:val="22"/>
                <w:szCs w:val="22"/>
              </w:rPr>
            </w:pPr>
            <w:r w:rsidRPr="007B219E">
              <w:rPr>
                <w:b/>
                <w:sz w:val="22"/>
                <w:szCs w:val="22"/>
              </w:rPr>
              <w:t>Reclassifications:</w:t>
            </w:r>
          </w:p>
          <w:p w14:paraId="4C132C29" w14:textId="77777777" w:rsidR="00114F14" w:rsidRPr="007B219E" w:rsidRDefault="00114F14" w:rsidP="004A104C">
            <w:pPr>
              <w:tabs>
                <w:tab w:val="left" w:pos="3600"/>
              </w:tabs>
              <w:rPr>
                <w:sz w:val="22"/>
                <w:szCs w:val="22"/>
              </w:rPr>
            </w:pPr>
          </w:p>
          <w:p w14:paraId="1691EF92" w14:textId="77777777" w:rsidR="00114F14" w:rsidRPr="009B331D" w:rsidRDefault="00114F14" w:rsidP="004A104C">
            <w:pPr>
              <w:tabs>
                <w:tab w:val="left" w:pos="3600"/>
              </w:tabs>
            </w:pPr>
            <w:r w:rsidRPr="009B331D">
              <w:t>Provides funding for:</w:t>
            </w:r>
          </w:p>
          <w:p w14:paraId="77A0833C" w14:textId="77777777" w:rsidR="00114F14" w:rsidRPr="009B331D" w:rsidRDefault="00114F14" w:rsidP="004A104C">
            <w:pPr>
              <w:tabs>
                <w:tab w:val="left" w:pos="3600"/>
              </w:tabs>
            </w:pPr>
          </w:p>
          <w:p w14:paraId="63D794C6" w14:textId="77777777" w:rsidR="00114F14" w:rsidRPr="009B331D" w:rsidRDefault="00114F14" w:rsidP="004A104C">
            <w:pPr>
              <w:pStyle w:val="ListBullet"/>
              <w:numPr>
                <w:ilvl w:val="0"/>
                <w:numId w:val="17"/>
              </w:numPr>
            </w:pPr>
            <w:r w:rsidRPr="009B331D">
              <w:t>General Purpose Aid for Local Schools</w:t>
            </w:r>
          </w:p>
          <w:p w14:paraId="43464C34" w14:textId="2DAAFF96" w:rsidR="00114F14" w:rsidRPr="009B331D" w:rsidRDefault="00114F14" w:rsidP="004A104C">
            <w:pPr>
              <w:pStyle w:val="ListBullet"/>
              <w:numPr>
                <w:ilvl w:val="0"/>
                <w:numId w:val="17"/>
              </w:numPr>
            </w:pPr>
            <w:r w:rsidRPr="009B331D">
              <w:t>Learning Systems Team</w:t>
            </w:r>
          </w:p>
          <w:p w14:paraId="141BD9D0" w14:textId="2BD1FBAD" w:rsidR="00114F14" w:rsidRPr="009B331D" w:rsidRDefault="00114F14" w:rsidP="004A104C">
            <w:pPr>
              <w:pStyle w:val="ListBullet"/>
              <w:numPr>
                <w:ilvl w:val="0"/>
                <w:numId w:val="17"/>
              </w:numPr>
            </w:pPr>
            <w:r w:rsidRPr="009B331D">
              <w:t>School Finance and Operations</w:t>
            </w:r>
          </w:p>
          <w:p w14:paraId="31B0DFCF" w14:textId="6986D85F" w:rsidR="00114F14" w:rsidRDefault="00114F14" w:rsidP="004A104C">
            <w:pPr>
              <w:pStyle w:val="ListBullet"/>
              <w:numPr>
                <w:ilvl w:val="0"/>
                <w:numId w:val="0"/>
              </w:numPr>
              <w:ind w:left="460" w:hanging="180"/>
              <w:rPr>
                <w:sz w:val="22"/>
                <w:szCs w:val="22"/>
              </w:rPr>
            </w:pPr>
          </w:p>
          <w:p w14:paraId="75279BFC" w14:textId="0B980CD5" w:rsidR="00114F14" w:rsidRDefault="00114F14" w:rsidP="004A104C">
            <w:pPr>
              <w:pStyle w:val="ListBullet"/>
              <w:numPr>
                <w:ilvl w:val="0"/>
                <w:numId w:val="0"/>
              </w:numPr>
              <w:ind w:left="460" w:hanging="180"/>
              <w:rPr>
                <w:sz w:val="22"/>
                <w:szCs w:val="22"/>
              </w:rPr>
            </w:pPr>
          </w:p>
          <w:p w14:paraId="6B985842" w14:textId="77777777" w:rsidR="00114F14" w:rsidRDefault="00114F14" w:rsidP="004A104C">
            <w:pPr>
              <w:pStyle w:val="ListBullet"/>
              <w:numPr>
                <w:ilvl w:val="0"/>
                <w:numId w:val="0"/>
              </w:numPr>
              <w:rPr>
                <w:b/>
                <w:sz w:val="22"/>
                <w:szCs w:val="22"/>
                <w:u w:val="single"/>
              </w:rPr>
            </w:pPr>
            <w:r w:rsidRPr="007B219E">
              <w:rPr>
                <w:b/>
                <w:sz w:val="22"/>
                <w:szCs w:val="22"/>
                <w:u w:val="single"/>
              </w:rPr>
              <w:t>PART C</w:t>
            </w:r>
          </w:p>
          <w:p w14:paraId="63310BA3" w14:textId="73946821" w:rsidR="00114F14" w:rsidRDefault="00114F14" w:rsidP="004A104C">
            <w:pPr>
              <w:pStyle w:val="ListBullet"/>
              <w:numPr>
                <w:ilvl w:val="0"/>
                <w:numId w:val="0"/>
              </w:numPr>
              <w:ind w:left="460" w:hanging="180"/>
              <w:rPr>
                <w:sz w:val="22"/>
                <w:szCs w:val="22"/>
              </w:rPr>
            </w:pPr>
          </w:p>
          <w:p w14:paraId="1F6BBAB8" w14:textId="02E6DAB9" w:rsidR="00114F14" w:rsidRDefault="00114F14" w:rsidP="004A104C">
            <w:pPr>
              <w:pStyle w:val="ListBullet"/>
              <w:numPr>
                <w:ilvl w:val="0"/>
                <w:numId w:val="0"/>
              </w:numPr>
              <w:ind w:left="460" w:hanging="180"/>
              <w:rPr>
                <w:sz w:val="22"/>
                <w:szCs w:val="22"/>
              </w:rPr>
            </w:pPr>
          </w:p>
          <w:p w14:paraId="30E21A50" w14:textId="1A6AAEAD" w:rsidR="00114F14" w:rsidRPr="009B331D" w:rsidRDefault="00114F14" w:rsidP="004A104C">
            <w:pPr>
              <w:pStyle w:val="ListBullet"/>
            </w:pPr>
            <w:r w:rsidRPr="009B331D">
              <w:t>Sets the total cost of education from kindergarten to grade 12 for fiscal year 2019-20, the state contribution, the local contribution, the debt service limit, the annual state share percentage and the full-value education mill rate (8.28).</w:t>
            </w:r>
          </w:p>
          <w:p w14:paraId="6AF90253" w14:textId="77777777" w:rsidR="00114F14" w:rsidRDefault="00114F14" w:rsidP="004A104C">
            <w:pPr>
              <w:pStyle w:val="ListBullet"/>
              <w:numPr>
                <w:ilvl w:val="0"/>
                <w:numId w:val="0"/>
              </w:numPr>
              <w:ind w:left="460" w:hanging="180"/>
            </w:pPr>
          </w:p>
          <w:p w14:paraId="65EA3FF2" w14:textId="6DDB281B" w:rsidR="00114F14" w:rsidRPr="009B331D" w:rsidRDefault="00114F14" w:rsidP="004A104C">
            <w:pPr>
              <w:pStyle w:val="ListBullet"/>
              <w:numPr>
                <w:ilvl w:val="0"/>
                <w:numId w:val="0"/>
              </w:numPr>
              <w:ind w:left="460" w:hanging="180"/>
              <w:rPr>
                <w:sz w:val="22"/>
                <w:szCs w:val="22"/>
              </w:rPr>
            </w:pPr>
            <w:r>
              <w:t xml:space="preserve"> </w:t>
            </w:r>
          </w:p>
          <w:p w14:paraId="40F0CD6B" w14:textId="6A6FDB2D" w:rsidR="00114F14" w:rsidRPr="004F3F7F" w:rsidRDefault="00114F14" w:rsidP="004A104C">
            <w:pPr>
              <w:pStyle w:val="ListBullet"/>
              <w:numPr>
                <w:ilvl w:val="0"/>
                <w:numId w:val="0"/>
              </w:numPr>
              <w:ind w:left="24" w:firstLine="14"/>
              <w:rPr>
                <w:b/>
                <w:u w:val="single"/>
              </w:rPr>
            </w:pPr>
            <w:r w:rsidRPr="004F3F7F">
              <w:rPr>
                <w:b/>
                <w:u w:val="single"/>
              </w:rPr>
              <w:t>PART SS</w:t>
            </w:r>
          </w:p>
          <w:p w14:paraId="74883334" w14:textId="77777777" w:rsidR="00114F14" w:rsidRPr="007B219E" w:rsidRDefault="00114F14" w:rsidP="004A104C">
            <w:pPr>
              <w:pStyle w:val="ListBullet"/>
              <w:numPr>
                <w:ilvl w:val="0"/>
                <w:numId w:val="0"/>
              </w:numPr>
              <w:ind w:left="460" w:hanging="180"/>
              <w:rPr>
                <w:sz w:val="22"/>
                <w:szCs w:val="22"/>
              </w:rPr>
            </w:pPr>
          </w:p>
          <w:p w14:paraId="7AE633FD" w14:textId="7A793BD0" w:rsidR="00114F14" w:rsidRDefault="00114F14" w:rsidP="004A104C">
            <w:pPr>
              <w:pStyle w:val="ListBullet"/>
            </w:pPr>
            <w:r>
              <w:t>Amends the title of Director, Policy and Programs to Director, Legislative Affairs in the Department.</w:t>
            </w:r>
          </w:p>
          <w:p w14:paraId="1B4311C5" w14:textId="770D7E51" w:rsidR="00114F14" w:rsidRDefault="00114F14" w:rsidP="004A104C">
            <w:pPr>
              <w:pStyle w:val="ListBullet"/>
              <w:numPr>
                <w:ilvl w:val="0"/>
                <w:numId w:val="0"/>
              </w:numPr>
              <w:ind w:left="280"/>
            </w:pPr>
          </w:p>
          <w:p w14:paraId="5BB3DBC4" w14:textId="13ADFBF2" w:rsidR="00114F14" w:rsidRDefault="00114F14" w:rsidP="004A104C">
            <w:pPr>
              <w:pStyle w:val="ListBullet"/>
              <w:numPr>
                <w:ilvl w:val="0"/>
                <w:numId w:val="0"/>
              </w:numPr>
            </w:pPr>
          </w:p>
          <w:p w14:paraId="14A726EB" w14:textId="2E7873EB" w:rsidR="00114F14" w:rsidRDefault="00114F14" w:rsidP="004A104C">
            <w:pPr>
              <w:pStyle w:val="ListBullet"/>
              <w:numPr>
                <w:ilvl w:val="0"/>
                <w:numId w:val="0"/>
              </w:numPr>
            </w:pPr>
            <w:r>
              <w:rPr>
                <w:b/>
                <w:u w:val="single"/>
              </w:rPr>
              <w:t>PART TT</w:t>
            </w:r>
          </w:p>
          <w:p w14:paraId="5E03C999" w14:textId="5259DA82" w:rsidR="00114F14" w:rsidRDefault="00114F14" w:rsidP="004A104C">
            <w:pPr>
              <w:pStyle w:val="ListBullet"/>
              <w:numPr>
                <w:ilvl w:val="0"/>
                <w:numId w:val="0"/>
              </w:numPr>
            </w:pPr>
          </w:p>
          <w:p w14:paraId="3A32CF5B" w14:textId="75FBD276" w:rsidR="00114F14" w:rsidRDefault="00114F14" w:rsidP="004A104C">
            <w:pPr>
              <w:pStyle w:val="ListBullet"/>
            </w:pPr>
            <w:r>
              <w:t>Includes the position and title of Chief of Staff and Operation to the list of officials who are appointed by and serve at the pleasure of the Commissioner of the Department of Education.</w:t>
            </w:r>
          </w:p>
          <w:p w14:paraId="58C5F493" w14:textId="7B2FD622" w:rsidR="00114F14" w:rsidRDefault="00114F14" w:rsidP="004A104C">
            <w:pPr>
              <w:pStyle w:val="ListBullet"/>
              <w:numPr>
                <w:ilvl w:val="0"/>
                <w:numId w:val="0"/>
              </w:numPr>
              <w:ind w:left="280"/>
            </w:pPr>
          </w:p>
          <w:p w14:paraId="7536BFEC" w14:textId="77777777" w:rsidR="00114F14" w:rsidRDefault="00114F14" w:rsidP="004A104C">
            <w:pPr>
              <w:pStyle w:val="ListBullet"/>
              <w:numPr>
                <w:ilvl w:val="0"/>
                <w:numId w:val="0"/>
              </w:numPr>
              <w:ind w:left="280"/>
            </w:pPr>
          </w:p>
          <w:p w14:paraId="08177471" w14:textId="489A5344" w:rsidR="00114F14" w:rsidRDefault="00114F14" w:rsidP="004A104C">
            <w:pPr>
              <w:pStyle w:val="ListBullet"/>
              <w:numPr>
                <w:ilvl w:val="0"/>
                <w:numId w:val="0"/>
              </w:numPr>
            </w:pPr>
            <w:r>
              <w:rPr>
                <w:b/>
                <w:u w:val="single"/>
              </w:rPr>
              <w:t>PART UU</w:t>
            </w:r>
          </w:p>
          <w:p w14:paraId="63793822" w14:textId="3C6B67CA" w:rsidR="00114F14" w:rsidRDefault="00114F14" w:rsidP="004A104C">
            <w:pPr>
              <w:pStyle w:val="ListBullet"/>
              <w:numPr>
                <w:ilvl w:val="0"/>
                <w:numId w:val="0"/>
              </w:numPr>
            </w:pPr>
          </w:p>
          <w:p w14:paraId="5A811F6B" w14:textId="77777777" w:rsidR="00114F14" w:rsidRDefault="00114F14" w:rsidP="004A104C">
            <w:pPr>
              <w:pStyle w:val="ListBullet"/>
            </w:pPr>
            <w:r w:rsidRPr="001E552F">
              <w:t>Increases</w:t>
            </w:r>
            <w:r w:rsidRPr="001E552F">
              <w:rPr>
                <w:spacing w:val="40"/>
              </w:rPr>
              <w:t xml:space="preserve"> </w:t>
            </w:r>
            <w:r w:rsidRPr="001E552F">
              <w:t>the</w:t>
            </w:r>
            <w:r w:rsidRPr="001E552F">
              <w:rPr>
                <w:spacing w:val="45"/>
              </w:rPr>
              <w:t xml:space="preserve"> </w:t>
            </w:r>
            <w:r w:rsidRPr="001E552F">
              <w:t>minimum</w:t>
            </w:r>
            <w:r w:rsidRPr="001E552F">
              <w:rPr>
                <w:spacing w:val="39"/>
              </w:rPr>
              <w:t xml:space="preserve"> </w:t>
            </w:r>
            <w:r w:rsidRPr="001E552F">
              <w:t>salary</w:t>
            </w:r>
            <w:r w:rsidRPr="001E552F">
              <w:rPr>
                <w:spacing w:val="43"/>
              </w:rPr>
              <w:t xml:space="preserve"> </w:t>
            </w:r>
            <w:r w:rsidRPr="001E552F">
              <w:t>for</w:t>
            </w:r>
            <w:r w:rsidRPr="001E552F">
              <w:rPr>
                <w:spacing w:val="48"/>
              </w:rPr>
              <w:t xml:space="preserve"> </w:t>
            </w:r>
            <w:r w:rsidRPr="001E552F">
              <w:t>certified</w:t>
            </w:r>
            <w:r w:rsidRPr="001E552F">
              <w:rPr>
                <w:spacing w:val="41"/>
              </w:rPr>
              <w:t xml:space="preserve"> </w:t>
            </w:r>
            <w:r w:rsidRPr="001E552F">
              <w:t>teachers,</w:t>
            </w:r>
            <w:r>
              <w:t xml:space="preserve"> to $35,000 in school year </w:t>
            </w:r>
            <w:r w:rsidRPr="001E552F">
              <w:t>2020-2021</w:t>
            </w:r>
            <w:r>
              <w:t xml:space="preserve">, $37,500 in school year 2021-22, and $40,000 in school year 2022-23 and each subsequent year.  </w:t>
            </w:r>
          </w:p>
          <w:p w14:paraId="1E78B983" w14:textId="5970E153" w:rsidR="00114F14" w:rsidRDefault="00114F14" w:rsidP="004A104C">
            <w:pPr>
              <w:pStyle w:val="ListBullet"/>
            </w:pPr>
            <w:r>
              <w:t xml:space="preserve">Directs school administrative units to provide annually before October 1 to the Department the number of teachers eligible for incremental salary increases pursuant to this initiative. </w:t>
            </w:r>
          </w:p>
          <w:p w14:paraId="18719BC0" w14:textId="77777777" w:rsidR="00114F14" w:rsidRPr="001E552F" w:rsidRDefault="00114F14" w:rsidP="004A104C">
            <w:pPr>
              <w:pStyle w:val="ListBullet"/>
            </w:pPr>
            <w:r w:rsidRPr="001E552F">
              <w:t>Requires the Commissioner of Education to increase the state share of the total allocation to a qualifying school administrative unit to achieve the minimum salary for certified teachers.</w:t>
            </w:r>
          </w:p>
          <w:p w14:paraId="7F797863" w14:textId="77777777" w:rsidR="00114F14" w:rsidRPr="00321CE6" w:rsidRDefault="00114F14" w:rsidP="004A104C">
            <w:pPr>
              <w:pStyle w:val="ListBullet"/>
              <w:numPr>
                <w:ilvl w:val="0"/>
                <w:numId w:val="0"/>
              </w:numPr>
            </w:pPr>
          </w:p>
          <w:p w14:paraId="594BB637" w14:textId="77777777" w:rsidR="00114F14" w:rsidRPr="00321CE6" w:rsidRDefault="00114F14" w:rsidP="004A104C">
            <w:pPr>
              <w:pStyle w:val="ListBullet"/>
              <w:numPr>
                <w:ilvl w:val="0"/>
                <w:numId w:val="0"/>
              </w:numPr>
              <w:rPr>
                <w:b/>
                <w:u w:val="single"/>
              </w:rPr>
            </w:pPr>
          </w:p>
          <w:p w14:paraId="6ABA88A6" w14:textId="1C83510A" w:rsidR="00114F14" w:rsidRDefault="00114F14" w:rsidP="004A104C">
            <w:pPr>
              <w:pStyle w:val="ListBullet"/>
              <w:numPr>
                <w:ilvl w:val="0"/>
                <w:numId w:val="0"/>
              </w:numPr>
            </w:pPr>
            <w:r>
              <w:rPr>
                <w:b/>
                <w:u w:val="single"/>
              </w:rPr>
              <w:t>PART VV</w:t>
            </w:r>
          </w:p>
          <w:p w14:paraId="74C8BEC0" w14:textId="544ACEF3" w:rsidR="00114F14" w:rsidRDefault="00114F14" w:rsidP="004A104C">
            <w:pPr>
              <w:pStyle w:val="ListBullet"/>
              <w:numPr>
                <w:ilvl w:val="0"/>
                <w:numId w:val="0"/>
              </w:numPr>
            </w:pPr>
          </w:p>
          <w:p w14:paraId="724C7BA1" w14:textId="77777777" w:rsidR="00114F14" w:rsidRPr="00522AD9" w:rsidRDefault="00114F14" w:rsidP="004A104C">
            <w:pPr>
              <w:pStyle w:val="ListBullet"/>
            </w:pPr>
            <w:r w:rsidRPr="00522AD9">
              <w:t xml:space="preserve">Authorizes the Department to enter into lease-purchase agreements for portable learning devices and support systems for students and educators for the Learning Through Technology program in fiscal years 2019-20 and 2020-21. </w:t>
            </w:r>
          </w:p>
          <w:p w14:paraId="54F21C37" w14:textId="5C00EA5C" w:rsidR="00114F14" w:rsidRDefault="00114F14" w:rsidP="004A104C">
            <w:pPr>
              <w:pStyle w:val="ListBullet"/>
              <w:numPr>
                <w:ilvl w:val="0"/>
                <w:numId w:val="0"/>
              </w:numPr>
            </w:pPr>
          </w:p>
          <w:p w14:paraId="2A2BA989" w14:textId="77777777" w:rsidR="00114F14" w:rsidRPr="00534CA4" w:rsidRDefault="00114F14" w:rsidP="004A104C">
            <w:pPr>
              <w:pStyle w:val="ListBullet"/>
              <w:numPr>
                <w:ilvl w:val="0"/>
                <w:numId w:val="0"/>
              </w:numPr>
            </w:pPr>
          </w:p>
          <w:p w14:paraId="16BFD5BA" w14:textId="77777777" w:rsidR="00114F14" w:rsidRPr="00603348" w:rsidRDefault="00114F14" w:rsidP="004A104C">
            <w:pPr>
              <w:pStyle w:val="ListBullet"/>
              <w:numPr>
                <w:ilvl w:val="0"/>
                <w:numId w:val="0"/>
              </w:numPr>
              <w:rPr>
                <w:b/>
                <w:u w:val="single"/>
              </w:rPr>
            </w:pPr>
            <w:r w:rsidRPr="00603348">
              <w:rPr>
                <w:b/>
                <w:u w:val="single"/>
              </w:rPr>
              <w:t>PART DDD</w:t>
            </w:r>
          </w:p>
          <w:p w14:paraId="5876F206" w14:textId="77777777" w:rsidR="00114F14" w:rsidRDefault="00114F14" w:rsidP="004A104C">
            <w:pPr>
              <w:pStyle w:val="ListBullet"/>
              <w:numPr>
                <w:ilvl w:val="0"/>
                <w:numId w:val="0"/>
              </w:numPr>
            </w:pPr>
          </w:p>
          <w:p w14:paraId="662FA585" w14:textId="1246D765" w:rsidR="00114F14" w:rsidRPr="00147952" w:rsidRDefault="00114F14" w:rsidP="004A104C">
            <w:pPr>
              <w:pStyle w:val="ListBullet"/>
            </w:pPr>
            <w:r>
              <w:t>R</w:t>
            </w:r>
            <w:r w:rsidRPr="00603348">
              <w:t>epeals the provision of law that establishe</w:t>
            </w:r>
            <w:r>
              <w:t>d</w:t>
            </w:r>
            <w:r w:rsidRPr="00603348">
              <w:t xml:space="preserve"> the Children's Mental Health Oversight Committee</w:t>
            </w:r>
            <w:r>
              <w:t xml:space="preserve"> in M.R.S., Title 34-B, Behavioral and Developmental Services, and references to that Committee but does not otherwise amend the Children’s Mental </w:t>
            </w:r>
            <w:r w:rsidRPr="00147952">
              <w:t xml:space="preserve">Health Program which was established in 1997 to </w:t>
            </w:r>
            <w:r w:rsidRPr="00147952">
              <w:rPr>
                <w:color w:val="333333"/>
              </w:rPr>
              <w:t>create a structure for coordination of children's mental health care provided by the Departments</w:t>
            </w:r>
            <w:r w:rsidRPr="00147952">
              <w:t xml:space="preserve"> Corrections, Education and Health &amp; Human Services.</w:t>
            </w:r>
          </w:p>
          <w:p w14:paraId="4CEDDB3F" w14:textId="77777777" w:rsidR="00114F14" w:rsidRPr="00B36C5D" w:rsidRDefault="00114F14" w:rsidP="004A104C">
            <w:pPr>
              <w:pStyle w:val="ListBullet"/>
              <w:numPr>
                <w:ilvl w:val="0"/>
                <w:numId w:val="0"/>
              </w:numPr>
              <w:rPr>
                <w:color w:val="000000"/>
                <w:spacing w:val="-8"/>
                <w:shd w:val="clear" w:color="auto" w:fill="E7F4FF"/>
              </w:rPr>
            </w:pPr>
          </w:p>
          <w:p w14:paraId="0DDAC49F" w14:textId="1CB5D34B" w:rsidR="00114F14" w:rsidRDefault="00114F14" w:rsidP="004A104C">
            <w:pPr>
              <w:pStyle w:val="ListBullet"/>
              <w:numPr>
                <w:ilvl w:val="0"/>
                <w:numId w:val="0"/>
              </w:numPr>
              <w:ind w:left="280"/>
            </w:pPr>
          </w:p>
          <w:p w14:paraId="2C6DD27A" w14:textId="77777777" w:rsidR="00114F14" w:rsidRDefault="00114F14" w:rsidP="004A104C">
            <w:pPr>
              <w:pStyle w:val="ListBullet"/>
              <w:numPr>
                <w:ilvl w:val="0"/>
                <w:numId w:val="0"/>
              </w:numPr>
            </w:pPr>
            <w:r w:rsidRPr="00592923">
              <w:rPr>
                <w:b/>
                <w:u w:val="single"/>
              </w:rPr>
              <w:t>PART NNNN</w:t>
            </w:r>
          </w:p>
          <w:p w14:paraId="0C30674B" w14:textId="77777777" w:rsidR="00114F14" w:rsidRDefault="00114F14" w:rsidP="004A104C">
            <w:pPr>
              <w:pStyle w:val="ListBullet"/>
              <w:numPr>
                <w:ilvl w:val="0"/>
                <w:numId w:val="0"/>
              </w:numPr>
            </w:pPr>
          </w:p>
          <w:p w14:paraId="37F75AF9" w14:textId="77777777" w:rsidR="00114F14" w:rsidRDefault="00114F14" w:rsidP="004A104C">
            <w:pPr>
              <w:pStyle w:val="ListBullet"/>
            </w:pPr>
            <w:r>
              <w:t>D</w:t>
            </w:r>
            <w:r w:rsidRPr="00592923">
              <w:t xml:space="preserve">irects </w:t>
            </w:r>
            <w:r>
              <w:t xml:space="preserve">a public school that serves lunch to provide all students who are eligible for free and reduced-price meals a meal that meets the requirements of the federal National School Lunch Program (7 CFR, Part 210) at no cost to the student. </w:t>
            </w:r>
          </w:p>
          <w:p w14:paraId="2769DB2D" w14:textId="77777777" w:rsidR="00114F14" w:rsidRDefault="00114F14" w:rsidP="004A104C">
            <w:pPr>
              <w:pStyle w:val="ListBullet"/>
            </w:pPr>
            <w:r>
              <w:t>Directs the Department</w:t>
            </w:r>
            <w:r w:rsidRPr="00592923">
              <w:t xml:space="preserve"> to fund the difference between federal reimbursements for reduced-price and free lunches </w:t>
            </w:r>
            <w:r>
              <w:t xml:space="preserve">for each eligible student a </w:t>
            </w:r>
            <w:r w:rsidRPr="00592923">
              <w:t xml:space="preserve">free lunch </w:t>
            </w:r>
            <w:r>
              <w:t>for those receiving lunch</w:t>
            </w:r>
            <w:r w:rsidRPr="00592923">
              <w:t>.</w:t>
            </w:r>
          </w:p>
          <w:p w14:paraId="522A6C2F" w14:textId="77777777" w:rsidR="00114F14" w:rsidRDefault="00114F14" w:rsidP="004A104C">
            <w:pPr>
              <w:pStyle w:val="ListBullet"/>
              <w:numPr>
                <w:ilvl w:val="0"/>
                <w:numId w:val="0"/>
              </w:numPr>
            </w:pPr>
          </w:p>
          <w:p w14:paraId="4085360B" w14:textId="77777777" w:rsidR="00114F14" w:rsidRDefault="00114F14" w:rsidP="004A104C">
            <w:pPr>
              <w:pStyle w:val="ListBullet"/>
              <w:numPr>
                <w:ilvl w:val="0"/>
                <w:numId w:val="0"/>
              </w:numPr>
            </w:pPr>
          </w:p>
          <w:p w14:paraId="51771E36" w14:textId="77777777" w:rsidR="00114F14" w:rsidRPr="00592923" w:rsidRDefault="00114F14" w:rsidP="004A104C">
            <w:pPr>
              <w:pStyle w:val="ListBullet"/>
              <w:numPr>
                <w:ilvl w:val="0"/>
                <w:numId w:val="0"/>
              </w:numPr>
            </w:pPr>
            <w:r>
              <w:rPr>
                <w:b/>
                <w:u w:val="single"/>
              </w:rPr>
              <w:t>PART OOOO</w:t>
            </w:r>
          </w:p>
          <w:p w14:paraId="61CECBC4" w14:textId="77777777" w:rsidR="00114F14" w:rsidRPr="00592923" w:rsidRDefault="00114F14" w:rsidP="004A104C">
            <w:pPr>
              <w:pStyle w:val="ListBullet"/>
              <w:numPr>
                <w:ilvl w:val="0"/>
                <w:numId w:val="0"/>
              </w:numPr>
            </w:pPr>
          </w:p>
          <w:p w14:paraId="556C0959" w14:textId="77777777" w:rsidR="00114F14" w:rsidRPr="00460DF1" w:rsidRDefault="00114F14" w:rsidP="004A104C">
            <w:pPr>
              <w:pStyle w:val="ListBullet"/>
            </w:pPr>
            <w:r w:rsidRPr="00460DF1">
              <w:t xml:space="preserve">Requires the State Controller to transfer General Fund appropriations of $18,000,000 to the Maine Municipal Bond Bank for the School Revolving Renovation Fund by June 30, 2019. </w:t>
            </w:r>
          </w:p>
          <w:p w14:paraId="06779B52" w14:textId="2CAF91CC" w:rsidR="00114F14" w:rsidRDefault="00114F14" w:rsidP="004A104C">
            <w:pPr>
              <w:pStyle w:val="ListBullet"/>
              <w:numPr>
                <w:ilvl w:val="0"/>
                <w:numId w:val="0"/>
              </w:numPr>
              <w:ind w:left="280"/>
            </w:pPr>
          </w:p>
          <w:p w14:paraId="09669B0C" w14:textId="77777777" w:rsidR="00114F14" w:rsidRDefault="00114F14" w:rsidP="004A104C">
            <w:pPr>
              <w:pStyle w:val="Default"/>
              <w:rPr>
                <w:b/>
                <w:u w:val="single"/>
              </w:rPr>
            </w:pPr>
          </w:p>
          <w:p w14:paraId="687F0106" w14:textId="7E7FD6F6" w:rsidR="00114F14" w:rsidRPr="00F64456" w:rsidRDefault="00114F14" w:rsidP="004A104C">
            <w:pPr>
              <w:pStyle w:val="Default"/>
            </w:pPr>
            <w:r>
              <w:rPr>
                <w:b/>
                <w:u w:val="single"/>
              </w:rPr>
              <w:t>PART UUUU</w:t>
            </w:r>
          </w:p>
          <w:p w14:paraId="6B572209" w14:textId="77777777" w:rsidR="00114F14" w:rsidRPr="00F64456" w:rsidRDefault="00114F14" w:rsidP="004A104C">
            <w:pPr>
              <w:pStyle w:val="Default"/>
            </w:pPr>
          </w:p>
          <w:p w14:paraId="08C1B1D4" w14:textId="165EE2B6" w:rsidR="00114F14" w:rsidRDefault="00114F14" w:rsidP="004A104C">
            <w:pPr>
              <w:pStyle w:val="ListBullet"/>
            </w:pPr>
            <w:r>
              <w:t>The g</w:t>
            </w:r>
            <w:r w:rsidRPr="004700F5">
              <w:t>oal of the State</w:t>
            </w:r>
            <w:r>
              <w:t xml:space="preserve"> is</w:t>
            </w:r>
            <w:r w:rsidRPr="004700F5">
              <w:t xml:space="preserve"> to provide adequate start-up funding to ensure that public preschool programs for children 4 years of age are offered by all school administrative units </w:t>
            </w:r>
            <w:r>
              <w:t xml:space="preserve">(SAUs) </w:t>
            </w:r>
            <w:r w:rsidRPr="004700F5">
              <w:t>by the 2023-2024 school year</w:t>
            </w:r>
            <w:r>
              <w:t>.</w:t>
            </w:r>
          </w:p>
          <w:p w14:paraId="528B2B4F" w14:textId="174BA60C" w:rsidR="00114F14" w:rsidRDefault="00114F14" w:rsidP="004A104C">
            <w:pPr>
              <w:pStyle w:val="ListBullet"/>
            </w:pPr>
            <w:r>
              <w:t>R</w:t>
            </w:r>
            <w:r w:rsidRPr="004700F5">
              <w:t>equires the Department to develop recommendations</w:t>
            </w:r>
            <w:r>
              <w:t xml:space="preserve"> including recommended legislation for the implementation of universal public preschool for children 4 years of age </w:t>
            </w:r>
            <w:r w:rsidRPr="004700F5">
              <w:t>and report back to the Joint Standing Committee on Education</w:t>
            </w:r>
            <w:r>
              <w:t xml:space="preserve"> &amp; </w:t>
            </w:r>
            <w:r w:rsidRPr="004700F5">
              <w:t xml:space="preserve">Cultural Affairs by January 1, 2020. </w:t>
            </w:r>
          </w:p>
          <w:p w14:paraId="60409745" w14:textId="6A719C5F" w:rsidR="00114F14" w:rsidRDefault="00114F14" w:rsidP="004A104C">
            <w:pPr>
              <w:pStyle w:val="ListBullet"/>
            </w:pPr>
            <w:r>
              <w:t>Recommendations must include at least:</w:t>
            </w:r>
          </w:p>
          <w:p w14:paraId="752697AF" w14:textId="4A8A8315" w:rsidR="00114F14" w:rsidRDefault="00114F14" w:rsidP="004A104C">
            <w:pPr>
              <w:pStyle w:val="ListBullet"/>
              <w:numPr>
                <w:ilvl w:val="0"/>
                <w:numId w:val="17"/>
              </w:numPr>
            </w:pPr>
            <w:r>
              <w:t>Standards for public preschool programs;</w:t>
            </w:r>
          </w:p>
          <w:p w14:paraId="3ED39079" w14:textId="0B3CF8CD" w:rsidR="00114F14" w:rsidRDefault="00114F14" w:rsidP="004A104C">
            <w:pPr>
              <w:pStyle w:val="ListBullet"/>
              <w:numPr>
                <w:ilvl w:val="0"/>
                <w:numId w:val="17"/>
              </w:numPr>
            </w:pPr>
            <w:r>
              <w:t xml:space="preserve">Process for approval and certification of programs not operated by a SAU, including, but not limited to, a Head Start program or </w:t>
            </w:r>
            <w:proofErr w:type="gramStart"/>
            <w:r>
              <w:t>other</w:t>
            </w:r>
            <w:proofErr w:type="gramEnd"/>
            <w:r>
              <w:t xml:space="preserve"> program affiliated with the SAU;</w:t>
            </w:r>
          </w:p>
          <w:p w14:paraId="3D21922F" w14:textId="0583F029" w:rsidR="00114F14" w:rsidRDefault="00114F14" w:rsidP="004A104C">
            <w:pPr>
              <w:pStyle w:val="ListBullet"/>
              <w:numPr>
                <w:ilvl w:val="0"/>
                <w:numId w:val="17"/>
              </w:numPr>
            </w:pPr>
            <w:r>
              <w:t>Funding for public preschool programs including options to encourage implementation or expansion by SAUs.</w:t>
            </w:r>
          </w:p>
          <w:p w14:paraId="0B84EEB7" w14:textId="77777777" w:rsidR="00114F14" w:rsidRPr="004700F5" w:rsidRDefault="00114F14" w:rsidP="004A104C">
            <w:pPr>
              <w:pStyle w:val="ListBullet"/>
              <w:numPr>
                <w:ilvl w:val="0"/>
                <w:numId w:val="17"/>
              </w:numPr>
            </w:pPr>
            <w:r>
              <w:t xml:space="preserve">Authorizes the </w:t>
            </w:r>
            <w:r w:rsidRPr="004700F5">
              <w:t xml:space="preserve">Joint Standing Committee on Education </w:t>
            </w:r>
            <w:r>
              <w:t>&amp;</w:t>
            </w:r>
            <w:r w:rsidRPr="004700F5">
              <w:t xml:space="preserve"> Cultural Affairs </w:t>
            </w:r>
            <w:r>
              <w:t>to submit legis</w:t>
            </w:r>
            <w:r w:rsidRPr="004700F5">
              <w:t xml:space="preserve">lation to the </w:t>
            </w:r>
            <w:r>
              <w:t>2nd</w:t>
            </w:r>
            <w:r w:rsidRPr="004700F5">
              <w:t xml:space="preserve"> Regular Session of the 129th Legislature to implement the recommendations in the report.</w:t>
            </w:r>
          </w:p>
          <w:p w14:paraId="31A0FFFB" w14:textId="77777777" w:rsidR="00114F14" w:rsidRDefault="00114F14" w:rsidP="004A104C">
            <w:pPr>
              <w:pStyle w:val="ListBullet"/>
              <w:numPr>
                <w:ilvl w:val="0"/>
                <w:numId w:val="0"/>
              </w:numPr>
              <w:ind w:left="280"/>
            </w:pPr>
          </w:p>
          <w:p w14:paraId="6678F940" w14:textId="77777777" w:rsidR="00114F14" w:rsidRDefault="00114F14" w:rsidP="004A104C">
            <w:pPr>
              <w:pStyle w:val="ListBullet"/>
              <w:numPr>
                <w:ilvl w:val="0"/>
                <w:numId w:val="0"/>
              </w:numPr>
              <w:ind w:left="280"/>
            </w:pPr>
          </w:p>
          <w:p w14:paraId="31F91CE1" w14:textId="4704EA73" w:rsidR="00114F14" w:rsidRPr="005670C0" w:rsidRDefault="00114F14" w:rsidP="004A104C">
            <w:pPr>
              <w:pStyle w:val="ListBullet"/>
              <w:numPr>
                <w:ilvl w:val="0"/>
                <w:numId w:val="0"/>
              </w:numPr>
              <w:rPr>
                <w:b/>
                <w:u w:val="single"/>
              </w:rPr>
            </w:pPr>
            <w:r w:rsidRPr="005670C0">
              <w:rPr>
                <w:b/>
                <w:u w:val="single"/>
              </w:rPr>
              <w:t>PART VVVV</w:t>
            </w:r>
          </w:p>
          <w:p w14:paraId="6FCAFD71" w14:textId="5969D2C8" w:rsidR="00114F14" w:rsidRDefault="00114F14" w:rsidP="004A104C">
            <w:pPr>
              <w:pStyle w:val="ListBullet"/>
              <w:numPr>
                <w:ilvl w:val="0"/>
                <w:numId w:val="0"/>
              </w:numPr>
              <w:ind w:left="280"/>
            </w:pPr>
          </w:p>
          <w:p w14:paraId="3031EF6C" w14:textId="2AA1C13C" w:rsidR="00114F14" w:rsidRPr="004700F5" w:rsidRDefault="00114F14" w:rsidP="004A104C">
            <w:pPr>
              <w:pStyle w:val="ListBullet"/>
            </w:pPr>
            <w:r>
              <w:t>A</w:t>
            </w:r>
            <w:r w:rsidRPr="004700F5">
              <w:t xml:space="preserve">uthorizes the Office of the Executive Director of the Legislative Council, at the direction of the Joint Standing Committee on Education and Cultural Affairs, </w:t>
            </w:r>
            <w:r>
              <w:t xml:space="preserve">and the advice and assistance of the Independent Review Advisory Committee, </w:t>
            </w:r>
            <w:r w:rsidRPr="004700F5">
              <w:t xml:space="preserve">to develop and administer a request for proposals process to award a contract for </w:t>
            </w:r>
            <w:r>
              <w:t>an</w:t>
            </w:r>
            <w:r w:rsidRPr="004700F5">
              <w:t xml:space="preserve"> independent review</w:t>
            </w:r>
            <w:r>
              <w:t xml:space="preserve"> on Maine’s early childhood special education services from birth to age 5</w:t>
            </w:r>
            <w:r w:rsidRPr="004700F5">
              <w:t>.</w:t>
            </w:r>
          </w:p>
          <w:p w14:paraId="1A529328" w14:textId="13B88C60" w:rsidR="00114F14" w:rsidRDefault="00114F14" w:rsidP="004A104C">
            <w:pPr>
              <w:pStyle w:val="ListBullet"/>
            </w:pPr>
            <w:r>
              <w:t>A</w:t>
            </w:r>
            <w:r w:rsidRPr="004700F5">
              <w:t xml:space="preserve">uthorizes the </w:t>
            </w:r>
            <w:r>
              <w:t>Jo</w:t>
            </w:r>
            <w:r w:rsidRPr="004700F5">
              <w:t>int Standing Committee on Education</w:t>
            </w:r>
            <w:r>
              <w:t xml:space="preserve"> &amp;</w:t>
            </w:r>
            <w:r w:rsidRPr="004700F5">
              <w:t xml:space="preserve"> Cultural Affairs to contract with a qualified research and technical assistance entity to conduct </w:t>
            </w:r>
            <w:r>
              <w:t xml:space="preserve">the </w:t>
            </w:r>
            <w:r w:rsidRPr="004700F5">
              <w:t>independent review</w:t>
            </w:r>
            <w:r>
              <w:t xml:space="preserve"> and develop recommendations and an implementation plan.</w:t>
            </w:r>
            <w:r w:rsidRPr="004700F5">
              <w:t xml:space="preserve"> </w:t>
            </w:r>
          </w:p>
          <w:p w14:paraId="446F7FC0" w14:textId="63F0DAD9" w:rsidR="00114F14" w:rsidRDefault="00114F14" w:rsidP="004A104C">
            <w:pPr>
              <w:pStyle w:val="ListBullet"/>
            </w:pPr>
            <w:r>
              <w:t>Establishes the Independent Review Advisory Committee to advise the Legislative Council and Joint Standing Committee on Education &amp; Cultural Affairs.</w:t>
            </w:r>
          </w:p>
          <w:p w14:paraId="4BD05577" w14:textId="3608DDA3" w:rsidR="00114F14" w:rsidRDefault="00114F14" w:rsidP="004A104C">
            <w:pPr>
              <w:pStyle w:val="ListBullet"/>
            </w:pPr>
            <w:r>
              <w:t>The 13-member Committee consists of:</w:t>
            </w:r>
          </w:p>
          <w:p w14:paraId="378F6387" w14:textId="3B52BD85" w:rsidR="00114F14" w:rsidRDefault="00114F14" w:rsidP="004A104C">
            <w:pPr>
              <w:pStyle w:val="ListBullet"/>
              <w:numPr>
                <w:ilvl w:val="0"/>
                <w:numId w:val="17"/>
              </w:numPr>
            </w:pPr>
            <w:r>
              <w:t>The Commissioner of Education or designee;</w:t>
            </w:r>
          </w:p>
          <w:p w14:paraId="703D59A0" w14:textId="1306DCEC" w:rsidR="00114F14" w:rsidRDefault="00114F14" w:rsidP="004A104C">
            <w:pPr>
              <w:pStyle w:val="ListBullet"/>
              <w:numPr>
                <w:ilvl w:val="0"/>
                <w:numId w:val="17"/>
              </w:numPr>
            </w:pPr>
            <w:r>
              <w:t>The Commissioner of Health &amp; Human Services or designee;</w:t>
            </w:r>
          </w:p>
          <w:p w14:paraId="4E3184A9" w14:textId="0E81517C" w:rsidR="00114F14" w:rsidRDefault="00114F14" w:rsidP="004A104C">
            <w:pPr>
              <w:pStyle w:val="ListBullet"/>
              <w:numPr>
                <w:ilvl w:val="0"/>
                <w:numId w:val="17"/>
              </w:numPr>
            </w:pPr>
            <w:r>
              <w:t>6 members appointed by the Senate President;</w:t>
            </w:r>
          </w:p>
          <w:p w14:paraId="5720E00E" w14:textId="35BB249A" w:rsidR="00114F14" w:rsidRDefault="00114F14" w:rsidP="004A104C">
            <w:pPr>
              <w:pStyle w:val="ListBullet"/>
              <w:numPr>
                <w:ilvl w:val="0"/>
                <w:numId w:val="28"/>
              </w:numPr>
              <w:ind w:left="1374"/>
            </w:pPr>
            <w:r>
              <w:t>One member who is a contracted service provider of early intervention and free, appropriate public education from a list provided by the ME Assoc. for Community Service Providers.</w:t>
            </w:r>
          </w:p>
          <w:p w14:paraId="6777F199" w14:textId="433D2B38" w:rsidR="00114F14" w:rsidRDefault="00114F14" w:rsidP="004A104C">
            <w:pPr>
              <w:pStyle w:val="ListBullet"/>
              <w:numPr>
                <w:ilvl w:val="0"/>
                <w:numId w:val="28"/>
              </w:numPr>
              <w:ind w:left="1374"/>
            </w:pPr>
            <w:r>
              <w:t>One member representing Head Start programs in Maine from a list provided by ME Head Start Directors Assoc.</w:t>
            </w:r>
          </w:p>
          <w:p w14:paraId="6FDB831F" w14:textId="237DB93E" w:rsidR="00114F14" w:rsidRDefault="00114F14" w:rsidP="004A104C">
            <w:pPr>
              <w:pStyle w:val="ListBullet"/>
              <w:numPr>
                <w:ilvl w:val="0"/>
                <w:numId w:val="28"/>
              </w:numPr>
              <w:ind w:left="1374"/>
            </w:pPr>
            <w:r>
              <w:t>One member who is a teacher in an early childhood education program for children 4 years of age in a public elementary school from a large school administrative unit (SAU) from a list provided by the ME Education Assoc.</w:t>
            </w:r>
          </w:p>
          <w:p w14:paraId="7A1EF2FF" w14:textId="2650815A" w:rsidR="00114F14" w:rsidRDefault="00114F14" w:rsidP="004A104C">
            <w:pPr>
              <w:pStyle w:val="ListBullet"/>
              <w:numPr>
                <w:ilvl w:val="0"/>
                <w:numId w:val="28"/>
              </w:numPr>
              <w:ind w:left="1374"/>
            </w:pPr>
            <w:r>
              <w:t>One member who is a principal of a public elementary school of an urban SAU that has implemented an early childhood education program for children 4 years of age from a list provided by the ME Principals’ Assoc.</w:t>
            </w:r>
          </w:p>
          <w:p w14:paraId="1B7B5094" w14:textId="7033999A" w:rsidR="00114F14" w:rsidRDefault="00114F14" w:rsidP="004A104C">
            <w:pPr>
              <w:pStyle w:val="ListBullet"/>
              <w:numPr>
                <w:ilvl w:val="0"/>
                <w:numId w:val="28"/>
              </w:numPr>
              <w:ind w:left="1374"/>
            </w:pPr>
            <w:r>
              <w:t>One member from a list provided by the ME Developmental Disabilities Council.</w:t>
            </w:r>
          </w:p>
          <w:p w14:paraId="0698A15C" w14:textId="15D10283" w:rsidR="00114F14" w:rsidRDefault="00114F14" w:rsidP="004A104C">
            <w:pPr>
              <w:pStyle w:val="ListBullet"/>
              <w:numPr>
                <w:ilvl w:val="0"/>
                <w:numId w:val="28"/>
              </w:numPr>
              <w:ind w:left="1374"/>
            </w:pPr>
            <w:r>
              <w:t>One member representing a statewide association of speech, language and hearing therapists from a list provided by the ME Speech Language Hearing Assoc.</w:t>
            </w:r>
          </w:p>
          <w:p w14:paraId="0E5A2061" w14:textId="17C2B062" w:rsidR="00114F14" w:rsidRDefault="00114F14" w:rsidP="004A104C">
            <w:pPr>
              <w:pStyle w:val="ListBullet"/>
              <w:numPr>
                <w:ilvl w:val="0"/>
                <w:numId w:val="29"/>
              </w:numPr>
            </w:pPr>
            <w:r>
              <w:t>5 members appointed by the Speaker of the House;</w:t>
            </w:r>
          </w:p>
          <w:p w14:paraId="495636AF" w14:textId="78A4D4B0" w:rsidR="00114F14" w:rsidRDefault="00114F14" w:rsidP="004A104C">
            <w:pPr>
              <w:pStyle w:val="ListBullet"/>
              <w:numPr>
                <w:ilvl w:val="0"/>
                <w:numId w:val="30"/>
              </w:numPr>
              <w:ind w:left="1374"/>
            </w:pPr>
            <w:r>
              <w:t>One member who is a parent of a child with a disability between 3 and 5 years of age from a list provided by the ME Parent Federation.</w:t>
            </w:r>
          </w:p>
          <w:p w14:paraId="66804CAF" w14:textId="66F0A98D" w:rsidR="00114F14" w:rsidRDefault="00114F14" w:rsidP="004A104C">
            <w:pPr>
              <w:pStyle w:val="ListBullet"/>
              <w:numPr>
                <w:ilvl w:val="0"/>
                <w:numId w:val="30"/>
              </w:numPr>
              <w:ind w:left="1374"/>
            </w:pPr>
            <w:r>
              <w:t>One member who is a representative of a child care program from a list provided by the ME Assoc. for the Education of Young Children.</w:t>
            </w:r>
          </w:p>
          <w:p w14:paraId="39A56E00" w14:textId="48089FCA" w:rsidR="00114F14" w:rsidRDefault="00114F14" w:rsidP="004A104C">
            <w:pPr>
              <w:pStyle w:val="ListBullet"/>
              <w:numPr>
                <w:ilvl w:val="0"/>
                <w:numId w:val="30"/>
              </w:numPr>
              <w:ind w:left="1374"/>
            </w:pPr>
            <w:r>
              <w:t>One member who is a special education director from a small SAU from a list provided by the ME Administrators of Services for Children with Disabilities.</w:t>
            </w:r>
          </w:p>
          <w:p w14:paraId="180332EE" w14:textId="3B27A67E" w:rsidR="00114F14" w:rsidRDefault="00114F14" w:rsidP="004A104C">
            <w:pPr>
              <w:pStyle w:val="ListBullet"/>
              <w:numPr>
                <w:ilvl w:val="0"/>
                <w:numId w:val="30"/>
              </w:numPr>
              <w:ind w:left="1374"/>
            </w:pPr>
            <w:r>
              <w:t>One member who is a superintendent of a rural SAU that has implemented an early childhood education program for children 4 years of age that includes coordination of programs for eligible children from a list provided by the ME School Superintendents Assoc.</w:t>
            </w:r>
          </w:p>
          <w:p w14:paraId="0E017BF8" w14:textId="5D8C51CB" w:rsidR="00114F14" w:rsidRDefault="00114F14" w:rsidP="004A104C">
            <w:pPr>
              <w:pStyle w:val="ListBullet"/>
              <w:numPr>
                <w:ilvl w:val="0"/>
                <w:numId w:val="30"/>
              </w:numPr>
              <w:ind w:left="1374"/>
            </w:pPr>
            <w:r>
              <w:t>One member representing a statewide association of occupational therapists from a list provided by the ME Occupational Therapy Assoc.</w:t>
            </w:r>
          </w:p>
          <w:p w14:paraId="59B70822" w14:textId="77777777" w:rsidR="00114F14" w:rsidRDefault="00114F14" w:rsidP="004A104C">
            <w:pPr>
              <w:pStyle w:val="ListBullet"/>
            </w:pPr>
            <w:r>
              <w:t>Requires an objective evaluation of Maine’s early childhood special education services from birth to age 5 to include:</w:t>
            </w:r>
          </w:p>
          <w:p w14:paraId="68573D9E" w14:textId="4505732C" w:rsidR="00114F14" w:rsidRDefault="00114F14" w:rsidP="004A104C">
            <w:pPr>
              <w:pStyle w:val="ListBullet"/>
              <w:numPr>
                <w:ilvl w:val="0"/>
                <w:numId w:val="29"/>
              </w:numPr>
              <w:ind w:left="1014"/>
            </w:pPr>
            <w:r>
              <w:t>Comparisons between States to include national trends and models that could provide potential for effectiveness, efficiency and accountability of the early childhood special education system in Maine.</w:t>
            </w:r>
          </w:p>
          <w:p w14:paraId="12FCFFD4" w14:textId="77777777" w:rsidR="00114F14" w:rsidRDefault="00114F14" w:rsidP="004A104C">
            <w:pPr>
              <w:pStyle w:val="ListBullet"/>
              <w:numPr>
                <w:ilvl w:val="0"/>
                <w:numId w:val="29"/>
              </w:numPr>
            </w:pPr>
            <w:r>
              <w:t>Short- and long-term costs and benefits of the proposed plan to restructure Child Development Services System (CDS) and impacts to:</w:t>
            </w:r>
          </w:p>
          <w:p w14:paraId="52DE3670" w14:textId="78180B21" w:rsidR="00114F14" w:rsidRDefault="00114F14" w:rsidP="004A104C">
            <w:pPr>
              <w:pStyle w:val="ListBullet"/>
              <w:numPr>
                <w:ilvl w:val="0"/>
                <w:numId w:val="32"/>
              </w:numPr>
            </w:pPr>
            <w:r>
              <w:t xml:space="preserve">Current CDS staff including retirement and whether staff would become employees of the local SAU or the State. </w:t>
            </w:r>
          </w:p>
          <w:p w14:paraId="712F46ED" w14:textId="73F7A023" w:rsidR="00114F14" w:rsidRDefault="00114F14" w:rsidP="004A104C">
            <w:pPr>
              <w:pStyle w:val="ListBullet"/>
              <w:numPr>
                <w:ilvl w:val="0"/>
                <w:numId w:val="32"/>
              </w:numPr>
            </w:pPr>
            <w:r>
              <w:t>Current SAU staff and capacity including certified teachers.</w:t>
            </w:r>
          </w:p>
          <w:p w14:paraId="7B33C032" w14:textId="27066AF6" w:rsidR="00114F14" w:rsidRDefault="00114F14" w:rsidP="004A104C">
            <w:pPr>
              <w:pStyle w:val="ListBullet"/>
              <w:numPr>
                <w:ilvl w:val="0"/>
                <w:numId w:val="32"/>
              </w:numPr>
            </w:pPr>
            <w:r>
              <w:t>Provision of services for children birth to age 3.</w:t>
            </w:r>
          </w:p>
          <w:p w14:paraId="4F78CAEF" w14:textId="417940A3" w:rsidR="00114F14" w:rsidRDefault="00114F14" w:rsidP="004A104C">
            <w:pPr>
              <w:pStyle w:val="ListBullet"/>
              <w:numPr>
                <w:ilvl w:val="0"/>
                <w:numId w:val="32"/>
              </w:numPr>
            </w:pPr>
            <w:r>
              <w:t>Due process complaints.</w:t>
            </w:r>
          </w:p>
          <w:p w14:paraId="6DA8FD4E" w14:textId="2B2CDD0F" w:rsidR="00114F14" w:rsidRDefault="00114F14" w:rsidP="004A104C">
            <w:pPr>
              <w:pStyle w:val="ListBullet"/>
              <w:numPr>
                <w:ilvl w:val="0"/>
                <w:numId w:val="31"/>
              </w:numPr>
            </w:pPr>
            <w:r>
              <w:t>Development of recommendations for the plan to include:</w:t>
            </w:r>
          </w:p>
          <w:p w14:paraId="5967E1D8" w14:textId="577A7694" w:rsidR="00114F14" w:rsidRDefault="00114F14" w:rsidP="004A104C">
            <w:pPr>
              <w:pStyle w:val="ListBullet"/>
              <w:numPr>
                <w:ilvl w:val="0"/>
                <w:numId w:val="33"/>
              </w:numPr>
              <w:ind w:left="1284"/>
            </w:pPr>
            <w:r>
              <w:t>Best practice models.</w:t>
            </w:r>
          </w:p>
          <w:p w14:paraId="0BD39760" w14:textId="1FB33245" w:rsidR="00114F14" w:rsidRDefault="00114F14" w:rsidP="004A104C">
            <w:pPr>
              <w:pStyle w:val="ListBullet"/>
              <w:numPr>
                <w:ilvl w:val="0"/>
                <w:numId w:val="33"/>
              </w:numPr>
              <w:ind w:left="1284"/>
            </w:pPr>
            <w:r>
              <w:t>Fiscally sound budget forecasting, including possible revenue streams and updated costs.</w:t>
            </w:r>
          </w:p>
          <w:p w14:paraId="7BF0258E" w14:textId="77777777" w:rsidR="00114F14" w:rsidRDefault="00114F14" w:rsidP="004A104C">
            <w:pPr>
              <w:pStyle w:val="ListBullet"/>
              <w:numPr>
                <w:ilvl w:val="0"/>
                <w:numId w:val="33"/>
              </w:numPr>
              <w:ind w:left="1284"/>
            </w:pPr>
            <w:r>
              <w:t>Transportation services.</w:t>
            </w:r>
          </w:p>
          <w:p w14:paraId="08F4FCE4" w14:textId="3C77088D" w:rsidR="00114F14" w:rsidRDefault="00114F14" w:rsidP="004A104C">
            <w:pPr>
              <w:pStyle w:val="ListBullet"/>
              <w:numPr>
                <w:ilvl w:val="0"/>
                <w:numId w:val="33"/>
              </w:numPr>
              <w:ind w:left="1284"/>
            </w:pPr>
            <w:r>
              <w:t>Data systems including coordination with MaineCare program and case management documentation.</w:t>
            </w:r>
          </w:p>
          <w:p w14:paraId="24447F60" w14:textId="2330B968" w:rsidR="00114F14" w:rsidRDefault="00114F14" w:rsidP="004A104C">
            <w:pPr>
              <w:pStyle w:val="ListBullet"/>
              <w:numPr>
                <w:ilvl w:val="0"/>
                <w:numId w:val="33"/>
              </w:numPr>
              <w:ind w:left="1284"/>
            </w:pPr>
            <w:r>
              <w:t>Timeline for implementation.</w:t>
            </w:r>
          </w:p>
          <w:p w14:paraId="21F4FC45" w14:textId="77777777" w:rsidR="00114F14" w:rsidRDefault="00114F14" w:rsidP="004A104C">
            <w:pPr>
              <w:pStyle w:val="ListBullet"/>
              <w:numPr>
                <w:ilvl w:val="0"/>
                <w:numId w:val="33"/>
              </w:numPr>
              <w:ind w:left="1284"/>
            </w:pPr>
            <w:r>
              <w:t xml:space="preserve">Procedure for data collection and analysis conducted by Maine education Policy Research Institution.   </w:t>
            </w:r>
          </w:p>
          <w:p w14:paraId="76FCBBE0" w14:textId="52B918B0" w:rsidR="00114F14" w:rsidRDefault="00114F14" w:rsidP="004A104C">
            <w:pPr>
              <w:pStyle w:val="ListBullet"/>
              <w:numPr>
                <w:ilvl w:val="0"/>
                <w:numId w:val="33"/>
              </w:numPr>
              <w:ind w:left="1284"/>
            </w:pPr>
            <w:r>
              <w:t>Method for assessing SAUs capacity for implementing early childhood special education programs.</w:t>
            </w:r>
          </w:p>
          <w:p w14:paraId="11DE52FD" w14:textId="599E858C" w:rsidR="00114F14" w:rsidRDefault="00114F14" w:rsidP="004A104C">
            <w:pPr>
              <w:pStyle w:val="ListBullet"/>
              <w:numPr>
                <w:ilvl w:val="0"/>
                <w:numId w:val="33"/>
              </w:numPr>
              <w:ind w:left="1284"/>
            </w:pPr>
            <w:r>
              <w:t>Training requirements for service providers.</w:t>
            </w:r>
          </w:p>
          <w:p w14:paraId="31763C1A" w14:textId="0A355CAF" w:rsidR="00114F14" w:rsidRDefault="00114F14" w:rsidP="004A104C">
            <w:pPr>
              <w:pStyle w:val="ListBullet"/>
              <w:numPr>
                <w:ilvl w:val="0"/>
                <w:numId w:val="33"/>
              </w:numPr>
              <w:ind w:left="1284"/>
            </w:pPr>
            <w:r>
              <w:t>Public information on notification of the plan.</w:t>
            </w:r>
          </w:p>
          <w:p w14:paraId="3C315B60" w14:textId="4809BCA5" w:rsidR="00114F14" w:rsidRDefault="00114F14" w:rsidP="004A104C">
            <w:pPr>
              <w:pStyle w:val="ListBullet"/>
              <w:numPr>
                <w:ilvl w:val="0"/>
                <w:numId w:val="33"/>
              </w:numPr>
              <w:ind w:left="1284"/>
            </w:pPr>
            <w:r>
              <w:t>Identification of possible revisions to the Department of Health &amp; Human Services Chapter 101 MaineCare Benefits Manual.</w:t>
            </w:r>
          </w:p>
          <w:p w14:paraId="6B2AC53D" w14:textId="29723DB7" w:rsidR="00114F14" w:rsidRDefault="00114F14" w:rsidP="004A104C">
            <w:pPr>
              <w:pStyle w:val="ListBullet"/>
              <w:numPr>
                <w:ilvl w:val="0"/>
                <w:numId w:val="34"/>
              </w:numPr>
              <w:ind w:left="1014"/>
            </w:pPr>
            <w:r>
              <w:t xml:space="preserve">Step-by-step implementation plans for transition of special education services from birth to 3 years of age to the Department and for children 3 to 5 years of age to local school administrative units. </w:t>
            </w:r>
          </w:p>
          <w:p w14:paraId="6E9A817F" w14:textId="442B5CEE" w:rsidR="00114F14" w:rsidRDefault="00114F14" w:rsidP="004A104C">
            <w:pPr>
              <w:pStyle w:val="ListBullet"/>
            </w:pPr>
            <w:r>
              <w:t xml:space="preserve">Directs the selected entity to review previous studies and available data related to early childhood special education including the 2007 report from the Subcommittee to Study Early Childhood Special Education and the 2012 report from the Office of Program Evaluation and Government Accountability. </w:t>
            </w:r>
          </w:p>
          <w:p w14:paraId="4CBFBDE0" w14:textId="129C191D" w:rsidR="00114F14" w:rsidRDefault="00114F14" w:rsidP="004A104C">
            <w:pPr>
              <w:pStyle w:val="ListBullet"/>
            </w:pPr>
            <w:r>
              <w:t>Directs the selected entity to provide opportunities for input from education stakeholder groups.</w:t>
            </w:r>
          </w:p>
          <w:p w14:paraId="2A699780" w14:textId="77777777" w:rsidR="00114F14" w:rsidRDefault="00114F14" w:rsidP="004A104C">
            <w:pPr>
              <w:pStyle w:val="ListBullet"/>
            </w:pPr>
            <w:r>
              <w:t>Directs the Department of Education, Department of Administrative &amp; Financial Services, Bureau of Revenue Services, and the Maine Education Policy Research Institute to provide access to previous reports on school funding and database information necessary to carry out the evaluation.</w:t>
            </w:r>
          </w:p>
          <w:p w14:paraId="097C353F" w14:textId="456B3644" w:rsidR="00114F14" w:rsidRDefault="00114F14" w:rsidP="004A104C">
            <w:pPr>
              <w:pStyle w:val="ListBullet"/>
            </w:pPr>
            <w:r>
              <w:t>Directs State Controller to transfer from the Efficient Delivery of Educational Services, Other Special Revenue Funds to the General Fund $200,000 by July 31, 2019 and $300,000 by July 31, 2020.</w:t>
            </w:r>
          </w:p>
          <w:p w14:paraId="392C3336" w14:textId="471A76D3" w:rsidR="00114F14" w:rsidRDefault="00114F14" w:rsidP="004A104C">
            <w:pPr>
              <w:pStyle w:val="ListBullet"/>
            </w:pPr>
            <w:r>
              <w:t>Directs the selected re</w:t>
            </w:r>
            <w:r w:rsidRPr="004700F5">
              <w:t>search and technical assistance entity conduct</w:t>
            </w:r>
            <w:r>
              <w:t>ing</w:t>
            </w:r>
            <w:r w:rsidRPr="004700F5">
              <w:t xml:space="preserve"> </w:t>
            </w:r>
            <w:r>
              <w:t xml:space="preserve">the </w:t>
            </w:r>
            <w:r w:rsidRPr="004700F5">
              <w:t xml:space="preserve">independent </w:t>
            </w:r>
            <w:r>
              <w:t>review to submit a preliminary report to the Joint Standing Committee on Education &amp; Cultural Affairs by April 1, 2020 and a final report by December 1, 2020.</w:t>
            </w:r>
          </w:p>
          <w:p w14:paraId="6AA630F3" w14:textId="421B26B3" w:rsidR="00114F14" w:rsidRDefault="00114F14" w:rsidP="004A104C">
            <w:pPr>
              <w:pStyle w:val="ListBullet"/>
            </w:pPr>
            <w:r>
              <w:t xml:space="preserve">Authorizes the Joint Standing Committee on Education &amp; Cultural Affairs to submit a bill based on the final report to the First Regular Session of the 129th Legislature.  </w:t>
            </w:r>
          </w:p>
          <w:p w14:paraId="7FBD1B10" w14:textId="14C4261B" w:rsidR="00114F14" w:rsidRDefault="00114F14" w:rsidP="004A104C">
            <w:pPr>
              <w:pStyle w:val="ListBullet"/>
              <w:numPr>
                <w:ilvl w:val="0"/>
                <w:numId w:val="0"/>
              </w:numPr>
              <w:ind w:left="460" w:hanging="180"/>
            </w:pPr>
          </w:p>
          <w:p w14:paraId="43F6A5DC" w14:textId="77777777" w:rsidR="00114F14" w:rsidRDefault="00114F14" w:rsidP="004A104C">
            <w:pPr>
              <w:pStyle w:val="ListBullet"/>
              <w:numPr>
                <w:ilvl w:val="0"/>
                <w:numId w:val="0"/>
              </w:numPr>
              <w:ind w:left="460" w:hanging="180"/>
            </w:pPr>
          </w:p>
          <w:p w14:paraId="6819210D" w14:textId="77777777" w:rsidR="00114F14" w:rsidRPr="003370E8" w:rsidRDefault="00114F14" w:rsidP="004A104C">
            <w:pPr>
              <w:pStyle w:val="Default"/>
              <w:rPr>
                <w:b/>
                <w:bCs/>
                <w:u w:val="single"/>
              </w:rPr>
            </w:pPr>
            <w:r w:rsidRPr="003370E8">
              <w:rPr>
                <w:b/>
                <w:bCs/>
                <w:u w:val="single"/>
              </w:rPr>
              <w:t xml:space="preserve">PART ZZZZ </w:t>
            </w:r>
          </w:p>
          <w:p w14:paraId="2715DF84" w14:textId="77777777" w:rsidR="00114F14" w:rsidRPr="004700F5" w:rsidRDefault="00114F14" w:rsidP="004A104C">
            <w:pPr>
              <w:pStyle w:val="Default"/>
            </w:pPr>
            <w:r w:rsidRPr="004700F5">
              <w:t xml:space="preserve"> </w:t>
            </w:r>
          </w:p>
          <w:p w14:paraId="0D2CA518" w14:textId="77777777" w:rsidR="00114F14" w:rsidRDefault="00114F14" w:rsidP="004A104C">
            <w:pPr>
              <w:pStyle w:val="Default"/>
            </w:pPr>
            <w:r>
              <w:t>Authorizes</w:t>
            </w:r>
            <w:r w:rsidRPr="004700F5">
              <w:t xml:space="preserve"> the School Revolving Renovation Fund to be used for renovations to retrofit learning spaces for public preschool programs as Priority 4 status projects.</w:t>
            </w:r>
          </w:p>
          <w:p w14:paraId="718C2AA8" w14:textId="294D6FE9" w:rsidR="00114F14" w:rsidRDefault="00114F14" w:rsidP="004A104C">
            <w:pPr>
              <w:pStyle w:val="ListBullet"/>
              <w:numPr>
                <w:ilvl w:val="0"/>
                <w:numId w:val="0"/>
              </w:numPr>
              <w:ind w:left="280"/>
            </w:pPr>
          </w:p>
          <w:p w14:paraId="1ACB014F" w14:textId="78FDE7FF" w:rsidR="00114F14" w:rsidRDefault="00114F14" w:rsidP="004A104C">
            <w:pPr>
              <w:pStyle w:val="ListBullet"/>
              <w:numPr>
                <w:ilvl w:val="0"/>
                <w:numId w:val="0"/>
              </w:numPr>
              <w:ind w:left="280"/>
            </w:pPr>
          </w:p>
          <w:p w14:paraId="3FBA1999" w14:textId="6174D514" w:rsidR="00114F14" w:rsidRDefault="00114F14" w:rsidP="004A104C">
            <w:pPr>
              <w:pStyle w:val="ListBullet"/>
              <w:numPr>
                <w:ilvl w:val="0"/>
                <w:numId w:val="0"/>
              </w:numPr>
              <w:ind w:left="280"/>
            </w:pPr>
          </w:p>
          <w:p w14:paraId="7EE8AF8D" w14:textId="77777777" w:rsidR="00114F14" w:rsidRPr="00CA173E" w:rsidRDefault="00114F14" w:rsidP="004A104C">
            <w:pPr>
              <w:pStyle w:val="Default"/>
              <w:rPr>
                <w:b/>
                <w:bCs/>
                <w:u w:val="single"/>
              </w:rPr>
            </w:pPr>
            <w:r w:rsidRPr="00CA173E">
              <w:rPr>
                <w:b/>
                <w:bCs/>
                <w:u w:val="single"/>
              </w:rPr>
              <w:t xml:space="preserve">PART AAAAA </w:t>
            </w:r>
          </w:p>
          <w:p w14:paraId="3FA3B8EC" w14:textId="77777777" w:rsidR="00114F14" w:rsidRPr="004700F5" w:rsidRDefault="00114F14" w:rsidP="004A104C">
            <w:pPr>
              <w:pStyle w:val="Default"/>
            </w:pPr>
          </w:p>
          <w:p w14:paraId="52316E4A" w14:textId="77777777" w:rsidR="00114F14" w:rsidRDefault="00114F14" w:rsidP="004A104C">
            <w:pPr>
              <w:pStyle w:val="ListBullet"/>
            </w:pPr>
            <w:r>
              <w:t>R</w:t>
            </w:r>
            <w:r w:rsidRPr="004700F5">
              <w:t xml:space="preserve">equires the Department of Education to provide a so-called hold harmless adjustment to the career and technical education centers and career and technical education regions in fiscal years 2020-21, 2021-22 and 2022-23 in order to transition the career and technical education centers and career and technical education regions to a total allocation that is equal to the sum of the career and technical education program </w:t>
            </w:r>
            <w:r>
              <w:t>c</w:t>
            </w:r>
            <w:r w:rsidRPr="004700F5">
              <w:t xml:space="preserve">omponents </w:t>
            </w:r>
            <w:r>
              <w:t>of direct instruction, central administration, supplies and other expenditures, plant operation and maintenance, and other student and staff support.</w:t>
            </w:r>
            <w:r w:rsidRPr="004700F5">
              <w:t>by fiscal year 2023-24.</w:t>
            </w:r>
          </w:p>
          <w:p w14:paraId="065CF343" w14:textId="05A2D0D0" w:rsidR="00114F14" w:rsidRPr="00510BFA" w:rsidRDefault="00114F14" w:rsidP="0043271B">
            <w:pPr>
              <w:pStyle w:val="ListBullet"/>
              <w:numPr>
                <w:ilvl w:val="0"/>
                <w:numId w:val="0"/>
              </w:numPr>
              <w:ind w:left="460"/>
            </w:pPr>
          </w:p>
        </w:tc>
        <w:tc>
          <w:tcPr>
            <w:tcW w:w="2250" w:type="dxa"/>
            <w:shd w:val="clear" w:color="auto" w:fill="auto"/>
          </w:tcPr>
          <w:p w14:paraId="39713ADD" w14:textId="77777777" w:rsidR="00114F14" w:rsidRDefault="00114F14" w:rsidP="004A104C">
            <w:pPr>
              <w:rPr>
                <w:sz w:val="22"/>
                <w:szCs w:val="22"/>
              </w:rPr>
            </w:pPr>
            <w:r>
              <w:rPr>
                <w:sz w:val="22"/>
                <w:szCs w:val="22"/>
              </w:rPr>
              <w:t>June 17, 2019</w:t>
            </w:r>
          </w:p>
          <w:p w14:paraId="44B4E627" w14:textId="77777777" w:rsidR="00114F14" w:rsidRDefault="00114F14" w:rsidP="004A104C">
            <w:pPr>
              <w:rPr>
                <w:sz w:val="22"/>
                <w:szCs w:val="22"/>
              </w:rPr>
            </w:pPr>
          </w:p>
          <w:p w14:paraId="4F45D37A" w14:textId="77777777" w:rsidR="00114F14" w:rsidRDefault="00114F14" w:rsidP="004A104C">
            <w:pPr>
              <w:rPr>
                <w:sz w:val="22"/>
                <w:szCs w:val="22"/>
              </w:rPr>
            </w:pPr>
          </w:p>
          <w:p w14:paraId="4EE7DA75" w14:textId="77777777" w:rsidR="00114F14" w:rsidRDefault="00114F14" w:rsidP="004A104C">
            <w:pPr>
              <w:rPr>
                <w:sz w:val="22"/>
                <w:szCs w:val="22"/>
              </w:rPr>
            </w:pPr>
          </w:p>
          <w:p w14:paraId="407A654F" w14:textId="77777777" w:rsidR="00114F14" w:rsidRDefault="00114F14" w:rsidP="004A104C">
            <w:pPr>
              <w:rPr>
                <w:sz w:val="22"/>
                <w:szCs w:val="22"/>
              </w:rPr>
            </w:pPr>
          </w:p>
          <w:p w14:paraId="75A73402" w14:textId="77777777" w:rsidR="00114F14" w:rsidRDefault="00114F14" w:rsidP="004A104C">
            <w:pPr>
              <w:rPr>
                <w:sz w:val="22"/>
                <w:szCs w:val="22"/>
              </w:rPr>
            </w:pPr>
          </w:p>
          <w:p w14:paraId="0427412A" w14:textId="77777777" w:rsidR="00114F14" w:rsidRDefault="00114F14" w:rsidP="004A104C">
            <w:pPr>
              <w:rPr>
                <w:sz w:val="22"/>
                <w:szCs w:val="22"/>
              </w:rPr>
            </w:pPr>
          </w:p>
          <w:p w14:paraId="7D1CC94A" w14:textId="77777777" w:rsidR="00114F14" w:rsidRDefault="00114F14" w:rsidP="004A104C">
            <w:pPr>
              <w:rPr>
                <w:sz w:val="22"/>
                <w:szCs w:val="22"/>
              </w:rPr>
            </w:pPr>
          </w:p>
          <w:p w14:paraId="767069CF" w14:textId="77777777" w:rsidR="00114F14" w:rsidRDefault="00114F14" w:rsidP="004A104C">
            <w:pPr>
              <w:rPr>
                <w:sz w:val="22"/>
                <w:szCs w:val="22"/>
              </w:rPr>
            </w:pPr>
          </w:p>
          <w:p w14:paraId="5488AFC9" w14:textId="77777777" w:rsidR="00114F14" w:rsidRDefault="00114F14" w:rsidP="004A104C">
            <w:pPr>
              <w:rPr>
                <w:sz w:val="22"/>
                <w:szCs w:val="22"/>
              </w:rPr>
            </w:pPr>
          </w:p>
          <w:p w14:paraId="32CDF7BA" w14:textId="77777777" w:rsidR="00114F14" w:rsidRDefault="00114F14" w:rsidP="004A104C">
            <w:pPr>
              <w:rPr>
                <w:sz w:val="22"/>
                <w:szCs w:val="22"/>
              </w:rPr>
            </w:pPr>
          </w:p>
          <w:p w14:paraId="3DE32F2C" w14:textId="77777777" w:rsidR="00114F14" w:rsidRDefault="00114F14" w:rsidP="004A104C">
            <w:pPr>
              <w:rPr>
                <w:sz w:val="22"/>
                <w:szCs w:val="22"/>
              </w:rPr>
            </w:pPr>
          </w:p>
          <w:p w14:paraId="383A6BA0" w14:textId="77777777" w:rsidR="00114F14" w:rsidRDefault="00114F14" w:rsidP="004A104C">
            <w:pPr>
              <w:rPr>
                <w:sz w:val="22"/>
                <w:szCs w:val="22"/>
              </w:rPr>
            </w:pPr>
          </w:p>
          <w:p w14:paraId="07B68274" w14:textId="77777777" w:rsidR="00114F14" w:rsidRDefault="00114F14" w:rsidP="004A104C">
            <w:pPr>
              <w:rPr>
                <w:sz w:val="22"/>
                <w:szCs w:val="22"/>
              </w:rPr>
            </w:pPr>
          </w:p>
          <w:p w14:paraId="3708CB7A" w14:textId="77777777" w:rsidR="00114F14" w:rsidRDefault="00114F14" w:rsidP="004A104C">
            <w:pPr>
              <w:rPr>
                <w:sz w:val="22"/>
                <w:szCs w:val="22"/>
              </w:rPr>
            </w:pPr>
          </w:p>
          <w:p w14:paraId="3A6613E6" w14:textId="77777777" w:rsidR="00114F14" w:rsidRDefault="00114F14" w:rsidP="004A104C">
            <w:pPr>
              <w:rPr>
                <w:sz w:val="22"/>
                <w:szCs w:val="22"/>
              </w:rPr>
            </w:pPr>
          </w:p>
          <w:p w14:paraId="639856B5" w14:textId="77777777" w:rsidR="00114F14" w:rsidRDefault="00114F14" w:rsidP="004A104C">
            <w:pPr>
              <w:rPr>
                <w:sz w:val="22"/>
                <w:szCs w:val="22"/>
              </w:rPr>
            </w:pPr>
          </w:p>
          <w:p w14:paraId="3F16ED18" w14:textId="77777777" w:rsidR="00114F14" w:rsidRDefault="00114F14" w:rsidP="004A104C">
            <w:pPr>
              <w:rPr>
                <w:sz w:val="22"/>
                <w:szCs w:val="22"/>
              </w:rPr>
            </w:pPr>
          </w:p>
          <w:p w14:paraId="28A20E67" w14:textId="77777777" w:rsidR="00114F14" w:rsidRDefault="00114F14" w:rsidP="004A104C">
            <w:pPr>
              <w:rPr>
                <w:sz w:val="22"/>
                <w:szCs w:val="22"/>
              </w:rPr>
            </w:pPr>
          </w:p>
          <w:p w14:paraId="1F9074A8" w14:textId="77777777" w:rsidR="00114F14" w:rsidRDefault="00114F14" w:rsidP="004A104C">
            <w:pPr>
              <w:rPr>
                <w:sz w:val="22"/>
                <w:szCs w:val="22"/>
              </w:rPr>
            </w:pPr>
          </w:p>
          <w:p w14:paraId="1600098D" w14:textId="77777777" w:rsidR="00114F14" w:rsidRDefault="00114F14" w:rsidP="004A104C">
            <w:pPr>
              <w:rPr>
                <w:sz w:val="22"/>
                <w:szCs w:val="22"/>
              </w:rPr>
            </w:pPr>
          </w:p>
          <w:p w14:paraId="7FA6F8EB" w14:textId="77777777" w:rsidR="00114F14" w:rsidRDefault="00114F14" w:rsidP="004A104C">
            <w:pPr>
              <w:rPr>
                <w:sz w:val="22"/>
                <w:szCs w:val="22"/>
              </w:rPr>
            </w:pPr>
          </w:p>
          <w:p w14:paraId="2CFB7564" w14:textId="77777777" w:rsidR="00114F14" w:rsidRDefault="00114F14" w:rsidP="004A104C">
            <w:pPr>
              <w:rPr>
                <w:sz w:val="22"/>
                <w:szCs w:val="22"/>
              </w:rPr>
            </w:pPr>
          </w:p>
          <w:p w14:paraId="53882F0C" w14:textId="77777777" w:rsidR="00114F14" w:rsidRDefault="00114F14" w:rsidP="004A104C">
            <w:pPr>
              <w:rPr>
                <w:sz w:val="22"/>
                <w:szCs w:val="22"/>
              </w:rPr>
            </w:pPr>
          </w:p>
          <w:p w14:paraId="50766AFF" w14:textId="77777777" w:rsidR="00114F14" w:rsidRDefault="00114F14" w:rsidP="004A104C">
            <w:pPr>
              <w:rPr>
                <w:sz w:val="22"/>
                <w:szCs w:val="22"/>
              </w:rPr>
            </w:pPr>
          </w:p>
          <w:p w14:paraId="41A8B416" w14:textId="77777777" w:rsidR="00114F14" w:rsidRDefault="00114F14" w:rsidP="004A104C">
            <w:pPr>
              <w:rPr>
                <w:sz w:val="22"/>
                <w:szCs w:val="22"/>
              </w:rPr>
            </w:pPr>
          </w:p>
          <w:p w14:paraId="3A96F0ED" w14:textId="77777777" w:rsidR="00114F14" w:rsidRDefault="00114F14" w:rsidP="004A104C">
            <w:pPr>
              <w:rPr>
                <w:sz w:val="22"/>
                <w:szCs w:val="22"/>
              </w:rPr>
            </w:pPr>
          </w:p>
          <w:p w14:paraId="257A5B15" w14:textId="77777777" w:rsidR="00114F14" w:rsidRDefault="00114F14" w:rsidP="004A104C">
            <w:pPr>
              <w:rPr>
                <w:sz w:val="22"/>
                <w:szCs w:val="22"/>
              </w:rPr>
            </w:pPr>
          </w:p>
          <w:p w14:paraId="72B6350E" w14:textId="77777777" w:rsidR="00114F14" w:rsidRDefault="00114F14" w:rsidP="004A104C">
            <w:pPr>
              <w:rPr>
                <w:sz w:val="22"/>
                <w:szCs w:val="22"/>
              </w:rPr>
            </w:pPr>
          </w:p>
          <w:p w14:paraId="4AB7A5E1" w14:textId="77777777" w:rsidR="00114F14" w:rsidRDefault="00114F14" w:rsidP="004A104C">
            <w:pPr>
              <w:rPr>
                <w:sz w:val="22"/>
                <w:szCs w:val="22"/>
              </w:rPr>
            </w:pPr>
          </w:p>
          <w:p w14:paraId="3E6FDB1E" w14:textId="77777777" w:rsidR="00114F14" w:rsidRDefault="00114F14" w:rsidP="004A104C">
            <w:pPr>
              <w:rPr>
                <w:sz w:val="22"/>
                <w:szCs w:val="22"/>
              </w:rPr>
            </w:pPr>
          </w:p>
          <w:p w14:paraId="053E6CDD" w14:textId="77777777" w:rsidR="00114F14" w:rsidRDefault="00114F14" w:rsidP="004A104C">
            <w:pPr>
              <w:rPr>
                <w:sz w:val="22"/>
                <w:szCs w:val="22"/>
              </w:rPr>
            </w:pPr>
          </w:p>
          <w:p w14:paraId="0D381EAC" w14:textId="77777777" w:rsidR="00114F14" w:rsidRDefault="00114F14" w:rsidP="004A104C">
            <w:pPr>
              <w:rPr>
                <w:sz w:val="22"/>
                <w:szCs w:val="22"/>
              </w:rPr>
            </w:pPr>
          </w:p>
          <w:p w14:paraId="627C0DD3" w14:textId="77777777" w:rsidR="00114F14" w:rsidRDefault="00114F14" w:rsidP="004A104C">
            <w:pPr>
              <w:rPr>
                <w:sz w:val="22"/>
                <w:szCs w:val="22"/>
              </w:rPr>
            </w:pPr>
          </w:p>
          <w:p w14:paraId="3552042E" w14:textId="77777777" w:rsidR="00114F14" w:rsidRDefault="00114F14" w:rsidP="004A104C">
            <w:pPr>
              <w:rPr>
                <w:sz w:val="22"/>
                <w:szCs w:val="22"/>
              </w:rPr>
            </w:pPr>
          </w:p>
          <w:p w14:paraId="4573A18D" w14:textId="77777777" w:rsidR="00114F14" w:rsidRDefault="00114F14" w:rsidP="004A104C">
            <w:pPr>
              <w:rPr>
                <w:sz w:val="22"/>
                <w:szCs w:val="22"/>
              </w:rPr>
            </w:pPr>
          </w:p>
          <w:p w14:paraId="057B190F" w14:textId="77777777" w:rsidR="00114F14" w:rsidRDefault="00114F14" w:rsidP="004A104C">
            <w:pPr>
              <w:rPr>
                <w:sz w:val="22"/>
                <w:szCs w:val="22"/>
              </w:rPr>
            </w:pPr>
          </w:p>
          <w:p w14:paraId="7D49F28F" w14:textId="77777777" w:rsidR="00114F14" w:rsidRDefault="00114F14" w:rsidP="004A104C">
            <w:pPr>
              <w:rPr>
                <w:sz w:val="22"/>
                <w:szCs w:val="22"/>
              </w:rPr>
            </w:pPr>
          </w:p>
          <w:p w14:paraId="193CAF80" w14:textId="77777777" w:rsidR="00114F14" w:rsidRDefault="00114F14" w:rsidP="004A104C">
            <w:pPr>
              <w:rPr>
                <w:sz w:val="22"/>
                <w:szCs w:val="22"/>
              </w:rPr>
            </w:pPr>
          </w:p>
          <w:p w14:paraId="5FF70D23" w14:textId="77777777" w:rsidR="00114F14" w:rsidRDefault="00114F14" w:rsidP="004A104C">
            <w:pPr>
              <w:rPr>
                <w:sz w:val="22"/>
                <w:szCs w:val="22"/>
              </w:rPr>
            </w:pPr>
          </w:p>
          <w:p w14:paraId="13DC4379" w14:textId="77777777" w:rsidR="00114F14" w:rsidRDefault="00114F14" w:rsidP="004A104C">
            <w:pPr>
              <w:rPr>
                <w:sz w:val="22"/>
                <w:szCs w:val="22"/>
              </w:rPr>
            </w:pPr>
          </w:p>
          <w:p w14:paraId="3BDD89EB" w14:textId="77777777" w:rsidR="00114F14" w:rsidRDefault="00114F14" w:rsidP="004A104C">
            <w:pPr>
              <w:rPr>
                <w:sz w:val="22"/>
                <w:szCs w:val="22"/>
              </w:rPr>
            </w:pPr>
          </w:p>
          <w:p w14:paraId="63CD8B4C" w14:textId="77777777" w:rsidR="00114F14" w:rsidRDefault="00114F14" w:rsidP="004A104C">
            <w:pPr>
              <w:rPr>
                <w:sz w:val="22"/>
                <w:szCs w:val="22"/>
              </w:rPr>
            </w:pPr>
          </w:p>
          <w:p w14:paraId="5ECFE45E" w14:textId="77777777" w:rsidR="00114F14" w:rsidRDefault="00114F14" w:rsidP="004A104C">
            <w:pPr>
              <w:rPr>
                <w:sz w:val="22"/>
                <w:szCs w:val="22"/>
              </w:rPr>
            </w:pPr>
          </w:p>
          <w:p w14:paraId="7EC3D2E5" w14:textId="77777777" w:rsidR="00114F14" w:rsidRDefault="00114F14" w:rsidP="004A104C">
            <w:pPr>
              <w:rPr>
                <w:sz w:val="22"/>
                <w:szCs w:val="22"/>
              </w:rPr>
            </w:pPr>
          </w:p>
          <w:p w14:paraId="4736795E" w14:textId="77777777" w:rsidR="00114F14" w:rsidRDefault="00114F14" w:rsidP="004A104C">
            <w:pPr>
              <w:rPr>
                <w:sz w:val="22"/>
                <w:szCs w:val="22"/>
              </w:rPr>
            </w:pPr>
          </w:p>
          <w:p w14:paraId="5E780E16" w14:textId="77777777" w:rsidR="00114F14" w:rsidRDefault="00114F14" w:rsidP="004A104C">
            <w:pPr>
              <w:rPr>
                <w:sz w:val="22"/>
                <w:szCs w:val="22"/>
              </w:rPr>
            </w:pPr>
          </w:p>
          <w:p w14:paraId="17158110" w14:textId="77777777" w:rsidR="00114F14" w:rsidRDefault="00114F14" w:rsidP="004A104C">
            <w:pPr>
              <w:rPr>
                <w:sz w:val="22"/>
                <w:szCs w:val="22"/>
              </w:rPr>
            </w:pPr>
          </w:p>
          <w:p w14:paraId="6B976FFE" w14:textId="77777777" w:rsidR="00114F14" w:rsidRDefault="00114F14" w:rsidP="004A104C">
            <w:pPr>
              <w:rPr>
                <w:sz w:val="22"/>
                <w:szCs w:val="22"/>
              </w:rPr>
            </w:pPr>
          </w:p>
          <w:p w14:paraId="27EAFC3F" w14:textId="77777777" w:rsidR="00114F14" w:rsidRDefault="00114F14" w:rsidP="004A104C">
            <w:pPr>
              <w:rPr>
                <w:sz w:val="22"/>
                <w:szCs w:val="22"/>
              </w:rPr>
            </w:pPr>
          </w:p>
          <w:p w14:paraId="14F53B58" w14:textId="77777777" w:rsidR="00114F14" w:rsidRDefault="00114F14" w:rsidP="004A104C">
            <w:pPr>
              <w:rPr>
                <w:sz w:val="22"/>
                <w:szCs w:val="22"/>
              </w:rPr>
            </w:pPr>
          </w:p>
          <w:p w14:paraId="54E3C7F6" w14:textId="77777777" w:rsidR="00114F14" w:rsidRDefault="00114F14" w:rsidP="004A104C">
            <w:pPr>
              <w:rPr>
                <w:sz w:val="22"/>
                <w:szCs w:val="22"/>
              </w:rPr>
            </w:pPr>
          </w:p>
          <w:p w14:paraId="2613884F" w14:textId="77777777" w:rsidR="00114F14" w:rsidRDefault="00114F14" w:rsidP="004A104C">
            <w:pPr>
              <w:rPr>
                <w:sz w:val="22"/>
                <w:szCs w:val="22"/>
              </w:rPr>
            </w:pPr>
          </w:p>
          <w:p w14:paraId="62C11CCA" w14:textId="77777777" w:rsidR="00114F14" w:rsidRDefault="00114F14" w:rsidP="004A104C">
            <w:pPr>
              <w:rPr>
                <w:sz w:val="22"/>
                <w:szCs w:val="22"/>
              </w:rPr>
            </w:pPr>
          </w:p>
          <w:p w14:paraId="63BAEC4D" w14:textId="77777777" w:rsidR="00114F14" w:rsidRDefault="00114F14" w:rsidP="004A104C">
            <w:pPr>
              <w:rPr>
                <w:sz w:val="22"/>
                <w:szCs w:val="22"/>
              </w:rPr>
            </w:pPr>
          </w:p>
          <w:p w14:paraId="78D24584" w14:textId="77777777" w:rsidR="00114F14" w:rsidRDefault="00114F14" w:rsidP="004A104C">
            <w:pPr>
              <w:rPr>
                <w:sz w:val="22"/>
                <w:szCs w:val="22"/>
              </w:rPr>
            </w:pPr>
          </w:p>
          <w:p w14:paraId="69F696CB" w14:textId="77777777" w:rsidR="00114F14" w:rsidRDefault="00114F14" w:rsidP="004A104C">
            <w:pPr>
              <w:rPr>
                <w:sz w:val="22"/>
                <w:szCs w:val="22"/>
              </w:rPr>
            </w:pPr>
          </w:p>
          <w:p w14:paraId="103F39FC" w14:textId="77777777" w:rsidR="00114F14" w:rsidRDefault="00114F14" w:rsidP="004A104C">
            <w:pPr>
              <w:rPr>
                <w:sz w:val="22"/>
                <w:szCs w:val="22"/>
              </w:rPr>
            </w:pPr>
          </w:p>
          <w:p w14:paraId="71D97BEC" w14:textId="77777777" w:rsidR="00114F14" w:rsidRDefault="00114F14" w:rsidP="004A104C">
            <w:pPr>
              <w:rPr>
                <w:sz w:val="22"/>
                <w:szCs w:val="22"/>
              </w:rPr>
            </w:pPr>
          </w:p>
          <w:p w14:paraId="62CABD61" w14:textId="77777777" w:rsidR="00114F14" w:rsidRDefault="00114F14" w:rsidP="004A104C">
            <w:pPr>
              <w:rPr>
                <w:sz w:val="22"/>
                <w:szCs w:val="22"/>
              </w:rPr>
            </w:pPr>
          </w:p>
          <w:p w14:paraId="46804C08" w14:textId="77777777" w:rsidR="00114F14" w:rsidRDefault="00114F14" w:rsidP="004A104C">
            <w:pPr>
              <w:rPr>
                <w:sz w:val="22"/>
                <w:szCs w:val="22"/>
              </w:rPr>
            </w:pPr>
          </w:p>
          <w:p w14:paraId="4D3F4969" w14:textId="77777777" w:rsidR="00114F14" w:rsidRDefault="00114F14" w:rsidP="004A104C">
            <w:pPr>
              <w:rPr>
                <w:sz w:val="22"/>
                <w:szCs w:val="22"/>
              </w:rPr>
            </w:pPr>
          </w:p>
          <w:p w14:paraId="0939A7DE" w14:textId="77777777" w:rsidR="00114F14" w:rsidRDefault="00114F14" w:rsidP="004A104C">
            <w:pPr>
              <w:rPr>
                <w:sz w:val="22"/>
                <w:szCs w:val="22"/>
              </w:rPr>
            </w:pPr>
          </w:p>
          <w:p w14:paraId="38291182" w14:textId="77777777" w:rsidR="00114F14" w:rsidRDefault="00114F14" w:rsidP="004A104C">
            <w:pPr>
              <w:rPr>
                <w:sz w:val="22"/>
                <w:szCs w:val="22"/>
              </w:rPr>
            </w:pPr>
          </w:p>
          <w:p w14:paraId="5BBEB1C5" w14:textId="77777777" w:rsidR="00114F14" w:rsidRDefault="00114F14" w:rsidP="004A104C">
            <w:pPr>
              <w:rPr>
                <w:sz w:val="22"/>
                <w:szCs w:val="22"/>
              </w:rPr>
            </w:pPr>
          </w:p>
          <w:p w14:paraId="23A7C777" w14:textId="77777777" w:rsidR="00114F14" w:rsidRDefault="00114F14" w:rsidP="004A104C">
            <w:pPr>
              <w:rPr>
                <w:sz w:val="22"/>
                <w:szCs w:val="22"/>
              </w:rPr>
            </w:pPr>
          </w:p>
          <w:p w14:paraId="54EA2358" w14:textId="77777777" w:rsidR="00114F14" w:rsidRDefault="00114F14" w:rsidP="004A104C">
            <w:pPr>
              <w:rPr>
                <w:sz w:val="22"/>
                <w:szCs w:val="22"/>
              </w:rPr>
            </w:pPr>
          </w:p>
          <w:p w14:paraId="7866B70E" w14:textId="77777777" w:rsidR="00114F14" w:rsidRDefault="00114F14" w:rsidP="004A104C">
            <w:pPr>
              <w:rPr>
                <w:sz w:val="22"/>
                <w:szCs w:val="22"/>
              </w:rPr>
            </w:pPr>
          </w:p>
          <w:p w14:paraId="1186C99A" w14:textId="77777777" w:rsidR="00114F14" w:rsidRDefault="00114F14" w:rsidP="004A104C">
            <w:pPr>
              <w:rPr>
                <w:sz w:val="22"/>
                <w:szCs w:val="22"/>
              </w:rPr>
            </w:pPr>
          </w:p>
          <w:p w14:paraId="04352D85" w14:textId="77777777" w:rsidR="00114F14" w:rsidRDefault="00114F14" w:rsidP="004A104C">
            <w:pPr>
              <w:rPr>
                <w:sz w:val="22"/>
                <w:szCs w:val="22"/>
              </w:rPr>
            </w:pPr>
          </w:p>
          <w:p w14:paraId="7215C1B5" w14:textId="77777777" w:rsidR="00114F14" w:rsidRDefault="00114F14" w:rsidP="004A104C">
            <w:pPr>
              <w:rPr>
                <w:sz w:val="22"/>
                <w:szCs w:val="22"/>
              </w:rPr>
            </w:pPr>
          </w:p>
          <w:p w14:paraId="0CA5EF23" w14:textId="77777777" w:rsidR="00114F14" w:rsidRDefault="00114F14" w:rsidP="004A104C">
            <w:pPr>
              <w:rPr>
                <w:sz w:val="22"/>
                <w:szCs w:val="22"/>
              </w:rPr>
            </w:pPr>
          </w:p>
          <w:p w14:paraId="5BBC54E9" w14:textId="77777777" w:rsidR="00114F14" w:rsidRDefault="00114F14" w:rsidP="004A104C">
            <w:pPr>
              <w:rPr>
                <w:sz w:val="22"/>
                <w:szCs w:val="22"/>
              </w:rPr>
            </w:pPr>
          </w:p>
          <w:p w14:paraId="5192D646" w14:textId="77777777" w:rsidR="00114F14" w:rsidRDefault="00114F14" w:rsidP="004A104C">
            <w:pPr>
              <w:rPr>
                <w:sz w:val="22"/>
                <w:szCs w:val="22"/>
              </w:rPr>
            </w:pPr>
          </w:p>
          <w:p w14:paraId="0BB4BC59" w14:textId="77777777" w:rsidR="00114F14" w:rsidRDefault="00114F14" w:rsidP="004A104C">
            <w:pPr>
              <w:rPr>
                <w:sz w:val="22"/>
                <w:szCs w:val="22"/>
              </w:rPr>
            </w:pPr>
          </w:p>
          <w:p w14:paraId="364B851F" w14:textId="77777777" w:rsidR="00114F14" w:rsidRDefault="00114F14" w:rsidP="004A104C">
            <w:pPr>
              <w:rPr>
                <w:sz w:val="22"/>
                <w:szCs w:val="22"/>
              </w:rPr>
            </w:pPr>
          </w:p>
          <w:p w14:paraId="23610E0C" w14:textId="77777777" w:rsidR="00114F14" w:rsidRDefault="00114F14" w:rsidP="004A104C">
            <w:pPr>
              <w:rPr>
                <w:sz w:val="22"/>
                <w:szCs w:val="22"/>
              </w:rPr>
            </w:pPr>
          </w:p>
          <w:p w14:paraId="78AF4F12" w14:textId="77777777" w:rsidR="00114F14" w:rsidRDefault="00114F14" w:rsidP="004A104C">
            <w:pPr>
              <w:rPr>
                <w:sz w:val="22"/>
                <w:szCs w:val="22"/>
              </w:rPr>
            </w:pPr>
          </w:p>
          <w:p w14:paraId="65C50A62" w14:textId="77777777" w:rsidR="00114F14" w:rsidRDefault="00114F14" w:rsidP="004A104C">
            <w:pPr>
              <w:rPr>
                <w:sz w:val="22"/>
                <w:szCs w:val="22"/>
              </w:rPr>
            </w:pPr>
          </w:p>
          <w:p w14:paraId="6570A756" w14:textId="77777777" w:rsidR="00114F14" w:rsidRDefault="00114F14" w:rsidP="004A104C">
            <w:pPr>
              <w:rPr>
                <w:sz w:val="22"/>
                <w:szCs w:val="22"/>
              </w:rPr>
            </w:pPr>
          </w:p>
          <w:p w14:paraId="3015F537" w14:textId="77777777" w:rsidR="00114F14" w:rsidRDefault="00114F14" w:rsidP="004A104C">
            <w:pPr>
              <w:rPr>
                <w:sz w:val="22"/>
                <w:szCs w:val="22"/>
              </w:rPr>
            </w:pPr>
          </w:p>
          <w:p w14:paraId="531F1BD3" w14:textId="77777777" w:rsidR="00114F14" w:rsidRDefault="00114F14" w:rsidP="004A104C">
            <w:pPr>
              <w:rPr>
                <w:sz w:val="22"/>
                <w:szCs w:val="22"/>
              </w:rPr>
            </w:pPr>
          </w:p>
          <w:p w14:paraId="762A1F25" w14:textId="77777777" w:rsidR="00114F14" w:rsidRDefault="00114F14" w:rsidP="004A104C">
            <w:pPr>
              <w:rPr>
                <w:sz w:val="22"/>
                <w:szCs w:val="22"/>
              </w:rPr>
            </w:pPr>
          </w:p>
          <w:p w14:paraId="326DE235" w14:textId="77777777" w:rsidR="00114F14" w:rsidRDefault="00114F14" w:rsidP="004A104C">
            <w:pPr>
              <w:rPr>
                <w:sz w:val="22"/>
                <w:szCs w:val="22"/>
              </w:rPr>
            </w:pPr>
          </w:p>
          <w:p w14:paraId="5B9355E7" w14:textId="77777777" w:rsidR="00114F14" w:rsidRDefault="00114F14" w:rsidP="004A104C">
            <w:pPr>
              <w:rPr>
                <w:sz w:val="22"/>
                <w:szCs w:val="22"/>
              </w:rPr>
            </w:pPr>
          </w:p>
          <w:p w14:paraId="1E8F3B81" w14:textId="77777777" w:rsidR="00114F14" w:rsidRDefault="00114F14" w:rsidP="004A104C">
            <w:pPr>
              <w:rPr>
                <w:sz w:val="22"/>
                <w:szCs w:val="22"/>
              </w:rPr>
            </w:pPr>
          </w:p>
          <w:p w14:paraId="7B891866" w14:textId="77777777" w:rsidR="00114F14" w:rsidRDefault="00114F14" w:rsidP="004A104C">
            <w:pPr>
              <w:rPr>
                <w:sz w:val="22"/>
                <w:szCs w:val="22"/>
              </w:rPr>
            </w:pPr>
          </w:p>
          <w:p w14:paraId="4591C716" w14:textId="77777777" w:rsidR="00114F14" w:rsidRDefault="00114F14" w:rsidP="004A104C">
            <w:pPr>
              <w:rPr>
                <w:sz w:val="22"/>
                <w:szCs w:val="22"/>
              </w:rPr>
            </w:pPr>
          </w:p>
          <w:p w14:paraId="0B0B6E08" w14:textId="77777777" w:rsidR="00114F14" w:rsidRDefault="00114F14" w:rsidP="004A104C">
            <w:pPr>
              <w:rPr>
                <w:sz w:val="22"/>
                <w:szCs w:val="22"/>
              </w:rPr>
            </w:pPr>
          </w:p>
          <w:p w14:paraId="2FABF40E" w14:textId="77777777" w:rsidR="00114F14" w:rsidRDefault="00114F14" w:rsidP="004A104C">
            <w:pPr>
              <w:rPr>
                <w:sz w:val="22"/>
                <w:szCs w:val="22"/>
              </w:rPr>
            </w:pPr>
          </w:p>
          <w:p w14:paraId="14ED310E" w14:textId="77777777" w:rsidR="00114F14" w:rsidRDefault="00114F14" w:rsidP="004A104C">
            <w:pPr>
              <w:rPr>
                <w:sz w:val="22"/>
                <w:szCs w:val="22"/>
              </w:rPr>
            </w:pPr>
          </w:p>
          <w:p w14:paraId="406BCA5C" w14:textId="77777777" w:rsidR="00114F14" w:rsidRDefault="00114F14" w:rsidP="004A104C">
            <w:pPr>
              <w:rPr>
                <w:sz w:val="22"/>
                <w:szCs w:val="22"/>
              </w:rPr>
            </w:pPr>
          </w:p>
          <w:p w14:paraId="446987A7" w14:textId="77777777" w:rsidR="00114F14" w:rsidRDefault="00114F14" w:rsidP="004A104C">
            <w:pPr>
              <w:rPr>
                <w:sz w:val="22"/>
                <w:szCs w:val="22"/>
              </w:rPr>
            </w:pPr>
          </w:p>
          <w:p w14:paraId="70553B24" w14:textId="77777777" w:rsidR="00114F14" w:rsidRDefault="00114F14" w:rsidP="004A104C">
            <w:pPr>
              <w:rPr>
                <w:sz w:val="22"/>
                <w:szCs w:val="22"/>
              </w:rPr>
            </w:pPr>
          </w:p>
          <w:p w14:paraId="4C422DBD" w14:textId="77777777" w:rsidR="00114F14" w:rsidRDefault="00114F14" w:rsidP="004A104C">
            <w:pPr>
              <w:rPr>
                <w:sz w:val="22"/>
                <w:szCs w:val="22"/>
              </w:rPr>
            </w:pPr>
          </w:p>
          <w:p w14:paraId="64806906" w14:textId="77777777" w:rsidR="00114F14" w:rsidRDefault="00114F14" w:rsidP="004A104C">
            <w:pPr>
              <w:rPr>
                <w:sz w:val="22"/>
                <w:szCs w:val="22"/>
              </w:rPr>
            </w:pPr>
          </w:p>
          <w:p w14:paraId="082893E1" w14:textId="77777777" w:rsidR="00114F14" w:rsidRDefault="00114F14" w:rsidP="004A104C">
            <w:pPr>
              <w:rPr>
                <w:sz w:val="22"/>
                <w:szCs w:val="22"/>
              </w:rPr>
            </w:pPr>
          </w:p>
          <w:p w14:paraId="6759039C" w14:textId="77777777" w:rsidR="00114F14" w:rsidRDefault="00114F14" w:rsidP="004A104C">
            <w:pPr>
              <w:rPr>
                <w:sz w:val="22"/>
                <w:szCs w:val="22"/>
              </w:rPr>
            </w:pPr>
          </w:p>
          <w:p w14:paraId="727E2F0F" w14:textId="77777777" w:rsidR="00114F14" w:rsidRDefault="00114F14" w:rsidP="004A104C">
            <w:pPr>
              <w:rPr>
                <w:sz w:val="22"/>
                <w:szCs w:val="22"/>
              </w:rPr>
            </w:pPr>
          </w:p>
          <w:p w14:paraId="5017D647" w14:textId="77777777" w:rsidR="00114F14" w:rsidRDefault="00114F14" w:rsidP="004A104C">
            <w:pPr>
              <w:rPr>
                <w:sz w:val="22"/>
                <w:szCs w:val="22"/>
              </w:rPr>
            </w:pPr>
          </w:p>
          <w:p w14:paraId="13BA157E" w14:textId="77777777" w:rsidR="00114F14" w:rsidRDefault="00114F14" w:rsidP="004A104C">
            <w:pPr>
              <w:rPr>
                <w:sz w:val="22"/>
                <w:szCs w:val="22"/>
              </w:rPr>
            </w:pPr>
          </w:p>
          <w:p w14:paraId="32AD1FDE" w14:textId="77777777" w:rsidR="00114F14" w:rsidRDefault="00114F14" w:rsidP="004A104C">
            <w:pPr>
              <w:rPr>
                <w:sz w:val="22"/>
                <w:szCs w:val="22"/>
              </w:rPr>
            </w:pPr>
          </w:p>
          <w:p w14:paraId="0B89E817" w14:textId="77777777" w:rsidR="00114F14" w:rsidRDefault="00114F14" w:rsidP="004A104C">
            <w:pPr>
              <w:rPr>
                <w:sz w:val="22"/>
                <w:szCs w:val="22"/>
              </w:rPr>
            </w:pPr>
          </w:p>
          <w:p w14:paraId="4C931C00" w14:textId="77777777" w:rsidR="00114F14" w:rsidRDefault="00114F14" w:rsidP="004A104C">
            <w:pPr>
              <w:rPr>
                <w:sz w:val="22"/>
                <w:szCs w:val="22"/>
              </w:rPr>
            </w:pPr>
          </w:p>
          <w:p w14:paraId="75D35F6E" w14:textId="77777777" w:rsidR="00114F14" w:rsidRDefault="00114F14" w:rsidP="004A104C">
            <w:pPr>
              <w:rPr>
                <w:sz w:val="22"/>
                <w:szCs w:val="22"/>
              </w:rPr>
            </w:pPr>
          </w:p>
          <w:p w14:paraId="45750993" w14:textId="77777777" w:rsidR="00114F14" w:rsidRDefault="00114F14" w:rsidP="004A104C">
            <w:pPr>
              <w:rPr>
                <w:sz w:val="22"/>
                <w:szCs w:val="22"/>
              </w:rPr>
            </w:pPr>
          </w:p>
          <w:p w14:paraId="4C60424E" w14:textId="77777777" w:rsidR="00114F14" w:rsidRDefault="00114F14" w:rsidP="004A104C">
            <w:pPr>
              <w:rPr>
                <w:sz w:val="22"/>
                <w:szCs w:val="22"/>
              </w:rPr>
            </w:pPr>
          </w:p>
          <w:p w14:paraId="6048872E" w14:textId="77777777" w:rsidR="00114F14" w:rsidRDefault="00114F14" w:rsidP="004A104C">
            <w:pPr>
              <w:rPr>
                <w:sz w:val="22"/>
                <w:szCs w:val="22"/>
              </w:rPr>
            </w:pPr>
          </w:p>
          <w:p w14:paraId="3D4FD5B2" w14:textId="77777777" w:rsidR="00114F14" w:rsidRDefault="00114F14" w:rsidP="004A104C">
            <w:pPr>
              <w:rPr>
                <w:sz w:val="22"/>
                <w:szCs w:val="22"/>
              </w:rPr>
            </w:pPr>
          </w:p>
          <w:p w14:paraId="563DA6CD" w14:textId="77777777" w:rsidR="00114F14" w:rsidRDefault="00114F14" w:rsidP="004A104C">
            <w:pPr>
              <w:rPr>
                <w:sz w:val="22"/>
                <w:szCs w:val="22"/>
              </w:rPr>
            </w:pPr>
          </w:p>
          <w:p w14:paraId="05F889F4" w14:textId="77777777" w:rsidR="00114F14" w:rsidRDefault="00114F14" w:rsidP="004A104C">
            <w:pPr>
              <w:rPr>
                <w:sz w:val="22"/>
                <w:szCs w:val="22"/>
              </w:rPr>
            </w:pPr>
          </w:p>
          <w:p w14:paraId="306BB4AB" w14:textId="77777777" w:rsidR="00114F14" w:rsidRDefault="00114F14" w:rsidP="004A104C">
            <w:pPr>
              <w:rPr>
                <w:sz w:val="22"/>
                <w:szCs w:val="22"/>
              </w:rPr>
            </w:pPr>
          </w:p>
          <w:p w14:paraId="7E320A9A" w14:textId="77777777" w:rsidR="00114F14" w:rsidRDefault="00114F14" w:rsidP="004A104C">
            <w:pPr>
              <w:rPr>
                <w:sz w:val="22"/>
                <w:szCs w:val="22"/>
              </w:rPr>
            </w:pPr>
          </w:p>
          <w:p w14:paraId="4EC34246" w14:textId="77777777" w:rsidR="00114F14" w:rsidRDefault="00114F14" w:rsidP="004A104C">
            <w:pPr>
              <w:rPr>
                <w:sz w:val="22"/>
                <w:szCs w:val="22"/>
              </w:rPr>
            </w:pPr>
          </w:p>
          <w:p w14:paraId="25E0BD1D" w14:textId="77777777" w:rsidR="00114F14" w:rsidRDefault="00114F14" w:rsidP="004A104C">
            <w:pPr>
              <w:rPr>
                <w:sz w:val="22"/>
                <w:szCs w:val="22"/>
              </w:rPr>
            </w:pPr>
          </w:p>
          <w:p w14:paraId="24A7DE64" w14:textId="77777777" w:rsidR="00114F14" w:rsidRDefault="00114F14" w:rsidP="004A104C">
            <w:pPr>
              <w:rPr>
                <w:sz w:val="22"/>
                <w:szCs w:val="22"/>
              </w:rPr>
            </w:pPr>
          </w:p>
          <w:p w14:paraId="6DE0F837" w14:textId="77777777" w:rsidR="00114F14" w:rsidRDefault="00114F14" w:rsidP="004A104C">
            <w:pPr>
              <w:rPr>
                <w:sz w:val="22"/>
                <w:szCs w:val="22"/>
              </w:rPr>
            </w:pPr>
          </w:p>
          <w:p w14:paraId="7A47A272" w14:textId="77777777" w:rsidR="00114F14" w:rsidRDefault="00114F14" w:rsidP="004A104C">
            <w:pPr>
              <w:rPr>
                <w:sz w:val="22"/>
                <w:szCs w:val="22"/>
              </w:rPr>
            </w:pPr>
          </w:p>
          <w:p w14:paraId="2ED7746C" w14:textId="77777777" w:rsidR="00114F14" w:rsidRDefault="00114F14" w:rsidP="004A104C">
            <w:pPr>
              <w:rPr>
                <w:sz w:val="22"/>
                <w:szCs w:val="22"/>
              </w:rPr>
            </w:pPr>
          </w:p>
          <w:p w14:paraId="2305DA06" w14:textId="77777777" w:rsidR="00114F14" w:rsidRDefault="00114F14" w:rsidP="004A104C">
            <w:pPr>
              <w:rPr>
                <w:sz w:val="22"/>
                <w:szCs w:val="22"/>
              </w:rPr>
            </w:pPr>
          </w:p>
          <w:p w14:paraId="6C900F9B" w14:textId="77777777" w:rsidR="00114F14" w:rsidRDefault="00114F14" w:rsidP="004A104C">
            <w:pPr>
              <w:rPr>
                <w:sz w:val="22"/>
                <w:szCs w:val="22"/>
              </w:rPr>
            </w:pPr>
          </w:p>
          <w:p w14:paraId="1CEF9C23" w14:textId="77777777" w:rsidR="00114F14" w:rsidRDefault="00114F14" w:rsidP="004A104C">
            <w:pPr>
              <w:rPr>
                <w:sz w:val="22"/>
                <w:szCs w:val="22"/>
              </w:rPr>
            </w:pPr>
          </w:p>
          <w:p w14:paraId="1CC70FFE" w14:textId="77777777" w:rsidR="00114F14" w:rsidRDefault="00114F14" w:rsidP="004A104C">
            <w:pPr>
              <w:rPr>
                <w:sz w:val="22"/>
                <w:szCs w:val="22"/>
              </w:rPr>
            </w:pPr>
          </w:p>
          <w:p w14:paraId="475159BF" w14:textId="77777777" w:rsidR="00114F14" w:rsidRDefault="00114F14" w:rsidP="004A104C">
            <w:pPr>
              <w:rPr>
                <w:sz w:val="22"/>
                <w:szCs w:val="22"/>
              </w:rPr>
            </w:pPr>
          </w:p>
          <w:p w14:paraId="15B058BF" w14:textId="77777777" w:rsidR="00114F14" w:rsidRDefault="00114F14" w:rsidP="004A104C">
            <w:pPr>
              <w:rPr>
                <w:sz w:val="22"/>
                <w:szCs w:val="22"/>
              </w:rPr>
            </w:pPr>
          </w:p>
          <w:p w14:paraId="7BB892BB" w14:textId="77777777" w:rsidR="00114F14" w:rsidRDefault="00114F14" w:rsidP="004A104C">
            <w:pPr>
              <w:rPr>
                <w:sz w:val="22"/>
                <w:szCs w:val="22"/>
              </w:rPr>
            </w:pPr>
          </w:p>
          <w:p w14:paraId="637578C6" w14:textId="77777777" w:rsidR="00114F14" w:rsidRDefault="00114F14" w:rsidP="004A104C">
            <w:pPr>
              <w:rPr>
                <w:sz w:val="22"/>
                <w:szCs w:val="22"/>
              </w:rPr>
            </w:pPr>
          </w:p>
          <w:p w14:paraId="244A47ED" w14:textId="77777777" w:rsidR="00114F14" w:rsidRDefault="00114F14" w:rsidP="004A104C">
            <w:pPr>
              <w:rPr>
                <w:sz w:val="22"/>
                <w:szCs w:val="22"/>
              </w:rPr>
            </w:pPr>
          </w:p>
          <w:p w14:paraId="761C9E91" w14:textId="77777777" w:rsidR="00114F14" w:rsidRDefault="00114F14" w:rsidP="004A104C">
            <w:pPr>
              <w:rPr>
                <w:sz w:val="22"/>
                <w:szCs w:val="22"/>
              </w:rPr>
            </w:pPr>
          </w:p>
          <w:p w14:paraId="59EE52DE" w14:textId="77777777" w:rsidR="00114F14" w:rsidRDefault="00114F14" w:rsidP="004A104C">
            <w:pPr>
              <w:rPr>
                <w:sz w:val="22"/>
                <w:szCs w:val="22"/>
              </w:rPr>
            </w:pPr>
          </w:p>
          <w:p w14:paraId="131ED101" w14:textId="77777777" w:rsidR="00114F14" w:rsidRDefault="00114F14" w:rsidP="004A104C">
            <w:pPr>
              <w:rPr>
                <w:sz w:val="22"/>
                <w:szCs w:val="22"/>
              </w:rPr>
            </w:pPr>
          </w:p>
          <w:p w14:paraId="09A6D69E" w14:textId="77777777" w:rsidR="00114F14" w:rsidRDefault="00114F14" w:rsidP="004A104C">
            <w:pPr>
              <w:rPr>
                <w:sz w:val="22"/>
                <w:szCs w:val="22"/>
              </w:rPr>
            </w:pPr>
          </w:p>
          <w:p w14:paraId="47C0E7A0" w14:textId="77777777" w:rsidR="00114F14" w:rsidRDefault="00114F14" w:rsidP="004A104C">
            <w:pPr>
              <w:rPr>
                <w:sz w:val="22"/>
                <w:szCs w:val="22"/>
              </w:rPr>
            </w:pPr>
          </w:p>
          <w:p w14:paraId="07C84836" w14:textId="77777777" w:rsidR="00114F14" w:rsidRDefault="00114F14" w:rsidP="004A104C">
            <w:pPr>
              <w:rPr>
                <w:sz w:val="22"/>
                <w:szCs w:val="22"/>
              </w:rPr>
            </w:pPr>
          </w:p>
          <w:p w14:paraId="36FDEA5A" w14:textId="77777777" w:rsidR="00114F14" w:rsidRDefault="00114F14" w:rsidP="004A104C">
            <w:pPr>
              <w:rPr>
                <w:sz w:val="22"/>
                <w:szCs w:val="22"/>
              </w:rPr>
            </w:pPr>
          </w:p>
          <w:p w14:paraId="13FA43F0" w14:textId="77777777" w:rsidR="00114F14" w:rsidRDefault="00114F14" w:rsidP="004A104C">
            <w:pPr>
              <w:rPr>
                <w:sz w:val="22"/>
                <w:szCs w:val="22"/>
              </w:rPr>
            </w:pPr>
          </w:p>
          <w:p w14:paraId="27083148" w14:textId="77777777" w:rsidR="00114F14" w:rsidRDefault="00114F14" w:rsidP="004A104C">
            <w:pPr>
              <w:rPr>
                <w:sz w:val="22"/>
                <w:szCs w:val="22"/>
              </w:rPr>
            </w:pPr>
          </w:p>
          <w:p w14:paraId="34353F38" w14:textId="77777777" w:rsidR="00114F14" w:rsidRDefault="00114F14" w:rsidP="004A104C">
            <w:pPr>
              <w:rPr>
                <w:sz w:val="22"/>
                <w:szCs w:val="22"/>
              </w:rPr>
            </w:pPr>
          </w:p>
          <w:p w14:paraId="671D2A75" w14:textId="77777777" w:rsidR="00114F14" w:rsidRDefault="00114F14" w:rsidP="004A104C">
            <w:pPr>
              <w:rPr>
                <w:sz w:val="22"/>
                <w:szCs w:val="22"/>
              </w:rPr>
            </w:pPr>
          </w:p>
          <w:p w14:paraId="502C60E0" w14:textId="77777777" w:rsidR="00114F14" w:rsidRDefault="00114F14" w:rsidP="004A104C">
            <w:pPr>
              <w:rPr>
                <w:sz w:val="22"/>
                <w:szCs w:val="22"/>
              </w:rPr>
            </w:pPr>
          </w:p>
          <w:p w14:paraId="3577040C" w14:textId="77777777" w:rsidR="00114F14" w:rsidRDefault="00114F14" w:rsidP="004A104C">
            <w:pPr>
              <w:rPr>
                <w:sz w:val="22"/>
                <w:szCs w:val="22"/>
              </w:rPr>
            </w:pPr>
          </w:p>
          <w:p w14:paraId="71795C4C" w14:textId="77777777" w:rsidR="00114F14" w:rsidRDefault="00114F14" w:rsidP="004A104C">
            <w:pPr>
              <w:rPr>
                <w:sz w:val="22"/>
                <w:szCs w:val="22"/>
              </w:rPr>
            </w:pPr>
          </w:p>
          <w:p w14:paraId="678A6953" w14:textId="77777777" w:rsidR="00114F14" w:rsidRDefault="00114F14" w:rsidP="004A104C">
            <w:pPr>
              <w:rPr>
                <w:sz w:val="22"/>
                <w:szCs w:val="22"/>
              </w:rPr>
            </w:pPr>
          </w:p>
          <w:p w14:paraId="08891F82" w14:textId="77777777" w:rsidR="00114F14" w:rsidRDefault="00114F14" w:rsidP="004A104C">
            <w:pPr>
              <w:rPr>
                <w:sz w:val="22"/>
                <w:szCs w:val="22"/>
              </w:rPr>
            </w:pPr>
          </w:p>
          <w:p w14:paraId="4B6A0CE2" w14:textId="77777777" w:rsidR="00114F14" w:rsidRDefault="00114F14" w:rsidP="004A104C">
            <w:pPr>
              <w:rPr>
                <w:sz w:val="22"/>
                <w:szCs w:val="22"/>
              </w:rPr>
            </w:pPr>
          </w:p>
          <w:p w14:paraId="6113A378" w14:textId="77777777" w:rsidR="00114F14" w:rsidRDefault="00114F14" w:rsidP="004A104C">
            <w:pPr>
              <w:rPr>
                <w:sz w:val="22"/>
                <w:szCs w:val="22"/>
              </w:rPr>
            </w:pPr>
          </w:p>
          <w:p w14:paraId="600F54B5" w14:textId="77777777" w:rsidR="00114F14" w:rsidRDefault="00114F14" w:rsidP="004A104C">
            <w:pPr>
              <w:rPr>
                <w:sz w:val="22"/>
                <w:szCs w:val="22"/>
              </w:rPr>
            </w:pPr>
          </w:p>
          <w:p w14:paraId="52864C8D" w14:textId="77777777" w:rsidR="00114F14" w:rsidRDefault="00114F14" w:rsidP="004A104C">
            <w:pPr>
              <w:rPr>
                <w:sz w:val="22"/>
                <w:szCs w:val="22"/>
              </w:rPr>
            </w:pPr>
          </w:p>
          <w:p w14:paraId="28BB2107" w14:textId="77777777" w:rsidR="00114F14" w:rsidRDefault="00114F14" w:rsidP="004A104C">
            <w:pPr>
              <w:rPr>
                <w:sz w:val="22"/>
                <w:szCs w:val="22"/>
              </w:rPr>
            </w:pPr>
          </w:p>
          <w:p w14:paraId="3DA1FA49" w14:textId="77777777" w:rsidR="00114F14" w:rsidRDefault="00114F14" w:rsidP="004A104C">
            <w:pPr>
              <w:rPr>
                <w:sz w:val="22"/>
                <w:szCs w:val="22"/>
              </w:rPr>
            </w:pPr>
          </w:p>
          <w:p w14:paraId="7BDBD72F" w14:textId="77777777" w:rsidR="00114F14" w:rsidRDefault="00114F14" w:rsidP="004A104C">
            <w:pPr>
              <w:rPr>
                <w:sz w:val="22"/>
                <w:szCs w:val="22"/>
              </w:rPr>
            </w:pPr>
          </w:p>
          <w:p w14:paraId="600DB256" w14:textId="77777777" w:rsidR="00114F14" w:rsidRDefault="00114F14" w:rsidP="004A104C">
            <w:pPr>
              <w:rPr>
                <w:sz w:val="22"/>
                <w:szCs w:val="22"/>
              </w:rPr>
            </w:pPr>
          </w:p>
          <w:p w14:paraId="1C996BAC" w14:textId="77777777" w:rsidR="00114F14" w:rsidRDefault="00114F14" w:rsidP="004A104C">
            <w:pPr>
              <w:rPr>
                <w:sz w:val="22"/>
                <w:szCs w:val="22"/>
              </w:rPr>
            </w:pPr>
          </w:p>
          <w:p w14:paraId="3CAC7A7F" w14:textId="77777777" w:rsidR="00114F14" w:rsidRDefault="00114F14" w:rsidP="004A104C">
            <w:pPr>
              <w:rPr>
                <w:sz w:val="22"/>
                <w:szCs w:val="22"/>
              </w:rPr>
            </w:pPr>
          </w:p>
          <w:p w14:paraId="2E2F8C13" w14:textId="77777777" w:rsidR="00114F14" w:rsidRDefault="00114F14" w:rsidP="004A104C">
            <w:pPr>
              <w:rPr>
                <w:sz w:val="22"/>
                <w:szCs w:val="22"/>
              </w:rPr>
            </w:pPr>
          </w:p>
          <w:p w14:paraId="146A52AD" w14:textId="77777777" w:rsidR="00114F14" w:rsidRDefault="00114F14" w:rsidP="004A104C">
            <w:pPr>
              <w:rPr>
                <w:sz w:val="22"/>
                <w:szCs w:val="22"/>
              </w:rPr>
            </w:pPr>
          </w:p>
          <w:p w14:paraId="6772C8FF" w14:textId="77777777" w:rsidR="00114F14" w:rsidRDefault="00114F14" w:rsidP="004A104C">
            <w:pPr>
              <w:rPr>
                <w:sz w:val="22"/>
                <w:szCs w:val="22"/>
              </w:rPr>
            </w:pPr>
          </w:p>
          <w:p w14:paraId="41769F1C" w14:textId="77777777" w:rsidR="00114F14" w:rsidRDefault="00114F14" w:rsidP="004A104C">
            <w:pPr>
              <w:rPr>
                <w:sz w:val="22"/>
                <w:szCs w:val="22"/>
              </w:rPr>
            </w:pPr>
          </w:p>
          <w:p w14:paraId="144CE397" w14:textId="77777777" w:rsidR="00114F14" w:rsidRDefault="00114F14" w:rsidP="004A104C">
            <w:pPr>
              <w:rPr>
                <w:sz w:val="22"/>
                <w:szCs w:val="22"/>
              </w:rPr>
            </w:pPr>
          </w:p>
          <w:p w14:paraId="47B53E08" w14:textId="77777777" w:rsidR="00114F14" w:rsidRDefault="00114F14" w:rsidP="004A104C">
            <w:pPr>
              <w:rPr>
                <w:sz w:val="22"/>
                <w:szCs w:val="22"/>
              </w:rPr>
            </w:pPr>
          </w:p>
          <w:p w14:paraId="63AF3497" w14:textId="77777777" w:rsidR="00114F14" w:rsidRDefault="00114F14" w:rsidP="004A104C">
            <w:pPr>
              <w:rPr>
                <w:sz w:val="22"/>
                <w:szCs w:val="22"/>
              </w:rPr>
            </w:pPr>
          </w:p>
          <w:p w14:paraId="28A6FB78" w14:textId="77777777" w:rsidR="00114F14" w:rsidRDefault="00114F14" w:rsidP="004A104C">
            <w:pPr>
              <w:rPr>
                <w:sz w:val="22"/>
                <w:szCs w:val="22"/>
              </w:rPr>
            </w:pPr>
          </w:p>
          <w:p w14:paraId="00982528" w14:textId="77777777" w:rsidR="00114F14" w:rsidRDefault="00114F14" w:rsidP="004A104C">
            <w:pPr>
              <w:rPr>
                <w:sz w:val="22"/>
                <w:szCs w:val="22"/>
              </w:rPr>
            </w:pPr>
          </w:p>
          <w:p w14:paraId="1AE1EE3C" w14:textId="77777777" w:rsidR="00114F14" w:rsidRDefault="00114F14" w:rsidP="004A104C">
            <w:pPr>
              <w:rPr>
                <w:sz w:val="22"/>
                <w:szCs w:val="22"/>
              </w:rPr>
            </w:pPr>
          </w:p>
          <w:p w14:paraId="23D71FEC" w14:textId="77777777" w:rsidR="00114F14" w:rsidRDefault="00114F14" w:rsidP="004A104C">
            <w:pPr>
              <w:rPr>
                <w:sz w:val="22"/>
                <w:szCs w:val="22"/>
              </w:rPr>
            </w:pPr>
          </w:p>
          <w:p w14:paraId="399596D8" w14:textId="77777777" w:rsidR="00114F14" w:rsidRDefault="00114F14" w:rsidP="004A104C">
            <w:pPr>
              <w:rPr>
                <w:sz w:val="22"/>
                <w:szCs w:val="22"/>
              </w:rPr>
            </w:pPr>
          </w:p>
          <w:p w14:paraId="3FAAF605" w14:textId="77777777" w:rsidR="00114F14" w:rsidRDefault="00114F14" w:rsidP="004A104C">
            <w:pPr>
              <w:rPr>
                <w:sz w:val="22"/>
                <w:szCs w:val="22"/>
              </w:rPr>
            </w:pPr>
          </w:p>
          <w:p w14:paraId="32919A9C" w14:textId="77777777" w:rsidR="00114F14" w:rsidRDefault="00114F14" w:rsidP="004A104C">
            <w:pPr>
              <w:rPr>
                <w:sz w:val="22"/>
                <w:szCs w:val="22"/>
              </w:rPr>
            </w:pPr>
          </w:p>
          <w:p w14:paraId="6F6B2076" w14:textId="77777777" w:rsidR="00114F14" w:rsidRDefault="00114F14" w:rsidP="004A104C">
            <w:pPr>
              <w:rPr>
                <w:sz w:val="22"/>
                <w:szCs w:val="22"/>
              </w:rPr>
            </w:pPr>
          </w:p>
          <w:p w14:paraId="70C0C730" w14:textId="77777777" w:rsidR="00114F14" w:rsidRDefault="00114F14" w:rsidP="004A104C">
            <w:pPr>
              <w:rPr>
                <w:sz w:val="22"/>
                <w:szCs w:val="22"/>
              </w:rPr>
            </w:pPr>
          </w:p>
          <w:p w14:paraId="43227BAC" w14:textId="77777777" w:rsidR="00114F14" w:rsidRDefault="00114F14" w:rsidP="004A104C">
            <w:pPr>
              <w:rPr>
                <w:sz w:val="22"/>
                <w:szCs w:val="22"/>
              </w:rPr>
            </w:pPr>
          </w:p>
          <w:p w14:paraId="2267247A" w14:textId="77777777" w:rsidR="00114F14" w:rsidRDefault="00114F14" w:rsidP="004A104C">
            <w:pPr>
              <w:rPr>
                <w:sz w:val="22"/>
                <w:szCs w:val="22"/>
              </w:rPr>
            </w:pPr>
          </w:p>
          <w:p w14:paraId="1329B7B1" w14:textId="77777777" w:rsidR="00114F14" w:rsidRDefault="00114F14" w:rsidP="004A104C">
            <w:pPr>
              <w:rPr>
                <w:sz w:val="22"/>
                <w:szCs w:val="22"/>
              </w:rPr>
            </w:pPr>
          </w:p>
          <w:p w14:paraId="2A3DB92B" w14:textId="77777777" w:rsidR="00114F14" w:rsidRDefault="00114F14" w:rsidP="004A104C">
            <w:pPr>
              <w:rPr>
                <w:sz w:val="22"/>
                <w:szCs w:val="22"/>
              </w:rPr>
            </w:pPr>
          </w:p>
          <w:p w14:paraId="0D239086" w14:textId="77777777" w:rsidR="00114F14" w:rsidRDefault="00114F14" w:rsidP="004A104C">
            <w:pPr>
              <w:rPr>
                <w:sz w:val="22"/>
                <w:szCs w:val="22"/>
              </w:rPr>
            </w:pPr>
          </w:p>
          <w:p w14:paraId="54FEB2AD" w14:textId="77777777" w:rsidR="00114F14" w:rsidRDefault="00114F14" w:rsidP="004A104C">
            <w:pPr>
              <w:rPr>
                <w:sz w:val="22"/>
                <w:szCs w:val="22"/>
              </w:rPr>
            </w:pPr>
          </w:p>
          <w:p w14:paraId="50FB93F5" w14:textId="77777777" w:rsidR="00114F14" w:rsidRDefault="00114F14" w:rsidP="004A104C">
            <w:pPr>
              <w:rPr>
                <w:sz w:val="22"/>
                <w:szCs w:val="22"/>
              </w:rPr>
            </w:pPr>
          </w:p>
          <w:p w14:paraId="5600869D" w14:textId="77777777" w:rsidR="00114F14" w:rsidRDefault="00114F14" w:rsidP="004A104C">
            <w:pPr>
              <w:rPr>
                <w:sz w:val="22"/>
                <w:szCs w:val="22"/>
              </w:rPr>
            </w:pPr>
          </w:p>
          <w:p w14:paraId="424CC9EA" w14:textId="77777777" w:rsidR="00114F14" w:rsidRDefault="00114F14" w:rsidP="004A104C">
            <w:pPr>
              <w:rPr>
                <w:sz w:val="22"/>
                <w:szCs w:val="22"/>
              </w:rPr>
            </w:pPr>
          </w:p>
          <w:p w14:paraId="506D0D92" w14:textId="77777777" w:rsidR="00114F14" w:rsidRDefault="00114F14" w:rsidP="004A104C">
            <w:pPr>
              <w:rPr>
                <w:sz w:val="22"/>
                <w:szCs w:val="22"/>
              </w:rPr>
            </w:pPr>
          </w:p>
          <w:p w14:paraId="78641EA2" w14:textId="77777777" w:rsidR="00114F14" w:rsidRDefault="00114F14" w:rsidP="004A104C">
            <w:pPr>
              <w:rPr>
                <w:sz w:val="22"/>
                <w:szCs w:val="22"/>
              </w:rPr>
            </w:pPr>
          </w:p>
          <w:p w14:paraId="51C5E7B1" w14:textId="77777777" w:rsidR="00114F14" w:rsidRDefault="00114F14" w:rsidP="004A104C">
            <w:pPr>
              <w:rPr>
                <w:sz w:val="22"/>
                <w:szCs w:val="22"/>
              </w:rPr>
            </w:pPr>
          </w:p>
          <w:p w14:paraId="7C64B507" w14:textId="77777777" w:rsidR="00114F14" w:rsidRDefault="00114F14" w:rsidP="004A104C">
            <w:pPr>
              <w:rPr>
                <w:sz w:val="22"/>
                <w:szCs w:val="22"/>
              </w:rPr>
            </w:pPr>
          </w:p>
          <w:p w14:paraId="13A816C2" w14:textId="77777777" w:rsidR="00114F14" w:rsidRDefault="00114F14" w:rsidP="004A104C">
            <w:pPr>
              <w:rPr>
                <w:sz w:val="22"/>
                <w:szCs w:val="22"/>
              </w:rPr>
            </w:pPr>
          </w:p>
          <w:p w14:paraId="1C82E872" w14:textId="77777777" w:rsidR="00114F14" w:rsidRDefault="00114F14" w:rsidP="004A104C">
            <w:pPr>
              <w:rPr>
                <w:sz w:val="22"/>
                <w:szCs w:val="22"/>
              </w:rPr>
            </w:pPr>
          </w:p>
          <w:p w14:paraId="03F407A5" w14:textId="77777777" w:rsidR="00114F14" w:rsidRDefault="00114F14" w:rsidP="004A104C">
            <w:pPr>
              <w:rPr>
                <w:sz w:val="22"/>
                <w:szCs w:val="22"/>
              </w:rPr>
            </w:pPr>
          </w:p>
          <w:p w14:paraId="04CCF9D8" w14:textId="77777777" w:rsidR="00114F14" w:rsidRDefault="00114F14" w:rsidP="004A104C">
            <w:pPr>
              <w:rPr>
                <w:sz w:val="22"/>
                <w:szCs w:val="22"/>
              </w:rPr>
            </w:pPr>
          </w:p>
          <w:p w14:paraId="0D8F846C" w14:textId="77777777" w:rsidR="00114F14" w:rsidRDefault="00114F14" w:rsidP="004A104C">
            <w:pPr>
              <w:rPr>
                <w:sz w:val="22"/>
                <w:szCs w:val="22"/>
              </w:rPr>
            </w:pPr>
          </w:p>
          <w:p w14:paraId="54E76F31" w14:textId="77777777" w:rsidR="00114F14" w:rsidRDefault="00114F14" w:rsidP="004A104C">
            <w:pPr>
              <w:rPr>
                <w:sz w:val="22"/>
                <w:szCs w:val="22"/>
              </w:rPr>
            </w:pPr>
          </w:p>
          <w:p w14:paraId="4B58977F" w14:textId="77777777" w:rsidR="00114F14" w:rsidRDefault="00114F14" w:rsidP="004A104C">
            <w:pPr>
              <w:rPr>
                <w:sz w:val="22"/>
                <w:szCs w:val="22"/>
              </w:rPr>
            </w:pPr>
          </w:p>
          <w:p w14:paraId="69EEB7B9" w14:textId="77777777" w:rsidR="00114F14" w:rsidRDefault="00114F14" w:rsidP="004A104C">
            <w:pPr>
              <w:rPr>
                <w:sz w:val="22"/>
                <w:szCs w:val="22"/>
              </w:rPr>
            </w:pPr>
          </w:p>
          <w:p w14:paraId="75066769" w14:textId="77777777" w:rsidR="00114F14" w:rsidRDefault="00114F14" w:rsidP="004A104C">
            <w:pPr>
              <w:rPr>
                <w:sz w:val="22"/>
                <w:szCs w:val="22"/>
              </w:rPr>
            </w:pPr>
          </w:p>
          <w:p w14:paraId="2D19F7F1" w14:textId="77777777" w:rsidR="00114F14" w:rsidRDefault="00114F14" w:rsidP="004A104C">
            <w:pPr>
              <w:rPr>
                <w:sz w:val="22"/>
                <w:szCs w:val="22"/>
              </w:rPr>
            </w:pPr>
          </w:p>
          <w:p w14:paraId="1A6DC49F" w14:textId="77777777" w:rsidR="00114F14" w:rsidRDefault="00114F14" w:rsidP="004A104C">
            <w:pPr>
              <w:rPr>
                <w:sz w:val="22"/>
                <w:szCs w:val="22"/>
              </w:rPr>
            </w:pPr>
          </w:p>
          <w:p w14:paraId="698FC199" w14:textId="77777777" w:rsidR="00114F14" w:rsidRDefault="00114F14" w:rsidP="004A104C">
            <w:pPr>
              <w:rPr>
                <w:sz w:val="22"/>
                <w:szCs w:val="22"/>
              </w:rPr>
            </w:pPr>
          </w:p>
          <w:p w14:paraId="4ABF6F3F" w14:textId="77777777" w:rsidR="00114F14" w:rsidRDefault="00114F14" w:rsidP="004A104C">
            <w:pPr>
              <w:rPr>
                <w:sz w:val="22"/>
                <w:szCs w:val="22"/>
              </w:rPr>
            </w:pPr>
          </w:p>
          <w:p w14:paraId="18B80C26" w14:textId="77777777" w:rsidR="00114F14" w:rsidRDefault="00114F14" w:rsidP="004A104C">
            <w:pPr>
              <w:rPr>
                <w:sz w:val="22"/>
                <w:szCs w:val="22"/>
              </w:rPr>
            </w:pPr>
          </w:p>
          <w:p w14:paraId="6ABCC655" w14:textId="77777777" w:rsidR="00114F14" w:rsidRDefault="00114F14" w:rsidP="004A104C">
            <w:pPr>
              <w:rPr>
                <w:sz w:val="22"/>
                <w:szCs w:val="22"/>
              </w:rPr>
            </w:pPr>
          </w:p>
          <w:p w14:paraId="29B80F01" w14:textId="77777777" w:rsidR="00114F14" w:rsidRDefault="00114F14" w:rsidP="004A104C">
            <w:pPr>
              <w:rPr>
                <w:sz w:val="22"/>
                <w:szCs w:val="22"/>
              </w:rPr>
            </w:pPr>
          </w:p>
          <w:p w14:paraId="2F8D2449" w14:textId="77777777" w:rsidR="00114F14" w:rsidRDefault="00114F14" w:rsidP="004A104C">
            <w:pPr>
              <w:rPr>
                <w:sz w:val="22"/>
                <w:szCs w:val="22"/>
              </w:rPr>
            </w:pPr>
          </w:p>
          <w:p w14:paraId="5B54D851" w14:textId="77777777" w:rsidR="00114F14" w:rsidRDefault="00114F14" w:rsidP="004A104C">
            <w:pPr>
              <w:rPr>
                <w:sz w:val="22"/>
                <w:szCs w:val="22"/>
              </w:rPr>
            </w:pPr>
          </w:p>
          <w:p w14:paraId="28FCACD1" w14:textId="77777777" w:rsidR="00114F14" w:rsidRDefault="00114F14" w:rsidP="004A104C">
            <w:pPr>
              <w:rPr>
                <w:sz w:val="22"/>
                <w:szCs w:val="22"/>
              </w:rPr>
            </w:pPr>
          </w:p>
          <w:p w14:paraId="14FCC721" w14:textId="77777777" w:rsidR="00114F14" w:rsidRDefault="00114F14" w:rsidP="004A104C">
            <w:pPr>
              <w:rPr>
                <w:sz w:val="22"/>
                <w:szCs w:val="22"/>
              </w:rPr>
            </w:pPr>
          </w:p>
          <w:p w14:paraId="23546C4B" w14:textId="77777777" w:rsidR="00114F14" w:rsidRDefault="00114F14" w:rsidP="004A104C">
            <w:pPr>
              <w:rPr>
                <w:sz w:val="22"/>
                <w:szCs w:val="22"/>
              </w:rPr>
            </w:pPr>
          </w:p>
          <w:p w14:paraId="258266C0" w14:textId="77777777" w:rsidR="00114F14" w:rsidRDefault="00114F14" w:rsidP="004A104C">
            <w:pPr>
              <w:rPr>
                <w:sz w:val="22"/>
                <w:szCs w:val="22"/>
              </w:rPr>
            </w:pPr>
          </w:p>
          <w:p w14:paraId="78DFD349" w14:textId="77777777" w:rsidR="00114F14" w:rsidRDefault="00114F14" w:rsidP="004A104C">
            <w:pPr>
              <w:rPr>
                <w:sz w:val="22"/>
                <w:szCs w:val="22"/>
              </w:rPr>
            </w:pPr>
          </w:p>
          <w:p w14:paraId="10BCCB76" w14:textId="77777777" w:rsidR="00114F14" w:rsidRDefault="00114F14" w:rsidP="004A104C">
            <w:pPr>
              <w:rPr>
                <w:sz w:val="22"/>
                <w:szCs w:val="22"/>
              </w:rPr>
            </w:pPr>
          </w:p>
          <w:p w14:paraId="74A4494D" w14:textId="77777777" w:rsidR="00114F14" w:rsidRDefault="00114F14" w:rsidP="004A104C">
            <w:pPr>
              <w:rPr>
                <w:sz w:val="22"/>
                <w:szCs w:val="22"/>
              </w:rPr>
            </w:pPr>
          </w:p>
          <w:p w14:paraId="692053EC" w14:textId="77777777" w:rsidR="00114F14" w:rsidRDefault="00114F14" w:rsidP="004A104C">
            <w:pPr>
              <w:rPr>
                <w:sz w:val="22"/>
                <w:szCs w:val="22"/>
              </w:rPr>
            </w:pPr>
          </w:p>
          <w:p w14:paraId="7D5B66D0" w14:textId="77777777" w:rsidR="00114F14" w:rsidRDefault="00114F14" w:rsidP="004A104C">
            <w:pPr>
              <w:rPr>
                <w:sz w:val="22"/>
                <w:szCs w:val="22"/>
              </w:rPr>
            </w:pPr>
          </w:p>
          <w:p w14:paraId="0B2734AE" w14:textId="77777777" w:rsidR="00114F14" w:rsidRDefault="00114F14" w:rsidP="004A104C">
            <w:pPr>
              <w:rPr>
                <w:sz w:val="22"/>
                <w:szCs w:val="22"/>
              </w:rPr>
            </w:pPr>
          </w:p>
          <w:p w14:paraId="37152766" w14:textId="77777777" w:rsidR="00114F14" w:rsidRDefault="00114F14" w:rsidP="004A104C">
            <w:pPr>
              <w:rPr>
                <w:sz w:val="22"/>
                <w:szCs w:val="22"/>
              </w:rPr>
            </w:pPr>
          </w:p>
          <w:p w14:paraId="148D01E3" w14:textId="77777777" w:rsidR="00114F14" w:rsidRDefault="00114F14" w:rsidP="004A104C">
            <w:pPr>
              <w:rPr>
                <w:sz w:val="22"/>
                <w:szCs w:val="22"/>
              </w:rPr>
            </w:pPr>
          </w:p>
          <w:p w14:paraId="690D8D75" w14:textId="77777777" w:rsidR="00114F14" w:rsidRDefault="00114F14" w:rsidP="004A104C">
            <w:pPr>
              <w:rPr>
                <w:sz w:val="22"/>
                <w:szCs w:val="22"/>
              </w:rPr>
            </w:pPr>
          </w:p>
          <w:p w14:paraId="2AFE72FB" w14:textId="77777777" w:rsidR="00114F14" w:rsidRDefault="00114F14" w:rsidP="004A104C">
            <w:pPr>
              <w:rPr>
                <w:sz w:val="22"/>
                <w:szCs w:val="22"/>
              </w:rPr>
            </w:pPr>
          </w:p>
          <w:p w14:paraId="21CDEE12" w14:textId="77777777" w:rsidR="00114F14" w:rsidRDefault="00114F14" w:rsidP="004A104C">
            <w:pPr>
              <w:rPr>
                <w:sz w:val="22"/>
                <w:szCs w:val="22"/>
              </w:rPr>
            </w:pPr>
          </w:p>
          <w:p w14:paraId="6393190C" w14:textId="77777777" w:rsidR="00114F14" w:rsidRDefault="00114F14" w:rsidP="004A104C">
            <w:pPr>
              <w:rPr>
                <w:sz w:val="22"/>
                <w:szCs w:val="22"/>
              </w:rPr>
            </w:pPr>
          </w:p>
          <w:p w14:paraId="0D76C8C0" w14:textId="77777777" w:rsidR="00114F14" w:rsidRDefault="00114F14" w:rsidP="004A104C">
            <w:pPr>
              <w:rPr>
                <w:sz w:val="22"/>
                <w:szCs w:val="22"/>
              </w:rPr>
            </w:pPr>
          </w:p>
          <w:p w14:paraId="1F12A835" w14:textId="77777777" w:rsidR="00114F14" w:rsidRDefault="00114F14" w:rsidP="004A104C">
            <w:pPr>
              <w:rPr>
                <w:sz w:val="22"/>
                <w:szCs w:val="22"/>
              </w:rPr>
            </w:pPr>
          </w:p>
          <w:p w14:paraId="083236A4" w14:textId="77777777" w:rsidR="00114F14" w:rsidRDefault="00114F14" w:rsidP="004A104C">
            <w:pPr>
              <w:rPr>
                <w:sz w:val="22"/>
                <w:szCs w:val="22"/>
              </w:rPr>
            </w:pPr>
          </w:p>
          <w:p w14:paraId="4B00E0AC" w14:textId="77777777" w:rsidR="00114F14" w:rsidRDefault="00114F14" w:rsidP="004A104C">
            <w:pPr>
              <w:rPr>
                <w:sz w:val="22"/>
                <w:szCs w:val="22"/>
              </w:rPr>
            </w:pPr>
          </w:p>
          <w:p w14:paraId="5D58BD2B" w14:textId="77777777" w:rsidR="00114F14" w:rsidRDefault="00114F14" w:rsidP="004A104C">
            <w:pPr>
              <w:rPr>
                <w:sz w:val="22"/>
                <w:szCs w:val="22"/>
              </w:rPr>
            </w:pPr>
          </w:p>
          <w:p w14:paraId="20301C44" w14:textId="77777777" w:rsidR="00114F14" w:rsidRDefault="00114F14" w:rsidP="004A104C">
            <w:pPr>
              <w:rPr>
                <w:sz w:val="22"/>
                <w:szCs w:val="22"/>
              </w:rPr>
            </w:pPr>
          </w:p>
          <w:p w14:paraId="07553EE3" w14:textId="77777777" w:rsidR="00114F14" w:rsidRDefault="00114F14" w:rsidP="004A104C">
            <w:pPr>
              <w:rPr>
                <w:sz w:val="22"/>
                <w:szCs w:val="22"/>
              </w:rPr>
            </w:pPr>
          </w:p>
          <w:p w14:paraId="5BA2A842" w14:textId="77777777" w:rsidR="00114F14" w:rsidRDefault="00114F14" w:rsidP="004A104C">
            <w:pPr>
              <w:rPr>
                <w:sz w:val="22"/>
                <w:szCs w:val="22"/>
              </w:rPr>
            </w:pPr>
          </w:p>
          <w:p w14:paraId="35069FE8" w14:textId="77777777" w:rsidR="00114F14" w:rsidRDefault="00114F14" w:rsidP="004A104C">
            <w:pPr>
              <w:rPr>
                <w:sz w:val="22"/>
                <w:szCs w:val="22"/>
              </w:rPr>
            </w:pPr>
          </w:p>
          <w:p w14:paraId="32428120" w14:textId="77777777" w:rsidR="00114F14" w:rsidRDefault="00114F14" w:rsidP="004A104C">
            <w:pPr>
              <w:rPr>
                <w:sz w:val="22"/>
                <w:szCs w:val="22"/>
              </w:rPr>
            </w:pPr>
          </w:p>
          <w:p w14:paraId="5D296486" w14:textId="77777777" w:rsidR="00114F14" w:rsidRDefault="00114F14" w:rsidP="004A104C">
            <w:pPr>
              <w:rPr>
                <w:sz w:val="22"/>
                <w:szCs w:val="22"/>
              </w:rPr>
            </w:pPr>
          </w:p>
          <w:p w14:paraId="29B8FA40" w14:textId="77777777" w:rsidR="00114F14" w:rsidRDefault="00114F14" w:rsidP="004A104C">
            <w:pPr>
              <w:rPr>
                <w:sz w:val="22"/>
                <w:szCs w:val="22"/>
              </w:rPr>
            </w:pPr>
          </w:p>
          <w:p w14:paraId="1B36CFCB" w14:textId="77777777" w:rsidR="00114F14" w:rsidRDefault="00114F14" w:rsidP="004A104C">
            <w:pPr>
              <w:rPr>
                <w:sz w:val="22"/>
                <w:szCs w:val="22"/>
              </w:rPr>
            </w:pPr>
          </w:p>
          <w:p w14:paraId="2AE6B053" w14:textId="77777777" w:rsidR="00114F14" w:rsidRDefault="00114F14" w:rsidP="004A104C">
            <w:pPr>
              <w:rPr>
                <w:sz w:val="22"/>
                <w:szCs w:val="22"/>
              </w:rPr>
            </w:pPr>
          </w:p>
          <w:p w14:paraId="7E075377" w14:textId="77777777" w:rsidR="00114F14" w:rsidRDefault="00114F14" w:rsidP="004A104C">
            <w:pPr>
              <w:rPr>
                <w:sz w:val="22"/>
                <w:szCs w:val="22"/>
              </w:rPr>
            </w:pPr>
          </w:p>
          <w:p w14:paraId="537CEE7B" w14:textId="77777777" w:rsidR="00114F14" w:rsidRDefault="00114F14" w:rsidP="004A104C">
            <w:pPr>
              <w:rPr>
                <w:sz w:val="22"/>
                <w:szCs w:val="22"/>
              </w:rPr>
            </w:pPr>
          </w:p>
          <w:p w14:paraId="7836C71A" w14:textId="77777777" w:rsidR="00114F14" w:rsidRDefault="00114F14" w:rsidP="004A104C">
            <w:pPr>
              <w:rPr>
                <w:sz w:val="22"/>
                <w:szCs w:val="22"/>
              </w:rPr>
            </w:pPr>
          </w:p>
          <w:p w14:paraId="3F849E6E" w14:textId="77777777" w:rsidR="00114F14" w:rsidRDefault="00114F14" w:rsidP="004A104C">
            <w:pPr>
              <w:rPr>
                <w:sz w:val="22"/>
                <w:szCs w:val="22"/>
              </w:rPr>
            </w:pPr>
          </w:p>
          <w:p w14:paraId="7A260E68" w14:textId="77777777" w:rsidR="00114F14" w:rsidRDefault="00114F14" w:rsidP="004A104C">
            <w:pPr>
              <w:rPr>
                <w:sz w:val="22"/>
                <w:szCs w:val="22"/>
              </w:rPr>
            </w:pPr>
          </w:p>
          <w:p w14:paraId="25540F70" w14:textId="77777777" w:rsidR="00114F14" w:rsidRDefault="00114F14" w:rsidP="004A104C">
            <w:pPr>
              <w:rPr>
                <w:sz w:val="22"/>
                <w:szCs w:val="22"/>
              </w:rPr>
            </w:pPr>
          </w:p>
          <w:p w14:paraId="64580F06" w14:textId="77777777" w:rsidR="00114F14" w:rsidRDefault="00114F14" w:rsidP="004A104C">
            <w:pPr>
              <w:rPr>
                <w:sz w:val="22"/>
                <w:szCs w:val="22"/>
              </w:rPr>
            </w:pPr>
          </w:p>
          <w:p w14:paraId="781EE8D6" w14:textId="77777777" w:rsidR="00114F14" w:rsidRDefault="00114F14" w:rsidP="004A104C">
            <w:pPr>
              <w:rPr>
                <w:sz w:val="22"/>
                <w:szCs w:val="22"/>
              </w:rPr>
            </w:pPr>
          </w:p>
          <w:p w14:paraId="64940B61" w14:textId="77777777" w:rsidR="00114F14" w:rsidRDefault="00114F14" w:rsidP="004A104C">
            <w:pPr>
              <w:rPr>
                <w:sz w:val="22"/>
                <w:szCs w:val="22"/>
              </w:rPr>
            </w:pPr>
          </w:p>
          <w:p w14:paraId="032C5019" w14:textId="77777777" w:rsidR="00114F14" w:rsidRDefault="00114F14" w:rsidP="004A104C">
            <w:pPr>
              <w:rPr>
                <w:sz w:val="22"/>
                <w:szCs w:val="22"/>
              </w:rPr>
            </w:pPr>
          </w:p>
          <w:p w14:paraId="46865240" w14:textId="77777777" w:rsidR="00114F14" w:rsidRDefault="00114F14" w:rsidP="004A104C">
            <w:pPr>
              <w:rPr>
                <w:sz w:val="22"/>
                <w:szCs w:val="22"/>
              </w:rPr>
            </w:pPr>
          </w:p>
          <w:p w14:paraId="01A9D440" w14:textId="77777777" w:rsidR="00114F14" w:rsidRDefault="00114F14" w:rsidP="004A104C">
            <w:pPr>
              <w:rPr>
                <w:sz w:val="22"/>
                <w:szCs w:val="22"/>
              </w:rPr>
            </w:pPr>
          </w:p>
          <w:p w14:paraId="1F85EB50" w14:textId="77777777" w:rsidR="00114F14" w:rsidRDefault="00114F14" w:rsidP="004A104C">
            <w:pPr>
              <w:rPr>
                <w:sz w:val="22"/>
                <w:szCs w:val="22"/>
              </w:rPr>
            </w:pPr>
          </w:p>
          <w:p w14:paraId="115C6D1E" w14:textId="77777777" w:rsidR="00114F14" w:rsidRDefault="00114F14" w:rsidP="004A104C">
            <w:pPr>
              <w:rPr>
                <w:sz w:val="22"/>
                <w:szCs w:val="22"/>
              </w:rPr>
            </w:pPr>
          </w:p>
          <w:p w14:paraId="3057E1F6" w14:textId="77777777" w:rsidR="00114F14" w:rsidRDefault="00114F14" w:rsidP="004A104C">
            <w:pPr>
              <w:rPr>
                <w:sz w:val="22"/>
                <w:szCs w:val="22"/>
              </w:rPr>
            </w:pPr>
          </w:p>
          <w:p w14:paraId="0ED8D00E" w14:textId="77777777" w:rsidR="00114F14" w:rsidRDefault="00114F14" w:rsidP="004A104C">
            <w:pPr>
              <w:rPr>
                <w:sz w:val="22"/>
                <w:szCs w:val="22"/>
              </w:rPr>
            </w:pPr>
          </w:p>
          <w:p w14:paraId="0C704829" w14:textId="77777777" w:rsidR="00114F14" w:rsidRDefault="00114F14" w:rsidP="004A104C">
            <w:pPr>
              <w:rPr>
                <w:sz w:val="22"/>
                <w:szCs w:val="22"/>
              </w:rPr>
            </w:pPr>
          </w:p>
          <w:p w14:paraId="1D5159D3" w14:textId="77777777" w:rsidR="00114F14" w:rsidRDefault="00114F14" w:rsidP="004A104C">
            <w:pPr>
              <w:rPr>
                <w:sz w:val="22"/>
                <w:szCs w:val="22"/>
              </w:rPr>
            </w:pPr>
          </w:p>
          <w:p w14:paraId="0CB14336" w14:textId="77777777" w:rsidR="00114F14" w:rsidRDefault="00114F14" w:rsidP="004A104C">
            <w:pPr>
              <w:rPr>
                <w:sz w:val="22"/>
                <w:szCs w:val="22"/>
              </w:rPr>
            </w:pPr>
          </w:p>
          <w:p w14:paraId="59C98B5F" w14:textId="77777777" w:rsidR="00114F14" w:rsidRDefault="00114F14" w:rsidP="004A104C">
            <w:pPr>
              <w:rPr>
                <w:sz w:val="22"/>
                <w:szCs w:val="22"/>
              </w:rPr>
            </w:pPr>
          </w:p>
          <w:p w14:paraId="7D9BBB1E" w14:textId="77777777" w:rsidR="00114F14" w:rsidRDefault="00114F14" w:rsidP="004A104C">
            <w:pPr>
              <w:rPr>
                <w:sz w:val="22"/>
                <w:szCs w:val="22"/>
              </w:rPr>
            </w:pPr>
          </w:p>
          <w:p w14:paraId="243F085A" w14:textId="77777777" w:rsidR="00114F14" w:rsidRDefault="00114F14" w:rsidP="004A104C">
            <w:pPr>
              <w:rPr>
                <w:sz w:val="22"/>
                <w:szCs w:val="22"/>
              </w:rPr>
            </w:pPr>
          </w:p>
          <w:p w14:paraId="514C516B" w14:textId="77777777" w:rsidR="00114F14" w:rsidRDefault="00114F14" w:rsidP="004A104C">
            <w:pPr>
              <w:rPr>
                <w:sz w:val="22"/>
                <w:szCs w:val="22"/>
              </w:rPr>
            </w:pPr>
          </w:p>
          <w:p w14:paraId="5974F017" w14:textId="77777777" w:rsidR="00114F14" w:rsidRDefault="00114F14" w:rsidP="004A104C">
            <w:pPr>
              <w:rPr>
                <w:sz w:val="22"/>
                <w:szCs w:val="22"/>
              </w:rPr>
            </w:pPr>
          </w:p>
          <w:p w14:paraId="7F8D01B5" w14:textId="77777777" w:rsidR="00114F14" w:rsidRDefault="00114F14" w:rsidP="004A104C">
            <w:pPr>
              <w:rPr>
                <w:sz w:val="22"/>
                <w:szCs w:val="22"/>
              </w:rPr>
            </w:pPr>
          </w:p>
          <w:p w14:paraId="6D7B019C" w14:textId="77777777" w:rsidR="00114F14" w:rsidRDefault="00114F14" w:rsidP="004A104C">
            <w:pPr>
              <w:rPr>
                <w:sz w:val="22"/>
                <w:szCs w:val="22"/>
              </w:rPr>
            </w:pPr>
          </w:p>
          <w:p w14:paraId="5DC5DC6F" w14:textId="77777777" w:rsidR="00114F14" w:rsidRDefault="00114F14" w:rsidP="004A104C">
            <w:pPr>
              <w:rPr>
                <w:sz w:val="22"/>
                <w:szCs w:val="22"/>
              </w:rPr>
            </w:pPr>
          </w:p>
          <w:p w14:paraId="2F60E920" w14:textId="77777777" w:rsidR="00114F14" w:rsidRDefault="00114F14" w:rsidP="004A104C">
            <w:pPr>
              <w:rPr>
                <w:sz w:val="22"/>
                <w:szCs w:val="22"/>
              </w:rPr>
            </w:pPr>
          </w:p>
          <w:p w14:paraId="24837004" w14:textId="77777777" w:rsidR="00114F14" w:rsidRDefault="00114F14" w:rsidP="004A104C">
            <w:pPr>
              <w:rPr>
                <w:sz w:val="22"/>
                <w:szCs w:val="22"/>
              </w:rPr>
            </w:pPr>
          </w:p>
          <w:p w14:paraId="32576CC6" w14:textId="77777777" w:rsidR="00114F14" w:rsidRDefault="00114F14" w:rsidP="004A104C">
            <w:pPr>
              <w:rPr>
                <w:sz w:val="22"/>
                <w:szCs w:val="22"/>
              </w:rPr>
            </w:pPr>
          </w:p>
          <w:p w14:paraId="6CE5E951" w14:textId="77777777" w:rsidR="00114F14" w:rsidRDefault="00114F14" w:rsidP="004A104C">
            <w:pPr>
              <w:rPr>
                <w:sz w:val="22"/>
                <w:szCs w:val="22"/>
              </w:rPr>
            </w:pPr>
          </w:p>
          <w:p w14:paraId="401EDB8C" w14:textId="77777777" w:rsidR="00114F14" w:rsidRDefault="00114F14" w:rsidP="004A104C">
            <w:pPr>
              <w:rPr>
                <w:sz w:val="22"/>
                <w:szCs w:val="22"/>
              </w:rPr>
            </w:pPr>
          </w:p>
          <w:p w14:paraId="00963E6B" w14:textId="77777777" w:rsidR="00114F14" w:rsidRDefault="00114F14" w:rsidP="004A104C">
            <w:pPr>
              <w:rPr>
                <w:sz w:val="22"/>
                <w:szCs w:val="22"/>
              </w:rPr>
            </w:pPr>
          </w:p>
          <w:p w14:paraId="5D9951B5" w14:textId="77777777" w:rsidR="00114F14" w:rsidRDefault="00114F14" w:rsidP="004A104C">
            <w:pPr>
              <w:rPr>
                <w:sz w:val="22"/>
                <w:szCs w:val="22"/>
              </w:rPr>
            </w:pPr>
          </w:p>
          <w:p w14:paraId="0920C514" w14:textId="77777777" w:rsidR="00114F14" w:rsidRDefault="00114F14" w:rsidP="004A104C">
            <w:pPr>
              <w:rPr>
                <w:sz w:val="22"/>
                <w:szCs w:val="22"/>
              </w:rPr>
            </w:pPr>
          </w:p>
          <w:p w14:paraId="198BF7AF" w14:textId="77777777" w:rsidR="00114F14" w:rsidRDefault="00114F14" w:rsidP="004A104C">
            <w:pPr>
              <w:rPr>
                <w:sz w:val="22"/>
                <w:szCs w:val="22"/>
              </w:rPr>
            </w:pPr>
          </w:p>
          <w:p w14:paraId="6E10BBD7" w14:textId="77777777" w:rsidR="00114F14" w:rsidRDefault="00114F14" w:rsidP="004A104C">
            <w:pPr>
              <w:rPr>
                <w:sz w:val="22"/>
                <w:szCs w:val="22"/>
              </w:rPr>
            </w:pPr>
          </w:p>
          <w:p w14:paraId="76A6C5E1" w14:textId="77777777" w:rsidR="00114F14" w:rsidRDefault="00114F14" w:rsidP="004A104C">
            <w:pPr>
              <w:rPr>
                <w:sz w:val="22"/>
                <w:szCs w:val="22"/>
              </w:rPr>
            </w:pPr>
          </w:p>
          <w:p w14:paraId="2E13F2F5" w14:textId="77777777" w:rsidR="00114F14" w:rsidRDefault="00114F14" w:rsidP="004A104C">
            <w:pPr>
              <w:rPr>
                <w:sz w:val="22"/>
                <w:szCs w:val="22"/>
              </w:rPr>
            </w:pPr>
          </w:p>
          <w:p w14:paraId="49B126DE" w14:textId="77777777" w:rsidR="00114F14" w:rsidRDefault="00114F14" w:rsidP="004A104C">
            <w:pPr>
              <w:rPr>
                <w:sz w:val="22"/>
                <w:szCs w:val="22"/>
              </w:rPr>
            </w:pPr>
          </w:p>
          <w:p w14:paraId="5553683B" w14:textId="77777777" w:rsidR="00114F14" w:rsidRDefault="00114F14" w:rsidP="004A104C">
            <w:pPr>
              <w:rPr>
                <w:sz w:val="22"/>
                <w:szCs w:val="22"/>
              </w:rPr>
            </w:pPr>
          </w:p>
          <w:p w14:paraId="588E158B" w14:textId="77777777" w:rsidR="00114F14" w:rsidRDefault="00114F14" w:rsidP="004A104C">
            <w:pPr>
              <w:rPr>
                <w:sz w:val="22"/>
                <w:szCs w:val="22"/>
              </w:rPr>
            </w:pPr>
          </w:p>
          <w:p w14:paraId="1010D2B5" w14:textId="77777777" w:rsidR="00114F14" w:rsidRDefault="00114F14" w:rsidP="004A104C">
            <w:pPr>
              <w:rPr>
                <w:sz w:val="22"/>
                <w:szCs w:val="22"/>
              </w:rPr>
            </w:pPr>
          </w:p>
          <w:p w14:paraId="1A405989" w14:textId="77777777" w:rsidR="00114F14" w:rsidRDefault="00114F14" w:rsidP="004A104C">
            <w:pPr>
              <w:rPr>
                <w:sz w:val="22"/>
                <w:szCs w:val="22"/>
              </w:rPr>
            </w:pPr>
          </w:p>
          <w:p w14:paraId="6D786C47" w14:textId="77777777" w:rsidR="00114F14" w:rsidRDefault="00114F14" w:rsidP="004A104C">
            <w:pPr>
              <w:rPr>
                <w:sz w:val="22"/>
                <w:szCs w:val="22"/>
              </w:rPr>
            </w:pPr>
          </w:p>
          <w:p w14:paraId="5F9E00EC" w14:textId="77777777" w:rsidR="00114F14" w:rsidRDefault="00114F14" w:rsidP="004A104C">
            <w:pPr>
              <w:rPr>
                <w:sz w:val="22"/>
                <w:szCs w:val="22"/>
              </w:rPr>
            </w:pPr>
          </w:p>
          <w:p w14:paraId="60908986" w14:textId="77777777" w:rsidR="00114F14" w:rsidRDefault="00114F14" w:rsidP="004A104C">
            <w:pPr>
              <w:rPr>
                <w:sz w:val="22"/>
                <w:szCs w:val="22"/>
              </w:rPr>
            </w:pPr>
          </w:p>
          <w:p w14:paraId="1AC33C2F" w14:textId="77777777" w:rsidR="00114F14" w:rsidRDefault="00114F14" w:rsidP="004A104C">
            <w:pPr>
              <w:rPr>
                <w:sz w:val="22"/>
                <w:szCs w:val="22"/>
              </w:rPr>
            </w:pPr>
          </w:p>
          <w:p w14:paraId="4C935850" w14:textId="77777777" w:rsidR="00114F14" w:rsidRDefault="00114F14" w:rsidP="004A104C">
            <w:pPr>
              <w:rPr>
                <w:sz w:val="22"/>
                <w:szCs w:val="22"/>
              </w:rPr>
            </w:pPr>
          </w:p>
          <w:p w14:paraId="340E552B" w14:textId="77777777" w:rsidR="00114F14" w:rsidRDefault="00114F14" w:rsidP="004A104C">
            <w:pPr>
              <w:rPr>
                <w:sz w:val="22"/>
                <w:szCs w:val="22"/>
              </w:rPr>
            </w:pPr>
          </w:p>
          <w:p w14:paraId="298187DD" w14:textId="77777777" w:rsidR="00114F14" w:rsidRDefault="00114F14" w:rsidP="004A104C">
            <w:pPr>
              <w:rPr>
                <w:sz w:val="22"/>
                <w:szCs w:val="22"/>
              </w:rPr>
            </w:pPr>
          </w:p>
          <w:p w14:paraId="3DCD55FB" w14:textId="77777777" w:rsidR="00114F14" w:rsidRDefault="00114F14" w:rsidP="004A104C">
            <w:pPr>
              <w:rPr>
                <w:sz w:val="22"/>
                <w:szCs w:val="22"/>
              </w:rPr>
            </w:pPr>
          </w:p>
          <w:p w14:paraId="7F7C3896" w14:textId="77777777" w:rsidR="00114F14" w:rsidRDefault="00114F14" w:rsidP="004A104C">
            <w:pPr>
              <w:rPr>
                <w:sz w:val="22"/>
                <w:szCs w:val="22"/>
              </w:rPr>
            </w:pPr>
          </w:p>
          <w:p w14:paraId="5006F3FF" w14:textId="77777777" w:rsidR="00114F14" w:rsidRDefault="00114F14" w:rsidP="004A104C">
            <w:pPr>
              <w:rPr>
                <w:sz w:val="22"/>
                <w:szCs w:val="22"/>
              </w:rPr>
            </w:pPr>
          </w:p>
          <w:p w14:paraId="54665AD0" w14:textId="77777777" w:rsidR="00114F14" w:rsidRDefault="00114F14" w:rsidP="004A104C">
            <w:pPr>
              <w:rPr>
                <w:sz w:val="22"/>
                <w:szCs w:val="22"/>
              </w:rPr>
            </w:pPr>
          </w:p>
          <w:p w14:paraId="7CA127DB" w14:textId="77777777" w:rsidR="00114F14" w:rsidRDefault="00114F14" w:rsidP="004A104C">
            <w:pPr>
              <w:rPr>
                <w:sz w:val="22"/>
                <w:szCs w:val="22"/>
              </w:rPr>
            </w:pPr>
          </w:p>
          <w:p w14:paraId="33CEA61B" w14:textId="77777777" w:rsidR="00114F14" w:rsidRDefault="00114F14" w:rsidP="004A104C">
            <w:pPr>
              <w:rPr>
                <w:sz w:val="22"/>
                <w:szCs w:val="22"/>
              </w:rPr>
            </w:pPr>
          </w:p>
          <w:p w14:paraId="0A6E54F9" w14:textId="77777777" w:rsidR="00114F14" w:rsidRDefault="00114F14" w:rsidP="004A104C">
            <w:pPr>
              <w:rPr>
                <w:sz w:val="22"/>
                <w:szCs w:val="22"/>
              </w:rPr>
            </w:pPr>
          </w:p>
          <w:p w14:paraId="377AA421" w14:textId="77777777" w:rsidR="00114F14" w:rsidRDefault="00114F14" w:rsidP="004A104C">
            <w:pPr>
              <w:rPr>
                <w:sz w:val="22"/>
                <w:szCs w:val="22"/>
              </w:rPr>
            </w:pPr>
          </w:p>
          <w:p w14:paraId="09EAC7CA" w14:textId="77777777" w:rsidR="00114F14" w:rsidRDefault="00114F14" w:rsidP="004A104C">
            <w:pPr>
              <w:rPr>
                <w:sz w:val="22"/>
                <w:szCs w:val="22"/>
              </w:rPr>
            </w:pPr>
          </w:p>
          <w:p w14:paraId="70207482" w14:textId="77777777" w:rsidR="00114F14" w:rsidRDefault="00114F14" w:rsidP="004A104C">
            <w:pPr>
              <w:rPr>
                <w:sz w:val="22"/>
                <w:szCs w:val="22"/>
              </w:rPr>
            </w:pPr>
          </w:p>
          <w:p w14:paraId="50992FBF" w14:textId="77777777" w:rsidR="00114F14" w:rsidRDefault="00114F14" w:rsidP="004A104C">
            <w:pPr>
              <w:rPr>
                <w:sz w:val="22"/>
                <w:szCs w:val="22"/>
              </w:rPr>
            </w:pPr>
          </w:p>
          <w:p w14:paraId="11CD81FA" w14:textId="77777777" w:rsidR="00114F14" w:rsidRDefault="00114F14" w:rsidP="004A104C">
            <w:pPr>
              <w:rPr>
                <w:sz w:val="22"/>
                <w:szCs w:val="22"/>
              </w:rPr>
            </w:pPr>
          </w:p>
          <w:p w14:paraId="640473A9" w14:textId="77777777" w:rsidR="00114F14" w:rsidRDefault="00114F14" w:rsidP="004A104C">
            <w:pPr>
              <w:rPr>
                <w:sz w:val="22"/>
                <w:szCs w:val="22"/>
              </w:rPr>
            </w:pPr>
          </w:p>
          <w:p w14:paraId="455CD60A" w14:textId="77777777" w:rsidR="00114F14" w:rsidRDefault="00114F14" w:rsidP="004A104C">
            <w:pPr>
              <w:rPr>
                <w:sz w:val="22"/>
                <w:szCs w:val="22"/>
              </w:rPr>
            </w:pPr>
          </w:p>
          <w:p w14:paraId="3A36B116" w14:textId="77777777" w:rsidR="00114F14" w:rsidRDefault="00114F14" w:rsidP="004A104C">
            <w:pPr>
              <w:rPr>
                <w:sz w:val="22"/>
                <w:szCs w:val="22"/>
              </w:rPr>
            </w:pPr>
          </w:p>
          <w:p w14:paraId="7A51451C" w14:textId="77777777" w:rsidR="00114F14" w:rsidRDefault="00114F14" w:rsidP="004A104C">
            <w:pPr>
              <w:rPr>
                <w:sz w:val="22"/>
                <w:szCs w:val="22"/>
              </w:rPr>
            </w:pPr>
          </w:p>
          <w:p w14:paraId="7EF194CC" w14:textId="77777777" w:rsidR="00114F14" w:rsidRDefault="00114F14" w:rsidP="004A104C">
            <w:pPr>
              <w:rPr>
                <w:sz w:val="22"/>
                <w:szCs w:val="22"/>
              </w:rPr>
            </w:pPr>
          </w:p>
          <w:p w14:paraId="65029BF1" w14:textId="77777777" w:rsidR="00114F14" w:rsidRDefault="00114F14" w:rsidP="004A104C">
            <w:pPr>
              <w:rPr>
                <w:sz w:val="22"/>
                <w:szCs w:val="22"/>
              </w:rPr>
            </w:pPr>
          </w:p>
          <w:p w14:paraId="22A54982" w14:textId="77777777" w:rsidR="00114F14" w:rsidRDefault="00114F14" w:rsidP="004A104C">
            <w:pPr>
              <w:rPr>
                <w:sz w:val="22"/>
                <w:szCs w:val="22"/>
              </w:rPr>
            </w:pPr>
          </w:p>
          <w:p w14:paraId="71F2888C" w14:textId="77777777" w:rsidR="00114F14" w:rsidRDefault="00114F14" w:rsidP="004A104C">
            <w:pPr>
              <w:rPr>
                <w:sz w:val="22"/>
                <w:szCs w:val="22"/>
              </w:rPr>
            </w:pPr>
          </w:p>
          <w:p w14:paraId="7CA6EF5A" w14:textId="77777777" w:rsidR="00114F14" w:rsidRDefault="00114F14" w:rsidP="004A104C">
            <w:pPr>
              <w:rPr>
                <w:sz w:val="22"/>
                <w:szCs w:val="22"/>
              </w:rPr>
            </w:pPr>
          </w:p>
          <w:p w14:paraId="4E0646EF" w14:textId="77777777" w:rsidR="00114F14" w:rsidRDefault="00114F14" w:rsidP="004A104C">
            <w:pPr>
              <w:rPr>
                <w:sz w:val="22"/>
                <w:szCs w:val="22"/>
              </w:rPr>
            </w:pPr>
          </w:p>
          <w:p w14:paraId="52CDAD63" w14:textId="77777777" w:rsidR="00114F14" w:rsidRDefault="00114F14" w:rsidP="004A104C">
            <w:pPr>
              <w:rPr>
                <w:sz w:val="22"/>
                <w:szCs w:val="22"/>
              </w:rPr>
            </w:pPr>
          </w:p>
          <w:p w14:paraId="00E86750" w14:textId="77777777" w:rsidR="00114F14" w:rsidRDefault="00114F14" w:rsidP="004A104C">
            <w:pPr>
              <w:rPr>
                <w:sz w:val="22"/>
                <w:szCs w:val="22"/>
              </w:rPr>
            </w:pPr>
          </w:p>
          <w:p w14:paraId="3F058298" w14:textId="77777777" w:rsidR="00114F14" w:rsidRDefault="00114F14" w:rsidP="004A104C">
            <w:pPr>
              <w:rPr>
                <w:sz w:val="22"/>
                <w:szCs w:val="22"/>
              </w:rPr>
            </w:pPr>
          </w:p>
          <w:p w14:paraId="49A1323A" w14:textId="77777777" w:rsidR="00114F14" w:rsidRDefault="00114F14" w:rsidP="004A104C">
            <w:pPr>
              <w:rPr>
                <w:sz w:val="22"/>
                <w:szCs w:val="22"/>
              </w:rPr>
            </w:pPr>
          </w:p>
          <w:p w14:paraId="44215E82" w14:textId="77777777" w:rsidR="00114F14" w:rsidRDefault="00114F14" w:rsidP="004A104C">
            <w:pPr>
              <w:rPr>
                <w:sz w:val="22"/>
                <w:szCs w:val="22"/>
              </w:rPr>
            </w:pPr>
          </w:p>
          <w:p w14:paraId="020E2EFE" w14:textId="77777777" w:rsidR="00114F14" w:rsidRDefault="00114F14" w:rsidP="004A104C">
            <w:pPr>
              <w:rPr>
                <w:sz w:val="22"/>
                <w:szCs w:val="22"/>
              </w:rPr>
            </w:pPr>
          </w:p>
          <w:p w14:paraId="6EA43567" w14:textId="77777777" w:rsidR="00114F14" w:rsidRDefault="00114F14" w:rsidP="004A104C">
            <w:pPr>
              <w:rPr>
                <w:sz w:val="22"/>
                <w:szCs w:val="22"/>
              </w:rPr>
            </w:pPr>
          </w:p>
          <w:p w14:paraId="4EF3B8AF" w14:textId="77777777" w:rsidR="00114F14" w:rsidRDefault="00114F14" w:rsidP="004A104C">
            <w:pPr>
              <w:rPr>
                <w:sz w:val="22"/>
                <w:szCs w:val="22"/>
              </w:rPr>
            </w:pPr>
          </w:p>
          <w:p w14:paraId="7B901971" w14:textId="77777777" w:rsidR="00114F14" w:rsidRDefault="00114F14" w:rsidP="004A104C">
            <w:pPr>
              <w:rPr>
                <w:sz w:val="22"/>
                <w:szCs w:val="22"/>
              </w:rPr>
            </w:pPr>
          </w:p>
          <w:p w14:paraId="71CFDCF7" w14:textId="77777777" w:rsidR="00114F14" w:rsidRDefault="00114F14" w:rsidP="004A104C">
            <w:pPr>
              <w:rPr>
                <w:sz w:val="22"/>
                <w:szCs w:val="22"/>
              </w:rPr>
            </w:pPr>
          </w:p>
          <w:p w14:paraId="5B347A9C" w14:textId="77777777" w:rsidR="00114F14" w:rsidRDefault="00114F14" w:rsidP="004A104C">
            <w:pPr>
              <w:rPr>
                <w:sz w:val="22"/>
                <w:szCs w:val="22"/>
              </w:rPr>
            </w:pPr>
          </w:p>
          <w:p w14:paraId="3CDFB913" w14:textId="77777777" w:rsidR="00114F14" w:rsidRDefault="00114F14" w:rsidP="004A104C">
            <w:pPr>
              <w:rPr>
                <w:sz w:val="22"/>
                <w:szCs w:val="22"/>
              </w:rPr>
            </w:pPr>
          </w:p>
          <w:p w14:paraId="4266971E" w14:textId="77777777" w:rsidR="00114F14" w:rsidRDefault="00114F14" w:rsidP="004A104C">
            <w:pPr>
              <w:rPr>
                <w:sz w:val="22"/>
                <w:szCs w:val="22"/>
              </w:rPr>
            </w:pPr>
          </w:p>
          <w:p w14:paraId="0D8A9FF4" w14:textId="77777777" w:rsidR="00114F14" w:rsidRDefault="00114F14" w:rsidP="004A104C">
            <w:pPr>
              <w:rPr>
                <w:sz w:val="22"/>
                <w:szCs w:val="22"/>
              </w:rPr>
            </w:pPr>
          </w:p>
          <w:p w14:paraId="696237E0" w14:textId="77777777" w:rsidR="00114F14" w:rsidRDefault="00114F14" w:rsidP="004A104C">
            <w:pPr>
              <w:rPr>
                <w:sz w:val="22"/>
                <w:szCs w:val="22"/>
              </w:rPr>
            </w:pPr>
          </w:p>
          <w:p w14:paraId="2A804727" w14:textId="77777777" w:rsidR="00114F14" w:rsidRDefault="00114F14" w:rsidP="004A104C">
            <w:pPr>
              <w:rPr>
                <w:sz w:val="22"/>
                <w:szCs w:val="22"/>
              </w:rPr>
            </w:pPr>
          </w:p>
          <w:p w14:paraId="3F5BB5F5" w14:textId="77777777" w:rsidR="00114F14" w:rsidRDefault="00114F14" w:rsidP="004A104C">
            <w:pPr>
              <w:rPr>
                <w:sz w:val="22"/>
                <w:szCs w:val="22"/>
              </w:rPr>
            </w:pPr>
          </w:p>
          <w:p w14:paraId="543C73A4" w14:textId="77777777" w:rsidR="00114F14" w:rsidRDefault="00114F14" w:rsidP="004A104C">
            <w:pPr>
              <w:rPr>
                <w:sz w:val="22"/>
                <w:szCs w:val="22"/>
              </w:rPr>
            </w:pPr>
          </w:p>
          <w:p w14:paraId="1B29118A" w14:textId="77777777" w:rsidR="00114F14" w:rsidRDefault="00114F14" w:rsidP="004A104C">
            <w:pPr>
              <w:rPr>
                <w:sz w:val="22"/>
                <w:szCs w:val="22"/>
              </w:rPr>
            </w:pPr>
          </w:p>
          <w:p w14:paraId="41F0E041" w14:textId="77777777" w:rsidR="00114F14" w:rsidRDefault="00114F14" w:rsidP="004A104C">
            <w:pPr>
              <w:rPr>
                <w:sz w:val="22"/>
                <w:szCs w:val="22"/>
              </w:rPr>
            </w:pPr>
          </w:p>
          <w:p w14:paraId="06710382" w14:textId="77777777" w:rsidR="00114F14" w:rsidRDefault="00114F14" w:rsidP="004A104C">
            <w:pPr>
              <w:rPr>
                <w:sz w:val="22"/>
                <w:szCs w:val="22"/>
              </w:rPr>
            </w:pPr>
          </w:p>
          <w:p w14:paraId="78A1906C" w14:textId="77777777" w:rsidR="00114F14" w:rsidRDefault="00114F14" w:rsidP="004A104C">
            <w:pPr>
              <w:rPr>
                <w:sz w:val="22"/>
                <w:szCs w:val="22"/>
              </w:rPr>
            </w:pPr>
          </w:p>
          <w:p w14:paraId="33F36A71" w14:textId="77777777" w:rsidR="00114F14" w:rsidRDefault="00114F14" w:rsidP="004A104C">
            <w:pPr>
              <w:rPr>
                <w:sz w:val="22"/>
                <w:szCs w:val="22"/>
              </w:rPr>
            </w:pPr>
          </w:p>
          <w:p w14:paraId="737E9C1D" w14:textId="77777777" w:rsidR="00114F14" w:rsidRDefault="00114F14" w:rsidP="004A104C">
            <w:pPr>
              <w:rPr>
                <w:sz w:val="22"/>
                <w:szCs w:val="22"/>
              </w:rPr>
            </w:pPr>
          </w:p>
          <w:p w14:paraId="0CBC13A0" w14:textId="77777777" w:rsidR="00114F14" w:rsidRDefault="00114F14" w:rsidP="004A104C">
            <w:pPr>
              <w:rPr>
                <w:sz w:val="22"/>
                <w:szCs w:val="22"/>
              </w:rPr>
            </w:pPr>
          </w:p>
          <w:p w14:paraId="6DD9E081" w14:textId="77777777" w:rsidR="00114F14" w:rsidRDefault="00114F14" w:rsidP="004A104C">
            <w:pPr>
              <w:rPr>
                <w:sz w:val="22"/>
                <w:szCs w:val="22"/>
              </w:rPr>
            </w:pPr>
          </w:p>
          <w:p w14:paraId="7CDFFEB7" w14:textId="77777777" w:rsidR="00114F14" w:rsidRDefault="00114F14" w:rsidP="004A104C">
            <w:pPr>
              <w:rPr>
                <w:sz w:val="22"/>
                <w:szCs w:val="22"/>
              </w:rPr>
            </w:pPr>
          </w:p>
          <w:p w14:paraId="64935D48" w14:textId="77777777" w:rsidR="00114F14" w:rsidRDefault="00114F14" w:rsidP="004A104C">
            <w:pPr>
              <w:rPr>
                <w:sz w:val="22"/>
                <w:szCs w:val="22"/>
              </w:rPr>
            </w:pPr>
          </w:p>
          <w:p w14:paraId="208B286F" w14:textId="77777777" w:rsidR="00114F14" w:rsidRDefault="00114F14" w:rsidP="004A104C">
            <w:pPr>
              <w:rPr>
                <w:sz w:val="22"/>
                <w:szCs w:val="22"/>
              </w:rPr>
            </w:pPr>
          </w:p>
          <w:p w14:paraId="72AEA275" w14:textId="77777777" w:rsidR="00114F14" w:rsidRDefault="00114F14" w:rsidP="004A104C">
            <w:pPr>
              <w:rPr>
                <w:sz w:val="22"/>
                <w:szCs w:val="22"/>
              </w:rPr>
            </w:pPr>
          </w:p>
          <w:p w14:paraId="54E722E9" w14:textId="77777777" w:rsidR="00114F14" w:rsidRDefault="00114F14" w:rsidP="004A104C">
            <w:pPr>
              <w:rPr>
                <w:sz w:val="22"/>
                <w:szCs w:val="22"/>
              </w:rPr>
            </w:pPr>
          </w:p>
          <w:p w14:paraId="3F086281" w14:textId="77777777" w:rsidR="00114F14" w:rsidRDefault="00114F14" w:rsidP="004A104C">
            <w:pPr>
              <w:rPr>
                <w:sz w:val="22"/>
                <w:szCs w:val="22"/>
              </w:rPr>
            </w:pPr>
          </w:p>
          <w:p w14:paraId="05BE740B" w14:textId="77777777" w:rsidR="00114F14" w:rsidRDefault="00114F14" w:rsidP="004A104C">
            <w:pPr>
              <w:rPr>
                <w:sz w:val="22"/>
                <w:szCs w:val="22"/>
              </w:rPr>
            </w:pPr>
          </w:p>
          <w:p w14:paraId="3CE8E369" w14:textId="77777777" w:rsidR="00114F14" w:rsidRDefault="00114F14" w:rsidP="004A104C">
            <w:pPr>
              <w:rPr>
                <w:sz w:val="22"/>
                <w:szCs w:val="22"/>
              </w:rPr>
            </w:pPr>
          </w:p>
          <w:p w14:paraId="52632E5F" w14:textId="77777777" w:rsidR="00114F14" w:rsidRDefault="00114F14" w:rsidP="004A104C">
            <w:pPr>
              <w:rPr>
                <w:sz w:val="22"/>
                <w:szCs w:val="22"/>
              </w:rPr>
            </w:pPr>
          </w:p>
          <w:p w14:paraId="37A240FC" w14:textId="77777777" w:rsidR="00114F14" w:rsidRDefault="00114F14" w:rsidP="004A104C">
            <w:pPr>
              <w:rPr>
                <w:sz w:val="22"/>
                <w:szCs w:val="22"/>
              </w:rPr>
            </w:pPr>
          </w:p>
          <w:p w14:paraId="3537CA3F" w14:textId="77777777" w:rsidR="00114F14" w:rsidRDefault="00114F14" w:rsidP="004A104C">
            <w:pPr>
              <w:rPr>
                <w:sz w:val="22"/>
                <w:szCs w:val="22"/>
              </w:rPr>
            </w:pPr>
          </w:p>
          <w:p w14:paraId="6BE8DE62" w14:textId="77777777" w:rsidR="00114F14" w:rsidRDefault="00114F14" w:rsidP="004A104C">
            <w:pPr>
              <w:rPr>
                <w:sz w:val="22"/>
                <w:szCs w:val="22"/>
              </w:rPr>
            </w:pPr>
          </w:p>
          <w:p w14:paraId="56D6DE41" w14:textId="77777777" w:rsidR="00114F14" w:rsidRDefault="00114F14" w:rsidP="004A104C">
            <w:pPr>
              <w:rPr>
                <w:sz w:val="22"/>
                <w:szCs w:val="22"/>
              </w:rPr>
            </w:pPr>
          </w:p>
          <w:p w14:paraId="43598EA5" w14:textId="77777777" w:rsidR="00114F14" w:rsidRDefault="00114F14" w:rsidP="004A104C">
            <w:pPr>
              <w:rPr>
                <w:sz w:val="22"/>
                <w:szCs w:val="22"/>
              </w:rPr>
            </w:pPr>
          </w:p>
          <w:p w14:paraId="7AB5E740" w14:textId="77777777" w:rsidR="00114F14" w:rsidRDefault="00114F14" w:rsidP="004A104C">
            <w:pPr>
              <w:rPr>
                <w:sz w:val="22"/>
                <w:szCs w:val="22"/>
              </w:rPr>
            </w:pPr>
          </w:p>
          <w:p w14:paraId="494E56FF" w14:textId="77777777" w:rsidR="00114F14" w:rsidRDefault="00114F14" w:rsidP="004A104C">
            <w:pPr>
              <w:rPr>
                <w:sz w:val="22"/>
                <w:szCs w:val="22"/>
              </w:rPr>
            </w:pPr>
          </w:p>
          <w:p w14:paraId="1CD52979" w14:textId="77777777" w:rsidR="00114F14" w:rsidRDefault="00114F14" w:rsidP="004A104C">
            <w:pPr>
              <w:rPr>
                <w:sz w:val="22"/>
                <w:szCs w:val="22"/>
              </w:rPr>
            </w:pPr>
          </w:p>
          <w:p w14:paraId="236E5C0A" w14:textId="77777777" w:rsidR="00114F14" w:rsidRDefault="00114F14" w:rsidP="004A104C">
            <w:pPr>
              <w:rPr>
                <w:sz w:val="22"/>
                <w:szCs w:val="22"/>
              </w:rPr>
            </w:pPr>
          </w:p>
          <w:p w14:paraId="7E7CB761" w14:textId="77777777" w:rsidR="00114F14" w:rsidRDefault="00114F14" w:rsidP="004A104C">
            <w:pPr>
              <w:rPr>
                <w:sz w:val="22"/>
                <w:szCs w:val="22"/>
              </w:rPr>
            </w:pPr>
          </w:p>
          <w:p w14:paraId="73FA318F" w14:textId="77777777" w:rsidR="00114F14" w:rsidRDefault="00114F14" w:rsidP="004A104C">
            <w:pPr>
              <w:rPr>
                <w:sz w:val="22"/>
                <w:szCs w:val="22"/>
              </w:rPr>
            </w:pPr>
          </w:p>
          <w:p w14:paraId="6732BCBD" w14:textId="77777777" w:rsidR="00114F14" w:rsidRDefault="00114F14" w:rsidP="004A104C">
            <w:pPr>
              <w:rPr>
                <w:sz w:val="22"/>
                <w:szCs w:val="22"/>
              </w:rPr>
            </w:pPr>
          </w:p>
          <w:p w14:paraId="57ED9943" w14:textId="77777777" w:rsidR="00114F14" w:rsidRDefault="00114F14" w:rsidP="004A104C">
            <w:pPr>
              <w:rPr>
                <w:sz w:val="22"/>
                <w:szCs w:val="22"/>
              </w:rPr>
            </w:pPr>
          </w:p>
          <w:p w14:paraId="748D768F" w14:textId="77777777" w:rsidR="00114F14" w:rsidRDefault="00114F14" w:rsidP="004A104C">
            <w:pPr>
              <w:rPr>
                <w:sz w:val="22"/>
                <w:szCs w:val="22"/>
              </w:rPr>
            </w:pPr>
          </w:p>
          <w:p w14:paraId="0E54FA4C" w14:textId="77777777" w:rsidR="00114F14" w:rsidRDefault="00114F14" w:rsidP="004A104C">
            <w:pPr>
              <w:rPr>
                <w:sz w:val="22"/>
                <w:szCs w:val="22"/>
              </w:rPr>
            </w:pPr>
          </w:p>
          <w:p w14:paraId="0AC6B42F" w14:textId="77777777" w:rsidR="00114F14" w:rsidRDefault="00114F14" w:rsidP="004A104C">
            <w:pPr>
              <w:rPr>
                <w:sz w:val="22"/>
                <w:szCs w:val="22"/>
              </w:rPr>
            </w:pPr>
          </w:p>
          <w:p w14:paraId="542FCF7B" w14:textId="77777777" w:rsidR="00114F14" w:rsidRDefault="00114F14" w:rsidP="004A104C">
            <w:pPr>
              <w:rPr>
                <w:sz w:val="22"/>
                <w:szCs w:val="22"/>
              </w:rPr>
            </w:pPr>
          </w:p>
          <w:p w14:paraId="7153CC4C" w14:textId="77777777" w:rsidR="00114F14" w:rsidRDefault="00114F14" w:rsidP="004A104C">
            <w:pPr>
              <w:rPr>
                <w:sz w:val="22"/>
                <w:szCs w:val="22"/>
              </w:rPr>
            </w:pPr>
          </w:p>
          <w:p w14:paraId="1B13437D" w14:textId="77777777" w:rsidR="00114F14" w:rsidRDefault="00114F14" w:rsidP="004A104C">
            <w:pPr>
              <w:rPr>
                <w:sz w:val="22"/>
                <w:szCs w:val="22"/>
              </w:rPr>
            </w:pPr>
          </w:p>
          <w:p w14:paraId="19C06D67" w14:textId="77777777" w:rsidR="00114F14" w:rsidRDefault="00114F14" w:rsidP="004A104C">
            <w:pPr>
              <w:rPr>
                <w:sz w:val="22"/>
                <w:szCs w:val="22"/>
              </w:rPr>
            </w:pPr>
          </w:p>
          <w:p w14:paraId="4085C962" w14:textId="77777777" w:rsidR="00114F14" w:rsidRDefault="00114F14" w:rsidP="004A104C">
            <w:pPr>
              <w:rPr>
                <w:sz w:val="22"/>
                <w:szCs w:val="22"/>
              </w:rPr>
            </w:pPr>
          </w:p>
          <w:p w14:paraId="71FDDE89" w14:textId="77777777" w:rsidR="00114F14" w:rsidRDefault="00114F14" w:rsidP="004A104C">
            <w:pPr>
              <w:rPr>
                <w:sz w:val="22"/>
                <w:szCs w:val="22"/>
              </w:rPr>
            </w:pPr>
          </w:p>
          <w:p w14:paraId="7F10E1B9" w14:textId="77777777" w:rsidR="00114F14" w:rsidRDefault="00114F14" w:rsidP="004A104C">
            <w:pPr>
              <w:rPr>
                <w:sz w:val="22"/>
                <w:szCs w:val="22"/>
              </w:rPr>
            </w:pPr>
          </w:p>
          <w:p w14:paraId="1AAAAF46" w14:textId="77777777" w:rsidR="00114F14" w:rsidRDefault="00114F14" w:rsidP="004A104C">
            <w:pPr>
              <w:rPr>
                <w:sz w:val="22"/>
                <w:szCs w:val="22"/>
              </w:rPr>
            </w:pPr>
          </w:p>
          <w:p w14:paraId="6BD7E013" w14:textId="77777777" w:rsidR="00114F14" w:rsidRDefault="00114F14" w:rsidP="004A104C">
            <w:pPr>
              <w:rPr>
                <w:sz w:val="22"/>
                <w:szCs w:val="22"/>
              </w:rPr>
            </w:pPr>
          </w:p>
          <w:p w14:paraId="7541057D" w14:textId="77777777" w:rsidR="00114F14" w:rsidRDefault="00114F14" w:rsidP="004A104C">
            <w:pPr>
              <w:rPr>
                <w:sz w:val="22"/>
                <w:szCs w:val="22"/>
              </w:rPr>
            </w:pPr>
          </w:p>
          <w:p w14:paraId="75E66378" w14:textId="77777777" w:rsidR="00114F14" w:rsidRDefault="00114F14" w:rsidP="004A104C">
            <w:pPr>
              <w:rPr>
                <w:sz w:val="22"/>
                <w:szCs w:val="22"/>
              </w:rPr>
            </w:pPr>
          </w:p>
          <w:p w14:paraId="11BB0FB0" w14:textId="77777777" w:rsidR="00114F14" w:rsidRDefault="00114F14" w:rsidP="004A104C">
            <w:pPr>
              <w:rPr>
                <w:sz w:val="22"/>
                <w:szCs w:val="22"/>
              </w:rPr>
            </w:pPr>
          </w:p>
          <w:p w14:paraId="7E4E6871" w14:textId="77777777" w:rsidR="00114F14" w:rsidRDefault="00114F14" w:rsidP="004A104C">
            <w:pPr>
              <w:rPr>
                <w:sz w:val="22"/>
                <w:szCs w:val="22"/>
              </w:rPr>
            </w:pPr>
          </w:p>
          <w:p w14:paraId="0A8C0406" w14:textId="77777777" w:rsidR="00114F14" w:rsidRDefault="00114F14" w:rsidP="004A104C">
            <w:pPr>
              <w:rPr>
                <w:sz w:val="22"/>
                <w:szCs w:val="22"/>
              </w:rPr>
            </w:pPr>
          </w:p>
          <w:p w14:paraId="18C93F86" w14:textId="77777777" w:rsidR="00114F14" w:rsidRDefault="00114F14" w:rsidP="004A104C">
            <w:pPr>
              <w:rPr>
                <w:sz w:val="22"/>
                <w:szCs w:val="22"/>
              </w:rPr>
            </w:pPr>
          </w:p>
          <w:p w14:paraId="5D9E55CC" w14:textId="77777777" w:rsidR="00114F14" w:rsidRDefault="00114F14" w:rsidP="004A104C">
            <w:pPr>
              <w:rPr>
                <w:sz w:val="22"/>
                <w:szCs w:val="22"/>
              </w:rPr>
            </w:pPr>
          </w:p>
          <w:p w14:paraId="3F9CB8E9" w14:textId="77777777" w:rsidR="00114F14" w:rsidRDefault="00114F14" w:rsidP="004A104C">
            <w:pPr>
              <w:rPr>
                <w:sz w:val="22"/>
                <w:szCs w:val="22"/>
              </w:rPr>
            </w:pPr>
          </w:p>
          <w:p w14:paraId="01A6C504" w14:textId="77777777" w:rsidR="00114F14" w:rsidRDefault="00114F14" w:rsidP="004A104C">
            <w:pPr>
              <w:rPr>
                <w:sz w:val="22"/>
                <w:szCs w:val="22"/>
              </w:rPr>
            </w:pPr>
          </w:p>
          <w:p w14:paraId="4C645F84" w14:textId="77777777" w:rsidR="00114F14" w:rsidRDefault="00114F14" w:rsidP="004A104C">
            <w:pPr>
              <w:rPr>
                <w:sz w:val="22"/>
                <w:szCs w:val="22"/>
              </w:rPr>
            </w:pPr>
          </w:p>
          <w:p w14:paraId="450843F8" w14:textId="77777777" w:rsidR="00114F14" w:rsidRDefault="00114F14" w:rsidP="004A104C">
            <w:pPr>
              <w:rPr>
                <w:sz w:val="22"/>
                <w:szCs w:val="22"/>
              </w:rPr>
            </w:pPr>
          </w:p>
          <w:p w14:paraId="31B320A7" w14:textId="77777777" w:rsidR="00114F14" w:rsidRDefault="00114F14" w:rsidP="004A104C">
            <w:pPr>
              <w:rPr>
                <w:sz w:val="22"/>
                <w:szCs w:val="22"/>
              </w:rPr>
            </w:pPr>
          </w:p>
          <w:p w14:paraId="3BE54735" w14:textId="77777777" w:rsidR="00114F14" w:rsidRDefault="00114F14" w:rsidP="004A104C">
            <w:pPr>
              <w:rPr>
                <w:sz w:val="22"/>
                <w:szCs w:val="22"/>
              </w:rPr>
            </w:pPr>
          </w:p>
          <w:p w14:paraId="4EB1170F" w14:textId="77777777" w:rsidR="00114F14" w:rsidRDefault="00114F14" w:rsidP="004A104C">
            <w:pPr>
              <w:rPr>
                <w:sz w:val="22"/>
                <w:szCs w:val="22"/>
              </w:rPr>
            </w:pPr>
          </w:p>
          <w:p w14:paraId="60B9E53D" w14:textId="77777777" w:rsidR="00114F14" w:rsidRDefault="00114F14" w:rsidP="004A104C">
            <w:pPr>
              <w:rPr>
                <w:sz w:val="22"/>
                <w:szCs w:val="22"/>
              </w:rPr>
            </w:pPr>
          </w:p>
          <w:p w14:paraId="42B24E6E" w14:textId="77777777" w:rsidR="00114F14" w:rsidRDefault="00114F14" w:rsidP="004A104C">
            <w:pPr>
              <w:rPr>
                <w:sz w:val="22"/>
                <w:szCs w:val="22"/>
              </w:rPr>
            </w:pPr>
          </w:p>
          <w:p w14:paraId="0038097B" w14:textId="77777777" w:rsidR="00114F14" w:rsidRDefault="00114F14" w:rsidP="004A104C">
            <w:pPr>
              <w:rPr>
                <w:sz w:val="22"/>
                <w:szCs w:val="22"/>
              </w:rPr>
            </w:pPr>
          </w:p>
          <w:p w14:paraId="552C6BEA" w14:textId="77777777" w:rsidR="00114F14" w:rsidRDefault="00114F14" w:rsidP="004A104C">
            <w:pPr>
              <w:rPr>
                <w:sz w:val="22"/>
                <w:szCs w:val="22"/>
              </w:rPr>
            </w:pPr>
          </w:p>
          <w:p w14:paraId="17F09FDF" w14:textId="77777777" w:rsidR="00114F14" w:rsidRDefault="00114F14" w:rsidP="004A104C">
            <w:pPr>
              <w:rPr>
                <w:sz w:val="22"/>
                <w:szCs w:val="22"/>
              </w:rPr>
            </w:pPr>
          </w:p>
          <w:p w14:paraId="69E898F0" w14:textId="77777777" w:rsidR="00114F14" w:rsidRDefault="00114F14" w:rsidP="004A104C">
            <w:pPr>
              <w:rPr>
                <w:sz w:val="22"/>
                <w:szCs w:val="22"/>
              </w:rPr>
            </w:pPr>
          </w:p>
          <w:p w14:paraId="039E5819" w14:textId="77777777" w:rsidR="00114F14" w:rsidRDefault="00114F14" w:rsidP="004A104C">
            <w:pPr>
              <w:rPr>
                <w:sz w:val="22"/>
                <w:szCs w:val="22"/>
              </w:rPr>
            </w:pPr>
          </w:p>
          <w:p w14:paraId="45E2D22D" w14:textId="77777777" w:rsidR="00114F14" w:rsidRDefault="00114F14" w:rsidP="004A104C">
            <w:pPr>
              <w:rPr>
                <w:sz w:val="22"/>
                <w:szCs w:val="22"/>
              </w:rPr>
            </w:pPr>
          </w:p>
          <w:p w14:paraId="5A67AE2E" w14:textId="77777777" w:rsidR="00114F14" w:rsidRDefault="00114F14" w:rsidP="004A104C">
            <w:pPr>
              <w:rPr>
                <w:sz w:val="22"/>
                <w:szCs w:val="22"/>
              </w:rPr>
            </w:pPr>
          </w:p>
          <w:p w14:paraId="3956CBC6" w14:textId="77777777" w:rsidR="00114F14" w:rsidRDefault="00114F14" w:rsidP="004A104C">
            <w:pPr>
              <w:rPr>
                <w:sz w:val="22"/>
                <w:szCs w:val="22"/>
              </w:rPr>
            </w:pPr>
          </w:p>
          <w:p w14:paraId="55EF1BCA" w14:textId="77777777" w:rsidR="00114F14" w:rsidRDefault="00114F14" w:rsidP="004A104C">
            <w:pPr>
              <w:rPr>
                <w:sz w:val="22"/>
                <w:szCs w:val="22"/>
              </w:rPr>
            </w:pPr>
          </w:p>
          <w:p w14:paraId="0943617F" w14:textId="77777777" w:rsidR="00114F14" w:rsidRDefault="00114F14" w:rsidP="004A104C">
            <w:pPr>
              <w:rPr>
                <w:sz w:val="22"/>
                <w:szCs w:val="22"/>
              </w:rPr>
            </w:pPr>
          </w:p>
          <w:p w14:paraId="1124D75D" w14:textId="77777777" w:rsidR="00114F14" w:rsidRDefault="00114F14" w:rsidP="004A104C">
            <w:pPr>
              <w:rPr>
                <w:sz w:val="22"/>
                <w:szCs w:val="22"/>
              </w:rPr>
            </w:pPr>
          </w:p>
          <w:p w14:paraId="7941E626" w14:textId="77777777" w:rsidR="00114F14" w:rsidRDefault="00114F14" w:rsidP="004A104C">
            <w:pPr>
              <w:rPr>
                <w:sz w:val="22"/>
                <w:szCs w:val="22"/>
              </w:rPr>
            </w:pPr>
          </w:p>
          <w:p w14:paraId="2982447F" w14:textId="77777777" w:rsidR="00114F14" w:rsidRDefault="00114F14" w:rsidP="004A104C">
            <w:pPr>
              <w:rPr>
                <w:sz w:val="22"/>
                <w:szCs w:val="22"/>
              </w:rPr>
            </w:pPr>
          </w:p>
          <w:p w14:paraId="2F3E39CA" w14:textId="77777777" w:rsidR="00114F14" w:rsidRDefault="00114F14" w:rsidP="004A104C">
            <w:pPr>
              <w:rPr>
                <w:sz w:val="22"/>
                <w:szCs w:val="22"/>
              </w:rPr>
            </w:pPr>
          </w:p>
          <w:p w14:paraId="6C8BFFEF" w14:textId="77777777" w:rsidR="00114F14" w:rsidRDefault="00114F14" w:rsidP="004A104C">
            <w:pPr>
              <w:rPr>
                <w:sz w:val="22"/>
                <w:szCs w:val="22"/>
              </w:rPr>
            </w:pPr>
          </w:p>
          <w:p w14:paraId="0C6382DB" w14:textId="77777777" w:rsidR="00114F14" w:rsidRDefault="00114F14" w:rsidP="004A104C">
            <w:pPr>
              <w:rPr>
                <w:sz w:val="22"/>
                <w:szCs w:val="22"/>
              </w:rPr>
            </w:pPr>
          </w:p>
          <w:p w14:paraId="6C81A1A7" w14:textId="77777777" w:rsidR="00114F14" w:rsidRDefault="00114F14" w:rsidP="004A104C">
            <w:pPr>
              <w:rPr>
                <w:sz w:val="22"/>
                <w:szCs w:val="22"/>
              </w:rPr>
            </w:pPr>
          </w:p>
          <w:p w14:paraId="2047C20A" w14:textId="77777777" w:rsidR="00114F14" w:rsidRDefault="00114F14" w:rsidP="004A104C">
            <w:pPr>
              <w:rPr>
                <w:sz w:val="22"/>
                <w:szCs w:val="22"/>
              </w:rPr>
            </w:pPr>
          </w:p>
          <w:p w14:paraId="209B4073" w14:textId="77777777" w:rsidR="00114F14" w:rsidRDefault="00114F14" w:rsidP="004A104C">
            <w:pPr>
              <w:rPr>
                <w:sz w:val="22"/>
                <w:szCs w:val="22"/>
              </w:rPr>
            </w:pPr>
          </w:p>
          <w:p w14:paraId="6352ABB5" w14:textId="77777777" w:rsidR="00114F14" w:rsidRDefault="00114F14" w:rsidP="004A104C">
            <w:pPr>
              <w:rPr>
                <w:sz w:val="22"/>
                <w:szCs w:val="22"/>
              </w:rPr>
            </w:pPr>
          </w:p>
          <w:p w14:paraId="048C2571" w14:textId="77777777" w:rsidR="00114F14" w:rsidRDefault="00114F14" w:rsidP="004A104C">
            <w:pPr>
              <w:rPr>
                <w:sz w:val="22"/>
                <w:szCs w:val="22"/>
              </w:rPr>
            </w:pPr>
          </w:p>
          <w:p w14:paraId="7EB57A70" w14:textId="77777777" w:rsidR="00114F14" w:rsidRDefault="00114F14" w:rsidP="004A104C">
            <w:pPr>
              <w:rPr>
                <w:sz w:val="22"/>
                <w:szCs w:val="22"/>
              </w:rPr>
            </w:pPr>
          </w:p>
          <w:p w14:paraId="5BCCCAC4" w14:textId="77777777" w:rsidR="00114F14" w:rsidRDefault="00114F14" w:rsidP="004A104C">
            <w:pPr>
              <w:rPr>
                <w:sz w:val="22"/>
                <w:szCs w:val="22"/>
              </w:rPr>
            </w:pPr>
          </w:p>
          <w:p w14:paraId="3C28FFBE" w14:textId="77777777" w:rsidR="00114F14" w:rsidRDefault="00114F14" w:rsidP="004A104C">
            <w:pPr>
              <w:rPr>
                <w:sz w:val="22"/>
                <w:szCs w:val="22"/>
              </w:rPr>
            </w:pPr>
          </w:p>
          <w:p w14:paraId="5AD327D9" w14:textId="77777777" w:rsidR="00114F14" w:rsidRDefault="00114F14" w:rsidP="004A104C">
            <w:pPr>
              <w:rPr>
                <w:sz w:val="22"/>
                <w:szCs w:val="22"/>
              </w:rPr>
            </w:pPr>
          </w:p>
          <w:p w14:paraId="032D3D08" w14:textId="77777777" w:rsidR="00114F14" w:rsidRDefault="00114F14" w:rsidP="004A104C">
            <w:pPr>
              <w:rPr>
                <w:sz w:val="22"/>
                <w:szCs w:val="22"/>
              </w:rPr>
            </w:pPr>
          </w:p>
          <w:p w14:paraId="662D7C09" w14:textId="77777777" w:rsidR="00114F14" w:rsidRDefault="00114F14" w:rsidP="004A104C">
            <w:pPr>
              <w:rPr>
                <w:sz w:val="22"/>
                <w:szCs w:val="22"/>
              </w:rPr>
            </w:pPr>
          </w:p>
          <w:p w14:paraId="5D41A484" w14:textId="77777777" w:rsidR="00114F14" w:rsidRDefault="00114F14" w:rsidP="004A104C">
            <w:pPr>
              <w:rPr>
                <w:sz w:val="22"/>
                <w:szCs w:val="22"/>
              </w:rPr>
            </w:pPr>
          </w:p>
          <w:p w14:paraId="58D9FACC" w14:textId="77777777" w:rsidR="00114F14" w:rsidRDefault="00114F14" w:rsidP="004A104C">
            <w:pPr>
              <w:rPr>
                <w:sz w:val="22"/>
                <w:szCs w:val="22"/>
              </w:rPr>
            </w:pPr>
          </w:p>
          <w:p w14:paraId="2273A63F" w14:textId="77777777" w:rsidR="00114F14" w:rsidRDefault="00114F14" w:rsidP="004A104C">
            <w:pPr>
              <w:rPr>
                <w:sz w:val="22"/>
                <w:szCs w:val="22"/>
              </w:rPr>
            </w:pPr>
          </w:p>
          <w:p w14:paraId="04352753" w14:textId="77777777" w:rsidR="00114F14" w:rsidRDefault="00114F14" w:rsidP="004A104C">
            <w:pPr>
              <w:rPr>
                <w:sz w:val="22"/>
                <w:szCs w:val="22"/>
              </w:rPr>
            </w:pPr>
          </w:p>
          <w:p w14:paraId="506A25E8" w14:textId="77777777" w:rsidR="00114F14" w:rsidRDefault="00114F14" w:rsidP="004A104C">
            <w:pPr>
              <w:rPr>
                <w:sz w:val="22"/>
                <w:szCs w:val="22"/>
              </w:rPr>
            </w:pPr>
          </w:p>
          <w:p w14:paraId="26B97E1C" w14:textId="77777777" w:rsidR="00114F14" w:rsidRDefault="00114F14" w:rsidP="004A104C">
            <w:pPr>
              <w:rPr>
                <w:sz w:val="22"/>
                <w:szCs w:val="22"/>
              </w:rPr>
            </w:pPr>
          </w:p>
          <w:p w14:paraId="523ADF93" w14:textId="77777777" w:rsidR="00114F14" w:rsidRDefault="00114F14" w:rsidP="004A104C">
            <w:pPr>
              <w:rPr>
                <w:sz w:val="22"/>
                <w:szCs w:val="22"/>
              </w:rPr>
            </w:pPr>
          </w:p>
          <w:p w14:paraId="0BBEF34D" w14:textId="77777777" w:rsidR="00114F14" w:rsidRDefault="00114F14" w:rsidP="004A104C">
            <w:pPr>
              <w:rPr>
                <w:sz w:val="22"/>
                <w:szCs w:val="22"/>
              </w:rPr>
            </w:pPr>
          </w:p>
          <w:p w14:paraId="0E8F9BF3" w14:textId="77777777" w:rsidR="00114F14" w:rsidRDefault="00114F14" w:rsidP="004A104C">
            <w:pPr>
              <w:rPr>
                <w:sz w:val="22"/>
                <w:szCs w:val="22"/>
              </w:rPr>
            </w:pPr>
          </w:p>
          <w:p w14:paraId="5E8D84A6" w14:textId="77777777" w:rsidR="00114F14" w:rsidRDefault="00114F14" w:rsidP="004A104C">
            <w:pPr>
              <w:rPr>
                <w:sz w:val="22"/>
                <w:szCs w:val="22"/>
              </w:rPr>
            </w:pPr>
          </w:p>
          <w:p w14:paraId="4504D256" w14:textId="77777777" w:rsidR="00114F14" w:rsidRDefault="00114F14" w:rsidP="004A104C">
            <w:pPr>
              <w:rPr>
                <w:sz w:val="22"/>
                <w:szCs w:val="22"/>
              </w:rPr>
            </w:pPr>
          </w:p>
          <w:p w14:paraId="35446B8A" w14:textId="77777777" w:rsidR="00114F14" w:rsidRDefault="00114F14" w:rsidP="004A104C">
            <w:pPr>
              <w:rPr>
                <w:sz w:val="22"/>
                <w:szCs w:val="22"/>
              </w:rPr>
            </w:pPr>
          </w:p>
          <w:p w14:paraId="1B99EAB3" w14:textId="77777777" w:rsidR="00114F14" w:rsidRDefault="00114F14" w:rsidP="004A104C">
            <w:pPr>
              <w:rPr>
                <w:sz w:val="22"/>
                <w:szCs w:val="22"/>
              </w:rPr>
            </w:pPr>
          </w:p>
          <w:p w14:paraId="3CB7EEFB" w14:textId="77777777" w:rsidR="00114F14" w:rsidRDefault="00114F14" w:rsidP="004A104C">
            <w:pPr>
              <w:rPr>
                <w:sz w:val="22"/>
                <w:szCs w:val="22"/>
              </w:rPr>
            </w:pPr>
          </w:p>
          <w:p w14:paraId="01EADF57" w14:textId="77777777" w:rsidR="00114F14" w:rsidRDefault="00114F14" w:rsidP="004A104C">
            <w:pPr>
              <w:rPr>
                <w:sz w:val="22"/>
                <w:szCs w:val="22"/>
              </w:rPr>
            </w:pPr>
          </w:p>
          <w:p w14:paraId="0EA635C1" w14:textId="77777777" w:rsidR="00114F14" w:rsidRDefault="00114F14" w:rsidP="004A104C">
            <w:pPr>
              <w:rPr>
                <w:sz w:val="22"/>
                <w:szCs w:val="22"/>
              </w:rPr>
            </w:pPr>
          </w:p>
          <w:p w14:paraId="69349EBD" w14:textId="77777777" w:rsidR="00114F14" w:rsidRDefault="00114F14" w:rsidP="004A104C">
            <w:pPr>
              <w:rPr>
                <w:sz w:val="22"/>
                <w:szCs w:val="22"/>
              </w:rPr>
            </w:pPr>
          </w:p>
          <w:p w14:paraId="6DC08592" w14:textId="77777777" w:rsidR="00114F14" w:rsidRDefault="00114F14" w:rsidP="004A104C">
            <w:pPr>
              <w:rPr>
                <w:sz w:val="22"/>
                <w:szCs w:val="22"/>
              </w:rPr>
            </w:pPr>
          </w:p>
          <w:p w14:paraId="2B22C17C" w14:textId="77777777" w:rsidR="00114F14" w:rsidRDefault="00114F14" w:rsidP="004A104C">
            <w:pPr>
              <w:rPr>
                <w:sz w:val="22"/>
                <w:szCs w:val="22"/>
              </w:rPr>
            </w:pPr>
          </w:p>
          <w:p w14:paraId="23B78C08" w14:textId="77777777" w:rsidR="00114F14" w:rsidRDefault="00114F14" w:rsidP="004A104C">
            <w:pPr>
              <w:rPr>
                <w:sz w:val="22"/>
                <w:szCs w:val="22"/>
              </w:rPr>
            </w:pPr>
          </w:p>
          <w:p w14:paraId="00CABB05" w14:textId="77777777" w:rsidR="00114F14" w:rsidRDefault="00114F14" w:rsidP="004A104C">
            <w:pPr>
              <w:rPr>
                <w:sz w:val="22"/>
                <w:szCs w:val="22"/>
              </w:rPr>
            </w:pPr>
          </w:p>
          <w:p w14:paraId="3CFB37EC" w14:textId="77777777" w:rsidR="00114F14" w:rsidRDefault="00114F14" w:rsidP="004A104C">
            <w:pPr>
              <w:rPr>
                <w:sz w:val="22"/>
                <w:szCs w:val="22"/>
              </w:rPr>
            </w:pPr>
          </w:p>
          <w:p w14:paraId="043A13A2" w14:textId="77777777" w:rsidR="00114F14" w:rsidRDefault="00114F14" w:rsidP="004A104C">
            <w:pPr>
              <w:rPr>
                <w:sz w:val="22"/>
                <w:szCs w:val="22"/>
              </w:rPr>
            </w:pPr>
          </w:p>
          <w:p w14:paraId="51C2F684" w14:textId="77777777" w:rsidR="00114F14" w:rsidRDefault="00114F14" w:rsidP="004A104C">
            <w:pPr>
              <w:rPr>
                <w:sz w:val="22"/>
                <w:szCs w:val="22"/>
              </w:rPr>
            </w:pPr>
          </w:p>
          <w:p w14:paraId="7BD04711" w14:textId="77777777" w:rsidR="00114F14" w:rsidRDefault="00114F14" w:rsidP="004A104C">
            <w:pPr>
              <w:rPr>
                <w:sz w:val="22"/>
                <w:szCs w:val="22"/>
              </w:rPr>
            </w:pPr>
          </w:p>
          <w:p w14:paraId="321A3A62" w14:textId="77777777" w:rsidR="00114F14" w:rsidRDefault="00114F14" w:rsidP="004A104C">
            <w:pPr>
              <w:rPr>
                <w:sz w:val="22"/>
                <w:szCs w:val="22"/>
              </w:rPr>
            </w:pPr>
          </w:p>
          <w:p w14:paraId="02D889E2" w14:textId="77777777" w:rsidR="00114F14" w:rsidRDefault="00114F14" w:rsidP="004A104C">
            <w:pPr>
              <w:rPr>
                <w:sz w:val="22"/>
                <w:szCs w:val="22"/>
              </w:rPr>
            </w:pPr>
          </w:p>
          <w:p w14:paraId="32A8755E" w14:textId="77777777" w:rsidR="00114F14" w:rsidRDefault="00114F14" w:rsidP="004A104C">
            <w:pPr>
              <w:rPr>
                <w:sz w:val="22"/>
                <w:szCs w:val="22"/>
              </w:rPr>
            </w:pPr>
          </w:p>
          <w:p w14:paraId="60010F46" w14:textId="77777777" w:rsidR="00114F14" w:rsidRDefault="00114F14" w:rsidP="004A104C">
            <w:pPr>
              <w:rPr>
                <w:sz w:val="22"/>
                <w:szCs w:val="22"/>
              </w:rPr>
            </w:pPr>
          </w:p>
          <w:p w14:paraId="470CA094" w14:textId="77777777" w:rsidR="00114F14" w:rsidRDefault="00114F14" w:rsidP="004A104C">
            <w:pPr>
              <w:rPr>
                <w:sz w:val="22"/>
                <w:szCs w:val="22"/>
              </w:rPr>
            </w:pPr>
          </w:p>
          <w:p w14:paraId="24C3390D" w14:textId="77777777" w:rsidR="00114F14" w:rsidRDefault="00114F14" w:rsidP="004A104C">
            <w:pPr>
              <w:rPr>
                <w:sz w:val="22"/>
                <w:szCs w:val="22"/>
              </w:rPr>
            </w:pPr>
          </w:p>
          <w:p w14:paraId="25781663" w14:textId="77777777" w:rsidR="00114F14" w:rsidRDefault="00114F14" w:rsidP="004A104C">
            <w:pPr>
              <w:rPr>
                <w:sz w:val="22"/>
                <w:szCs w:val="22"/>
              </w:rPr>
            </w:pPr>
          </w:p>
          <w:p w14:paraId="08914500" w14:textId="77777777" w:rsidR="00114F14" w:rsidRDefault="00114F14" w:rsidP="004A104C">
            <w:pPr>
              <w:rPr>
                <w:sz w:val="22"/>
                <w:szCs w:val="22"/>
              </w:rPr>
            </w:pPr>
          </w:p>
          <w:p w14:paraId="489E735A" w14:textId="77777777" w:rsidR="00114F14" w:rsidRDefault="00114F14" w:rsidP="004A104C">
            <w:pPr>
              <w:rPr>
                <w:sz w:val="22"/>
                <w:szCs w:val="22"/>
              </w:rPr>
            </w:pPr>
          </w:p>
          <w:p w14:paraId="27F6EBC1" w14:textId="77777777" w:rsidR="00114F14" w:rsidRDefault="00114F14" w:rsidP="004A104C">
            <w:pPr>
              <w:rPr>
                <w:sz w:val="22"/>
                <w:szCs w:val="22"/>
              </w:rPr>
            </w:pPr>
          </w:p>
          <w:p w14:paraId="2C615FAE" w14:textId="77777777" w:rsidR="00114F14" w:rsidRDefault="00114F14" w:rsidP="004A104C">
            <w:pPr>
              <w:rPr>
                <w:sz w:val="22"/>
                <w:szCs w:val="22"/>
              </w:rPr>
            </w:pPr>
          </w:p>
          <w:p w14:paraId="5C001401" w14:textId="77777777" w:rsidR="00114F14" w:rsidRDefault="00114F14" w:rsidP="004A104C">
            <w:pPr>
              <w:rPr>
                <w:sz w:val="22"/>
                <w:szCs w:val="22"/>
              </w:rPr>
            </w:pPr>
          </w:p>
          <w:p w14:paraId="17758477" w14:textId="77777777" w:rsidR="00114F14" w:rsidRDefault="00114F14" w:rsidP="004A104C">
            <w:pPr>
              <w:rPr>
                <w:sz w:val="22"/>
                <w:szCs w:val="22"/>
              </w:rPr>
            </w:pPr>
          </w:p>
          <w:p w14:paraId="293605C3" w14:textId="77777777" w:rsidR="00114F14" w:rsidRDefault="00114F14" w:rsidP="004A104C">
            <w:pPr>
              <w:rPr>
                <w:sz w:val="22"/>
                <w:szCs w:val="22"/>
              </w:rPr>
            </w:pPr>
          </w:p>
          <w:p w14:paraId="2C5C683E" w14:textId="77777777" w:rsidR="00114F14" w:rsidRDefault="00114F14" w:rsidP="004A104C">
            <w:pPr>
              <w:rPr>
                <w:sz w:val="22"/>
                <w:szCs w:val="22"/>
              </w:rPr>
            </w:pPr>
          </w:p>
          <w:p w14:paraId="5FDF2873" w14:textId="77777777" w:rsidR="00114F14" w:rsidRDefault="00114F14" w:rsidP="004A104C">
            <w:pPr>
              <w:rPr>
                <w:sz w:val="22"/>
                <w:szCs w:val="22"/>
              </w:rPr>
            </w:pPr>
          </w:p>
          <w:p w14:paraId="4BA0C00D" w14:textId="77777777" w:rsidR="00114F14" w:rsidRDefault="00114F14" w:rsidP="004A104C">
            <w:pPr>
              <w:rPr>
                <w:sz w:val="22"/>
                <w:szCs w:val="22"/>
              </w:rPr>
            </w:pPr>
          </w:p>
          <w:p w14:paraId="72A42C41" w14:textId="77777777" w:rsidR="00114F14" w:rsidRDefault="00114F14" w:rsidP="004A104C">
            <w:pPr>
              <w:rPr>
                <w:sz w:val="22"/>
                <w:szCs w:val="22"/>
              </w:rPr>
            </w:pPr>
          </w:p>
          <w:p w14:paraId="5D8EDC4B" w14:textId="77777777" w:rsidR="00114F14" w:rsidRDefault="00114F14" w:rsidP="004A104C">
            <w:pPr>
              <w:rPr>
                <w:sz w:val="22"/>
                <w:szCs w:val="22"/>
              </w:rPr>
            </w:pPr>
          </w:p>
          <w:p w14:paraId="18D6C8E6" w14:textId="77777777" w:rsidR="00114F14" w:rsidRDefault="00114F14" w:rsidP="004A104C">
            <w:pPr>
              <w:rPr>
                <w:sz w:val="22"/>
                <w:szCs w:val="22"/>
              </w:rPr>
            </w:pPr>
          </w:p>
          <w:p w14:paraId="4716FD7B" w14:textId="77777777" w:rsidR="00114F14" w:rsidRDefault="00114F14" w:rsidP="004A104C">
            <w:pPr>
              <w:rPr>
                <w:sz w:val="22"/>
                <w:szCs w:val="22"/>
              </w:rPr>
            </w:pPr>
          </w:p>
          <w:p w14:paraId="289ED7DD" w14:textId="77777777" w:rsidR="00114F14" w:rsidRDefault="00114F14" w:rsidP="004A104C">
            <w:pPr>
              <w:rPr>
                <w:sz w:val="22"/>
                <w:szCs w:val="22"/>
              </w:rPr>
            </w:pPr>
          </w:p>
          <w:p w14:paraId="5C85ACA5" w14:textId="77777777" w:rsidR="00114F14" w:rsidRDefault="00114F14" w:rsidP="004A104C">
            <w:pPr>
              <w:rPr>
                <w:sz w:val="22"/>
                <w:szCs w:val="22"/>
              </w:rPr>
            </w:pPr>
          </w:p>
          <w:p w14:paraId="377E9BB4" w14:textId="77777777" w:rsidR="00114F14" w:rsidRDefault="00114F14" w:rsidP="004A104C">
            <w:pPr>
              <w:rPr>
                <w:sz w:val="22"/>
                <w:szCs w:val="22"/>
              </w:rPr>
            </w:pPr>
          </w:p>
          <w:p w14:paraId="120C3F3B" w14:textId="77777777" w:rsidR="00114F14" w:rsidRDefault="00114F14" w:rsidP="004A104C">
            <w:pPr>
              <w:rPr>
                <w:sz w:val="22"/>
                <w:szCs w:val="22"/>
              </w:rPr>
            </w:pPr>
          </w:p>
          <w:p w14:paraId="5A4664D6" w14:textId="77777777" w:rsidR="00114F14" w:rsidRDefault="00114F14" w:rsidP="004A104C">
            <w:pPr>
              <w:rPr>
                <w:sz w:val="22"/>
                <w:szCs w:val="22"/>
              </w:rPr>
            </w:pPr>
          </w:p>
          <w:p w14:paraId="19C29090" w14:textId="77777777" w:rsidR="00114F14" w:rsidRDefault="00114F14" w:rsidP="004A104C">
            <w:pPr>
              <w:rPr>
                <w:sz w:val="22"/>
                <w:szCs w:val="22"/>
              </w:rPr>
            </w:pPr>
          </w:p>
          <w:p w14:paraId="5DBA1558" w14:textId="77777777" w:rsidR="00114F14" w:rsidRDefault="00114F14" w:rsidP="004A104C">
            <w:pPr>
              <w:rPr>
                <w:sz w:val="22"/>
                <w:szCs w:val="22"/>
              </w:rPr>
            </w:pPr>
          </w:p>
          <w:p w14:paraId="75618F8F" w14:textId="77777777" w:rsidR="00114F14" w:rsidRDefault="00114F14" w:rsidP="004A104C">
            <w:pPr>
              <w:rPr>
                <w:sz w:val="22"/>
                <w:szCs w:val="22"/>
              </w:rPr>
            </w:pPr>
          </w:p>
          <w:p w14:paraId="6FCAD851" w14:textId="77777777" w:rsidR="00114F14" w:rsidRDefault="00114F14" w:rsidP="004A104C">
            <w:pPr>
              <w:rPr>
                <w:sz w:val="22"/>
                <w:szCs w:val="22"/>
              </w:rPr>
            </w:pPr>
          </w:p>
          <w:p w14:paraId="59A255CB" w14:textId="77777777" w:rsidR="00114F14" w:rsidRDefault="00114F14" w:rsidP="004A104C">
            <w:pPr>
              <w:rPr>
                <w:sz w:val="22"/>
                <w:szCs w:val="22"/>
              </w:rPr>
            </w:pPr>
          </w:p>
          <w:p w14:paraId="0E628B39" w14:textId="77777777" w:rsidR="00114F14" w:rsidRDefault="00114F14" w:rsidP="004A104C">
            <w:pPr>
              <w:rPr>
                <w:sz w:val="22"/>
                <w:szCs w:val="22"/>
              </w:rPr>
            </w:pPr>
          </w:p>
          <w:p w14:paraId="59F4E622" w14:textId="77777777" w:rsidR="00114F14" w:rsidRDefault="00114F14" w:rsidP="004A104C">
            <w:pPr>
              <w:rPr>
                <w:sz w:val="22"/>
                <w:szCs w:val="22"/>
              </w:rPr>
            </w:pPr>
          </w:p>
          <w:p w14:paraId="256794C8" w14:textId="77777777" w:rsidR="00114F14" w:rsidRDefault="00114F14" w:rsidP="004A104C">
            <w:pPr>
              <w:rPr>
                <w:sz w:val="22"/>
                <w:szCs w:val="22"/>
              </w:rPr>
            </w:pPr>
          </w:p>
          <w:p w14:paraId="164C2501" w14:textId="77777777" w:rsidR="00114F14" w:rsidRDefault="00114F14" w:rsidP="004A104C">
            <w:pPr>
              <w:rPr>
                <w:sz w:val="22"/>
                <w:szCs w:val="22"/>
              </w:rPr>
            </w:pPr>
          </w:p>
          <w:p w14:paraId="2AD76F66" w14:textId="77777777" w:rsidR="00114F14" w:rsidRDefault="00114F14" w:rsidP="004A104C">
            <w:pPr>
              <w:rPr>
                <w:sz w:val="22"/>
                <w:szCs w:val="22"/>
              </w:rPr>
            </w:pPr>
          </w:p>
          <w:p w14:paraId="2286FB21" w14:textId="77777777" w:rsidR="00114F14" w:rsidRDefault="00114F14" w:rsidP="004A104C">
            <w:pPr>
              <w:rPr>
                <w:sz w:val="22"/>
                <w:szCs w:val="22"/>
              </w:rPr>
            </w:pPr>
          </w:p>
          <w:p w14:paraId="171ECD1B" w14:textId="77777777" w:rsidR="00114F14" w:rsidRDefault="00114F14" w:rsidP="004A104C">
            <w:pPr>
              <w:rPr>
                <w:sz w:val="22"/>
                <w:szCs w:val="22"/>
              </w:rPr>
            </w:pPr>
          </w:p>
          <w:p w14:paraId="42FE067A" w14:textId="77777777" w:rsidR="00114F14" w:rsidRDefault="00114F14" w:rsidP="004A104C">
            <w:pPr>
              <w:rPr>
                <w:sz w:val="22"/>
                <w:szCs w:val="22"/>
              </w:rPr>
            </w:pPr>
          </w:p>
          <w:p w14:paraId="336B99C4" w14:textId="77777777" w:rsidR="00114F14" w:rsidRDefault="00114F14" w:rsidP="004A104C">
            <w:pPr>
              <w:rPr>
                <w:sz w:val="22"/>
                <w:szCs w:val="22"/>
              </w:rPr>
            </w:pPr>
          </w:p>
          <w:p w14:paraId="3093D87A" w14:textId="77777777" w:rsidR="00114F14" w:rsidRDefault="00114F14" w:rsidP="004A104C">
            <w:pPr>
              <w:rPr>
                <w:sz w:val="22"/>
                <w:szCs w:val="22"/>
              </w:rPr>
            </w:pPr>
          </w:p>
          <w:p w14:paraId="045D26B4" w14:textId="77777777" w:rsidR="00114F14" w:rsidRDefault="00114F14" w:rsidP="004A104C">
            <w:pPr>
              <w:rPr>
                <w:sz w:val="22"/>
                <w:szCs w:val="22"/>
              </w:rPr>
            </w:pPr>
          </w:p>
          <w:p w14:paraId="686A4727" w14:textId="77777777" w:rsidR="00114F14" w:rsidRDefault="00114F14" w:rsidP="004A104C">
            <w:pPr>
              <w:rPr>
                <w:sz w:val="22"/>
                <w:szCs w:val="22"/>
              </w:rPr>
            </w:pPr>
          </w:p>
          <w:p w14:paraId="27FFE3C3" w14:textId="77777777" w:rsidR="00114F14" w:rsidRDefault="00114F14" w:rsidP="004A104C">
            <w:pPr>
              <w:rPr>
                <w:sz w:val="22"/>
                <w:szCs w:val="22"/>
              </w:rPr>
            </w:pPr>
          </w:p>
          <w:p w14:paraId="667F16AF" w14:textId="77777777" w:rsidR="00114F14" w:rsidRDefault="00114F14" w:rsidP="004A104C">
            <w:pPr>
              <w:rPr>
                <w:sz w:val="22"/>
                <w:szCs w:val="22"/>
              </w:rPr>
            </w:pPr>
          </w:p>
          <w:p w14:paraId="7FBBD7EC" w14:textId="77777777" w:rsidR="00114F14" w:rsidRDefault="00114F14" w:rsidP="004A104C">
            <w:pPr>
              <w:rPr>
                <w:sz w:val="22"/>
                <w:szCs w:val="22"/>
              </w:rPr>
            </w:pPr>
          </w:p>
          <w:p w14:paraId="092C535B" w14:textId="77777777" w:rsidR="00114F14" w:rsidRDefault="00114F14" w:rsidP="004A104C">
            <w:pPr>
              <w:rPr>
                <w:sz w:val="22"/>
                <w:szCs w:val="22"/>
              </w:rPr>
            </w:pPr>
          </w:p>
          <w:p w14:paraId="388D4B4B" w14:textId="77777777" w:rsidR="00114F14" w:rsidRDefault="00114F14" w:rsidP="004A104C">
            <w:pPr>
              <w:rPr>
                <w:sz w:val="22"/>
                <w:szCs w:val="22"/>
              </w:rPr>
            </w:pPr>
          </w:p>
          <w:p w14:paraId="3127CB93" w14:textId="77777777" w:rsidR="00114F14" w:rsidRDefault="00114F14" w:rsidP="004A104C">
            <w:pPr>
              <w:rPr>
                <w:sz w:val="22"/>
                <w:szCs w:val="22"/>
              </w:rPr>
            </w:pPr>
          </w:p>
          <w:p w14:paraId="0DAD9118" w14:textId="77777777" w:rsidR="00114F14" w:rsidRDefault="00114F14" w:rsidP="004A104C">
            <w:pPr>
              <w:rPr>
                <w:sz w:val="22"/>
                <w:szCs w:val="22"/>
              </w:rPr>
            </w:pPr>
          </w:p>
          <w:p w14:paraId="6B2BA9E1" w14:textId="77777777" w:rsidR="00114F14" w:rsidRDefault="00114F14" w:rsidP="004A104C">
            <w:pPr>
              <w:rPr>
                <w:sz w:val="22"/>
                <w:szCs w:val="22"/>
              </w:rPr>
            </w:pPr>
          </w:p>
          <w:p w14:paraId="5DA5F1D1" w14:textId="77777777" w:rsidR="00114F14" w:rsidRDefault="00114F14" w:rsidP="004A104C">
            <w:pPr>
              <w:rPr>
                <w:sz w:val="22"/>
                <w:szCs w:val="22"/>
              </w:rPr>
            </w:pPr>
          </w:p>
          <w:p w14:paraId="651F02B9" w14:textId="77777777" w:rsidR="00114F14" w:rsidRDefault="00114F14" w:rsidP="004A104C">
            <w:pPr>
              <w:rPr>
                <w:sz w:val="22"/>
                <w:szCs w:val="22"/>
              </w:rPr>
            </w:pPr>
          </w:p>
          <w:p w14:paraId="4828633F" w14:textId="77777777" w:rsidR="00114F14" w:rsidRDefault="00114F14" w:rsidP="004A104C">
            <w:pPr>
              <w:rPr>
                <w:sz w:val="22"/>
                <w:szCs w:val="22"/>
              </w:rPr>
            </w:pPr>
          </w:p>
          <w:p w14:paraId="147AEBBB" w14:textId="77777777" w:rsidR="00114F14" w:rsidRDefault="00114F14" w:rsidP="004A104C">
            <w:pPr>
              <w:rPr>
                <w:sz w:val="22"/>
                <w:szCs w:val="22"/>
              </w:rPr>
            </w:pPr>
          </w:p>
          <w:p w14:paraId="30226601" w14:textId="77777777" w:rsidR="00114F14" w:rsidRDefault="00114F14" w:rsidP="004A104C">
            <w:pPr>
              <w:rPr>
                <w:sz w:val="22"/>
                <w:szCs w:val="22"/>
              </w:rPr>
            </w:pPr>
          </w:p>
          <w:p w14:paraId="2499CF89" w14:textId="77777777" w:rsidR="00114F14" w:rsidRDefault="00114F14" w:rsidP="004A104C">
            <w:pPr>
              <w:rPr>
                <w:sz w:val="22"/>
                <w:szCs w:val="22"/>
              </w:rPr>
            </w:pPr>
          </w:p>
          <w:p w14:paraId="20CBF533" w14:textId="77777777" w:rsidR="00114F14" w:rsidRDefault="00114F14" w:rsidP="004A104C">
            <w:pPr>
              <w:rPr>
                <w:sz w:val="22"/>
                <w:szCs w:val="22"/>
              </w:rPr>
            </w:pPr>
          </w:p>
          <w:p w14:paraId="16A4C01B" w14:textId="77777777" w:rsidR="00114F14" w:rsidRDefault="00114F14" w:rsidP="004A104C">
            <w:pPr>
              <w:rPr>
                <w:sz w:val="22"/>
                <w:szCs w:val="22"/>
              </w:rPr>
            </w:pPr>
          </w:p>
          <w:p w14:paraId="170C14E6" w14:textId="77777777" w:rsidR="00114F14" w:rsidRDefault="00114F14" w:rsidP="004A104C">
            <w:pPr>
              <w:rPr>
                <w:sz w:val="22"/>
                <w:szCs w:val="22"/>
              </w:rPr>
            </w:pPr>
          </w:p>
          <w:p w14:paraId="6D6D3992" w14:textId="77777777" w:rsidR="00114F14" w:rsidRDefault="00114F14" w:rsidP="004A104C">
            <w:pPr>
              <w:rPr>
                <w:sz w:val="22"/>
                <w:szCs w:val="22"/>
              </w:rPr>
            </w:pPr>
          </w:p>
          <w:p w14:paraId="396055E0" w14:textId="77777777" w:rsidR="00114F14" w:rsidRDefault="00114F14" w:rsidP="004A104C">
            <w:pPr>
              <w:rPr>
                <w:sz w:val="22"/>
                <w:szCs w:val="22"/>
              </w:rPr>
            </w:pPr>
          </w:p>
          <w:p w14:paraId="7271AB98" w14:textId="77777777" w:rsidR="00114F14" w:rsidRDefault="00114F14" w:rsidP="004A104C">
            <w:pPr>
              <w:rPr>
                <w:sz w:val="22"/>
                <w:szCs w:val="22"/>
              </w:rPr>
            </w:pPr>
          </w:p>
          <w:p w14:paraId="1F644EBE" w14:textId="77777777" w:rsidR="00114F14" w:rsidRDefault="00114F14" w:rsidP="004A104C">
            <w:pPr>
              <w:rPr>
                <w:sz w:val="22"/>
                <w:szCs w:val="22"/>
              </w:rPr>
            </w:pPr>
          </w:p>
          <w:p w14:paraId="7ECE2DCF" w14:textId="77777777" w:rsidR="00114F14" w:rsidRDefault="00114F14" w:rsidP="004A104C">
            <w:pPr>
              <w:rPr>
                <w:sz w:val="22"/>
                <w:szCs w:val="22"/>
              </w:rPr>
            </w:pPr>
          </w:p>
          <w:p w14:paraId="5DC43DA6" w14:textId="77777777" w:rsidR="00114F14" w:rsidRDefault="00114F14" w:rsidP="004A104C">
            <w:pPr>
              <w:rPr>
                <w:sz w:val="22"/>
                <w:szCs w:val="22"/>
              </w:rPr>
            </w:pPr>
          </w:p>
          <w:p w14:paraId="15576A6B" w14:textId="77777777" w:rsidR="00114F14" w:rsidRDefault="00114F14" w:rsidP="004A104C">
            <w:pPr>
              <w:rPr>
                <w:sz w:val="22"/>
                <w:szCs w:val="22"/>
              </w:rPr>
            </w:pPr>
          </w:p>
          <w:p w14:paraId="18F21288" w14:textId="77777777" w:rsidR="00114F14" w:rsidRDefault="00114F14" w:rsidP="004A104C">
            <w:pPr>
              <w:rPr>
                <w:sz w:val="22"/>
                <w:szCs w:val="22"/>
              </w:rPr>
            </w:pPr>
          </w:p>
          <w:p w14:paraId="1ED2043E" w14:textId="77777777" w:rsidR="00114F14" w:rsidRDefault="00114F14" w:rsidP="004A104C">
            <w:pPr>
              <w:rPr>
                <w:sz w:val="22"/>
                <w:szCs w:val="22"/>
              </w:rPr>
            </w:pPr>
          </w:p>
          <w:p w14:paraId="7673E3AC" w14:textId="77777777" w:rsidR="00114F14" w:rsidRDefault="00114F14" w:rsidP="004A104C">
            <w:pPr>
              <w:rPr>
                <w:sz w:val="22"/>
                <w:szCs w:val="22"/>
              </w:rPr>
            </w:pPr>
          </w:p>
          <w:p w14:paraId="2332FD58" w14:textId="77777777" w:rsidR="00114F14" w:rsidRDefault="00114F14" w:rsidP="004A104C">
            <w:pPr>
              <w:rPr>
                <w:sz w:val="22"/>
                <w:szCs w:val="22"/>
              </w:rPr>
            </w:pPr>
          </w:p>
          <w:p w14:paraId="5B8C6396" w14:textId="77777777" w:rsidR="00114F14" w:rsidRDefault="00114F14" w:rsidP="004A104C">
            <w:pPr>
              <w:rPr>
                <w:sz w:val="22"/>
                <w:szCs w:val="22"/>
              </w:rPr>
            </w:pPr>
          </w:p>
          <w:p w14:paraId="1A21FD42" w14:textId="77777777" w:rsidR="00114F14" w:rsidRDefault="00114F14" w:rsidP="004A104C">
            <w:pPr>
              <w:rPr>
                <w:sz w:val="22"/>
                <w:szCs w:val="22"/>
              </w:rPr>
            </w:pPr>
          </w:p>
          <w:p w14:paraId="2ED095CF" w14:textId="77777777" w:rsidR="00114F14" w:rsidRDefault="00114F14" w:rsidP="004A104C">
            <w:pPr>
              <w:rPr>
                <w:sz w:val="22"/>
                <w:szCs w:val="22"/>
              </w:rPr>
            </w:pPr>
          </w:p>
          <w:p w14:paraId="68400CE8" w14:textId="77777777" w:rsidR="00114F14" w:rsidRDefault="00114F14" w:rsidP="004A104C">
            <w:pPr>
              <w:rPr>
                <w:sz w:val="22"/>
                <w:szCs w:val="22"/>
              </w:rPr>
            </w:pPr>
          </w:p>
          <w:p w14:paraId="25E5B2B1" w14:textId="77777777" w:rsidR="00114F14" w:rsidRDefault="00114F14" w:rsidP="004A104C">
            <w:pPr>
              <w:rPr>
                <w:sz w:val="22"/>
                <w:szCs w:val="22"/>
              </w:rPr>
            </w:pPr>
          </w:p>
          <w:p w14:paraId="7199F8D2" w14:textId="77777777" w:rsidR="00114F14" w:rsidRDefault="00114F14" w:rsidP="004A104C">
            <w:pPr>
              <w:rPr>
                <w:sz w:val="22"/>
                <w:szCs w:val="22"/>
              </w:rPr>
            </w:pPr>
          </w:p>
          <w:p w14:paraId="77F69BD5" w14:textId="77777777" w:rsidR="00114F14" w:rsidRDefault="00114F14" w:rsidP="004A104C">
            <w:pPr>
              <w:rPr>
                <w:sz w:val="22"/>
                <w:szCs w:val="22"/>
              </w:rPr>
            </w:pPr>
          </w:p>
          <w:p w14:paraId="07BF01FC" w14:textId="77777777" w:rsidR="00114F14" w:rsidRDefault="00114F14" w:rsidP="004A104C">
            <w:pPr>
              <w:rPr>
                <w:sz w:val="22"/>
                <w:szCs w:val="22"/>
              </w:rPr>
            </w:pPr>
          </w:p>
          <w:p w14:paraId="5345CA64" w14:textId="77777777" w:rsidR="00114F14" w:rsidRDefault="00114F14" w:rsidP="004A104C">
            <w:pPr>
              <w:rPr>
                <w:sz w:val="22"/>
                <w:szCs w:val="22"/>
              </w:rPr>
            </w:pPr>
          </w:p>
          <w:p w14:paraId="36AD5B17" w14:textId="77777777" w:rsidR="00114F14" w:rsidRDefault="00114F14" w:rsidP="004A104C">
            <w:pPr>
              <w:rPr>
                <w:sz w:val="22"/>
                <w:szCs w:val="22"/>
              </w:rPr>
            </w:pPr>
          </w:p>
          <w:p w14:paraId="2BF4EEEE" w14:textId="77777777" w:rsidR="00114F14" w:rsidRDefault="00114F14" w:rsidP="004A104C">
            <w:pPr>
              <w:rPr>
                <w:sz w:val="22"/>
                <w:szCs w:val="22"/>
              </w:rPr>
            </w:pPr>
          </w:p>
          <w:p w14:paraId="170A9C85" w14:textId="77777777" w:rsidR="00114F14" w:rsidRDefault="00114F14" w:rsidP="004A104C">
            <w:pPr>
              <w:rPr>
                <w:sz w:val="22"/>
                <w:szCs w:val="22"/>
              </w:rPr>
            </w:pPr>
          </w:p>
          <w:p w14:paraId="20661FA9" w14:textId="77777777" w:rsidR="00114F14" w:rsidRDefault="00114F14" w:rsidP="004A104C">
            <w:pPr>
              <w:rPr>
                <w:sz w:val="22"/>
                <w:szCs w:val="22"/>
              </w:rPr>
            </w:pPr>
          </w:p>
          <w:p w14:paraId="136C7C41" w14:textId="77777777" w:rsidR="00114F14" w:rsidRDefault="00114F14" w:rsidP="004A104C">
            <w:pPr>
              <w:rPr>
                <w:sz w:val="22"/>
                <w:szCs w:val="22"/>
              </w:rPr>
            </w:pPr>
          </w:p>
          <w:p w14:paraId="25740D79" w14:textId="77777777" w:rsidR="00114F14" w:rsidRDefault="00114F14" w:rsidP="004A104C">
            <w:pPr>
              <w:rPr>
                <w:sz w:val="22"/>
                <w:szCs w:val="22"/>
              </w:rPr>
            </w:pPr>
          </w:p>
          <w:p w14:paraId="561E1686" w14:textId="77777777" w:rsidR="00114F14" w:rsidRDefault="00114F14" w:rsidP="004A104C">
            <w:pPr>
              <w:rPr>
                <w:sz w:val="22"/>
                <w:szCs w:val="22"/>
              </w:rPr>
            </w:pPr>
          </w:p>
          <w:p w14:paraId="18A16C79" w14:textId="77777777" w:rsidR="00114F14" w:rsidRDefault="00114F14" w:rsidP="004A104C">
            <w:pPr>
              <w:rPr>
                <w:sz w:val="22"/>
                <w:szCs w:val="22"/>
              </w:rPr>
            </w:pPr>
          </w:p>
          <w:p w14:paraId="20F85A88" w14:textId="77777777" w:rsidR="00114F14" w:rsidRDefault="00114F14" w:rsidP="004A104C">
            <w:pPr>
              <w:rPr>
                <w:sz w:val="22"/>
                <w:szCs w:val="22"/>
              </w:rPr>
            </w:pPr>
          </w:p>
          <w:p w14:paraId="4627F4E8" w14:textId="77777777" w:rsidR="00114F14" w:rsidRDefault="00114F14" w:rsidP="004A104C">
            <w:pPr>
              <w:rPr>
                <w:sz w:val="22"/>
                <w:szCs w:val="22"/>
              </w:rPr>
            </w:pPr>
          </w:p>
          <w:p w14:paraId="2D996DD5" w14:textId="77777777" w:rsidR="00114F14" w:rsidRDefault="00114F14" w:rsidP="004A104C">
            <w:pPr>
              <w:rPr>
                <w:sz w:val="22"/>
                <w:szCs w:val="22"/>
              </w:rPr>
            </w:pPr>
          </w:p>
          <w:p w14:paraId="02224313" w14:textId="77777777" w:rsidR="00114F14" w:rsidRDefault="00114F14" w:rsidP="004A104C">
            <w:pPr>
              <w:rPr>
                <w:sz w:val="22"/>
                <w:szCs w:val="22"/>
              </w:rPr>
            </w:pPr>
          </w:p>
          <w:p w14:paraId="365F3576" w14:textId="77777777" w:rsidR="00114F14" w:rsidRDefault="00114F14" w:rsidP="004A104C">
            <w:pPr>
              <w:rPr>
                <w:sz w:val="22"/>
                <w:szCs w:val="22"/>
              </w:rPr>
            </w:pPr>
          </w:p>
          <w:p w14:paraId="0311B946" w14:textId="77777777" w:rsidR="00114F14" w:rsidRDefault="00114F14" w:rsidP="004A104C">
            <w:pPr>
              <w:rPr>
                <w:sz w:val="22"/>
                <w:szCs w:val="22"/>
              </w:rPr>
            </w:pPr>
          </w:p>
          <w:p w14:paraId="6B40AFAD" w14:textId="77777777" w:rsidR="00114F14" w:rsidRDefault="00114F14" w:rsidP="004A104C">
            <w:pPr>
              <w:rPr>
                <w:sz w:val="22"/>
                <w:szCs w:val="22"/>
              </w:rPr>
            </w:pPr>
          </w:p>
          <w:p w14:paraId="431055ED" w14:textId="77777777" w:rsidR="00114F14" w:rsidRDefault="00114F14" w:rsidP="004A104C">
            <w:pPr>
              <w:rPr>
                <w:sz w:val="22"/>
                <w:szCs w:val="22"/>
              </w:rPr>
            </w:pPr>
          </w:p>
          <w:p w14:paraId="4BE4E632" w14:textId="77777777" w:rsidR="00114F14" w:rsidRDefault="00114F14" w:rsidP="004A104C">
            <w:pPr>
              <w:rPr>
                <w:sz w:val="22"/>
                <w:szCs w:val="22"/>
              </w:rPr>
            </w:pPr>
          </w:p>
          <w:p w14:paraId="23D3F3E0" w14:textId="77777777" w:rsidR="00114F14" w:rsidRDefault="00114F14" w:rsidP="004A104C">
            <w:pPr>
              <w:rPr>
                <w:sz w:val="22"/>
                <w:szCs w:val="22"/>
              </w:rPr>
            </w:pPr>
          </w:p>
          <w:p w14:paraId="44AAFBEC" w14:textId="77777777" w:rsidR="00114F14" w:rsidRDefault="00114F14" w:rsidP="004A104C">
            <w:pPr>
              <w:rPr>
                <w:sz w:val="22"/>
                <w:szCs w:val="22"/>
              </w:rPr>
            </w:pPr>
          </w:p>
          <w:p w14:paraId="10FCA8F2" w14:textId="77777777" w:rsidR="00114F14" w:rsidRDefault="00114F14" w:rsidP="004A104C">
            <w:pPr>
              <w:rPr>
                <w:sz w:val="22"/>
                <w:szCs w:val="22"/>
              </w:rPr>
            </w:pPr>
          </w:p>
          <w:p w14:paraId="76BDF395" w14:textId="77777777" w:rsidR="00114F14" w:rsidRDefault="00114F14" w:rsidP="004A104C">
            <w:pPr>
              <w:rPr>
                <w:sz w:val="22"/>
                <w:szCs w:val="22"/>
              </w:rPr>
            </w:pPr>
          </w:p>
          <w:p w14:paraId="7ABB1492" w14:textId="77777777" w:rsidR="00114F14" w:rsidRDefault="00114F14" w:rsidP="004A104C">
            <w:pPr>
              <w:rPr>
                <w:sz w:val="22"/>
                <w:szCs w:val="22"/>
              </w:rPr>
            </w:pPr>
          </w:p>
          <w:p w14:paraId="08CEE44B" w14:textId="77777777" w:rsidR="00114F14" w:rsidRDefault="00114F14" w:rsidP="004A104C">
            <w:pPr>
              <w:rPr>
                <w:sz w:val="22"/>
                <w:szCs w:val="22"/>
              </w:rPr>
            </w:pPr>
          </w:p>
          <w:p w14:paraId="46EEEB7B" w14:textId="77777777" w:rsidR="00114F14" w:rsidRDefault="00114F14" w:rsidP="004A104C">
            <w:pPr>
              <w:rPr>
                <w:sz w:val="22"/>
                <w:szCs w:val="22"/>
              </w:rPr>
            </w:pPr>
          </w:p>
          <w:p w14:paraId="038B99A2" w14:textId="77777777" w:rsidR="00114F14" w:rsidRDefault="00114F14" w:rsidP="004A104C">
            <w:pPr>
              <w:rPr>
                <w:sz w:val="22"/>
                <w:szCs w:val="22"/>
              </w:rPr>
            </w:pPr>
          </w:p>
          <w:p w14:paraId="736B243D" w14:textId="77777777" w:rsidR="00114F14" w:rsidRDefault="00114F14" w:rsidP="004A104C">
            <w:pPr>
              <w:rPr>
                <w:sz w:val="22"/>
                <w:szCs w:val="22"/>
              </w:rPr>
            </w:pPr>
          </w:p>
          <w:p w14:paraId="4D5CBA1F" w14:textId="77777777" w:rsidR="00114F14" w:rsidRDefault="00114F14" w:rsidP="004A104C">
            <w:pPr>
              <w:rPr>
                <w:sz w:val="22"/>
                <w:szCs w:val="22"/>
              </w:rPr>
            </w:pPr>
          </w:p>
          <w:p w14:paraId="03CA5416" w14:textId="77777777" w:rsidR="00114F14" w:rsidRDefault="00114F14" w:rsidP="004A104C">
            <w:pPr>
              <w:rPr>
                <w:sz w:val="22"/>
                <w:szCs w:val="22"/>
              </w:rPr>
            </w:pPr>
          </w:p>
          <w:p w14:paraId="53C579FE" w14:textId="77777777" w:rsidR="00114F14" w:rsidRDefault="00114F14" w:rsidP="004A104C">
            <w:pPr>
              <w:rPr>
                <w:sz w:val="22"/>
                <w:szCs w:val="22"/>
              </w:rPr>
            </w:pPr>
          </w:p>
          <w:p w14:paraId="62E0EAE1" w14:textId="77777777" w:rsidR="00114F14" w:rsidRDefault="00114F14" w:rsidP="004A104C">
            <w:pPr>
              <w:rPr>
                <w:sz w:val="22"/>
                <w:szCs w:val="22"/>
              </w:rPr>
            </w:pPr>
          </w:p>
          <w:p w14:paraId="2A3DE2D1" w14:textId="77777777" w:rsidR="00114F14" w:rsidRDefault="00114F14" w:rsidP="004A104C">
            <w:pPr>
              <w:rPr>
                <w:sz w:val="22"/>
                <w:szCs w:val="22"/>
              </w:rPr>
            </w:pPr>
          </w:p>
          <w:p w14:paraId="00EB832C" w14:textId="77777777" w:rsidR="00114F14" w:rsidRDefault="00114F14" w:rsidP="004A104C">
            <w:pPr>
              <w:rPr>
                <w:sz w:val="22"/>
                <w:szCs w:val="22"/>
              </w:rPr>
            </w:pPr>
          </w:p>
          <w:p w14:paraId="243F9667" w14:textId="77777777" w:rsidR="00114F14" w:rsidRDefault="00114F14" w:rsidP="004A104C">
            <w:pPr>
              <w:rPr>
                <w:sz w:val="22"/>
                <w:szCs w:val="22"/>
              </w:rPr>
            </w:pPr>
          </w:p>
          <w:p w14:paraId="7800AA9A" w14:textId="77777777" w:rsidR="00114F14" w:rsidRDefault="00114F14" w:rsidP="004A104C">
            <w:pPr>
              <w:rPr>
                <w:sz w:val="22"/>
                <w:szCs w:val="22"/>
              </w:rPr>
            </w:pPr>
          </w:p>
          <w:p w14:paraId="5FAB9046" w14:textId="77777777" w:rsidR="00114F14" w:rsidRDefault="00114F14" w:rsidP="004A104C">
            <w:pPr>
              <w:rPr>
                <w:sz w:val="22"/>
                <w:szCs w:val="22"/>
              </w:rPr>
            </w:pPr>
          </w:p>
          <w:p w14:paraId="2487C550" w14:textId="77777777" w:rsidR="00114F14" w:rsidRDefault="00114F14" w:rsidP="004A104C">
            <w:pPr>
              <w:rPr>
                <w:sz w:val="22"/>
                <w:szCs w:val="22"/>
              </w:rPr>
            </w:pPr>
          </w:p>
          <w:p w14:paraId="05B3E0BF" w14:textId="77777777" w:rsidR="00114F14" w:rsidRDefault="00114F14" w:rsidP="004A104C">
            <w:pPr>
              <w:rPr>
                <w:sz w:val="22"/>
                <w:szCs w:val="22"/>
              </w:rPr>
            </w:pPr>
          </w:p>
          <w:p w14:paraId="001D4F4D" w14:textId="77777777" w:rsidR="00114F14" w:rsidRDefault="00114F14" w:rsidP="004A104C">
            <w:pPr>
              <w:rPr>
                <w:sz w:val="22"/>
                <w:szCs w:val="22"/>
              </w:rPr>
            </w:pPr>
          </w:p>
          <w:p w14:paraId="35A9B076" w14:textId="77777777" w:rsidR="00114F14" w:rsidRDefault="00114F14" w:rsidP="004A104C">
            <w:pPr>
              <w:rPr>
                <w:sz w:val="22"/>
                <w:szCs w:val="22"/>
              </w:rPr>
            </w:pPr>
          </w:p>
          <w:p w14:paraId="37807F15" w14:textId="77777777" w:rsidR="00114F14" w:rsidRDefault="00114F14" w:rsidP="004A104C">
            <w:pPr>
              <w:rPr>
                <w:sz w:val="22"/>
                <w:szCs w:val="22"/>
              </w:rPr>
            </w:pPr>
          </w:p>
          <w:p w14:paraId="7EF40F5A" w14:textId="77777777" w:rsidR="00114F14" w:rsidRDefault="00114F14" w:rsidP="004A104C">
            <w:pPr>
              <w:rPr>
                <w:sz w:val="22"/>
                <w:szCs w:val="22"/>
              </w:rPr>
            </w:pPr>
          </w:p>
          <w:p w14:paraId="71928929" w14:textId="77777777" w:rsidR="00114F14" w:rsidRDefault="00114F14" w:rsidP="004A104C">
            <w:pPr>
              <w:rPr>
                <w:sz w:val="22"/>
                <w:szCs w:val="22"/>
              </w:rPr>
            </w:pPr>
          </w:p>
          <w:p w14:paraId="568842F0" w14:textId="77777777" w:rsidR="00114F14" w:rsidRDefault="00114F14" w:rsidP="004A104C">
            <w:pPr>
              <w:rPr>
                <w:sz w:val="22"/>
                <w:szCs w:val="22"/>
              </w:rPr>
            </w:pPr>
          </w:p>
          <w:p w14:paraId="0346348E" w14:textId="77777777" w:rsidR="00114F14" w:rsidRDefault="00114F14" w:rsidP="004A104C">
            <w:pPr>
              <w:rPr>
                <w:sz w:val="22"/>
                <w:szCs w:val="22"/>
              </w:rPr>
            </w:pPr>
          </w:p>
          <w:p w14:paraId="32F8A853" w14:textId="77777777" w:rsidR="00114F14" w:rsidRDefault="00114F14" w:rsidP="004A104C">
            <w:pPr>
              <w:rPr>
                <w:sz w:val="22"/>
                <w:szCs w:val="22"/>
              </w:rPr>
            </w:pPr>
          </w:p>
          <w:p w14:paraId="25F50984" w14:textId="77777777" w:rsidR="00114F14" w:rsidRDefault="00114F14" w:rsidP="004A104C">
            <w:pPr>
              <w:rPr>
                <w:sz w:val="22"/>
                <w:szCs w:val="22"/>
              </w:rPr>
            </w:pPr>
          </w:p>
          <w:p w14:paraId="36F26E14" w14:textId="77777777" w:rsidR="00114F14" w:rsidRDefault="00114F14" w:rsidP="004A104C">
            <w:pPr>
              <w:rPr>
                <w:sz w:val="22"/>
                <w:szCs w:val="22"/>
              </w:rPr>
            </w:pPr>
          </w:p>
          <w:p w14:paraId="7A4F5F38" w14:textId="77777777" w:rsidR="00114F14" w:rsidRDefault="00114F14" w:rsidP="004A104C">
            <w:pPr>
              <w:rPr>
                <w:sz w:val="22"/>
                <w:szCs w:val="22"/>
              </w:rPr>
            </w:pPr>
          </w:p>
          <w:p w14:paraId="228CA817" w14:textId="77777777" w:rsidR="00114F14" w:rsidRDefault="00114F14" w:rsidP="004A104C">
            <w:pPr>
              <w:rPr>
                <w:sz w:val="22"/>
                <w:szCs w:val="22"/>
              </w:rPr>
            </w:pPr>
          </w:p>
          <w:p w14:paraId="279B238F" w14:textId="77777777" w:rsidR="00114F14" w:rsidRDefault="00114F14" w:rsidP="004A104C">
            <w:pPr>
              <w:rPr>
                <w:sz w:val="22"/>
                <w:szCs w:val="22"/>
              </w:rPr>
            </w:pPr>
          </w:p>
          <w:p w14:paraId="49A955C1" w14:textId="77777777" w:rsidR="00114F14" w:rsidRDefault="00114F14" w:rsidP="004A104C">
            <w:pPr>
              <w:rPr>
                <w:sz w:val="22"/>
                <w:szCs w:val="22"/>
              </w:rPr>
            </w:pPr>
          </w:p>
          <w:p w14:paraId="74392ED0" w14:textId="77777777" w:rsidR="00114F14" w:rsidRDefault="00114F14" w:rsidP="004A104C">
            <w:pPr>
              <w:rPr>
                <w:sz w:val="22"/>
                <w:szCs w:val="22"/>
              </w:rPr>
            </w:pPr>
          </w:p>
          <w:p w14:paraId="53675145" w14:textId="77777777" w:rsidR="00114F14" w:rsidRDefault="00114F14" w:rsidP="004A104C">
            <w:pPr>
              <w:rPr>
                <w:sz w:val="22"/>
                <w:szCs w:val="22"/>
              </w:rPr>
            </w:pPr>
          </w:p>
          <w:p w14:paraId="141DD0AC" w14:textId="77777777" w:rsidR="00114F14" w:rsidRDefault="00114F14" w:rsidP="004A104C">
            <w:pPr>
              <w:rPr>
                <w:sz w:val="22"/>
                <w:szCs w:val="22"/>
              </w:rPr>
            </w:pPr>
          </w:p>
          <w:p w14:paraId="3027A55B" w14:textId="77777777" w:rsidR="00114F14" w:rsidRDefault="00114F14" w:rsidP="004A104C">
            <w:pPr>
              <w:rPr>
                <w:sz w:val="22"/>
                <w:szCs w:val="22"/>
              </w:rPr>
            </w:pPr>
          </w:p>
          <w:p w14:paraId="0C9BB69B" w14:textId="77777777" w:rsidR="00114F14" w:rsidRDefault="00114F14" w:rsidP="004A104C">
            <w:pPr>
              <w:rPr>
                <w:sz w:val="22"/>
                <w:szCs w:val="22"/>
              </w:rPr>
            </w:pPr>
          </w:p>
          <w:p w14:paraId="74E00ED7" w14:textId="77777777" w:rsidR="00114F14" w:rsidRDefault="00114F14" w:rsidP="004A104C">
            <w:pPr>
              <w:rPr>
                <w:sz w:val="22"/>
                <w:szCs w:val="22"/>
              </w:rPr>
            </w:pPr>
          </w:p>
          <w:p w14:paraId="4F62121A" w14:textId="77777777" w:rsidR="00114F14" w:rsidRDefault="00114F14" w:rsidP="004A104C">
            <w:pPr>
              <w:rPr>
                <w:sz w:val="22"/>
                <w:szCs w:val="22"/>
              </w:rPr>
            </w:pPr>
          </w:p>
          <w:p w14:paraId="18AE4637" w14:textId="77777777" w:rsidR="00114F14" w:rsidRDefault="00114F14" w:rsidP="004A104C">
            <w:pPr>
              <w:rPr>
                <w:sz w:val="22"/>
                <w:szCs w:val="22"/>
              </w:rPr>
            </w:pPr>
          </w:p>
          <w:p w14:paraId="556FA419" w14:textId="77777777" w:rsidR="00114F14" w:rsidRDefault="00114F14" w:rsidP="004A104C">
            <w:pPr>
              <w:rPr>
                <w:sz w:val="22"/>
                <w:szCs w:val="22"/>
              </w:rPr>
            </w:pPr>
          </w:p>
          <w:p w14:paraId="4543973B" w14:textId="77777777" w:rsidR="00114F14" w:rsidRDefault="00114F14" w:rsidP="004A104C">
            <w:pPr>
              <w:rPr>
                <w:sz w:val="22"/>
                <w:szCs w:val="22"/>
              </w:rPr>
            </w:pPr>
          </w:p>
          <w:p w14:paraId="1D1E5BD8" w14:textId="77777777" w:rsidR="00114F14" w:rsidRDefault="00114F14" w:rsidP="004A104C">
            <w:pPr>
              <w:rPr>
                <w:sz w:val="22"/>
                <w:szCs w:val="22"/>
              </w:rPr>
            </w:pPr>
          </w:p>
          <w:p w14:paraId="57E6A0E5" w14:textId="77777777" w:rsidR="00114F14" w:rsidRDefault="00114F14" w:rsidP="004A104C">
            <w:pPr>
              <w:rPr>
                <w:sz w:val="22"/>
                <w:szCs w:val="22"/>
              </w:rPr>
            </w:pPr>
          </w:p>
          <w:p w14:paraId="22A110C5" w14:textId="77777777" w:rsidR="00114F14" w:rsidRDefault="00114F14" w:rsidP="004A104C">
            <w:pPr>
              <w:rPr>
                <w:sz w:val="22"/>
                <w:szCs w:val="22"/>
              </w:rPr>
            </w:pPr>
          </w:p>
          <w:p w14:paraId="4C8FFE13" w14:textId="77777777" w:rsidR="00114F14" w:rsidRDefault="00114F14" w:rsidP="004A104C">
            <w:pPr>
              <w:rPr>
                <w:sz w:val="22"/>
                <w:szCs w:val="22"/>
              </w:rPr>
            </w:pPr>
          </w:p>
          <w:p w14:paraId="31D7A2F5" w14:textId="77777777" w:rsidR="00114F14" w:rsidRDefault="00114F14" w:rsidP="004A104C">
            <w:pPr>
              <w:rPr>
                <w:sz w:val="22"/>
                <w:szCs w:val="22"/>
              </w:rPr>
            </w:pPr>
          </w:p>
          <w:p w14:paraId="05E1E6E9" w14:textId="77777777" w:rsidR="00114F14" w:rsidRDefault="00114F14" w:rsidP="004A104C">
            <w:pPr>
              <w:rPr>
                <w:sz w:val="22"/>
                <w:szCs w:val="22"/>
              </w:rPr>
            </w:pPr>
          </w:p>
          <w:p w14:paraId="0AEF3F18" w14:textId="77777777" w:rsidR="00114F14" w:rsidRDefault="00114F14" w:rsidP="004A104C">
            <w:pPr>
              <w:rPr>
                <w:sz w:val="22"/>
                <w:szCs w:val="22"/>
              </w:rPr>
            </w:pPr>
          </w:p>
          <w:p w14:paraId="1421DD26" w14:textId="77777777" w:rsidR="00114F14" w:rsidRDefault="00114F14" w:rsidP="004A104C">
            <w:pPr>
              <w:rPr>
                <w:sz w:val="22"/>
                <w:szCs w:val="22"/>
              </w:rPr>
            </w:pPr>
          </w:p>
          <w:p w14:paraId="5F05007F" w14:textId="77777777" w:rsidR="00114F14" w:rsidRDefault="00114F14" w:rsidP="004A104C">
            <w:pPr>
              <w:rPr>
                <w:sz w:val="22"/>
                <w:szCs w:val="22"/>
              </w:rPr>
            </w:pPr>
          </w:p>
          <w:p w14:paraId="0083DE2E" w14:textId="77777777" w:rsidR="00114F14" w:rsidRDefault="00114F14" w:rsidP="004A104C">
            <w:pPr>
              <w:rPr>
                <w:sz w:val="22"/>
                <w:szCs w:val="22"/>
              </w:rPr>
            </w:pPr>
          </w:p>
          <w:p w14:paraId="401A3320" w14:textId="77777777" w:rsidR="00114F14" w:rsidRDefault="00114F14" w:rsidP="004A104C">
            <w:pPr>
              <w:rPr>
                <w:sz w:val="22"/>
                <w:szCs w:val="22"/>
              </w:rPr>
            </w:pPr>
          </w:p>
          <w:p w14:paraId="48640139" w14:textId="77777777" w:rsidR="00114F14" w:rsidRDefault="00114F14" w:rsidP="004A104C">
            <w:pPr>
              <w:rPr>
                <w:sz w:val="22"/>
                <w:szCs w:val="22"/>
              </w:rPr>
            </w:pPr>
          </w:p>
          <w:p w14:paraId="06A82490" w14:textId="77777777" w:rsidR="00114F14" w:rsidRDefault="00114F14" w:rsidP="004A104C">
            <w:pPr>
              <w:rPr>
                <w:sz w:val="22"/>
                <w:szCs w:val="22"/>
              </w:rPr>
            </w:pPr>
          </w:p>
          <w:p w14:paraId="4847E8F5" w14:textId="77777777" w:rsidR="00114F14" w:rsidRDefault="00114F14" w:rsidP="004A104C">
            <w:pPr>
              <w:rPr>
                <w:sz w:val="22"/>
                <w:szCs w:val="22"/>
              </w:rPr>
            </w:pPr>
          </w:p>
          <w:p w14:paraId="4543340A" w14:textId="77777777" w:rsidR="00114F14" w:rsidRDefault="00114F14" w:rsidP="004A104C">
            <w:pPr>
              <w:rPr>
                <w:sz w:val="22"/>
                <w:szCs w:val="22"/>
              </w:rPr>
            </w:pPr>
          </w:p>
          <w:p w14:paraId="5AF5652A" w14:textId="77777777" w:rsidR="00114F14" w:rsidRDefault="00114F14" w:rsidP="004A104C">
            <w:pPr>
              <w:rPr>
                <w:sz w:val="22"/>
                <w:szCs w:val="22"/>
              </w:rPr>
            </w:pPr>
          </w:p>
          <w:p w14:paraId="3A334995" w14:textId="77777777" w:rsidR="00114F14" w:rsidRDefault="00114F14" w:rsidP="004A104C">
            <w:pPr>
              <w:rPr>
                <w:sz w:val="22"/>
                <w:szCs w:val="22"/>
              </w:rPr>
            </w:pPr>
          </w:p>
          <w:p w14:paraId="340A7A33" w14:textId="77777777" w:rsidR="00114F14" w:rsidRDefault="00114F14" w:rsidP="004A104C">
            <w:pPr>
              <w:rPr>
                <w:sz w:val="22"/>
                <w:szCs w:val="22"/>
              </w:rPr>
            </w:pPr>
          </w:p>
          <w:p w14:paraId="1A52FA69" w14:textId="77777777" w:rsidR="00114F14" w:rsidRDefault="00114F14" w:rsidP="004A104C">
            <w:pPr>
              <w:rPr>
                <w:sz w:val="22"/>
                <w:szCs w:val="22"/>
              </w:rPr>
            </w:pPr>
          </w:p>
          <w:p w14:paraId="21747962" w14:textId="77777777" w:rsidR="00114F14" w:rsidRDefault="00114F14" w:rsidP="004A104C">
            <w:pPr>
              <w:rPr>
                <w:sz w:val="22"/>
                <w:szCs w:val="22"/>
              </w:rPr>
            </w:pPr>
          </w:p>
          <w:p w14:paraId="102EA9E7" w14:textId="77777777" w:rsidR="00114F14" w:rsidRDefault="00114F14" w:rsidP="004A104C">
            <w:pPr>
              <w:rPr>
                <w:sz w:val="22"/>
                <w:szCs w:val="22"/>
              </w:rPr>
            </w:pPr>
          </w:p>
          <w:p w14:paraId="40EAC4A8" w14:textId="77777777" w:rsidR="00114F14" w:rsidRDefault="00114F14" w:rsidP="004A104C">
            <w:pPr>
              <w:rPr>
                <w:sz w:val="22"/>
                <w:szCs w:val="22"/>
              </w:rPr>
            </w:pPr>
          </w:p>
          <w:p w14:paraId="219FE911" w14:textId="77777777" w:rsidR="00114F14" w:rsidRDefault="00114F14" w:rsidP="004A104C">
            <w:pPr>
              <w:rPr>
                <w:sz w:val="22"/>
                <w:szCs w:val="22"/>
              </w:rPr>
            </w:pPr>
          </w:p>
          <w:p w14:paraId="04CCB098" w14:textId="77777777" w:rsidR="00114F14" w:rsidRDefault="00114F14" w:rsidP="004A104C">
            <w:pPr>
              <w:rPr>
                <w:sz w:val="22"/>
                <w:szCs w:val="22"/>
              </w:rPr>
            </w:pPr>
          </w:p>
          <w:p w14:paraId="6FDDE88A" w14:textId="77777777" w:rsidR="00114F14" w:rsidRDefault="00114F14" w:rsidP="004A104C">
            <w:pPr>
              <w:rPr>
                <w:sz w:val="22"/>
                <w:szCs w:val="22"/>
              </w:rPr>
            </w:pPr>
          </w:p>
          <w:p w14:paraId="33350676" w14:textId="77777777" w:rsidR="00114F14" w:rsidRDefault="00114F14" w:rsidP="004A104C">
            <w:pPr>
              <w:rPr>
                <w:sz w:val="22"/>
                <w:szCs w:val="22"/>
              </w:rPr>
            </w:pPr>
          </w:p>
          <w:p w14:paraId="510EF478" w14:textId="77777777" w:rsidR="00114F14" w:rsidRDefault="00114F14" w:rsidP="004A104C">
            <w:pPr>
              <w:rPr>
                <w:sz w:val="22"/>
                <w:szCs w:val="22"/>
              </w:rPr>
            </w:pPr>
          </w:p>
          <w:p w14:paraId="44D5FD3A" w14:textId="77777777" w:rsidR="00114F14" w:rsidRDefault="00114F14" w:rsidP="004A104C">
            <w:pPr>
              <w:rPr>
                <w:sz w:val="22"/>
                <w:szCs w:val="22"/>
              </w:rPr>
            </w:pPr>
          </w:p>
          <w:p w14:paraId="7084D538" w14:textId="77777777" w:rsidR="00114F14" w:rsidRDefault="00114F14" w:rsidP="004A104C">
            <w:pPr>
              <w:rPr>
                <w:sz w:val="22"/>
                <w:szCs w:val="22"/>
              </w:rPr>
            </w:pPr>
          </w:p>
          <w:p w14:paraId="6F26AD66" w14:textId="77777777" w:rsidR="00114F14" w:rsidRDefault="00114F14" w:rsidP="004A104C">
            <w:pPr>
              <w:rPr>
                <w:sz w:val="22"/>
                <w:szCs w:val="22"/>
              </w:rPr>
            </w:pPr>
          </w:p>
          <w:p w14:paraId="0D3BB073" w14:textId="77777777" w:rsidR="00114F14" w:rsidRDefault="00114F14" w:rsidP="004A104C">
            <w:pPr>
              <w:rPr>
                <w:sz w:val="22"/>
                <w:szCs w:val="22"/>
              </w:rPr>
            </w:pPr>
          </w:p>
          <w:p w14:paraId="2A99B9A9" w14:textId="77777777" w:rsidR="00114F14" w:rsidRDefault="00114F14" w:rsidP="004A104C">
            <w:pPr>
              <w:rPr>
                <w:sz w:val="22"/>
                <w:szCs w:val="22"/>
              </w:rPr>
            </w:pPr>
          </w:p>
          <w:p w14:paraId="14CD8451" w14:textId="77777777" w:rsidR="00114F14" w:rsidRDefault="00114F14" w:rsidP="004A104C">
            <w:pPr>
              <w:rPr>
                <w:sz w:val="22"/>
                <w:szCs w:val="22"/>
              </w:rPr>
            </w:pPr>
          </w:p>
          <w:p w14:paraId="2E037A84" w14:textId="77777777" w:rsidR="00114F14" w:rsidRDefault="00114F14" w:rsidP="004A104C">
            <w:pPr>
              <w:rPr>
                <w:sz w:val="22"/>
                <w:szCs w:val="22"/>
              </w:rPr>
            </w:pPr>
          </w:p>
          <w:p w14:paraId="02460C20" w14:textId="77777777" w:rsidR="00114F14" w:rsidRDefault="00114F14" w:rsidP="004A104C">
            <w:pPr>
              <w:rPr>
                <w:sz w:val="22"/>
                <w:szCs w:val="22"/>
              </w:rPr>
            </w:pPr>
          </w:p>
          <w:p w14:paraId="7CF06851" w14:textId="77777777" w:rsidR="00114F14" w:rsidRDefault="00114F14" w:rsidP="004A104C">
            <w:pPr>
              <w:rPr>
                <w:sz w:val="22"/>
                <w:szCs w:val="22"/>
              </w:rPr>
            </w:pPr>
          </w:p>
          <w:p w14:paraId="58A3F808" w14:textId="77777777" w:rsidR="00114F14" w:rsidRDefault="00114F14" w:rsidP="004A104C">
            <w:pPr>
              <w:rPr>
                <w:sz w:val="22"/>
                <w:szCs w:val="22"/>
              </w:rPr>
            </w:pPr>
          </w:p>
          <w:p w14:paraId="36290ACE" w14:textId="77777777" w:rsidR="00114F14" w:rsidRDefault="00114F14" w:rsidP="004A104C">
            <w:pPr>
              <w:rPr>
                <w:sz w:val="22"/>
                <w:szCs w:val="22"/>
              </w:rPr>
            </w:pPr>
          </w:p>
          <w:p w14:paraId="40FEC47E" w14:textId="77777777" w:rsidR="00114F14" w:rsidRDefault="00114F14" w:rsidP="004A104C">
            <w:pPr>
              <w:rPr>
                <w:sz w:val="22"/>
                <w:szCs w:val="22"/>
              </w:rPr>
            </w:pPr>
          </w:p>
          <w:p w14:paraId="06264BD7" w14:textId="77777777" w:rsidR="00114F14" w:rsidRDefault="00114F14" w:rsidP="004A104C">
            <w:pPr>
              <w:rPr>
                <w:sz w:val="22"/>
                <w:szCs w:val="22"/>
              </w:rPr>
            </w:pPr>
          </w:p>
          <w:p w14:paraId="34534177" w14:textId="77777777" w:rsidR="00114F14" w:rsidRDefault="00114F14" w:rsidP="004A104C">
            <w:pPr>
              <w:rPr>
                <w:sz w:val="22"/>
                <w:szCs w:val="22"/>
              </w:rPr>
            </w:pPr>
          </w:p>
          <w:p w14:paraId="0CF4D273" w14:textId="77777777" w:rsidR="00114F14" w:rsidRDefault="00114F14" w:rsidP="004A104C">
            <w:pPr>
              <w:rPr>
                <w:sz w:val="22"/>
                <w:szCs w:val="22"/>
              </w:rPr>
            </w:pPr>
          </w:p>
          <w:p w14:paraId="007C7B3D" w14:textId="77777777" w:rsidR="00114F14" w:rsidRDefault="00114F14" w:rsidP="004A104C">
            <w:pPr>
              <w:rPr>
                <w:sz w:val="22"/>
                <w:szCs w:val="22"/>
              </w:rPr>
            </w:pPr>
          </w:p>
          <w:p w14:paraId="3A7C1011" w14:textId="77777777" w:rsidR="00114F14" w:rsidRDefault="00114F14" w:rsidP="004A104C">
            <w:pPr>
              <w:rPr>
                <w:sz w:val="22"/>
                <w:szCs w:val="22"/>
              </w:rPr>
            </w:pPr>
          </w:p>
          <w:p w14:paraId="292AC9D9" w14:textId="77777777" w:rsidR="00114F14" w:rsidRDefault="00114F14" w:rsidP="004A104C">
            <w:pPr>
              <w:rPr>
                <w:sz w:val="22"/>
                <w:szCs w:val="22"/>
              </w:rPr>
            </w:pPr>
          </w:p>
          <w:p w14:paraId="11C72662" w14:textId="77777777" w:rsidR="00114F14" w:rsidRDefault="00114F14" w:rsidP="004A104C">
            <w:pPr>
              <w:rPr>
                <w:sz w:val="22"/>
                <w:szCs w:val="22"/>
              </w:rPr>
            </w:pPr>
          </w:p>
          <w:p w14:paraId="5A4DC761" w14:textId="77777777" w:rsidR="00114F14" w:rsidRDefault="00114F14" w:rsidP="004A104C">
            <w:pPr>
              <w:rPr>
                <w:sz w:val="22"/>
                <w:szCs w:val="22"/>
              </w:rPr>
            </w:pPr>
          </w:p>
          <w:p w14:paraId="4FB6F230" w14:textId="77777777" w:rsidR="00114F14" w:rsidRDefault="00114F14" w:rsidP="004A104C">
            <w:pPr>
              <w:rPr>
                <w:sz w:val="22"/>
                <w:szCs w:val="22"/>
              </w:rPr>
            </w:pPr>
          </w:p>
          <w:p w14:paraId="223DE039" w14:textId="77777777" w:rsidR="00114F14" w:rsidRDefault="00114F14" w:rsidP="004A104C">
            <w:pPr>
              <w:rPr>
                <w:sz w:val="22"/>
                <w:szCs w:val="22"/>
              </w:rPr>
            </w:pPr>
          </w:p>
          <w:p w14:paraId="4CE560DD" w14:textId="77777777" w:rsidR="00114F14" w:rsidRDefault="00114F14" w:rsidP="004A104C">
            <w:pPr>
              <w:rPr>
                <w:sz w:val="22"/>
                <w:szCs w:val="22"/>
              </w:rPr>
            </w:pPr>
          </w:p>
          <w:p w14:paraId="24A71FA5" w14:textId="77777777" w:rsidR="00114F14" w:rsidRDefault="00114F14" w:rsidP="004A104C">
            <w:pPr>
              <w:rPr>
                <w:sz w:val="22"/>
                <w:szCs w:val="22"/>
              </w:rPr>
            </w:pPr>
          </w:p>
          <w:p w14:paraId="53566401" w14:textId="77777777" w:rsidR="00114F14" w:rsidRDefault="00114F14" w:rsidP="004A104C">
            <w:pPr>
              <w:rPr>
                <w:sz w:val="22"/>
                <w:szCs w:val="22"/>
              </w:rPr>
            </w:pPr>
          </w:p>
          <w:p w14:paraId="2F53A21E" w14:textId="77777777" w:rsidR="00114F14" w:rsidRDefault="00114F14" w:rsidP="004A104C">
            <w:pPr>
              <w:rPr>
                <w:sz w:val="22"/>
                <w:szCs w:val="22"/>
              </w:rPr>
            </w:pPr>
          </w:p>
          <w:p w14:paraId="44A2BE2F" w14:textId="77777777" w:rsidR="00114F14" w:rsidRDefault="00114F14" w:rsidP="004A104C">
            <w:pPr>
              <w:rPr>
                <w:sz w:val="22"/>
                <w:szCs w:val="22"/>
              </w:rPr>
            </w:pPr>
          </w:p>
          <w:p w14:paraId="2FC7F645" w14:textId="77777777" w:rsidR="00114F14" w:rsidRDefault="00114F14" w:rsidP="004A104C">
            <w:pPr>
              <w:rPr>
                <w:sz w:val="22"/>
                <w:szCs w:val="22"/>
              </w:rPr>
            </w:pPr>
          </w:p>
          <w:p w14:paraId="100A0699" w14:textId="77777777" w:rsidR="00114F14" w:rsidRDefault="00114F14" w:rsidP="004A104C">
            <w:pPr>
              <w:rPr>
                <w:sz w:val="22"/>
                <w:szCs w:val="22"/>
              </w:rPr>
            </w:pPr>
          </w:p>
          <w:p w14:paraId="39DFBC5D" w14:textId="77777777" w:rsidR="00114F14" w:rsidRDefault="00114F14" w:rsidP="004A104C">
            <w:pPr>
              <w:rPr>
                <w:sz w:val="22"/>
                <w:szCs w:val="22"/>
              </w:rPr>
            </w:pPr>
          </w:p>
          <w:p w14:paraId="4D918ACD" w14:textId="77777777" w:rsidR="00114F14" w:rsidRDefault="00114F14" w:rsidP="004A104C">
            <w:pPr>
              <w:rPr>
                <w:sz w:val="22"/>
                <w:szCs w:val="22"/>
              </w:rPr>
            </w:pPr>
          </w:p>
          <w:p w14:paraId="413BF8AF" w14:textId="77777777" w:rsidR="00114F14" w:rsidRDefault="00114F14" w:rsidP="004A104C">
            <w:pPr>
              <w:rPr>
                <w:sz w:val="22"/>
                <w:szCs w:val="22"/>
              </w:rPr>
            </w:pPr>
          </w:p>
          <w:p w14:paraId="4AE6D7D6" w14:textId="77777777" w:rsidR="00114F14" w:rsidRDefault="00114F14" w:rsidP="004A104C">
            <w:pPr>
              <w:rPr>
                <w:sz w:val="22"/>
                <w:szCs w:val="22"/>
              </w:rPr>
            </w:pPr>
          </w:p>
          <w:p w14:paraId="497B9D5F" w14:textId="77777777" w:rsidR="00114F14" w:rsidRDefault="00114F14" w:rsidP="004A104C">
            <w:pPr>
              <w:rPr>
                <w:sz w:val="22"/>
                <w:szCs w:val="22"/>
              </w:rPr>
            </w:pPr>
          </w:p>
          <w:p w14:paraId="10D09582" w14:textId="77777777" w:rsidR="00114F14" w:rsidRDefault="00114F14" w:rsidP="004A104C">
            <w:pPr>
              <w:rPr>
                <w:sz w:val="22"/>
                <w:szCs w:val="22"/>
              </w:rPr>
            </w:pPr>
          </w:p>
          <w:p w14:paraId="1BE521DF" w14:textId="77777777" w:rsidR="00114F14" w:rsidRDefault="00114F14" w:rsidP="004A104C">
            <w:pPr>
              <w:rPr>
                <w:sz w:val="22"/>
                <w:szCs w:val="22"/>
              </w:rPr>
            </w:pPr>
          </w:p>
          <w:p w14:paraId="05DFB653" w14:textId="77777777" w:rsidR="00114F14" w:rsidRDefault="00114F14" w:rsidP="004A104C">
            <w:pPr>
              <w:rPr>
                <w:sz w:val="22"/>
                <w:szCs w:val="22"/>
              </w:rPr>
            </w:pPr>
          </w:p>
          <w:p w14:paraId="3C4EE840" w14:textId="77777777" w:rsidR="00114F14" w:rsidRDefault="00114F14" w:rsidP="004A104C">
            <w:pPr>
              <w:rPr>
                <w:sz w:val="22"/>
                <w:szCs w:val="22"/>
              </w:rPr>
            </w:pPr>
          </w:p>
          <w:p w14:paraId="793C8468" w14:textId="77777777" w:rsidR="00114F14" w:rsidRDefault="00114F14" w:rsidP="004A104C">
            <w:pPr>
              <w:rPr>
                <w:sz w:val="22"/>
                <w:szCs w:val="22"/>
              </w:rPr>
            </w:pPr>
          </w:p>
          <w:p w14:paraId="09743F49" w14:textId="77777777" w:rsidR="00114F14" w:rsidRDefault="00114F14" w:rsidP="004A104C">
            <w:pPr>
              <w:rPr>
                <w:sz w:val="22"/>
                <w:szCs w:val="22"/>
              </w:rPr>
            </w:pPr>
          </w:p>
          <w:p w14:paraId="34259D6C" w14:textId="77777777" w:rsidR="00114F14" w:rsidRDefault="00114F14" w:rsidP="004A104C">
            <w:pPr>
              <w:rPr>
                <w:sz w:val="22"/>
                <w:szCs w:val="22"/>
              </w:rPr>
            </w:pPr>
          </w:p>
          <w:p w14:paraId="1CCADB6E" w14:textId="77777777" w:rsidR="00114F14" w:rsidRDefault="00114F14" w:rsidP="004A104C">
            <w:pPr>
              <w:rPr>
                <w:sz w:val="22"/>
                <w:szCs w:val="22"/>
              </w:rPr>
            </w:pPr>
          </w:p>
          <w:p w14:paraId="1191D33A" w14:textId="77777777" w:rsidR="00114F14" w:rsidRDefault="00114F14" w:rsidP="004A104C">
            <w:pPr>
              <w:rPr>
                <w:sz w:val="22"/>
                <w:szCs w:val="22"/>
              </w:rPr>
            </w:pPr>
          </w:p>
          <w:p w14:paraId="02E1CA8F" w14:textId="77777777" w:rsidR="00114F14" w:rsidRDefault="00114F14" w:rsidP="004A104C">
            <w:pPr>
              <w:rPr>
                <w:sz w:val="22"/>
                <w:szCs w:val="22"/>
              </w:rPr>
            </w:pPr>
          </w:p>
          <w:p w14:paraId="307FB90B" w14:textId="77777777" w:rsidR="00114F14" w:rsidRDefault="00114F14" w:rsidP="004A104C">
            <w:pPr>
              <w:rPr>
                <w:sz w:val="22"/>
                <w:szCs w:val="22"/>
              </w:rPr>
            </w:pPr>
          </w:p>
          <w:p w14:paraId="7C25930D" w14:textId="77777777" w:rsidR="00114F14" w:rsidRDefault="00114F14" w:rsidP="004A104C">
            <w:pPr>
              <w:rPr>
                <w:sz w:val="22"/>
                <w:szCs w:val="22"/>
              </w:rPr>
            </w:pPr>
          </w:p>
          <w:p w14:paraId="0997C19C" w14:textId="77777777" w:rsidR="00114F14" w:rsidRDefault="00114F14" w:rsidP="004A104C">
            <w:pPr>
              <w:rPr>
                <w:sz w:val="22"/>
                <w:szCs w:val="22"/>
              </w:rPr>
            </w:pPr>
          </w:p>
          <w:p w14:paraId="63396B6E" w14:textId="77777777" w:rsidR="00114F14" w:rsidRDefault="00114F14" w:rsidP="004A104C">
            <w:pPr>
              <w:rPr>
                <w:sz w:val="22"/>
                <w:szCs w:val="22"/>
              </w:rPr>
            </w:pPr>
          </w:p>
          <w:p w14:paraId="751D193F" w14:textId="77777777" w:rsidR="00114F14" w:rsidRDefault="00114F14" w:rsidP="004A104C">
            <w:pPr>
              <w:rPr>
                <w:sz w:val="22"/>
                <w:szCs w:val="22"/>
              </w:rPr>
            </w:pPr>
          </w:p>
          <w:p w14:paraId="5D988EAF" w14:textId="77777777" w:rsidR="00114F14" w:rsidRDefault="00114F14" w:rsidP="004A104C">
            <w:pPr>
              <w:rPr>
                <w:sz w:val="22"/>
                <w:szCs w:val="22"/>
              </w:rPr>
            </w:pPr>
          </w:p>
          <w:p w14:paraId="5758FB2D" w14:textId="77777777" w:rsidR="00114F14" w:rsidRDefault="00114F14" w:rsidP="004A104C">
            <w:pPr>
              <w:rPr>
                <w:sz w:val="22"/>
                <w:szCs w:val="22"/>
              </w:rPr>
            </w:pPr>
          </w:p>
          <w:p w14:paraId="655009B6" w14:textId="77777777" w:rsidR="00114F14" w:rsidRDefault="00114F14" w:rsidP="004A104C">
            <w:pPr>
              <w:rPr>
                <w:sz w:val="22"/>
                <w:szCs w:val="22"/>
              </w:rPr>
            </w:pPr>
          </w:p>
          <w:p w14:paraId="48C9466E" w14:textId="77777777" w:rsidR="00114F14" w:rsidRDefault="00114F14" w:rsidP="004A104C">
            <w:pPr>
              <w:rPr>
                <w:sz w:val="22"/>
                <w:szCs w:val="22"/>
              </w:rPr>
            </w:pPr>
          </w:p>
          <w:p w14:paraId="4B187F43" w14:textId="77777777" w:rsidR="00114F14" w:rsidRDefault="00114F14" w:rsidP="004A104C">
            <w:pPr>
              <w:rPr>
                <w:sz w:val="22"/>
                <w:szCs w:val="22"/>
              </w:rPr>
            </w:pPr>
          </w:p>
          <w:p w14:paraId="24554BBB" w14:textId="77777777" w:rsidR="00114F14" w:rsidRDefault="00114F14" w:rsidP="004A104C">
            <w:pPr>
              <w:rPr>
                <w:sz w:val="22"/>
                <w:szCs w:val="22"/>
              </w:rPr>
            </w:pPr>
          </w:p>
          <w:p w14:paraId="7C0D3F46" w14:textId="77777777" w:rsidR="00114F14" w:rsidRDefault="00114F14" w:rsidP="004A104C">
            <w:pPr>
              <w:rPr>
                <w:sz w:val="22"/>
                <w:szCs w:val="22"/>
              </w:rPr>
            </w:pPr>
          </w:p>
          <w:p w14:paraId="1E027A27" w14:textId="77777777" w:rsidR="00114F14" w:rsidRDefault="00114F14" w:rsidP="004A104C">
            <w:pPr>
              <w:rPr>
                <w:sz w:val="22"/>
                <w:szCs w:val="22"/>
              </w:rPr>
            </w:pPr>
          </w:p>
          <w:p w14:paraId="1E2B5639" w14:textId="77777777" w:rsidR="00114F14" w:rsidRDefault="00114F14" w:rsidP="004A104C">
            <w:pPr>
              <w:rPr>
                <w:sz w:val="22"/>
                <w:szCs w:val="22"/>
              </w:rPr>
            </w:pPr>
          </w:p>
          <w:p w14:paraId="75CB1778" w14:textId="77777777" w:rsidR="00114F14" w:rsidRDefault="00114F14" w:rsidP="004A104C">
            <w:pPr>
              <w:rPr>
                <w:sz w:val="22"/>
                <w:szCs w:val="22"/>
              </w:rPr>
            </w:pPr>
          </w:p>
          <w:p w14:paraId="247A9DB8" w14:textId="77777777" w:rsidR="00114F14" w:rsidRDefault="00114F14" w:rsidP="004A104C">
            <w:pPr>
              <w:rPr>
                <w:sz w:val="22"/>
                <w:szCs w:val="22"/>
              </w:rPr>
            </w:pPr>
          </w:p>
          <w:p w14:paraId="4482BDF7" w14:textId="77777777" w:rsidR="00114F14" w:rsidRDefault="00114F14" w:rsidP="004A104C">
            <w:pPr>
              <w:rPr>
                <w:sz w:val="22"/>
                <w:szCs w:val="22"/>
              </w:rPr>
            </w:pPr>
          </w:p>
          <w:p w14:paraId="348B543D" w14:textId="77777777" w:rsidR="00114F14" w:rsidRDefault="00114F14" w:rsidP="004A104C">
            <w:pPr>
              <w:rPr>
                <w:sz w:val="22"/>
                <w:szCs w:val="22"/>
              </w:rPr>
            </w:pPr>
          </w:p>
          <w:p w14:paraId="015A9DD7" w14:textId="77777777" w:rsidR="00114F14" w:rsidRDefault="00114F14" w:rsidP="004A104C">
            <w:pPr>
              <w:rPr>
                <w:sz w:val="22"/>
                <w:szCs w:val="22"/>
              </w:rPr>
            </w:pPr>
          </w:p>
          <w:p w14:paraId="3B7C4B4C" w14:textId="77777777" w:rsidR="00114F14" w:rsidRDefault="00114F14" w:rsidP="004A104C">
            <w:pPr>
              <w:rPr>
                <w:sz w:val="22"/>
                <w:szCs w:val="22"/>
              </w:rPr>
            </w:pPr>
          </w:p>
          <w:p w14:paraId="7992821A" w14:textId="77777777" w:rsidR="00114F14" w:rsidRDefault="00114F14" w:rsidP="004A104C">
            <w:pPr>
              <w:rPr>
                <w:sz w:val="22"/>
                <w:szCs w:val="22"/>
              </w:rPr>
            </w:pPr>
          </w:p>
          <w:p w14:paraId="0D4C0070" w14:textId="77777777" w:rsidR="00114F14" w:rsidRDefault="00114F14" w:rsidP="004A104C">
            <w:pPr>
              <w:rPr>
                <w:sz w:val="22"/>
                <w:szCs w:val="22"/>
              </w:rPr>
            </w:pPr>
          </w:p>
          <w:p w14:paraId="5FB261E3" w14:textId="77777777" w:rsidR="00114F14" w:rsidRDefault="00114F14" w:rsidP="004A104C">
            <w:pPr>
              <w:rPr>
                <w:sz w:val="22"/>
                <w:szCs w:val="22"/>
              </w:rPr>
            </w:pPr>
          </w:p>
          <w:p w14:paraId="27E3014A" w14:textId="77777777" w:rsidR="00114F14" w:rsidRDefault="00114F14" w:rsidP="004A104C">
            <w:pPr>
              <w:rPr>
                <w:sz w:val="22"/>
                <w:szCs w:val="22"/>
              </w:rPr>
            </w:pPr>
          </w:p>
          <w:p w14:paraId="24B64EF2" w14:textId="77777777" w:rsidR="00114F14" w:rsidRDefault="00114F14" w:rsidP="004A104C">
            <w:pPr>
              <w:rPr>
                <w:sz w:val="22"/>
                <w:szCs w:val="22"/>
              </w:rPr>
            </w:pPr>
          </w:p>
          <w:p w14:paraId="61A6F4B1" w14:textId="77777777" w:rsidR="00114F14" w:rsidRDefault="00114F14" w:rsidP="004A104C">
            <w:pPr>
              <w:rPr>
                <w:sz w:val="22"/>
                <w:szCs w:val="22"/>
              </w:rPr>
            </w:pPr>
          </w:p>
          <w:p w14:paraId="4C01C8E5" w14:textId="77777777" w:rsidR="00114F14" w:rsidRDefault="00114F14" w:rsidP="004A104C">
            <w:pPr>
              <w:rPr>
                <w:sz w:val="22"/>
                <w:szCs w:val="22"/>
              </w:rPr>
            </w:pPr>
          </w:p>
          <w:p w14:paraId="2FFCFE76" w14:textId="77777777" w:rsidR="00114F14" w:rsidRDefault="00114F14" w:rsidP="004A104C">
            <w:pPr>
              <w:rPr>
                <w:sz w:val="22"/>
                <w:szCs w:val="22"/>
              </w:rPr>
            </w:pPr>
          </w:p>
          <w:p w14:paraId="72B5DD26" w14:textId="77777777" w:rsidR="00114F14" w:rsidRDefault="00114F14" w:rsidP="004A104C">
            <w:pPr>
              <w:rPr>
                <w:sz w:val="22"/>
                <w:szCs w:val="22"/>
              </w:rPr>
            </w:pPr>
          </w:p>
          <w:p w14:paraId="6F6B0B25" w14:textId="77777777" w:rsidR="00114F14" w:rsidRDefault="00114F14" w:rsidP="004A104C">
            <w:pPr>
              <w:rPr>
                <w:sz w:val="22"/>
                <w:szCs w:val="22"/>
              </w:rPr>
            </w:pPr>
          </w:p>
          <w:p w14:paraId="644AC02E" w14:textId="77777777" w:rsidR="00114F14" w:rsidRDefault="00114F14" w:rsidP="004A104C">
            <w:pPr>
              <w:rPr>
                <w:sz w:val="22"/>
                <w:szCs w:val="22"/>
              </w:rPr>
            </w:pPr>
          </w:p>
          <w:p w14:paraId="0DE7396A" w14:textId="77777777" w:rsidR="00114F14" w:rsidRDefault="00114F14" w:rsidP="004A104C">
            <w:pPr>
              <w:rPr>
                <w:sz w:val="22"/>
                <w:szCs w:val="22"/>
              </w:rPr>
            </w:pPr>
          </w:p>
          <w:p w14:paraId="5BBA9B8B" w14:textId="77777777" w:rsidR="00114F14" w:rsidRDefault="00114F14" w:rsidP="004A104C">
            <w:pPr>
              <w:rPr>
                <w:sz w:val="22"/>
                <w:szCs w:val="22"/>
              </w:rPr>
            </w:pPr>
          </w:p>
          <w:p w14:paraId="651C9DE9" w14:textId="77777777" w:rsidR="00114F14" w:rsidRDefault="00114F14" w:rsidP="004A104C">
            <w:pPr>
              <w:rPr>
                <w:sz w:val="22"/>
                <w:szCs w:val="22"/>
              </w:rPr>
            </w:pPr>
          </w:p>
          <w:p w14:paraId="3EA05E48" w14:textId="77777777" w:rsidR="00114F14" w:rsidRDefault="00114F14" w:rsidP="004A104C">
            <w:pPr>
              <w:rPr>
                <w:sz w:val="22"/>
                <w:szCs w:val="22"/>
              </w:rPr>
            </w:pPr>
          </w:p>
          <w:p w14:paraId="262EA5A0" w14:textId="77777777" w:rsidR="00114F14" w:rsidRDefault="00114F14" w:rsidP="004A104C">
            <w:pPr>
              <w:rPr>
                <w:sz w:val="22"/>
                <w:szCs w:val="22"/>
              </w:rPr>
            </w:pPr>
          </w:p>
          <w:p w14:paraId="6FA37F75" w14:textId="77777777" w:rsidR="00114F14" w:rsidRDefault="00114F14" w:rsidP="004A104C">
            <w:pPr>
              <w:rPr>
                <w:sz w:val="22"/>
                <w:szCs w:val="22"/>
              </w:rPr>
            </w:pPr>
          </w:p>
          <w:p w14:paraId="19F017BF" w14:textId="77777777" w:rsidR="00114F14" w:rsidRDefault="00114F14" w:rsidP="004A104C">
            <w:pPr>
              <w:rPr>
                <w:sz w:val="22"/>
                <w:szCs w:val="22"/>
              </w:rPr>
            </w:pPr>
          </w:p>
          <w:p w14:paraId="63EDBC8A" w14:textId="77777777" w:rsidR="00114F14" w:rsidRDefault="00114F14" w:rsidP="004A104C">
            <w:pPr>
              <w:rPr>
                <w:sz w:val="22"/>
                <w:szCs w:val="22"/>
              </w:rPr>
            </w:pPr>
          </w:p>
          <w:p w14:paraId="31C15C62" w14:textId="77777777" w:rsidR="00114F14" w:rsidRDefault="00114F14" w:rsidP="004A104C">
            <w:pPr>
              <w:rPr>
                <w:sz w:val="22"/>
                <w:szCs w:val="22"/>
              </w:rPr>
            </w:pPr>
          </w:p>
          <w:p w14:paraId="7F294D9E" w14:textId="77777777" w:rsidR="00114F14" w:rsidRDefault="00114F14" w:rsidP="004A104C">
            <w:pPr>
              <w:rPr>
                <w:sz w:val="22"/>
                <w:szCs w:val="22"/>
              </w:rPr>
            </w:pPr>
          </w:p>
          <w:p w14:paraId="30AD7C3B" w14:textId="77777777" w:rsidR="00114F14" w:rsidRDefault="00114F14" w:rsidP="004A104C">
            <w:pPr>
              <w:rPr>
                <w:sz w:val="22"/>
                <w:szCs w:val="22"/>
              </w:rPr>
            </w:pPr>
          </w:p>
          <w:p w14:paraId="76C268FC" w14:textId="77777777" w:rsidR="00114F14" w:rsidRDefault="00114F14" w:rsidP="004A104C">
            <w:pPr>
              <w:rPr>
                <w:sz w:val="22"/>
                <w:szCs w:val="22"/>
              </w:rPr>
            </w:pPr>
          </w:p>
          <w:p w14:paraId="60A23165" w14:textId="77777777" w:rsidR="00114F14" w:rsidRDefault="00114F14" w:rsidP="004A104C">
            <w:pPr>
              <w:rPr>
                <w:sz w:val="22"/>
                <w:szCs w:val="22"/>
              </w:rPr>
            </w:pPr>
          </w:p>
          <w:p w14:paraId="4B2D3611" w14:textId="77777777" w:rsidR="00114F14" w:rsidRDefault="00114F14" w:rsidP="004A104C">
            <w:pPr>
              <w:rPr>
                <w:sz w:val="22"/>
                <w:szCs w:val="22"/>
              </w:rPr>
            </w:pPr>
          </w:p>
          <w:p w14:paraId="68A2D095" w14:textId="77777777" w:rsidR="00114F14" w:rsidRDefault="00114F14" w:rsidP="004A104C">
            <w:pPr>
              <w:rPr>
                <w:sz w:val="22"/>
                <w:szCs w:val="22"/>
              </w:rPr>
            </w:pPr>
          </w:p>
          <w:p w14:paraId="3DDE244E" w14:textId="77777777" w:rsidR="00114F14" w:rsidRDefault="00114F14" w:rsidP="004A104C">
            <w:pPr>
              <w:rPr>
                <w:sz w:val="22"/>
                <w:szCs w:val="22"/>
              </w:rPr>
            </w:pPr>
          </w:p>
          <w:p w14:paraId="079D5458" w14:textId="77777777" w:rsidR="00114F14" w:rsidRDefault="00114F14" w:rsidP="004A104C">
            <w:pPr>
              <w:rPr>
                <w:sz w:val="22"/>
                <w:szCs w:val="22"/>
              </w:rPr>
            </w:pPr>
          </w:p>
          <w:p w14:paraId="16698D1E" w14:textId="77777777" w:rsidR="00114F14" w:rsidRDefault="00114F14" w:rsidP="004A104C">
            <w:pPr>
              <w:rPr>
                <w:sz w:val="22"/>
                <w:szCs w:val="22"/>
              </w:rPr>
            </w:pPr>
          </w:p>
          <w:p w14:paraId="3945D673" w14:textId="77777777" w:rsidR="00114F14" w:rsidRDefault="00114F14" w:rsidP="004A104C">
            <w:pPr>
              <w:rPr>
                <w:sz w:val="22"/>
                <w:szCs w:val="22"/>
              </w:rPr>
            </w:pPr>
          </w:p>
          <w:p w14:paraId="1BF7D21A" w14:textId="77777777" w:rsidR="00114F14" w:rsidRDefault="00114F14" w:rsidP="004A104C">
            <w:pPr>
              <w:rPr>
                <w:sz w:val="22"/>
                <w:szCs w:val="22"/>
              </w:rPr>
            </w:pPr>
          </w:p>
          <w:p w14:paraId="0045AAD5" w14:textId="77777777" w:rsidR="00114F14" w:rsidRDefault="00114F14" w:rsidP="004A104C">
            <w:pPr>
              <w:rPr>
                <w:sz w:val="22"/>
                <w:szCs w:val="22"/>
              </w:rPr>
            </w:pPr>
          </w:p>
          <w:p w14:paraId="160597FC" w14:textId="77777777" w:rsidR="00114F14" w:rsidRDefault="00114F14" w:rsidP="004A104C">
            <w:pPr>
              <w:rPr>
                <w:sz w:val="22"/>
                <w:szCs w:val="22"/>
              </w:rPr>
            </w:pPr>
          </w:p>
          <w:p w14:paraId="0E0504B7" w14:textId="77777777" w:rsidR="00114F14" w:rsidRDefault="00114F14" w:rsidP="004A104C">
            <w:pPr>
              <w:rPr>
                <w:sz w:val="22"/>
                <w:szCs w:val="22"/>
              </w:rPr>
            </w:pPr>
          </w:p>
          <w:p w14:paraId="22790AB1" w14:textId="77777777" w:rsidR="00114F14" w:rsidRDefault="00114F14" w:rsidP="004A104C">
            <w:pPr>
              <w:rPr>
                <w:sz w:val="22"/>
                <w:szCs w:val="22"/>
              </w:rPr>
            </w:pPr>
          </w:p>
          <w:p w14:paraId="2FD22161" w14:textId="77777777" w:rsidR="00114F14" w:rsidRDefault="00114F14" w:rsidP="004A104C">
            <w:pPr>
              <w:rPr>
                <w:sz w:val="22"/>
                <w:szCs w:val="22"/>
              </w:rPr>
            </w:pPr>
          </w:p>
          <w:p w14:paraId="4E7B9A10" w14:textId="77777777" w:rsidR="00114F14" w:rsidRDefault="00114F14" w:rsidP="004A104C">
            <w:pPr>
              <w:rPr>
                <w:sz w:val="22"/>
                <w:szCs w:val="22"/>
              </w:rPr>
            </w:pPr>
          </w:p>
          <w:p w14:paraId="79A21B82" w14:textId="77777777" w:rsidR="00114F14" w:rsidRDefault="00114F14" w:rsidP="004A104C">
            <w:pPr>
              <w:rPr>
                <w:sz w:val="22"/>
                <w:szCs w:val="22"/>
              </w:rPr>
            </w:pPr>
          </w:p>
          <w:p w14:paraId="1A653B17" w14:textId="77777777" w:rsidR="00114F14" w:rsidRDefault="00114F14" w:rsidP="004A104C">
            <w:pPr>
              <w:rPr>
                <w:sz w:val="22"/>
                <w:szCs w:val="22"/>
              </w:rPr>
            </w:pPr>
          </w:p>
          <w:p w14:paraId="542777CB" w14:textId="77777777" w:rsidR="00114F14" w:rsidRDefault="00114F14" w:rsidP="004A104C">
            <w:pPr>
              <w:rPr>
                <w:sz w:val="22"/>
                <w:szCs w:val="22"/>
              </w:rPr>
            </w:pPr>
          </w:p>
          <w:p w14:paraId="69157C71" w14:textId="77777777" w:rsidR="00114F14" w:rsidRDefault="00114F14" w:rsidP="004A104C">
            <w:pPr>
              <w:rPr>
                <w:sz w:val="22"/>
                <w:szCs w:val="22"/>
              </w:rPr>
            </w:pPr>
          </w:p>
          <w:p w14:paraId="451D895A" w14:textId="77777777" w:rsidR="00114F14" w:rsidRDefault="00114F14" w:rsidP="004A104C">
            <w:pPr>
              <w:rPr>
                <w:sz w:val="22"/>
                <w:szCs w:val="22"/>
              </w:rPr>
            </w:pPr>
          </w:p>
          <w:p w14:paraId="246D7839" w14:textId="77777777" w:rsidR="00114F14" w:rsidRDefault="00114F14" w:rsidP="004A104C">
            <w:pPr>
              <w:rPr>
                <w:sz w:val="22"/>
                <w:szCs w:val="22"/>
              </w:rPr>
            </w:pPr>
          </w:p>
          <w:p w14:paraId="0D14948B" w14:textId="77777777" w:rsidR="00114F14" w:rsidRDefault="00114F14" w:rsidP="004A104C">
            <w:pPr>
              <w:rPr>
                <w:sz w:val="22"/>
                <w:szCs w:val="22"/>
              </w:rPr>
            </w:pPr>
          </w:p>
          <w:p w14:paraId="51DF2C40" w14:textId="77777777" w:rsidR="00114F14" w:rsidRDefault="00114F14" w:rsidP="004A104C">
            <w:pPr>
              <w:rPr>
                <w:sz w:val="22"/>
                <w:szCs w:val="22"/>
              </w:rPr>
            </w:pPr>
          </w:p>
          <w:p w14:paraId="28004E07" w14:textId="77777777" w:rsidR="00114F14" w:rsidRDefault="00114F14" w:rsidP="004A104C">
            <w:pPr>
              <w:rPr>
                <w:sz w:val="22"/>
                <w:szCs w:val="22"/>
              </w:rPr>
            </w:pPr>
          </w:p>
          <w:p w14:paraId="506D6C50" w14:textId="77777777" w:rsidR="00114F14" w:rsidRDefault="00114F14" w:rsidP="004A104C">
            <w:pPr>
              <w:rPr>
                <w:sz w:val="22"/>
                <w:szCs w:val="22"/>
              </w:rPr>
            </w:pPr>
          </w:p>
          <w:p w14:paraId="244BC8DA" w14:textId="77777777" w:rsidR="00114F14" w:rsidRDefault="00114F14" w:rsidP="004A104C">
            <w:pPr>
              <w:rPr>
                <w:sz w:val="22"/>
                <w:szCs w:val="22"/>
              </w:rPr>
            </w:pPr>
          </w:p>
          <w:p w14:paraId="648F1A2F" w14:textId="77777777" w:rsidR="00114F14" w:rsidRDefault="00114F14" w:rsidP="004A104C">
            <w:pPr>
              <w:rPr>
                <w:sz w:val="22"/>
                <w:szCs w:val="22"/>
              </w:rPr>
            </w:pPr>
          </w:p>
          <w:p w14:paraId="687B41E6" w14:textId="77777777" w:rsidR="00114F14" w:rsidRDefault="00114F14" w:rsidP="004A104C">
            <w:pPr>
              <w:rPr>
                <w:sz w:val="22"/>
                <w:szCs w:val="22"/>
              </w:rPr>
            </w:pPr>
          </w:p>
          <w:p w14:paraId="0A824E6F" w14:textId="77777777" w:rsidR="00114F14" w:rsidRDefault="00114F14" w:rsidP="004A104C">
            <w:pPr>
              <w:rPr>
                <w:sz w:val="22"/>
                <w:szCs w:val="22"/>
              </w:rPr>
            </w:pPr>
          </w:p>
          <w:p w14:paraId="741A775E" w14:textId="77777777" w:rsidR="00114F14" w:rsidRDefault="00114F14" w:rsidP="004A104C">
            <w:pPr>
              <w:rPr>
                <w:sz w:val="22"/>
                <w:szCs w:val="22"/>
              </w:rPr>
            </w:pPr>
          </w:p>
          <w:p w14:paraId="73B8485F" w14:textId="77777777" w:rsidR="00114F14" w:rsidRDefault="00114F14" w:rsidP="004A104C">
            <w:pPr>
              <w:rPr>
                <w:sz w:val="22"/>
                <w:szCs w:val="22"/>
              </w:rPr>
            </w:pPr>
          </w:p>
          <w:p w14:paraId="1F4C3820" w14:textId="77777777" w:rsidR="00114F14" w:rsidRDefault="00114F14" w:rsidP="004A104C">
            <w:pPr>
              <w:rPr>
                <w:sz w:val="22"/>
                <w:szCs w:val="22"/>
              </w:rPr>
            </w:pPr>
          </w:p>
          <w:p w14:paraId="2A89C5B4" w14:textId="77777777" w:rsidR="00114F14" w:rsidRDefault="00114F14" w:rsidP="004A104C">
            <w:pPr>
              <w:rPr>
                <w:sz w:val="22"/>
                <w:szCs w:val="22"/>
              </w:rPr>
            </w:pPr>
          </w:p>
          <w:p w14:paraId="779ED292" w14:textId="77777777" w:rsidR="00114F14" w:rsidRDefault="00114F14" w:rsidP="004A104C">
            <w:pPr>
              <w:rPr>
                <w:sz w:val="22"/>
                <w:szCs w:val="22"/>
              </w:rPr>
            </w:pPr>
          </w:p>
          <w:p w14:paraId="7DDC5E18" w14:textId="77777777" w:rsidR="00114F14" w:rsidRDefault="00114F14" w:rsidP="004A104C">
            <w:pPr>
              <w:rPr>
                <w:sz w:val="22"/>
                <w:szCs w:val="22"/>
              </w:rPr>
            </w:pPr>
          </w:p>
          <w:p w14:paraId="0A19AD98" w14:textId="77777777" w:rsidR="00114F14" w:rsidRDefault="00114F14" w:rsidP="004A104C">
            <w:pPr>
              <w:rPr>
                <w:sz w:val="22"/>
                <w:szCs w:val="22"/>
              </w:rPr>
            </w:pPr>
          </w:p>
          <w:p w14:paraId="3178C04B" w14:textId="77777777" w:rsidR="00114F14" w:rsidRDefault="00114F14" w:rsidP="004A104C">
            <w:pPr>
              <w:rPr>
                <w:sz w:val="22"/>
                <w:szCs w:val="22"/>
              </w:rPr>
            </w:pPr>
          </w:p>
          <w:p w14:paraId="42A125FC" w14:textId="77777777" w:rsidR="00114F14" w:rsidRDefault="00114F14" w:rsidP="004A104C">
            <w:pPr>
              <w:rPr>
                <w:sz w:val="22"/>
                <w:szCs w:val="22"/>
              </w:rPr>
            </w:pPr>
          </w:p>
          <w:p w14:paraId="63F1659B" w14:textId="77777777" w:rsidR="00114F14" w:rsidRDefault="00114F14" w:rsidP="004A104C">
            <w:pPr>
              <w:rPr>
                <w:sz w:val="22"/>
                <w:szCs w:val="22"/>
              </w:rPr>
            </w:pPr>
          </w:p>
          <w:p w14:paraId="624C9A47" w14:textId="77777777" w:rsidR="00114F14" w:rsidRDefault="00114F14" w:rsidP="004A104C">
            <w:pPr>
              <w:rPr>
                <w:sz w:val="22"/>
                <w:szCs w:val="22"/>
              </w:rPr>
            </w:pPr>
          </w:p>
          <w:p w14:paraId="14CCC097" w14:textId="77777777" w:rsidR="00114F14" w:rsidRDefault="00114F14" w:rsidP="004A104C">
            <w:pPr>
              <w:rPr>
                <w:sz w:val="22"/>
                <w:szCs w:val="22"/>
              </w:rPr>
            </w:pPr>
          </w:p>
          <w:p w14:paraId="75C6FD14" w14:textId="77777777" w:rsidR="00114F14" w:rsidRDefault="00114F14" w:rsidP="004A104C">
            <w:pPr>
              <w:rPr>
                <w:sz w:val="22"/>
                <w:szCs w:val="22"/>
              </w:rPr>
            </w:pPr>
          </w:p>
          <w:p w14:paraId="75B40AFE" w14:textId="77777777" w:rsidR="00114F14" w:rsidRDefault="00114F14" w:rsidP="004A104C">
            <w:pPr>
              <w:rPr>
                <w:sz w:val="22"/>
                <w:szCs w:val="22"/>
              </w:rPr>
            </w:pPr>
          </w:p>
          <w:p w14:paraId="5A5CE000" w14:textId="77777777" w:rsidR="00114F14" w:rsidRDefault="00114F14" w:rsidP="004A104C">
            <w:pPr>
              <w:rPr>
                <w:sz w:val="22"/>
                <w:szCs w:val="22"/>
              </w:rPr>
            </w:pPr>
          </w:p>
          <w:p w14:paraId="7D7EC613" w14:textId="77777777" w:rsidR="00114F14" w:rsidRDefault="00114F14" w:rsidP="004A104C">
            <w:pPr>
              <w:rPr>
                <w:sz w:val="22"/>
                <w:szCs w:val="22"/>
              </w:rPr>
            </w:pPr>
          </w:p>
          <w:p w14:paraId="21B52B88" w14:textId="77777777" w:rsidR="00114F14" w:rsidRDefault="00114F14" w:rsidP="004A104C">
            <w:pPr>
              <w:rPr>
                <w:sz w:val="22"/>
                <w:szCs w:val="22"/>
              </w:rPr>
            </w:pPr>
          </w:p>
          <w:p w14:paraId="2CBB502E" w14:textId="77777777" w:rsidR="00114F14" w:rsidRDefault="00114F14" w:rsidP="004A104C">
            <w:pPr>
              <w:rPr>
                <w:sz w:val="22"/>
                <w:szCs w:val="22"/>
              </w:rPr>
            </w:pPr>
          </w:p>
          <w:p w14:paraId="75D2495A" w14:textId="77777777" w:rsidR="00114F14" w:rsidRDefault="00114F14" w:rsidP="004A104C">
            <w:pPr>
              <w:rPr>
                <w:sz w:val="22"/>
                <w:szCs w:val="22"/>
              </w:rPr>
            </w:pPr>
          </w:p>
          <w:p w14:paraId="1AEEC99D" w14:textId="77777777" w:rsidR="00114F14" w:rsidRDefault="00114F14" w:rsidP="004A104C">
            <w:pPr>
              <w:rPr>
                <w:sz w:val="22"/>
                <w:szCs w:val="22"/>
              </w:rPr>
            </w:pPr>
          </w:p>
          <w:p w14:paraId="3EFCF3CE" w14:textId="77777777" w:rsidR="00114F14" w:rsidRDefault="00114F14" w:rsidP="004A104C">
            <w:pPr>
              <w:rPr>
                <w:sz w:val="22"/>
                <w:szCs w:val="22"/>
              </w:rPr>
            </w:pPr>
          </w:p>
          <w:p w14:paraId="780CC502" w14:textId="77777777" w:rsidR="00114F14" w:rsidRDefault="00114F14" w:rsidP="004A104C">
            <w:pPr>
              <w:rPr>
                <w:sz w:val="22"/>
                <w:szCs w:val="22"/>
              </w:rPr>
            </w:pPr>
          </w:p>
          <w:p w14:paraId="1220ECA8" w14:textId="77777777" w:rsidR="00114F14" w:rsidRDefault="00114F14" w:rsidP="004A104C">
            <w:pPr>
              <w:rPr>
                <w:sz w:val="22"/>
                <w:szCs w:val="22"/>
              </w:rPr>
            </w:pPr>
          </w:p>
          <w:p w14:paraId="37F27979" w14:textId="77777777" w:rsidR="00114F14" w:rsidRDefault="00114F14" w:rsidP="004A104C">
            <w:pPr>
              <w:rPr>
                <w:sz w:val="22"/>
                <w:szCs w:val="22"/>
              </w:rPr>
            </w:pPr>
          </w:p>
          <w:p w14:paraId="45BAFB69" w14:textId="77777777" w:rsidR="00114F14" w:rsidRDefault="00114F14" w:rsidP="004A104C">
            <w:pPr>
              <w:rPr>
                <w:sz w:val="22"/>
                <w:szCs w:val="22"/>
              </w:rPr>
            </w:pPr>
          </w:p>
          <w:p w14:paraId="44B3B37E" w14:textId="77777777" w:rsidR="00114F14" w:rsidRDefault="00114F14" w:rsidP="004A104C">
            <w:pPr>
              <w:rPr>
                <w:sz w:val="22"/>
                <w:szCs w:val="22"/>
              </w:rPr>
            </w:pPr>
          </w:p>
          <w:p w14:paraId="54559696" w14:textId="77777777" w:rsidR="00114F14" w:rsidRDefault="00114F14" w:rsidP="004A104C">
            <w:pPr>
              <w:rPr>
                <w:sz w:val="22"/>
                <w:szCs w:val="22"/>
              </w:rPr>
            </w:pPr>
          </w:p>
          <w:p w14:paraId="078E4A96" w14:textId="77777777" w:rsidR="00114F14" w:rsidRDefault="00114F14" w:rsidP="004A104C">
            <w:pPr>
              <w:rPr>
                <w:sz w:val="22"/>
                <w:szCs w:val="22"/>
              </w:rPr>
            </w:pPr>
          </w:p>
          <w:p w14:paraId="634054E6" w14:textId="77777777" w:rsidR="00114F14" w:rsidRDefault="00114F14" w:rsidP="004A104C">
            <w:pPr>
              <w:rPr>
                <w:sz w:val="22"/>
                <w:szCs w:val="22"/>
              </w:rPr>
            </w:pPr>
          </w:p>
          <w:p w14:paraId="1BC3B3BE" w14:textId="77777777" w:rsidR="00114F14" w:rsidRDefault="00114F14" w:rsidP="004A104C">
            <w:pPr>
              <w:rPr>
                <w:sz w:val="22"/>
                <w:szCs w:val="22"/>
              </w:rPr>
            </w:pPr>
          </w:p>
          <w:p w14:paraId="6AC1C34A" w14:textId="77777777" w:rsidR="00114F14" w:rsidRDefault="00114F14" w:rsidP="004A104C">
            <w:pPr>
              <w:rPr>
                <w:sz w:val="22"/>
                <w:szCs w:val="22"/>
              </w:rPr>
            </w:pPr>
          </w:p>
          <w:p w14:paraId="60FAA32E" w14:textId="77777777" w:rsidR="00114F14" w:rsidRDefault="00114F14" w:rsidP="004A104C">
            <w:pPr>
              <w:rPr>
                <w:sz w:val="22"/>
                <w:szCs w:val="22"/>
              </w:rPr>
            </w:pPr>
          </w:p>
          <w:p w14:paraId="30B079B3" w14:textId="77777777" w:rsidR="00114F14" w:rsidRDefault="00114F14" w:rsidP="004A104C">
            <w:pPr>
              <w:rPr>
                <w:sz w:val="22"/>
                <w:szCs w:val="22"/>
              </w:rPr>
            </w:pPr>
          </w:p>
          <w:p w14:paraId="24FE2A9A" w14:textId="77777777" w:rsidR="00114F14" w:rsidRDefault="00114F14" w:rsidP="004A104C">
            <w:pPr>
              <w:rPr>
                <w:sz w:val="22"/>
                <w:szCs w:val="22"/>
              </w:rPr>
            </w:pPr>
          </w:p>
          <w:p w14:paraId="4F1A302E" w14:textId="77777777" w:rsidR="00114F14" w:rsidRDefault="00114F14" w:rsidP="004A104C">
            <w:pPr>
              <w:rPr>
                <w:sz w:val="22"/>
                <w:szCs w:val="22"/>
              </w:rPr>
            </w:pPr>
          </w:p>
          <w:p w14:paraId="202B6CC7" w14:textId="77777777" w:rsidR="00114F14" w:rsidRDefault="00114F14" w:rsidP="004A104C">
            <w:pPr>
              <w:rPr>
                <w:sz w:val="22"/>
                <w:szCs w:val="22"/>
              </w:rPr>
            </w:pPr>
          </w:p>
          <w:p w14:paraId="2F64E646" w14:textId="77777777" w:rsidR="00114F14" w:rsidRDefault="00114F14" w:rsidP="004A104C">
            <w:pPr>
              <w:rPr>
                <w:sz w:val="22"/>
                <w:szCs w:val="22"/>
              </w:rPr>
            </w:pPr>
          </w:p>
          <w:p w14:paraId="33FBC259" w14:textId="77777777" w:rsidR="00114F14" w:rsidRDefault="00114F14" w:rsidP="004A104C">
            <w:pPr>
              <w:rPr>
                <w:sz w:val="22"/>
                <w:szCs w:val="22"/>
              </w:rPr>
            </w:pPr>
          </w:p>
          <w:p w14:paraId="41FE3E48" w14:textId="77777777" w:rsidR="00114F14" w:rsidRDefault="00114F14" w:rsidP="004A104C">
            <w:pPr>
              <w:rPr>
                <w:sz w:val="22"/>
                <w:szCs w:val="22"/>
              </w:rPr>
            </w:pPr>
          </w:p>
          <w:p w14:paraId="3840D143" w14:textId="77777777" w:rsidR="00114F14" w:rsidRDefault="00114F14" w:rsidP="004A104C">
            <w:pPr>
              <w:rPr>
                <w:sz w:val="22"/>
                <w:szCs w:val="22"/>
              </w:rPr>
            </w:pPr>
          </w:p>
          <w:p w14:paraId="4B932D36" w14:textId="77777777" w:rsidR="00114F14" w:rsidRDefault="00114F14" w:rsidP="004A104C">
            <w:pPr>
              <w:rPr>
                <w:sz w:val="22"/>
                <w:szCs w:val="22"/>
              </w:rPr>
            </w:pPr>
          </w:p>
          <w:p w14:paraId="20277217" w14:textId="77777777" w:rsidR="00114F14" w:rsidRDefault="00114F14" w:rsidP="004A104C">
            <w:pPr>
              <w:rPr>
                <w:sz w:val="22"/>
                <w:szCs w:val="22"/>
              </w:rPr>
            </w:pPr>
          </w:p>
          <w:p w14:paraId="452B87B3" w14:textId="77777777" w:rsidR="00114F14" w:rsidRDefault="00114F14" w:rsidP="004A104C">
            <w:pPr>
              <w:rPr>
                <w:sz w:val="22"/>
                <w:szCs w:val="22"/>
              </w:rPr>
            </w:pPr>
          </w:p>
          <w:p w14:paraId="09AF3207" w14:textId="77777777" w:rsidR="00114F14" w:rsidRDefault="00114F14" w:rsidP="004A104C">
            <w:pPr>
              <w:rPr>
                <w:sz w:val="22"/>
                <w:szCs w:val="22"/>
              </w:rPr>
            </w:pPr>
          </w:p>
          <w:p w14:paraId="39F91402" w14:textId="77777777" w:rsidR="00114F14" w:rsidRDefault="00114F14" w:rsidP="004A104C">
            <w:pPr>
              <w:rPr>
                <w:sz w:val="22"/>
                <w:szCs w:val="22"/>
              </w:rPr>
            </w:pPr>
          </w:p>
          <w:p w14:paraId="338974E3" w14:textId="77777777" w:rsidR="00114F14" w:rsidRDefault="00114F14" w:rsidP="004A104C">
            <w:pPr>
              <w:rPr>
                <w:sz w:val="22"/>
                <w:szCs w:val="22"/>
              </w:rPr>
            </w:pPr>
          </w:p>
          <w:p w14:paraId="6DA33C01" w14:textId="77777777" w:rsidR="00114F14" w:rsidRDefault="00114F14" w:rsidP="004A104C">
            <w:pPr>
              <w:rPr>
                <w:sz w:val="22"/>
                <w:szCs w:val="22"/>
              </w:rPr>
            </w:pPr>
          </w:p>
          <w:p w14:paraId="3EF23733" w14:textId="77777777" w:rsidR="00114F14" w:rsidRDefault="00114F14" w:rsidP="004A104C">
            <w:pPr>
              <w:rPr>
                <w:sz w:val="22"/>
                <w:szCs w:val="22"/>
              </w:rPr>
            </w:pPr>
          </w:p>
          <w:p w14:paraId="42F7C91B" w14:textId="77777777" w:rsidR="00114F14" w:rsidRDefault="00114F14" w:rsidP="004A104C">
            <w:pPr>
              <w:rPr>
                <w:sz w:val="22"/>
                <w:szCs w:val="22"/>
              </w:rPr>
            </w:pPr>
          </w:p>
          <w:p w14:paraId="6E58270B" w14:textId="77777777" w:rsidR="00114F14" w:rsidRDefault="00114F14" w:rsidP="004A104C">
            <w:pPr>
              <w:rPr>
                <w:sz w:val="22"/>
                <w:szCs w:val="22"/>
              </w:rPr>
            </w:pPr>
          </w:p>
          <w:p w14:paraId="68B6D531" w14:textId="77777777" w:rsidR="00114F14" w:rsidRDefault="00114F14" w:rsidP="004A104C">
            <w:pPr>
              <w:rPr>
                <w:sz w:val="22"/>
                <w:szCs w:val="22"/>
              </w:rPr>
            </w:pPr>
          </w:p>
          <w:p w14:paraId="1235A539" w14:textId="77777777" w:rsidR="00114F14" w:rsidRDefault="00114F14" w:rsidP="004A104C">
            <w:pPr>
              <w:rPr>
                <w:sz w:val="22"/>
                <w:szCs w:val="22"/>
              </w:rPr>
            </w:pPr>
          </w:p>
          <w:p w14:paraId="1B5F0AB4" w14:textId="77777777" w:rsidR="00114F14" w:rsidRDefault="00114F14" w:rsidP="004A104C">
            <w:pPr>
              <w:rPr>
                <w:sz w:val="22"/>
                <w:szCs w:val="22"/>
              </w:rPr>
            </w:pPr>
          </w:p>
          <w:p w14:paraId="7EB8176C" w14:textId="77777777" w:rsidR="00114F14" w:rsidRDefault="00114F14" w:rsidP="004A104C">
            <w:pPr>
              <w:rPr>
                <w:sz w:val="22"/>
                <w:szCs w:val="22"/>
              </w:rPr>
            </w:pPr>
          </w:p>
          <w:p w14:paraId="5A845904" w14:textId="77777777" w:rsidR="00114F14" w:rsidRDefault="00114F14" w:rsidP="004A104C">
            <w:pPr>
              <w:rPr>
                <w:sz w:val="22"/>
                <w:szCs w:val="22"/>
              </w:rPr>
            </w:pPr>
          </w:p>
          <w:p w14:paraId="1F4698EB" w14:textId="77777777" w:rsidR="00114F14" w:rsidRDefault="00114F14" w:rsidP="004A104C">
            <w:pPr>
              <w:rPr>
                <w:sz w:val="22"/>
                <w:szCs w:val="22"/>
              </w:rPr>
            </w:pPr>
          </w:p>
          <w:p w14:paraId="2D586C1C" w14:textId="77777777" w:rsidR="00114F14" w:rsidRDefault="00114F14" w:rsidP="004A104C">
            <w:pPr>
              <w:rPr>
                <w:sz w:val="22"/>
                <w:szCs w:val="22"/>
              </w:rPr>
            </w:pPr>
          </w:p>
          <w:p w14:paraId="6A5E18BB" w14:textId="77777777" w:rsidR="00114F14" w:rsidRDefault="00114F14" w:rsidP="004A104C">
            <w:pPr>
              <w:rPr>
                <w:sz w:val="22"/>
                <w:szCs w:val="22"/>
              </w:rPr>
            </w:pPr>
          </w:p>
          <w:p w14:paraId="70A776B7" w14:textId="77777777" w:rsidR="00114F14" w:rsidRDefault="00114F14" w:rsidP="004A104C">
            <w:pPr>
              <w:rPr>
                <w:sz w:val="22"/>
                <w:szCs w:val="22"/>
              </w:rPr>
            </w:pPr>
          </w:p>
          <w:p w14:paraId="1791F7AB" w14:textId="77777777" w:rsidR="00114F14" w:rsidRDefault="00114F14" w:rsidP="004A104C">
            <w:pPr>
              <w:rPr>
                <w:sz w:val="22"/>
                <w:szCs w:val="22"/>
              </w:rPr>
            </w:pPr>
          </w:p>
          <w:p w14:paraId="3ABBC2B0" w14:textId="77777777" w:rsidR="00114F14" w:rsidRDefault="00114F14" w:rsidP="004A104C">
            <w:pPr>
              <w:rPr>
                <w:sz w:val="22"/>
                <w:szCs w:val="22"/>
              </w:rPr>
            </w:pPr>
          </w:p>
          <w:p w14:paraId="44718BDF" w14:textId="77777777" w:rsidR="00114F14" w:rsidRDefault="00114F14" w:rsidP="004A104C">
            <w:pPr>
              <w:rPr>
                <w:sz w:val="22"/>
                <w:szCs w:val="22"/>
              </w:rPr>
            </w:pPr>
          </w:p>
          <w:p w14:paraId="1D5B0512" w14:textId="77777777" w:rsidR="00114F14" w:rsidRDefault="00114F14" w:rsidP="004A104C">
            <w:pPr>
              <w:rPr>
                <w:sz w:val="22"/>
                <w:szCs w:val="22"/>
              </w:rPr>
            </w:pPr>
          </w:p>
          <w:p w14:paraId="3486B3E4" w14:textId="77777777" w:rsidR="00114F14" w:rsidRDefault="00114F14" w:rsidP="004A104C">
            <w:pPr>
              <w:rPr>
                <w:sz w:val="22"/>
                <w:szCs w:val="22"/>
              </w:rPr>
            </w:pPr>
          </w:p>
          <w:p w14:paraId="31D39B45" w14:textId="77777777" w:rsidR="00114F14" w:rsidRDefault="00114F14" w:rsidP="004A104C">
            <w:pPr>
              <w:rPr>
                <w:sz w:val="22"/>
                <w:szCs w:val="22"/>
              </w:rPr>
            </w:pPr>
          </w:p>
          <w:p w14:paraId="5F86AD84" w14:textId="77777777" w:rsidR="00114F14" w:rsidRDefault="00114F14" w:rsidP="004A104C">
            <w:pPr>
              <w:rPr>
                <w:sz w:val="22"/>
                <w:szCs w:val="22"/>
              </w:rPr>
            </w:pPr>
          </w:p>
          <w:p w14:paraId="4FC72AE4" w14:textId="77777777" w:rsidR="00114F14" w:rsidRDefault="00114F14" w:rsidP="004A104C">
            <w:pPr>
              <w:rPr>
                <w:sz w:val="22"/>
                <w:szCs w:val="22"/>
              </w:rPr>
            </w:pPr>
          </w:p>
          <w:p w14:paraId="7A8530A9" w14:textId="77777777" w:rsidR="00114F14" w:rsidRDefault="00114F14" w:rsidP="004A104C">
            <w:pPr>
              <w:rPr>
                <w:sz w:val="22"/>
                <w:szCs w:val="22"/>
              </w:rPr>
            </w:pPr>
          </w:p>
          <w:p w14:paraId="7C0EDCCF" w14:textId="77777777" w:rsidR="00114F14" w:rsidRDefault="00114F14" w:rsidP="004A104C">
            <w:pPr>
              <w:rPr>
                <w:sz w:val="22"/>
                <w:szCs w:val="22"/>
              </w:rPr>
            </w:pPr>
          </w:p>
          <w:p w14:paraId="08675D4D" w14:textId="77777777" w:rsidR="00114F14" w:rsidRDefault="00114F14" w:rsidP="004A104C">
            <w:pPr>
              <w:rPr>
                <w:sz w:val="22"/>
                <w:szCs w:val="22"/>
              </w:rPr>
            </w:pPr>
          </w:p>
          <w:p w14:paraId="596648F4" w14:textId="77777777" w:rsidR="00114F14" w:rsidRDefault="00114F14" w:rsidP="004A104C">
            <w:pPr>
              <w:rPr>
                <w:sz w:val="22"/>
                <w:szCs w:val="22"/>
              </w:rPr>
            </w:pPr>
          </w:p>
          <w:p w14:paraId="41E00C4E" w14:textId="77777777" w:rsidR="00114F14" w:rsidRDefault="00114F14" w:rsidP="004A104C">
            <w:pPr>
              <w:rPr>
                <w:sz w:val="22"/>
                <w:szCs w:val="22"/>
              </w:rPr>
            </w:pPr>
          </w:p>
          <w:p w14:paraId="2EF40A5D" w14:textId="77777777" w:rsidR="00114F14" w:rsidRDefault="00114F14" w:rsidP="004A104C">
            <w:pPr>
              <w:rPr>
                <w:sz w:val="22"/>
                <w:szCs w:val="22"/>
              </w:rPr>
            </w:pPr>
          </w:p>
          <w:p w14:paraId="6ABF814C" w14:textId="77777777" w:rsidR="00114F14" w:rsidRDefault="00114F14" w:rsidP="004A104C">
            <w:pPr>
              <w:rPr>
                <w:sz w:val="22"/>
                <w:szCs w:val="22"/>
              </w:rPr>
            </w:pPr>
          </w:p>
          <w:p w14:paraId="017BD273" w14:textId="77777777" w:rsidR="00114F14" w:rsidRDefault="00114F14" w:rsidP="004A104C">
            <w:pPr>
              <w:rPr>
                <w:sz w:val="22"/>
                <w:szCs w:val="22"/>
              </w:rPr>
            </w:pPr>
          </w:p>
          <w:p w14:paraId="266D9E69" w14:textId="77777777" w:rsidR="00114F14" w:rsidRDefault="00114F14" w:rsidP="004A104C">
            <w:pPr>
              <w:rPr>
                <w:sz w:val="22"/>
                <w:szCs w:val="22"/>
              </w:rPr>
            </w:pPr>
          </w:p>
          <w:p w14:paraId="2E56E70E" w14:textId="77777777" w:rsidR="00114F14" w:rsidRDefault="00114F14" w:rsidP="004A104C">
            <w:pPr>
              <w:rPr>
                <w:sz w:val="22"/>
                <w:szCs w:val="22"/>
              </w:rPr>
            </w:pPr>
          </w:p>
          <w:p w14:paraId="09599568" w14:textId="77777777" w:rsidR="00114F14" w:rsidRDefault="00114F14" w:rsidP="004A104C">
            <w:pPr>
              <w:rPr>
                <w:sz w:val="22"/>
                <w:szCs w:val="22"/>
              </w:rPr>
            </w:pPr>
          </w:p>
          <w:p w14:paraId="4B50E5BF" w14:textId="77777777" w:rsidR="00114F14" w:rsidRDefault="00114F14" w:rsidP="004A104C">
            <w:pPr>
              <w:rPr>
                <w:sz w:val="22"/>
                <w:szCs w:val="22"/>
              </w:rPr>
            </w:pPr>
          </w:p>
          <w:p w14:paraId="55F3B8C9" w14:textId="77777777" w:rsidR="00114F14" w:rsidRDefault="00114F14" w:rsidP="004A104C">
            <w:pPr>
              <w:rPr>
                <w:sz w:val="22"/>
                <w:szCs w:val="22"/>
              </w:rPr>
            </w:pPr>
          </w:p>
          <w:p w14:paraId="117C2F2E" w14:textId="77777777" w:rsidR="00114F14" w:rsidRDefault="00114F14" w:rsidP="004A104C">
            <w:pPr>
              <w:rPr>
                <w:sz w:val="22"/>
                <w:szCs w:val="22"/>
              </w:rPr>
            </w:pPr>
          </w:p>
          <w:p w14:paraId="528C0968" w14:textId="77777777" w:rsidR="00114F14" w:rsidRDefault="00114F14" w:rsidP="004A104C">
            <w:pPr>
              <w:rPr>
                <w:sz w:val="22"/>
                <w:szCs w:val="22"/>
              </w:rPr>
            </w:pPr>
          </w:p>
          <w:p w14:paraId="1831966D" w14:textId="77777777" w:rsidR="00114F14" w:rsidRDefault="00114F14" w:rsidP="004A104C">
            <w:pPr>
              <w:rPr>
                <w:sz w:val="22"/>
                <w:szCs w:val="22"/>
              </w:rPr>
            </w:pPr>
          </w:p>
          <w:p w14:paraId="49C10883" w14:textId="77777777" w:rsidR="00114F14" w:rsidRDefault="00114F14" w:rsidP="004A104C">
            <w:pPr>
              <w:rPr>
                <w:sz w:val="22"/>
                <w:szCs w:val="22"/>
              </w:rPr>
            </w:pPr>
          </w:p>
          <w:p w14:paraId="2C6F5B74" w14:textId="77777777" w:rsidR="00114F14" w:rsidRDefault="00114F14" w:rsidP="004A104C">
            <w:pPr>
              <w:rPr>
                <w:sz w:val="22"/>
                <w:szCs w:val="22"/>
              </w:rPr>
            </w:pPr>
          </w:p>
          <w:p w14:paraId="6CE15B24" w14:textId="77777777" w:rsidR="00114F14" w:rsidRDefault="00114F14" w:rsidP="004A104C">
            <w:pPr>
              <w:rPr>
                <w:sz w:val="22"/>
                <w:szCs w:val="22"/>
              </w:rPr>
            </w:pPr>
          </w:p>
          <w:p w14:paraId="6E8D5858" w14:textId="77777777" w:rsidR="00114F14" w:rsidRDefault="00114F14" w:rsidP="004A104C">
            <w:pPr>
              <w:rPr>
                <w:sz w:val="22"/>
                <w:szCs w:val="22"/>
              </w:rPr>
            </w:pPr>
          </w:p>
          <w:p w14:paraId="25BD10E7" w14:textId="77777777" w:rsidR="00114F14" w:rsidRDefault="00114F14" w:rsidP="004A104C">
            <w:pPr>
              <w:rPr>
                <w:sz w:val="22"/>
                <w:szCs w:val="22"/>
              </w:rPr>
            </w:pPr>
          </w:p>
          <w:p w14:paraId="2B0669A9" w14:textId="77777777" w:rsidR="00114F14" w:rsidRDefault="00114F14" w:rsidP="004A104C">
            <w:pPr>
              <w:rPr>
                <w:sz w:val="22"/>
                <w:szCs w:val="22"/>
              </w:rPr>
            </w:pPr>
          </w:p>
          <w:p w14:paraId="7D3DF8D2" w14:textId="77777777" w:rsidR="00114F14" w:rsidRDefault="00114F14" w:rsidP="004A104C">
            <w:pPr>
              <w:rPr>
                <w:sz w:val="22"/>
                <w:szCs w:val="22"/>
              </w:rPr>
            </w:pPr>
          </w:p>
          <w:p w14:paraId="2EAF47F0" w14:textId="77777777" w:rsidR="00114F14" w:rsidRDefault="00114F14" w:rsidP="004A104C">
            <w:pPr>
              <w:rPr>
                <w:sz w:val="22"/>
                <w:szCs w:val="22"/>
              </w:rPr>
            </w:pPr>
          </w:p>
          <w:p w14:paraId="403048DE" w14:textId="77777777" w:rsidR="00114F14" w:rsidRDefault="00114F14" w:rsidP="004A104C">
            <w:pPr>
              <w:rPr>
                <w:sz w:val="22"/>
                <w:szCs w:val="22"/>
              </w:rPr>
            </w:pPr>
          </w:p>
          <w:p w14:paraId="13377FAF" w14:textId="77777777" w:rsidR="00114F14" w:rsidRDefault="00114F14" w:rsidP="004A104C">
            <w:pPr>
              <w:rPr>
                <w:sz w:val="22"/>
                <w:szCs w:val="22"/>
              </w:rPr>
            </w:pPr>
          </w:p>
          <w:p w14:paraId="11F29AA9" w14:textId="77777777" w:rsidR="00114F14" w:rsidRDefault="00114F14" w:rsidP="004A104C">
            <w:pPr>
              <w:rPr>
                <w:sz w:val="22"/>
                <w:szCs w:val="22"/>
              </w:rPr>
            </w:pPr>
          </w:p>
          <w:p w14:paraId="39930C35" w14:textId="77777777" w:rsidR="00114F14" w:rsidRDefault="00114F14" w:rsidP="004A104C">
            <w:pPr>
              <w:rPr>
                <w:sz w:val="22"/>
                <w:szCs w:val="22"/>
              </w:rPr>
            </w:pPr>
          </w:p>
          <w:p w14:paraId="3C6A5F6C" w14:textId="77777777" w:rsidR="00114F14" w:rsidRDefault="00114F14" w:rsidP="004A104C">
            <w:pPr>
              <w:rPr>
                <w:sz w:val="22"/>
                <w:szCs w:val="22"/>
              </w:rPr>
            </w:pPr>
          </w:p>
          <w:p w14:paraId="1C06ED2C" w14:textId="77777777" w:rsidR="00114F14" w:rsidRDefault="00114F14" w:rsidP="004A104C">
            <w:pPr>
              <w:rPr>
                <w:sz w:val="22"/>
                <w:szCs w:val="22"/>
              </w:rPr>
            </w:pPr>
          </w:p>
          <w:p w14:paraId="425AD5A1" w14:textId="77777777" w:rsidR="00114F14" w:rsidRDefault="00114F14" w:rsidP="004A104C">
            <w:pPr>
              <w:rPr>
                <w:sz w:val="22"/>
                <w:szCs w:val="22"/>
              </w:rPr>
            </w:pPr>
          </w:p>
          <w:p w14:paraId="0A05425F" w14:textId="77777777" w:rsidR="00114F14" w:rsidRDefault="00114F14" w:rsidP="004A104C">
            <w:pPr>
              <w:rPr>
                <w:sz w:val="22"/>
                <w:szCs w:val="22"/>
              </w:rPr>
            </w:pPr>
          </w:p>
          <w:p w14:paraId="6F8D14E2" w14:textId="77777777" w:rsidR="00114F14" w:rsidRDefault="00114F14" w:rsidP="004A104C">
            <w:pPr>
              <w:rPr>
                <w:sz w:val="22"/>
                <w:szCs w:val="22"/>
              </w:rPr>
            </w:pPr>
          </w:p>
          <w:p w14:paraId="18C445B6" w14:textId="77777777" w:rsidR="00114F14" w:rsidRDefault="00114F14" w:rsidP="004A104C">
            <w:pPr>
              <w:rPr>
                <w:sz w:val="22"/>
                <w:szCs w:val="22"/>
              </w:rPr>
            </w:pPr>
          </w:p>
          <w:p w14:paraId="3BEC57EB" w14:textId="77777777" w:rsidR="00114F14" w:rsidRDefault="00114F14" w:rsidP="004A104C">
            <w:pPr>
              <w:rPr>
                <w:sz w:val="22"/>
                <w:szCs w:val="22"/>
              </w:rPr>
            </w:pPr>
          </w:p>
          <w:p w14:paraId="0D16653C" w14:textId="77777777" w:rsidR="00114F14" w:rsidRDefault="00114F14" w:rsidP="004A104C">
            <w:pPr>
              <w:rPr>
                <w:sz w:val="22"/>
                <w:szCs w:val="22"/>
              </w:rPr>
            </w:pPr>
          </w:p>
          <w:p w14:paraId="57674671" w14:textId="77777777" w:rsidR="00114F14" w:rsidRDefault="00114F14" w:rsidP="004A104C">
            <w:pPr>
              <w:rPr>
                <w:sz w:val="22"/>
                <w:szCs w:val="22"/>
              </w:rPr>
            </w:pPr>
          </w:p>
          <w:p w14:paraId="7A99CD4E" w14:textId="77777777" w:rsidR="00114F14" w:rsidRDefault="00114F14" w:rsidP="004A104C">
            <w:pPr>
              <w:rPr>
                <w:sz w:val="22"/>
                <w:szCs w:val="22"/>
              </w:rPr>
            </w:pPr>
          </w:p>
          <w:p w14:paraId="5F8262CF" w14:textId="77777777" w:rsidR="00114F14" w:rsidRDefault="00114F14" w:rsidP="004A104C">
            <w:pPr>
              <w:rPr>
                <w:sz w:val="22"/>
                <w:szCs w:val="22"/>
              </w:rPr>
            </w:pPr>
          </w:p>
          <w:p w14:paraId="5D6C284D" w14:textId="77777777" w:rsidR="00114F14" w:rsidRDefault="00114F14" w:rsidP="004A104C">
            <w:pPr>
              <w:rPr>
                <w:sz w:val="22"/>
                <w:szCs w:val="22"/>
              </w:rPr>
            </w:pPr>
          </w:p>
          <w:p w14:paraId="1D8F17D7" w14:textId="77777777" w:rsidR="00114F14" w:rsidRDefault="00114F14" w:rsidP="004A104C">
            <w:pPr>
              <w:rPr>
                <w:sz w:val="22"/>
                <w:szCs w:val="22"/>
              </w:rPr>
            </w:pPr>
          </w:p>
          <w:p w14:paraId="2998FD8F" w14:textId="77777777" w:rsidR="00114F14" w:rsidRDefault="00114F14" w:rsidP="004A104C">
            <w:pPr>
              <w:rPr>
                <w:sz w:val="22"/>
                <w:szCs w:val="22"/>
              </w:rPr>
            </w:pPr>
          </w:p>
          <w:p w14:paraId="6941E762" w14:textId="77777777" w:rsidR="00114F14" w:rsidRDefault="00114F14" w:rsidP="004A104C">
            <w:pPr>
              <w:rPr>
                <w:sz w:val="22"/>
                <w:szCs w:val="22"/>
              </w:rPr>
            </w:pPr>
          </w:p>
          <w:p w14:paraId="3497ACDB" w14:textId="77777777" w:rsidR="00114F14" w:rsidRDefault="00114F14" w:rsidP="004A104C">
            <w:pPr>
              <w:rPr>
                <w:sz w:val="22"/>
                <w:szCs w:val="22"/>
              </w:rPr>
            </w:pPr>
          </w:p>
          <w:p w14:paraId="58C02167" w14:textId="77777777" w:rsidR="00114F14" w:rsidRDefault="00114F14" w:rsidP="004A104C">
            <w:pPr>
              <w:rPr>
                <w:sz w:val="22"/>
                <w:szCs w:val="22"/>
              </w:rPr>
            </w:pPr>
          </w:p>
          <w:p w14:paraId="4D47A533" w14:textId="77777777" w:rsidR="00114F14" w:rsidRDefault="00114F14" w:rsidP="004A104C">
            <w:pPr>
              <w:rPr>
                <w:sz w:val="22"/>
                <w:szCs w:val="22"/>
              </w:rPr>
            </w:pPr>
          </w:p>
          <w:p w14:paraId="2AEA6875" w14:textId="77777777" w:rsidR="00114F14" w:rsidRDefault="00114F14" w:rsidP="004A104C">
            <w:pPr>
              <w:rPr>
                <w:sz w:val="22"/>
                <w:szCs w:val="22"/>
              </w:rPr>
            </w:pPr>
          </w:p>
          <w:p w14:paraId="4EFC553A" w14:textId="77777777" w:rsidR="00114F14" w:rsidRDefault="00114F14" w:rsidP="004A104C">
            <w:pPr>
              <w:rPr>
                <w:sz w:val="22"/>
                <w:szCs w:val="22"/>
              </w:rPr>
            </w:pPr>
          </w:p>
          <w:p w14:paraId="61D3F37B" w14:textId="77777777" w:rsidR="00114F14" w:rsidRDefault="00114F14" w:rsidP="004A104C">
            <w:pPr>
              <w:rPr>
                <w:sz w:val="22"/>
                <w:szCs w:val="22"/>
              </w:rPr>
            </w:pPr>
          </w:p>
          <w:p w14:paraId="362EDD9B" w14:textId="77777777" w:rsidR="00114F14" w:rsidRDefault="00114F14" w:rsidP="004A104C">
            <w:pPr>
              <w:rPr>
                <w:sz w:val="22"/>
                <w:szCs w:val="22"/>
              </w:rPr>
            </w:pPr>
          </w:p>
          <w:p w14:paraId="556B76E5" w14:textId="77777777" w:rsidR="00114F14" w:rsidRDefault="00114F14" w:rsidP="004A104C">
            <w:pPr>
              <w:rPr>
                <w:sz w:val="22"/>
                <w:szCs w:val="22"/>
              </w:rPr>
            </w:pPr>
          </w:p>
          <w:p w14:paraId="6E57FAD5" w14:textId="77777777" w:rsidR="00114F14" w:rsidRDefault="00114F14" w:rsidP="004A104C">
            <w:pPr>
              <w:rPr>
                <w:sz w:val="22"/>
                <w:szCs w:val="22"/>
              </w:rPr>
            </w:pPr>
          </w:p>
          <w:p w14:paraId="40805FF2" w14:textId="77777777" w:rsidR="00114F14" w:rsidRDefault="00114F14" w:rsidP="004A104C">
            <w:pPr>
              <w:rPr>
                <w:sz w:val="22"/>
                <w:szCs w:val="22"/>
              </w:rPr>
            </w:pPr>
          </w:p>
          <w:p w14:paraId="143F66A4" w14:textId="77777777" w:rsidR="00114F14" w:rsidRDefault="00114F14" w:rsidP="004A104C">
            <w:pPr>
              <w:rPr>
                <w:sz w:val="22"/>
                <w:szCs w:val="22"/>
              </w:rPr>
            </w:pPr>
          </w:p>
          <w:p w14:paraId="4CD73BAA" w14:textId="77777777" w:rsidR="00114F14" w:rsidRDefault="00114F14" w:rsidP="004A104C">
            <w:pPr>
              <w:rPr>
                <w:sz w:val="22"/>
                <w:szCs w:val="22"/>
              </w:rPr>
            </w:pPr>
          </w:p>
          <w:p w14:paraId="6A164BEE" w14:textId="77777777" w:rsidR="00114F14" w:rsidRDefault="00114F14" w:rsidP="004A104C">
            <w:pPr>
              <w:rPr>
                <w:sz w:val="22"/>
                <w:szCs w:val="22"/>
              </w:rPr>
            </w:pPr>
          </w:p>
          <w:p w14:paraId="6A82B557" w14:textId="77777777" w:rsidR="00114F14" w:rsidRDefault="00114F14" w:rsidP="004A104C">
            <w:pPr>
              <w:rPr>
                <w:sz w:val="22"/>
                <w:szCs w:val="22"/>
              </w:rPr>
            </w:pPr>
          </w:p>
          <w:p w14:paraId="7C9FB436" w14:textId="77777777" w:rsidR="00114F14" w:rsidRDefault="00114F14" w:rsidP="004A104C">
            <w:pPr>
              <w:rPr>
                <w:sz w:val="22"/>
                <w:szCs w:val="22"/>
              </w:rPr>
            </w:pPr>
          </w:p>
          <w:p w14:paraId="213A3105" w14:textId="77777777" w:rsidR="00114F14" w:rsidRDefault="00114F14" w:rsidP="004A104C">
            <w:pPr>
              <w:rPr>
                <w:sz w:val="22"/>
                <w:szCs w:val="22"/>
              </w:rPr>
            </w:pPr>
          </w:p>
          <w:p w14:paraId="0CD88D2B" w14:textId="77777777" w:rsidR="00114F14" w:rsidRDefault="00114F14" w:rsidP="004A104C">
            <w:pPr>
              <w:rPr>
                <w:sz w:val="22"/>
                <w:szCs w:val="22"/>
              </w:rPr>
            </w:pPr>
          </w:p>
          <w:p w14:paraId="715AD9FC" w14:textId="77777777" w:rsidR="00114F14" w:rsidRDefault="00114F14" w:rsidP="004A104C">
            <w:pPr>
              <w:rPr>
                <w:sz w:val="22"/>
                <w:szCs w:val="22"/>
              </w:rPr>
            </w:pPr>
          </w:p>
          <w:p w14:paraId="7D35C504" w14:textId="77777777" w:rsidR="00114F14" w:rsidRDefault="00114F14" w:rsidP="004A104C">
            <w:pPr>
              <w:rPr>
                <w:sz w:val="22"/>
                <w:szCs w:val="22"/>
              </w:rPr>
            </w:pPr>
          </w:p>
          <w:p w14:paraId="700AE5A3" w14:textId="77777777" w:rsidR="00114F14" w:rsidRDefault="00114F14" w:rsidP="004A104C">
            <w:pPr>
              <w:rPr>
                <w:sz w:val="22"/>
                <w:szCs w:val="22"/>
              </w:rPr>
            </w:pPr>
          </w:p>
          <w:p w14:paraId="60A28D4F" w14:textId="77777777" w:rsidR="00114F14" w:rsidRDefault="00114F14" w:rsidP="004A104C">
            <w:pPr>
              <w:rPr>
                <w:sz w:val="22"/>
                <w:szCs w:val="22"/>
              </w:rPr>
            </w:pPr>
          </w:p>
          <w:p w14:paraId="34548963" w14:textId="77777777" w:rsidR="00114F14" w:rsidRDefault="00114F14" w:rsidP="004A104C">
            <w:pPr>
              <w:rPr>
                <w:sz w:val="22"/>
                <w:szCs w:val="22"/>
              </w:rPr>
            </w:pPr>
          </w:p>
          <w:p w14:paraId="47F50648" w14:textId="77777777" w:rsidR="00114F14" w:rsidRDefault="00114F14" w:rsidP="004A104C">
            <w:pPr>
              <w:rPr>
                <w:sz w:val="22"/>
                <w:szCs w:val="22"/>
              </w:rPr>
            </w:pPr>
          </w:p>
          <w:p w14:paraId="54C7E9ED" w14:textId="77777777" w:rsidR="00114F14" w:rsidRDefault="00114F14" w:rsidP="004A104C">
            <w:pPr>
              <w:rPr>
                <w:sz w:val="22"/>
                <w:szCs w:val="22"/>
              </w:rPr>
            </w:pPr>
          </w:p>
          <w:p w14:paraId="2B9F1F6D" w14:textId="77777777" w:rsidR="00114F14" w:rsidRDefault="00114F14" w:rsidP="004A104C">
            <w:pPr>
              <w:rPr>
                <w:sz w:val="22"/>
                <w:szCs w:val="22"/>
              </w:rPr>
            </w:pPr>
          </w:p>
          <w:p w14:paraId="21F4A1D9" w14:textId="77777777" w:rsidR="00114F14" w:rsidRDefault="00114F14" w:rsidP="004A104C">
            <w:pPr>
              <w:rPr>
                <w:sz w:val="22"/>
                <w:szCs w:val="22"/>
              </w:rPr>
            </w:pPr>
          </w:p>
          <w:p w14:paraId="1688898F" w14:textId="77777777" w:rsidR="00114F14" w:rsidRDefault="00114F14" w:rsidP="004A104C">
            <w:pPr>
              <w:rPr>
                <w:sz w:val="22"/>
                <w:szCs w:val="22"/>
              </w:rPr>
            </w:pPr>
          </w:p>
          <w:p w14:paraId="3FFD9006" w14:textId="77777777" w:rsidR="00114F14" w:rsidRDefault="00114F14" w:rsidP="004A104C">
            <w:pPr>
              <w:rPr>
                <w:sz w:val="22"/>
                <w:szCs w:val="22"/>
              </w:rPr>
            </w:pPr>
          </w:p>
          <w:p w14:paraId="5B3D1E20" w14:textId="77777777" w:rsidR="00114F14" w:rsidRDefault="00114F14" w:rsidP="004A104C">
            <w:pPr>
              <w:rPr>
                <w:sz w:val="22"/>
                <w:szCs w:val="22"/>
              </w:rPr>
            </w:pPr>
          </w:p>
          <w:p w14:paraId="344798F9" w14:textId="77777777" w:rsidR="00114F14" w:rsidRDefault="00114F14" w:rsidP="004A104C">
            <w:pPr>
              <w:rPr>
                <w:sz w:val="22"/>
                <w:szCs w:val="22"/>
              </w:rPr>
            </w:pPr>
          </w:p>
          <w:p w14:paraId="39A64134" w14:textId="77777777" w:rsidR="00114F14" w:rsidRDefault="00114F14" w:rsidP="004A104C">
            <w:pPr>
              <w:rPr>
                <w:sz w:val="22"/>
                <w:szCs w:val="22"/>
              </w:rPr>
            </w:pPr>
          </w:p>
          <w:p w14:paraId="7F6198D0" w14:textId="77777777" w:rsidR="00114F14" w:rsidRDefault="00114F14" w:rsidP="004A104C">
            <w:pPr>
              <w:rPr>
                <w:sz w:val="22"/>
                <w:szCs w:val="22"/>
              </w:rPr>
            </w:pPr>
          </w:p>
          <w:p w14:paraId="01D1E38F" w14:textId="77777777" w:rsidR="00114F14" w:rsidRDefault="00114F14" w:rsidP="004A104C">
            <w:pPr>
              <w:rPr>
                <w:sz w:val="22"/>
                <w:szCs w:val="22"/>
              </w:rPr>
            </w:pPr>
          </w:p>
          <w:p w14:paraId="44055F37" w14:textId="77777777" w:rsidR="00114F14" w:rsidRDefault="00114F14" w:rsidP="004A104C">
            <w:pPr>
              <w:rPr>
                <w:sz w:val="22"/>
                <w:szCs w:val="22"/>
              </w:rPr>
            </w:pPr>
          </w:p>
          <w:p w14:paraId="544C73F1" w14:textId="77777777" w:rsidR="00114F14" w:rsidRDefault="00114F14" w:rsidP="004A104C">
            <w:pPr>
              <w:rPr>
                <w:sz w:val="22"/>
                <w:szCs w:val="22"/>
              </w:rPr>
            </w:pPr>
          </w:p>
          <w:p w14:paraId="305FBE46" w14:textId="77777777" w:rsidR="00114F14" w:rsidRDefault="00114F14" w:rsidP="004A104C">
            <w:pPr>
              <w:rPr>
                <w:sz w:val="22"/>
                <w:szCs w:val="22"/>
              </w:rPr>
            </w:pPr>
          </w:p>
          <w:p w14:paraId="5597B59E" w14:textId="77777777" w:rsidR="00114F14" w:rsidRDefault="00114F14" w:rsidP="004A104C">
            <w:pPr>
              <w:rPr>
                <w:sz w:val="22"/>
                <w:szCs w:val="22"/>
              </w:rPr>
            </w:pPr>
          </w:p>
          <w:p w14:paraId="24598FDE" w14:textId="77777777" w:rsidR="00114F14" w:rsidRDefault="00114F14" w:rsidP="004A104C">
            <w:pPr>
              <w:rPr>
                <w:sz w:val="22"/>
                <w:szCs w:val="22"/>
              </w:rPr>
            </w:pPr>
          </w:p>
          <w:p w14:paraId="29B222B1" w14:textId="77777777" w:rsidR="00114F14" w:rsidRDefault="00114F14" w:rsidP="004A104C">
            <w:pPr>
              <w:rPr>
                <w:sz w:val="22"/>
                <w:szCs w:val="22"/>
              </w:rPr>
            </w:pPr>
          </w:p>
          <w:p w14:paraId="6CF8DB5F" w14:textId="77777777" w:rsidR="00114F14" w:rsidRDefault="00114F14" w:rsidP="004A104C">
            <w:pPr>
              <w:rPr>
                <w:sz w:val="22"/>
                <w:szCs w:val="22"/>
              </w:rPr>
            </w:pPr>
          </w:p>
          <w:p w14:paraId="29E8E12E" w14:textId="77777777" w:rsidR="00114F14" w:rsidRDefault="00114F14" w:rsidP="004A104C">
            <w:pPr>
              <w:rPr>
                <w:sz w:val="22"/>
                <w:szCs w:val="22"/>
              </w:rPr>
            </w:pPr>
          </w:p>
          <w:p w14:paraId="14A87FB3" w14:textId="77777777" w:rsidR="00114F14" w:rsidRDefault="00114F14" w:rsidP="004A104C">
            <w:pPr>
              <w:rPr>
                <w:sz w:val="22"/>
                <w:szCs w:val="22"/>
              </w:rPr>
            </w:pPr>
          </w:p>
          <w:p w14:paraId="365D20CD" w14:textId="77777777" w:rsidR="00114F14" w:rsidRDefault="00114F14" w:rsidP="004A104C">
            <w:pPr>
              <w:rPr>
                <w:sz w:val="22"/>
                <w:szCs w:val="22"/>
              </w:rPr>
            </w:pPr>
          </w:p>
          <w:p w14:paraId="41C153F3" w14:textId="77777777" w:rsidR="00114F14" w:rsidRDefault="00114F14" w:rsidP="004A104C">
            <w:pPr>
              <w:rPr>
                <w:sz w:val="22"/>
                <w:szCs w:val="22"/>
              </w:rPr>
            </w:pPr>
          </w:p>
          <w:p w14:paraId="14344EAB" w14:textId="77777777" w:rsidR="00114F14" w:rsidRDefault="00114F14" w:rsidP="004A104C">
            <w:pPr>
              <w:rPr>
                <w:sz w:val="22"/>
                <w:szCs w:val="22"/>
              </w:rPr>
            </w:pPr>
          </w:p>
          <w:p w14:paraId="5664F49B" w14:textId="77777777" w:rsidR="00114F14" w:rsidRDefault="00114F14" w:rsidP="004A104C">
            <w:pPr>
              <w:rPr>
                <w:sz w:val="22"/>
                <w:szCs w:val="22"/>
              </w:rPr>
            </w:pPr>
          </w:p>
          <w:p w14:paraId="3B7EFC20" w14:textId="77777777" w:rsidR="00114F14" w:rsidRDefault="00114F14" w:rsidP="004A104C">
            <w:pPr>
              <w:rPr>
                <w:sz w:val="22"/>
                <w:szCs w:val="22"/>
              </w:rPr>
            </w:pPr>
          </w:p>
          <w:p w14:paraId="070DD334" w14:textId="77777777" w:rsidR="00114F14" w:rsidRDefault="00114F14" w:rsidP="004A104C">
            <w:pPr>
              <w:rPr>
                <w:sz w:val="22"/>
                <w:szCs w:val="22"/>
              </w:rPr>
            </w:pPr>
          </w:p>
          <w:p w14:paraId="27CB59DB" w14:textId="77777777" w:rsidR="00114F14" w:rsidRDefault="00114F14" w:rsidP="004A104C">
            <w:pPr>
              <w:rPr>
                <w:sz w:val="22"/>
                <w:szCs w:val="22"/>
              </w:rPr>
            </w:pPr>
          </w:p>
          <w:p w14:paraId="0792E4D1" w14:textId="77777777" w:rsidR="00114F14" w:rsidRDefault="00114F14" w:rsidP="004A104C">
            <w:pPr>
              <w:rPr>
                <w:sz w:val="22"/>
                <w:szCs w:val="22"/>
              </w:rPr>
            </w:pPr>
          </w:p>
          <w:p w14:paraId="059D7DC8" w14:textId="77777777" w:rsidR="00114F14" w:rsidRDefault="00114F14" w:rsidP="004A104C">
            <w:pPr>
              <w:rPr>
                <w:sz w:val="22"/>
                <w:szCs w:val="22"/>
              </w:rPr>
            </w:pPr>
          </w:p>
          <w:p w14:paraId="3ED9D8BB" w14:textId="77777777" w:rsidR="00114F14" w:rsidRDefault="00114F14" w:rsidP="004A104C">
            <w:pPr>
              <w:rPr>
                <w:sz w:val="22"/>
                <w:szCs w:val="22"/>
              </w:rPr>
            </w:pPr>
          </w:p>
          <w:p w14:paraId="61C7FFC5" w14:textId="77777777" w:rsidR="00114F14" w:rsidRDefault="00114F14" w:rsidP="004A104C">
            <w:pPr>
              <w:rPr>
                <w:sz w:val="22"/>
                <w:szCs w:val="22"/>
              </w:rPr>
            </w:pPr>
          </w:p>
          <w:p w14:paraId="73FBC965" w14:textId="77777777" w:rsidR="00114F14" w:rsidRDefault="00114F14" w:rsidP="004A104C">
            <w:pPr>
              <w:rPr>
                <w:sz w:val="22"/>
                <w:szCs w:val="22"/>
              </w:rPr>
            </w:pPr>
          </w:p>
          <w:p w14:paraId="0C94CD6D" w14:textId="77777777" w:rsidR="00114F14" w:rsidRDefault="00114F14" w:rsidP="004A104C">
            <w:pPr>
              <w:rPr>
                <w:sz w:val="22"/>
                <w:szCs w:val="22"/>
              </w:rPr>
            </w:pPr>
          </w:p>
          <w:p w14:paraId="71A195C6" w14:textId="77777777" w:rsidR="00114F14" w:rsidRDefault="00114F14" w:rsidP="004A104C">
            <w:pPr>
              <w:rPr>
                <w:sz w:val="22"/>
                <w:szCs w:val="22"/>
              </w:rPr>
            </w:pPr>
          </w:p>
          <w:p w14:paraId="78CEF300" w14:textId="77777777" w:rsidR="00114F14" w:rsidRDefault="00114F14" w:rsidP="004A104C">
            <w:pPr>
              <w:rPr>
                <w:sz w:val="22"/>
                <w:szCs w:val="22"/>
              </w:rPr>
            </w:pPr>
          </w:p>
          <w:p w14:paraId="4CC89230" w14:textId="77777777" w:rsidR="00114F14" w:rsidRDefault="00114F14" w:rsidP="004A104C">
            <w:pPr>
              <w:rPr>
                <w:sz w:val="22"/>
                <w:szCs w:val="22"/>
              </w:rPr>
            </w:pPr>
          </w:p>
          <w:p w14:paraId="3693B2F9" w14:textId="77777777" w:rsidR="00114F14" w:rsidRDefault="00114F14" w:rsidP="004A104C">
            <w:pPr>
              <w:rPr>
                <w:sz w:val="22"/>
                <w:szCs w:val="22"/>
              </w:rPr>
            </w:pPr>
          </w:p>
          <w:p w14:paraId="216F9377" w14:textId="77777777" w:rsidR="00114F14" w:rsidRDefault="00114F14" w:rsidP="004A104C">
            <w:pPr>
              <w:rPr>
                <w:sz w:val="22"/>
                <w:szCs w:val="22"/>
              </w:rPr>
            </w:pPr>
          </w:p>
          <w:p w14:paraId="4B73DA35" w14:textId="77777777" w:rsidR="00114F14" w:rsidRDefault="00114F14" w:rsidP="004A104C">
            <w:pPr>
              <w:rPr>
                <w:sz w:val="22"/>
                <w:szCs w:val="22"/>
              </w:rPr>
            </w:pPr>
          </w:p>
          <w:p w14:paraId="768B1227" w14:textId="77777777" w:rsidR="00114F14" w:rsidRDefault="00114F14" w:rsidP="004A104C">
            <w:pPr>
              <w:rPr>
                <w:sz w:val="22"/>
                <w:szCs w:val="22"/>
              </w:rPr>
            </w:pPr>
          </w:p>
          <w:p w14:paraId="66EF7154" w14:textId="77777777" w:rsidR="00114F14" w:rsidRDefault="00114F14" w:rsidP="004A104C">
            <w:pPr>
              <w:rPr>
                <w:sz w:val="22"/>
                <w:szCs w:val="22"/>
              </w:rPr>
            </w:pPr>
          </w:p>
          <w:p w14:paraId="23B7E2F6" w14:textId="77777777" w:rsidR="00114F14" w:rsidRDefault="00114F14" w:rsidP="004A104C">
            <w:pPr>
              <w:rPr>
                <w:sz w:val="22"/>
                <w:szCs w:val="22"/>
              </w:rPr>
            </w:pPr>
          </w:p>
          <w:p w14:paraId="471BA05A" w14:textId="77777777" w:rsidR="00114F14" w:rsidRDefault="00114F14" w:rsidP="004A104C">
            <w:pPr>
              <w:rPr>
                <w:sz w:val="22"/>
                <w:szCs w:val="22"/>
              </w:rPr>
            </w:pPr>
          </w:p>
          <w:p w14:paraId="7427EFE2" w14:textId="77777777" w:rsidR="00114F14" w:rsidRDefault="00114F14" w:rsidP="004A104C">
            <w:pPr>
              <w:rPr>
                <w:sz w:val="22"/>
                <w:szCs w:val="22"/>
              </w:rPr>
            </w:pPr>
          </w:p>
          <w:p w14:paraId="6BCD5DF3" w14:textId="77777777" w:rsidR="00114F14" w:rsidRDefault="00114F14" w:rsidP="004A104C">
            <w:pPr>
              <w:rPr>
                <w:sz w:val="22"/>
                <w:szCs w:val="22"/>
              </w:rPr>
            </w:pPr>
          </w:p>
          <w:p w14:paraId="769BE8AB" w14:textId="77777777" w:rsidR="00114F14" w:rsidRDefault="00114F14" w:rsidP="004A104C">
            <w:pPr>
              <w:rPr>
                <w:sz w:val="22"/>
                <w:szCs w:val="22"/>
              </w:rPr>
            </w:pPr>
          </w:p>
          <w:p w14:paraId="02A7571D" w14:textId="77777777" w:rsidR="00114F14" w:rsidRDefault="00114F14" w:rsidP="004A104C">
            <w:pPr>
              <w:rPr>
                <w:sz w:val="22"/>
                <w:szCs w:val="22"/>
              </w:rPr>
            </w:pPr>
          </w:p>
          <w:p w14:paraId="00BC1A3E" w14:textId="77777777" w:rsidR="00114F14" w:rsidRDefault="00114F14" w:rsidP="004A104C">
            <w:pPr>
              <w:rPr>
                <w:sz w:val="22"/>
                <w:szCs w:val="22"/>
              </w:rPr>
            </w:pPr>
          </w:p>
          <w:p w14:paraId="1049EE89" w14:textId="77777777" w:rsidR="00114F14" w:rsidRDefault="00114F14" w:rsidP="004A104C">
            <w:pPr>
              <w:rPr>
                <w:sz w:val="22"/>
                <w:szCs w:val="22"/>
              </w:rPr>
            </w:pPr>
          </w:p>
          <w:p w14:paraId="57E895D2" w14:textId="77777777" w:rsidR="00114F14" w:rsidRDefault="00114F14" w:rsidP="004A104C">
            <w:pPr>
              <w:rPr>
                <w:sz w:val="22"/>
                <w:szCs w:val="22"/>
              </w:rPr>
            </w:pPr>
          </w:p>
          <w:p w14:paraId="787C220C" w14:textId="77777777" w:rsidR="00114F14" w:rsidRDefault="00114F14" w:rsidP="004A104C">
            <w:pPr>
              <w:rPr>
                <w:sz w:val="22"/>
                <w:szCs w:val="22"/>
              </w:rPr>
            </w:pPr>
          </w:p>
          <w:p w14:paraId="3FD6A2FD" w14:textId="77777777" w:rsidR="00114F14" w:rsidRDefault="00114F14" w:rsidP="004A104C">
            <w:pPr>
              <w:rPr>
                <w:sz w:val="22"/>
                <w:szCs w:val="22"/>
              </w:rPr>
            </w:pPr>
          </w:p>
          <w:p w14:paraId="789D4111" w14:textId="77777777" w:rsidR="00114F14" w:rsidRDefault="00114F14" w:rsidP="004A104C">
            <w:pPr>
              <w:rPr>
                <w:sz w:val="22"/>
                <w:szCs w:val="22"/>
              </w:rPr>
            </w:pPr>
          </w:p>
          <w:p w14:paraId="0743BF57" w14:textId="77777777" w:rsidR="00114F14" w:rsidRDefault="00114F14" w:rsidP="004A104C">
            <w:pPr>
              <w:rPr>
                <w:sz w:val="22"/>
                <w:szCs w:val="22"/>
              </w:rPr>
            </w:pPr>
          </w:p>
          <w:p w14:paraId="7F32B138" w14:textId="77777777" w:rsidR="00114F14" w:rsidRDefault="00114F14" w:rsidP="004A104C">
            <w:pPr>
              <w:rPr>
                <w:sz w:val="22"/>
                <w:szCs w:val="22"/>
              </w:rPr>
            </w:pPr>
          </w:p>
          <w:p w14:paraId="78DFFD8A" w14:textId="77777777" w:rsidR="00114F14" w:rsidRDefault="00114F14" w:rsidP="004A104C">
            <w:pPr>
              <w:rPr>
                <w:sz w:val="22"/>
                <w:szCs w:val="22"/>
              </w:rPr>
            </w:pPr>
          </w:p>
          <w:p w14:paraId="7AE55D32" w14:textId="77777777" w:rsidR="00114F14" w:rsidRDefault="00114F14" w:rsidP="004A104C">
            <w:pPr>
              <w:rPr>
                <w:sz w:val="22"/>
                <w:szCs w:val="22"/>
              </w:rPr>
            </w:pPr>
          </w:p>
          <w:p w14:paraId="3216DD72" w14:textId="77777777" w:rsidR="00114F14" w:rsidRDefault="00114F14" w:rsidP="004A104C">
            <w:pPr>
              <w:rPr>
                <w:sz w:val="22"/>
                <w:szCs w:val="22"/>
              </w:rPr>
            </w:pPr>
          </w:p>
          <w:p w14:paraId="7EDA83CA" w14:textId="77777777" w:rsidR="00114F14" w:rsidRDefault="00114F14" w:rsidP="004A104C">
            <w:pPr>
              <w:rPr>
                <w:sz w:val="22"/>
                <w:szCs w:val="22"/>
              </w:rPr>
            </w:pPr>
          </w:p>
          <w:p w14:paraId="0FE29259" w14:textId="77777777" w:rsidR="00114F14" w:rsidRDefault="00114F14" w:rsidP="004A104C">
            <w:pPr>
              <w:rPr>
                <w:sz w:val="22"/>
                <w:szCs w:val="22"/>
              </w:rPr>
            </w:pPr>
          </w:p>
          <w:p w14:paraId="7E88D3A7" w14:textId="77777777" w:rsidR="00114F14" w:rsidRDefault="00114F14" w:rsidP="004A104C">
            <w:pPr>
              <w:rPr>
                <w:sz w:val="22"/>
                <w:szCs w:val="22"/>
              </w:rPr>
            </w:pPr>
          </w:p>
          <w:p w14:paraId="643A2DBD" w14:textId="77777777" w:rsidR="00114F14" w:rsidRDefault="00114F14" w:rsidP="004A104C">
            <w:pPr>
              <w:rPr>
                <w:sz w:val="22"/>
                <w:szCs w:val="22"/>
              </w:rPr>
            </w:pPr>
          </w:p>
          <w:p w14:paraId="4F635B93" w14:textId="77777777" w:rsidR="00114F14" w:rsidRDefault="00114F14" w:rsidP="004A104C">
            <w:pPr>
              <w:rPr>
                <w:sz w:val="22"/>
                <w:szCs w:val="22"/>
              </w:rPr>
            </w:pPr>
          </w:p>
          <w:p w14:paraId="38A128F7" w14:textId="77777777" w:rsidR="00114F14" w:rsidRDefault="00114F14" w:rsidP="004A104C">
            <w:pPr>
              <w:rPr>
                <w:sz w:val="22"/>
                <w:szCs w:val="22"/>
              </w:rPr>
            </w:pPr>
          </w:p>
          <w:p w14:paraId="281C31E2" w14:textId="77777777" w:rsidR="00114F14" w:rsidRDefault="00114F14" w:rsidP="004A104C">
            <w:pPr>
              <w:rPr>
                <w:sz w:val="22"/>
                <w:szCs w:val="22"/>
              </w:rPr>
            </w:pPr>
          </w:p>
          <w:p w14:paraId="43D46F10" w14:textId="77777777" w:rsidR="00114F14" w:rsidRDefault="00114F14" w:rsidP="004A104C">
            <w:pPr>
              <w:rPr>
                <w:sz w:val="22"/>
                <w:szCs w:val="22"/>
              </w:rPr>
            </w:pPr>
          </w:p>
          <w:p w14:paraId="1E1AE792" w14:textId="77777777" w:rsidR="00114F14" w:rsidRDefault="00114F14" w:rsidP="004A104C">
            <w:pPr>
              <w:rPr>
                <w:sz w:val="22"/>
                <w:szCs w:val="22"/>
              </w:rPr>
            </w:pPr>
          </w:p>
          <w:p w14:paraId="75A56AD5" w14:textId="77777777" w:rsidR="00114F14" w:rsidRDefault="00114F14" w:rsidP="004A104C">
            <w:pPr>
              <w:rPr>
                <w:sz w:val="22"/>
                <w:szCs w:val="22"/>
              </w:rPr>
            </w:pPr>
          </w:p>
          <w:p w14:paraId="37597765" w14:textId="77777777" w:rsidR="00114F14" w:rsidRDefault="00114F14" w:rsidP="004A104C">
            <w:pPr>
              <w:rPr>
                <w:sz w:val="22"/>
                <w:szCs w:val="22"/>
              </w:rPr>
            </w:pPr>
          </w:p>
          <w:p w14:paraId="64D064F8" w14:textId="77777777" w:rsidR="00114F14" w:rsidRDefault="00114F14" w:rsidP="004A104C">
            <w:pPr>
              <w:rPr>
                <w:sz w:val="22"/>
                <w:szCs w:val="22"/>
              </w:rPr>
            </w:pPr>
          </w:p>
          <w:p w14:paraId="0645FD3E" w14:textId="77777777" w:rsidR="00114F14" w:rsidRDefault="00114F14" w:rsidP="004A104C">
            <w:pPr>
              <w:rPr>
                <w:sz w:val="22"/>
                <w:szCs w:val="22"/>
              </w:rPr>
            </w:pPr>
          </w:p>
          <w:p w14:paraId="102D4BAD" w14:textId="77777777" w:rsidR="00114F14" w:rsidRDefault="00114F14" w:rsidP="004A104C">
            <w:pPr>
              <w:rPr>
                <w:sz w:val="22"/>
                <w:szCs w:val="22"/>
              </w:rPr>
            </w:pPr>
          </w:p>
          <w:p w14:paraId="4F656714" w14:textId="77777777" w:rsidR="00114F14" w:rsidRDefault="00114F14" w:rsidP="004A104C">
            <w:pPr>
              <w:rPr>
                <w:sz w:val="22"/>
                <w:szCs w:val="22"/>
              </w:rPr>
            </w:pPr>
          </w:p>
          <w:p w14:paraId="584F7EDB" w14:textId="77777777" w:rsidR="00114F14" w:rsidRDefault="00114F14" w:rsidP="004A104C">
            <w:pPr>
              <w:rPr>
                <w:sz w:val="22"/>
                <w:szCs w:val="22"/>
              </w:rPr>
            </w:pPr>
          </w:p>
          <w:p w14:paraId="4D81D3B6" w14:textId="77777777" w:rsidR="00114F14" w:rsidRDefault="00114F14" w:rsidP="004A104C">
            <w:pPr>
              <w:rPr>
                <w:sz w:val="22"/>
                <w:szCs w:val="22"/>
              </w:rPr>
            </w:pPr>
          </w:p>
          <w:p w14:paraId="0FBDE38A" w14:textId="77777777" w:rsidR="00114F14" w:rsidRDefault="00114F14" w:rsidP="004A104C">
            <w:pPr>
              <w:rPr>
                <w:sz w:val="22"/>
                <w:szCs w:val="22"/>
              </w:rPr>
            </w:pPr>
          </w:p>
          <w:p w14:paraId="54DCE465" w14:textId="77777777" w:rsidR="00114F14" w:rsidRDefault="00114F14" w:rsidP="004A104C">
            <w:pPr>
              <w:rPr>
                <w:sz w:val="22"/>
                <w:szCs w:val="22"/>
              </w:rPr>
            </w:pPr>
          </w:p>
          <w:p w14:paraId="6DBBD6FA" w14:textId="77777777" w:rsidR="00114F14" w:rsidRDefault="00114F14" w:rsidP="004A104C">
            <w:pPr>
              <w:rPr>
                <w:sz w:val="22"/>
                <w:szCs w:val="22"/>
              </w:rPr>
            </w:pPr>
          </w:p>
          <w:p w14:paraId="74C60F8E" w14:textId="77777777" w:rsidR="00114F14" w:rsidRDefault="00114F14" w:rsidP="004A104C">
            <w:pPr>
              <w:rPr>
                <w:sz w:val="22"/>
                <w:szCs w:val="22"/>
              </w:rPr>
            </w:pPr>
          </w:p>
          <w:p w14:paraId="23736F19" w14:textId="77777777" w:rsidR="00114F14" w:rsidRDefault="00114F14" w:rsidP="004A104C">
            <w:pPr>
              <w:rPr>
                <w:sz w:val="22"/>
                <w:szCs w:val="22"/>
              </w:rPr>
            </w:pPr>
          </w:p>
          <w:p w14:paraId="455F99C9" w14:textId="77777777" w:rsidR="00114F14" w:rsidRDefault="00114F14" w:rsidP="004A104C">
            <w:pPr>
              <w:rPr>
                <w:sz w:val="22"/>
                <w:szCs w:val="22"/>
              </w:rPr>
            </w:pPr>
          </w:p>
          <w:p w14:paraId="1027A55F" w14:textId="77777777" w:rsidR="00114F14" w:rsidRDefault="00114F14" w:rsidP="004A104C">
            <w:pPr>
              <w:rPr>
                <w:sz w:val="22"/>
                <w:szCs w:val="22"/>
              </w:rPr>
            </w:pPr>
          </w:p>
          <w:p w14:paraId="00BDAEBA" w14:textId="77777777" w:rsidR="00114F14" w:rsidRDefault="00114F14" w:rsidP="004A104C">
            <w:pPr>
              <w:rPr>
                <w:sz w:val="22"/>
                <w:szCs w:val="22"/>
              </w:rPr>
            </w:pPr>
          </w:p>
          <w:p w14:paraId="6E5AEA88" w14:textId="77777777" w:rsidR="00114F14" w:rsidRDefault="00114F14" w:rsidP="004A104C">
            <w:pPr>
              <w:rPr>
                <w:sz w:val="22"/>
                <w:szCs w:val="22"/>
              </w:rPr>
            </w:pPr>
          </w:p>
          <w:p w14:paraId="42099956" w14:textId="77777777" w:rsidR="00114F14" w:rsidRDefault="00114F14" w:rsidP="004A104C">
            <w:pPr>
              <w:rPr>
                <w:sz w:val="22"/>
                <w:szCs w:val="22"/>
              </w:rPr>
            </w:pPr>
          </w:p>
          <w:p w14:paraId="5A777280" w14:textId="77777777" w:rsidR="00114F14" w:rsidRDefault="00114F14" w:rsidP="004A104C">
            <w:pPr>
              <w:rPr>
                <w:sz w:val="22"/>
                <w:szCs w:val="22"/>
              </w:rPr>
            </w:pPr>
          </w:p>
          <w:p w14:paraId="7D74930A" w14:textId="77777777" w:rsidR="00114F14" w:rsidRDefault="00114F14" w:rsidP="004A104C">
            <w:pPr>
              <w:rPr>
                <w:sz w:val="22"/>
                <w:szCs w:val="22"/>
              </w:rPr>
            </w:pPr>
          </w:p>
          <w:p w14:paraId="53709C0A" w14:textId="77777777" w:rsidR="00114F14" w:rsidRDefault="00114F14" w:rsidP="004A104C">
            <w:pPr>
              <w:rPr>
                <w:sz w:val="22"/>
                <w:szCs w:val="22"/>
              </w:rPr>
            </w:pPr>
          </w:p>
          <w:p w14:paraId="1B724103" w14:textId="77777777" w:rsidR="00114F14" w:rsidRDefault="00114F14" w:rsidP="004A104C">
            <w:pPr>
              <w:rPr>
                <w:sz w:val="22"/>
                <w:szCs w:val="22"/>
              </w:rPr>
            </w:pPr>
          </w:p>
          <w:p w14:paraId="4822A4A4" w14:textId="77777777" w:rsidR="00114F14" w:rsidRDefault="00114F14" w:rsidP="004A104C">
            <w:pPr>
              <w:rPr>
                <w:sz w:val="22"/>
                <w:szCs w:val="22"/>
              </w:rPr>
            </w:pPr>
          </w:p>
          <w:p w14:paraId="18863368" w14:textId="77777777" w:rsidR="00114F14" w:rsidRDefault="00114F14" w:rsidP="004A104C">
            <w:pPr>
              <w:rPr>
                <w:sz w:val="22"/>
                <w:szCs w:val="22"/>
              </w:rPr>
            </w:pPr>
          </w:p>
          <w:p w14:paraId="0C68A0EC" w14:textId="77777777" w:rsidR="00114F14" w:rsidRDefault="00114F14" w:rsidP="004A104C">
            <w:pPr>
              <w:rPr>
                <w:sz w:val="22"/>
                <w:szCs w:val="22"/>
              </w:rPr>
            </w:pPr>
          </w:p>
          <w:p w14:paraId="7D1F9636" w14:textId="77777777" w:rsidR="00114F14" w:rsidRDefault="00114F14" w:rsidP="004A104C">
            <w:pPr>
              <w:rPr>
                <w:sz w:val="22"/>
                <w:szCs w:val="22"/>
              </w:rPr>
            </w:pPr>
          </w:p>
          <w:p w14:paraId="0ECA1405" w14:textId="77777777" w:rsidR="00114F14" w:rsidRDefault="00114F14" w:rsidP="004A104C">
            <w:pPr>
              <w:rPr>
                <w:sz w:val="22"/>
                <w:szCs w:val="22"/>
              </w:rPr>
            </w:pPr>
          </w:p>
          <w:p w14:paraId="27C266B0" w14:textId="77777777" w:rsidR="00114F14" w:rsidRDefault="00114F14" w:rsidP="004A104C">
            <w:pPr>
              <w:rPr>
                <w:sz w:val="22"/>
                <w:szCs w:val="22"/>
              </w:rPr>
            </w:pPr>
          </w:p>
          <w:p w14:paraId="1DD11D02" w14:textId="77777777" w:rsidR="00114F14" w:rsidRDefault="00114F14" w:rsidP="004A104C">
            <w:pPr>
              <w:rPr>
                <w:sz w:val="22"/>
                <w:szCs w:val="22"/>
              </w:rPr>
            </w:pPr>
          </w:p>
          <w:p w14:paraId="4CB9924D" w14:textId="77777777" w:rsidR="00114F14" w:rsidRDefault="00114F14" w:rsidP="004A104C">
            <w:pPr>
              <w:rPr>
                <w:sz w:val="22"/>
                <w:szCs w:val="22"/>
              </w:rPr>
            </w:pPr>
          </w:p>
          <w:p w14:paraId="4003818B" w14:textId="77777777" w:rsidR="00114F14" w:rsidRDefault="00114F14" w:rsidP="004A104C">
            <w:pPr>
              <w:rPr>
                <w:sz w:val="22"/>
                <w:szCs w:val="22"/>
              </w:rPr>
            </w:pPr>
          </w:p>
          <w:p w14:paraId="0D02011C" w14:textId="77777777" w:rsidR="00114F14" w:rsidRDefault="00114F14" w:rsidP="004A104C">
            <w:pPr>
              <w:rPr>
                <w:sz w:val="22"/>
                <w:szCs w:val="22"/>
              </w:rPr>
            </w:pPr>
          </w:p>
          <w:p w14:paraId="62462F99" w14:textId="77777777" w:rsidR="00114F14" w:rsidRDefault="00114F14" w:rsidP="004A104C">
            <w:pPr>
              <w:rPr>
                <w:sz w:val="22"/>
                <w:szCs w:val="22"/>
              </w:rPr>
            </w:pPr>
          </w:p>
          <w:p w14:paraId="516E732A" w14:textId="77777777" w:rsidR="00114F14" w:rsidRDefault="00114F14" w:rsidP="004A104C">
            <w:pPr>
              <w:rPr>
                <w:sz w:val="22"/>
                <w:szCs w:val="22"/>
              </w:rPr>
            </w:pPr>
          </w:p>
          <w:p w14:paraId="114D3F4F" w14:textId="77777777" w:rsidR="00114F14" w:rsidRDefault="00114F14" w:rsidP="004A104C">
            <w:pPr>
              <w:rPr>
                <w:sz w:val="22"/>
                <w:szCs w:val="22"/>
              </w:rPr>
            </w:pPr>
          </w:p>
          <w:p w14:paraId="3494F52D" w14:textId="77777777" w:rsidR="00114F14" w:rsidRDefault="00114F14" w:rsidP="004A104C">
            <w:pPr>
              <w:rPr>
                <w:sz w:val="22"/>
                <w:szCs w:val="22"/>
              </w:rPr>
            </w:pPr>
          </w:p>
          <w:p w14:paraId="6716126B" w14:textId="77777777" w:rsidR="00114F14" w:rsidRDefault="00114F14" w:rsidP="004A104C">
            <w:pPr>
              <w:rPr>
                <w:sz w:val="22"/>
                <w:szCs w:val="22"/>
              </w:rPr>
            </w:pPr>
          </w:p>
          <w:p w14:paraId="69518275" w14:textId="77777777" w:rsidR="00114F14" w:rsidRDefault="00114F14" w:rsidP="004A104C">
            <w:pPr>
              <w:rPr>
                <w:sz w:val="22"/>
                <w:szCs w:val="22"/>
              </w:rPr>
            </w:pPr>
          </w:p>
          <w:p w14:paraId="57128653" w14:textId="77777777" w:rsidR="00114F14" w:rsidRDefault="00114F14" w:rsidP="004A104C">
            <w:pPr>
              <w:rPr>
                <w:sz w:val="22"/>
                <w:szCs w:val="22"/>
              </w:rPr>
            </w:pPr>
          </w:p>
          <w:p w14:paraId="3AA006B4" w14:textId="77777777" w:rsidR="00114F14" w:rsidRDefault="00114F14" w:rsidP="004A104C">
            <w:pPr>
              <w:rPr>
                <w:sz w:val="22"/>
                <w:szCs w:val="22"/>
              </w:rPr>
            </w:pPr>
          </w:p>
          <w:p w14:paraId="0529262F" w14:textId="77777777" w:rsidR="00114F14" w:rsidRDefault="00114F14" w:rsidP="004A104C">
            <w:pPr>
              <w:rPr>
                <w:sz w:val="22"/>
                <w:szCs w:val="22"/>
              </w:rPr>
            </w:pPr>
          </w:p>
          <w:p w14:paraId="25BCA778" w14:textId="77777777" w:rsidR="00114F14" w:rsidRDefault="00114F14" w:rsidP="004A104C">
            <w:pPr>
              <w:rPr>
                <w:sz w:val="22"/>
                <w:szCs w:val="22"/>
              </w:rPr>
            </w:pPr>
          </w:p>
          <w:p w14:paraId="06E39BD5" w14:textId="77777777" w:rsidR="00114F14" w:rsidRDefault="00114F14" w:rsidP="004A104C">
            <w:pPr>
              <w:rPr>
                <w:sz w:val="22"/>
                <w:szCs w:val="22"/>
              </w:rPr>
            </w:pPr>
          </w:p>
          <w:p w14:paraId="3167F751" w14:textId="77777777" w:rsidR="00114F14" w:rsidRDefault="00114F14" w:rsidP="004A104C">
            <w:pPr>
              <w:rPr>
                <w:sz w:val="22"/>
                <w:szCs w:val="22"/>
              </w:rPr>
            </w:pPr>
          </w:p>
          <w:p w14:paraId="7D2AE094" w14:textId="77777777" w:rsidR="00114F14" w:rsidRDefault="00114F14" w:rsidP="004A104C">
            <w:pPr>
              <w:rPr>
                <w:sz w:val="22"/>
                <w:szCs w:val="22"/>
              </w:rPr>
            </w:pPr>
          </w:p>
          <w:p w14:paraId="3E8BAB03" w14:textId="77777777" w:rsidR="00114F14" w:rsidRDefault="00114F14" w:rsidP="004A104C">
            <w:pPr>
              <w:rPr>
                <w:sz w:val="22"/>
                <w:szCs w:val="22"/>
              </w:rPr>
            </w:pPr>
          </w:p>
          <w:p w14:paraId="3640DA9E" w14:textId="77777777" w:rsidR="00114F14" w:rsidRDefault="00114F14" w:rsidP="004A104C">
            <w:pPr>
              <w:rPr>
                <w:sz w:val="22"/>
                <w:szCs w:val="22"/>
              </w:rPr>
            </w:pPr>
          </w:p>
          <w:p w14:paraId="00B88810" w14:textId="77777777" w:rsidR="00114F14" w:rsidRDefault="00114F14" w:rsidP="004A104C">
            <w:pPr>
              <w:rPr>
                <w:sz w:val="22"/>
                <w:szCs w:val="22"/>
              </w:rPr>
            </w:pPr>
          </w:p>
          <w:p w14:paraId="741BB3F7" w14:textId="77777777" w:rsidR="00114F14" w:rsidRDefault="00114F14" w:rsidP="004A104C">
            <w:pPr>
              <w:rPr>
                <w:sz w:val="22"/>
                <w:szCs w:val="22"/>
              </w:rPr>
            </w:pPr>
          </w:p>
          <w:p w14:paraId="10D9F9FD" w14:textId="77777777" w:rsidR="00114F14" w:rsidRDefault="00114F14" w:rsidP="004A104C">
            <w:pPr>
              <w:rPr>
                <w:sz w:val="22"/>
                <w:szCs w:val="22"/>
              </w:rPr>
            </w:pPr>
          </w:p>
          <w:p w14:paraId="6F364C97" w14:textId="77777777" w:rsidR="00114F14" w:rsidRDefault="00114F14" w:rsidP="004A104C">
            <w:pPr>
              <w:rPr>
                <w:sz w:val="22"/>
                <w:szCs w:val="22"/>
              </w:rPr>
            </w:pPr>
          </w:p>
          <w:p w14:paraId="5B7C2771" w14:textId="77777777" w:rsidR="00114F14" w:rsidRDefault="00114F14" w:rsidP="004A104C">
            <w:pPr>
              <w:rPr>
                <w:sz w:val="22"/>
                <w:szCs w:val="22"/>
              </w:rPr>
            </w:pPr>
          </w:p>
          <w:p w14:paraId="7743E001" w14:textId="77777777" w:rsidR="00114F14" w:rsidRDefault="00114F14" w:rsidP="004A104C">
            <w:pPr>
              <w:rPr>
                <w:sz w:val="22"/>
                <w:szCs w:val="22"/>
              </w:rPr>
            </w:pPr>
          </w:p>
          <w:p w14:paraId="43B99487" w14:textId="77777777" w:rsidR="00114F14" w:rsidRDefault="00114F14" w:rsidP="004A104C">
            <w:pPr>
              <w:rPr>
                <w:sz w:val="22"/>
                <w:szCs w:val="22"/>
              </w:rPr>
            </w:pPr>
          </w:p>
          <w:p w14:paraId="7B07548E" w14:textId="77777777" w:rsidR="00114F14" w:rsidRDefault="00114F14" w:rsidP="004A104C">
            <w:pPr>
              <w:rPr>
                <w:sz w:val="22"/>
                <w:szCs w:val="22"/>
              </w:rPr>
            </w:pPr>
          </w:p>
          <w:p w14:paraId="3C74C48B" w14:textId="77777777" w:rsidR="00114F14" w:rsidRDefault="00114F14" w:rsidP="004A104C">
            <w:pPr>
              <w:rPr>
                <w:sz w:val="22"/>
                <w:szCs w:val="22"/>
              </w:rPr>
            </w:pPr>
          </w:p>
          <w:p w14:paraId="5C050C03" w14:textId="77777777" w:rsidR="00114F14" w:rsidRDefault="00114F14" w:rsidP="004A104C">
            <w:pPr>
              <w:rPr>
                <w:sz w:val="22"/>
                <w:szCs w:val="22"/>
              </w:rPr>
            </w:pPr>
          </w:p>
          <w:p w14:paraId="570859A8" w14:textId="77777777" w:rsidR="00114F14" w:rsidRDefault="00114F14" w:rsidP="004A104C">
            <w:pPr>
              <w:rPr>
                <w:sz w:val="22"/>
                <w:szCs w:val="22"/>
              </w:rPr>
            </w:pPr>
          </w:p>
          <w:p w14:paraId="04CBD8AD" w14:textId="77777777" w:rsidR="00114F14" w:rsidRDefault="00114F14" w:rsidP="004A104C">
            <w:pPr>
              <w:rPr>
                <w:sz w:val="22"/>
                <w:szCs w:val="22"/>
              </w:rPr>
            </w:pPr>
          </w:p>
          <w:p w14:paraId="1F8B2CA3" w14:textId="77777777" w:rsidR="00114F14" w:rsidRDefault="00114F14" w:rsidP="004A104C">
            <w:pPr>
              <w:rPr>
                <w:sz w:val="22"/>
                <w:szCs w:val="22"/>
              </w:rPr>
            </w:pPr>
          </w:p>
          <w:p w14:paraId="525381E7" w14:textId="77777777" w:rsidR="00114F14" w:rsidRDefault="00114F14" w:rsidP="004A104C">
            <w:pPr>
              <w:rPr>
                <w:sz w:val="22"/>
                <w:szCs w:val="22"/>
              </w:rPr>
            </w:pPr>
          </w:p>
          <w:p w14:paraId="116C164E" w14:textId="77777777" w:rsidR="00114F14" w:rsidRDefault="00114F14" w:rsidP="004A104C">
            <w:pPr>
              <w:rPr>
                <w:sz w:val="22"/>
                <w:szCs w:val="22"/>
              </w:rPr>
            </w:pPr>
          </w:p>
          <w:p w14:paraId="76C6AF5E" w14:textId="77777777" w:rsidR="00114F14" w:rsidRDefault="00114F14" w:rsidP="004A104C">
            <w:pPr>
              <w:rPr>
                <w:sz w:val="22"/>
                <w:szCs w:val="22"/>
              </w:rPr>
            </w:pPr>
          </w:p>
          <w:p w14:paraId="7B39B582" w14:textId="77777777" w:rsidR="00114F14" w:rsidRDefault="00114F14" w:rsidP="004A104C">
            <w:pPr>
              <w:rPr>
                <w:sz w:val="22"/>
                <w:szCs w:val="22"/>
              </w:rPr>
            </w:pPr>
          </w:p>
          <w:p w14:paraId="2D784128" w14:textId="77777777" w:rsidR="00114F14" w:rsidRDefault="00114F14" w:rsidP="004A104C">
            <w:pPr>
              <w:rPr>
                <w:sz w:val="22"/>
                <w:szCs w:val="22"/>
              </w:rPr>
            </w:pPr>
          </w:p>
          <w:p w14:paraId="346931D8" w14:textId="77777777" w:rsidR="00114F14" w:rsidRDefault="00114F14" w:rsidP="004A104C">
            <w:pPr>
              <w:rPr>
                <w:sz w:val="22"/>
                <w:szCs w:val="22"/>
              </w:rPr>
            </w:pPr>
          </w:p>
          <w:p w14:paraId="0E5887DC" w14:textId="77777777" w:rsidR="00114F14" w:rsidRDefault="00114F14" w:rsidP="004A104C">
            <w:pPr>
              <w:rPr>
                <w:sz w:val="22"/>
                <w:szCs w:val="22"/>
              </w:rPr>
            </w:pPr>
          </w:p>
          <w:p w14:paraId="1A5EF770" w14:textId="77777777" w:rsidR="00114F14" w:rsidRDefault="00114F14" w:rsidP="004A104C">
            <w:pPr>
              <w:rPr>
                <w:sz w:val="22"/>
                <w:szCs w:val="22"/>
              </w:rPr>
            </w:pPr>
          </w:p>
          <w:p w14:paraId="6E9D9D9E" w14:textId="77777777" w:rsidR="00114F14" w:rsidRDefault="00114F14" w:rsidP="004A104C">
            <w:pPr>
              <w:rPr>
                <w:sz w:val="22"/>
                <w:szCs w:val="22"/>
              </w:rPr>
            </w:pPr>
          </w:p>
          <w:p w14:paraId="412A5693" w14:textId="77777777" w:rsidR="00114F14" w:rsidRDefault="00114F14" w:rsidP="004A104C">
            <w:pPr>
              <w:rPr>
                <w:sz w:val="22"/>
                <w:szCs w:val="22"/>
              </w:rPr>
            </w:pPr>
          </w:p>
          <w:p w14:paraId="390BC8E5" w14:textId="77777777" w:rsidR="00114F14" w:rsidRDefault="00114F14" w:rsidP="004A104C">
            <w:pPr>
              <w:rPr>
                <w:sz w:val="22"/>
                <w:szCs w:val="22"/>
              </w:rPr>
            </w:pPr>
          </w:p>
          <w:p w14:paraId="30BCC89B" w14:textId="77777777" w:rsidR="00114F14" w:rsidRDefault="00114F14" w:rsidP="004A104C">
            <w:pPr>
              <w:rPr>
                <w:sz w:val="22"/>
                <w:szCs w:val="22"/>
              </w:rPr>
            </w:pPr>
          </w:p>
          <w:p w14:paraId="2B40CF6C" w14:textId="77777777" w:rsidR="00114F14" w:rsidRDefault="00114F14" w:rsidP="004A104C">
            <w:pPr>
              <w:rPr>
                <w:sz w:val="22"/>
                <w:szCs w:val="22"/>
              </w:rPr>
            </w:pPr>
          </w:p>
          <w:p w14:paraId="00E73643" w14:textId="77777777" w:rsidR="00114F14" w:rsidRDefault="00114F14" w:rsidP="004A104C">
            <w:pPr>
              <w:rPr>
                <w:sz w:val="22"/>
                <w:szCs w:val="22"/>
              </w:rPr>
            </w:pPr>
          </w:p>
          <w:p w14:paraId="06AA5E2B" w14:textId="77777777" w:rsidR="00114F14" w:rsidRDefault="00114F14" w:rsidP="004A104C">
            <w:pPr>
              <w:rPr>
                <w:sz w:val="22"/>
                <w:szCs w:val="22"/>
              </w:rPr>
            </w:pPr>
          </w:p>
          <w:p w14:paraId="6F7B9AEE" w14:textId="77777777" w:rsidR="00114F14" w:rsidRDefault="00114F14" w:rsidP="004A104C">
            <w:pPr>
              <w:rPr>
                <w:sz w:val="22"/>
                <w:szCs w:val="22"/>
              </w:rPr>
            </w:pPr>
          </w:p>
          <w:p w14:paraId="620AABE2" w14:textId="77777777" w:rsidR="00114F14" w:rsidRDefault="00114F14" w:rsidP="004A104C">
            <w:pPr>
              <w:rPr>
                <w:sz w:val="22"/>
                <w:szCs w:val="22"/>
              </w:rPr>
            </w:pPr>
          </w:p>
          <w:p w14:paraId="5B349EBD" w14:textId="77777777" w:rsidR="00114F14" w:rsidRDefault="00114F14" w:rsidP="004A104C">
            <w:pPr>
              <w:rPr>
                <w:sz w:val="22"/>
                <w:szCs w:val="22"/>
              </w:rPr>
            </w:pPr>
          </w:p>
          <w:p w14:paraId="6C53CD04" w14:textId="77777777" w:rsidR="00114F14" w:rsidRDefault="00114F14" w:rsidP="004A104C">
            <w:pPr>
              <w:rPr>
                <w:sz w:val="22"/>
                <w:szCs w:val="22"/>
              </w:rPr>
            </w:pPr>
          </w:p>
          <w:p w14:paraId="4F3733B7" w14:textId="77777777" w:rsidR="00114F14" w:rsidRDefault="00114F14" w:rsidP="004A104C">
            <w:pPr>
              <w:rPr>
                <w:sz w:val="22"/>
                <w:szCs w:val="22"/>
              </w:rPr>
            </w:pPr>
          </w:p>
          <w:p w14:paraId="72283F73" w14:textId="77777777" w:rsidR="00114F14" w:rsidRDefault="00114F14" w:rsidP="004A104C">
            <w:pPr>
              <w:rPr>
                <w:sz w:val="22"/>
                <w:szCs w:val="22"/>
              </w:rPr>
            </w:pPr>
          </w:p>
          <w:p w14:paraId="4BBBACF7" w14:textId="77777777" w:rsidR="00114F14" w:rsidRDefault="00114F14" w:rsidP="004A104C">
            <w:pPr>
              <w:rPr>
                <w:sz w:val="22"/>
                <w:szCs w:val="22"/>
              </w:rPr>
            </w:pPr>
          </w:p>
          <w:p w14:paraId="3DE50ADF" w14:textId="77777777" w:rsidR="00114F14" w:rsidRDefault="00114F14" w:rsidP="004A104C">
            <w:pPr>
              <w:rPr>
                <w:sz w:val="22"/>
                <w:szCs w:val="22"/>
              </w:rPr>
            </w:pPr>
          </w:p>
          <w:p w14:paraId="007EC88B" w14:textId="77777777" w:rsidR="00114F14" w:rsidRDefault="00114F14" w:rsidP="004A104C">
            <w:pPr>
              <w:rPr>
                <w:sz w:val="22"/>
                <w:szCs w:val="22"/>
              </w:rPr>
            </w:pPr>
          </w:p>
          <w:p w14:paraId="25EDB183" w14:textId="77777777" w:rsidR="00114F14" w:rsidRDefault="00114F14" w:rsidP="004A104C">
            <w:pPr>
              <w:rPr>
                <w:sz w:val="22"/>
                <w:szCs w:val="22"/>
              </w:rPr>
            </w:pPr>
          </w:p>
          <w:p w14:paraId="1655B54B" w14:textId="77777777" w:rsidR="00114F14" w:rsidRDefault="00114F14" w:rsidP="004A104C">
            <w:pPr>
              <w:rPr>
                <w:sz w:val="22"/>
                <w:szCs w:val="22"/>
              </w:rPr>
            </w:pPr>
          </w:p>
          <w:p w14:paraId="5BD2A307" w14:textId="77777777" w:rsidR="00114F14" w:rsidRDefault="00114F14" w:rsidP="004A104C">
            <w:pPr>
              <w:rPr>
                <w:sz w:val="22"/>
                <w:szCs w:val="22"/>
              </w:rPr>
            </w:pPr>
          </w:p>
          <w:p w14:paraId="39AB6BC1" w14:textId="77777777" w:rsidR="00114F14" w:rsidRDefault="00114F14" w:rsidP="004A104C">
            <w:pPr>
              <w:rPr>
                <w:sz w:val="22"/>
                <w:szCs w:val="22"/>
              </w:rPr>
            </w:pPr>
          </w:p>
          <w:p w14:paraId="551B4E5E" w14:textId="77777777" w:rsidR="00114F14" w:rsidRDefault="00114F14" w:rsidP="004A104C">
            <w:pPr>
              <w:rPr>
                <w:sz w:val="22"/>
                <w:szCs w:val="22"/>
              </w:rPr>
            </w:pPr>
          </w:p>
          <w:p w14:paraId="204DDD0A" w14:textId="77777777" w:rsidR="00114F14" w:rsidRDefault="00114F14" w:rsidP="004A104C">
            <w:pPr>
              <w:rPr>
                <w:sz w:val="22"/>
                <w:szCs w:val="22"/>
              </w:rPr>
            </w:pPr>
          </w:p>
          <w:p w14:paraId="4A6FA94E" w14:textId="77777777" w:rsidR="00114F14" w:rsidRDefault="00114F14" w:rsidP="004A104C">
            <w:pPr>
              <w:rPr>
                <w:sz w:val="22"/>
                <w:szCs w:val="22"/>
              </w:rPr>
            </w:pPr>
          </w:p>
          <w:p w14:paraId="0FC7E493" w14:textId="77777777" w:rsidR="00114F14" w:rsidRDefault="00114F14" w:rsidP="004A104C">
            <w:pPr>
              <w:rPr>
                <w:sz w:val="22"/>
                <w:szCs w:val="22"/>
              </w:rPr>
            </w:pPr>
          </w:p>
          <w:p w14:paraId="33464D0C" w14:textId="77777777" w:rsidR="00114F14" w:rsidRDefault="00114F14" w:rsidP="004A104C">
            <w:pPr>
              <w:rPr>
                <w:sz w:val="22"/>
                <w:szCs w:val="22"/>
              </w:rPr>
            </w:pPr>
          </w:p>
          <w:p w14:paraId="368F61CB" w14:textId="77777777" w:rsidR="00114F14" w:rsidRDefault="00114F14" w:rsidP="004A104C">
            <w:pPr>
              <w:rPr>
                <w:sz w:val="22"/>
                <w:szCs w:val="22"/>
              </w:rPr>
            </w:pPr>
          </w:p>
          <w:p w14:paraId="729D9073" w14:textId="77777777" w:rsidR="00114F14" w:rsidRDefault="00114F14" w:rsidP="004A104C">
            <w:pPr>
              <w:rPr>
                <w:sz w:val="22"/>
                <w:szCs w:val="22"/>
              </w:rPr>
            </w:pPr>
          </w:p>
          <w:p w14:paraId="339F8660" w14:textId="77777777" w:rsidR="00114F14" w:rsidRDefault="00114F14" w:rsidP="004A104C">
            <w:pPr>
              <w:rPr>
                <w:sz w:val="22"/>
                <w:szCs w:val="22"/>
              </w:rPr>
            </w:pPr>
          </w:p>
          <w:p w14:paraId="47375F3F" w14:textId="77777777" w:rsidR="00114F14" w:rsidRDefault="00114F14" w:rsidP="004A104C">
            <w:pPr>
              <w:rPr>
                <w:sz w:val="22"/>
                <w:szCs w:val="22"/>
              </w:rPr>
            </w:pPr>
          </w:p>
          <w:p w14:paraId="6F35FA97" w14:textId="77777777" w:rsidR="00114F14" w:rsidRDefault="00114F14" w:rsidP="004A104C">
            <w:pPr>
              <w:rPr>
                <w:sz w:val="22"/>
                <w:szCs w:val="22"/>
              </w:rPr>
            </w:pPr>
          </w:p>
          <w:p w14:paraId="71CB78EA" w14:textId="77777777" w:rsidR="00114F14" w:rsidRDefault="00114F14" w:rsidP="004A104C">
            <w:pPr>
              <w:rPr>
                <w:sz w:val="22"/>
                <w:szCs w:val="22"/>
              </w:rPr>
            </w:pPr>
          </w:p>
          <w:p w14:paraId="35C675D0" w14:textId="77777777" w:rsidR="00114F14" w:rsidRDefault="00114F14" w:rsidP="004A104C">
            <w:pPr>
              <w:rPr>
                <w:sz w:val="22"/>
                <w:szCs w:val="22"/>
              </w:rPr>
            </w:pPr>
          </w:p>
          <w:p w14:paraId="0805B1E2" w14:textId="77777777" w:rsidR="00114F14" w:rsidRDefault="00114F14" w:rsidP="004A104C">
            <w:pPr>
              <w:rPr>
                <w:sz w:val="22"/>
                <w:szCs w:val="22"/>
              </w:rPr>
            </w:pPr>
          </w:p>
          <w:p w14:paraId="730F0D11" w14:textId="77777777" w:rsidR="00114F14" w:rsidRDefault="00114F14" w:rsidP="004A104C">
            <w:pPr>
              <w:rPr>
                <w:sz w:val="22"/>
                <w:szCs w:val="22"/>
              </w:rPr>
            </w:pPr>
          </w:p>
          <w:p w14:paraId="6113B8AD" w14:textId="77777777" w:rsidR="00114F14" w:rsidRDefault="00114F14" w:rsidP="004A104C">
            <w:pPr>
              <w:rPr>
                <w:sz w:val="22"/>
                <w:szCs w:val="22"/>
              </w:rPr>
            </w:pPr>
          </w:p>
          <w:p w14:paraId="4B531C52" w14:textId="77777777" w:rsidR="00114F14" w:rsidRDefault="00114F14" w:rsidP="004A104C">
            <w:pPr>
              <w:rPr>
                <w:sz w:val="22"/>
                <w:szCs w:val="22"/>
              </w:rPr>
            </w:pPr>
          </w:p>
          <w:p w14:paraId="143FEFD3" w14:textId="77777777" w:rsidR="00114F14" w:rsidRDefault="00114F14" w:rsidP="004A104C">
            <w:pPr>
              <w:rPr>
                <w:sz w:val="22"/>
                <w:szCs w:val="22"/>
              </w:rPr>
            </w:pPr>
          </w:p>
          <w:p w14:paraId="7A814333" w14:textId="77777777" w:rsidR="00114F14" w:rsidRDefault="00114F14" w:rsidP="004A104C">
            <w:pPr>
              <w:rPr>
                <w:sz w:val="22"/>
                <w:szCs w:val="22"/>
              </w:rPr>
            </w:pPr>
          </w:p>
          <w:p w14:paraId="1A03E891" w14:textId="77777777" w:rsidR="00114F14" w:rsidRDefault="00114F14" w:rsidP="004A104C">
            <w:pPr>
              <w:rPr>
                <w:sz w:val="22"/>
                <w:szCs w:val="22"/>
              </w:rPr>
            </w:pPr>
          </w:p>
          <w:p w14:paraId="7C109304" w14:textId="77777777" w:rsidR="00114F14" w:rsidRDefault="00114F14" w:rsidP="004A104C">
            <w:pPr>
              <w:rPr>
                <w:sz w:val="22"/>
                <w:szCs w:val="22"/>
              </w:rPr>
            </w:pPr>
          </w:p>
          <w:p w14:paraId="4493B328" w14:textId="77777777" w:rsidR="00114F14" w:rsidRDefault="00114F14" w:rsidP="004A104C">
            <w:pPr>
              <w:rPr>
                <w:sz w:val="22"/>
                <w:szCs w:val="22"/>
              </w:rPr>
            </w:pPr>
          </w:p>
          <w:p w14:paraId="2E6122D4" w14:textId="77777777" w:rsidR="00114F14" w:rsidRDefault="00114F14" w:rsidP="004A104C">
            <w:pPr>
              <w:rPr>
                <w:sz w:val="22"/>
                <w:szCs w:val="22"/>
              </w:rPr>
            </w:pPr>
          </w:p>
          <w:p w14:paraId="189676D6" w14:textId="77777777" w:rsidR="00114F14" w:rsidRDefault="00114F14" w:rsidP="004A104C">
            <w:pPr>
              <w:rPr>
                <w:sz w:val="22"/>
                <w:szCs w:val="22"/>
              </w:rPr>
            </w:pPr>
          </w:p>
          <w:p w14:paraId="0EC5D6C6" w14:textId="77777777" w:rsidR="00114F14" w:rsidRDefault="00114F14" w:rsidP="004A104C">
            <w:pPr>
              <w:rPr>
                <w:sz w:val="22"/>
                <w:szCs w:val="22"/>
              </w:rPr>
            </w:pPr>
          </w:p>
          <w:p w14:paraId="18DF0E93" w14:textId="77777777" w:rsidR="00114F14" w:rsidRDefault="00114F14" w:rsidP="004A104C">
            <w:pPr>
              <w:rPr>
                <w:sz w:val="22"/>
                <w:szCs w:val="22"/>
              </w:rPr>
            </w:pPr>
          </w:p>
          <w:p w14:paraId="43FA23C2" w14:textId="77777777" w:rsidR="00114F14" w:rsidRDefault="00114F14" w:rsidP="004A104C">
            <w:pPr>
              <w:rPr>
                <w:sz w:val="22"/>
                <w:szCs w:val="22"/>
              </w:rPr>
            </w:pPr>
          </w:p>
          <w:p w14:paraId="583107C6" w14:textId="77777777" w:rsidR="00114F14" w:rsidRDefault="00114F14" w:rsidP="004A104C">
            <w:pPr>
              <w:rPr>
                <w:sz w:val="22"/>
                <w:szCs w:val="22"/>
              </w:rPr>
            </w:pPr>
          </w:p>
          <w:p w14:paraId="72E1A8CA" w14:textId="77777777" w:rsidR="00114F14" w:rsidRDefault="00114F14" w:rsidP="004A104C">
            <w:pPr>
              <w:rPr>
                <w:sz w:val="22"/>
                <w:szCs w:val="22"/>
              </w:rPr>
            </w:pPr>
          </w:p>
          <w:p w14:paraId="062C74D6" w14:textId="77777777" w:rsidR="00114F14" w:rsidRDefault="00114F14" w:rsidP="004A104C">
            <w:pPr>
              <w:rPr>
                <w:sz w:val="22"/>
                <w:szCs w:val="22"/>
              </w:rPr>
            </w:pPr>
          </w:p>
          <w:p w14:paraId="546A0ECD" w14:textId="77777777" w:rsidR="00114F14" w:rsidRDefault="00114F14" w:rsidP="004A104C">
            <w:pPr>
              <w:rPr>
                <w:sz w:val="22"/>
                <w:szCs w:val="22"/>
              </w:rPr>
            </w:pPr>
          </w:p>
          <w:p w14:paraId="79A67A8A" w14:textId="77777777" w:rsidR="00114F14" w:rsidRDefault="00114F14" w:rsidP="004A104C">
            <w:pPr>
              <w:rPr>
                <w:sz w:val="22"/>
                <w:szCs w:val="22"/>
              </w:rPr>
            </w:pPr>
          </w:p>
          <w:p w14:paraId="65795170" w14:textId="77777777" w:rsidR="00114F14" w:rsidRDefault="00114F14" w:rsidP="004A104C">
            <w:pPr>
              <w:rPr>
                <w:sz w:val="22"/>
                <w:szCs w:val="22"/>
              </w:rPr>
            </w:pPr>
          </w:p>
          <w:p w14:paraId="0B9C0192" w14:textId="77777777" w:rsidR="00114F14" w:rsidRDefault="00114F14" w:rsidP="004A104C">
            <w:pPr>
              <w:rPr>
                <w:sz w:val="22"/>
                <w:szCs w:val="22"/>
              </w:rPr>
            </w:pPr>
          </w:p>
          <w:p w14:paraId="1F97C102" w14:textId="77777777" w:rsidR="00114F14" w:rsidRDefault="00114F14" w:rsidP="004A104C">
            <w:pPr>
              <w:rPr>
                <w:sz w:val="22"/>
                <w:szCs w:val="22"/>
              </w:rPr>
            </w:pPr>
          </w:p>
          <w:p w14:paraId="38A6E98E" w14:textId="77777777" w:rsidR="00114F14" w:rsidRDefault="00114F14" w:rsidP="004A104C">
            <w:pPr>
              <w:rPr>
                <w:sz w:val="22"/>
                <w:szCs w:val="22"/>
              </w:rPr>
            </w:pPr>
          </w:p>
          <w:p w14:paraId="144FCBB4" w14:textId="77777777" w:rsidR="00114F14" w:rsidRDefault="00114F14" w:rsidP="004A104C">
            <w:pPr>
              <w:rPr>
                <w:sz w:val="22"/>
                <w:szCs w:val="22"/>
              </w:rPr>
            </w:pPr>
          </w:p>
          <w:p w14:paraId="2CDE72BC" w14:textId="77777777" w:rsidR="00114F14" w:rsidRDefault="00114F14" w:rsidP="004A104C">
            <w:pPr>
              <w:rPr>
                <w:sz w:val="22"/>
                <w:szCs w:val="22"/>
              </w:rPr>
            </w:pPr>
          </w:p>
          <w:p w14:paraId="11C30AFF" w14:textId="77777777" w:rsidR="00114F14" w:rsidRDefault="00114F14" w:rsidP="004A104C">
            <w:pPr>
              <w:rPr>
                <w:sz w:val="22"/>
                <w:szCs w:val="22"/>
              </w:rPr>
            </w:pPr>
          </w:p>
          <w:p w14:paraId="70A613A7" w14:textId="77777777" w:rsidR="00114F14" w:rsidRDefault="00114F14" w:rsidP="004A104C">
            <w:pPr>
              <w:rPr>
                <w:sz w:val="22"/>
                <w:szCs w:val="22"/>
              </w:rPr>
            </w:pPr>
          </w:p>
          <w:p w14:paraId="593A2215" w14:textId="77777777" w:rsidR="00114F14" w:rsidRDefault="00114F14" w:rsidP="004A104C">
            <w:pPr>
              <w:rPr>
                <w:sz w:val="22"/>
                <w:szCs w:val="22"/>
              </w:rPr>
            </w:pPr>
          </w:p>
          <w:p w14:paraId="2733C605" w14:textId="77777777" w:rsidR="00114F14" w:rsidRDefault="00114F14" w:rsidP="004A104C">
            <w:pPr>
              <w:rPr>
                <w:sz w:val="22"/>
                <w:szCs w:val="22"/>
              </w:rPr>
            </w:pPr>
          </w:p>
          <w:p w14:paraId="2979A511" w14:textId="77777777" w:rsidR="00114F14" w:rsidRDefault="00114F14" w:rsidP="004A104C">
            <w:pPr>
              <w:rPr>
                <w:sz w:val="22"/>
                <w:szCs w:val="22"/>
              </w:rPr>
            </w:pPr>
          </w:p>
          <w:p w14:paraId="2F0F54D0" w14:textId="77777777" w:rsidR="00114F14" w:rsidRDefault="00114F14" w:rsidP="004A104C">
            <w:pPr>
              <w:rPr>
                <w:sz w:val="22"/>
                <w:szCs w:val="22"/>
              </w:rPr>
            </w:pPr>
          </w:p>
          <w:p w14:paraId="718EF57A" w14:textId="77777777" w:rsidR="00114F14" w:rsidRDefault="00114F14" w:rsidP="004A104C">
            <w:pPr>
              <w:rPr>
                <w:sz w:val="22"/>
                <w:szCs w:val="22"/>
              </w:rPr>
            </w:pPr>
          </w:p>
          <w:p w14:paraId="17FFFA6E" w14:textId="77777777" w:rsidR="00114F14" w:rsidRDefault="00114F14" w:rsidP="004A104C">
            <w:pPr>
              <w:rPr>
                <w:sz w:val="22"/>
                <w:szCs w:val="22"/>
              </w:rPr>
            </w:pPr>
          </w:p>
          <w:p w14:paraId="26DF6D97" w14:textId="77777777" w:rsidR="00114F14" w:rsidRDefault="00114F14" w:rsidP="004A104C">
            <w:pPr>
              <w:rPr>
                <w:sz w:val="22"/>
                <w:szCs w:val="22"/>
              </w:rPr>
            </w:pPr>
          </w:p>
          <w:p w14:paraId="02F8F449" w14:textId="77777777" w:rsidR="00114F14" w:rsidRDefault="00114F14" w:rsidP="004A104C">
            <w:pPr>
              <w:rPr>
                <w:sz w:val="22"/>
                <w:szCs w:val="22"/>
              </w:rPr>
            </w:pPr>
          </w:p>
          <w:p w14:paraId="227CF47A" w14:textId="77777777" w:rsidR="00114F14" w:rsidRDefault="00114F14" w:rsidP="004A104C">
            <w:pPr>
              <w:rPr>
                <w:sz w:val="22"/>
                <w:szCs w:val="22"/>
              </w:rPr>
            </w:pPr>
          </w:p>
          <w:p w14:paraId="721E820D" w14:textId="77777777" w:rsidR="00114F14" w:rsidRDefault="00114F14" w:rsidP="004A104C">
            <w:pPr>
              <w:rPr>
                <w:sz w:val="22"/>
                <w:szCs w:val="22"/>
              </w:rPr>
            </w:pPr>
          </w:p>
          <w:p w14:paraId="427BB43F" w14:textId="77777777" w:rsidR="00114F14" w:rsidRDefault="00114F14" w:rsidP="004A104C">
            <w:pPr>
              <w:rPr>
                <w:sz w:val="22"/>
                <w:szCs w:val="22"/>
              </w:rPr>
            </w:pPr>
          </w:p>
          <w:p w14:paraId="12C95830" w14:textId="77777777" w:rsidR="00114F14" w:rsidRDefault="00114F14" w:rsidP="004A104C">
            <w:pPr>
              <w:rPr>
                <w:sz w:val="22"/>
                <w:szCs w:val="22"/>
              </w:rPr>
            </w:pPr>
          </w:p>
          <w:p w14:paraId="73A8EAAB" w14:textId="77777777" w:rsidR="00114F14" w:rsidRDefault="00114F14" w:rsidP="004A104C">
            <w:pPr>
              <w:rPr>
                <w:sz w:val="22"/>
                <w:szCs w:val="22"/>
              </w:rPr>
            </w:pPr>
          </w:p>
          <w:p w14:paraId="4C4C1275" w14:textId="77777777" w:rsidR="00114F14" w:rsidRDefault="00114F14" w:rsidP="004A104C">
            <w:pPr>
              <w:rPr>
                <w:sz w:val="22"/>
                <w:szCs w:val="22"/>
              </w:rPr>
            </w:pPr>
          </w:p>
          <w:p w14:paraId="757A6BBC" w14:textId="77777777" w:rsidR="00114F14" w:rsidRDefault="00114F14" w:rsidP="004A104C">
            <w:pPr>
              <w:rPr>
                <w:sz w:val="22"/>
                <w:szCs w:val="22"/>
              </w:rPr>
            </w:pPr>
          </w:p>
          <w:p w14:paraId="06FC7339" w14:textId="77777777" w:rsidR="00114F14" w:rsidRDefault="00114F14" w:rsidP="004A104C">
            <w:pPr>
              <w:rPr>
                <w:sz w:val="22"/>
                <w:szCs w:val="22"/>
              </w:rPr>
            </w:pPr>
          </w:p>
          <w:p w14:paraId="410BC58B" w14:textId="77777777" w:rsidR="00114F14" w:rsidRDefault="00114F14" w:rsidP="004A104C">
            <w:pPr>
              <w:rPr>
                <w:sz w:val="22"/>
                <w:szCs w:val="22"/>
              </w:rPr>
            </w:pPr>
          </w:p>
          <w:p w14:paraId="326E6836" w14:textId="77777777" w:rsidR="00114F14" w:rsidRDefault="00114F14" w:rsidP="004A104C">
            <w:pPr>
              <w:rPr>
                <w:sz w:val="22"/>
                <w:szCs w:val="22"/>
              </w:rPr>
            </w:pPr>
          </w:p>
          <w:p w14:paraId="3E3A2EBB" w14:textId="77777777" w:rsidR="00114F14" w:rsidRDefault="00114F14" w:rsidP="004A104C">
            <w:pPr>
              <w:rPr>
                <w:sz w:val="22"/>
                <w:szCs w:val="22"/>
              </w:rPr>
            </w:pPr>
          </w:p>
          <w:p w14:paraId="2CE6D169" w14:textId="77777777" w:rsidR="00114F14" w:rsidRDefault="00114F14" w:rsidP="004A104C">
            <w:pPr>
              <w:rPr>
                <w:sz w:val="22"/>
                <w:szCs w:val="22"/>
              </w:rPr>
            </w:pPr>
          </w:p>
          <w:p w14:paraId="4B67CD26" w14:textId="77777777" w:rsidR="00114F14" w:rsidRDefault="00114F14" w:rsidP="004A104C">
            <w:pPr>
              <w:rPr>
                <w:sz w:val="22"/>
                <w:szCs w:val="22"/>
              </w:rPr>
            </w:pPr>
          </w:p>
          <w:p w14:paraId="7CE9ADC3" w14:textId="77777777" w:rsidR="00114F14" w:rsidRDefault="00114F14" w:rsidP="004A104C">
            <w:pPr>
              <w:rPr>
                <w:sz w:val="22"/>
                <w:szCs w:val="22"/>
              </w:rPr>
            </w:pPr>
          </w:p>
          <w:p w14:paraId="69FE76E1" w14:textId="77777777" w:rsidR="00114F14" w:rsidRDefault="00114F14" w:rsidP="004A104C">
            <w:pPr>
              <w:rPr>
                <w:sz w:val="22"/>
                <w:szCs w:val="22"/>
              </w:rPr>
            </w:pPr>
          </w:p>
          <w:p w14:paraId="0553E8BE" w14:textId="77777777" w:rsidR="00114F14" w:rsidRDefault="00114F14" w:rsidP="004A104C">
            <w:pPr>
              <w:rPr>
                <w:sz w:val="22"/>
                <w:szCs w:val="22"/>
              </w:rPr>
            </w:pPr>
          </w:p>
          <w:p w14:paraId="4E6188B3" w14:textId="77777777" w:rsidR="00114F14" w:rsidRDefault="00114F14" w:rsidP="004A104C">
            <w:pPr>
              <w:rPr>
                <w:sz w:val="22"/>
                <w:szCs w:val="22"/>
              </w:rPr>
            </w:pPr>
          </w:p>
          <w:p w14:paraId="5EAB6ADF" w14:textId="77777777" w:rsidR="00114F14" w:rsidRDefault="00114F14" w:rsidP="004A104C">
            <w:pPr>
              <w:rPr>
                <w:sz w:val="22"/>
                <w:szCs w:val="22"/>
              </w:rPr>
            </w:pPr>
          </w:p>
          <w:p w14:paraId="552AF9FB" w14:textId="77777777" w:rsidR="00114F14" w:rsidRDefault="00114F14" w:rsidP="004A104C">
            <w:pPr>
              <w:rPr>
                <w:sz w:val="22"/>
                <w:szCs w:val="22"/>
              </w:rPr>
            </w:pPr>
          </w:p>
          <w:p w14:paraId="5BD2DA81" w14:textId="77777777" w:rsidR="00114F14" w:rsidRDefault="00114F14" w:rsidP="004A104C">
            <w:pPr>
              <w:rPr>
                <w:sz w:val="22"/>
                <w:szCs w:val="22"/>
              </w:rPr>
            </w:pPr>
          </w:p>
          <w:p w14:paraId="25CFAF34" w14:textId="77777777" w:rsidR="00114F14" w:rsidRDefault="00114F14" w:rsidP="004A104C">
            <w:pPr>
              <w:rPr>
                <w:sz w:val="22"/>
                <w:szCs w:val="22"/>
              </w:rPr>
            </w:pPr>
          </w:p>
          <w:p w14:paraId="13F6B8A1" w14:textId="77777777" w:rsidR="00114F14" w:rsidRDefault="00114F14" w:rsidP="004A104C">
            <w:pPr>
              <w:rPr>
                <w:sz w:val="22"/>
                <w:szCs w:val="22"/>
              </w:rPr>
            </w:pPr>
          </w:p>
          <w:p w14:paraId="0CBA4EA5" w14:textId="77777777" w:rsidR="00114F14" w:rsidRDefault="00114F14" w:rsidP="004A104C">
            <w:pPr>
              <w:rPr>
                <w:sz w:val="22"/>
                <w:szCs w:val="22"/>
              </w:rPr>
            </w:pPr>
          </w:p>
          <w:p w14:paraId="3F98CA60" w14:textId="77777777" w:rsidR="00114F14" w:rsidRDefault="00114F14" w:rsidP="004A104C">
            <w:pPr>
              <w:rPr>
                <w:sz w:val="22"/>
                <w:szCs w:val="22"/>
              </w:rPr>
            </w:pPr>
          </w:p>
          <w:p w14:paraId="6ED47DC2" w14:textId="77777777" w:rsidR="00114F14" w:rsidRDefault="00114F14" w:rsidP="004A104C">
            <w:pPr>
              <w:rPr>
                <w:sz w:val="22"/>
                <w:szCs w:val="22"/>
              </w:rPr>
            </w:pPr>
          </w:p>
          <w:p w14:paraId="5BF6451A" w14:textId="77777777" w:rsidR="00114F14" w:rsidRDefault="00114F14" w:rsidP="004A104C">
            <w:pPr>
              <w:rPr>
                <w:sz w:val="22"/>
                <w:szCs w:val="22"/>
              </w:rPr>
            </w:pPr>
          </w:p>
          <w:p w14:paraId="6CC5F2D6" w14:textId="77777777" w:rsidR="00114F14" w:rsidRDefault="00114F14" w:rsidP="004A104C">
            <w:pPr>
              <w:rPr>
                <w:sz w:val="22"/>
                <w:szCs w:val="22"/>
              </w:rPr>
            </w:pPr>
          </w:p>
          <w:p w14:paraId="4170C403" w14:textId="77777777" w:rsidR="00114F14" w:rsidRDefault="00114F14" w:rsidP="004A104C">
            <w:pPr>
              <w:rPr>
                <w:sz w:val="22"/>
                <w:szCs w:val="22"/>
              </w:rPr>
            </w:pPr>
          </w:p>
          <w:p w14:paraId="47122185" w14:textId="77777777" w:rsidR="00114F14" w:rsidRDefault="00114F14" w:rsidP="004A104C">
            <w:pPr>
              <w:rPr>
                <w:sz w:val="22"/>
                <w:szCs w:val="22"/>
              </w:rPr>
            </w:pPr>
          </w:p>
          <w:p w14:paraId="20B7B30D" w14:textId="77777777" w:rsidR="00114F14" w:rsidRDefault="00114F14" w:rsidP="004A104C">
            <w:pPr>
              <w:rPr>
                <w:sz w:val="22"/>
                <w:szCs w:val="22"/>
              </w:rPr>
            </w:pPr>
          </w:p>
          <w:p w14:paraId="7D191965" w14:textId="77777777" w:rsidR="00114F14" w:rsidRDefault="00114F14" w:rsidP="004A104C">
            <w:pPr>
              <w:rPr>
                <w:sz w:val="22"/>
                <w:szCs w:val="22"/>
              </w:rPr>
            </w:pPr>
          </w:p>
          <w:p w14:paraId="0A57CA07" w14:textId="77777777" w:rsidR="00114F14" w:rsidRDefault="00114F14" w:rsidP="004A104C">
            <w:pPr>
              <w:rPr>
                <w:sz w:val="22"/>
                <w:szCs w:val="22"/>
              </w:rPr>
            </w:pPr>
          </w:p>
          <w:p w14:paraId="1C76E431" w14:textId="77777777" w:rsidR="00114F14" w:rsidRDefault="00114F14" w:rsidP="004A104C">
            <w:pPr>
              <w:rPr>
                <w:sz w:val="22"/>
                <w:szCs w:val="22"/>
              </w:rPr>
            </w:pPr>
          </w:p>
          <w:p w14:paraId="2996F6F9" w14:textId="77777777" w:rsidR="00114F14" w:rsidRDefault="00114F14" w:rsidP="004A104C">
            <w:pPr>
              <w:rPr>
                <w:sz w:val="22"/>
                <w:szCs w:val="22"/>
              </w:rPr>
            </w:pPr>
          </w:p>
          <w:p w14:paraId="0EE73482" w14:textId="77777777" w:rsidR="00114F14" w:rsidRDefault="00114F14" w:rsidP="004A104C">
            <w:pPr>
              <w:rPr>
                <w:sz w:val="22"/>
                <w:szCs w:val="22"/>
              </w:rPr>
            </w:pPr>
          </w:p>
          <w:p w14:paraId="6CC67E80" w14:textId="77777777" w:rsidR="00114F14" w:rsidRDefault="00114F14" w:rsidP="004A104C">
            <w:pPr>
              <w:rPr>
                <w:sz w:val="22"/>
                <w:szCs w:val="22"/>
              </w:rPr>
            </w:pPr>
          </w:p>
          <w:p w14:paraId="30915A51" w14:textId="77777777" w:rsidR="00114F14" w:rsidRDefault="00114F14" w:rsidP="004A104C">
            <w:pPr>
              <w:rPr>
                <w:sz w:val="22"/>
                <w:szCs w:val="22"/>
              </w:rPr>
            </w:pPr>
          </w:p>
          <w:p w14:paraId="3C76617A" w14:textId="77777777" w:rsidR="00114F14" w:rsidRDefault="00114F14" w:rsidP="004A104C">
            <w:pPr>
              <w:rPr>
                <w:sz w:val="22"/>
                <w:szCs w:val="22"/>
              </w:rPr>
            </w:pPr>
          </w:p>
          <w:p w14:paraId="4FCCF2C9" w14:textId="77777777" w:rsidR="00114F14" w:rsidRDefault="00114F14" w:rsidP="004A104C">
            <w:pPr>
              <w:rPr>
                <w:sz w:val="22"/>
                <w:szCs w:val="22"/>
              </w:rPr>
            </w:pPr>
          </w:p>
          <w:p w14:paraId="5ECF07DC" w14:textId="77777777" w:rsidR="00114F14" w:rsidRDefault="00114F14" w:rsidP="004A104C">
            <w:pPr>
              <w:rPr>
                <w:sz w:val="22"/>
                <w:szCs w:val="22"/>
              </w:rPr>
            </w:pPr>
          </w:p>
          <w:p w14:paraId="4C9D3335" w14:textId="77777777" w:rsidR="00114F14" w:rsidRDefault="00114F14" w:rsidP="004A104C">
            <w:pPr>
              <w:rPr>
                <w:sz w:val="22"/>
                <w:szCs w:val="22"/>
              </w:rPr>
            </w:pPr>
          </w:p>
          <w:p w14:paraId="48E2EAC4" w14:textId="77777777" w:rsidR="00114F14" w:rsidRDefault="00114F14" w:rsidP="004A104C">
            <w:pPr>
              <w:rPr>
                <w:sz w:val="22"/>
                <w:szCs w:val="22"/>
              </w:rPr>
            </w:pPr>
          </w:p>
          <w:p w14:paraId="125162FE" w14:textId="77777777" w:rsidR="00114F14" w:rsidRDefault="00114F14" w:rsidP="004A104C">
            <w:pPr>
              <w:rPr>
                <w:sz w:val="22"/>
                <w:szCs w:val="22"/>
              </w:rPr>
            </w:pPr>
          </w:p>
          <w:p w14:paraId="1DC05E69" w14:textId="77777777" w:rsidR="00114F14" w:rsidRDefault="00114F14" w:rsidP="004A104C">
            <w:pPr>
              <w:rPr>
                <w:sz w:val="22"/>
                <w:szCs w:val="22"/>
              </w:rPr>
            </w:pPr>
          </w:p>
          <w:p w14:paraId="349E75AE" w14:textId="77777777" w:rsidR="00114F14" w:rsidRDefault="00114F14" w:rsidP="004A104C">
            <w:pPr>
              <w:rPr>
                <w:sz w:val="22"/>
                <w:szCs w:val="22"/>
              </w:rPr>
            </w:pPr>
          </w:p>
          <w:p w14:paraId="54405C05" w14:textId="77777777" w:rsidR="00114F14" w:rsidRDefault="00114F14" w:rsidP="004A104C">
            <w:pPr>
              <w:rPr>
                <w:sz w:val="22"/>
                <w:szCs w:val="22"/>
              </w:rPr>
            </w:pPr>
          </w:p>
          <w:p w14:paraId="41C81523" w14:textId="77777777" w:rsidR="00114F14" w:rsidRDefault="00114F14" w:rsidP="004A104C">
            <w:pPr>
              <w:rPr>
                <w:sz w:val="22"/>
                <w:szCs w:val="22"/>
              </w:rPr>
            </w:pPr>
          </w:p>
          <w:p w14:paraId="25FE6F5E" w14:textId="77777777" w:rsidR="00114F14" w:rsidRDefault="00114F14" w:rsidP="004A104C">
            <w:pPr>
              <w:rPr>
                <w:sz w:val="22"/>
                <w:szCs w:val="22"/>
              </w:rPr>
            </w:pPr>
          </w:p>
          <w:p w14:paraId="6E3C9776" w14:textId="77777777" w:rsidR="00114F14" w:rsidRDefault="00114F14" w:rsidP="004A104C">
            <w:pPr>
              <w:rPr>
                <w:sz w:val="22"/>
                <w:szCs w:val="22"/>
              </w:rPr>
            </w:pPr>
          </w:p>
          <w:p w14:paraId="76001D7D" w14:textId="77777777" w:rsidR="00114F14" w:rsidRDefault="00114F14" w:rsidP="004A104C">
            <w:pPr>
              <w:rPr>
                <w:sz w:val="22"/>
                <w:szCs w:val="22"/>
              </w:rPr>
            </w:pPr>
          </w:p>
          <w:p w14:paraId="0926B5C9" w14:textId="77777777" w:rsidR="00114F14" w:rsidRDefault="00114F14" w:rsidP="004A104C">
            <w:pPr>
              <w:rPr>
                <w:sz w:val="22"/>
                <w:szCs w:val="22"/>
              </w:rPr>
            </w:pPr>
          </w:p>
          <w:p w14:paraId="21865054" w14:textId="77777777" w:rsidR="00114F14" w:rsidRDefault="00114F14" w:rsidP="004A104C">
            <w:pPr>
              <w:rPr>
                <w:sz w:val="22"/>
                <w:szCs w:val="22"/>
              </w:rPr>
            </w:pPr>
          </w:p>
          <w:p w14:paraId="64CABCBF" w14:textId="77777777" w:rsidR="00114F14" w:rsidRDefault="00114F14" w:rsidP="004A104C">
            <w:pPr>
              <w:rPr>
                <w:sz w:val="22"/>
                <w:szCs w:val="22"/>
              </w:rPr>
            </w:pPr>
          </w:p>
          <w:p w14:paraId="38D068CF" w14:textId="77777777" w:rsidR="00114F14" w:rsidRDefault="00114F14" w:rsidP="004A104C">
            <w:pPr>
              <w:rPr>
                <w:sz w:val="22"/>
                <w:szCs w:val="22"/>
              </w:rPr>
            </w:pPr>
          </w:p>
          <w:p w14:paraId="099F690E" w14:textId="77777777" w:rsidR="00114F14" w:rsidRDefault="00114F14" w:rsidP="004A104C">
            <w:pPr>
              <w:rPr>
                <w:sz w:val="22"/>
                <w:szCs w:val="22"/>
              </w:rPr>
            </w:pPr>
          </w:p>
          <w:p w14:paraId="385EE8A4" w14:textId="77777777" w:rsidR="00114F14" w:rsidRDefault="00114F14" w:rsidP="004A104C">
            <w:pPr>
              <w:rPr>
                <w:sz w:val="22"/>
                <w:szCs w:val="22"/>
              </w:rPr>
            </w:pPr>
          </w:p>
          <w:p w14:paraId="6E3483A2" w14:textId="77777777" w:rsidR="00114F14" w:rsidRDefault="00114F14" w:rsidP="004A104C">
            <w:pPr>
              <w:rPr>
                <w:sz w:val="22"/>
                <w:szCs w:val="22"/>
              </w:rPr>
            </w:pPr>
          </w:p>
          <w:p w14:paraId="04FF3FE9" w14:textId="77777777" w:rsidR="00114F14" w:rsidRDefault="00114F14" w:rsidP="004A104C">
            <w:pPr>
              <w:rPr>
                <w:sz w:val="22"/>
                <w:szCs w:val="22"/>
              </w:rPr>
            </w:pPr>
          </w:p>
          <w:p w14:paraId="6D4FC1D3" w14:textId="77777777" w:rsidR="00114F14" w:rsidRDefault="00114F14" w:rsidP="004A104C">
            <w:pPr>
              <w:rPr>
                <w:sz w:val="22"/>
                <w:szCs w:val="22"/>
              </w:rPr>
            </w:pPr>
          </w:p>
          <w:p w14:paraId="4DA7D5AB" w14:textId="77777777" w:rsidR="00114F14" w:rsidRDefault="00114F14" w:rsidP="004A104C">
            <w:pPr>
              <w:rPr>
                <w:sz w:val="22"/>
                <w:szCs w:val="22"/>
              </w:rPr>
            </w:pPr>
          </w:p>
          <w:p w14:paraId="79F2437E" w14:textId="77777777" w:rsidR="00114F14" w:rsidRDefault="00114F14" w:rsidP="004A104C">
            <w:pPr>
              <w:rPr>
                <w:sz w:val="22"/>
                <w:szCs w:val="22"/>
              </w:rPr>
            </w:pPr>
          </w:p>
          <w:p w14:paraId="4905BEB4" w14:textId="77777777" w:rsidR="00114F14" w:rsidRDefault="00114F14" w:rsidP="004A104C">
            <w:pPr>
              <w:rPr>
                <w:sz w:val="22"/>
                <w:szCs w:val="22"/>
              </w:rPr>
            </w:pPr>
          </w:p>
          <w:p w14:paraId="35292F4F" w14:textId="77777777" w:rsidR="00114F14" w:rsidRDefault="00114F14" w:rsidP="004A104C">
            <w:pPr>
              <w:rPr>
                <w:sz w:val="22"/>
                <w:szCs w:val="22"/>
              </w:rPr>
            </w:pPr>
          </w:p>
          <w:p w14:paraId="4F1AC6A8" w14:textId="77777777" w:rsidR="00114F14" w:rsidRDefault="00114F14" w:rsidP="004A104C">
            <w:pPr>
              <w:rPr>
                <w:sz w:val="22"/>
                <w:szCs w:val="22"/>
              </w:rPr>
            </w:pPr>
          </w:p>
          <w:p w14:paraId="358EF246" w14:textId="77777777" w:rsidR="00114F14" w:rsidRDefault="00114F14" w:rsidP="004A104C">
            <w:pPr>
              <w:rPr>
                <w:sz w:val="22"/>
                <w:szCs w:val="22"/>
              </w:rPr>
            </w:pPr>
          </w:p>
          <w:p w14:paraId="0B11A062" w14:textId="77777777" w:rsidR="00114F14" w:rsidRDefault="00114F14" w:rsidP="004A104C">
            <w:pPr>
              <w:rPr>
                <w:sz w:val="22"/>
                <w:szCs w:val="22"/>
              </w:rPr>
            </w:pPr>
          </w:p>
          <w:p w14:paraId="1957E02E" w14:textId="77777777" w:rsidR="00114F14" w:rsidRDefault="00114F14" w:rsidP="004A104C">
            <w:pPr>
              <w:rPr>
                <w:sz w:val="22"/>
                <w:szCs w:val="22"/>
              </w:rPr>
            </w:pPr>
          </w:p>
          <w:p w14:paraId="43403728" w14:textId="77777777" w:rsidR="00114F14" w:rsidRDefault="00114F14" w:rsidP="004A104C">
            <w:pPr>
              <w:rPr>
                <w:sz w:val="22"/>
                <w:szCs w:val="22"/>
              </w:rPr>
            </w:pPr>
          </w:p>
          <w:p w14:paraId="7CC1ACE7" w14:textId="77777777" w:rsidR="00114F14" w:rsidRDefault="00114F14" w:rsidP="004A104C">
            <w:pPr>
              <w:rPr>
                <w:sz w:val="22"/>
                <w:szCs w:val="22"/>
              </w:rPr>
            </w:pPr>
          </w:p>
          <w:p w14:paraId="5184A182" w14:textId="77777777" w:rsidR="00114F14" w:rsidRDefault="00114F14" w:rsidP="004A104C">
            <w:pPr>
              <w:rPr>
                <w:sz w:val="22"/>
                <w:szCs w:val="22"/>
              </w:rPr>
            </w:pPr>
          </w:p>
          <w:p w14:paraId="4D128BDB" w14:textId="77777777" w:rsidR="00114F14" w:rsidRDefault="00114F14" w:rsidP="004A104C">
            <w:pPr>
              <w:rPr>
                <w:sz w:val="22"/>
                <w:szCs w:val="22"/>
              </w:rPr>
            </w:pPr>
          </w:p>
          <w:p w14:paraId="2D17E7A6" w14:textId="77777777" w:rsidR="00114F14" w:rsidRDefault="00114F14" w:rsidP="004A104C">
            <w:pPr>
              <w:rPr>
                <w:sz w:val="22"/>
                <w:szCs w:val="22"/>
              </w:rPr>
            </w:pPr>
          </w:p>
          <w:p w14:paraId="74B2D0A4" w14:textId="77777777" w:rsidR="00114F14" w:rsidRDefault="00114F14" w:rsidP="004A104C">
            <w:pPr>
              <w:rPr>
                <w:sz w:val="22"/>
                <w:szCs w:val="22"/>
              </w:rPr>
            </w:pPr>
          </w:p>
          <w:p w14:paraId="5DB2B755" w14:textId="77777777" w:rsidR="00114F14" w:rsidRDefault="00114F14" w:rsidP="004A104C">
            <w:pPr>
              <w:rPr>
                <w:sz w:val="22"/>
                <w:szCs w:val="22"/>
              </w:rPr>
            </w:pPr>
          </w:p>
          <w:p w14:paraId="4E0D1005" w14:textId="77777777" w:rsidR="00114F14" w:rsidRDefault="00114F14" w:rsidP="004A104C">
            <w:pPr>
              <w:rPr>
                <w:sz w:val="22"/>
                <w:szCs w:val="22"/>
              </w:rPr>
            </w:pPr>
          </w:p>
          <w:p w14:paraId="51D278B6" w14:textId="77777777" w:rsidR="00114F14" w:rsidRDefault="00114F14" w:rsidP="004A104C">
            <w:pPr>
              <w:rPr>
                <w:sz w:val="22"/>
                <w:szCs w:val="22"/>
              </w:rPr>
            </w:pPr>
          </w:p>
          <w:p w14:paraId="15652D1F" w14:textId="77777777" w:rsidR="00114F14" w:rsidRDefault="00114F14" w:rsidP="004A104C">
            <w:pPr>
              <w:rPr>
                <w:sz w:val="22"/>
                <w:szCs w:val="22"/>
              </w:rPr>
            </w:pPr>
          </w:p>
          <w:p w14:paraId="14355C96" w14:textId="77777777" w:rsidR="00114F14" w:rsidRDefault="00114F14" w:rsidP="004A104C">
            <w:pPr>
              <w:rPr>
                <w:sz w:val="22"/>
                <w:szCs w:val="22"/>
              </w:rPr>
            </w:pPr>
          </w:p>
          <w:p w14:paraId="18641AA7" w14:textId="77777777" w:rsidR="00114F14" w:rsidRDefault="00114F14" w:rsidP="004A104C">
            <w:pPr>
              <w:rPr>
                <w:sz w:val="22"/>
                <w:szCs w:val="22"/>
              </w:rPr>
            </w:pPr>
          </w:p>
          <w:p w14:paraId="08BC901F" w14:textId="77777777" w:rsidR="00114F14" w:rsidRDefault="00114F14" w:rsidP="004A104C">
            <w:pPr>
              <w:rPr>
                <w:sz w:val="22"/>
                <w:szCs w:val="22"/>
              </w:rPr>
            </w:pPr>
          </w:p>
          <w:p w14:paraId="0584509B" w14:textId="77777777" w:rsidR="00114F14" w:rsidRDefault="00114F14" w:rsidP="004A104C">
            <w:pPr>
              <w:rPr>
                <w:sz w:val="22"/>
                <w:szCs w:val="22"/>
              </w:rPr>
            </w:pPr>
          </w:p>
          <w:p w14:paraId="7DA9D899" w14:textId="77777777" w:rsidR="00114F14" w:rsidRDefault="00114F14" w:rsidP="004A104C">
            <w:pPr>
              <w:rPr>
                <w:sz w:val="22"/>
                <w:szCs w:val="22"/>
              </w:rPr>
            </w:pPr>
          </w:p>
          <w:p w14:paraId="01475838" w14:textId="77777777" w:rsidR="00114F14" w:rsidRDefault="00114F14" w:rsidP="004A104C">
            <w:pPr>
              <w:rPr>
                <w:sz w:val="22"/>
                <w:szCs w:val="22"/>
              </w:rPr>
            </w:pPr>
          </w:p>
          <w:p w14:paraId="67DFC119" w14:textId="77777777" w:rsidR="00114F14" w:rsidRDefault="00114F14" w:rsidP="004A104C">
            <w:pPr>
              <w:rPr>
                <w:sz w:val="22"/>
                <w:szCs w:val="22"/>
              </w:rPr>
            </w:pPr>
          </w:p>
          <w:p w14:paraId="2A1ED067" w14:textId="77777777" w:rsidR="00114F14" w:rsidRDefault="00114F14" w:rsidP="004A104C">
            <w:pPr>
              <w:rPr>
                <w:sz w:val="22"/>
                <w:szCs w:val="22"/>
              </w:rPr>
            </w:pPr>
          </w:p>
          <w:p w14:paraId="2431C17C" w14:textId="77777777" w:rsidR="00114F14" w:rsidRDefault="00114F14" w:rsidP="004A104C">
            <w:pPr>
              <w:rPr>
                <w:sz w:val="22"/>
                <w:szCs w:val="22"/>
              </w:rPr>
            </w:pPr>
          </w:p>
          <w:p w14:paraId="42D4F3A8" w14:textId="77777777" w:rsidR="00114F14" w:rsidRDefault="00114F14" w:rsidP="004A104C">
            <w:pPr>
              <w:rPr>
                <w:sz w:val="22"/>
                <w:szCs w:val="22"/>
              </w:rPr>
            </w:pPr>
          </w:p>
          <w:p w14:paraId="1C705F2F" w14:textId="77777777" w:rsidR="00114F14" w:rsidRDefault="00114F14" w:rsidP="004A104C">
            <w:pPr>
              <w:rPr>
                <w:sz w:val="22"/>
                <w:szCs w:val="22"/>
              </w:rPr>
            </w:pPr>
          </w:p>
          <w:p w14:paraId="0C947C3E" w14:textId="77777777" w:rsidR="00114F14" w:rsidRDefault="00114F14" w:rsidP="004A104C">
            <w:pPr>
              <w:rPr>
                <w:sz w:val="22"/>
                <w:szCs w:val="22"/>
              </w:rPr>
            </w:pPr>
          </w:p>
          <w:p w14:paraId="37EB4A2D" w14:textId="77777777" w:rsidR="00114F14" w:rsidRDefault="00114F14" w:rsidP="004A104C">
            <w:pPr>
              <w:rPr>
                <w:sz w:val="22"/>
                <w:szCs w:val="22"/>
              </w:rPr>
            </w:pPr>
          </w:p>
          <w:p w14:paraId="2B49EA52" w14:textId="77777777" w:rsidR="00114F14" w:rsidRDefault="00114F14" w:rsidP="004A104C">
            <w:pPr>
              <w:rPr>
                <w:sz w:val="22"/>
                <w:szCs w:val="22"/>
              </w:rPr>
            </w:pPr>
          </w:p>
          <w:p w14:paraId="50FEBD49" w14:textId="77777777" w:rsidR="00114F14" w:rsidRDefault="00114F14" w:rsidP="004A104C">
            <w:pPr>
              <w:rPr>
                <w:sz w:val="22"/>
                <w:szCs w:val="22"/>
              </w:rPr>
            </w:pPr>
          </w:p>
          <w:p w14:paraId="257A76CA" w14:textId="77777777" w:rsidR="00114F14" w:rsidRDefault="00114F14" w:rsidP="004A104C">
            <w:pPr>
              <w:rPr>
                <w:sz w:val="22"/>
                <w:szCs w:val="22"/>
              </w:rPr>
            </w:pPr>
          </w:p>
          <w:p w14:paraId="3BE13BF4" w14:textId="77777777" w:rsidR="00114F14" w:rsidRDefault="00114F14" w:rsidP="004A104C">
            <w:pPr>
              <w:rPr>
                <w:sz w:val="22"/>
                <w:szCs w:val="22"/>
              </w:rPr>
            </w:pPr>
          </w:p>
          <w:p w14:paraId="250C8026" w14:textId="77777777" w:rsidR="00114F14" w:rsidRDefault="00114F14" w:rsidP="004A104C">
            <w:pPr>
              <w:rPr>
                <w:sz w:val="22"/>
                <w:szCs w:val="22"/>
              </w:rPr>
            </w:pPr>
          </w:p>
          <w:p w14:paraId="7F36F441" w14:textId="77777777" w:rsidR="00114F14" w:rsidRDefault="00114F14" w:rsidP="004A104C">
            <w:pPr>
              <w:rPr>
                <w:sz w:val="22"/>
                <w:szCs w:val="22"/>
              </w:rPr>
            </w:pPr>
          </w:p>
          <w:p w14:paraId="50597C9B" w14:textId="77777777" w:rsidR="00114F14" w:rsidRDefault="00114F14" w:rsidP="004A104C">
            <w:pPr>
              <w:rPr>
                <w:sz w:val="22"/>
                <w:szCs w:val="22"/>
              </w:rPr>
            </w:pPr>
          </w:p>
          <w:p w14:paraId="7F1C0AA4" w14:textId="77777777" w:rsidR="00114F14" w:rsidRDefault="00114F14" w:rsidP="004A104C">
            <w:pPr>
              <w:rPr>
                <w:sz w:val="22"/>
                <w:szCs w:val="22"/>
              </w:rPr>
            </w:pPr>
          </w:p>
          <w:p w14:paraId="041FB35A" w14:textId="77777777" w:rsidR="00114F14" w:rsidRDefault="00114F14" w:rsidP="004A104C">
            <w:pPr>
              <w:rPr>
                <w:sz w:val="22"/>
                <w:szCs w:val="22"/>
              </w:rPr>
            </w:pPr>
          </w:p>
          <w:p w14:paraId="08DB17FC" w14:textId="77777777" w:rsidR="00114F14" w:rsidRDefault="00114F14" w:rsidP="004A104C">
            <w:pPr>
              <w:rPr>
                <w:sz w:val="22"/>
                <w:szCs w:val="22"/>
              </w:rPr>
            </w:pPr>
          </w:p>
          <w:p w14:paraId="59B36354" w14:textId="77777777" w:rsidR="00114F14" w:rsidRDefault="00114F14" w:rsidP="004A104C">
            <w:pPr>
              <w:rPr>
                <w:sz w:val="22"/>
                <w:szCs w:val="22"/>
              </w:rPr>
            </w:pPr>
          </w:p>
          <w:p w14:paraId="7890F591" w14:textId="77777777" w:rsidR="00114F14" w:rsidRDefault="00114F14" w:rsidP="004A104C">
            <w:pPr>
              <w:rPr>
                <w:sz w:val="22"/>
                <w:szCs w:val="22"/>
              </w:rPr>
            </w:pPr>
          </w:p>
          <w:p w14:paraId="17EB7A8F" w14:textId="77777777" w:rsidR="00114F14" w:rsidRDefault="00114F14" w:rsidP="004A104C">
            <w:pPr>
              <w:rPr>
                <w:sz w:val="22"/>
                <w:szCs w:val="22"/>
              </w:rPr>
            </w:pPr>
          </w:p>
          <w:p w14:paraId="2DBCF583" w14:textId="77777777" w:rsidR="00114F14" w:rsidRDefault="00114F14" w:rsidP="004A104C">
            <w:pPr>
              <w:rPr>
                <w:sz w:val="22"/>
                <w:szCs w:val="22"/>
              </w:rPr>
            </w:pPr>
          </w:p>
          <w:p w14:paraId="7D6F195F" w14:textId="77777777" w:rsidR="00114F14" w:rsidRDefault="00114F14" w:rsidP="004A104C">
            <w:pPr>
              <w:rPr>
                <w:sz w:val="22"/>
                <w:szCs w:val="22"/>
              </w:rPr>
            </w:pPr>
          </w:p>
          <w:p w14:paraId="26573A3B" w14:textId="77777777" w:rsidR="00114F14" w:rsidRDefault="00114F14" w:rsidP="004A104C">
            <w:pPr>
              <w:rPr>
                <w:sz w:val="22"/>
                <w:szCs w:val="22"/>
              </w:rPr>
            </w:pPr>
          </w:p>
          <w:p w14:paraId="6E6DDE8B" w14:textId="77777777" w:rsidR="00114F14" w:rsidRDefault="00114F14" w:rsidP="004A104C">
            <w:pPr>
              <w:rPr>
                <w:sz w:val="22"/>
                <w:szCs w:val="22"/>
              </w:rPr>
            </w:pPr>
          </w:p>
          <w:p w14:paraId="6B026596" w14:textId="77777777" w:rsidR="00114F14" w:rsidRDefault="00114F14" w:rsidP="004A104C">
            <w:pPr>
              <w:rPr>
                <w:sz w:val="22"/>
                <w:szCs w:val="22"/>
              </w:rPr>
            </w:pPr>
          </w:p>
          <w:p w14:paraId="5FEC7995" w14:textId="77777777" w:rsidR="00114F14" w:rsidRDefault="00114F14" w:rsidP="004A104C">
            <w:pPr>
              <w:rPr>
                <w:sz w:val="22"/>
                <w:szCs w:val="22"/>
              </w:rPr>
            </w:pPr>
          </w:p>
          <w:p w14:paraId="61AC3BF5" w14:textId="77777777" w:rsidR="00114F14" w:rsidRDefault="00114F14" w:rsidP="004A104C">
            <w:pPr>
              <w:rPr>
                <w:sz w:val="22"/>
                <w:szCs w:val="22"/>
              </w:rPr>
            </w:pPr>
          </w:p>
          <w:p w14:paraId="342CB515" w14:textId="77777777" w:rsidR="00114F14" w:rsidRDefault="00114F14" w:rsidP="004A104C">
            <w:pPr>
              <w:rPr>
                <w:sz w:val="22"/>
                <w:szCs w:val="22"/>
              </w:rPr>
            </w:pPr>
          </w:p>
          <w:p w14:paraId="513647C7" w14:textId="77777777" w:rsidR="00114F14" w:rsidRDefault="00114F14" w:rsidP="004A104C">
            <w:pPr>
              <w:rPr>
                <w:sz w:val="22"/>
                <w:szCs w:val="22"/>
              </w:rPr>
            </w:pPr>
          </w:p>
          <w:p w14:paraId="1E318461" w14:textId="77777777" w:rsidR="00114F14" w:rsidRDefault="00114F14" w:rsidP="004A104C">
            <w:pPr>
              <w:rPr>
                <w:sz w:val="22"/>
                <w:szCs w:val="22"/>
              </w:rPr>
            </w:pPr>
          </w:p>
          <w:p w14:paraId="40E1B047" w14:textId="77777777" w:rsidR="00114F14" w:rsidRDefault="00114F14" w:rsidP="004A104C">
            <w:pPr>
              <w:rPr>
                <w:sz w:val="22"/>
                <w:szCs w:val="22"/>
              </w:rPr>
            </w:pPr>
          </w:p>
          <w:p w14:paraId="506165E2" w14:textId="77777777" w:rsidR="00114F14" w:rsidRDefault="00114F14" w:rsidP="004A104C">
            <w:pPr>
              <w:rPr>
                <w:sz w:val="22"/>
                <w:szCs w:val="22"/>
              </w:rPr>
            </w:pPr>
          </w:p>
          <w:p w14:paraId="4B342203" w14:textId="77777777" w:rsidR="00114F14" w:rsidRDefault="00114F14" w:rsidP="004A104C">
            <w:pPr>
              <w:rPr>
                <w:sz w:val="22"/>
                <w:szCs w:val="22"/>
              </w:rPr>
            </w:pPr>
          </w:p>
          <w:p w14:paraId="5177F18F" w14:textId="77777777" w:rsidR="00114F14" w:rsidRDefault="00114F14" w:rsidP="004A104C">
            <w:pPr>
              <w:rPr>
                <w:sz w:val="22"/>
                <w:szCs w:val="22"/>
              </w:rPr>
            </w:pPr>
          </w:p>
          <w:p w14:paraId="6394F4C6" w14:textId="77777777" w:rsidR="00114F14" w:rsidRDefault="00114F14" w:rsidP="004A104C">
            <w:pPr>
              <w:rPr>
                <w:sz w:val="22"/>
                <w:szCs w:val="22"/>
              </w:rPr>
            </w:pPr>
          </w:p>
          <w:p w14:paraId="7E8BFB06" w14:textId="77777777" w:rsidR="00114F14" w:rsidRDefault="00114F14" w:rsidP="004A104C">
            <w:pPr>
              <w:rPr>
                <w:sz w:val="22"/>
                <w:szCs w:val="22"/>
              </w:rPr>
            </w:pPr>
          </w:p>
          <w:p w14:paraId="79F5F196" w14:textId="77777777" w:rsidR="00114F14" w:rsidRDefault="00114F14" w:rsidP="004A104C">
            <w:pPr>
              <w:rPr>
                <w:sz w:val="22"/>
                <w:szCs w:val="22"/>
              </w:rPr>
            </w:pPr>
          </w:p>
          <w:p w14:paraId="5FEEA0D2" w14:textId="77777777" w:rsidR="00114F14" w:rsidRDefault="00114F14" w:rsidP="004A104C">
            <w:pPr>
              <w:rPr>
                <w:sz w:val="22"/>
                <w:szCs w:val="22"/>
              </w:rPr>
            </w:pPr>
          </w:p>
          <w:p w14:paraId="6DB92350" w14:textId="77777777" w:rsidR="00114F14" w:rsidRDefault="00114F14" w:rsidP="004A104C">
            <w:pPr>
              <w:rPr>
                <w:sz w:val="22"/>
                <w:szCs w:val="22"/>
              </w:rPr>
            </w:pPr>
          </w:p>
          <w:p w14:paraId="17714E8B" w14:textId="77777777" w:rsidR="00114F14" w:rsidRDefault="00114F14" w:rsidP="004A104C">
            <w:pPr>
              <w:rPr>
                <w:sz w:val="22"/>
                <w:szCs w:val="22"/>
              </w:rPr>
            </w:pPr>
          </w:p>
          <w:p w14:paraId="33AE0BD5" w14:textId="77777777" w:rsidR="00114F14" w:rsidRDefault="00114F14" w:rsidP="004A104C">
            <w:pPr>
              <w:rPr>
                <w:sz w:val="22"/>
                <w:szCs w:val="22"/>
              </w:rPr>
            </w:pPr>
          </w:p>
          <w:p w14:paraId="6650EA88" w14:textId="77777777" w:rsidR="00114F14" w:rsidRDefault="00114F14" w:rsidP="004A104C">
            <w:pPr>
              <w:rPr>
                <w:sz w:val="22"/>
                <w:szCs w:val="22"/>
              </w:rPr>
            </w:pPr>
          </w:p>
          <w:p w14:paraId="0F9B8FE3" w14:textId="77777777" w:rsidR="00114F14" w:rsidRDefault="00114F14" w:rsidP="004A104C">
            <w:pPr>
              <w:rPr>
                <w:sz w:val="22"/>
                <w:szCs w:val="22"/>
              </w:rPr>
            </w:pPr>
          </w:p>
          <w:p w14:paraId="3509B139" w14:textId="77777777" w:rsidR="00114F14" w:rsidRDefault="00114F14" w:rsidP="004A104C">
            <w:pPr>
              <w:rPr>
                <w:sz w:val="22"/>
                <w:szCs w:val="22"/>
              </w:rPr>
            </w:pPr>
          </w:p>
          <w:p w14:paraId="79F6DA4E" w14:textId="77777777" w:rsidR="00114F14" w:rsidRDefault="00114F14" w:rsidP="004A104C">
            <w:pPr>
              <w:rPr>
                <w:sz w:val="22"/>
                <w:szCs w:val="22"/>
              </w:rPr>
            </w:pPr>
          </w:p>
          <w:p w14:paraId="42E03231" w14:textId="77777777" w:rsidR="00114F14" w:rsidRDefault="00114F14" w:rsidP="004A104C">
            <w:pPr>
              <w:rPr>
                <w:sz w:val="22"/>
                <w:szCs w:val="22"/>
              </w:rPr>
            </w:pPr>
          </w:p>
          <w:p w14:paraId="47CBFC11" w14:textId="77777777" w:rsidR="00114F14" w:rsidRDefault="00114F14" w:rsidP="004A104C">
            <w:pPr>
              <w:rPr>
                <w:sz w:val="22"/>
                <w:szCs w:val="22"/>
              </w:rPr>
            </w:pPr>
          </w:p>
          <w:p w14:paraId="346BBBB9" w14:textId="77777777" w:rsidR="00114F14" w:rsidRDefault="00114F14" w:rsidP="004A104C">
            <w:pPr>
              <w:rPr>
                <w:sz w:val="22"/>
                <w:szCs w:val="22"/>
              </w:rPr>
            </w:pPr>
          </w:p>
          <w:p w14:paraId="3234FB36" w14:textId="77777777" w:rsidR="00114F14" w:rsidRDefault="00114F14" w:rsidP="004A104C">
            <w:pPr>
              <w:rPr>
                <w:sz w:val="22"/>
                <w:szCs w:val="22"/>
              </w:rPr>
            </w:pPr>
          </w:p>
          <w:p w14:paraId="56D8EEAE" w14:textId="77777777" w:rsidR="00114F14" w:rsidRDefault="00114F14" w:rsidP="004A104C">
            <w:pPr>
              <w:rPr>
                <w:sz w:val="22"/>
                <w:szCs w:val="22"/>
              </w:rPr>
            </w:pPr>
          </w:p>
          <w:p w14:paraId="2CDF1390" w14:textId="77777777" w:rsidR="00114F14" w:rsidRDefault="00114F14" w:rsidP="004A104C">
            <w:pPr>
              <w:rPr>
                <w:sz w:val="22"/>
                <w:szCs w:val="22"/>
              </w:rPr>
            </w:pPr>
          </w:p>
          <w:p w14:paraId="2B85D14F" w14:textId="77777777" w:rsidR="00114F14" w:rsidRDefault="00114F14" w:rsidP="004A104C">
            <w:pPr>
              <w:rPr>
                <w:sz w:val="22"/>
                <w:szCs w:val="22"/>
              </w:rPr>
            </w:pPr>
          </w:p>
          <w:p w14:paraId="7FE8B338" w14:textId="77777777" w:rsidR="00114F14" w:rsidRDefault="00114F14" w:rsidP="004A104C">
            <w:pPr>
              <w:rPr>
                <w:sz w:val="22"/>
                <w:szCs w:val="22"/>
              </w:rPr>
            </w:pPr>
          </w:p>
          <w:p w14:paraId="66E25CDC" w14:textId="77777777" w:rsidR="00114F14" w:rsidRDefault="00114F14" w:rsidP="004A104C">
            <w:pPr>
              <w:rPr>
                <w:sz w:val="22"/>
                <w:szCs w:val="22"/>
              </w:rPr>
            </w:pPr>
          </w:p>
          <w:p w14:paraId="56CAD657" w14:textId="77777777" w:rsidR="00114F14" w:rsidRDefault="00114F14" w:rsidP="004A104C">
            <w:pPr>
              <w:rPr>
                <w:sz w:val="22"/>
                <w:szCs w:val="22"/>
              </w:rPr>
            </w:pPr>
          </w:p>
          <w:p w14:paraId="5B7CF851" w14:textId="77777777" w:rsidR="00114F14" w:rsidRDefault="00114F14" w:rsidP="004A104C">
            <w:pPr>
              <w:rPr>
                <w:sz w:val="22"/>
                <w:szCs w:val="22"/>
              </w:rPr>
            </w:pPr>
          </w:p>
          <w:p w14:paraId="4A28F547" w14:textId="77777777" w:rsidR="00114F14" w:rsidRDefault="00114F14" w:rsidP="004A104C">
            <w:pPr>
              <w:rPr>
                <w:sz w:val="22"/>
                <w:szCs w:val="22"/>
              </w:rPr>
            </w:pPr>
          </w:p>
          <w:p w14:paraId="32DFEC08" w14:textId="77777777" w:rsidR="00114F14" w:rsidRDefault="00114F14" w:rsidP="004A104C">
            <w:pPr>
              <w:rPr>
                <w:sz w:val="22"/>
                <w:szCs w:val="22"/>
              </w:rPr>
            </w:pPr>
          </w:p>
          <w:p w14:paraId="59F311C2" w14:textId="77777777" w:rsidR="00114F14" w:rsidRDefault="00114F14" w:rsidP="004A104C">
            <w:pPr>
              <w:rPr>
                <w:sz w:val="22"/>
                <w:szCs w:val="22"/>
              </w:rPr>
            </w:pPr>
          </w:p>
          <w:p w14:paraId="77A98899" w14:textId="77777777" w:rsidR="00114F14" w:rsidRDefault="00114F14" w:rsidP="004A104C">
            <w:pPr>
              <w:rPr>
                <w:sz w:val="22"/>
                <w:szCs w:val="22"/>
              </w:rPr>
            </w:pPr>
          </w:p>
          <w:p w14:paraId="62DE26B2" w14:textId="77777777" w:rsidR="00114F14" w:rsidRDefault="00114F14" w:rsidP="004A104C">
            <w:pPr>
              <w:rPr>
                <w:sz w:val="22"/>
                <w:szCs w:val="22"/>
              </w:rPr>
            </w:pPr>
          </w:p>
          <w:p w14:paraId="57C791C3" w14:textId="77777777" w:rsidR="00114F14" w:rsidRDefault="00114F14" w:rsidP="004A104C">
            <w:pPr>
              <w:rPr>
                <w:sz w:val="22"/>
                <w:szCs w:val="22"/>
              </w:rPr>
            </w:pPr>
          </w:p>
          <w:p w14:paraId="27E21302" w14:textId="77777777" w:rsidR="00114F14" w:rsidRDefault="00114F14" w:rsidP="004A104C">
            <w:pPr>
              <w:rPr>
                <w:sz w:val="22"/>
                <w:szCs w:val="22"/>
              </w:rPr>
            </w:pPr>
          </w:p>
          <w:p w14:paraId="43A2F890" w14:textId="77777777" w:rsidR="00114F14" w:rsidRDefault="00114F14" w:rsidP="004A104C">
            <w:pPr>
              <w:rPr>
                <w:sz w:val="22"/>
                <w:szCs w:val="22"/>
              </w:rPr>
            </w:pPr>
          </w:p>
          <w:p w14:paraId="043DB724" w14:textId="77777777" w:rsidR="00114F14" w:rsidRDefault="00114F14" w:rsidP="004A104C">
            <w:pPr>
              <w:rPr>
                <w:sz w:val="22"/>
                <w:szCs w:val="22"/>
              </w:rPr>
            </w:pPr>
          </w:p>
          <w:p w14:paraId="0DBD814C" w14:textId="77777777" w:rsidR="00114F14" w:rsidRDefault="00114F14" w:rsidP="004A104C">
            <w:pPr>
              <w:rPr>
                <w:sz w:val="22"/>
                <w:szCs w:val="22"/>
              </w:rPr>
            </w:pPr>
          </w:p>
          <w:p w14:paraId="76618BC0" w14:textId="77777777" w:rsidR="00114F14" w:rsidRDefault="00114F14" w:rsidP="004A104C">
            <w:pPr>
              <w:rPr>
                <w:sz w:val="22"/>
                <w:szCs w:val="22"/>
              </w:rPr>
            </w:pPr>
          </w:p>
          <w:p w14:paraId="542DC04A" w14:textId="77777777" w:rsidR="00114F14" w:rsidRDefault="00114F14" w:rsidP="004A104C">
            <w:pPr>
              <w:rPr>
                <w:sz w:val="22"/>
                <w:szCs w:val="22"/>
              </w:rPr>
            </w:pPr>
          </w:p>
          <w:p w14:paraId="1F011C90" w14:textId="77777777" w:rsidR="00114F14" w:rsidRDefault="00114F14" w:rsidP="004A104C">
            <w:pPr>
              <w:rPr>
                <w:sz w:val="22"/>
                <w:szCs w:val="22"/>
              </w:rPr>
            </w:pPr>
          </w:p>
          <w:p w14:paraId="1CED0473" w14:textId="77777777" w:rsidR="00114F14" w:rsidRDefault="00114F14" w:rsidP="004A104C">
            <w:pPr>
              <w:rPr>
                <w:sz w:val="22"/>
                <w:szCs w:val="22"/>
              </w:rPr>
            </w:pPr>
          </w:p>
          <w:p w14:paraId="189E56B2" w14:textId="77777777" w:rsidR="00114F14" w:rsidRDefault="00114F14" w:rsidP="004A104C">
            <w:pPr>
              <w:rPr>
                <w:sz w:val="22"/>
                <w:szCs w:val="22"/>
              </w:rPr>
            </w:pPr>
          </w:p>
          <w:p w14:paraId="37103E7D" w14:textId="77777777" w:rsidR="00114F14" w:rsidRDefault="00114F14" w:rsidP="004A104C">
            <w:pPr>
              <w:rPr>
                <w:sz w:val="22"/>
                <w:szCs w:val="22"/>
              </w:rPr>
            </w:pPr>
          </w:p>
          <w:p w14:paraId="2059C1C1" w14:textId="77777777" w:rsidR="00114F14" w:rsidRDefault="00114F14" w:rsidP="004A104C">
            <w:pPr>
              <w:rPr>
                <w:sz w:val="22"/>
                <w:szCs w:val="22"/>
              </w:rPr>
            </w:pPr>
          </w:p>
          <w:p w14:paraId="50B1F470" w14:textId="77777777" w:rsidR="00114F14" w:rsidRDefault="00114F14" w:rsidP="004A104C">
            <w:pPr>
              <w:rPr>
                <w:sz w:val="22"/>
                <w:szCs w:val="22"/>
              </w:rPr>
            </w:pPr>
          </w:p>
          <w:p w14:paraId="274E525E" w14:textId="77777777" w:rsidR="00114F14" w:rsidRDefault="00114F14" w:rsidP="004A104C">
            <w:pPr>
              <w:rPr>
                <w:sz w:val="22"/>
                <w:szCs w:val="22"/>
              </w:rPr>
            </w:pPr>
          </w:p>
          <w:p w14:paraId="4D75D380" w14:textId="77777777" w:rsidR="00114F14" w:rsidRDefault="00114F14" w:rsidP="004A104C">
            <w:pPr>
              <w:rPr>
                <w:sz w:val="22"/>
                <w:szCs w:val="22"/>
              </w:rPr>
            </w:pPr>
          </w:p>
          <w:p w14:paraId="722B05CB" w14:textId="77777777" w:rsidR="00114F14" w:rsidRDefault="00114F14" w:rsidP="004A104C">
            <w:pPr>
              <w:rPr>
                <w:sz w:val="22"/>
                <w:szCs w:val="22"/>
              </w:rPr>
            </w:pPr>
          </w:p>
          <w:p w14:paraId="0E5C5BED" w14:textId="77777777" w:rsidR="00114F14" w:rsidRDefault="00114F14" w:rsidP="004A104C">
            <w:pPr>
              <w:rPr>
                <w:sz w:val="22"/>
                <w:szCs w:val="22"/>
              </w:rPr>
            </w:pPr>
          </w:p>
          <w:p w14:paraId="7E834712" w14:textId="77777777" w:rsidR="00114F14" w:rsidRDefault="00114F14" w:rsidP="004A104C">
            <w:pPr>
              <w:rPr>
                <w:sz w:val="22"/>
                <w:szCs w:val="22"/>
              </w:rPr>
            </w:pPr>
          </w:p>
          <w:p w14:paraId="7DB5748B" w14:textId="77777777" w:rsidR="00114F14" w:rsidRDefault="00114F14" w:rsidP="004A104C">
            <w:pPr>
              <w:rPr>
                <w:sz w:val="22"/>
                <w:szCs w:val="22"/>
              </w:rPr>
            </w:pPr>
          </w:p>
          <w:p w14:paraId="30F4A8FD" w14:textId="77777777" w:rsidR="00114F14" w:rsidRDefault="00114F14" w:rsidP="004A104C">
            <w:pPr>
              <w:rPr>
                <w:sz w:val="22"/>
                <w:szCs w:val="22"/>
              </w:rPr>
            </w:pPr>
          </w:p>
          <w:p w14:paraId="69092BD5" w14:textId="77777777" w:rsidR="00114F14" w:rsidRDefault="00114F14" w:rsidP="004A104C">
            <w:pPr>
              <w:rPr>
                <w:sz w:val="22"/>
                <w:szCs w:val="22"/>
              </w:rPr>
            </w:pPr>
          </w:p>
          <w:p w14:paraId="7390D29B" w14:textId="77777777" w:rsidR="00114F14" w:rsidRDefault="00114F14" w:rsidP="004A104C">
            <w:pPr>
              <w:rPr>
                <w:sz w:val="22"/>
                <w:szCs w:val="22"/>
              </w:rPr>
            </w:pPr>
          </w:p>
          <w:p w14:paraId="2B06A58C" w14:textId="77777777" w:rsidR="00114F14" w:rsidRDefault="00114F14" w:rsidP="004A104C">
            <w:pPr>
              <w:rPr>
                <w:sz w:val="22"/>
                <w:szCs w:val="22"/>
              </w:rPr>
            </w:pPr>
          </w:p>
          <w:p w14:paraId="4362FEB2" w14:textId="77777777" w:rsidR="00114F14" w:rsidRDefault="00114F14" w:rsidP="004A104C">
            <w:pPr>
              <w:rPr>
                <w:sz w:val="22"/>
                <w:szCs w:val="22"/>
              </w:rPr>
            </w:pPr>
          </w:p>
          <w:p w14:paraId="56DB9FD1" w14:textId="77777777" w:rsidR="00114F14" w:rsidRDefault="00114F14" w:rsidP="004A104C">
            <w:pPr>
              <w:rPr>
                <w:sz w:val="22"/>
                <w:szCs w:val="22"/>
              </w:rPr>
            </w:pPr>
          </w:p>
          <w:p w14:paraId="04A09662" w14:textId="77777777" w:rsidR="00114F14" w:rsidRDefault="00114F14" w:rsidP="004A104C">
            <w:pPr>
              <w:rPr>
                <w:sz w:val="22"/>
                <w:szCs w:val="22"/>
              </w:rPr>
            </w:pPr>
          </w:p>
          <w:p w14:paraId="1DD68178" w14:textId="77777777" w:rsidR="00114F14" w:rsidRDefault="00114F14" w:rsidP="004A104C">
            <w:pPr>
              <w:rPr>
                <w:sz w:val="22"/>
                <w:szCs w:val="22"/>
              </w:rPr>
            </w:pPr>
          </w:p>
          <w:p w14:paraId="0E0AF260" w14:textId="77777777" w:rsidR="00114F14" w:rsidRDefault="00114F14" w:rsidP="004A104C">
            <w:pPr>
              <w:rPr>
                <w:sz w:val="22"/>
                <w:szCs w:val="22"/>
              </w:rPr>
            </w:pPr>
          </w:p>
          <w:p w14:paraId="254E8DA6" w14:textId="77777777" w:rsidR="00114F14" w:rsidRDefault="00114F14" w:rsidP="004A104C">
            <w:pPr>
              <w:rPr>
                <w:sz w:val="22"/>
                <w:szCs w:val="22"/>
              </w:rPr>
            </w:pPr>
          </w:p>
          <w:p w14:paraId="0C11D0A9" w14:textId="77777777" w:rsidR="00114F14" w:rsidRDefault="00114F14" w:rsidP="004A104C">
            <w:pPr>
              <w:rPr>
                <w:sz w:val="22"/>
                <w:szCs w:val="22"/>
              </w:rPr>
            </w:pPr>
          </w:p>
          <w:p w14:paraId="6FC77FA7" w14:textId="77777777" w:rsidR="00114F14" w:rsidRDefault="00114F14" w:rsidP="004A104C">
            <w:pPr>
              <w:rPr>
                <w:sz w:val="22"/>
                <w:szCs w:val="22"/>
              </w:rPr>
            </w:pPr>
          </w:p>
          <w:p w14:paraId="679EE07B" w14:textId="77777777" w:rsidR="00114F14" w:rsidRDefault="00114F14" w:rsidP="004A104C">
            <w:pPr>
              <w:rPr>
                <w:sz w:val="22"/>
                <w:szCs w:val="22"/>
              </w:rPr>
            </w:pPr>
          </w:p>
          <w:p w14:paraId="65F4D8AE" w14:textId="77777777" w:rsidR="00114F14" w:rsidRDefault="00114F14" w:rsidP="004A104C">
            <w:pPr>
              <w:rPr>
                <w:sz w:val="22"/>
                <w:szCs w:val="22"/>
              </w:rPr>
            </w:pPr>
          </w:p>
          <w:p w14:paraId="3A6F3A5E" w14:textId="77777777" w:rsidR="00114F14" w:rsidRDefault="00114F14" w:rsidP="004A104C">
            <w:pPr>
              <w:rPr>
                <w:sz w:val="22"/>
                <w:szCs w:val="22"/>
              </w:rPr>
            </w:pPr>
          </w:p>
          <w:p w14:paraId="35F5B71B" w14:textId="77777777" w:rsidR="00114F14" w:rsidRDefault="00114F14" w:rsidP="004A104C">
            <w:pPr>
              <w:rPr>
                <w:sz w:val="22"/>
                <w:szCs w:val="22"/>
              </w:rPr>
            </w:pPr>
          </w:p>
          <w:p w14:paraId="3D82FDB0" w14:textId="77777777" w:rsidR="00114F14" w:rsidRDefault="00114F14" w:rsidP="004A104C">
            <w:pPr>
              <w:rPr>
                <w:sz w:val="22"/>
                <w:szCs w:val="22"/>
              </w:rPr>
            </w:pPr>
          </w:p>
          <w:p w14:paraId="1036EA4F" w14:textId="77777777" w:rsidR="00114F14" w:rsidRDefault="00114F14" w:rsidP="004A104C">
            <w:pPr>
              <w:rPr>
                <w:sz w:val="22"/>
                <w:szCs w:val="22"/>
              </w:rPr>
            </w:pPr>
          </w:p>
          <w:p w14:paraId="7725004E" w14:textId="77777777" w:rsidR="00114F14" w:rsidRDefault="00114F14" w:rsidP="004A104C">
            <w:pPr>
              <w:rPr>
                <w:sz w:val="22"/>
                <w:szCs w:val="22"/>
              </w:rPr>
            </w:pPr>
          </w:p>
          <w:p w14:paraId="786F0516" w14:textId="77777777" w:rsidR="00114F14" w:rsidRDefault="00114F14" w:rsidP="004A104C">
            <w:pPr>
              <w:rPr>
                <w:sz w:val="22"/>
                <w:szCs w:val="22"/>
              </w:rPr>
            </w:pPr>
          </w:p>
          <w:p w14:paraId="1AEA8716" w14:textId="77777777" w:rsidR="00114F14" w:rsidRDefault="00114F14" w:rsidP="004A104C">
            <w:pPr>
              <w:rPr>
                <w:sz w:val="22"/>
                <w:szCs w:val="22"/>
              </w:rPr>
            </w:pPr>
          </w:p>
          <w:p w14:paraId="50F08B41" w14:textId="77777777" w:rsidR="00114F14" w:rsidRDefault="00114F14" w:rsidP="004A104C">
            <w:pPr>
              <w:rPr>
                <w:sz w:val="22"/>
                <w:szCs w:val="22"/>
              </w:rPr>
            </w:pPr>
          </w:p>
          <w:p w14:paraId="2901E63B" w14:textId="77777777" w:rsidR="00114F14" w:rsidRDefault="00114F14" w:rsidP="004A104C">
            <w:pPr>
              <w:rPr>
                <w:sz w:val="22"/>
                <w:szCs w:val="22"/>
              </w:rPr>
            </w:pPr>
          </w:p>
          <w:p w14:paraId="5C50E032" w14:textId="77777777" w:rsidR="00114F14" w:rsidRDefault="00114F14" w:rsidP="004A104C">
            <w:pPr>
              <w:rPr>
                <w:sz w:val="22"/>
                <w:szCs w:val="22"/>
              </w:rPr>
            </w:pPr>
          </w:p>
          <w:p w14:paraId="4B6301DE" w14:textId="77777777" w:rsidR="00114F14" w:rsidRDefault="00114F14" w:rsidP="004A104C">
            <w:pPr>
              <w:rPr>
                <w:sz w:val="22"/>
                <w:szCs w:val="22"/>
              </w:rPr>
            </w:pPr>
          </w:p>
          <w:p w14:paraId="58B97402" w14:textId="77777777" w:rsidR="00114F14" w:rsidRDefault="00114F14" w:rsidP="004A104C">
            <w:pPr>
              <w:rPr>
                <w:sz w:val="22"/>
                <w:szCs w:val="22"/>
              </w:rPr>
            </w:pPr>
          </w:p>
          <w:p w14:paraId="02015789" w14:textId="77777777" w:rsidR="00114F14" w:rsidRDefault="00114F14" w:rsidP="004A104C">
            <w:pPr>
              <w:rPr>
                <w:sz w:val="22"/>
                <w:szCs w:val="22"/>
              </w:rPr>
            </w:pPr>
          </w:p>
          <w:p w14:paraId="5BFCBA09" w14:textId="77777777" w:rsidR="00114F14" w:rsidRDefault="00114F14" w:rsidP="004A104C">
            <w:pPr>
              <w:rPr>
                <w:sz w:val="22"/>
                <w:szCs w:val="22"/>
              </w:rPr>
            </w:pPr>
          </w:p>
          <w:p w14:paraId="23DB072C" w14:textId="77777777" w:rsidR="00114F14" w:rsidRDefault="00114F14" w:rsidP="004A104C">
            <w:pPr>
              <w:rPr>
                <w:sz w:val="22"/>
                <w:szCs w:val="22"/>
              </w:rPr>
            </w:pPr>
          </w:p>
          <w:p w14:paraId="66545146" w14:textId="77777777" w:rsidR="00114F14" w:rsidRDefault="00114F14" w:rsidP="004A104C">
            <w:pPr>
              <w:rPr>
                <w:sz w:val="22"/>
                <w:szCs w:val="22"/>
              </w:rPr>
            </w:pPr>
          </w:p>
          <w:p w14:paraId="72BB42DF" w14:textId="77777777" w:rsidR="00114F14" w:rsidRDefault="00114F14" w:rsidP="004A104C">
            <w:pPr>
              <w:rPr>
                <w:sz w:val="22"/>
                <w:szCs w:val="22"/>
              </w:rPr>
            </w:pPr>
          </w:p>
          <w:p w14:paraId="6EBAA193" w14:textId="77777777" w:rsidR="00114F14" w:rsidRDefault="00114F14" w:rsidP="004A104C">
            <w:pPr>
              <w:rPr>
                <w:sz w:val="22"/>
                <w:szCs w:val="22"/>
              </w:rPr>
            </w:pPr>
          </w:p>
          <w:p w14:paraId="7F2B040F" w14:textId="77777777" w:rsidR="00114F14" w:rsidRDefault="00114F14" w:rsidP="004A104C">
            <w:pPr>
              <w:rPr>
                <w:sz w:val="22"/>
                <w:szCs w:val="22"/>
              </w:rPr>
            </w:pPr>
          </w:p>
          <w:p w14:paraId="49878235" w14:textId="77777777" w:rsidR="00114F14" w:rsidRDefault="00114F14" w:rsidP="004A104C">
            <w:pPr>
              <w:rPr>
                <w:sz w:val="22"/>
                <w:szCs w:val="22"/>
              </w:rPr>
            </w:pPr>
          </w:p>
          <w:p w14:paraId="49DD7563" w14:textId="77777777" w:rsidR="00114F14" w:rsidRDefault="00114F14" w:rsidP="004A104C">
            <w:pPr>
              <w:rPr>
                <w:sz w:val="22"/>
                <w:szCs w:val="22"/>
              </w:rPr>
            </w:pPr>
          </w:p>
          <w:p w14:paraId="570EFC2F" w14:textId="77777777" w:rsidR="00114F14" w:rsidRDefault="00114F14" w:rsidP="004A104C">
            <w:pPr>
              <w:rPr>
                <w:sz w:val="22"/>
                <w:szCs w:val="22"/>
              </w:rPr>
            </w:pPr>
          </w:p>
          <w:p w14:paraId="53EF143B" w14:textId="77777777" w:rsidR="00114F14" w:rsidRDefault="00114F14" w:rsidP="004A104C">
            <w:pPr>
              <w:rPr>
                <w:sz w:val="22"/>
                <w:szCs w:val="22"/>
              </w:rPr>
            </w:pPr>
          </w:p>
          <w:p w14:paraId="00573D7C" w14:textId="77777777" w:rsidR="00114F14" w:rsidRDefault="00114F14" w:rsidP="004A104C">
            <w:pPr>
              <w:rPr>
                <w:sz w:val="22"/>
                <w:szCs w:val="22"/>
              </w:rPr>
            </w:pPr>
          </w:p>
          <w:p w14:paraId="46F2D32B" w14:textId="77777777" w:rsidR="00114F14" w:rsidRDefault="00114F14" w:rsidP="004A104C">
            <w:pPr>
              <w:rPr>
                <w:sz w:val="22"/>
                <w:szCs w:val="22"/>
              </w:rPr>
            </w:pPr>
          </w:p>
          <w:p w14:paraId="347AF882" w14:textId="77777777" w:rsidR="00114F14" w:rsidRDefault="00114F14" w:rsidP="004A104C">
            <w:pPr>
              <w:rPr>
                <w:sz w:val="22"/>
                <w:szCs w:val="22"/>
              </w:rPr>
            </w:pPr>
          </w:p>
          <w:p w14:paraId="45BB11BF" w14:textId="77777777" w:rsidR="00114F14" w:rsidRDefault="00114F14" w:rsidP="004A104C">
            <w:pPr>
              <w:rPr>
                <w:sz w:val="22"/>
                <w:szCs w:val="22"/>
              </w:rPr>
            </w:pPr>
          </w:p>
          <w:p w14:paraId="2D783A80" w14:textId="77777777" w:rsidR="00114F14" w:rsidRDefault="00114F14" w:rsidP="004A104C">
            <w:pPr>
              <w:rPr>
                <w:sz w:val="22"/>
                <w:szCs w:val="22"/>
              </w:rPr>
            </w:pPr>
          </w:p>
          <w:p w14:paraId="7055AD9B" w14:textId="77777777" w:rsidR="00114F14" w:rsidRDefault="00114F14" w:rsidP="004A104C">
            <w:pPr>
              <w:rPr>
                <w:sz w:val="22"/>
                <w:szCs w:val="22"/>
              </w:rPr>
            </w:pPr>
          </w:p>
          <w:p w14:paraId="5DFD64AE" w14:textId="77777777" w:rsidR="00114F14" w:rsidRDefault="00114F14" w:rsidP="004A104C">
            <w:pPr>
              <w:rPr>
                <w:sz w:val="22"/>
                <w:szCs w:val="22"/>
              </w:rPr>
            </w:pPr>
          </w:p>
          <w:p w14:paraId="3E8C4ED4" w14:textId="77777777" w:rsidR="00114F14" w:rsidRDefault="00114F14" w:rsidP="004A104C">
            <w:pPr>
              <w:rPr>
                <w:sz w:val="22"/>
                <w:szCs w:val="22"/>
              </w:rPr>
            </w:pPr>
          </w:p>
          <w:p w14:paraId="7D822822" w14:textId="77777777" w:rsidR="00114F14" w:rsidRDefault="00114F14" w:rsidP="004A104C">
            <w:pPr>
              <w:rPr>
                <w:sz w:val="22"/>
                <w:szCs w:val="22"/>
              </w:rPr>
            </w:pPr>
          </w:p>
          <w:p w14:paraId="197FEA9C" w14:textId="77777777" w:rsidR="00114F14" w:rsidRDefault="00114F14" w:rsidP="004A104C">
            <w:pPr>
              <w:rPr>
                <w:sz w:val="22"/>
                <w:szCs w:val="22"/>
              </w:rPr>
            </w:pPr>
          </w:p>
          <w:p w14:paraId="6102772F" w14:textId="77777777" w:rsidR="00114F14" w:rsidRDefault="00114F14" w:rsidP="004A104C">
            <w:pPr>
              <w:rPr>
                <w:sz w:val="22"/>
                <w:szCs w:val="22"/>
              </w:rPr>
            </w:pPr>
          </w:p>
          <w:p w14:paraId="2FFFCCA6" w14:textId="77777777" w:rsidR="00114F14" w:rsidRDefault="00114F14" w:rsidP="004A104C">
            <w:pPr>
              <w:rPr>
                <w:sz w:val="22"/>
                <w:szCs w:val="22"/>
              </w:rPr>
            </w:pPr>
          </w:p>
          <w:p w14:paraId="4C9FD497" w14:textId="77777777" w:rsidR="00114F14" w:rsidRDefault="00114F14" w:rsidP="004A104C">
            <w:pPr>
              <w:rPr>
                <w:sz w:val="22"/>
                <w:szCs w:val="22"/>
              </w:rPr>
            </w:pPr>
          </w:p>
          <w:p w14:paraId="11059A62" w14:textId="77777777" w:rsidR="00114F14" w:rsidRDefault="00114F14" w:rsidP="004A104C">
            <w:pPr>
              <w:rPr>
                <w:sz w:val="22"/>
                <w:szCs w:val="22"/>
              </w:rPr>
            </w:pPr>
          </w:p>
          <w:p w14:paraId="692BE4B0" w14:textId="77777777" w:rsidR="00114F14" w:rsidRDefault="00114F14" w:rsidP="004A104C">
            <w:pPr>
              <w:rPr>
                <w:sz w:val="22"/>
                <w:szCs w:val="22"/>
              </w:rPr>
            </w:pPr>
          </w:p>
          <w:p w14:paraId="64E91796" w14:textId="77777777" w:rsidR="00114F14" w:rsidRDefault="00114F14" w:rsidP="004A104C">
            <w:pPr>
              <w:rPr>
                <w:sz w:val="22"/>
                <w:szCs w:val="22"/>
              </w:rPr>
            </w:pPr>
          </w:p>
          <w:p w14:paraId="34D18316" w14:textId="77777777" w:rsidR="00114F14" w:rsidRDefault="00114F14" w:rsidP="004A104C">
            <w:pPr>
              <w:rPr>
                <w:sz w:val="22"/>
                <w:szCs w:val="22"/>
              </w:rPr>
            </w:pPr>
          </w:p>
          <w:p w14:paraId="39576232" w14:textId="77777777" w:rsidR="00114F14" w:rsidRDefault="00114F14" w:rsidP="004A104C">
            <w:pPr>
              <w:rPr>
                <w:sz w:val="22"/>
                <w:szCs w:val="22"/>
              </w:rPr>
            </w:pPr>
          </w:p>
          <w:p w14:paraId="1F28EE82" w14:textId="77777777" w:rsidR="00114F14" w:rsidRDefault="00114F14" w:rsidP="004A104C">
            <w:pPr>
              <w:rPr>
                <w:sz w:val="22"/>
                <w:szCs w:val="22"/>
              </w:rPr>
            </w:pPr>
          </w:p>
          <w:p w14:paraId="01EF0C3E" w14:textId="77777777" w:rsidR="00114F14" w:rsidRDefault="00114F14" w:rsidP="004A104C">
            <w:pPr>
              <w:rPr>
                <w:sz w:val="22"/>
                <w:szCs w:val="22"/>
              </w:rPr>
            </w:pPr>
          </w:p>
          <w:p w14:paraId="28FA412E" w14:textId="77777777" w:rsidR="00114F14" w:rsidRDefault="00114F14" w:rsidP="004A104C">
            <w:pPr>
              <w:rPr>
                <w:sz w:val="22"/>
                <w:szCs w:val="22"/>
              </w:rPr>
            </w:pPr>
          </w:p>
          <w:p w14:paraId="49BA6766" w14:textId="77777777" w:rsidR="00114F14" w:rsidRDefault="00114F14" w:rsidP="004A104C">
            <w:pPr>
              <w:rPr>
                <w:sz w:val="22"/>
                <w:szCs w:val="22"/>
              </w:rPr>
            </w:pPr>
          </w:p>
          <w:p w14:paraId="7CA8528C" w14:textId="77777777" w:rsidR="00114F14" w:rsidRDefault="00114F14" w:rsidP="004A104C">
            <w:pPr>
              <w:rPr>
                <w:sz w:val="22"/>
                <w:szCs w:val="22"/>
              </w:rPr>
            </w:pPr>
          </w:p>
          <w:p w14:paraId="55D177BF" w14:textId="77777777" w:rsidR="00114F14" w:rsidRDefault="00114F14" w:rsidP="004A104C">
            <w:pPr>
              <w:rPr>
                <w:sz w:val="22"/>
                <w:szCs w:val="22"/>
              </w:rPr>
            </w:pPr>
          </w:p>
          <w:p w14:paraId="719BB929" w14:textId="77777777" w:rsidR="00114F14" w:rsidRDefault="00114F14" w:rsidP="004A104C">
            <w:pPr>
              <w:rPr>
                <w:sz w:val="22"/>
                <w:szCs w:val="22"/>
              </w:rPr>
            </w:pPr>
          </w:p>
          <w:p w14:paraId="78AFF62C" w14:textId="77777777" w:rsidR="00114F14" w:rsidRDefault="00114F14" w:rsidP="004A104C">
            <w:pPr>
              <w:rPr>
                <w:sz w:val="22"/>
                <w:szCs w:val="22"/>
              </w:rPr>
            </w:pPr>
          </w:p>
          <w:p w14:paraId="0AD98B9B" w14:textId="77777777" w:rsidR="00114F14" w:rsidRDefault="00114F14" w:rsidP="004A104C">
            <w:pPr>
              <w:rPr>
                <w:sz w:val="22"/>
                <w:szCs w:val="22"/>
              </w:rPr>
            </w:pPr>
          </w:p>
          <w:p w14:paraId="242631EC" w14:textId="77777777" w:rsidR="00114F14" w:rsidRDefault="00114F14" w:rsidP="004A104C">
            <w:pPr>
              <w:rPr>
                <w:sz w:val="22"/>
                <w:szCs w:val="22"/>
              </w:rPr>
            </w:pPr>
          </w:p>
          <w:p w14:paraId="458D3D80" w14:textId="77777777" w:rsidR="00114F14" w:rsidRDefault="00114F14" w:rsidP="004A104C">
            <w:pPr>
              <w:rPr>
                <w:sz w:val="22"/>
                <w:szCs w:val="22"/>
              </w:rPr>
            </w:pPr>
          </w:p>
          <w:p w14:paraId="19BB60B9" w14:textId="77777777" w:rsidR="00114F14" w:rsidRDefault="00114F14" w:rsidP="004A104C">
            <w:pPr>
              <w:rPr>
                <w:sz w:val="22"/>
                <w:szCs w:val="22"/>
              </w:rPr>
            </w:pPr>
          </w:p>
          <w:p w14:paraId="2488F3FA" w14:textId="77777777" w:rsidR="00114F14" w:rsidRDefault="00114F14" w:rsidP="004A104C">
            <w:pPr>
              <w:rPr>
                <w:sz w:val="22"/>
                <w:szCs w:val="22"/>
              </w:rPr>
            </w:pPr>
          </w:p>
          <w:p w14:paraId="0C21213C" w14:textId="77777777" w:rsidR="00114F14" w:rsidRDefault="00114F14" w:rsidP="004A104C">
            <w:pPr>
              <w:rPr>
                <w:sz w:val="22"/>
                <w:szCs w:val="22"/>
              </w:rPr>
            </w:pPr>
          </w:p>
          <w:p w14:paraId="445C6813" w14:textId="77777777" w:rsidR="00114F14" w:rsidRDefault="00114F14" w:rsidP="004A104C">
            <w:pPr>
              <w:rPr>
                <w:sz w:val="22"/>
                <w:szCs w:val="22"/>
              </w:rPr>
            </w:pPr>
          </w:p>
          <w:p w14:paraId="5FB92786" w14:textId="77777777" w:rsidR="00114F14" w:rsidRDefault="00114F14" w:rsidP="004A104C">
            <w:pPr>
              <w:rPr>
                <w:sz w:val="22"/>
                <w:szCs w:val="22"/>
              </w:rPr>
            </w:pPr>
          </w:p>
          <w:p w14:paraId="510DE184" w14:textId="77777777" w:rsidR="00114F14" w:rsidRDefault="00114F14" w:rsidP="004A104C">
            <w:pPr>
              <w:rPr>
                <w:sz w:val="22"/>
                <w:szCs w:val="22"/>
              </w:rPr>
            </w:pPr>
          </w:p>
          <w:p w14:paraId="114753E7" w14:textId="77777777" w:rsidR="00114F14" w:rsidRDefault="00114F14" w:rsidP="004A104C">
            <w:pPr>
              <w:rPr>
                <w:sz w:val="22"/>
                <w:szCs w:val="22"/>
              </w:rPr>
            </w:pPr>
          </w:p>
          <w:p w14:paraId="282945E6" w14:textId="77777777" w:rsidR="00114F14" w:rsidRDefault="00114F14" w:rsidP="004A104C">
            <w:pPr>
              <w:rPr>
                <w:sz w:val="22"/>
                <w:szCs w:val="22"/>
              </w:rPr>
            </w:pPr>
          </w:p>
          <w:p w14:paraId="7A7727B5" w14:textId="77777777" w:rsidR="00114F14" w:rsidRDefault="00114F14" w:rsidP="004A104C">
            <w:pPr>
              <w:rPr>
                <w:sz w:val="22"/>
                <w:szCs w:val="22"/>
              </w:rPr>
            </w:pPr>
          </w:p>
          <w:p w14:paraId="25F6A7E8" w14:textId="77777777" w:rsidR="00114F14" w:rsidRDefault="00114F14" w:rsidP="004A104C">
            <w:pPr>
              <w:rPr>
                <w:sz w:val="22"/>
                <w:szCs w:val="22"/>
              </w:rPr>
            </w:pPr>
          </w:p>
          <w:p w14:paraId="59C612D8" w14:textId="1ECDE168" w:rsidR="00114F14" w:rsidRDefault="00114F14" w:rsidP="004A104C">
            <w:pPr>
              <w:rPr>
                <w:sz w:val="22"/>
                <w:szCs w:val="22"/>
              </w:rPr>
            </w:pPr>
          </w:p>
          <w:p w14:paraId="65660CB7" w14:textId="77777777" w:rsidR="00114F14" w:rsidRDefault="00114F14" w:rsidP="004A104C">
            <w:pPr>
              <w:rPr>
                <w:sz w:val="22"/>
                <w:szCs w:val="22"/>
              </w:rPr>
            </w:pPr>
          </w:p>
          <w:p w14:paraId="5CB0D1F9" w14:textId="06742636" w:rsidR="00114F14" w:rsidRDefault="00114F14" w:rsidP="004A104C">
            <w:pPr>
              <w:rPr>
                <w:sz w:val="22"/>
                <w:szCs w:val="22"/>
              </w:rPr>
            </w:pPr>
          </w:p>
          <w:p w14:paraId="30EA968C" w14:textId="2F1DC279" w:rsidR="00114F14" w:rsidRDefault="00114F14" w:rsidP="004A104C">
            <w:pPr>
              <w:rPr>
                <w:sz w:val="22"/>
                <w:szCs w:val="22"/>
              </w:rPr>
            </w:pPr>
            <w:bookmarkStart w:id="6" w:name="_Hlk16240264"/>
            <w:r>
              <w:rPr>
                <w:sz w:val="22"/>
                <w:szCs w:val="22"/>
              </w:rPr>
              <w:t>PART UUUU</w:t>
            </w:r>
          </w:p>
          <w:p w14:paraId="6DEF9524" w14:textId="258B8A7E" w:rsidR="00114F14" w:rsidRDefault="00114F14" w:rsidP="004A104C">
            <w:pPr>
              <w:rPr>
                <w:sz w:val="22"/>
                <w:szCs w:val="22"/>
              </w:rPr>
            </w:pPr>
            <w:r>
              <w:rPr>
                <w:sz w:val="22"/>
                <w:szCs w:val="22"/>
              </w:rPr>
              <w:t>Department to submit report to Joint Standing Committee on Education &amp; Cultural Affairs by January 1, 2020.</w:t>
            </w:r>
          </w:p>
          <w:bookmarkEnd w:id="6"/>
          <w:p w14:paraId="079F5864" w14:textId="77777777" w:rsidR="00114F14" w:rsidRDefault="00114F14" w:rsidP="004A104C">
            <w:pPr>
              <w:rPr>
                <w:sz w:val="22"/>
                <w:szCs w:val="22"/>
              </w:rPr>
            </w:pPr>
          </w:p>
          <w:p w14:paraId="59706E30" w14:textId="77777777" w:rsidR="00114F14" w:rsidRDefault="00114F14" w:rsidP="004A104C">
            <w:pPr>
              <w:rPr>
                <w:sz w:val="22"/>
                <w:szCs w:val="22"/>
              </w:rPr>
            </w:pPr>
          </w:p>
          <w:p w14:paraId="370DB782" w14:textId="77777777" w:rsidR="00114F14" w:rsidRDefault="00114F14" w:rsidP="004A104C">
            <w:pPr>
              <w:rPr>
                <w:sz w:val="22"/>
                <w:szCs w:val="22"/>
              </w:rPr>
            </w:pPr>
          </w:p>
          <w:p w14:paraId="26518215" w14:textId="77777777" w:rsidR="00114F14" w:rsidRDefault="00114F14" w:rsidP="004A104C">
            <w:pPr>
              <w:rPr>
                <w:sz w:val="22"/>
                <w:szCs w:val="22"/>
              </w:rPr>
            </w:pPr>
          </w:p>
          <w:p w14:paraId="0C3B1663" w14:textId="77777777" w:rsidR="00114F14" w:rsidRDefault="00114F14" w:rsidP="004A104C">
            <w:pPr>
              <w:rPr>
                <w:sz w:val="22"/>
                <w:szCs w:val="22"/>
              </w:rPr>
            </w:pPr>
          </w:p>
          <w:p w14:paraId="2FB1D93B" w14:textId="77777777" w:rsidR="00114F14" w:rsidRDefault="00114F14" w:rsidP="004A104C">
            <w:pPr>
              <w:rPr>
                <w:sz w:val="22"/>
                <w:szCs w:val="22"/>
              </w:rPr>
            </w:pPr>
          </w:p>
          <w:p w14:paraId="4EF1F5CD" w14:textId="77777777" w:rsidR="00114F14" w:rsidRDefault="00114F14" w:rsidP="004A104C">
            <w:pPr>
              <w:rPr>
                <w:sz w:val="22"/>
                <w:szCs w:val="22"/>
              </w:rPr>
            </w:pPr>
          </w:p>
          <w:p w14:paraId="5D5BB43D" w14:textId="77777777" w:rsidR="00114F14" w:rsidRDefault="00114F14" w:rsidP="004A104C">
            <w:pPr>
              <w:rPr>
                <w:sz w:val="22"/>
                <w:szCs w:val="22"/>
              </w:rPr>
            </w:pPr>
          </w:p>
          <w:p w14:paraId="0396C0AF" w14:textId="77777777" w:rsidR="00114F14" w:rsidRDefault="00114F14" w:rsidP="004A104C">
            <w:pPr>
              <w:rPr>
                <w:sz w:val="22"/>
                <w:szCs w:val="22"/>
              </w:rPr>
            </w:pPr>
          </w:p>
          <w:p w14:paraId="1BABC6D6" w14:textId="77777777" w:rsidR="00114F14" w:rsidRDefault="00114F14" w:rsidP="004A104C">
            <w:pPr>
              <w:rPr>
                <w:sz w:val="22"/>
                <w:szCs w:val="22"/>
              </w:rPr>
            </w:pPr>
          </w:p>
          <w:p w14:paraId="6968E60D" w14:textId="77777777" w:rsidR="00114F14" w:rsidRDefault="00114F14" w:rsidP="004A104C">
            <w:pPr>
              <w:rPr>
                <w:sz w:val="22"/>
                <w:szCs w:val="22"/>
              </w:rPr>
            </w:pPr>
          </w:p>
          <w:p w14:paraId="72E0A1DE" w14:textId="77777777" w:rsidR="00114F14" w:rsidRDefault="00114F14" w:rsidP="004A104C">
            <w:pPr>
              <w:rPr>
                <w:sz w:val="22"/>
                <w:szCs w:val="22"/>
              </w:rPr>
            </w:pPr>
          </w:p>
          <w:p w14:paraId="7F21F307" w14:textId="77777777" w:rsidR="00114F14" w:rsidRDefault="00114F14" w:rsidP="004A104C">
            <w:pPr>
              <w:rPr>
                <w:sz w:val="22"/>
                <w:szCs w:val="22"/>
              </w:rPr>
            </w:pPr>
          </w:p>
          <w:p w14:paraId="3428F76A" w14:textId="77777777" w:rsidR="00114F14" w:rsidRDefault="00114F14" w:rsidP="004A104C">
            <w:pPr>
              <w:rPr>
                <w:sz w:val="22"/>
                <w:szCs w:val="22"/>
              </w:rPr>
            </w:pPr>
          </w:p>
          <w:p w14:paraId="30CFA758" w14:textId="77777777" w:rsidR="00114F14" w:rsidRDefault="00114F14" w:rsidP="004A104C">
            <w:pPr>
              <w:rPr>
                <w:sz w:val="22"/>
                <w:szCs w:val="22"/>
              </w:rPr>
            </w:pPr>
          </w:p>
          <w:p w14:paraId="0C4C0F5D" w14:textId="77777777" w:rsidR="00114F14" w:rsidRDefault="00114F14" w:rsidP="004A104C">
            <w:pPr>
              <w:rPr>
                <w:sz w:val="22"/>
                <w:szCs w:val="22"/>
              </w:rPr>
            </w:pPr>
          </w:p>
          <w:p w14:paraId="17C5F544" w14:textId="77777777" w:rsidR="00114F14" w:rsidRDefault="00114F14" w:rsidP="004A104C">
            <w:pPr>
              <w:rPr>
                <w:sz w:val="22"/>
                <w:szCs w:val="22"/>
              </w:rPr>
            </w:pPr>
          </w:p>
          <w:p w14:paraId="75E96C18" w14:textId="77777777" w:rsidR="00114F14" w:rsidRDefault="00114F14" w:rsidP="004A104C">
            <w:pPr>
              <w:rPr>
                <w:sz w:val="22"/>
                <w:szCs w:val="22"/>
              </w:rPr>
            </w:pPr>
          </w:p>
          <w:p w14:paraId="5FE3C048" w14:textId="77777777" w:rsidR="00114F14" w:rsidRDefault="00114F14" w:rsidP="004A104C">
            <w:pPr>
              <w:rPr>
                <w:sz w:val="22"/>
                <w:szCs w:val="22"/>
              </w:rPr>
            </w:pPr>
          </w:p>
          <w:p w14:paraId="25110DDA" w14:textId="77777777" w:rsidR="00114F14" w:rsidRDefault="00114F14" w:rsidP="004A104C">
            <w:pPr>
              <w:rPr>
                <w:sz w:val="22"/>
                <w:szCs w:val="22"/>
              </w:rPr>
            </w:pPr>
          </w:p>
          <w:p w14:paraId="1D5DB2F5" w14:textId="77777777" w:rsidR="00114F14" w:rsidRDefault="00114F14" w:rsidP="004A104C">
            <w:pPr>
              <w:rPr>
                <w:sz w:val="22"/>
                <w:szCs w:val="22"/>
              </w:rPr>
            </w:pPr>
          </w:p>
          <w:p w14:paraId="45375C92" w14:textId="77777777" w:rsidR="00114F14" w:rsidRDefault="00114F14" w:rsidP="004A104C">
            <w:pPr>
              <w:rPr>
                <w:sz w:val="22"/>
                <w:szCs w:val="22"/>
              </w:rPr>
            </w:pPr>
          </w:p>
          <w:p w14:paraId="76F13842" w14:textId="77777777" w:rsidR="00114F14" w:rsidRDefault="00114F14" w:rsidP="004A104C">
            <w:pPr>
              <w:rPr>
                <w:sz w:val="22"/>
                <w:szCs w:val="22"/>
              </w:rPr>
            </w:pPr>
          </w:p>
          <w:p w14:paraId="15CC3292" w14:textId="77777777" w:rsidR="00114F14" w:rsidRDefault="00114F14" w:rsidP="004A104C">
            <w:pPr>
              <w:rPr>
                <w:sz w:val="22"/>
                <w:szCs w:val="22"/>
              </w:rPr>
            </w:pPr>
          </w:p>
          <w:p w14:paraId="45A636F6" w14:textId="77777777" w:rsidR="00114F14" w:rsidRDefault="00114F14" w:rsidP="004A104C">
            <w:pPr>
              <w:rPr>
                <w:sz w:val="22"/>
                <w:szCs w:val="22"/>
              </w:rPr>
            </w:pPr>
          </w:p>
          <w:p w14:paraId="0B7911C4" w14:textId="77777777" w:rsidR="00114F14" w:rsidRDefault="00114F14" w:rsidP="004A104C">
            <w:pPr>
              <w:rPr>
                <w:sz w:val="22"/>
                <w:szCs w:val="22"/>
              </w:rPr>
            </w:pPr>
          </w:p>
          <w:p w14:paraId="4D7CC7F0" w14:textId="77777777" w:rsidR="00114F14" w:rsidRDefault="00114F14" w:rsidP="004A104C">
            <w:pPr>
              <w:rPr>
                <w:sz w:val="22"/>
                <w:szCs w:val="22"/>
              </w:rPr>
            </w:pPr>
          </w:p>
          <w:p w14:paraId="2C50CC15" w14:textId="064F500A" w:rsidR="00114F14" w:rsidRDefault="00114F14" w:rsidP="004A104C">
            <w:pPr>
              <w:rPr>
                <w:sz w:val="22"/>
                <w:szCs w:val="22"/>
              </w:rPr>
            </w:pPr>
          </w:p>
          <w:p w14:paraId="2BBE5086" w14:textId="3F23E3B2" w:rsidR="00114F14" w:rsidRDefault="00114F14" w:rsidP="004A104C">
            <w:pPr>
              <w:rPr>
                <w:sz w:val="22"/>
                <w:szCs w:val="22"/>
              </w:rPr>
            </w:pPr>
          </w:p>
          <w:p w14:paraId="5EE2F449" w14:textId="43C27F71" w:rsidR="00114F14" w:rsidRDefault="00114F14" w:rsidP="004A104C">
            <w:pPr>
              <w:rPr>
                <w:sz w:val="22"/>
                <w:szCs w:val="22"/>
              </w:rPr>
            </w:pPr>
          </w:p>
          <w:p w14:paraId="179FF39C" w14:textId="6E516E2D" w:rsidR="00114F14" w:rsidRDefault="00114F14" w:rsidP="004A104C">
            <w:pPr>
              <w:rPr>
                <w:sz w:val="22"/>
                <w:szCs w:val="22"/>
              </w:rPr>
            </w:pPr>
          </w:p>
          <w:p w14:paraId="44FCB1A1" w14:textId="2D373BF1" w:rsidR="00114F14" w:rsidRDefault="00114F14" w:rsidP="004A104C">
            <w:pPr>
              <w:rPr>
                <w:sz w:val="22"/>
                <w:szCs w:val="22"/>
              </w:rPr>
            </w:pPr>
          </w:p>
          <w:p w14:paraId="3B0346D8" w14:textId="07C1B273" w:rsidR="00114F14" w:rsidRDefault="00114F14" w:rsidP="004A104C">
            <w:pPr>
              <w:rPr>
                <w:sz w:val="22"/>
                <w:szCs w:val="22"/>
              </w:rPr>
            </w:pPr>
          </w:p>
          <w:p w14:paraId="2CE7A16C" w14:textId="4D287630" w:rsidR="00114F14" w:rsidRDefault="00114F14" w:rsidP="004A104C">
            <w:pPr>
              <w:rPr>
                <w:sz w:val="22"/>
                <w:szCs w:val="22"/>
              </w:rPr>
            </w:pPr>
          </w:p>
          <w:p w14:paraId="244AF3FE" w14:textId="6A7F27F8" w:rsidR="00114F14" w:rsidRDefault="00114F14" w:rsidP="004A104C">
            <w:pPr>
              <w:rPr>
                <w:sz w:val="22"/>
                <w:szCs w:val="22"/>
              </w:rPr>
            </w:pPr>
          </w:p>
          <w:p w14:paraId="2B2D46FD" w14:textId="03090EFD" w:rsidR="00114F14" w:rsidRDefault="00114F14" w:rsidP="004A104C">
            <w:pPr>
              <w:rPr>
                <w:sz w:val="22"/>
                <w:szCs w:val="22"/>
              </w:rPr>
            </w:pPr>
          </w:p>
          <w:p w14:paraId="0D90A06F" w14:textId="00676F5D" w:rsidR="00114F14" w:rsidRDefault="00114F14" w:rsidP="004A104C">
            <w:pPr>
              <w:rPr>
                <w:sz w:val="22"/>
                <w:szCs w:val="22"/>
              </w:rPr>
            </w:pPr>
          </w:p>
          <w:p w14:paraId="1B27ED46" w14:textId="65C64988" w:rsidR="00114F14" w:rsidRDefault="00114F14" w:rsidP="004A104C">
            <w:pPr>
              <w:rPr>
                <w:sz w:val="22"/>
                <w:szCs w:val="22"/>
              </w:rPr>
            </w:pPr>
          </w:p>
          <w:p w14:paraId="02FFC9FD" w14:textId="29F4B1BF" w:rsidR="00114F14" w:rsidRDefault="00114F14" w:rsidP="004A104C">
            <w:pPr>
              <w:rPr>
                <w:sz w:val="22"/>
                <w:szCs w:val="22"/>
              </w:rPr>
            </w:pPr>
          </w:p>
          <w:p w14:paraId="2B53C721" w14:textId="77777777" w:rsidR="00114F14" w:rsidRDefault="00114F14" w:rsidP="004A104C">
            <w:pPr>
              <w:rPr>
                <w:sz w:val="22"/>
                <w:szCs w:val="22"/>
              </w:rPr>
            </w:pPr>
          </w:p>
          <w:p w14:paraId="75983EFA" w14:textId="4625F295" w:rsidR="00114F14" w:rsidRDefault="00114F14" w:rsidP="004A104C">
            <w:pPr>
              <w:rPr>
                <w:sz w:val="22"/>
                <w:szCs w:val="22"/>
              </w:rPr>
            </w:pPr>
          </w:p>
          <w:p w14:paraId="38D807A2" w14:textId="52A9B2F5" w:rsidR="00114F14" w:rsidRDefault="00114F14" w:rsidP="004A104C">
            <w:pPr>
              <w:rPr>
                <w:sz w:val="22"/>
                <w:szCs w:val="22"/>
              </w:rPr>
            </w:pPr>
          </w:p>
          <w:p w14:paraId="53434A6D" w14:textId="578B273D" w:rsidR="00114F14" w:rsidRDefault="00114F14" w:rsidP="004A104C">
            <w:pPr>
              <w:rPr>
                <w:sz w:val="22"/>
                <w:szCs w:val="22"/>
              </w:rPr>
            </w:pPr>
          </w:p>
          <w:p w14:paraId="106D41BB" w14:textId="4A7F4BFE" w:rsidR="00114F14" w:rsidRDefault="00114F14" w:rsidP="004A104C">
            <w:pPr>
              <w:rPr>
                <w:sz w:val="22"/>
                <w:szCs w:val="22"/>
              </w:rPr>
            </w:pPr>
          </w:p>
          <w:p w14:paraId="10933DCC" w14:textId="7BB66B82" w:rsidR="00114F14" w:rsidRDefault="00114F14" w:rsidP="004A104C">
            <w:pPr>
              <w:rPr>
                <w:sz w:val="22"/>
                <w:szCs w:val="22"/>
              </w:rPr>
            </w:pPr>
          </w:p>
          <w:p w14:paraId="20476778" w14:textId="77777777" w:rsidR="00114F14" w:rsidRDefault="00114F14" w:rsidP="004A104C">
            <w:pPr>
              <w:rPr>
                <w:sz w:val="22"/>
                <w:szCs w:val="22"/>
              </w:rPr>
            </w:pPr>
          </w:p>
          <w:p w14:paraId="77C2F0AF" w14:textId="70D1C647" w:rsidR="00114F14" w:rsidRDefault="00114F14" w:rsidP="004A104C">
            <w:pPr>
              <w:rPr>
                <w:sz w:val="22"/>
                <w:szCs w:val="22"/>
              </w:rPr>
            </w:pPr>
            <w:r>
              <w:rPr>
                <w:sz w:val="22"/>
                <w:szCs w:val="22"/>
              </w:rPr>
              <w:t>PART VVVV</w:t>
            </w:r>
          </w:p>
          <w:p w14:paraId="27AF71A2" w14:textId="77777777" w:rsidR="00114F14" w:rsidRDefault="00114F14" w:rsidP="004A104C">
            <w:pPr>
              <w:rPr>
                <w:sz w:val="22"/>
                <w:szCs w:val="22"/>
              </w:rPr>
            </w:pPr>
            <w:r>
              <w:rPr>
                <w:sz w:val="22"/>
                <w:szCs w:val="22"/>
              </w:rPr>
              <w:t>Participate as a member of the Independent Review Advisory Committee.</w:t>
            </w:r>
          </w:p>
          <w:p w14:paraId="76F88355" w14:textId="77777777" w:rsidR="00114F14" w:rsidRDefault="00114F14" w:rsidP="004A104C">
            <w:pPr>
              <w:rPr>
                <w:sz w:val="22"/>
                <w:szCs w:val="22"/>
              </w:rPr>
            </w:pPr>
          </w:p>
          <w:p w14:paraId="65B1EB56" w14:textId="77777777" w:rsidR="00114F14" w:rsidRDefault="00114F14" w:rsidP="004A104C">
            <w:pPr>
              <w:rPr>
                <w:sz w:val="22"/>
                <w:szCs w:val="22"/>
              </w:rPr>
            </w:pPr>
          </w:p>
          <w:p w14:paraId="528A8B0B" w14:textId="77777777" w:rsidR="00114F14" w:rsidRDefault="00114F14" w:rsidP="004A104C">
            <w:pPr>
              <w:rPr>
                <w:sz w:val="22"/>
                <w:szCs w:val="22"/>
              </w:rPr>
            </w:pPr>
          </w:p>
          <w:p w14:paraId="64325815" w14:textId="77777777" w:rsidR="00114F14" w:rsidRDefault="00114F14" w:rsidP="004A104C">
            <w:pPr>
              <w:rPr>
                <w:sz w:val="22"/>
                <w:szCs w:val="22"/>
              </w:rPr>
            </w:pPr>
          </w:p>
          <w:p w14:paraId="51B160F3" w14:textId="77777777" w:rsidR="00114F14" w:rsidRDefault="00114F14" w:rsidP="004A104C">
            <w:pPr>
              <w:rPr>
                <w:sz w:val="22"/>
                <w:szCs w:val="22"/>
              </w:rPr>
            </w:pPr>
          </w:p>
          <w:p w14:paraId="0621CE55" w14:textId="77777777" w:rsidR="00114F14" w:rsidRDefault="00114F14" w:rsidP="004A104C">
            <w:pPr>
              <w:rPr>
                <w:sz w:val="22"/>
                <w:szCs w:val="22"/>
              </w:rPr>
            </w:pPr>
          </w:p>
          <w:p w14:paraId="2ECA4310" w14:textId="77777777" w:rsidR="00114F14" w:rsidRDefault="00114F14" w:rsidP="004A104C">
            <w:pPr>
              <w:rPr>
                <w:sz w:val="22"/>
                <w:szCs w:val="22"/>
              </w:rPr>
            </w:pPr>
          </w:p>
          <w:p w14:paraId="3F6960B0" w14:textId="77777777" w:rsidR="00114F14" w:rsidRDefault="00114F14" w:rsidP="004A104C">
            <w:pPr>
              <w:rPr>
                <w:sz w:val="22"/>
                <w:szCs w:val="22"/>
              </w:rPr>
            </w:pPr>
          </w:p>
          <w:p w14:paraId="7E1594A3" w14:textId="77777777" w:rsidR="00114F14" w:rsidRDefault="00114F14" w:rsidP="004A104C">
            <w:pPr>
              <w:rPr>
                <w:sz w:val="22"/>
                <w:szCs w:val="22"/>
              </w:rPr>
            </w:pPr>
          </w:p>
          <w:p w14:paraId="5EF6292B" w14:textId="77777777" w:rsidR="00114F14" w:rsidRDefault="00114F14" w:rsidP="004A104C">
            <w:pPr>
              <w:rPr>
                <w:sz w:val="22"/>
                <w:szCs w:val="22"/>
              </w:rPr>
            </w:pPr>
          </w:p>
          <w:p w14:paraId="33717226" w14:textId="77777777" w:rsidR="00114F14" w:rsidRDefault="00114F14" w:rsidP="004A104C">
            <w:pPr>
              <w:rPr>
                <w:sz w:val="22"/>
                <w:szCs w:val="22"/>
              </w:rPr>
            </w:pPr>
          </w:p>
          <w:p w14:paraId="6347FD8E" w14:textId="77777777" w:rsidR="00114F14" w:rsidRDefault="00114F14" w:rsidP="004A104C">
            <w:pPr>
              <w:rPr>
                <w:sz w:val="22"/>
                <w:szCs w:val="22"/>
              </w:rPr>
            </w:pPr>
          </w:p>
          <w:p w14:paraId="6410E542" w14:textId="77777777" w:rsidR="00114F14" w:rsidRDefault="00114F14" w:rsidP="004A104C">
            <w:pPr>
              <w:rPr>
                <w:sz w:val="22"/>
                <w:szCs w:val="22"/>
              </w:rPr>
            </w:pPr>
          </w:p>
          <w:p w14:paraId="3B9A4E04" w14:textId="77777777" w:rsidR="00114F14" w:rsidRDefault="00114F14" w:rsidP="004A104C">
            <w:pPr>
              <w:rPr>
                <w:sz w:val="22"/>
                <w:szCs w:val="22"/>
              </w:rPr>
            </w:pPr>
          </w:p>
          <w:p w14:paraId="5693A1E2" w14:textId="77777777" w:rsidR="00114F14" w:rsidRDefault="00114F14" w:rsidP="004A104C">
            <w:pPr>
              <w:rPr>
                <w:sz w:val="22"/>
                <w:szCs w:val="22"/>
              </w:rPr>
            </w:pPr>
          </w:p>
          <w:p w14:paraId="047DEC2C" w14:textId="77777777" w:rsidR="00114F14" w:rsidRDefault="00114F14" w:rsidP="004A104C">
            <w:pPr>
              <w:rPr>
                <w:sz w:val="22"/>
                <w:szCs w:val="22"/>
              </w:rPr>
            </w:pPr>
          </w:p>
          <w:p w14:paraId="5DC2298B" w14:textId="77777777" w:rsidR="00114F14" w:rsidRDefault="00114F14" w:rsidP="004A104C">
            <w:pPr>
              <w:rPr>
                <w:sz w:val="22"/>
                <w:szCs w:val="22"/>
              </w:rPr>
            </w:pPr>
          </w:p>
          <w:p w14:paraId="0262A19C" w14:textId="77777777" w:rsidR="00114F14" w:rsidRDefault="00114F14" w:rsidP="004A104C">
            <w:pPr>
              <w:rPr>
                <w:sz w:val="22"/>
                <w:szCs w:val="22"/>
              </w:rPr>
            </w:pPr>
          </w:p>
          <w:p w14:paraId="1FD5431B" w14:textId="77777777" w:rsidR="00114F14" w:rsidRDefault="00114F14" w:rsidP="004A104C">
            <w:pPr>
              <w:rPr>
                <w:sz w:val="22"/>
                <w:szCs w:val="22"/>
              </w:rPr>
            </w:pPr>
          </w:p>
          <w:p w14:paraId="5AC31C71" w14:textId="77777777" w:rsidR="00114F14" w:rsidRDefault="00114F14" w:rsidP="004A104C">
            <w:pPr>
              <w:rPr>
                <w:sz w:val="22"/>
                <w:szCs w:val="22"/>
              </w:rPr>
            </w:pPr>
          </w:p>
          <w:p w14:paraId="12D2C8E9" w14:textId="77777777" w:rsidR="00114F14" w:rsidRDefault="00114F14" w:rsidP="004A104C">
            <w:pPr>
              <w:rPr>
                <w:sz w:val="22"/>
                <w:szCs w:val="22"/>
              </w:rPr>
            </w:pPr>
          </w:p>
          <w:p w14:paraId="29CDC6E0" w14:textId="77777777" w:rsidR="00114F14" w:rsidRDefault="00114F14" w:rsidP="004A104C">
            <w:pPr>
              <w:rPr>
                <w:sz w:val="22"/>
                <w:szCs w:val="22"/>
              </w:rPr>
            </w:pPr>
          </w:p>
          <w:p w14:paraId="54451F2A" w14:textId="77777777" w:rsidR="00114F14" w:rsidRDefault="00114F14" w:rsidP="004A104C">
            <w:pPr>
              <w:rPr>
                <w:sz w:val="22"/>
                <w:szCs w:val="22"/>
              </w:rPr>
            </w:pPr>
          </w:p>
          <w:p w14:paraId="1BB9B81C" w14:textId="77777777" w:rsidR="00114F14" w:rsidRDefault="00114F14" w:rsidP="004A104C">
            <w:pPr>
              <w:rPr>
                <w:sz w:val="22"/>
                <w:szCs w:val="22"/>
              </w:rPr>
            </w:pPr>
          </w:p>
          <w:p w14:paraId="1E8B3CFA" w14:textId="77777777" w:rsidR="00114F14" w:rsidRDefault="00114F14" w:rsidP="004A104C">
            <w:pPr>
              <w:rPr>
                <w:sz w:val="22"/>
                <w:szCs w:val="22"/>
              </w:rPr>
            </w:pPr>
          </w:p>
          <w:p w14:paraId="798D4EE2" w14:textId="77777777" w:rsidR="00114F14" w:rsidRDefault="00114F14" w:rsidP="004A104C">
            <w:pPr>
              <w:rPr>
                <w:sz w:val="22"/>
                <w:szCs w:val="22"/>
              </w:rPr>
            </w:pPr>
          </w:p>
          <w:p w14:paraId="60CA120D" w14:textId="77777777" w:rsidR="00114F14" w:rsidRDefault="00114F14" w:rsidP="004A104C">
            <w:pPr>
              <w:rPr>
                <w:sz w:val="22"/>
                <w:szCs w:val="22"/>
              </w:rPr>
            </w:pPr>
          </w:p>
          <w:p w14:paraId="41B91613" w14:textId="77777777" w:rsidR="00114F14" w:rsidRDefault="00114F14" w:rsidP="004A104C">
            <w:pPr>
              <w:rPr>
                <w:sz w:val="22"/>
                <w:szCs w:val="22"/>
              </w:rPr>
            </w:pPr>
          </w:p>
          <w:p w14:paraId="6D01A464" w14:textId="77777777" w:rsidR="00114F14" w:rsidRDefault="00114F14" w:rsidP="004A104C">
            <w:pPr>
              <w:rPr>
                <w:sz w:val="22"/>
                <w:szCs w:val="22"/>
              </w:rPr>
            </w:pPr>
          </w:p>
          <w:p w14:paraId="4456800D" w14:textId="77777777" w:rsidR="00114F14" w:rsidRDefault="00114F14" w:rsidP="004A104C">
            <w:pPr>
              <w:rPr>
                <w:sz w:val="22"/>
                <w:szCs w:val="22"/>
              </w:rPr>
            </w:pPr>
          </w:p>
          <w:p w14:paraId="23DF1CE3" w14:textId="77777777" w:rsidR="00114F14" w:rsidRDefault="00114F14" w:rsidP="004A104C">
            <w:pPr>
              <w:rPr>
                <w:sz w:val="22"/>
                <w:szCs w:val="22"/>
              </w:rPr>
            </w:pPr>
          </w:p>
          <w:p w14:paraId="3215103D" w14:textId="77777777" w:rsidR="00114F14" w:rsidRDefault="00114F14" w:rsidP="004A104C">
            <w:pPr>
              <w:rPr>
                <w:sz w:val="22"/>
                <w:szCs w:val="22"/>
              </w:rPr>
            </w:pPr>
          </w:p>
          <w:p w14:paraId="038539C8" w14:textId="77777777" w:rsidR="00114F14" w:rsidRDefault="00114F14" w:rsidP="004A104C">
            <w:pPr>
              <w:rPr>
                <w:sz w:val="22"/>
                <w:szCs w:val="22"/>
              </w:rPr>
            </w:pPr>
          </w:p>
          <w:p w14:paraId="74F724F4" w14:textId="77777777" w:rsidR="00114F14" w:rsidRDefault="00114F14" w:rsidP="004A104C">
            <w:pPr>
              <w:rPr>
                <w:sz w:val="22"/>
                <w:szCs w:val="22"/>
              </w:rPr>
            </w:pPr>
          </w:p>
          <w:p w14:paraId="7AFAB495" w14:textId="77777777" w:rsidR="00114F14" w:rsidRDefault="00114F14" w:rsidP="004A104C">
            <w:pPr>
              <w:rPr>
                <w:sz w:val="22"/>
                <w:szCs w:val="22"/>
              </w:rPr>
            </w:pPr>
          </w:p>
          <w:p w14:paraId="6A0E2934" w14:textId="77777777" w:rsidR="00114F14" w:rsidRDefault="00114F14" w:rsidP="004A104C">
            <w:pPr>
              <w:rPr>
                <w:sz w:val="22"/>
                <w:szCs w:val="22"/>
              </w:rPr>
            </w:pPr>
          </w:p>
          <w:p w14:paraId="53FBCA3E" w14:textId="77777777" w:rsidR="00114F14" w:rsidRDefault="00114F14" w:rsidP="004A104C">
            <w:pPr>
              <w:rPr>
                <w:sz w:val="22"/>
                <w:szCs w:val="22"/>
              </w:rPr>
            </w:pPr>
          </w:p>
          <w:p w14:paraId="44CA810C" w14:textId="77777777" w:rsidR="00114F14" w:rsidRDefault="00114F14" w:rsidP="004A104C">
            <w:pPr>
              <w:rPr>
                <w:sz w:val="22"/>
                <w:szCs w:val="22"/>
              </w:rPr>
            </w:pPr>
          </w:p>
          <w:p w14:paraId="5CFCA795" w14:textId="77777777" w:rsidR="00114F14" w:rsidRDefault="00114F14" w:rsidP="004A104C">
            <w:pPr>
              <w:rPr>
                <w:sz w:val="22"/>
                <w:szCs w:val="22"/>
              </w:rPr>
            </w:pPr>
          </w:p>
          <w:p w14:paraId="51C1BA3B" w14:textId="77777777" w:rsidR="00114F14" w:rsidRDefault="00114F14" w:rsidP="004A104C">
            <w:pPr>
              <w:rPr>
                <w:sz w:val="22"/>
                <w:szCs w:val="22"/>
              </w:rPr>
            </w:pPr>
          </w:p>
          <w:p w14:paraId="29BC8E4F" w14:textId="77777777" w:rsidR="00114F14" w:rsidRDefault="00114F14" w:rsidP="004A104C">
            <w:pPr>
              <w:rPr>
                <w:sz w:val="22"/>
                <w:szCs w:val="22"/>
              </w:rPr>
            </w:pPr>
          </w:p>
          <w:p w14:paraId="04A2E148" w14:textId="77777777" w:rsidR="00114F14" w:rsidRDefault="00114F14" w:rsidP="004A104C">
            <w:pPr>
              <w:rPr>
                <w:sz w:val="22"/>
                <w:szCs w:val="22"/>
              </w:rPr>
            </w:pPr>
          </w:p>
          <w:p w14:paraId="30BFBB98" w14:textId="77777777" w:rsidR="00114F14" w:rsidRDefault="00114F14" w:rsidP="004A104C">
            <w:pPr>
              <w:rPr>
                <w:sz w:val="22"/>
                <w:szCs w:val="22"/>
              </w:rPr>
            </w:pPr>
          </w:p>
          <w:p w14:paraId="1A7C55BE" w14:textId="77777777" w:rsidR="00114F14" w:rsidRDefault="00114F14" w:rsidP="004A104C">
            <w:pPr>
              <w:rPr>
                <w:sz w:val="22"/>
                <w:szCs w:val="22"/>
              </w:rPr>
            </w:pPr>
          </w:p>
          <w:p w14:paraId="1A1055BD" w14:textId="77777777" w:rsidR="00114F14" w:rsidRDefault="00114F14" w:rsidP="004A104C">
            <w:pPr>
              <w:rPr>
                <w:sz w:val="22"/>
                <w:szCs w:val="22"/>
              </w:rPr>
            </w:pPr>
          </w:p>
          <w:p w14:paraId="03A156AA" w14:textId="77777777" w:rsidR="00114F14" w:rsidRDefault="00114F14" w:rsidP="004A104C">
            <w:pPr>
              <w:rPr>
                <w:sz w:val="22"/>
                <w:szCs w:val="22"/>
              </w:rPr>
            </w:pPr>
          </w:p>
          <w:p w14:paraId="3FD5D09C" w14:textId="77777777" w:rsidR="00114F14" w:rsidRDefault="00114F14" w:rsidP="004A104C">
            <w:pPr>
              <w:rPr>
                <w:sz w:val="22"/>
                <w:szCs w:val="22"/>
              </w:rPr>
            </w:pPr>
          </w:p>
          <w:p w14:paraId="03557E3F" w14:textId="77777777" w:rsidR="00114F14" w:rsidRDefault="00114F14" w:rsidP="004A104C">
            <w:pPr>
              <w:rPr>
                <w:sz w:val="22"/>
                <w:szCs w:val="22"/>
              </w:rPr>
            </w:pPr>
          </w:p>
          <w:p w14:paraId="78E04C3F" w14:textId="77777777" w:rsidR="00114F14" w:rsidRDefault="00114F14" w:rsidP="004A104C">
            <w:pPr>
              <w:rPr>
                <w:sz w:val="22"/>
                <w:szCs w:val="22"/>
              </w:rPr>
            </w:pPr>
          </w:p>
          <w:p w14:paraId="7CE440A1" w14:textId="77777777" w:rsidR="00114F14" w:rsidRDefault="00114F14" w:rsidP="004A104C">
            <w:pPr>
              <w:rPr>
                <w:sz w:val="22"/>
                <w:szCs w:val="22"/>
              </w:rPr>
            </w:pPr>
          </w:p>
          <w:p w14:paraId="4AC6700C" w14:textId="77777777" w:rsidR="00114F14" w:rsidRDefault="00114F14" w:rsidP="004A104C">
            <w:pPr>
              <w:rPr>
                <w:sz w:val="22"/>
                <w:szCs w:val="22"/>
              </w:rPr>
            </w:pPr>
          </w:p>
          <w:p w14:paraId="63D34553" w14:textId="77777777" w:rsidR="00114F14" w:rsidRDefault="00114F14" w:rsidP="004A104C">
            <w:pPr>
              <w:rPr>
                <w:sz w:val="22"/>
                <w:szCs w:val="22"/>
              </w:rPr>
            </w:pPr>
          </w:p>
          <w:p w14:paraId="0DB0C9EB" w14:textId="3AB07B2E" w:rsidR="00114F14" w:rsidRDefault="00114F14" w:rsidP="004A104C">
            <w:pPr>
              <w:rPr>
                <w:sz w:val="22"/>
                <w:szCs w:val="22"/>
              </w:rPr>
            </w:pPr>
          </w:p>
          <w:p w14:paraId="1F726CCE" w14:textId="03C4CD31" w:rsidR="00114F14" w:rsidRDefault="00114F14" w:rsidP="004A104C">
            <w:pPr>
              <w:rPr>
                <w:sz w:val="22"/>
                <w:szCs w:val="22"/>
              </w:rPr>
            </w:pPr>
          </w:p>
          <w:p w14:paraId="300086AD" w14:textId="1F3B6554" w:rsidR="00114F14" w:rsidRDefault="00114F14" w:rsidP="004A104C">
            <w:pPr>
              <w:rPr>
                <w:sz w:val="22"/>
                <w:szCs w:val="22"/>
              </w:rPr>
            </w:pPr>
          </w:p>
          <w:p w14:paraId="44AB101F" w14:textId="71964F79" w:rsidR="00114F14" w:rsidRDefault="00114F14" w:rsidP="004A104C">
            <w:pPr>
              <w:rPr>
                <w:sz w:val="22"/>
                <w:szCs w:val="22"/>
              </w:rPr>
            </w:pPr>
          </w:p>
          <w:p w14:paraId="2E73C979" w14:textId="2B04EBD1" w:rsidR="00114F14" w:rsidRDefault="00114F14" w:rsidP="004A104C">
            <w:pPr>
              <w:rPr>
                <w:sz w:val="22"/>
                <w:szCs w:val="22"/>
              </w:rPr>
            </w:pPr>
          </w:p>
          <w:p w14:paraId="76D787FD" w14:textId="4588F7A9" w:rsidR="00114F14" w:rsidRDefault="00114F14" w:rsidP="004A104C">
            <w:pPr>
              <w:rPr>
                <w:sz w:val="22"/>
                <w:szCs w:val="22"/>
              </w:rPr>
            </w:pPr>
          </w:p>
          <w:p w14:paraId="3291E6E3" w14:textId="5C771102" w:rsidR="00114F14" w:rsidRDefault="00114F14" w:rsidP="004A104C">
            <w:pPr>
              <w:rPr>
                <w:sz w:val="22"/>
                <w:szCs w:val="22"/>
              </w:rPr>
            </w:pPr>
          </w:p>
          <w:p w14:paraId="5ED46732" w14:textId="1587D178" w:rsidR="00114F14" w:rsidRDefault="00114F14" w:rsidP="004A104C">
            <w:pPr>
              <w:rPr>
                <w:sz w:val="22"/>
                <w:szCs w:val="22"/>
              </w:rPr>
            </w:pPr>
          </w:p>
          <w:p w14:paraId="167B9614" w14:textId="1E393A8F" w:rsidR="00114F14" w:rsidRDefault="00114F14" w:rsidP="004A104C">
            <w:pPr>
              <w:rPr>
                <w:sz w:val="22"/>
                <w:szCs w:val="22"/>
              </w:rPr>
            </w:pPr>
          </w:p>
          <w:p w14:paraId="148849C2" w14:textId="4B8247BB" w:rsidR="00114F14" w:rsidRDefault="00114F14" w:rsidP="004A104C">
            <w:pPr>
              <w:rPr>
                <w:sz w:val="22"/>
                <w:szCs w:val="22"/>
              </w:rPr>
            </w:pPr>
          </w:p>
          <w:p w14:paraId="6006A9DF" w14:textId="7AAFC126" w:rsidR="00114F14" w:rsidRDefault="00114F14" w:rsidP="004A104C">
            <w:pPr>
              <w:rPr>
                <w:sz w:val="22"/>
                <w:szCs w:val="22"/>
              </w:rPr>
            </w:pPr>
          </w:p>
          <w:p w14:paraId="31DDBC47" w14:textId="228CBBD9" w:rsidR="00114F14" w:rsidRDefault="00114F14" w:rsidP="004A104C">
            <w:pPr>
              <w:rPr>
                <w:sz w:val="22"/>
                <w:szCs w:val="22"/>
              </w:rPr>
            </w:pPr>
          </w:p>
          <w:p w14:paraId="0C0F3553" w14:textId="3E7D5B30" w:rsidR="00114F14" w:rsidRDefault="00114F14" w:rsidP="004A104C">
            <w:pPr>
              <w:rPr>
                <w:sz w:val="22"/>
                <w:szCs w:val="22"/>
              </w:rPr>
            </w:pPr>
          </w:p>
          <w:p w14:paraId="6A201674" w14:textId="6C0A4E0F" w:rsidR="00114F14" w:rsidRDefault="00114F14" w:rsidP="004A104C">
            <w:pPr>
              <w:rPr>
                <w:sz w:val="22"/>
                <w:szCs w:val="22"/>
              </w:rPr>
            </w:pPr>
          </w:p>
          <w:p w14:paraId="62618132" w14:textId="51A63CCB" w:rsidR="00114F14" w:rsidRDefault="00114F14" w:rsidP="004A104C">
            <w:pPr>
              <w:rPr>
                <w:sz w:val="22"/>
                <w:szCs w:val="22"/>
              </w:rPr>
            </w:pPr>
          </w:p>
          <w:p w14:paraId="71772B95" w14:textId="03CFEC4B" w:rsidR="00114F14" w:rsidRDefault="00114F14" w:rsidP="004A104C">
            <w:pPr>
              <w:rPr>
                <w:sz w:val="22"/>
                <w:szCs w:val="22"/>
              </w:rPr>
            </w:pPr>
          </w:p>
          <w:p w14:paraId="5AA8A1C8" w14:textId="125359C3" w:rsidR="00114F14" w:rsidRDefault="00114F14" w:rsidP="004A104C">
            <w:pPr>
              <w:rPr>
                <w:sz w:val="22"/>
                <w:szCs w:val="22"/>
              </w:rPr>
            </w:pPr>
          </w:p>
          <w:p w14:paraId="22A75B18" w14:textId="095E659D" w:rsidR="00114F14" w:rsidRDefault="00114F14" w:rsidP="004A104C">
            <w:pPr>
              <w:rPr>
                <w:sz w:val="22"/>
                <w:szCs w:val="22"/>
              </w:rPr>
            </w:pPr>
          </w:p>
          <w:p w14:paraId="056CECDD" w14:textId="77777777" w:rsidR="00114F14" w:rsidRDefault="00114F14" w:rsidP="004A104C">
            <w:pPr>
              <w:rPr>
                <w:sz w:val="22"/>
                <w:szCs w:val="22"/>
              </w:rPr>
            </w:pPr>
          </w:p>
          <w:p w14:paraId="30C42877" w14:textId="70511E31" w:rsidR="00114F14" w:rsidRDefault="00114F14" w:rsidP="004A104C">
            <w:pPr>
              <w:rPr>
                <w:sz w:val="22"/>
                <w:szCs w:val="22"/>
              </w:rPr>
            </w:pPr>
          </w:p>
          <w:p w14:paraId="2208B2AA" w14:textId="05F66DC8" w:rsidR="00114F14" w:rsidRDefault="00114F14" w:rsidP="004A104C">
            <w:pPr>
              <w:rPr>
                <w:sz w:val="22"/>
                <w:szCs w:val="22"/>
              </w:rPr>
            </w:pPr>
            <w:r>
              <w:rPr>
                <w:sz w:val="22"/>
                <w:szCs w:val="22"/>
              </w:rPr>
              <w:t>Selected entity to submit reports to Joint Standing Committee on Education &amp; Cultural Affairs by April 1, 2020 and December 1, 2020.</w:t>
            </w:r>
          </w:p>
          <w:p w14:paraId="18C83D77" w14:textId="54EAC8EF" w:rsidR="00114F14" w:rsidRDefault="00114F14" w:rsidP="004A104C">
            <w:pPr>
              <w:rPr>
                <w:sz w:val="22"/>
                <w:szCs w:val="22"/>
              </w:rPr>
            </w:pPr>
          </w:p>
          <w:p w14:paraId="4E2B5656" w14:textId="6F9BEF17" w:rsidR="00114F14" w:rsidRDefault="00114F14" w:rsidP="004A104C">
            <w:pPr>
              <w:rPr>
                <w:sz w:val="22"/>
                <w:szCs w:val="22"/>
              </w:rPr>
            </w:pPr>
          </w:p>
          <w:p w14:paraId="4C303AFE" w14:textId="71540301" w:rsidR="00114F14" w:rsidRDefault="00114F14" w:rsidP="004A104C">
            <w:pPr>
              <w:rPr>
                <w:sz w:val="22"/>
                <w:szCs w:val="22"/>
              </w:rPr>
            </w:pPr>
          </w:p>
          <w:p w14:paraId="3F042A4F" w14:textId="1DD7F6BD" w:rsidR="00114F14" w:rsidRDefault="00114F14" w:rsidP="004A104C">
            <w:pPr>
              <w:rPr>
                <w:sz w:val="22"/>
                <w:szCs w:val="22"/>
              </w:rPr>
            </w:pPr>
          </w:p>
          <w:p w14:paraId="01216291" w14:textId="78CF0719" w:rsidR="00114F14" w:rsidRDefault="00114F14" w:rsidP="004A104C">
            <w:pPr>
              <w:rPr>
                <w:sz w:val="22"/>
                <w:szCs w:val="22"/>
              </w:rPr>
            </w:pPr>
          </w:p>
          <w:p w14:paraId="395053A7" w14:textId="2C0689C8" w:rsidR="00114F14" w:rsidRDefault="00114F14" w:rsidP="004A104C">
            <w:pPr>
              <w:rPr>
                <w:sz w:val="22"/>
                <w:szCs w:val="22"/>
              </w:rPr>
            </w:pPr>
          </w:p>
          <w:p w14:paraId="61AC8613" w14:textId="77777777" w:rsidR="00114F14" w:rsidRPr="00366447" w:rsidRDefault="00114F14" w:rsidP="004A104C">
            <w:pPr>
              <w:pStyle w:val="HTMLPreformatted"/>
              <w:rPr>
                <w:rFonts w:ascii="Times New Roman" w:hAnsi="Times New Roman" w:cs="Times New Roman"/>
                <w:color w:val="000000"/>
                <w:sz w:val="22"/>
                <w:szCs w:val="22"/>
              </w:rPr>
            </w:pPr>
            <w:r w:rsidRPr="00366447">
              <w:rPr>
                <w:rFonts w:ascii="Times New Roman" w:hAnsi="Times New Roman" w:cs="Times New Roman"/>
                <w:sz w:val="22"/>
                <w:szCs w:val="22"/>
              </w:rPr>
              <w:t xml:space="preserve">“NOTE” added to Department of Education Rule Chapter 64 </w:t>
            </w:r>
            <w:r w:rsidRPr="00366447">
              <w:rPr>
                <w:rFonts w:ascii="Times New Roman" w:hAnsi="Times New Roman" w:cs="Times New Roman"/>
                <w:i/>
                <w:color w:val="000000"/>
                <w:sz w:val="22"/>
                <w:szCs w:val="22"/>
              </w:rPr>
              <w:t>Maine School Facilities</w:t>
            </w:r>
            <w:r w:rsidRPr="00366447">
              <w:rPr>
                <w:rFonts w:ascii="Times New Roman" w:hAnsi="Times New Roman" w:cs="Times New Roman"/>
                <w:color w:val="000000"/>
                <w:sz w:val="22"/>
                <w:szCs w:val="22"/>
              </w:rPr>
              <w:t xml:space="preserve"> </w:t>
            </w:r>
            <w:r w:rsidRPr="00366447">
              <w:rPr>
                <w:rFonts w:ascii="Times New Roman" w:hAnsi="Times New Roman" w:cs="Times New Roman"/>
                <w:i/>
                <w:color w:val="000000"/>
                <w:sz w:val="22"/>
                <w:szCs w:val="22"/>
              </w:rPr>
              <w:t>Program and School Revolving Renovation Fund</w:t>
            </w:r>
          </w:p>
          <w:p w14:paraId="32A07041" w14:textId="77777777" w:rsidR="00114F14" w:rsidRPr="00366447" w:rsidRDefault="00114F14" w:rsidP="004A104C">
            <w:pPr>
              <w:pStyle w:val="Default"/>
              <w:rPr>
                <w:b/>
                <w:bCs/>
                <w:sz w:val="22"/>
                <w:szCs w:val="22"/>
              </w:rPr>
            </w:pPr>
            <w:r w:rsidRPr="00366447">
              <w:rPr>
                <w:sz w:val="22"/>
                <w:szCs w:val="22"/>
              </w:rPr>
              <w:t xml:space="preserve">Priority 4 Status  </w:t>
            </w:r>
          </w:p>
          <w:p w14:paraId="2B01086A" w14:textId="77777777" w:rsidR="00114F14" w:rsidRDefault="00114F14" w:rsidP="004A104C">
            <w:pPr>
              <w:rPr>
                <w:sz w:val="22"/>
                <w:szCs w:val="22"/>
              </w:rPr>
            </w:pPr>
          </w:p>
          <w:p w14:paraId="504A259B" w14:textId="47919389" w:rsidR="00114F14" w:rsidRDefault="00114F14" w:rsidP="004A104C">
            <w:pPr>
              <w:rPr>
                <w:sz w:val="22"/>
                <w:szCs w:val="22"/>
              </w:rPr>
            </w:pPr>
          </w:p>
          <w:p w14:paraId="36D5BBA6" w14:textId="408C90B8" w:rsidR="00114F14" w:rsidRDefault="00114F14" w:rsidP="004A104C">
            <w:pPr>
              <w:rPr>
                <w:sz w:val="22"/>
                <w:szCs w:val="22"/>
              </w:rPr>
            </w:pPr>
          </w:p>
          <w:p w14:paraId="6B98AC45" w14:textId="77777777" w:rsidR="00114F14" w:rsidRDefault="00114F14" w:rsidP="004A104C">
            <w:pPr>
              <w:rPr>
                <w:sz w:val="22"/>
                <w:szCs w:val="22"/>
              </w:rPr>
            </w:pPr>
          </w:p>
          <w:p w14:paraId="36ED178C" w14:textId="3B177358" w:rsidR="00114F14" w:rsidRPr="00433A3D" w:rsidRDefault="00114F14" w:rsidP="004A104C">
            <w:pPr>
              <w:rPr>
                <w:sz w:val="22"/>
                <w:szCs w:val="22"/>
              </w:rPr>
            </w:pPr>
          </w:p>
        </w:tc>
      </w:tr>
      <w:tr w:rsidR="00114F14" w:rsidRPr="008D72F0" w14:paraId="41FCE12D" w14:textId="77777777" w:rsidTr="00114F14">
        <w:trPr>
          <w:trHeight w:val="737"/>
        </w:trPr>
        <w:tc>
          <w:tcPr>
            <w:tcW w:w="3080" w:type="dxa"/>
            <w:shd w:val="clear" w:color="auto" w:fill="auto"/>
          </w:tcPr>
          <w:p w14:paraId="2D6934CC" w14:textId="77777777" w:rsidR="00114F14" w:rsidRDefault="00114F14" w:rsidP="004A104C">
            <w:pPr>
              <w:rPr>
                <w:b/>
              </w:rPr>
            </w:pPr>
            <w:bookmarkStart w:id="7" w:name="_Hlk16240479"/>
            <w:r>
              <w:rPr>
                <w:b/>
              </w:rPr>
              <w:t>LD 1010, Resolve 2019, Chapter 31</w:t>
            </w:r>
          </w:p>
          <w:p w14:paraId="35A7EFA4" w14:textId="2F968E5D" w:rsidR="00114F14" w:rsidRPr="00F006AF" w:rsidRDefault="00114F14" w:rsidP="004A104C">
            <w:pPr>
              <w:rPr>
                <w:i/>
              </w:rPr>
            </w:pPr>
            <w:r w:rsidRPr="00F006AF">
              <w:rPr>
                <w:i/>
              </w:rPr>
              <w:t xml:space="preserve">Resolve, Directing the Department of Education </w:t>
            </w:r>
            <w:proofErr w:type="gramStart"/>
            <w:r w:rsidRPr="00F006AF">
              <w:rPr>
                <w:i/>
              </w:rPr>
              <w:t>To</w:t>
            </w:r>
            <w:proofErr w:type="gramEnd"/>
            <w:r w:rsidRPr="00F006AF">
              <w:rPr>
                <w:i/>
              </w:rPr>
              <w:t xml:space="preserve"> Develop a Model School Disciplinary Policy</w:t>
            </w:r>
          </w:p>
        </w:tc>
        <w:tc>
          <w:tcPr>
            <w:tcW w:w="7265" w:type="dxa"/>
            <w:shd w:val="clear" w:color="auto" w:fill="auto"/>
          </w:tcPr>
          <w:p w14:paraId="024C6CC7" w14:textId="77777777" w:rsidR="00114F14" w:rsidRDefault="00114F14" w:rsidP="004A104C">
            <w:pPr>
              <w:pStyle w:val="ListBullet"/>
            </w:pPr>
            <w:r w:rsidRPr="005A43E1">
              <w:t>Directs the Department to review existing laws regarding disciplinary policy including bullying and cyberbullying and develop a model school disciplinary policy</w:t>
            </w:r>
            <w:r>
              <w:t xml:space="preserve">.  </w:t>
            </w:r>
          </w:p>
          <w:p w14:paraId="18190EA4" w14:textId="77777777" w:rsidR="00114F14" w:rsidRDefault="00114F14" w:rsidP="004A104C">
            <w:pPr>
              <w:pStyle w:val="ListBullet"/>
            </w:pPr>
            <w:r>
              <w:t>Directs the Department to submit a report to the Joint Standing Committee on Education &amp; Cultural Affairs including any recommended legislation by January 15, 2020.</w:t>
            </w:r>
          </w:p>
          <w:p w14:paraId="06A13EB3" w14:textId="03EFCD66" w:rsidR="00114F14" w:rsidRPr="00510BFA" w:rsidRDefault="00114F14" w:rsidP="004A104C">
            <w:pPr>
              <w:pStyle w:val="ListBullet"/>
            </w:pPr>
            <w:r>
              <w:t>Authorizes the Joint Standing committee on Education &amp; Cultural Affairs to report out a bill to the 2nd</w:t>
            </w:r>
            <w:r w:rsidRPr="005A43E1">
              <w:t xml:space="preserve"> </w:t>
            </w:r>
            <w:r>
              <w:t>Regular Session of the 129th Legislature.</w:t>
            </w:r>
          </w:p>
        </w:tc>
        <w:tc>
          <w:tcPr>
            <w:tcW w:w="2250" w:type="dxa"/>
            <w:shd w:val="clear" w:color="auto" w:fill="auto"/>
          </w:tcPr>
          <w:p w14:paraId="5AA565CC" w14:textId="77777777" w:rsidR="00114F14" w:rsidRDefault="00114F14" w:rsidP="004A104C">
            <w:pPr>
              <w:rPr>
                <w:sz w:val="22"/>
                <w:szCs w:val="22"/>
              </w:rPr>
            </w:pPr>
            <w:r>
              <w:rPr>
                <w:sz w:val="22"/>
                <w:szCs w:val="22"/>
              </w:rPr>
              <w:t>September 19, 2019</w:t>
            </w:r>
          </w:p>
          <w:p w14:paraId="1EBB21CC" w14:textId="77777777" w:rsidR="00114F14" w:rsidRDefault="00114F14" w:rsidP="004A104C">
            <w:pPr>
              <w:rPr>
                <w:sz w:val="22"/>
                <w:szCs w:val="22"/>
              </w:rPr>
            </w:pPr>
          </w:p>
          <w:p w14:paraId="20EE06D5" w14:textId="77777777" w:rsidR="00114F14" w:rsidRDefault="00114F14" w:rsidP="004A104C">
            <w:pPr>
              <w:rPr>
                <w:sz w:val="22"/>
                <w:szCs w:val="22"/>
              </w:rPr>
            </w:pPr>
            <w:r>
              <w:rPr>
                <w:sz w:val="22"/>
                <w:szCs w:val="22"/>
              </w:rPr>
              <w:t>Department to submit a report to the Joint Standing Committee on Education &amp; Cultural Affairs by January 15, 2020.</w:t>
            </w:r>
          </w:p>
          <w:p w14:paraId="72EEFD84" w14:textId="439E09E2" w:rsidR="00114F14" w:rsidRPr="00433A3D" w:rsidRDefault="00114F14" w:rsidP="004A104C">
            <w:pPr>
              <w:rPr>
                <w:sz w:val="22"/>
                <w:szCs w:val="22"/>
              </w:rPr>
            </w:pPr>
          </w:p>
        </w:tc>
      </w:tr>
      <w:bookmarkEnd w:id="7"/>
      <w:tr w:rsidR="00114F14" w:rsidRPr="008D72F0" w14:paraId="0E9382B5" w14:textId="77777777" w:rsidTr="00114F14">
        <w:trPr>
          <w:trHeight w:val="737"/>
        </w:trPr>
        <w:tc>
          <w:tcPr>
            <w:tcW w:w="3080" w:type="dxa"/>
            <w:shd w:val="clear" w:color="auto" w:fill="auto"/>
          </w:tcPr>
          <w:p w14:paraId="444804D8" w14:textId="77777777" w:rsidR="00114F14" w:rsidRDefault="00114F14" w:rsidP="004A104C">
            <w:pPr>
              <w:rPr>
                <w:b/>
              </w:rPr>
            </w:pPr>
            <w:r>
              <w:rPr>
                <w:b/>
              </w:rPr>
              <w:t>LD 1024, Public Law 2019, Chapter 106</w:t>
            </w:r>
          </w:p>
          <w:p w14:paraId="43B2D998" w14:textId="5FB843A8" w:rsidR="00114F14" w:rsidRPr="00E72884" w:rsidRDefault="00114F14" w:rsidP="004A104C">
            <w:pPr>
              <w:rPr>
                <w:i/>
              </w:rPr>
            </w:pPr>
            <w:r w:rsidRPr="00E72884">
              <w:rPr>
                <w:i/>
              </w:rPr>
              <w:t xml:space="preserve">An Act </w:t>
            </w:r>
            <w:proofErr w:type="gramStart"/>
            <w:r w:rsidRPr="00E72884">
              <w:rPr>
                <w:i/>
              </w:rPr>
              <w:t>To</w:t>
            </w:r>
            <w:proofErr w:type="gramEnd"/>
            <w:r w:rsidRPr="00E72884">
              <w:rPr>
                <w:i/>
              </w:rPr>
              <w:t xml:space="preserve"> Destigmatize Mental Illness through Health Instruction That Emphasizes the Relationship between Physical and Mental Health in Schools</w:t>
            </w:r>
          </w:p>
        </w:tc>
        <w:tc>
          <w:tcPr>
            <w:tcW w:w="7265" w:type="dxa"/>
            <w:shd w:val="clear" w:color="auto" w:fill="auto"/>
          </w:tcPr>
          <w:p w14:paraId="020FC10A" w14:textId="77777777" w:rsidR="00114F14" w:rsidRPr="0096662C" w:rsidRDefault="00114F14" w:rsidP="004A104C">
            <w:pPr>
              <w:pStyle w:val="ListBullet"/>
              <w:rPr>
                <w:lang w:val="en-US"/>
              </w:rPr>
            </w:pPr>
            <w:r w:rsidRPr="0096662C">
              <w:rPr>
                <w:lang w:val="en-US"/>
              </w:rPr>
              <w:t xml:space="preserve">Requires health education instruction in elementary, middle, junior high and high school to include instruction in mental health and the relationship between physical and mental health </w:t>
            </w:r>
            <w:proofErr w:type="gramStart"/>
            <w:r w:rsidRPr="0096662C">
              <w:rPr>
                <w:lang w:val="en-US"/>
              </w:rPr>
              <w:t>in order to</w:t>
            </w:r>
            <w:proofErr w:type="gramEnd"/>
            <w:r w:rsidRPr="0096662C">
              <w:rPr>
                <w:lang w:val="en-US"/>
              </w:rPr>
              <w:t xml:space="preserve"> enhance student understanding of attitudes toward and behavior relating to mental illness and to eliminate the stigma associated with mental illness.</w:t>
            </w:r>
          </w:p>
          <w:p w14:paraId="3F52765C" w14:textId="77777777" w:rsidR="00114F14" w:rsidRPr="00510BFA" w:rsidRDefault="00114F14" w:rsidP="004A104C">
            <w:pPr>
              <w:pStyle w:val="ListBullet"/>
              <w:numPr>
                <w:ilvl w:val="0"/>
                <w:numId w:val="0"/>
              </w:numPr>
              <w:ind w:left="280"/>
            </w:pPr>
          </w:p>
        </w:tc>
        <w:tc>
          <w:tcPr>
            <w:tcW w:w="2250" w:type="dxa"/>
            <w:shd w:val="clear" w:color="auto" w:fill="auto"/>
          </w:tcPr>
          <w:p w14:paraId="59936E9A" w14:textId="4FF3C822" w:rsidR="00114F14" w:rsidRPr="00433A3D" w:rsidRDefault="00114F14" w:rsidP="004A104C">
            <w:pPr>
              <w:rPr>
                <w:sz w:val="22"/>
                <w:szCs w:val="22"/>
              </w:rPr>
            </w:pPr>
            <w:r>
              <w:rPr>
                <w:sz w:val="22"/>
                <w:szCs w:val="22"/>
              </w:rPr>
              <w:t>September 19, 2019</w:t>
            </w:r>
          </w:p>
        </w:tc>
      </w:tr>
      <w:tr w:rsidR="00114F14" w:rsidRPr="008D72F0" w14:paraId="0F347725" w14:textId="77777777" w:rsidTr="00114F14">
        <w:trPr>
          <w:trHeight w:val="737"/>
        </w:trPr>
        <w:tc>
          <w:tcPr>
            <w:tcW w:w="3080" w:type="dxa"/>
            <w:shd w:val="clear" w:color="auto" w:fill="auto"/>
          </w:tcPr>
          <w:p w14:paraId="6647CF5E" w14:textId="77777777" w:rsidR="00114F14" w:rsidRDefault="00114F14" w:rsidP="004A104C">
            <w:pPr>
              <w:rPr>
                <w:b/>
              </w:rPr>
            </w:pPr>
            <w:r>
              <w:rPr>
                <w:b/>
              </w:rPr>
              <w:t>LD 1025, Public Law 2019, Chapter 165</w:t>
            </w:r>
          </w:p>
          <w:p w14:paraId="02725AEC" w14:textId="6723B090" w:rsidR="00114F14" w:rsidRPr="00E72884" w:rsidRDefault="00114F14" w:rsidP="004A104C">
            <w:pPr>
              <w:rPr>
                <w:i/>
              </w:rPr>
            </w:pPr>
            <w:r w:rsidRPr="00E72884">
              <w:rPr>
                <w:i/>
              </w:rPr>
              <w:t xml:space="preserve">An Act </w:t>
            </w:r>
            <w:proofErr w:type="gramStart"/>
            <w:r w:rsidRPr="00E72884">
              <w:rPr>
                <w:i/>
              </w:rPr>
              <w:t>To</w:t>
            </w:r>
            <w:proofErr w:type="gramEnd"/>
            <w:r w:rsidRPr="00E72884">
              <w:rPr>
                <w:i/>
              </w:rPr>
              <w:t xml:space="preserve"> Prohibit the Provision of Conversion Therapy to Minors by Certain Licensed Professionals</w:t>
            </w:r>
          </w:p>
        </w:tc>
        <w:tc>
          <w:tcPr>
            <w:tcW w:w="7265" w:type="dxa"/>
            <w:shd w:val="clear" w:color="auto" w:fill="auto"/>
          </w:tcPr>
          <w:p w14:paraId="737511B3" w14:textId="20761ED2" w:rsidR="00114F14" w:rsidRPr="00253AEF" w:rsidRDefault="00114F14" w:rsidP="004A104C">
            <w:pPr>
              <w:pStyle w:val="ListBullet"/>
              <w:rPr>
                <w:lang w:val="en-US"/>
              </w:rPr>
            </w:pPr>
            <w:r>
              <w:t xml:space="preserve">Defines “conversion therapy” as </w:t>
            </w:r>
            <w:r w:rsidRPr="00253AEF">
              <w:rPr>
                <w:lang w:val="en-US"/>
              </w:rPr>
              <w:t>any practice or treatment that seeks or claims to change an individual's sexual orientation or gender identity, including, but not limited to, any effort to change gender expression or to eliminate or reduce sexual or romantic attractions, feelings or behavior toward others based on the individual's gender.</w:t>
            </w:r>
          </w:p>
          <w:p w14:paraId="5E6FFC19" w14:textId="77777777" w:rsidR="00114F14" w:rsidRDefault="00114F14" w:rsidP="004A104C">
            <w:pPr>
              <w:pStyle w:val="ListBullet"/>
            </w:pPr>
            <w:r>
              <w:rPr>
                <w:lang w:val="en-US"/>
              </w:rPr>
              <w:t xml:space="preserve">Prohibits </w:t>
            </w:r>
            <w:r w:rsidRPr="00253AEF">
              <w:rPr>
                <w:lang w:val="en-US"/>
              </w:rPr>
              <w:t xml:space="preserve">a </w:t>
            </w:r>
            <w:r>
              <w:rPr>
                <w:lang w:val="en-US"/>
              </w:rPr>
              <w:t xml:space="preserve">certified </w:t>
            </w:r>
            <w:r w:rsidRPr="00253AEF">
              <w:rPr>
                <w:lang w:val="en-US"/>
              </w:rPr>
              <w:t>school psychologist or guidance counselor</w:t>
            </w:r>
            <w:r>
              <w:rPr>
                <w:lang w:val="en-US"/>
              </w:rPr>
              <w:t xml:space="preserve"> from advertising, offering or administering </w:t>
            </w:r>
            <w:r w:rsidRPr="00CD1196">
              <w:t xml:space="preserve">conversion therapy to a child under 18 years of age and is grounds for </w:t>
            </w:r>
            <w:r>
              <w:t xml:space="preserve">disciplinary action.  Evidence that an applicant for school psychologist or guidance counselor has advertised, offered or administered conversion therapy is grounds for </w:t>
            </w:r>
            <w:r w:rsidRPr="00CD1196">
              <w:t>denial of a certificate.</w:t>
            </w:r>
          </w:p>
          <w:p w14:paraId="7816B2A6" w14:textId="7E926675" w:rsidR="00114F14" w:rsidRPr="00510BFA" w:rsidRDefault="00114F14" w:rsidP="004A104C">
            <w:pPr>
              <w:pStyle w:val="ListBullet"/>
            </w:pPr>
            <w:r>
              <w:t xml:space="preserve">Other professionals are also included in this prohibition. </w:t>
            </w:r>
          </w:p>
        </w:tc>
        <w:tc>
          <w:tcPr>
            <w:tcW w:w="2250" w:type="dxa"/>
            <w:shd w:val="clear" w:color="auto" w:fill="auto"/>
          </w:tcPr>
          <w:p w14:paraId="19D07CE0" w14:textId="34172F81" w:rsidR="00114F14" w:rsidRPr="00433A3D" w:rsidRDefault="00114F14" w:rsidP="004A104C">
            <w:pPr>
              <w:rPr>
                <w:sz w:val="22"/>
                <w:szCs w:val="22"/>
              </w:rPr>
            </w:pPr>
            <w:r>
              <w:rPr>
                <w:sz w:val="22"/>
                <w:szCs w:val="22"/>
              </w:rPr>
              <w:t>September 19, 2019</w:t>
            </w:r>
          </w:p>
        </w:tc>
      </w:tr>
      <w:tr w:rsidR="00114F14" w:rsidRPr="008D72F0" w14:paraId="6B2E29EF" w14:textId="77777777" w:rsidTr="00114F14">
        <w:trPr>
          <w:trHeight w:val="737"/>
        </w:trPr>
        <w:tc>
          <w:tcPr>
            <w:tcW w:w="3080" w:type="dxa"/>
            <w:shd w:val="clear" w:color="auto" w:fill="auto"/>
          </w:tcPr>
          <w:p w14:paraId="6EDA6033" w14:textId="77777777" w:rsidR="00114F14" w:rsidRDefault="00114F14" w:rsidP="004A104C">
            <w:pPr>
              <w:rPr>
                <w:b/>
              </w:rPr>
            </w:pPr>
            <w:r>
              <w:rPr>
                <w:b/>
              </w:rPr>
              <w:t>LD 1079, Public Law 2019, Chapter 172</w:t>
            </w:r>
          </w:p>
          <w:p w14:paraId="72C17700" w14:textId="6B948DE8" w:rsidR="00114F14" w:rsidRPr="0023250C" w:rsidRDefault="00114F14" w:rsidP="004A104C">
            <w:pPr>
              <w:rPr>
                <w:i/>
              </w:rPr>
            </w:pPr>
            <w:r w:rsidRPr="0023250C">
              <w:rPr>
                <w:i/>
              </w:rPr>
              <w:t xml:space="preserve">An Act </w:t>
            </w:r>
            <w:proofErr w:type="gramStart"/>
            <w:r w:rsidRPr="0023250C">
              <w:rPr>
                <w:i/>
              </w:rPr>
              <w:t>To</w:t>
            </w:r>
            <w:proofErr w:type="gramEnd"/>
            <w:r w:rsidRPr="0023250C">
              <w:rPr>
                <w:i/>
              </w:rPr>
              <w:t xml:space="preserve"> Authorize Public Schools To Periodically Test for Radon</w:t>
            </w:r>
          </w:p>
        </w:tc>
        <w:tc>
          <w:tcPr>
            <w:tcW w:w="7265" w:type="dxa"/>
            <w:shd w:val="clear" w:color="auto" w:fill="auto"/>
          </w:tcPr>
          <w:p w14:paraId="30E29BBD" w14:textId="56BB21C0" w:rsidR="00114F14" w:rsidRDefault="00114F14" w:rsidP="004A104C">
            <w:pPr>
              <w:pStyle w:val="ListBullet"/>
            </w:pPr>
            <w:r>
              <w:t xml:space="preserve">Allows school administrative units (SAUs) to test schools and other buildings for radon every 5 years and directs SAUs to make available the test results to parents, faculty and staff and must report the test results to the Department of Education and the Department of Health &amp; Human Services. </w:t>
            </w:r>
          </w:p>
          <w:p w14:paraId="33FF1698" w14:textId="2BE4874E" w:rsidR="00114F14" w:rsidRDefault="00114F14" w:rsidP="004A104C">
            <w:pPr>
              <w:pStyle w:val="ListBullet"/>
            </w:pPr>
            <w:r>
              <w:t>P</w:t>
            </w:r>
            <w:r w:rsidRPr="00C45E87">
              <w:t>rovides that any testing and new school construction must comply with rules adopted by the Dep</w:t>
            </w:r>
            <w:r>
              <w:t xml:space="preserve">artment of Health &amp; Human Services.  </w:t>
            </w:r>
          </w:p>
          <w:p w14:paraId="516FB3FE" w14:textId="77777777" w:rsidR="00114F14" w:rsidRDefault="00114F14" w:rsidP="004A104C">
            <w:pPr>
              <w:pStyle w:val="ListBullet"/>
            </w:pPr>
            <w:r>
              <w:t>If funds are available, the Department of Education is to disburse funds to SAUs for radon testing.  Directs the Department to adopt rules to disburse these funds.</w:t>
            </w:r>
          </w:p>
          <w:p w14:paraId="02FF234E" w14:textId="3AACED99" w:rsidR="00114F14" w:rsidRPr="00510BFA" w:rsidRDefault="00114F14" w:rsidP="004A104C">
            <w:pPr>
              <w:pStyle w:val="ListBullet"/>
            </w:pPr>
            <w:r>
              <w:t>Requires DHHS to submit a report of the test results to the Governor and Legislature beginning October 1, 2025 and every 5 years after.</w:t>
            </w:r>
          </w:p>
        </w:tc>
        <w:tc>
          <w:tcPr>
            <w:tcW w:w="2250" w:type="dxa"/>
            <w:shd w:val="clear" w:color="auto" w:fill="auto"/>
          </w:tcPr>
          <w:p w14:paraId="7D40C5B4" w14:textId="77777777" w:rsidR="00114F14" w:rsidRDefault="00114F14" w:rsidP="004A104C">
            <w:pPr>
              <w:rPr>
                <w:sz w:val="22"/>
                <w:szCs w:val="22"/>
              </w:rPr>
            </w:pPr>
            <w:r>
              <w:rPr>
                <w:sz w:val="22"/>
                <w:szCs w:val="22"/>
              </w:rPr>
              <w:t>September 19, 2019</w:t>
            </w:r>
          </w:p>
          <w:p w14:paraId="49A8152B" w14:textId="77777777" w:rsidR="00114F14" w:rsidRDefault="00114F14" w:rsidP="004A104C">
            <w:pPr>
              <w:rPr>
                <w:sz w:val="22"/>
                <w:szCs w:val="22"/>
              </w:rPr>
            </w:pPr>
          </w:p>
          <w:p w14:paraId="0F12B3D7" w14:textId="77777777" w:rsidR="00114F14" w:rsidRDefault="00114F14" w:rsidP="004A104C">
            <w:pPr>
              <w:rPr>
                <w:sz w:val="22"/>
                <w:szCs w:val="22"/>
              </w:rPr>
            </w:pPr>
          </w:p>
          <w:p w14:paraId="700E0659" w14:textId="77777777" w:rsidR="00114F14" w:rsidRDefault="00114F14" w:rsidP="004A104C">
            <w:pPr>
              <w:rPr>
                <w:sz w:val="22"/>
                <w:szCs w:val="22"/>
              </w:rPr>
            </w:pPr>
          </w:p>
          <w:p w14:paraId="05600515" w14:textId="77777777" w:rsidR="00114F14" w:rsidRDefault="00114F14" w:rsidP="004A104C">
            <w:pPr>
              <w:rPr>
                <w:sz w:val="22"/>
                <w:szCs w:val="22"/>
              </w:rPr>
            </w:pPr>
            <w:r>
              <w:rPr>
                <w:sz w:val="22"/>
                <w:szCs w:val="22"/>
              </w:rPr>
              <w:t>Department to adopt rules to allocate funding for radon testing if available.</w:t>
            </w:r>
          </w:p>
          <w:p w14:paraId="7EEC3724" w14:textId="77777777" w:rsidR="00114F14" w:rsidRDefault="00114F14" w:rsidP="004A104C">
            <w:pPr>
              <w:rPr>
                <w:sz w:val="22"/>
                <w:szCs w:val="22"/>
              </w:rPr>
            </w:pPr>
          </w:p>
          <w:p w14:paraId="10FA14D2" w14:textId="5F55FF99" w:rsidR="00114F14" w:rsidRPr="00433A3D" w:rsidRDefault="00114F14" w:rsidP="004A104C">
            <w:pPr>
              <w:rPr>
                <w:sz w:val="22"/>
                <w:szCs w:val="22"/>
              </w:rPr>
            </w:pPr>
            <w:r>
              <w:rPr>
                <w:sz w:val="22"/>
                <w:szCs w:val="22"/>
              </w:rPr>
              <w:t>DHHS to submit report every 5 years starting 2025 to Governor and Legislature.</w:t>
            </w:r>
          </w:p>
        </w:tc>
      </w:tr>
      <w:tr w:rsidR="00114F14" w:rsidRPr="008D72F0" w14:paraId="71AE2EE7" w14:textId="77777777" w:rsidTr="00114F14">
        <w:trPr>
          <w:trHeight w:val="737"/>
        </w:trPr>
        <w:tc>
          <w:tcPr>
            <w:tcW w:w="3080" w:type="dxa"/>
            <w:shd w:val="clear" w:color="auto" w:fill="auto"/>
          </w:tcPr>
          <w:p w14:paraId="08D6D804" w14:textId="77777777" w:rsidR="00114F14" w:rsidRDefault="00114F14" w:rsidP="00C0254E">
            <w:pPr>
              <w:rPr>
                <w:b/>
              </w:rPr>
            </w:pPr>
            <w:r>
              <w:rPr>
                <w:b/>
              </w:rPr>
              <w:t>LD 1159, Resolve 2019, Chapter 32</w:t>
            </w:r>
          </w:p>
          <w:p w14:paraId="4E5E870C" w14:textId="3529CB13" w:rsidR="00114F14" w:rsidRDefault="00114F14" w:rsidP="00C0254E">
            <w:pPr>
              <w:rPr>
                <w:b/>
              </w:rPr>
            </w:pPr>
            <w:r w:rsidRPr="00BC1D9D">
              <w:rPr>
                <w:i/>
              </w:rPr>
              <w:t>Resolve, To End Hunger in Maine by 2030</w:t>
            </w:r>
          </w:p>
        </w:tc>
        <w:tc>
          <w:tcPr>
            <w:tcW w:w="7265" w:type="dxa"/>
            <w:shd w:val="clear" w:color="auto" w:fill="auto"/>
          </w:tcPr>
          <w:p w14:paraId="1F606588" w14:textId="77777777" w:rsidR="00114F14" w:rsidRDefault="00114F14" w:rsidP="00C0254E">
            <w:pPr>
              <w:pStyle w:val="ListBullet"/>
            </w:pPr>
            <w:r>
              <w:t xml:space="preserve">Requires the Dept. of Agriculture, Conservation &amp; Forestry (ACF) to consult and collaborate with an interested parties group including the Department of Education to develop a strategic plan to end hunger in Maine by 2030. </w:t>
            </w:r>
          </w:p>
          <w:p w14:paraId="5023CCC6" w14:textId="77777777" w:rsidR="00114F14" w:rsidRDefault="00114F14" w:rsidP="00C0254E">
            <w:pPr>
              <w:pStyle w:val="ListBullet"/>
            </w:pPr>
            <w:r>
              <w:t>Directs the ACF to submit a report the Joint Standing committee on Agriculture, Conservation &amp; Forestry by February 10, 2020.</w:t>
            </w:r>
          </w:p>
          <w:p w14:paraId="1B6FBEFD" w14:textId="0873B4E1" w:rsidR="00114F14" w:rsidRDefault="00114F14" w:rsidP="00C0254E">
            <w:pPr>
              <w:pStyle w:val="ListBullet"/>
              <w:numPr>
                <w:ilvl w:val="0"/>
                <w:numId w:val="0"/>
              </w:numPr>
              <w:ind w:left="460"/>
            </w:pPr>
            <w:r>
              <w:t>Authorizes the Joint Standing Committee to submit legislation based on the report in the 2nd Regular Session of the 129</w:t>
            </w:r>
            <w:r w:rsidRPr="00F34770">
              <w:rPr>
                <w:vertAlign w:val="superscript"/>
              </w:rPr>
              <w:t>th</w:t>
            </w:r>
            <w:r>
              <w:t xml:space="preserve"> Legislature.</w:t>
            </w:r>
          </w:p>
        </w:tc>
        <w:tc>
          <w:tcPr>
            <w:tcW w:w="2250" w:type="dxa"/>
            <w:shd w:val="clear" w:color="auto" w:fill="auto"/>
          </w:tcPr>
          <w:p w14:paraId="59EED342" w14:textId="77777777" w:rsidR="00114F14" w:rsidRDefault="00114F14" w:rsidP="00C0254E">
            <w:pPr>
              <w:rPr>
                <w:sz w:val="22"/>
                <w:szCs w:val="22"/>
              </w:rPr>
            </w:pPr>
            <w:r>
              <w:rPr>
                <w:sz w:val="22"/>
                <w:szCs w:val="22"/>
              </w:rPr>
              <w:t>September 19, 2019</w:t>
            </w:r>
          </w:p>
          <w:p w14:paraId="3A2B7BAB" w14:textId="77777777" w:rsidR="00114F14" w:rsidRDefault="00114F14" w:rsidP="00C0254E">
            <w:pPr>
              <w:rPr>
                <w:sz w:val="22"/>
                <w:szCs w:val="22"/>
              </w:rPr>
            </w:pPr>
          </w:p>
          <w:p w14:paraId="28FEAB68" w14:textId="31343028" w:rsidR="00114F14" w:rsidRDefault="00114F14" w:rsidP="00C0254E">
            <w:pPr>
              <w:rPr>
                <w:sz w:val="22"/>
                <w:szCs w:val="22"/>
              </w:rPr>
            </w:pPr>
            <w:r>
              <w:rPr>
                <w:sz w:val="22"/>
                <w:szCs w:val="22"/>
              </w:rPr>
              <w:t>ACF to submit initial report by February 10, 2020 to Joint Standing Committee on Agriculture, Conservation &amp; Forestry</w:t>
            </w:r>
          </w:p>
        </w:tc>
      </w:tr>
      <w:tr w:rsidR="00114F14" w:rsidRPr="008D72F0" w14:paraId="2925DEAE" w14:textId="77777777" w:rsidTr="00114F14">
        <w:trPr>
          <w:trHeight w:val="737"/>
        </w:trPr>
        <w:tc>
          <w:tcPr>
            <w:tcW w:w="3080" w:type="dxa"/>
            <w:shd w:val="clear" w:color="auto" w:fill="auto"/>
          </w:tcPr>
          <w:p w14:paraId="68BF4602" w14:textId="77777777" w:rsidR="00D540F9" w:rsidRDefault="00114F14" w:rsidP="00D540F9">
            <w:pPr>
              <w:rPr>
                <w:b/>
              </w:rPr>
            </w:pPr>
            <w:bookmarkStart w:id="8" w:name="_Hlk16240529"/>
            <w:r>
              <w:rPr>
                <w:b/>
              </w:rPr>
              <w:t>LD 1168, Resolve 2019, Chapter 63</w:t>
            </w:r>
          </w:p>
          <w:p w14:paraId="1ED967CC" w14:textId="034E2A74" w:rsidR="00114F14" w:rsidRPr="000D7C22" w:rsidRDefault="00114F14" w:rsidP="00D540F9">
            <w:pPr>
              <w:rPr>
                <w:i/>
              </w:rPr>
            </w:pPr>
            <w:r w:rsidRPr="000D7C22">
              <w:rPr>
                <w:i/>
              </w:rPr>
              <w:t xml:space="preserve">Resolve, To Improve Maine's Response to Childhood </w:t>
            </w:r>
            <w:r>
              <w:rPr>
                <w:i/>
              </w:rPr>
              <w:t>Trauma (</w:t>
            </w:r>
            <w:r w:rsidRPr="000D7C22">
              <w:rPr>
                <w:i/>
              </w:rPr>
              <w:t>EMERGENCY</w:t>
            </w:r>
            <w:bookmarkEnd w:id="8"/>
            <w:r>
              <w:rPr>
                <w:i/>
              </w:rPr>
              <w:t>)</w:t>
            </w:r>
          </w:p>
        </w:tc>
        <w:tc>
          <w:tcPr>
            <w:tcW w:w="7265" w:type="dxa"/>
            <w:shd w:val="clear" w:color="auto" w:fill="auto"/>
          </w:tcPr>
          <w:p w14:paraId="3CEB052A" w14:textId="77777777" w:rsidR="00114F14" w:rsidRDefault="00114F14" w:rsidP="00C0254E">
            <w:pPr>
              <w:pStyle w:val="ListBullet"/>
            </w:pPr>
            <w:r>
              <w:t>Directs the Commissioner to convene a task force, inviting the participation of experts and interested parties, to develop guidance for kindergarten to grade 12 administrators on appropriate training and responses to childhood trauma and to consult with any other task force or work group convened by the Department whose work may inform the work of this task force.</w:t>
            </w:r>
          </w:p>
          <w:p w14:paraId="1F31FE6B" w14:textId="77777777" w:rsidR="00114F14" w:rsidRDefault="00114F14" w:rsidP="00C0254E">
            <w:pPr>
              <w:pStyle w:val="ListBullet"/>
            </w:pPr>
            <w:r>
              <w:t>The task force is to consider the following:</w:t>
            </w:r>
          </w:p>
          <w:p w14:paraId="5BFA0066" w14:textId="2B3F607D" w:rsidR="00114F14" w:rsidRDefault="00114F14" w:rsidP="00C0254E">
            <w:pPr>
              <w:pStyle w:val="ListBullet"/>
              <w:numPr>
                <w:ilvl w:val="0"/>
                <w:numId w:val="17"/>
              </w:numPr>
              <w:ind w:left="834"/>
            </w:pPr>
            <w:r>
              <w:t xml:space="preserve">Training for pre-K – 12 teachers, administrators and others on adverse childhood experiences and trauma; </w:t>
            </w:r>
          </w:p>
          <w:p w14:paraId="20EE255E" w14:textId="77777777" w:rsidR="00114F14" w:rsidRDefault="00114F14" w:rsidP="00C0254E">
            <w:pPr>
              <w:pStyle w:val="ListBullet"/>
              <w:numPr>
                <w:ilvl w:val="0"/>
                <w:numId w:val="17"/>
              </w:numPr>
              <w:ind w:left="834"/>
            </w:pPr>
            <w:r>
              <w:t>A response-to-intervention process that includes behavioral health and social &amp; emotional screening and referral procedures;</w:t>
            </w:r>
          </w:p>
          <w:p w14:paraId="6B1C5898" w14:textId="5839EBD3" w:rsidR="00114F14" w:rsidRDefault="00114F14" w:rsidP="00C0254E">
            <w:pPr>
              <w:pStyle w:val="ListBullet"/>
              <w:numPr>
                <w:ilvl w:val="0"/>
                <w:numId w:val="17"/>
              </w:numPr>
              <w:ind w:left="834"/>
            </w:pPr>
            <w:r>
              <w:t xml:space="preserve">Policies that sets a standard student to support staff ratio to meet behavioral and emotional needs of students; a social and emotional learning curriculum for K-8; attendance and discipline with a trauma-informed perspective; ensures publicly funded preschools and schools have the resources and funds necessary to develop action plans addressing the needs of traumatized students and creating trauma-informed school environments. </w:t>
            </w:r>
          </w:p>
          <w:p w14:paraId="71AC28E9" w14:textId="2FA802ED" w:rsidR="00114F14" w:rsidRDefault="00114F14" w:rsidP="00C0254E">
            <w:pPr>
              <w:pStyle w:val="ListBullet"/>
            </w:pPr>
            <w:r>
              <w:t>Directs the Department submit a report to the Joint Standing Committee on Education &amp; Cultural Affairs by December 4, 2019.</w:t>
            </w:r>
          </w:p>
          <w:p w14:paraId="156FC844" w14:textId="64F23620" w:rsidR="00114F14" w:rsidRPr="00510BFA" w:rsidRDefault="00114F14" w:rsidP="00C0254E">
            <w:pPr>
              <w:pStyle w:val="ListBullet"/>
            </w:pPr>
            <w:r>
              <w:t>Authorizes the Committee to submit legislation related to the report to the 2nd Regular Session of the 129th Legislature.</w:t>
            </w:r>
          </w:p>
        </w:tc>
        <w:tc>
          <w:tcPr>
            <w:tcW w:w="2250" w:type="dxa"/>
            <w:shd w:val="clear" w:color="auto" w:fill="auto"/>
          </w:tcPr>
          <w:p w14:paraId="71A7A901" w14:textId="77777777" w:rsidR="00114F14" w:rsidRDefault="00114F14" w:rsidP="00C0254E">
            <w:pPr>
              <w:rPr>
                <w:sz w:val="22"/>
                <w:szCs w:val="22"/>
              </w:rPr>
            </w:pPr>
            <w:r>
              <w:rPr>
                <w:sz w:val="22"/>
                <w:szCs w:val="22"/>
              </w:rPr>
              <w:t>June 10, 2019</w:t>
            </w:r>
          </w:p>
          <w:p w14:paraId="7E43A801" w14:textId="77777777" w:rsidR="00114F14" w:rsidRDefault="00114F14" w:rsidP="00C0254E">
            <w:pPr>
              <w:rPr>
                <w:sz w:val="22"/>
                <w:szCs w:val="22"/>
              </w:rPr>
            </w:pPr>
          </w:p>
          <w:p w14:paraId="4D8C86D6" w14:textId="77777777" w:rsidR="00114F14" w:rsidRDefault="00114F14" w:rsidP="00C0254E">
            <w:pPr>
              <w:rPr>
                <w:sz w:val="22"/>
                <w:szCs w:val="22"/>
              </w:rPr>
            </w:pPr>
          </w:p>
          <w:p w14:paraId="44B0373C" w14:textId="77777777" w:rsidR="00114F14" w:rsidRDefault="00114F14" w:rsidP="00C0254E">
            <w:pPr>
              <w:rPr>
                <w:sz w:val="22"/>
                <w:szCs w:val="22"/>
              </w:rPr>
            </w:pPr>
          </w:p>
          <w:p w14:paraId="38C34272" w14:textId="16CF52F1" w:rsidR="00114F14" w:rsidRDefault="00114F14" w:rsidP="00C0254E">
            <w:pPr>
              <w:rPr>
                <w:sz w:val="22"/>
                <w:szCs w:val="22"/>
              </w:rPr>
            </w:pPr>
            <w:r>
              <w:rPr>
                <w:sz w:val="22"/>
                <w:szCs w:val="22"/>
              </w:rPr>
              <w:t>Commissioner to convene task force.</w:t>
            </w:r>
          </w:p>
          <w:p w14:paraId="5D93131F" w14:textId="77777777" w:rsidR="00114F14" w:rsidRDefault="00114F14" w:rsidP="00C0254E">
            <w:pPr>
              <w:rPr>
                <w:sz w:val="22"/>
                <w:szCs w:val="22"/>
              </w:rPr>
            </w:pPr>
          </w:p>
          <w:p w14:paraId="43E663B2" w14:textId="77777777" w:rsidR="00114F14" w:rsidRDefault="00114F14" w:rsidP="00C0254E">
            <w:pPr>
              <w:rPr>
                <w:sz w:val="22"/>
                <w:szCs w:val="22"/>
              </w:rPr>
            </w:pPr>
          </w:p>
          <w:p w14:paraId="1940DC36" w14:textId="77777777" w:rsidR="00114F14" w:rsidRDefault="00114F14" w:rsidP="00C0254E">
            <w:pPr>
              <w:rPr>
                <w:sz w:val="22"/>
                <w:szCs w:val="22"/>
              </w:rPr>
            </w:pPr>
          </w:p>
          <w:p w14:paraId="650FC33F" w14:textId="77777777" w:rsidR="00114F14" w:rsidRDefault="00114F14" w:rsidP="00C0254E">
            <w:pPr>
              <w:rPr>
                <w:sz w:val="22"/>
                <w:szCs w:val="22"/>
              </w:rPr>
            </w:pPr>
          </w:p>
          <w:p w14:paraId="20B178A3" w14:textId="536DD576" w:rsidR="00114F14" w:rsidRDefault="00114F14" w:rsidP="00C0254E">
            <w:pPr>
              <w:rPr>
                <w:sz w:val="22"/>
                <w:szCs w:val="22"/>
              </w:rPr>
            </w:pPr>
          </w:p>
          <w:p w14:paraId="37A2FE50" w14:textId="030312DD" w:rsidR="00114F14" w:rsidRDefault="00114F14" w:rsidP="00C0254E">
            <w:pPr>
              <w:rPr>
                <w:sz w:val="22"/>
                <w:szCs w:val="22"/>
              </w:rPr>
            </w:pPr>
          </w:p>
          <w:p w14:paraId="27F76CEC" w14:textId="4D60E599" w:rsidR="00114F14" w:rsidRDefault="00114F14" w:rsidP="00C0254E">
            <w:pPr>
              <w:rPr>
                <w:sz w:val="22"/>
                <w:szCs w:val="22"/>
              </w:rPr>
            </w:pPr>
          </w:p>
          <w:p w14:paraId="1954FAD2" w14:textId="6C2714C4" w:rsidR="00114F14" w:rsidRDefault="00114F14" w:rsidP="00C0254E">
            <w:pPr>
              <w:rPr>
                <w:sz w:val="22"/>
                <w:szCs w:val="22"/>
              </w:rPr>
            </w:pPr>
          </w:p>
          <w:p w14:paraId="3254922C" w14:textId="71787C45" w:rsidR="00114F14" w:rsidRDefault="00114F14" w:rsidP="00C0254E">
            <w:pPr>
              <w:rPr>
                <w:sz w:val="22"/>
                <w:szCs w:val="22"/>
              </w:rPr>
            </w:pPr>
          </w:p>
          <w:p w14:paraId="36445E8D" w14:textId="77777777" w:rsidR="00114F14" w:rsidRDefault="00114F14" w:rsidP="00C0254E">
            <w:pPr>
              <w:rPr>
                <w:sz w:val="22"/>
                <w:szCs w:val="22"/>
              </w:rPr>
            </w:pPr>
          </w:p>
          <w:p w14:paraId="769C1585" w14:textId="77777777" w:rsidR="00114F14" w:rsidRDefault="00114F14" w:rsidP="00C0254E">
            <w:pPr>
              <w:rPr>
                <w:sz w:val="22"/>
                <w:szCs w:val="22"/>
              </w:rPr>
            </w:pPr>
          </w:p>
          <w:p w14:paraId="7C62934B" w14:textId="1F1E9142" w:rsidR="00114F14" w:rsidRPr="00433A3D" w:rsidRDefault="00114F14" w:rsidP="00C0254E">
            <w:pPr>
              <w:rPr>
                <w:sz w:val="22"/>
                <w:szCs w:val="22"/>
              </w:rPr>
            </w:pPr>
            <w:r>
              <w:rPr>
                <w:sz w:val="22"/>
                <w:szCs w:val="22"/>
              </w:rPr>
              <w:t>Department to submit report to Joint Standing Committee on Education &amp; Cultural Affairs by December 4, 2019.</w:t>
            </w:r>
          </w:p>
        </w:tc>
      </w:tr>
      <w:tr w:rsidR="00114F14" w:rsidRPr="008D72F0" w14:paraId="7125593B" w14:textId="77777777" w:rsidTr="00114F14">
        <w:trPr>
          <w:trHeight w:val="737"/>
        </w:trPr>
        <w:tc>
          <w:tcPr>
            <w:tcW w:w="3080" w:type="dxa"/>
            <w:shd w:val="clear" w:color="auto" w:fill="auto"/>
          </w:tcPr>
          <w:p w14:paraId="5D4C137B" w14:textId="77777777" w:rsidR="00114F14" w:rsidRPr="00D540F9" w:rsidRDefault="00114F14" w:rsidP="00C0254E">
            <w:pPr>
              <w:rPr>
                <w:b/>
              </w:rPr>
            </w:pPr>
            <w:r w:rsidRPr="00D540F9">
              <w:rPr>
                <w:b/>
              </w:rPr>
              <w:t>LD 1216, Public Law 2019, Chapter 434</w:t>
            </w:r>
          </w:p>
          <w:p w14:paraId="663000A1" w14:textId="4A94458D" w:rsidR="00114F14" w:rsidRPr="00A74017" w:rsidRDefault="00114F14" w:rsidP="00C0254E">
            <w:pPr>
              <w:rPr>
                <w:b/>
              </w:rPr>
            </w:pPr>
            <w:r w:rsidRPr="00A74017">
              <w:rPr>
                <w:i/>
              </w:rPr>
              <w:t xml:space="preserve">An Act </w:t>
            </w:r>
            <w:proofErr w:type="gramStart"/>
            <w:r w:rsidRPr="00A74017">
              <w:rPr>
                <w:i/>
              </w:rPr>
              <w:t>To</w:t>
            </w:r>
            <w:proofErr w:type="gramEnd"/>
            <w:r w:rsidRPr="00A74017">
              <w:rPr>
                <w:i/>
              </w:rPr>
              <w:t xml:space="preserve"> Support Community Schools</w:t>
            </w:r>
          </w:p>
        </w:tc>
        <w:tc>
          <w:tcPr>
            <w:tcW w:w="7265" w:type="dxa"/>
            <w:shd w:val="clear" w:color="auto" w:fill="auto"/>
          </w:tcPr>
          <w:p w14:paraId="353D1355" w14:textId="77777777" w:rsidR="00114F14" w:rsidRPr="00A74017" w:rsidRDefault="00114F14" w:rsidP="00C0254E">
            <w:pPr>
              <w:pStyle w:val="ListBullet"/>
            </w:pPr>
            <w:r w:rsidRPr="00A74017">
              <w:rPr>
                <w:lang w:val="en-US"/>
              </w:rPr>
              <w:t xml:space="preserve">Amends statute to remove the community school temporary pilot project. </w:t>
            </w:r>
          </w:p>
          <w:p w14:paraId="031B66F2" w14:textId="77777777" w:rsidR="00114F14" w:rsidRPr="00A74017" w:rsidRDefault="00114F14" w:rsidP="00C0254E">
            <w:pPr>
              <w:pStyle w:val="ListBullet"/>
            </w:pPr>
            <w:r w:rsidRPr="00A74017">
              <w:rPr>
                <w:lang w:val="en-US"/>
              </w:rPr>
              <w:t xml:space="preserve">Authorizes the Department to designate 5 community schools in the 2020-2021 school year and 10 additional schools biannually beginning in the 2021-2022 school year. </w:t>
            </w:r>
          </w:p>
          <w:p w14:paraId="5A950FC1" w14:textId="07226BB0" w:rsidR="00114F14" w:rsidRPr="00A74017" w:rsidRDefault="00114F14" w:rsidP="00A74017">
            <w:pPr>
              <w:pStyle w:val="ListBullet"/>
            </w:pPr>
            <w:r w:rsidRPr="00A74017">
              <w:rPr>
                <w:lang w:val="en-US"/>
              </w:rPr>
              <w:t>Requires the Commissioner to apply for available federal funds in support of community school implementation and expansion.</w:t>
            </w:r>
          </w:p>
        </w:tc>
        <w:tc>
          <w:tcPr>
            <w:tcW w:w="2250" w:type="dxa"/>
            <w:shd w:val="clear" w:color="auto" w:fill="auto"/>
          </w:tcPr>
          <w:p w14:paraId="238A5534" w14:textId="5E34183A" w:rsidR="00114F14" w:rsidRPr="00A74017" w:rsidRDefault="00114F14" w:rsidP="00C0254E">
            <w:pPr>
              <w:rPr>
                <w:sz w:val="22"/>
                <w:szCs w:val="22"/>
              </w:rPr>
            </w:pPr>
            <w:r w:rsidRPr="00A74017">
              <w:rPr>
                <w:sz w:val="22"/>
                <w:szCs w:val="22"/>
              </w:rPr>
              <w:t>September 19, 2019</w:t>
            </w:r>
          </w:p>
        </w:tc>
      </w:tr>
      <w:tr w:rsidR="00114F14" w:rsidRPr="008D72F0" w14:paraId="7F8FA930" w14:textId="77777777" w:rsidTr="00114F14">
        <w:trPr>
          <w:trHeight w:val="737"/>
        </w:trPr>
        <w:tc>
          <w:tcPr>
            <w:tcW w:w="3080" w:type="dxa"/>
            <w:shd w:val="clear" w:color="auto" w:fill="auto"/>
          </w:tcPr>
          <w:p w14:paraId="5F7AEED0" w14:textId="499F9088" w:rsidR="00114F14" w:rsidRDefault="00114F14" w:rsidP="00C0254E">
            <w:pPr>
              <w:rPr>
                <w:b/>
              </w:rPr>
            </w:pPr>
            <w:r>
              <w:rPr>
                <w:b/>
              </w:rPr>
              <w:t>LD 1220, Public Law 2019, Chapter 436</w:t>
            </w:r>
          </w:p>
          <w:p w14:paraId="097887CD" w14:textId="29DDF3DA" w:rsidR="00114F14" w:rsidRPr="00E15491" w:rsidRDefault="00114F14" w:rsidP="00C0254E">
            <w:pPr>
              <w:rPr>
                <w:i/>
              </w:rPr>
            </w:pPr>
            <w:r w:rsidRPr="00E15491">
              <w:rPr>
                <w:i/>
              </w:rPr>
              <w:t xml:space="preserve">An Act </w:t>
            </w:r>
            <w:proofErr w:type="gramStart"/>
            <w:r w:rsidRPr="00E15491">
              <w:rPr>
                <w:i/>
              </w:rPr>
              <w:t>To</w:t>
            </w:r>
            <w:proofErr w:type="gramEnd"/>
            <w:r w:rsidRPr="00E15491">
              <w:rPr>
                <w:i/>
              </w:rPr>
              <w:t xml:space="preserve"> Remove Certain Restrictions Imposed on Retired State Employees Who Return to Work  </w:t>
            </w:r>
          </w:p>
          <w:p w14:paraId="46A61453" w14:textId="78408D55" w:rsidR="00114F14" w:rsidRPr="00E15491" w:rsidRDefault="00114F14" w:rsidP="00C0254E">
            <w:pPr>
              <w:rPr>
                <w:i/>
              </w:rPr>
            </w:pPr>
          </w:p>
        </w:tc>
        <w:tc>
          <w:tcPr>
            <w:tcW w:w="7265" w:type="dxa"/>
            <w:shd w:val="clear" w:color="auto" w:fill="auto"/>
          </w:tcPr>
          <w:p w14:paraId="4F28D843" w14:textId="77777777" w:rsidR="00114F14" w:rsidRDefault="00114F14" w:rsidP="00C0254E">
            <w:pPr>
              <w:pStyle w:val="ListBullet"/>
            </w:pPr>
            <w:r>
              <w:t xml:space="preserve">Amends provisions of the Maine Public Employees Retirement System regarding compensation and service retirement benefits for retired state employees, retired teachers and retired school administrators who return to service as classroom-based employees or school administrators. </w:t>
            </w:r>
          </w:p>
          <w:p w14:paraId="6CFD597B" w14:textId="77777777" w:rsidR="00114F14" w:rsidRDefault="00114F14" w:rsidP="00C0254E">
            <w:pPr>
              <w:pStyle w:val="ListBullet"/>
            </w:pPr>
            <w:r>
              <w:t xml:space="preserve">Removes the 5-year limit on a retired state employee or retired teacher to be restored to service. </w:t>
            </w:r>
          </w:p>
          <w:p w14:paraId="4E5EA70A" w14:textId="77777777" w:rsidR="00114F14" w:rsidRDefault="00114F14" w:rsidP="00C0254E">
            <w:pPr>
              <w:pStyle w:val="ListBullet"/>
            </w:pPr>
            <w:r>
              <w:t xml:space="preserve">Repeals the cap of 75% of compensation established for the position that the retired state employee or retired teacher is filling. </w:t>
            </w:r>
          </w:p>
          <w:p w14:paraId="203AFF14" w14:textId="77777777" w:rsidR="00114F14" w:rsidRDefault="00114F14" w:rsidP="00C0254E">
            <w:pPr>
              <w:pStyle w:val="ListBullet"/>
            </w:pPr>
            <w:r>
              <w:t xml:space="preserve">Allows a retired state employee, retired teacher or retired school administrator who returns to service to receive retirement, health, dental and life insurance benefits as negotiated by the retired state employee, retired teacher or retired school administrator or as required under collective bargaining agreements. </w:t>
            </w:r>
          </w:p>
          <w:p w14:paraId="125870F2" w14:textId="77777777" w:rsidR="00114F14" w:rsidRDefault="00114F14" w:rsidP="00C0254E">
            <w:pPr>
              <w:pStyle w:val="ListBullet"/>
            </w:pPr>
            <w:r>
              <w:t xml:space="preserve">Requires that the portions of the employer and employee contributions that go to pay the retirement system for the unfunded liability and the state group health plan for health care must continue at the same contribution rate of the employer and employee as is required for the position as if the position were filled by an employee not a retired state employee, retired teacher or retired school administrator. </w:t>
            </w:r>
          </w:p>
          <w:p w14:paraId="6C668AFE" w14:textId="5E4F68BF" w:rsidR="00114F14" w:rsidRPr="00510BFA" w:rsidRDefault="00114F14" w:rsidP="00C0254E">
            <w:pPr>
              <w:pStyle w:val="ListBullet"/>
            </w:pPr>
            <w:r>
              <w:t>A retired state employee, retired teacher or retired school administrator who returns to service does not accrue additional creditable service during the reemployment period or change the that person’s earnable</w:t>
            </w:r>
            <w:r w:rsidRPr="005D6366">
              <w:rPr>
                <w:b/>
                <w:bCs/>
              </w:rPr>
              <w:t xml:space="preserve"> </w:t>
            </w:r>
            <w:r w:rsidRPr="005D6366">
              <w:t>compensation for benefit calculation purposes.</w:t>
            </w:r>
          </w:p>
        </w:tc>
        <w:tc>
          <w:tcPr>
            <w:tcW w:w="2250" w:type="dxa"/>
            <w:shd w:val="clear" w:color="auto" w:fill="auto"/>
          </w:tcPr>
          <w:p w14:paraId="5032B7C3" w14:textId="77777777" w:rsidR="00114F14" w:rsidRDefault="00114F14" w:rsidP="00C0254E">
            <w:pPr>
              <w:rPr>
                <w:sz w:val="22"/>
                <w:szCs w:val="22"/>
              </w:rPr>
            </w:pPr>
            <w:r>
              <w:rPr>
                <w:sz w:val="22"/>
                <w:szCs w:val="22"/>
              </w:rPr>
              <w:t>September 19, 2019</w:t>
            </w:r>
          </w:p>
          <w:p w14:paraId="281F73DF" w14:textId="77777777" w:rsidR="00114F14" w:rsidRDefault="00114F14" w:rsidP="00C0254E">
            <w:pPr>
              <w:rPr>
                <w:sz w:val="22"/>
                <w:szCs w:val="22"/>
              </w:rPr>
            </w:pPr>
          </w:p>
          <w:p w14:paraId="5A5CAD87" w14:textId="77777777" w:rsidR="00114F14" w:rsidRDefault="00114F14" w:rsidP="00C0254E">
            <w:pPr>
              <w:rPr>
                <w:sz w:val="22"/>
                <w:szCs w:val="22"/>
              </w:rPr>
            </w:pPr>
          </w:p>
          <w:p w14:paraId="34EF201F" w14:textId="0A7755F0" w:rsidR="00114F14" w:rsidRPr="00433A3D" w:rsidRDefault="00114F14" w:rsidP="00C0254E">
            <w:pPr>
              <w:rPr>
                <w:sz w:val="22"/>
                <w:szCs w:val="22"/>
              </w:rPr>
            </w:pPr>
          </w:p>
        </w:tc>
      </w:tr>
      <w:tr w:rsidR="00114F14" w:rsidRPr="008D72F0" w14:paraId="080209BE" w14:textId="77777777" w:rsidTr="00114F14">
        <w:trPr>
          <w:trHeight w:val="737"/>
        </w:trPr>
        <w:tc>
          <w:tcPr>
            <w:tcW w:w="3080" w:type="dxa"/>
            <w:shd w:val="clear" w:color="auto" w:fill="auto"/>
          </w:tcPr>
          <w:p w14:paraId="43F2B2B7" w14:textId="77777777" w:rsidR="00114F14" w:rsidRDefault="00114F14" w:rsidP="00C0254E">
            <w:pPr>
              <w:rPr>
                <w:b/>
              </w:rPr>
            </w:pPr>
            <w:r>
              <w:rPr>
                <w:b/>
              </w:rPr>
              <w:t>LD 1237, Public Law 2019,</w:t>
            </w:r>
          </w:p>
          <w:p w14:paraId="7E209D27" w14:textId="77777777" w:rsidR="00114F14" w:rsidRDefault="00114F14" w:rsidP="00C0254E">
            <w:pPr>
              <w:rPr>
                <w:b/>
              </w:rPr>
            </w:pPr>
            <w:r>
              <w:rPr>
                <w:b/>
              </w:rPr>
              <w:t>Chapter 240</w:t>
            </w:r>
          </w:p>
          <w:p w14:paraId="334121BF" w14:textId="19520793" w:rsidR="00114F14" w:rsidRPr="00CC4696" w:rsidRDefault="00114F14" w:rsidP="00C0254E">
            <w:pPr>
              <w:rPr>
                <w:i/>
              </w:rPr>
            </w:pPr>
            <w:r w:rsidRPr="00CC4696">
              <w:rPr>
                <w:i/>
              </w:rPr>
              <w:t xml:space="preserve">An Act </w:t>
            </w:r>
            <w:proofErr w:type="gramStart"/>
            <w:r w:rsidRPr="00CC4696">
              <w:rPr>
                <w:i/>
              </w:rPr>
              <w:t>To</w:t>
            </w:r>
            <w:proofErr w:type="gramEnd"/>
            <w:r w:rsidRPr="00CC4696">
              <w:rPr>
                <w:i/>
              </w:rPr>
              <w:t xml:space="preserve"> Simplify Municipal Collective Bargaining by Removing the 120-Day Notice Required Prior to Certain Negotiations</w:t>
            </w:r>
          </w:p>
        </w:tc>
        <w:tc>
          <w:tcPr>
            <w:tcW w:w="7265" w:type="dxa"/>
            <w:shd w:val="clear" w:color="auto" w:fill="auto"/>
          </w:tcPr>
          <w:p w14:paraId="0BBDAC39" w14:textId="2E649359" w:rsidR="00114F14" w:rsidRPr="00402DA1" w:rsidRDefault="00114F14" w:rsidP="00C0254E">
            <w:pPr>
              <w:pStyle w:val="ListBullet"/>
            </w:pPr>
            <w:r w:rsidRPr="00402DA1">
              <w:rPr>
                <w:lang w:val="en-US"/>
              </w:rPr>
              <w:t>Repeals the requirement that a bargaining agent for municipal public employees submit a</w:t>
            </w:r>
            <w:r>
              <w:rPr>
                <w:lang w:val="en-US"/>
              </w:rPr>
              <w:t xml:space="preserve"> </w:t>
            </w:r>
            <w:r w:rsidRPr="00402DA1">
              <w:rPr>
                <w:lang w:val="en-US"/>
              </w:rPr>
              <w:t>written request for collective bargaining to the public employer of those municipal public employees at least 120 days before the conclusion of the current fiscal operating budget.</w:t>
            </w:r>
          </w:p>
          <w:p w14:paraId="64B87BC5" w14:textId="77777777" w:rsidR="00114F14" w:rsidRPr="00510BFA" w:rsidRDefault="00114F14" w:rsidP="00C0254E">
            <w:pPr>
              <w:pStyle w:val="ListBullet"/>
              <w:numPr>
                <w:ilvl w:val="0"/>
                <w:numId w:val="0"/>
              </w:numPr>
              <w:ind w:left="280"/>
            </w:pPr>
          </w:p>
        </w:tc>
        <w:tc>
          <w:tcPr>
            <w:tcW w:w="2250" w:type="dxa"/>
            <w:shd w:val="clear" w:color="auto" w:fill="auto"/>
          </w:tcPr>
          <w:p w14:paraId="1471172D" w14:textId="1518956B" w:rsidR="00114F14" w:rsidRPr="00433A3D" w:rsidRDefault="00114F14" w:rsidP="00C0254E">
            <w:pPr>
              <w:rPr>
                <w:sz w:val="22"/>
                <w:szCs w:val="22"/>
              </w:rPr>
            </w:pPr>
            <w:r>
              <w:rPr>
                <w:sz w:val="22"/>
                <w:szCs w:val="22"/>
              </w:rPr>
              <w:t>September 19, 2019</w:t>
            </w:r>
          </w:p>
        </w:tc>
      </w:tr>
      <w:tr w:rsidR="00114F14" w:rsidRPr="008D72F0" w14:paraId="201108D7" w14:textId="77777777" w:rsidTr="00114F14">
        <w:trPr>
          <w:trHeight w:val="737"/>
        </w:trPr>
        <w:tc>
          <w:tcPr>
            <w:tcW w:w="3080" w:type="dxa"/>
            <w:shd w:val="clear" w:color="auto" w:fill="auto"/>
          </w:tcPr>
          <w:p w14:paraId="1013F492" w14:textId="77777777" w:rsidR="00114F14" w:rsidRDefault="00114F14" w:rsidP="00C0254E">
            <w:pPr>
              <w:rPr>
                <w:b/>
              </w:rPr>
            </w:pPr>
            <w:r>
              <w:rPr>
                <w:b/>
              </w:rPr>
              <w:t>LD 1240, Public Law 2019, Chapter 261</w:t>
            </w:r>
          </w:p>
          <w:p w14:paraId="0E931915" w14:textId="6FA8AADA" w:rsidR="00114F14" w:rsidRPr="00AE26EC" w:rsidRDefault="00114F14" w:rsidP="00C0254E">
            <w:pPr>
              <w:rPr>
                <w:i/>
              </w:rPr>
            </w:pPr>
            <w:r w:rsidRPr="00AE26EC">
              <w:rPr>
                <w:i/>
              </w:rPr>
              <w:t xml:space="preserve">An Act </w:t>
            </w:r>
            <w:proofErr w:type="gramStart"/>
            <w:r w:rsidRPr="00AE26EC">
              <w:rPr>
                <w:i/>
              </w:rPr>
              <w:t>To</w:t>
            </w:r>
            <w:proofErr w:type="gramEnd"/>
            <w:r w:rsidRPr="00AE26EC">
              <w:rPr>
                <w:i/>
              </w:rPr>
              <w:t xml:space="preserve"> Provide Career and Technical Training Options for Electricians</w:t>
            </w:r>
          </w:p>
        </w:tc>
        <w:tc>
          <w:tcPr>
            <w:tcW w:w="7265" w:type="dxa"/>
            <w:shd w:val="clear" w:color="auto" w:fill="auto"/>
          </w:tcPr>
          <w:p w14:paraId="3C35FF57" w14:textId="2E4060C1" w:rsidR="00114F14" w:rsidRPr="00510BFA" w:rsidRDefault="00114F14" w:rsidP="00C0254E">
            <w:pPr>
              <w:pStyle w:val="ListBullet"/>
            </w:pPr>
            <w:r>
              <w:t xml:space="preserve">Clarifies that graduates of a secondary school career and technical education electrical program approved pursuant to the M.R.S., Title 20-A, Section 8306-B are credited with 1,000 hours of work experience in electrical installations and are eligible to sit for the journeyman examination. Specifies that the 1,000 hours credited may not be applied to any other pathway to licensure. </w:t>
            </w:r>
          </w:p>
        </w:tc>
        <w:tc>
          <w:tcPr>
            <w:tcW w:w="2250" w:type="dxa"/>
            <w:shd w:val="clear" w:color="auto" w:fill="auto"/>
          </w:tcPr>
          <w:p w14:paraId="7E9175BB" w14:textId="690CC35C" w:rsidR="00114F14" w:rsidRPr="00433A3D" w:rsidRDefault="00114F14" w:rsidP="00C0254E">
            <w:pPr>
              <w:rPr>
                <w:sz w:val="22"/>
                <w:szCs w:val="22"/>
              </w:rPr>
            </w:pPr>
            <w:r>
              <w:rPr>
                <w:sz w:val="22"/>
                <w:szCs w:val="22"/>
              </w:rPr>
              <w:t>September 19, 2019</w:t>
            </w:r>
          </w:p>
        </w:tc>
      </w:tr>
      <w:tr w:rsidR="00114F14" w:rsidRPr="008D72F0" w14:paraId="65D45706" w14:textId="77777777" w:rsidTr="00114F14">
        <w:trPr>
          <w:trHeight w:val="737"/>
        </w:trPr>
        <w:tc>
          <w:tcPr>
            <w:tcW w:w="3080" w:type="dxa"/>
            <w:shd w:val="clear" w:color="auto" w:fill="auto"/>
          </w:tcPr>
          <w:p w14:paraId="11F1C228" w14:textId="77777777" w:rsidR="00114F14" w:rsidRDefault="00114F14" w:rsidP="00C0254E">
            <w:pPr>
              <w:rPr>
                <w:b/>
              </w:rPr>
            </w:pPr>
            <w:r>
              <w:rPr>
                <w:b/>
              </w:rPr>
              <w:t>LD 1262, Public Law 2019, Chapter 241</w:t>
            </w:r>
          </w:p>
          <w:p w14:paraId="103C57AF" w14:textId="23CDFC90" w:rsidR="00114F14" w:rsidRPr="00DF7694" w:rsidRDefault="00114F14" w:rsidP="00C0254E">
            <w:pPr>
              <w:rPr>
                <w:i/>
              </w:rPr>
            </w:pPr>
            <w:r w:rsidRPr="00054A93">
              <w:rPr>
                <w:i/>
              </w:rPr>
              <w:t xml:space="preserve">An Act </w:t>
            </w:r>
            <w:proofErr w:type="gramStart"/>
            <w:r w:rsidRPr="00054A93">
              <w:rPr>
                <w:i/>
              </w:rPr>
              <w:t>To</w:t>
            </w:r>
            <w:proofErr w:type="gramEnd"/>
            <w:r w:rsidRPr="00054A93">
              <w:rPr>
                <w:i/>
              </w:rPr>
              <w:t xml:space="preserve"> Allow Funds from the Federal E-Rate Program To Be Applied to Maine Preschool Programs</w:t>
            </w:r>
          </w:p>
        </w:tc>
        <w:tc>
          <w:tcPr>
            <w:tcW w:w="7265" w:type="dxa"/>
            <w:shd w:val="clear" w:color="auto" w:fill="auto"/>
          </w:tcPr>
          <w:p w14:paraId="75FC8C3E" w14:textId="57015C47" w:rsidR="00114F14" w:rsidRPr="00510BFA" w:rsidRDefault="00114F14" w:rsidP="00C0254E">
            <w:pPr>
              <w:pStyle w:val="ListBullet"/>
            </w:pPr>
            <w:r w:rsidRPr="009501ED">
              <w:rPr>
                <w:lang w:val="en-US"/>
              </w:rPr>
              <w:t>Enables public preschool programs to be eligible for the Federal E-Rate Program by amending the definition of "public preschool program" to mean a program offered by a public elementary school that provides instruction to children who are 4 years of age, including but not limited to a Head Start program that is approved as a component of the public preschool program.</w:t>
            </w:r>
          </w:p>
        </w:tc>
        <w:tc>
          <w:tcPr>
            <w:tcW w:w="2250" w:type="dxa"/>
            <w:shd w:val="clear" w:color="auto" w:fill="auto"/>
          </w:tcPr>
          <w:p w14:paraId="749D2526" w14:textId="26C412D7" w:rsidR="00114F14" w:rsidRPr="00433A3D" w:rsidRDefault="00114F14" w:rsidP="00C0254E">
            <w:pPr>
              <w:rPr>
                <w:sz w:val="22"/>
                <w:szCs w:val="22"/>
              </w:rPr>
            </w:pPr>
            <w:r>
              <w:rPr>
                <w:sz w:val="22"/>
                <w:szCs w:val="22"/>
              </w:rPr>
              <w:t>September 19, 2019</w:t>
            </w:r>
          </w:p>
        </w:tc>
      </w:tr>
      <w:tr w:rsidR="00114F14" w:rsidRPr="008D72F0" w14:paraId="138043F8" w14:textId="77777777" w:rsidTr="00114F14">
        <w:trPr>
          <w:trHeight w:val="737"/>
        </w:trPr>
        <w:tc>
          <w:tcPr>
            <w:tcW w:w="3080" w:type="dxa"/>
            <w:shd w:val="clear" w:color="auto" w:fill="auto"/>
          </w:tcPr>
          <w:p w14:paraId="2706C6BC" w14:textId="77777777" w:rsidR="00114F14" w:rsidRDefault="00114F14" w:rsidP="00C0254E">
            <w:pPr>
              <w:rPr>
                <w:b/>
              </w:rPr>
            </w:pPr>
            <w:r>
              <w:rPr>
                <w:b/>
              </w:rPr>
              <w:t>LD 1269, Public Law 2019, Chapter 299</w:t>
            </w:r>
          </w:p>
          <w:p w14:paraId="0207D247" w14:textId="61234007" w:rsidR="00114F14" w:rsidRPr="00CA233B" w:rsidRDefault="00114F14" w:rsidP="00C0254E">
            <w:pPr>
              <w:rPr>
                <w:i/>
              </w:rPr>
            </w:pPr>
            <w:r w:rsidRPr="00CA233B">
              <w:rPr>
                <w:i/>
              </w:rPr>
              <w:t xml:space="preserve">An Act </w:t>
            </w:r>
            <w:proofErr w:type="gramStart"/>
            <w:r w:rsidRPr="00CA233B">
              <w:rPr>
                <w:i/>
              </w:rPr>
              <w:t>To</w:t>
            </w:r>
            <w:proofErr w:type="gramEnd"/>
            <w:r w:rsidRPr="00CA233B">
              <w:rPr>
                <w:i/>
              </w:rPr>
              <w:t xml:space="preserve"> Update the Laws Governing Child Safety Seats and Seat Belts</w:t>
            </w:r>
          </w:p>
        </w:tc>
        <w:tc>
          <w:tcPr>
            <w:tcW w:w="7265" w:type="dxa"/>
            <w:shd w:val="clear" w:color="auto" w:fill="auto"/>
          </w:tcPr>
          <w:p w14:paraId="7CEA569B" w14:textId="77777777" w:rsidR="00114F14" w:rsidRDefault="00114F14" w:rsidP="00C0254E">
            <w:pPr>
              <w:pStyle w:val="ListBullet"/>
            </w:pPr>
            <w:r w:rsidRPr="004F28E8">
              <w:t xml:space="preserve">Amends the laws governing the use of seat belts and child restraint systems in motor vehicles that are required by the US Department of Transportation to be equipped with seat belts. </w:t>
            </w:r>
          </w:p>
          <w:p w14:paraId="011AB13C" w14:textId="78E3C878" w:rsidR="00114F14" w:rsidRPr="00510BFA" w:rsidRDefault="00114F14" w:rsidP="00C0254E">
            <w:pPr>
              <w:pStyle w:val="ListBullet"/>
            </w:pPr>
            <w:r>
              <w:t>D</w:t>
            </w:r>
            <w:r w:rsidRPr="004F28E8">
              <w:t>efines several types of child restraint systems and establishes requirements for the use of child restraint systems based on a child's age, height and weight</w:t>
            </w:r>
            <w:r>
              <w:t>.</w:t>
            </w:r>
          </w:p>
        </w:tc>
        <w:tc>
          <w:tcPr>
            <w:tcW w:w="2250" w:type="dxa"/>
            <w:shd w:val="clear" w:color="auto" w:fill="auto"/>
          </w:tcPr>
          <w:p w14:paraId="780DEA31" w14:textId="71B64791" w:rsidR="00114F14" w:rsidRPr="00433A3D" w:rsidRDefault="00114F14" w:rsidP="00C0254E">
            <w:pPr>
              <w:rPr>
                <w:sz w:val="22"/>
                <w:szCs w:val="22"/>
              </w:rPr>
            </w:pPr>
            <w:r>
              <w:rPr>
                <w:sz w:val="22"/>
                <w:szCs w:val="22"/>
              </w:rPr>
              <w:t>September 19, 2019</w:t>
            </w:r>
          </w:p>
        </w:tc>
      </w:tr>
      <w:tr w:rsidR="00114F14" w:rsidRPr="008D72F0" w14:paraId="4234EA8E" w14:textId="77777777" w:rsidTr="00114F14">
        <w:trPr>
          <w:trHeight w:val="737"/>
        </w:trPr>
        <w:tc>
          <w:tcPr>
            <w:tcW w:w="3080" w:type="dxa"/>
            <w:shd w:val="clear" w:color="auto" w:fill="auto"/>
          </w:tcPr>
          <w:p w14:paraId="73BF095C" w14:textId="7C4584EE" w:rsidR="00114F14" w:rsidRDefault="00114F14" w:rsidP="00C0254E">
            <w:pPr>
              <w:rPr>
                <w:b/>
              </w:rPr>
            </w:pPr>
            <w:r>
              <w:rPr>
                <w:b/>
              </w:rPr>
              <w:t>LD 1275, Public Law 2019,</w:t>
            </w:r>
          </w:p>
          <w:p w14:paraId="654628E3" w14:textId="4C3C853E" w:rsidR="00114F14" w:rsidRDefault="00114F14" w:rsidP="00C0254E">
            <w:pPr>
              <w:rPr>
                <w:b/>
              </w:rPr>
            </w:pPr>
            <w:r>
              <w:rPr>
                <w:b/>
              </w:rPr>
              <w:t>Chapter 206</w:t>
            </w:r>
          </w:p>
          <w:p w14:paraId="48D9A1E5" w14:textId="7E8EC87F" w:rsidR="00114F14" w:rsidRPr="00CA233B" w:rsidRDefault="00114F14" w:rsidP="00C0254E">
            <w:pPr>
              <w:rPr>
                <w:i/>
              </w:rPr>
            </w:pPr>
            <w:r>
              <w:rPr>
                <w:i/>
              </w:rPr>
              <w:t xml:space="preserve">An Act </w:t>
            </w:r>
            <w:proofErr w:type="gramStart"/>
            <w:r>
              <w:rPr>
                <w:i/>
              </w:rPr>
              <w:t>To</w:t>
            </w:r>
            <w:proofErr w:type="gramEnd"/>
            <w:r>
              <w:rPr>
                <w:i/>
              </w:rPr>
              <w:t xml:space="preserve"> Support Access to Health Services for Homeless Youth in Maine</w:t>
            </w:r>
          </w:p>
        </w:tc>
        <w:tc>
          <w:tcPr>
            <w:tcW w:w="7265" w:type="dxa"/>
            <w:shd w:val="clear" w:color="auto" w:fill="auto"/>
          </w:tcPr>
          <w:p w14:paraId="73A23862" w14:textId="77777777" w:rsidR="00114F14" w:rsidRPr="0043271B" w:rsidRDefault="00114F14" w:rsidP="00C0254E">
            <w:pPr>
              <w:pStyle w:val="ListBullet"/>
            </w:pPr>
            <w:r w:rsidRPr="0043271B">
              <w:t>Amends the provisions that allow a minor to provide consent to all medical, mental, dental and other health counseling and services by proving that the minor is living separately and is independent of parental support through various means such as:</w:t>
            </w:r>
          </w:p>
          <w:p w14:paraId="315A09D4" w14:textId="77777777" w:rsidR="00114F14" w:rsidRPr="0043271B" w:rsidRDefault="00114F14" w:rsidP="00C0254E">
            <w:pPr>
              <w:pStyle w:val="ListBullet"/>
              <w:numPr>
                <w:ilvl w:val="0"/>
                <w:numId w:val="23"/>
              </w:numPr>
              <w:ind w:left="834"/>
            </w:pPr>
            <w:r w:rsidRPr="0043271B">
              <w:t xml:space="preserve">A written, signed statement to that fact from the director of a governmental or nonprofit agency that provides services to homeless persons, </w:t>
            </w:r>
          </w:p>
          <w:p w14:paraId="6637D82A" w14:textId="77777777" w:rsidR="00114F14" w:rsidRPr="0043271B" w:rsidRDefault="00114F14" w:rsidP="00C0254E">
            <w:pPr>
              <w:pStyle w:val="ListBullet"/>
              <w:numPr>
                <w:ilvl w:val="0"/>
                <w:numId w:val="23"/>
              </w:numPr>
              <w:ind w:left="834"/>
            </w:pPr>
            <w:r w:rsidRPr="0043271B">
              <w:t xml:space="preserve">A local education agency homeless liaison for children or youth, school social worker or counselor </w:t>
            </w:r>
          </w:p>
          <w:p w14:paraId="076CAE69" w14:textId="77777777" w:rsidR="00114F14" w:rsidRPr="0043271B" w:rsidRDefault="00114F14" w:rsidP="00C0254E">
            <w:pPr>
              <w:pStyle w:val="ListBullet"/>
              <w:numPr>
                <w:ilvl w:val="0"/>
                <w:numId w:val="23"/>
              </w:numPr>
              <w:ind w:left="834"/>
            </w:pPr>
            <w:r w:rsidRPr="0043271B">
              <w:t>An attorney representing the minor in any legal matter</w:t>
            </w:r>
          </w:p>
          <w:p w14:paraId="6F6B9BE1" w14:textId="0492E2EF" w:rsidR="00114F14" w:rsidRPr="0043271B" w:rsidRDefault="00114F14" w:rsidP="00C0254E">
            <w:pPr>
              <w:pStyle w:val="ListBullet"/>
              <w:numPr>
                <w:ilvl w:val="0"/>
                <w:numId w:val="23"/>
              </w:numPr>
              <w:ind w:left="834"/>
            </w:pPr>
            <w:r w:rsidRPr="0043271B">
              <w:t xml:space="preserve">A copy of a protection from abuse complaint against the minor’s parent or legal guardian; or proof of filing an emancipation petition. </w:t>
            </w:r>
          </w:p>
          <w:p w14:paraId="602499E8" w14:textId="162C3C65" w:rsidR="00114F14" w:rsidRPr="0043271B" w:rsidRDefault="00114F14" w:rsidP="00C0254E">
            <w:pPr>
              <w:pStyle w:val="ListBullet"/>
              <w:rPr>
                <w:b/>
              </w:rPr>
            </w:pPr>
            <w:r w:rsidRPr="0043271B">
              <w:t>Clarifies that a health care practitioner who obtains documentation prior to providing medical, mental, dental or other health counseling or services to a minor is immune from civil or criminal liability except for gross negligence or willful acts of omissions by the health care practitioner.</w:t>
            </w:r>
          </w:p>
        </w:tc>
        <w:tc>
          <w:tcPr>
            <w:tcW w:w="2250" w:type="dxa"/>
            <w:shd w:val="clear" w:color="auto" w:fill="auto"/>
          </w:tcPr>
          <w:p w14:paraId="773134FE" w14:textId="36BD864D" w:rsidR="00114F14" w:rsidRPr="00433A3D" w:rsidRDefault="00114F14" w:rsidP="00C0254E">
            <w:pPr>
              <w:rPr>
                <w:sz w:val="22"/>
                <w:szCs w:val="22"/>
              </w:rPr>
            </w:pPr>
            <w:r>
              <w:rPr>
                <w:sz w:val="22"/>
                <w:szCs w:val="22"/>
              </w:rPr>
              <w:t>September 19, 2019</w:t>
            </w:r>
          </w:p>
        </w:tc>
      </w:tr>
      <w:tr w:rsidR="00114F14" w:rsidRPr="008D72F0" w14:paraId="50BC5D7F" w14:textId="77777777" w:rsidTr="00114F14">
        <w:trPr>
          <w:trHeight w:val="737"/>
        </w:trPr>
        <w:tc>
          <w:tcPr>
            <w:tcW w:w="3080" w:type="dxa"/>
            <w:shd w:val="clear" w:color="auto" w:fill="auto"/>
          </w:tcPr>
          <w:p w14:paraId="77F089AD" w14:textId="77777777" w:rsidR="00114F14" w:rsidRDefault="00114F14" w:rsidP="00C0254E">
            <w:pPr>
              <w:rPr>
                <w:b/>
              </w:rPr>
            </w:pPr>
            <w:bookmarkStart w:id="9" w:name="_Hlk16240577"/>
            <w:r>
              <w:rPr>
                <w:b/>
              </w:rPr>
              <w:t>LD 1283, Resolve 2019, Chapter 65</w:t>
            </w:r>
          </w:p>
          <w:p w14:paraId="204D671A" w14:textId="1AEA9465" w:rsidR="00114F14" w:rsidRPr="00760B3D" w:rsidRDefault="00114F14" w:rsidP="00C0254E">
            <w:pPr>
              <w:rPr>
                <w:i/>
              </w:rPr>
            </w:pPr>
            <w:r w:rsidRPr="00760B3D">
              <w:rPr>
                <w:i/>
              </w:rPr>
              <w:t xml:space="preserve">Resolve, To Advance College Affordability by Convening a Task Force </w:t>
            </w:r>
            <w:proofErr w:type="gramStart"/>
            <w:r w:rsidRPr="00760B3D">
              <w:rPr>
                <w:i/>
              </w:rPr>
              <w:t>To</w:t>
            </w:r>
            <w:proofErr w:type="gramEnd"/>
            <w:r w:rsidRPr="00760B3D">
              <w:rPr>
                <w:i/>
              </w:rPr>
              <w:t xml:space="preserve"> Recommend a Sustainable Funding Model for Maintaining Maine's Public Higher Education Infrastructure (EMERGENCY)</w:t>
            </w:r>
          </w:p>
        </w:tc>
        <w:tc>
          <w:tcPr>
            <w:tcW w:w="7265" w:type="dxa"/>
            <w:shd w:val="clear" w:color="auto" w:fill="auto"/>
          </w:tcPr>
          <w:p w14:paraId="791D33BD" w14:textId="77777777" w:rsidR="00114F14" w:rsidRPr="0043271B" w:rsidRDefault="00114F14" w:rsidP="00C0254E">
            <w:pPr>
              <w:pStyle w:val="ListBullet"/>
              <w:rPr>
                <w:lang w:val="en-US"/>
              </w:rPr>
            </w:pPr>
            <w:r w:rsidRPr="0043271B">
              <w:rPr>
                <w:lang w:val="en-US"/>
              </w:rPr>
              <w:t xml:space="preserve">Directs the Chancellor of the University of Maine System to convene the Task Force </w:t>
            </w:r>
            <w:proofErr w:type="gramStart"/>
            <w:r w:rsidRPr="0043271B">
              <w:rPr>
                <w:lang w:val="en-US"/>
              </w:rPr>
              <w:t>To</w:t>
            </w:r>
            <w:proofErr w:type="gramEnd"/>
            <w:r w:rsidRPr="0043271B">
              <w:rPr>
                <w:lang w:val="en-US"/>
              </w:rPr>
              <w:t xml:space="preserve"> Recommend a Sustainable Funding Model for Maintaining Maine's Public Higher Education Infrastructure to study how to provide adequate supplemental funding to sustain the State's public higher education infrastructure without burdening students who are Maine residents with unreasonable tuition and fee increases. </w:t>
            </w:r>
          </w:p>
          <w:p w14:paraId="7056C840" w14:textId="77777777" w:rsidR="00114F14" w:rsidRPr="0043271B" w:rsidRDefault="00114F14" w:rsidP="00C0254E">
            <w:pPr>
              <w:pStyle w:val="ListBullet"/>
              <w:rPr>
                <w:lang w:val="en-US"/>
              </w:rPr>
            </w:pPr>
            <w:r w:rsidRPr="0043271B">
              <w:rPr>
                <w:lang w:val="en-US"/>
              </w:rPr>
              <w:t>The Task Force consists of:</w:t>
            </w:r>
          </w:p>
          <w:p w14:paraId="4C4D4359" w14:textId="77777777" w:rsidR="00114F14" w:rsidRPr="0043271B" w:rsidRDefault="00114F14" w:rsidP="00C0254E">
            <w:pPr>
              <w:pStyle w:val="ListBullet"/>
              <w:numPr>
                <w:ilvl w:val="0"/>
                <w:numId w:val="24"/>
              </w:numPr>
              <w:rPr>
                <w:lang w:val="en-US"/>
              </w:rPr>
            </w:pPr>
            <w:r w:rsidRPr="0043271B">
              <w:rPr>
                <w:lang w:val="en-US"/>
              </w:rPr>
              <w:t>The Chancellor or the U of M System or designee</w:t>
            </w:r>
          </w:p>
          <w:p w14:paraId="4B1D9029" w14:textId="77777777" w:rsidR="00114F14" w:rsidRPr="0043271B" w:rsidRDefault="00114F14" w:rsidP="00C0254E">
            <w:pPr>
              <w:pStyle w:val="ListBullet"/>
              <w:numPr>
                <w:ilvl w:val="0"/>
                <w:numId w:val="24"/>
              </w:numPr>
              <w:rPr>
                <w:lang w:val="en-US"/>
              </w:rPr>
            </w:pPr>
            <w:r w:rsidRPr="0043271B">
              <w:rPr>
                <w:lang w:val="en-US"/>
              </w:rPr>
              <w:t>The President of the ME Community College System or designee</w:t>
            </w:r>
          </w:p>
          <w:p w14:paraId="4373CFDE" w14:textId="77777777" w:rsidR="00114F14" w:rsidRPr="0043271B" w:rsidRDefault="00114F14" w:rsidP="00C0254E">
            <w:pPr>
              <w:pStyle w:val="ListBullet"/>
              <w:numPr>
                <w:ilvl w:val="0"/>
                <w:numId w:val="24"/>
              </w:numPr>
              <w:rPr>
                <w:lang w:val="en-US"/>
              </w:rPr>
            </w:pPr>
            <w:r w:rsidRPr="0043271B">
              <w:rPr>
                <w:lang w:val="en-US"/>
              </w:rPr>
              <w:t xml:space="preserve">The President of Maine Maritime Academy or designee </w:t>
            </w:r>
          </w:p>
          <w:p w14:paraId="03A4CD4E" w14:textId="6DA08DFB" w:rsidR="00114F14" w:rsidRPr="0043271B" w:rsidRDefault="00114F14" w:rsidP="00C0254E">
            <w:pPr>
              <w:pStyle w:val="ListBullet"/>
              <w:numPr>
                <w:ilvl w:val="0"/>
                <w:numId w:val="24"/>
              </w:numPr>
              <w:rPr>
                <w:lang w:val="en-US"/>
              </w:rPr>
            </w:pPr>
            <w:r w:rsidRPr="0043271B">
              <w:rPr>
                <w:lang w:val="en-US"/>
              </w:rPr>
              <w:t>The Director of the Bureau of General Services within the Department of Administrative &amp; Financial Services or designee</w:t>
            </w:r>
          </w:p>
          <w:p w14:paraId="6464D7CA" w14:textId="77777777" w:rsidR="00114F14" w:rsidRPr="0043271B" w:rsidRDefault="00114F14" w:rsidP="00C0254E">
            <w:pPr>
              <w:pStyle w:val="ListBullet"/>
              <w:numPr>
                <w:ilvl w:val="0"/>
                <w:numId w:val="24"/>
              </w:numPr>
              <w:rPr>
                <w:lang w:val="en-US"/>
              </w:rPr>
            </w:pPr>
            <w:r w:rsidRPr="0043271B">
              <w:rPr>
                <w:lang w:val="en-US"/>
              </w:rPr>
              <w:t>The School Facilities Director within the Department of Education</w:t>
            </w:r>
          </w:p>
          <w:p w14:paraId="0BB751E7" w14:textId="77777777" w:rsidR="00114F14" w:rsidRPr="0043271B" w:rsidRDefault="00114F14" w:rsidP="00C0254E">
            <w:pPr>
              <w:pStyle w:val="ListBullet"/>
              <w:numPr>
                <w:ilvl w:val="0"/>
                <w:numId w:val="24"/>
              </w:numPr>
              <w:rPr>
                <w:lang w:val="en-US"/>
              </w:rPr>
            </w:pPr>
            <w:r w:rsidRPr="0043271B">
              <w:rPr>
                <w:lang w:val="en-US"/>
              </w:rPr>
              <w:t>The Chief Executive Office of the Finance Authority of Maine or designee</w:t>
            </w:r>
          </w:p>
          <w:p w14:paraId="12CDC584" w14:textId="77777777" w:rsidR="00114F14" w:rsidRPr="0043271B" w:rsidRDefault="00114F14" w:rsidP="00C0254E">
            <w:pPr>
              <w:pStyle w:val="ListBullet"/>
              <w:numPr>
                <w:ilvl w:val="0"/>
                <w:numId w:val="24"/>
              </w:numPr>
              <w:rPr>
                <w:lang w:val="en-US"/>
              </w:rPr>
            </w:pPr>
            <w:r w:rsidRPr="0043271B">
              <w:rPr>
                <w:lang w:val="en-US"/>
              </w:rPr>
              <w:t>A member appointed by the Chancellor with expertise in finance or facilities management and planning.</w:t>
            </w:r>
          </w:p>
          <w:p w14:paraId="0A717D85" w14:textId="77777777" w:rsidR="00114F14" w:rsidRPr="0043271B" w:rsidRDefault="00114F14" w:rsidP="00C0254E">
            <w:pPr>
              <w:pStyle w:val="ListBullet"/>
              <w:rPr>
                <w:lang w:val="en-US"/>
              </w:rPr>
            </w:pPr>
            <w:r w:rsidRPr="0043271B">
              <w:rPr>
                <w:lang w:val="en-US"/>
              </w:rPr>
              <w:t xml:space="preserve">The Task Force is directed to consider, but is not limited to considering, infrastructure improvements, health and safety repairs, technology improvements, energy efficiency and equipment upgrades and, when necessary, new construction. </w:t>
            </w:r>
          </w:p>
          <w:p w14:paraId="3EE8FAAF" w14:textId="77777777" w:rsidR="00114F14" w:rsidRPr="0043271B" w:rsidRDefault="00114F14" w:rsidP="00C0254E">
            <w:pPr>
              <w:pStyle w:val="ListBullet"/>
              <w:rPr>
                <w:lang w:val="en-US"/>
              </w:rPr>
            </w:pPr>
            <w:r w:rsidRPr="0043271B">
              <w:rPr>
                <w:lang w:val="en-US"/>
              </w:rPr>
              <w:t xml:space="preserve">Directs the Task Force to report findings and recommendations to the Joint Standing Committees on Appropriations &amp; Financial Affairs and on Education &amp; Cultural Affairs by January 2, 2020. </w:t>
            </w:r>
          </w:p>
          <w:p w14:paraId="547926C3" w14:textId="37AE34D2" w:rsidR="00114F14" w:rsidRPr="0043271B" w:rsidRDefault="00114F14" w:rsidP="00C0254E">
            <w:pPr>
              <w:pStyle w:val="ListBullet"/>
            </w:pPr>
            <w:r w:rsidRPr="0043271B">
              <w:rPr>
                <w:lang w:val="en-US"/>
              </w:rPr>
              <w:t>Authorizes the Joint Standing Committees to submit legislation to the Second Regular Session of the 129th Legislature.</w:t>
            </w:r>
          </w:p>
        </w:tc>
        <w:tc>
          <w:tcPr>
            <w:tcW w:w="2250" w:type="dxa"/>
            <w:shd w:val="clear" w:color="auto" w:fill="auto"/>
          </w:tcPr>
          <w:p w14:paraId="7A49E930" w14:textId="77777777" w:rsidR="00114F14" w:rsidRDefault="00114F14" w:rsidP="00C0254E">
            <w:pPr>
              <w:rPr>
                <w:sz w:val="22"/>
                <w:szCs w:val="22"/>
              </w:rPr>
            </w:pPr>
            <w:r>
              <w:rPr>
                <w:sz w:val="22"/>
                <w:szCs w:val="22"/>
              </w:rPr>
              <w:t>June 12, 2019</w:t>
            </w:r>
          </w:p>
          <w:p w14:paraId="5C91C61D" w14:textId="77777777" w:rsidR="00114F14" w:rsidRDefault="00114F14" w:rsidP="00C0254E">
            <w:pPr>
              <w:rPr>
                <w:sz w:val="22"/>
                <w:szCs w:val="22"/>
              </w:rPr>
            </w:pPr>
          </w:p>
          <w:p w14:paraId="6E757CF4" w14:textId="77777777" w:rsidR="00114F14" w:rsidRDefault="00114F14" w:rsidP="00C0254E">
            <w:pPr>
              <w:rPr>
                <w:sz w:val="22"/>
                <w:szCs w:val="22"/>
              </w:rPr>
            </w:pPr>
            <w:r>
              <w:rPr>
                <w:sz w:val="22"/>
                <w:szCs w:val="22"/>
              </w:rPr>
              <w:t>Participate as member of Task Force.</w:t>
            </w:r>
          </w:p>
          <w:p w14:paraId="3D6E6615" w14:textId="12189769" w:rsidR="00114F14" w:rsidRDefault="00114F14" w:rsidP="00C0254E">
            <w:pPr>
              <w:rPr>
                <w:sz w:val="22"/>
                <w:szCs w:val="22"/>
              </w:rPr>
            </w:pPr>
          </w:p>
          <w:p w14:paraId="54754D8B" w14:textId="332CA264" w:rsidR="00114F14" w:rsidRDefault="00114F14" w:rsidP="00C0254E">
            <w:pPr>
              <w:rPr>
                <w:sz w:val="22"/>
                <w:szCs w:val="22"/>
              </w:rPr>
            </w:pPr>
          </w:p>
          <w:p w14:paraId="525EA873" w14:textId="1471209E" w:rsidR="00114F14" w:rsidRDefault="00114F14" w:rsidP="00C0254E">
            <w:pPr>
              <w:rPr>
                <w:sz w:val="22"/>
                <w:szCs w:val="22"/>
              </w:rPr>
            </w:pPr>
          </w:p>
          <w:p w14:paraId="52FD02E5" w14:textId="4F64FF8E" w:rsidR="00114F14" w:rsidRDefault="00114F14" w:rsidP="00C0254E">
            <w:pPr>
              <w:rPr>
                <w:sz w:val="22"/>
                <w:szCs w:val="22"/>
              </w:rPr>
            </w:pPr>
          </w:p>
          <w:p w14:paraId="70ACC7CB" w14:textId="2F79B574" w:rsidR="00114F14" w:rsidRDefault="00114F14" w:rsidP="00C0254E">
            <w:pPr>
              <w:rPr>
                <w:sz w:val="22"/>
                <w:szCs w:val="22"/>
              </w:rPr>
            </w:pPr>
          </w:p>
          <w:p w14:paraId="6B32DC9C" w14:textId="194632BA" w:rsidR="00114F14" w:rsidRDefault="00114F14" w:rsidP="00C0254E">
            <w:pPr>
              <w:rPr>
                <w:sz w:val="22"/>
                <w:szCs w:val="22"/>
              </w:rPr>
            </w:pPr>
          </w:p>
          <w:p w14:paraId="3514CC55" w14:textId="79EFACA5" w:rsidR="00114F14" w:rsidRDefault="00114F14" w:rsidP="00C0254E">
            <w:pPr>
              <w:rPr>
                <w:sz w:val="22"/>
                <w:szCs w:val="22"/>
              </w:rPr>
            </w:pPr>
          </w:p>
          <w:p w14:paraId="7ABF38FD" w14:textId="67655746" w:rsidR="00114F14" w:rsidRDefault="00114F14" w:rsidP="00C0254E">
            <w:pPr>
              <w:rPr>
                <w:sz w:val="22"/>
                <w:szCs w:val="22"/>
              </w:rPr>
            </w:pPr>
          </w:p>
          <w:p w14:paraId="35D20202" w14:textId="54A3CE95" w:rsidR="00114F14" w:rsidRDefault="00114F14" w:rsidP="00C0254E">
            <w:pPr>
              <w:rPr>
                <w:sz w:val="22"/>
                <w:szCs w:val="22"/>
              </w:rPr>
            </w:pPr>
          </w:p>
          <w:p w14:paraId="2B390B63" w14:textId="4676A5F6" w:rsidR="00114F14" w:rsidRDefault="00114F14" w:rsidP="00C0254E">
            <w:pPr>
              <w:rPr>
                <w:sz w:val="22"/>
                <w:szCs w:val="22"/>
              </w:rPr>
            </w:pPr>
          </w:p>
          <w:p w14:paraId="50C9B5C4" w14:textId="654F1384" w:rsidR="00114F14" w:rsidRDefault="00114F14" w:rsidP="00C0254E">
            <w:pPr>
              <w:rPr>
                <w:sz w:val="22"/>
                <w:szCs w:val="22"/>
              </w:rPr>
            </w:pPr>
          </w:p>
          <w:p w14:paraId="25AC9DB3" w14:textId="77777777" w:rsidR="00114F14" w:rsidRDefault="00114F14" w:rsidP="00C0254E">
            <w:pPr>
              <w:rPr>
                <w:sz w:val="22"/>
                <w:szCs w:val="22"/>
              </w:rPr>
            </w:pPr>
          </w:p>
          <w:p w14:paraId="5E00F8B7" w14:textId="665263CA" w:rsidR="00114F14" w:rsidRDefault="00114F14" w:rsidP="00C0254E">
            <w:pPr>
              <w:rPr>
                <w:sz w:val="22"/>
                <w:szCs w:val="22"/>
              </w:rPr>
            </w:pPr>
          </w:p>
          <w:p w14:paraId="01CB1806" w14:textId="77777777" w:rsidR="00114F14" w:rsidRDefault="00114F14" w:rsidP="00C0254E">
            <w:pPr>
              <w:rPr>
                <w:sz w:val="22"/>
                <w:szCs w:val="22"/>
              </w:rPr>
            </w:pPr>
          </w:p>
          <w:p w14:paraId="46D0EA45" w14:textId="326E379F" w:rsidR="00114F14" w:rsidRPr="00433A3D" w:rsidRDefault="00114F14" w:rsidP="00C0254E">
            <w:pPr>
              <w:rPr>
                <w:sz w:val="22"/>
                <w:szCs w:val="22"/>
              </w:rPr>
            </w:pPr>
            <w:r>
              <w:rPr>
                <w:sz w:val="22"/>
                <w:szCs w:val="22"/>
              </w:rPr>
              <w:t>Task Force to submit a report to the Joint Standing Committees on Appropriation &amp; Financial Affairs and Education &amp; Cultural Affairs by January 2, 2020.</w:t>
            </w:r>
          </w:p>
        </w:tc>
      </w:tr>
      <w:tr w:rsidR="00114F14" w:rsidRPr="008D72F0" w14:paraId="08B23221" w14:textId="77777777" w:rsidTr="00114F14">
        <w:trPr>
          <w:trHeight w:val="737"/>
        </w:trPr>
        <w:tc>
          <w:tcPr>
            <w:tcW w:w="3080" w:type="dxa"/>
            <w:shd w:val="clear" w:color="auto" w:fill="auto"/>
          </w:tcPr>
          <w:p w14:paraId="77E8D9DF" w14:textId="77777777" w:rsidR="00114F14" w:rsidRDefault="00114F14" w:rsidP="00C0254E">
            <w:pPr>
              <w:rPr>
                <w:b/>
              </w:rPr>
            </w:pPr>
            <w:bookmarkStart w:id="10" w:name="_Hlk16240612"/>
            <w:bookmarkEnd w:id="9"/>
            <w:r>
              <w:rPr>
                <w:b/>
              </w:rPr>
              <w:t>LD 1306, Resolve 2019, Chapter 44</w:t>
            </w:r>
          </w:p>
          <w:p w14:paraId="1BC6BEEA" w14:textId="7ADFF971" w:rsidR="00114F14" w:rsidRPr="00760B3D" w:rsidRDefault="00114F14" w:rsidP="00C0254E">
            <w:pPr>
              <w:rPr>
                <w:i/>
              </w:rPr>
            </w:pPr>
            <w:r w:rsidRPr="00760B3D">
              <w:rPr>
                <w:i/>
              </w:rPr>
              <w:t>Resolve, To Examine Issues Relating to Bullying in Schools</w:t>
            </w:r>
          </w:p>
        </w:tc>
        <w:tc>
          <w:tcPr>
            <w:tcW w:w="7265" w:type="dxa"/>
            <w:shd w:val="clear" w:color="auto" w:fill="auto"/>
          </w:tcPr>
          <w:p w14:paraId="216C3032" w14:textId="77777777" w:rsidR="00114F14" w:rsidRPr="00FF0BD6" w:rsidRDefault="00114F14" w:rsidP="00C0254E">
            <w:pPr>
              <w:pStyle w:val="ListBullet"/>
            </w:pPr>
            <w:r w:rsidRPr="00FF0BD6">
              <w:t xml:space="preserve">Directs the Commissioner to form a stakeholder group to comprehensively examine issues associated with bullying in schools and </w:t>
            </w:r>
            <w:proofErr w:type="gramStart"/>
            <w:r w:rsidRPr="00FF0BD6">
              <w:t>in particular how</w:t>
            </w:r>
            <w:proofErr w:type="gramEnd"/>
            <w:r w:rsidRPr="00FF0BD6">
              <w:t xml:space="preserve"> Maine's laws relating to bullying should be improved. The stakeholder group is required to include educators, administrators, students and experts on bullying in schools. </w:t>
            </w:r>
          </w:p>
          <w:p w14:paraId="4E81A8E8" w14:textId="77777777" w:rsidR="00114F14" w:rsidRPr="00FF0BD6" w:rsidRDefault="00114F14" w:rsidP="00C0254E">
            <w:pPr>
              <w:pStyle w:val="ListBullet"/>
            </w:pPr>
            <w:r w:rsidRPr="00FF0BD6">
              <w:t xml:space="preserve">Requires the Commissioner to report on the findings and recommendations of the stakeholder group as well as the Commissioner’s recommendations for changes to statutes by February 1, 2020 to the Joint Standing Committee on Education &amp; Cultural Affairs. </w:t>
            </w:r>
          </w:p>
          <w:p w14:paraId="3296E2E9" w14:textId="236752C1" w:rsidR="00114F14" w:rsidRPr="00510BFA" w:rsidRDefault="00114F14" w:rsidP="00C0254E">
            <w:pPr>
              <w:pStyle w:val="ListBullet"/>
            </w:pPr>
            <w:r w:rsidRPr="00FF0BD6">
              <w:t>Authorizes Committee may report out a bill to the 2nd Regular Session of the 129th Legislature.</w:t>
            </w:r>
          </w:p>
        </w:tc>
        <w:tc>
          <w:tcPr>
            <w:tcW w:w="2250" w:type="dxa"/>
            <w:shd w:val="clear" w:color="auto" w:fill="auto"/>
          </w:tcPr>
          <w:p w14:paraId="76E1E03E" w14:textId="77777777" w:rsidR="00114F14" w:rsidRDefault="00114F14" w:rsidP="00C0254E">
            <w:pPr>
              <w:rPr>
                <w:sz w:val="22"/>
                <w:szCs w:val="22"/>
              </w:rPr>
            </w:pPr>
            <w:r>
              <w:rPr>
                <w:sz w:val="22"/>
                <w:szCs w:val="22"/>
              </w:rPr>
              <w:t>September 19, 2019</w:t>
            </w:r>
          </w:p>
          <w:p w14:paraId="772ADF07" w14:textId="77777777" w:rsidR="00114F14" w:rsidRDefault="00114F14" w:rsidP="00C0254E">
            <w:pPr>
              <w:rPr>
                <w:sz w:val="22"/>
                <w:szCs w:val="22"/>
              </w:rPr>
            </w:pPr>
          </w:p>
          <w:p w14:paraId="196EDB4C" w14:textId="17B70E4C" w:rsidR="00114F14" w:rsidRDefault="00114F14" w:rsidP="00C0254E">
            <w:pPr>
              <w:rPr>
                <w:sz w:val="22"/>
                <w:szCs w:val="22"/>
              </w:rPr>
            </w:pPr>
          </w:p>
          <w:p w14:paraId="64AC48CF" w14:textId="77777777" w:rsidR="00114F14" w:rsidRDefault="00114F14" w:rsidP="00C0254E">
            <w:pPr>
              <w:rPr>
                <w:sz w:val="22"/>
                <w:szCs w:val="22"/>
              </w:rPr>
            </w:pPr>
          </w:p>
          <w:p w14:paraId="618BDE8F" w14:textId="67C8B258" w:rsidR="00114F14" w:rsidRPr="00433A3D" w:rsidRDefault="00114F14" w:rsidP="00C0254E">
            <w:pPr>
              <w:rPr>
                <w:sz w:val="22"/>
                <w:szCs w:val="22"/>
              </w:rPr>
            </w:pPr>
            <w:r>
              <w:rPr>
                <w:sz w:val="22"/>
                <w:szCs w:val="22"/>
              </w:rPr>
              <w:t>Department to submit report to Joint Standing Committee on Education &amp; Cultural Affairs by February 1, 2020.</w:t>
            </w:r>
          </w:p>
        </w:tc>
      </w:tr>
      <w:bookmarkEnd w:id="10"/>
      <w:tr w:rsidR="00114F14" w:rsidRPr="008D72F0" w14:paraId="797049AA" w14:textId="77777777" w:rsidTr="00114F14">
        <w:trPr>
          <w:trHeight w:val="737"/>
        </w:trPr>
        <w:tc>
          <w:tcPr>
            <w:tcW w:w="3080" w:type="dxa"/>
            <w:shd w:val="clear" w:color="auto" w:fill="auto"/>
          </w:tcPr>
          <w:p w14:paraId="688E49CA" w14:textId="77777777" w:rsidR="00114F14" w:rsidRDefault="00114F14" w:rsidP="00C0254E">
            <w:pPr>
              <w:rPr>
                <w:b/>
              </w:rPr>
            </w:pPr>
            <w:r>
              <w:rPr>
                <w:b/>
              </w:rPr>
              <w:t xml:space="preserve">LD 1338, Public Law 2019, </w:t>
            </w:r>
            <w:r>
              <w:rPr>
                <w:b/>
              </w:rPr>
              <w:br/>
              <w:t>Chapter 297</w:t>
            </w:r>
          </w:p>
          <w:p w14:paraId="609BD9A6" w14:textId="77777777" w:rsidR="00114F14" w:rsidRPr="00224318" w:rsidRDefault="00114F14" w:rsidP="00C0254E">
            <w:pPr>
              <w:rPr>
                <w:i/>
              </w:rPr>
            </w:pPr>
            <w:r w:rsidRPr="00224318">
              <w:rPr>
                <w:i/>
              </w:rPr>
              <w:t xml:space="preserve">An Act </w:t>
            </w:r>
            <w:proofErr w:type="gramStart"/>
            <w:r w:rsidRPr="00224318">
              <w:rPr>
                <w:i/>
              </w:rPr>
              <w:t>To</w:t>
            </w:r>
            <w:proofErr w:type="gramEnd"/>
            <w:r w:rsidRPr="00224318">
              <w:rPr>
                <w:i/>
              </w:rPr>
              <w:t xml:space="preserve"> Protect Teachers from Unfair Evaluations</w:t>
            </w:r>
          </w:p>
          <w:p w14:paraId="35E3144B" w14:textId="0C565F2F" w:rsidR="00114F14" w:rsidRPr="00224318" w:rsidRDefault="00114F14" w:rsidP="00C0254E">
            <w:pPr>
              <w:rPr>
                <w:i/>
              </w:rPr>
            </w:pPr>
          </w:p>
        </w:tc>
        <w:tc>
          <w:tcPr>
            <w:tcW w:w="7265" w:type="dxa"/>
            <w:shd w:val="clear" w:color="auto" w:fill="auto"/>
          </w:tcPr>
          <w:p w14:paraId="3F169D44" w14:textId="354DAD5D" w:rsidR="00114F14" w:rsidRPr="00A74017" w:rsidRDefault="00114F14" w:rsidP="00C0254E">
            <w:pPr>
              <w:pStyle w:val="ListBullet"/>
              <w:autoSpaceDE w:val="0"/>
              <w:autoSpaceDN w:val="0"/>
              <w:adjustRightInd w:val="0"/>
            </w:pPr>
            <w:r w:rsidRPr="00A74017">
              <w:t>Amends statute regarding the use of a teacher's effectiveness rating by the following:</w:t>
            </w:r>
          </w:p>
          <w:p w14:paraId="275FABA6" w14:textId="77777777" w:rsidR="00114F14" w:rsidRPr="00A74017" w:rsidRDefault="00114F14" w:rsidP="00C0254E">
            <w:pPr>
              <w:pStyle w:val="ListParagraph"/>
              <w:numPr>
                <w:ilvl w:val="0"/>
                <w:numId w:val="43"/>
              </w:numPr>
            </w:pPr>
            <w:r w:rsidRPr="00A74017">
              <w:t xml:space="preserve">In any negotiated agreement, the criteria negotiated by the school board and the bargaining agent to establish the order of layoff and recall may include the teacher's effectiveness rating as a factor. </w:t>
            </w:r>
          </w:p>
          <w:p w14:paraId="1C48B794" w14:textId="77777777" w:rsidR="00114F14" w:rsidRPr="00A74017" w:rsidRDefault="00114F14" w:rsidP="00C0254E">
            <w:pPr>
              <w:pStyle w:val="ListParagraph"/>
              <w:numPr>
                <w:ilvl w:val="0"/>
                <w:numId w:val="43"/>
              </w:numPr>
            </w:pPr>
            <w:r w:rsidRPr="00A74017">
              <w:t xml:space="preserve">Subject to appeal or grievance under the terms of an applicable collective bargaining agreement, receipt of summative effectiveness ratings indicating that a teacher is ineffective for two consecutive years constitutes just cause for nonrenewal of a teacher's contract as long as there is a reasonable basis in fact for the effectiveness ratings, the evaluation process leading to the effectiveness ratings has been performed in a manner reasonably consistent with the approved system and Department rules and the effectiveness ratings are not the result of bad faith. </w:t>
            </w:r>
          </w:p>
          <w:p w14:paraId="24F2C280" w14:textId="77777777" w:rsidR="00114F14" w:rsidRDefault="00114F14" w:rsidP="0043271B">
            <w:pPr>
              <w:pStyle w:val="ListParagraph"/>
              <w:numPr>
                <w:ilvl w:val="0"/>
                <w:numId w:val="43"/>
              </w:numPr>
            </w:pPr>
            <w:r w:rsidRPr="00A74017">
              <w:t xml:space="preserve">There is no right to an appeal or grievance of a summative effectiveness rating unless the summative effectiveness rating is used by the employer as a basis for a disciplinary action and provides that a teacher </w:t>
            </w:r>
            <w:proofErr w:type="gramStart"/>
            <w:r w:rsidRPr="00A74017">
              <w:t>has the opportunity to</w:t>
            </w:r>
            <w:proofErr w:type="gramEnd"/>
            <w:r w:rsidRPr="00A74017">
              <w:t xml:space="preserve"> provide a written response to any summative effectiveness rating issued to the teacher.</w:t>
            </w:r>
          </w:p>
          <w:p w14:paraId="638E4BCC" w14:textId="6FD6F7F1" w:rsidR="00114F14" w:rsidRPr="00A74017" w:rsidRDefault="00114F14" w:rsidP="0043271B">
            <w:pPr>
              <w:pStyle w:val="ListParagraph"/>
            </w:pPr>
          </w:p>
        </w:tc>
        <w:tc>
          <w:tcPr>
            <w:tcW w:w="2250" w:type="dxa"/>
            <w:shd w:val="clear" w:color="auto" w:fill="auto"/>
          </w:tcPr>
          <w:p w14:paraId="0A2CB787" w14:textId="77777777" w:rsidR="00114F14" w:rsidRPr="00A74017" w:rsidRDefault="00114F14" w:rsidP="00C0254E">
            <w:pPr>
              <w:rPr>
                <w:sz w:val="22"/>
                <w:szCs w:val="22"/>
              </w:rPr>
            </w:pPr>
            <w:r w:rsidRPr="00A74017">
              <w:rPr>
                <w:sz w:val="22"/>
                <w:szCs w:val="22"/>
              </w:rPr>
              <w:t>September 19, 2019</w:t>
            </w:r>
          </w:p>
          <w:p w14:paraId="65D52021" w14:textId="77777777" w:rsidR="00114F14" w:rsidRPr="00A74017" w:rsidRDefault="00114F14" w:rsidP="00C0254E">
            <w:pPr>
              <w:rPr>
                <w:sz w:val="22"/>
                <w:szCs w:val="22"/>
              </w:rPr>
            </w:pPr>
          </w:p>
          <w:p w14:paraId="43E35CDB" w14:textId="77777777" w:rsidR="00114F14" w:rsidRPr="00A74017" w:rsidRDefault="00114F14" w:rsidP="00C0254E">
            <w:pPr>
              <w:rPr>
                <w:sz w:val="22"/>
                <w:szCs w:val="22"/>
              </w:rPr>
            </w:pPr>
          </w:p>
          <w:p w14:paraId="64FEC70B" w14:textId="407206D0" w:rsidR="00114F14" w:rsidRPr="00A74017" w:rsidRDefault="00114F14" w:rsidP="00C0254E">
            <w:pPr>
              <w:rPr>
                <w:sz w:val="22"/>
                <w:szCs w:val="22"/>
              </w:rPr>
            </w:pPr>
          </w:p>
        </w:tc>
      </w:tr>
      <w:tr w:rsidR="00114F14" w:rsidRPr="008D72F0" w14:paraId="7B68BC06" w14:textId="77777777" w:rsidTr="00114F14">
        <w:trPr>
          <w:trHeight w:val="737"/>
        </w:trPr>
        <w:tc>
          <w:tcPr>
            <w:tcW w:w="3080" w:type="dxa"/>
            <w:shd w:val="clear" w:color="auto" w:fill="auto"/>
          </w:tcPr>
          <w:p w14:paraId="4DF03A66" w14:textId="77777777" w:rsidR="00114F14" w:rsidRDefault="00114F14" w:rsidP="00C0254E">
            <w:pPr>
              <w:rPr>
                <w:b/>
              </w:rPr>
            </w:pPr>
            <w:r>
              <w:rPr>
                <w:b/>
              </w:rPr>
              <w:t>LD 1341, Public Law 2019, Chapter 219</w:t>
            </w:r>
          </w:p>
          <w:p w14:paraId="629BEE76" w14:textId="77777777" w:rsidR="00114F14" w:rsidRPr="00224318" w:rsidRDefault="00114F14" w:rsidP="00C0254E">
            <w:pPr>
              <w:rPr>
                <w:i/>
              </w:rPr>
            </w:pPr>
            <w:r w:rsidRPr="00224318">
              <w:rPr>
                <w:i/>
              </w:rPr>
              <w:t xml:space="preserve">An Act </w:t>
            </w:r>
            <w:proofErr w:type="gramStart"/>
            <w:r w:rsidRPr="00224318">
              <w:rPr>
                <w:i/>
              </w:rPr>
              <w:t>To</w:t>
            </w:r>
            <w:proofErr w:type="gramEnd"/>
            <w:r w:rsidRPr="00224318">
              <w:rPr>
                <w:i/>
              </w:rPr>
              <w:t xml:space="preserve"> Provide Flexibility for Efficient and Effective Management of School Management and Leadership Centers</w:t>
            </w:r>
          </w:p>
          <w:p w14:paraId="4052F913" w14:textId="08A57117" w:rsidR="00114F14" w:rsidRPr="00224318" w:rsidRDefault="00114F14" w:rsidP="00C0254E">
            <w:pPr>
              <w:rPr>
                <w:i/>
              </w:rPr>
            </w:pPr>
          </w:p>
        </w:tc>
        <w:tc>
          <w:tcPr>
            <w:tcW w:w="7265" w:type="dxa"/>
            <w:shd w:val="clear" w:color="auto" w:fill="auto"/>
          </w:tcPr>
          <w:p w14:paraId="60AD0C79" w14:textId="77777777" w:rsidR="00114F14" w:rsidRPr="008128E1" w:rsidRDefault="00114F14" w:rsidP="00C0254E">
            <w:pPr>
              <w:pStyle w:val="ListBullet"/>
            </w:pPr>
            <w:r w:rsidRPr="008128E1">
              <w:t>Revises the term "school management and leadership center" to the term "education service center”.</w:t>
            </w:r>
          </w:p>
          <w:p w14:paraId="69C47970" w14:textId="77777777" w:rsidR="00114F14" w:rsidRPr="008128E1" w:rsidRDefault="00114F14" w:rsidP="00C0254E">
            <w:pPr>
              <w:pStyle w:val="ListBullet"/>
            </w:pPr>
            <w:r w:rsidRPr="008128E1">
              <w:t>Includes public charter schools as eligible to be full members of education service centers.</w:t>
            </w:r>
          </w:p>
          <w:p w14:paraId="3173A4B7" w14:textId="77777777" w:rsidR="00114F14" w:rsidRPr="008128E1" w:rsidRDefault="00114F14" w:rsidP="00C0254E">
            <w:pPr>
              <w:pStyle w:val="ListBullet"/>
            </w:pPr>
            <w:r w:rsidRPr="008128E1">
              <w:t>Allows a center to contract for leadership services and hire a fiscal agent.</w:t>
            </w:r>
          </w:p>
          <w:p w14:paraId="3C82D0F4" w14:textId="77777777" w:rsidR="00114F14" w:rsidRPr="008128E1" w:rsidRDefault="00114F14" w:rsidP="00C0254E">
            <w:pPr>
              <w:pStyle w:val="ListBullet"/>
            </w:pPr>
            <w:r w:rsidRPr="008128E1">
              <w:t>Caps the direct state funding for contracted leadership services or the executive director to 55% of the statewide average superintendent's salary and benefits using the most recent data available.</w:t>
            </w:r>
          </w:p>
          <w:p w14:paraId="0196FDA1" w14:textId="77777777" w:rsidR="00114F14" w:rsidRPr="008128E1" w:rsidRDefault="00114F14" w:rsidP="00C0254E">
            <w:pPr>
              <w:pStyle w:val="ListBullet"/>
            </w:pPr>
            <w:r w:rsidRPr="008128E1">
              <w:t xml:space="preserve">Removes the requirement that the Commissioner must determine 9 to 12 geographic areas for the establishment of centers. </w:t>
            </w:r>
          </w:p>
          <w:p w14:paraId="188CCCED" w14:textId="2D7362C4" w:rsidR="00114F14" w:rsidRDefault="00114F14" w:rsidP="00C0254E">
            <w:pPr>
              <w:pStyle w:val="ListBullet"/>
            </w:pPr>
            <w:r w:rsidRPr="008128E1">
              <w:t>Remove</w:t>
            </w:r>
            <w:r>
              <w:t>s</w:t>
            </w:r>
            <w:r w:rsidRPr="008128E1">
              <w:t xml:space="preserve"> requirements that debts must be repaid within one year and limiting amounts borrowed to 3/4 of a center's annual approved budget</w:t>
            </w:r>
            <w:r>
              <w:t xml:space="preserve">. </w:t>
            </w:r>
          </w:p>
          <w:p w14:paraId="585ADBCC" w14:textId="77777777" w:rsidR="00114F14" w:rsidRPr="00220B28" w:rsidRDefault="00114F14" w:rsidP="00C0254E">
            <w:pPr>
              <w:pStyle w:val="ListBullet"/>
            </w:pPr>
            <w:r w:rsidRPr="00220B28">
              <w:t xml:space="preserve">Removes the requirement governing the withdrawal of a member school administrative unit (SAU) from a center or a dissolution of a center that SAUs demonstrate to the Commissioner that there would be no increase in costs or decrease in student programs and services for any of the member school administrative units of the center. </w:t>
            </w:r>
          </w:p>
          <w:p w14:paraId="4A2A256B" w14:textId="348373F5" w:rsidR="00114F14" w:rsidRPr="00510BFA" w:rsidRDefault="00114F14" w:rsidP="00C0254E">
            <w:pPr>
              <w:pStyle w:val="ListBullet"/>
            </w:pPr>
            <w:r w:rsidRPr="00220B28">
              <w:t xml:space="preserve">Establishes the requirement governing the withdrawal of a member school administrative unit (SAU) from a center or a dissolution of a center to now demonstrate that the withdrawal or dissolution is in the best interests of the withdrawing SAU, of any of the remaining SAUs or all members. </w:t>
            </w:r>
          </w:p>
        </w:tc>
        <w:tc>
          <w:tcPr>
            <w:tcW w:w="2250" w:type="dxa"/>
            <w:shd w:val="clear" w:color="auto" w:fill="auto"/>
          </w:tcPr>
          <w:p w14:paraId="4DEA59B4" w14:textId="0CC1DBE3" w:rsidR="00114F14" w:rsidRPr="00433A3D" w:rsidRDefault="00114F14" w:rsidP="00C0254E">
            <w:pPr>
              <w:rPr>
                <w:sz w:val="22"/>
                <w:szCs w:val="22"/>
              </w:rPr>
            </w:pPr>
            <w:r>
              <w:rPr>
                <w:sz w:val="22"/>
                <w:szCs w:val="22"/>
              </w:rPr>
              <w:t>September 19, 2019</w:t>
            </w:r>
          </w:p>
        </w:tc>
      </w:tr>
      <w:tr w:rsidR="00114F14" w:rsidRPr="008D72F0" w14:paraId="61D699BE" w14:textId="77777777" w:rsidTr="00114F14">
        <w:trPr>
          <w:trHeight w:val="737"/>
        </w:trPr>
        <w:tc>
          <w:tcPr>
            <w:tcW w:w="3080" w:type="dxa"/>
            <w:shd w:val="clear" w:color="auto" w:fill="auto"/>
          </w:tcPr>
          <w:p w14:paraId="028924A9" w14:textId="77777777" w:rsidR="00114F14" w:rsidRDefault="00114F14" w:rsidP="00C0254E">
            <w:pPr>
              <w:rPr>
                <w:b/>
              </w:rPr>
            </w:pPr>
            <w:r>
              <w:rPr>
                <w:b/>
              </w:rPr>
              <w:t>LD 1370, Public Law 2019, Chapter 458</w:t>
            </w:r>
          </w:p>
          <w:p w14:paraId="5291754D" w14:textId="4DF62C3C" w:rsidR="00114F14" w:rsidRPr="00224318" w:rsidRDefault="00114F14" w:rsidP="00C0254E">
            <w:pPr>
              <w:rPr>
                <w:i/>
              </w:rPr>
            </w:pPr>
            <w:r w:rsidRPr="00224318">
              <w:rPr>
                <w:i/>
              </w:rPr>
              <w:t xml:space="preserve">An Act </w:t>
            </w:r>
            <w:proofErr w:type="gramStart"/>
            <w:r w:rsidRPr="00224318">
              <w:rPr>
                <w:i/>
              </w:rPr>
              <w:t>To</w:t>
            </w:r>
            <w:proofErr w:type="gramEnd"/>
            <w:r w:rsidRPr="00224318">
              <w:rPr>
                <w:i/>
              </w:rPr>
              <w:t xml:space="preserve"> Address Dangerous Behavior in the Classroom</w:t>
            </w:r>
          </w:p>
        </w:tc>
        <w:tc>
          <w:tcPr>
            <w:tcW w:w="7265" w:type="dxa"/>
            <w:shd w:val="clear" w:color="auto" w:fill="auto"/>
          </w:tcPr>
          <w:p w14:paraId="7860646E" w14:textId="77777777" w:rsidR="00114F14" w:rsidRPr="00085BC3" w:rsidRDefault="00114F14" w:rsidP="00C0254E">
            <w:pPr>
              <w:pStyle w:val="ListBullet"/>
            </w:pPr>
            <w:r w:rsidRPr="00085BC3">
              <w:t>Defines "dangerous behavior" to mean behavior of a student that presents a risk of injury or harm to a student or others.</w:t>
            </w:r>
          </w:p>
          <w:p w14:paraId="24F9B784" w14:textId="77777777" w:rsidR="00114F14" w:rsidRPr="00085BC3" w:rsidRDefault="00114F14" w:rsidP="00C0254E">
            <w:pPr>
              <w:pStyle w:val="ListBullet"/>
            </w:pPr>
            <w:r w:rsidRPr="00085BC3">
              <w:t>Requires review of a report of an incident of dangerous behavior and the development of an individualized response plan. It stipulates that these provisions do not limit any federally protected right of a student, including, but not limited to, federally protected rights of students with disabilities, and provides that, in the case of a student eligible for services under the federal Individuals with Disabilities Education Act or protected from discrimination under Section 504 of the federal Rehabilitation Act of 1973, any discussions or actions related to the identification, evaluation or educational placement of the student or provision of a free, appropriate public education to the student must take place through the processes established under federal law.</w:t>
            </w:r>
          </w:p>
          <w:p w14:paraId="314DE710" w14:textId="63C6DD7D" w:rsidR="00114F14" w:rsidRPr="00510BFA" w:rsidRDefault="00114F14" w:rsidP="00C0254E">
            <w:pPr>
              <w:pStyle w:val="ListBullet"/>
            </w:pPr>
            <w:r w:rsidRPr="00085BC3">
              <w:t xml:space="preserve">Prohibits a school administrative unit from counting time away from work due to an injury resulting from dangerous behavior against a </w:t>
            </w:r>
            <w:proofErr w:type="gramStart"/>
            <w:r w:rsidRPr="00085BC3">
              <w:t>public school</w:t>
            </w:r>
            <w:proofErr w:type="gramEnd"/>
            <w:r w:rsidRPr="00085BC3">
              <w:t xml:space="preserve"> employee's accrued sick leave and a physician has determined that the employee is unable to work as a result of that injury.</w:t>
            </w:r>
          </w:p>
        </w:tc>
        <w:tc>
          <w:tcPr>
            <w:tcW w:w="2250" w:type="dxa"/>
            <w:shd w:val="clear" w:color="auto" w:fill="auto"/>
          </w:tcPr>
          <w:p w14:paraId="14A60D5C" w14:textId="581393C2" w:rsidR="00114F14" w:rsidRPr="00433A3D" w:rsidRDefault="00114F14" w:rsidP="00C0254E">
            <w:pPr>
              <w:rPr>
                <w:sz w:val="22"/>
                <w:szCs w:val="22"/>
              </w:rPr>
            </w:pPr>
            <w:r>
              <w:rPr>
                <w:sz w:val="22"/>
                <w:szCs w:val="22"/>
              </w:rPr>
              <w:t>September 19, 2019</w:t>
            </w:r>
          </w:p>
        </w:tc>
      </w:tr>
      <w:tr w:rsidR="00114F14" w:rsidRPr="008D72F0" w14:paraId="281A44CF" w14:textId="77777777" w:rsidTr="00114F14">
        <w:trPr>
          <w:trHeight w:val="737"/>
        </w:trPr>
        <w:tc>
          <w:tcPr>
            <w:tcW w:w="3080" w:type="dxa"/>
            <w:shd w:val="clear" w:color="auto" w:fill="auto"/>
          </w:tcPr>
          <w:p w14:paraId="532AEC2D" w14:textId="77777777" w:rsidR="00114F14" w:rsidRDefault="00114F14" w:rsidP="00C0254E">
            <w:pPr>
              <w:rPr>
                <w:b/>
              </w:rPr>
            </w:pPr>
            <w:bookmarkStart w:id="11" w:name="_Hlk16240645"/>
            <w:r>
              <w:rPr>
                <w:b/>
              </w:rPr>
              <w:t>LD 1382, Resolve 2019,</w:t>
            </w:r>
          </w:p>
          <w:p w14:paraId="3973E828" w14:textId="77777777" w:rsidR="00114F14" w:rsidRDefault="00114F14" w:rsidP="00C0254E">
            <w:pPr>
              <w:rPr>
                <w:b/>
              </w:rPr>
            </w:pPr>
            <w:r>
              <w:rPr>
                <w:b/>
              </w:rPr>
              <w:t>Chapter 78</w:t>
            </w:r>
          </w:p>
          <w:p w14:paraId="2BA096E0" w14:textId="5FBC6A6E" w:rsidR="00114F14" w:rsidRPr="009A5B55" w:rsidRDefault="00114F14" w:rsidP="00C0254E">
            <w:pPr>
              <w:rPr>
                <w:i/>
              </w:rPr>
            </w:pPr>
            <w:r w:rsidRPr="009A5B55">
              <w:rPr>
                <w:i/>
              </w:rPr>
              <w:t xml:space="preserve">Resolve, Directing the Department of Education </w:t>
            </w:r>
            <w:proofErr w:type="gramStart"/>
            <w:r w:rsidRPr="009A5B55">
              <w:rPr>
                <w:i/>
              </w:rPr>
              <w:t>To</w:t>
            </w:r>
            <w:proofErr w:type="gramEnd"/>
            <w:r w:rsidRPr="009A5B55">
              <w:rPr>
                <w:i/>
              </w:rPr>
              <w:t xml:space="preserve"> Study and Develop a State Plan for Computer Science Instruction and Professional Development</w:t>
            </w:r>
          </w:p>
        </w:tc>
        <w:tc>
          <w:tcPr>
            <w:tcW w:w="7265" w:type="dxa"/>
            <w:shd w:val="clear" w:color="auto" w:fill="auto"/>
          </w:tcPr>
          <w:p w14:paraId="6D21DF3F" w14:textId="77777777" w:rsidR="00114F14" w:rsidRPr="0043271B" w:rsidRDefault="00114F14" w:rsidP="00C0254E">
            <w:pPr>
              <w:pStyle w:val="ListBullet"/>
            </w:pPr>
            <w:r w:rsidRPr="0043271B">
              <w:t xml:space="preserve">Requires the Department study and develop a statewide plan for implementing computer science instruction in pre-K to grade 12 schools. </w:t>
            </w:r>
          </w:p>
          <w:p w14:paraId="477E7609" w14:textId="0A53F53D" w:rsidR="00114F14" w:rsidRPr="0043271B" w:rsidRDefault="00114F14" w:rsidP="00C0254E">
            <w:pPr>
              <w:pStyle w:val="ListBullet"/>
            </w:pPr>
            <w:r w:rsidRPr="0043271B">
              <w:t>Requires the Department to submit a report to the Joint Standing Committee on Education &amp; Cultural Affairs by January 1, 2020 that includes the following:</w:t>
            </w:r>
          </w:p>
          <w:p w14:paraId="598324BD" w14:textId="77777777" w:rsidR="00114F14" w:rsidRPr="0043271B" w:rsidRDefault="00114F14" w:rsidP="00C0254E">
            <w:pPr>
              <w:pStyle w:val="ListBullet"/>
              <w:numPr>
                <w:ilvl w:val="0"/>
                <w:numId w:val="25"/>
              </w:numPr>
              <w:ind w:left="834"/>
            </w:pPr>
            <w:r w:rsidRPr="0043271B">
              <w:t>An overview on how computer science courses are being implemented in schools</w:t>
            </w:r>
          </w:p>
          <w:p w14:paraId="17254EF7" w14:textId="77777777" w:rsidR="00114F14" w:rsidRPr="0043271B" w:rsidRDefault="00114F14" w:rsidP="00C0254E">
            <w:pPr>
              <w:pStyle w:val="ListBullet"/>
              <w:numPr>
                <w:ilvl w:val="0"/>
                <w:numId w:val="25"/>
              </w:numPr>
              <w:ind w:left="834"/>
            </w:pPr>
            <w:r w:rsidRPr="0043271B">
              <w:t>A statewide plan for instruction in computer science in all high schools by 2022 and in all grades by 2025;</w:t>
            </w:r>
          </w:p>
          <w:p w14:paraId="0D530737" w14:textId="77777777" w:rsidR="00114F14" w:rsidRPr="0043271B" w:rsidRDefault="00114F14" w:rsidP="00C0254E">
            <w:pPr>
              <w:pStyle w:val="ListBullet"/>
              <w:numPr>
                <w:ilvl w:val="0"/>
                <w:numId w:val="25"/>
              </w:numPr>
              <w:ind w:left="834"/>
            </w:pPr>
            <w:r w:rsidRPr="0043271B">
              <w:t xml:space="preserve">A professional development plan for educators that includes training in computer science and a component that includes peer-to-peer training in computer science; and </w:t>
            </w:r>
          </w:p>
          <w:p w14:paraId="45488646" w14:textId="350D56FD" w:rsidR="00114F14" w:rsidRPr="0043271B" w:rsidRDefault="00114F14" w:rsidP="00C0254E">
            <w:pPr>
              <w:pStyle w:val="ListBullet"/>
              <w:numPr>
                <w:ilvl w:val="0"/>
                <w:numId w:val="25"/>
              </w:numPr>
              <w:ind w:left="834"/>
            </w:pPr>
            <w:r w:rsidRPr="0043271B">
              <w:t>An estimate of the funding levels necessary to implement the plans.</w:t>
            </w:r>
          </w:p>
          <w:p w14:paraId="4AC8C6E6" w14:textId="31BF4318" w:rsidR="00114F14" w:rsidRPr="0043271B" w:rsidRDefault="00114F14" w:rsidP="00C0254E">
            <w:pPr>
              <w:pStyle w:val="ListBullet"/>
            </w:pPr>
            <w:r w:rsidRPr="0043271B">
              <w:t>Authorizes the Joint Standing Committee on Education &amp; Cultural Affairs to submit a bill to 2nd Regular Session of the 129th Legislature.</w:t>
            </w:r>
          </w:p>
        </w:tc>
        <w:tc>
          <w:tcPr>
            <w:tcW w:w="2250" w:type="dxa"/>
            <w:shd w:val="clear" w:color="auto" w:fill="auto"/>
          </w:tcPr>
          <w:p w14:paraId="424E0F58" w14:textId="77777777" w:rsidR="00114F14" w:rsidRDefault="00114F14" w:rsidP="00C0254E">
            <w:pPr>
              <w:rPr>
                <w:sz w:val="22"/>
                <w:szCs w:val="22"/>
              </w:rPr>
            </w:pPr>
            <w:r>
              <w:rPr>
                <w:sz w:val="22"/>
                <w:szCs w:val="22"/>
              </w:rPr>
              <w:t>September 19, 2019</w:t>
            </w:r>
          </w:p>
          <w:p w14:paraId="32202533" w14:textId="23C459FA" w:rsidR="00114F14" w:rsidRDefault="00114F14" w:rsidP="00C0254E">
            <w:pPr>
              <w:rPr>
                <w:sz w:val="22"/>
                <w:szCs w:val="22"/>
              </w:rPr>
            </w:pPr>
          </w:p>
          <w:p w14:paraId="3EBC9F4A" w14:textId="77777777" w:rsidR="00114F14" w:rsidRDefault="00114F14" w:rsidP="00C0254E">
            <w:pPr>
              <w:rPr>
                <w:sz w:val="22"/>
                <w:szCs w:val="22"/>
              </w:rPr>
            </w:pPr>
          </w:p>
          <w:p w14:paraId="13832FE3" w14:textId="35BF4B15" w:rsidR="00114F14" w:rsidRPr="00433A3D" w:rsidRDefault="00114F14" w:rsidP="00C0254E">
            <w:pPr>
              <w:rPr>
                <w:sz w:val="22"/>
                <w:szCs w:val="22"/>
              </w:rPr>
            </w:pPr>
            <w:r>
              <w:rPr>
                <w:sz w:val="22"/>
                <w:szCs w:val="22"/>
              </w:rPr>
              <w:t>Department to submit report to Joint Standing Committee on Education &amp; Cultural Affairs by January 1, 2020.</w:t>
            </w:r>
          </w:p>
        </w:tc>
      </w:tr>
      <w:bookmarkEnd w:id="11"/>
      <w:tr w:rsidR="00114F14" w:rsidRPr="008D72F0" w14:paraId="76AE2302" w14:textId="77777777" w:rsidTr="00114F14">
        <w:trPr>
          <w:trHeight w:val="737"/>
        </w:trPr>
        <w:tc>
          <w:tcPr>
            <w:tcW w:w="3080" w:type="dxa"/>
            <w:shd w:val="clear" w:color="auto" w:fill="auto"/>
          </w:tcPr>
          <w:p w14:paraId="0B9F7B02" w14:textId="77777777" w:rsidR="00114F14" w:rsidRDefault="00114F14" w:rsidP="00C0254E">
            <w:pPr>
              <w:rPr>
                <w:b/>
              </w:rPr>
            </w:pPr>
            <w:r>
              <w:rPr>
                <w:b/>
              </w:rPr>
              <w:t>LD 1396, Public Law 2019, Chapter 150</w:t>
            </w:r>
          </w:p>
          <w:p w14:paraId="0B1DEF73" w14:textId="77777777" w:rsidR="00114F14" w:rsidRPr="006761F4" w:rsidRDefault="00114F14" w:rsidP="00C0254E">
            <w:pPr>
              <w:rPr>
                <w:i/>
              </w:rPr>
            </w:pPr>
            <w:r w:rsidRPr="006761F4">
              <w:rPr>
                <w:i/>
              </w:rPr>
              <w:t xml:space="preserve">An Act </w:t>
            </w:r>
            <w:proofErr w:type="gramStart"/>
            <w:r w:rsidRPr="006761F4">
              <w:rPr>
                <w:i/>
              </w:rPr>
              <w:t>To</w:t>
            </w:r>
            <w:proofErr w:type="gramEnd"/>
            <w:r w:rsidRPr="006761F4">
              <w:rPr>
                <w:i/>
              </w:rPr>
              <w:t xml:space="preserve"> Update the Laws Governing the Regional Library Systems</w:t>
            </w:r>
          </w:p>
          <w:p w14:paraId="2D21ACFA" w14:textId="6C54C892" w:rsidR="00114F14" w:rsidRPr="006761F4" w:rsidRDefault="00114F14" w:rsidP="00C0254E">
            <w:pPr>
              <w:rPr>
                <w:i/>
              </w:rPr>
            </w:pPr>
          </w:p>
        </w:tc>
        <w:tc>
          <w:tcPr>
            <w:tcW w:w="7265" w:type="dxa"/>
            <w:shd w:val="clear" w:color="auto" w:fill="auto"/>
          </w:tcPr>
          <w:p w14:paraId="42665076" w14:textId="77777777" w:rsidR="00114F14" w:rsidRDefault="00114F14" w:rsidP="00C0254E">
            <w:pPr>
              <w:pStyle w:val="ListBullet"/>
              <w:rPr>
                <w:lang w:val="en-US"/>
              </w:rPr>
            </w:pPr>
            <w:r>
              <w:rPr>
                <w:lang w:val="en-US"/>
              </w:rPr>
              <w:t>R</w:t>
            </w:r>
            <w:r w:rsidRPr="00B87ED9">
              <w:rPr>
                <w:lang w:val="en-US"/>
              </w:rPr>
              <w:t>evises the membership and terms of the Maine Library Commission.</w:t>
            </w:r>
          </w:p>
          <w:p w14:paraId="6A2992A3" w14:textId="77777777" w:rsidR="00114F14" w:rsidRDefault="00114F14" w:rsidP="00C0254E">
            <w:pPr>
              <w:pStyle w:val="ListBullet"/>
              <w:rPr>
                <w:lang w:val="en-US"/>
              </w:rPr>
            </w:pPr>
            <w:r>
              <w:rPr>
                <w:lang w:val="en-US"/>
              </w:rPr>
              <w:t xml:space="preserve">Establishes the Maine Library Advisory Council to serve as an advisory body representing participating libraries from all geographical library regions to encourage cooperation, resources and services and accessibility among libraries. </w:t>
            </w:r>
          </w:p>
          <w:p w14:paraId="7FF5C0F8" w14:textId="0B3E9DE8" w:rsidR="00114F14" w:rsidRPr="00510BFA" w:rsidRDefault="00114F14" w:rsidP="00C0254E">
            <w:pPr>
              <w:pStyle w:val="ListBullet"/>
            </w:pPr>
            <w:r w:rsidRPr="00863E29">
              <w:rPr>
                <w:lang w:val="en-US"/>
              </w:rPr>
              <w:t xml:space="preserve">The Council also advises the Commission and the Maine State Librarian. </w:t>
            </w:r>
          </w:p>
        </w:tc>
        <w:tc>
          <w:tcPr>
            <w:tcW w:w="2250" w:type="dxa"/>
            <w:shd w:val="clear" w:color="auto" w:fill="auto"/>
          </w:tcPr>
          <w:p w14:paraId="11F8D53F" w14:textId="53C0825F" w:rsidR="00114F14" w:rsidRPr="00433A3D" w:rsidRDefault="00114F14" w:rsidP="00C0254E">
            <w:pPr>
              <w:rPr>
                <w:sz w:val="22"/>
                <w:szCs w:val="22"/>
              </w:rPr>
            </w:pPr>
            <w:r>
              <w:rPr>
                <w:sz w:val="22"/>
                <w:szCs w:val="22"/>
              </w:rPr>
              <w:t>September 19, 2019</w:t>
            </w:r>
          </w:p>
        </w:tc>
      </w:tr>
      <w:tr w:rsidR="00114F14" w:rsidRPr="008D72F0" w14:paraId="71E70DA7" w14:textId="77777777" w:rsidTr="00114F14">
        <w:trPr>
          <w:trHeight w:val="737"/>
        </w:trPr>
        <w:tc>
          <w:tcPr>
            <w:tcW w:w="3080" w:type="dxa"/>
            <w:shd w:val="clear" w:color="auto" w:fill="auto"/>
          </w:tcPr>
          <w:p w14:paraId="18D2EDDE" w14:textId="77777777" w:rsidR="00114F14" w:rsidRDefault="00114F14" w:rsidP="00CB1A47">
            <w:pPr>
              <w:rPr>
                <w:b/>
              </w:rPr>
            </w:pPr>
            <w:r>
              <w:rPr>
                <w:b/>
              </w:rPr>
              <w:t>LD 1411, Public Law 2019, Chapter 246</w:t>
            </w:r>
          </w:p>
          <w:p w14:paraId="7AE7CB12" w14:textId="6EFC238E" w:rsidR="00114F14" w:rsidRDefault="00114F14" w:rsidP="00CB1A47">
            <w:pPr>
              <w:rPr>
                <w:b/>
              </w:rPr>
            </w:pPr>
            <w:r w:rsidRPr="0049314D">
              <w:rPr>
                <w:i/>
              </w:rPr>
              <w:t>An Act Regarding the Federal Workforce Innovation and Opportunity Act</w:t>
            </w:r>
          </w:p>
        </w:tc>
        <w:tc>
          <w:tcPr>
            <w:tcW w:w="7265" w:type="dxa"/>
            <w:shd w:val="clear" w:color="auto" w:fill="auto"/>
          </w:tcPr>
          <w:p w14:paraId="59ECEA7B" w14:textId="77777777" w:rsidR="00114F14" w:rsidRDefault="00114F14" w:rsidP="00CB1A47">
            <w:pPr>
              <w:pStyle w:val="ListBullet"/>
              <w:rPr>
                <w:lang w:val="en-US"/>
              </w:rPr>
            </w:pPr>
            <w:r>
              <w:rPr>
                <w:lang w:val="en-US"/>
              </w:rPr>
              <w:t xml:space="preserve">Requires that </w:t>
            </w:r>
            <w:r w:rsidRPr="003619EB">
              <w:rPr>
                <w:lang w:val="en-US"/>
              </w:rPr>
              <w:t>members</w:t>
            </w:r>
            <w:r>
              <w:rPr>
                <w:lang w:val="en-US"/>
              </w:rPr>
              <w:t>hip</w:t>
            </w:r>
            <w:r w:rsidRPr="003619EB">
              <w:rPr>
                <w:lang w:val="en-US"/>
              </w:rPr>
              <w:t xml:space="preserve"> to the State Workforce Board </w:t>
            </w:r>
            <w:r>
              <w:rPr>
                <w:lang w:val="en-US"/>
              </w:rPr>
              <w:t xml:space="preserve">of representatives from business and industry, organized labor and representatives of other interests as determined by the Governor are </w:t>
            </w:r>
            <w:r w:rsidRPr="003619EB">
              <w:rPr>
                <w:lang w:val="en-US"/>
              </w:rPr>
              <w:t>subject to</w:t>
            </w:r>
            <w:r>
              <w:rPr>
                <w:lang w:val="en-US"/>
              </w:rPr>
              <w:t xml:space="preserve"> review and </w:t>
            </w:r>
            <w:r w:rsidRPr="003619EB">
              <w:rPr>
                <w:lang w:val="en-US"/>
              </w:rPr>
              <w:t>confirmation by the Legislature</w:t>
            </w:r>
            <w:r>
              <w:rPr>
                <w:lang w:val="en-US"/>
              </w:rPr>
              <w:t>.</w:t>
            </w:r>
          </w:p>
          <w:p w14:paraId="70EC6019" w14:textId="77777777" w:rsidR="00114F14" w:rsidRDefault="00114F14" w:rsidP="00CB1A47">
            <w:pPr>
              <w:pStyle w:val="ListBullet"/>
              <w:rPr>
                <w:lang w:val="en-US"/>
              </w:rPr>
            </w:pPr>
            <w:r>
              <w:rPr>
                <w:lang w:val="en-US"/>
              </w:rPr>
              <w:t>The Governor and members include the Commissioners of Labor, Economic and Community Development, and Education as well as county commissioners and other state, county or municipal officials appointed by the Governor do not require that review to be members.</w:t>
            </w:r>
          </w:p>
          <w:p w14:paraId="372FA31B" w14:textId="77777777" w:rsidR="00114F14" w:rsidRDefault="00114F14" w:rsidP="00CB1A47">
            <w:pPr>
              <w:pStyle w:val="ListBullet"/>
            </w:pPr>
            <w:r>
              <w:t>Requires the state workforce development plan to be submitted to the Joint Standing Committee on Labor &amp; Housing at the same time the plan is posted for public comment pursuant to the federal Workforce Innovation and Opportunity Act.</w:t>
            </w:r>
          </w:p>
          <w:p w14:paraId="29667B1C" w14:textId="39911EBF" w:rsidR="00114F14" w:rsidRDefault="00114F14" w:rsidP="00CB1A47">
            <w:pPr>
              <w:pStyle w:val="ListBullet"/>
            </w:pPr>
            <w:r>
              <w:t>Requires the Governor to make federal funds available to the local workforce boards to be used to implement the Workforce Innovation and Opportunity Act within 30 days after the date funds are made available to the Governor and in accordance with state procurement rules and the federal Cash Management Improvement Act of 1990.</w:t>
            </w:r>
          </w:p>
        </w:tc>
        <w:tc>
          <w:tcPr>
            <w:tcW w:w="2250" w:type="dxa"/>
            <w:shd w:val="clear" w:color="auto" w:fill="auto"/>
          </w:tcPr>
          <w:p w14:paraId="5B8DA787" w14:textId="0F555A5C" w:rsidR="00114F14" w:rsidRDefault="00114F14" w:rsidP="00CB1A47">
            <w:pPr>
              <w:rPr>
                <w:sz w:val="22"/>
                <w:szCs w:val="22"/>
              </w:rPr>
            </w:pPr>
            <w:r>
              <w:rPr>
                <w:sz w:val="22"/>
                <w:szCs w:val="22"/>
              </w:rPr>
              <w:t>September 19, 2019</w:t>
            </w:r>
          </w:p>
        </w:tc>
      </w:tr>
      <w:tr w:rsidR="00114F14" w:rsidRPr="008D72F0" w14:paraId="0BEA4598" w14:textId="77777777" w:rsidTr="00114F14">
        <w:trPr>
          <w:trHeight w:val="737"/>
        </w:trPr>
        <w:tc>
          <w:tcPr>
            <w:tcW w:w="3080" w:type="dxa"/>
            <w:shd w:val="clear" w:color="auto" w:fill="auto"/>
          </w:tcPr>
          <w:p w14:paraId="66163AE9" w14:textId="77777777" w:rsidR="00114F14" w:rsidRDefault="00114F14" w:rsidP="00CB1A47">
            <w:pPr>
              <w:rPr>
                <w:b/>
              </w:rPr>
            </w:pPr>
            <w:r>
              <w:rPr>
                <w:b/>
              </w:rPr>
              <w:t>LD 1412, Public Law 2019, Chapter 460</w:t>
            </w:r>
          </w:p>
          <w:p w14:paraId="3BF50D5E" w14:textId="0AF7D46A" w:rsidR="00114F14" w:rsidRPr="0049314D" w:rsidRDefault="00114F14" w:rsidP="00CB1A47">
            <w:pPr>
              <w:rPr>
                <w:i/>
              </w:rPr>
            </w:pPr>
            <w:r w:rsidRPr="0049314D">
              <w:rPr>
                <w:i/>
              </w:rPr>
              <w:t xml:space="preserve">An Act </w:t>
            </w:r>
            <w:proofErr w:type="gramStart"/>
            <w:r w:rsidRPr="0049314D">
              <w:rPr>
                <w:i/>
              </w:rPr>
              <w:t>To</w:t>
            </w:r>
            <w:proofErr w:type="gramEnd"/>
            <w:r w:rsidRPr="0049314D">
              <w:rPr>
                <w:i/>
              </w:rPr>
              <w:t xml:space="preserve"> Amend the Laws Governing the Collective Bargaining Rights of Employees of School Management and Leadership Centers</w:t>
            </w:r>
          </w:p>
        </w:tc>
        <w:tc>
          <w:tcPr>
            <w:tcW w:w="7265" w:type="dxa"/>
            <w:shd w:val="clear" w:color="auto" w:fill="auto"/>
          </w:tcPr>
          <w:p w14:paraId="76EC688A" w14:textId="77777777" w:rsidR="00114F14" w:rsidRDefault="00114F14" w:rsidP="00CB1A47">
            <w:pPr>
              <w:pStyle w:val="ListBullet"/>
            </w:pPr>
            <w:r>
              <w:t xml:space="preserve">Provides that employees of “school management and leadership centers” (“education service center” pursuant to PL 2019 Chapter 219 [LD 1341]) are eligible to participate in the Maine Public Employees Retirement System. </w:t>
            </w:r>
          </w:p>
          <w:p w14:paraId="6673689F" w14:textId="77777777" w:rsidR="00114F14" w:rsidRDefault="00114F14" w:rsidP="00CB1A47">
            <w:pPr>
              <w:pStyle w:val="ListBullet"/>
            </w:pPr>
            <w:r>
              <w:t>Specifies that the retirement costs and administrative operating expenses related to the retirement programs for teachers employed by an education service center are to be paid by that education service center.</w:t>
            </w:r>
          </w:p>
          <w:p w14:paraId="11FEE0A1" w14:textId="77777777" w:rsidR="00114F14" w:rsidRDefault="00114F14" w:rsidP="00CB1A47">
            <w:pPr>
              <w:pStyle w:val="ListBullet"/>
              <w:numPr>
                <w:ilvl w:val="0"/>
                <w:numId w:val="0"/>
              </w:numPr>
              <w:ind w:left="460"/>
            </w:pPr>
            <w:r>
              <w:t>Establishes collective bargaining obligations, duties, liabilities and rights for an education service center pursuant to the laws governing municipal public employers and includes provisions for the merging of bargaining units of employees of a school administrative unit that also are employed by an education service center.</w:t>
            </w:r>
          </w:p>
          <w:p w14:paraId="5C56B169" w14:textId="77777777" w:rsidR="00D540F9" w:rsidRDefault="00D540F9" w:rsidP="00CB1A47">
            <w:pPr>
              <w:pStyle w:val="ListBullet"/>
              <w:numPr>
                <w:ilvl w:val="0"/>
                <w:numId w:val="0"/>
              </w:numPr>
              <w:ind w:left="460"/>
            </w:pPr>
          </w:p>
          <w:p w14:paraId="430EA4F1" w14:textId="79FC3A54" w:rsidR="00D540F9" w:rsidRPr="00510BFA" w:rsidRDefault="00D540F9" w:rsidP="00CB1A47">
            <w:pPr>
              <w:pStyle w:val="ListBullet"/>
              <w:numPr>
                <w:ilvl w:val="0"/>
                <w:numId w:val="0"/>
              </w:numPr>
              <w:ind w:left="460"/>
            </w:pPr>
          </w:p>
        </w:tc>
        <w:tc>
          <w:tcPr>
            <w:tcW w:w="2250" w:type="dxa"/>
            <w:shd w:val="clear" w:color="auto" w:fill="auto"/>
          </w:tcPr>
          <w:p w14:paraId="23DA8A91" w14:textId="3A2BE133" w:rsidR="00114F14" w:rsidRPr="00433A3D" w:rsidRDefault="00114F14" w:rsidP="00CB1A47">
            <w:pPr>
              <w:rPr>
                <w:sz w:val="22"/>
                <w:szCs w:val="22"/>
              </w:rPr>
            </w:pPr>
            <w:r>
              <w:rPr>
                <w:sz w:val="22"/>
                <w:szCs w:val="22"/>
              </w:rPr>
              <w:t>September 19, 2019</w:t>
            </w:r>
          </w:p>
        </w:tc>
      </w:tr>
      <w:tr w:rsidR="00114F14" w:rsidRPr="008D72F0" w14:paraId="433BA929" w14:textId="77777777" w:rsidTr="00114F14">
        <w:trPr>
          <w:trHeight w:val="737"/>
        </w:trPr>
        <w:tc>
          <w:tcPr>
            <w:tcW w:w="3080" w:type="dxa"/>
            <w:shd w:val="clear" w:color="auto" w:fill="auto"/>
          </w:tcPr>
          <w:p w14:paraId="72DF08E3" w14:textId="77777777" w:rsidR="00114F14" w:rsidRDefault="00114F14" w:rsidP="00CB1A47">
            <w:pPr>
              <w:rPr>
                <w:b/>
              </w:rPr>
            </w:pPr>
            <w:r>
              <w:rPr>
                <w:b/>
              </w:rPr>
              <w:t>LD 1414. Public Law 2019, Chapter 247</w:t>
            </w:r>
          </w:p>
          <w:p w14:paraId="2159ABB5" w14:textId="77777777" w:rsidR="00114F14" w:rsidRPr="0049376C" w:rsidRDefault="00114F14" w:rsidP="00CB1A47">
            <w:pPr>
              <w:rPr>
                <w:i/>
              </w:rPr>
            </w:pPr>
            <w:r w:rsidRPr="0049376C">
              <w:rPr>
                <w:i/>
              </w:rPr>
              <w:t xml:space="preserve">An Act </w:t>
            </w:r>
            <w:proofErr w:type="gramStart"/>
            <w:r w:rsidRPr="0049376C">
              <w:rPr>
                <w:i/>
              </w:rPr>
              <w:t>To</w:t>
            </w:r>
            <w:proofErr w:type="gramEnd"/>
            <w:r w:rsidRPr="0049376C">
              <w:rPr>
                <w:i/>
              </w:rPr>
              <w:t xml:space="preserve"> Implement the Recommendations of the Right To Know Advisory Committee Concerning Penalties for Violations of the Freedom of Access Act</w:t>
            </w:r>
          </w:p>
          <w:p w14:paraId="278A7AE3" w14:textId="4443AA0A" w:rsidR="00114F14" w:rsidRPr="0049376C" w:rsidRDefault="00114F14" w:rsidP="00CB1A47">
            <w:pPr>
              <w:rPr>
                <w:i/>
              </w:rPr>
            </w:pPr>
          </w:p>
        </w:tc>
        <w:tc>
          <w:tcPr>
            <w:tcW w:w="7265" w:type="dxa"/>
            <w:shd w:val="clear" w:color="auto" w:fill="auto"/>
          </w:tcPr>
          <w:p w14:paraId="06990B5E" w14:textId="3745CC81" w:rsidR="00114F14" w:rsidRPr="00510BFA" w:rsidRDefault="00114F14" w:rsidP="00CB1A47">
            <w:pPr>
              <w:pStyle w:val="ListBullet"/>
            </w:pPr>
            <w:r w:rsidRPr="00890FD7">
              <w:t>Amends the fines for the civil violation of willfully violating the Freedom of Access Act from a flat amount to a tiered schedule.  A state government agency or local government entity whose officer or employee commits a civil violation is subject to a fine of up to $500 for a first violation, a fine of up to $1,000 for a 2nd violation and a fine of up to $2,000 for 3rd and subsequent violations committed within 4 years of an adjudication for a willful violation. For the purposes of determining previous adjudications, a willful violation can be committed by any employee of the agency or entity</w:t>
            </w:r>
            <w:r>
              <w:t>.</w:t>
            </w:r>
          </w:p>
        </w:tc>
        <w:tc>
          <w:tcPr>
            <w:tcW w:w="2250" w:type="dxa"/>
            <w:shd w:val="clear" w:color="auto" w:fill="auto"/>
          </w:tcPr>
          <w:p w14:paraId="3855D1C4" w14:textId="7C115B6E" w:rsidR="00114F14" w:rsidRPr="00433A3D" w:rsidRDefault="00114F14" w:rsidP="00CB1A47">
            <w:pPr>
              <w:rPr>
                <w:sz w:val="22"/>
                <w:szCs w:val="22"/>
              </w:rPr>
            </w:pPr>
            <w:r>
              <w:rPr>
                <w:sz w:val="22"/>
                <w:szCs w:val="22"/>
              </w:rPr>
              <w:t>September 19, 2019</w:t>
            </w:r>
          </w:p>
        </w:tc>
      </w:tr>
      <w:tr w:rsidR="00114F14" w:rsidRPr="008D72F0" w14:paraId="6B225C75" w14:textId="77777777" w:rsidTr="00114F14">
        <w:trPr>
          <w:trHeight w:val="737"/>
        </w:trPr>
        <w:tc>
          <w:tcPr>
            <w:tcW w:w="3080" w:type="dxa"/>
            <w:shd w:val="clear" w:color="auto" w:fill="auto"/>
          </w:tcPr>
          <w:p w14:paraId="49B3077D" w14:textId="77777777" w:rsidR="00114F14" w:rsidRDefault="00114F14" w:rsidP="00CB1A47">
            <w:pPr>
              <w:rPr>
                <w:b/>
              </w:rPr>
            </w:pPr>
            <w:r>
              <w:rPr>
                <w:b/>
              </w:rPr>
              <w:t>LD 1416, Public Law 2019, Chapter 300</w:t>
            </w:r>
          </w:p>
          <w:p w14:paraId="6EC45709" w14:textId="77777777" w:rsidR="00114F14" w:rsidRDefault="00114F14" w:rsidP="00CB1A47">
            <w:pPr>
              <w:rPr>
                <w:i/>
              </w:rPr>
            </w:pPr>
            <w:r w:rsidRPr="005C1EBE">
              <w:rPr>
                <w:i/>
              </w:rPr>
              <w:t xml:space="preserve">An Act </w:t>
            </w:r>
            <w:proofErr w:type="gramStart"/>
            <w:r w:rsidRPr="005C1EBE">
              <w:rPr>
                <w:i/>
              </w:rPr>
              <w:t>To</w:t>
            </w:r>
            <w:proofErr w:type="gramEnd"/>
            <w:r w:rsidRPr="005C1EBE">
              <w:rPr>
                <w:i/>
              </w:rPr>
              <w:t xml:space="preserve"> Implement the Recommendations of the Right To Know Advisory Committee Concerning Freedom of Access Training for Public Officials</w:t>
            </w:r>
          </w:p>
          <w:p w14:paraId="67232A7C" w14:textId="37846FDE" w:rsidR="00D540F9" w:rsidRPr="005C1EBE" w:rsidRDefault="00D540F9" w:rsidP="00CB1A47">
            <w:pPr>
              <w:rPr>
                <w:i/>
              </w:rPr>
            </w:pPr>
          </w:p>
        </w:tc>
        <w:tc>
          <w:tcPr>
            <w:tcW w:w="7265" w:type="dxa"/>
            <w:shd w:val="clear" w:color="auto" w:fill="auto"/>
          </w:tcPr>
          <w:p w14:paraId="7490C27D" w14:textId="77777777" w:rsidR="00114F14" w:rsidRPr="00122BD9" w:rsidRDefault="00114F14" w:rsidP="00CB1A47">
            <w:pPr>
              <w:pStyle w:val="ListBullet"/>
            </w:pPr>
            <w:r w:rsidRPr="00122BD9">
              <w:t>Amends requirements that certain appointed public officials be required to complete the training on the Freedom of Access Act.</w:t>
            </w:r>
          </w:p>
          <w:p w14:paraId="4B21D00E" w14:textId="77777777" w:rsidR="00114F14" w:rsidRPr="00510BFA" w:rsidRDefault="00114F14" w:rsidP="00CB1A47">
            <w:pPr>
              <w:pStyle w:val="ListBullet"/>
              <w:numPr>
                <w:ilvl w:val="0"/>
                <w:numId w:val="0"/>
              </w:numPr>
              <w:ind w:left="280"/>
            </w:pPr>
          </w:p>
        </w:tc>
        <w:tc>
          <w:tcPr>
            <w:tcW w:w="2250" w:type="dxa"/>
            <w:shd w:val="clear" w:color="auto" w:fill="auto"/>
          </w:tcPr>
          <w:p w14:paraId="6B379056" w14:textId="43708C2E" w:rsidR="00114F14" w:rsidRPr="00433A3D" w:rsidRDefault="00114F14" w:rsidP="00CB1A47">
            <w:pPr>
              <w:rPr>
                <w:sz w:val="22"/>
                <w:szCs w:val="22"/>
              </w:rPr>
            </w:pPr>
            <w:r>
              <w:rPr>
                <w:sz w:val="22"/>
                <w:szCs w:val="22"/>
              </w:rPr>
              <w:t>September 19, 2019</w:t>
            </w:r>
          </w:p>
        </w:tc>
      </w:tr>
      <w:tr w:rsidR="00114F14" w:rsidRPr="008D72F0" w14:paraId="1DB112EE" w14:textId="77777777" w:rsidTr="00114F14">
        <w:trPr>
          <w:trHeight w:val="737"/>
        </w:trPr>
        <w:tc>
          <w:tcPr>
            <w:tcW w:w="3080" w:type="dxa"/>
            <w:shd w:val="clear" w:color="auto" w:fill="auto"/>
          </w:tcPr>
          <w:p w14:paraId="44109587" w14:textId="77777777" w:rsidR="00114F14" w:rsidRDefault="00114F14" w:rsidP="00CB1A47">
            <w:pPr>
              <w:rPr>
                <w:b/>
              </w:rPr>
            </w:pPr>
            <w:r>
              <w:rPr>
                <w:b/>
              </w:rPr>
              <w:t>LD 1451, Public Law 2019, Chapter 389</w:t>
            </w:r>
          </w:p>
          <w:p w14:paraId="55C6A80B" w14:textId="48F0A240" w:rsidR="00114F14" w:rsidRPr="005C1EBE" w:rsidRDefault="00114F14" w:rsidP="00CB1A47">
            <w:pPr>
              <w:rPr>
                <w:i/>
              </w:rPr>
            </w:pPr>
            <w:r w:rsidRPr="005C1EBE">
              <w:rPr>
                <w:i/>
              </w:rPr>
              <w:t>An Act Providing Labor Unions with Reasonable Access to Current and Newly Hired Public Sector Workers</w:t>
            </w:r>
          </w:p>
        </w:tc>
        <w:tc>
          <w:tcPr>
            <w:tcW w:w="7265" w:type="dxa"/>
            <w:shd w:val="clear" w:color="auto" w:fill="auto"/>
          </w:tcPr>
          <w:p w14:paraId="3E10360B" w14:textId="3C446F56" w:rsidR="00114F14" w:rsidRDefault="00114F14" w:rsidP="00CB1A47">
            <w:pPr>
              <w:pStyle w:val="ListBullet"/>
            </w:pPr>
            <w:r>
              <w:t>Amends the laws governing collective bargaining for municipal, state, and judicial employees and employees of the U of Maine System, the Maine Community College System and the Maine Maritime Academy.</w:t>
            </w:r>
          </w:p>
          <w:p w14:paraId="0EF6299A" w14:textId="7B1DCB8C" w:rsidR="00114F14" w:rsidRDefault="00114F14" w:rsidP="00CB1A47">
            <w:pPr>
              <w:pStyle w:val="ListBullet"/>
            </w:pPr>
            <w:r>
              <w:rPr>
                <w:lang w:val="en-US"/>
              </w:rPr>
              <w:t>P</w:t>
            </w:r>
            <w:r w:rsidRPr="00403EB4">
              <w:rPr>
                <w:lang w:val="en-US"/>
              </w:rPr>
              <w:t xml:space="preserve">rovides a collective bargaining agent the right to use any government building or facility to conduct meetings with its members, </w:t>
            </w:r>
            <w:proofErr w:type="gramStart"/>
            <w:r w:rsidRPr="00403EB4">
              <w:rPr>
                <w:lang w:val="en-US"/>
              </w:rPr>
              <w:t>as long as</w:t>
            </w:r>
            <w:proofErr w:type="gramEnd"/>
            <w:r w:rsidRPr="00403EB4">
              <w:rPr>
                <w:lang w:val="en-US"/>
              </w:rPr>
              <w:t xml:space="preserve"> that use does not interfere with governmental operations.</w:t>
            </w:r>
          </w:p>
          <w:p w14:paraId="14A6B81D" w14:textId="77777777" w:rsidR="00114F14" w:rsidRDefault="00114F14" w:rsidP="00CB1A47">
            <w:pPr>
              <w:pStyle w:val="ListBullet"/>
              <w:rPr>
                <w:lang w:val="en-US"/>
              </w:rPr>
            </w:pPr>
            <w:r>
              <w:rPr>
                <w:lang w:val="en-US"/>
              </w:rPr>
              <w:t>C</w:t>
            </w:r>
            <w:r w:rsidRPr="00CD672E">
              <w:rPr>
                <w:lang w:val="en-US"/>
              </w:rPr>
              <w:t xml:space="preserve">hanges the minimum amount of time an employer must allow for a newly hired employee to meet with a bargaining agent from 30 minutes to either 30 minutes or an amount of time agreed upon by all parties; </w:t>
            </w:r>
          </w:p>
          <w:p w14:paraId="5AF1E8BB" w14:textId="77777777" w:rsidR="00114F14" w:rsidRDefault="00114F14" w:rsidP="00CB1A47">
            <w:pPr>
              <w:pStyle w:val="ListBullet"/>
              <w:rPr>
                <w:lang w:val="en-US"/>
              </w:rPr>
            </w:pPr>
            <w:r>
              <w:rPr>
                <w:lang w:val="en-US"/>
              </w:rPr>
              <w:t>C</w:t>
            </w:r>
            <w:r w:rsidRPr="00CD672E">
              <w:rPr>
                <w:lang w:val="en-US"/>
              </w:rPr>
              <w:t xml:space="preserve">hanges from 10 days to 30 days the amount of time an employer </w:t>
            </w:r>
            <w:proofErr w:type="gramStart"/>
            <w:r w:rsidRPr="00CD672E">
              <w:rPr>
                <w:lang w:val="en-US"/>
              </w:rPr>
              <w:t>has to</w:t>
            </w:r>
            <w:proofErr w:type="gramEnd"/>
            <w:r w:rsidRPr="00CD672E">
              <w:rPr>
                <w:lang w:val="en-US"/>
              </w:rPr>
              <w:t xml:space="preserve"> provide a bargaining agent with information regarding newly hired employees;  </w:t>
            </w:r>
          </w:p>
          <w:p w14:paraId="0D7A309E" w14:textId="77777777" w:rsidR="00114F14" w:rsidRDefault="00114F14" w:rsidP="00CB1A47">
            <w:pPr>
              <w:pStyle w:val="ListBullet"/>
              <w:rPr>
                <w:lang w:val="en-US"/>
              </w:rPr>
            </w:pPr>
            <w:r>
              <w:rPr>
                <w:lang w:val="en-US"/>
              </w:rPr>
              <w:t>A</w:t>
            </w:r>
            <w:r w:rsidRPr="00CD672E">
              <w:rPr>
                <w:lang w:val="en-US"/>
              </w:rPr>
              <w:t xml:space="preserve">llows an employee to opt out after initial communications with a bargaining agent from any further contact or sharing of that employee's information with a bargaining agent, except for instances when that employee is being provided direct representation by the bargaining agent; and </w:t>
            </w:r>
          </w:p>
          <w:p w14:paraId="41A1B888" w14:textId="77777777" w:rsidR="00114F14" w:rsidRPr="00D540F9" w:rsidRDefault="00114F14" w:rsidP="00CB1A47">
            <w:pPr>
              <w:pStyle w:val="ListBullet"/>
            </w:pPr>
            <w:r>
              <w:rPr>
                <w:lang w:val="en-US"/>
              </w:rPr>
              <w:t>P</w:t>
            </w:r>
            <w:r w:rsidRPr="00CD672E">
              <w:rPr>
                <w:lang w:val="en-US"/>
              </w:rPr>
              <w:t>rohibits a bargaining agent from selling or sharing a nonmember's information except for the purposes of that bargaining agent fulfilling its collective bargaining obligation</w:t>
            </w:r>
            <w:r>
              <w:rPr>
                <w:lang w:val="en-US"/>
              </w:rPr>
              <w:t>.</w:t>
            </w:r>
          </w:p>
          <w:p w14:paraId="1823FBED" w14:textId="77777777" w:rsidR="00D540F9" w:rsidRDefault="00D540F9" w:rsidP="00D540F9">
            <w:pPr>
              <w:pStyle w:val="ListBullet"/>
              <w:numPr>
                <w:ilvl w:val="0"/>
                <w:numId w:val="0"/>
              </w:numPr>
              <w:ind w:left="460" w:hanging="180"/>
            </w:pPr>
          </w:p>
          <w:p w14:paraId="41299F83" w14:textId="7431089A" w:rsidR="00D540F9" w:rsidRPr="00510BFA" w:rsidRDefault="00D540F9" w:rsidP="00D540F9">
            <w:pPr>
              <w:pStyle w:val="ListBullet"/>
              <w:numPr>
                <w:ilvl w:val="0"/>
                <w:numId w:val="0"/>
              </w:numPr>
              <w:ind w:left="460" w:hanging="180"/>
            </w:pPr>
          </w:p>
        </w:tc>
        <w:tc>
          <w:tcPr>
            <w:tcW w:w="2250" w:type="dxa"/>
            <w:shd w:val="clear" w:color="auto" w:fill="auto"/>
          </w:tcPr>
          <w:p w14:paraId="74D9458B" w14:textId="358CAA33" w:rsidR="00114F14" w:rsidRPr="00433A3D" w:rsidRDefault="00114F14" w:rsidP="00CB1A47">
            <w:pPr>
              <w:rPr>
                <w:sz w:val="22"/>
                <w:szCs w:val="22"/>
              </w:rPr>
            </w:pPr>
            <w:r>
              <w:rPr>
                <w:sz w:val="22"/>
                <w:szCs w:val="22"/>
              </w:rPr>
              <w:t>September 19, 2019</w:t>
            </w:r>
          </w:p>
        </w:tc>
      </w:tr>
      <w:tr w:rsidR="00114F14" w:rsidRPr="008D72F0" w14:paraId="4534BE27" w14:textId="77777777" w:rsidTr="00114F14">
        <w:trPr>
          <w:trHeight w:val="737"/>
        </w:trPr>
        <w:tc>
          <w:tcPr>
            <w:tcW w:w="3080" w:type="dxa"/>
            <w:shd w:val="clear" w:color="auto" w:fill="auto"/>
          </w:tcPr>
          <w:p w14:paraId="49996E9F" w14:textId="77777777" w:rsidR="00114F14" w:rsidRDefault="00114F14" w:rsidP="00CB1A47">
            <w:pPr>
              <w:rPr>
                <w:b/>
              </w:rPr>
            </w:pPr>
            <w:bookmarkStart w:id="12" w:name="_Hlk16242272"/>
            <w:r>
              <w:rPr>
                <w:b/>
              </w:rPr>
              <w:t>LD 1478, Resolve 2019, Chapter 101</w:t>
            </w:r>
          </w:p>
          <w:p w14:paraId="29BFB825" w14:textId="1EBAB151" w:rsidR="00114F14" w:rsidRPr="00FF3470" w:rsidRDefault="00114F14" w:rsidP="00CB1A47">
            <w:pPr>
              <w:rPr>
                <w:i/>
              </w:rPr>
            </w:pPr>
            <w:r w:rsidRPr="00FF3470">
              <w:rPr>
                <w:i/>
              </w:rPr>
              <w:t>Resolve, Regarding Legislative Review of Portions of Chapter 115: The Credentialing of Education Personnel, a Late-filed Major Substantive Rule of the Department of Education (EMERGENCY)</w:t>
            </w:r>
            <w:bookmarkEnd w:id="12"/>
          </w:p>
        </w:tc>
        <w:tc>
          <w:tcPr>
            <w:tcW w:w="7265" w:type="dxa"/>
            <w:shd w:val="clear" w:color="auto" w:fill="auto"/>
          </w:tcPr>
          <w:p w14:paraId="5EC57E9D" w14:textId="1AB5F6AC" w:rsidR="00114F14" w:rsidRPr="00615CF4" w:rsidRDefault="00114F14" w:rsidP="00CB1A47">
            <w:pPr>
              <w:pStyle w:val="ListBullet"/>
              <w:numPr>
                <w:ilvl w:val="0"/>
                <w:numId w:val="0"/>
              </w:numPr>
              <w:ind w:left="24"/>
            </w:pPr>
            <w:r w:rsidRPr="00615CF4">
              <w:rPr>
                <w:color w:val="000000"/>
              </w:rPr>
              <w:t xml:space="preserve">Authorizes the Department of Education to proceed to final adoption of a provisionally adopted amended Rule Chapter 115:  </w:t>
            </w:r>
            <w:r w:rsidRPr="00615CF4">
              <w:rPr>
                <w:i/>
              </w:rPr>
              <w:t xml:space="preserve">The Credentialing of Education Personnel, </w:t>
            </w:r>
            <w:r w:rsidRPr="00615CF4">
              <w:t>a Major Substantive Rule of the Department of Education</w:t>
            </w:r>
            <w:r w:rsidRPr="00615CF4">
              <w:rPr>
                <w:color w:val="000000"/>
              </w:rPr>
              <w:t xml:space="preserve"> </w:t>
            </w:r>
            <w:proofErr w:type="gramStart"/>
            <w:r w:rsidRPr="00615CF4">
              <w:rPr>
                <w:color w:val="000000"/>
              </w:rPr>
              <w:t xml:space="preserve">as long </w:t>
            </w:r>
            <w:r w:rsidRPr="00615CF4">
              <w:t>as</w:t>
            </w:r>
            <w:proofErr w:type="gramEnd"/>
            <w:r w:rsidRPr="00615CF4">
              <w:t xml:space="preserve"> the following changes are made to the provisionally adopted rule:</w:t>
            </w:r>
          </w:p>
          <w:p w14:paraId="7C4FC0AF" w14:textId="77777777" w:rsidR="00114F14" w:rsidRPr="00615CF4" w:rsidRDefault="00114F14" w:rsidP="00CB1A47">
            <w:pPr>
              <w:pStyle w:val="ListBullet"/>
            </w:pPr>
            <w:bookmarkStart w:id="13" w:name="_Hlk16494213"/>
            <w:r w:rsidRPr="00615CF4">
              <w:t>Amends Part II, Section 1.2(A) Endorsement 020 Elementary Teacher to allow the holder to teach students K-grade 8 until July 1, 2022 and beginning July 1, 2022 changes the grade span to K-grade 6.</w:t>
            </w:r>
          </w:p>
          <w:p w14:paraId="74F3D113" w14:textId="632E9655" w:rsidR="00114F14" w:rsidRPr="00615CF4" w:rsidRDefault="00114F14" w:rsidP="00CB1A47">
            <w:pPr>
              <w:pStyle w:val="ListBullet"/>
            </w:pPr>
            <w:r w:rsidRPr="00615CF4">
              <w:t xml:space="preserve">Amends Part II, Section 1.3 to retain Endorsements:  </w:t>
            </w:r>
          </w:p>
          <w:bookmarkEnd w:id="13"/>
          <w:p w14:paraId="1B1D89FF" w14:textId="0A8632F9" w:rsidR="00114F14" w:rsidRPr="00615CF4" w:rsidRDefault="00114F14" w:rsidP="00CB1A47">
            <w:pPr>
              <w:pStyle w:val="ListBullet"/>
            </w:pPr>
            <w:r w:rsidRPr="00615CF4">
              <w:t xml:space="preserve">Amends Part II, Section 1.4(A) Endorsement:  Secondary Teacher Function by adding another endorsement area 710 Junior Reserved Officers Training Corp to allow holders to teach students in grades 6 through 12 and as well as </w:t>
            </w:r>
            <w:r>
              <w:t xml:space="preserve">to include </w:t>
            </w:r>
            <w:r w:rsidRPr="00615CF4">
              <w:t>certain criteria in the internal endorsement 710 checklist.</w:t>
            </w:r>
          </w:p>
          <w:p w14:paraId="6A44016F" w14:textId="77777777" w:rsidR="00114F14" w:rsidRPr="00615CF4" w:rsidRDefault="00114F14" w:rsidP="00CB1A47">
            <w:pPr>
              <w:pStyle w:val="ListBullet"/>
              <w:numPr>
                <w:ilvl w:val="0"/>
                <w:numId w:val="41"/>
              </w:numPr>
              <w:ind w:left="460" w:hanging="180"/>
            </w:pPr>
            <w:r w:rsidRPr="00615CF4">
              <w:t>Retains Part II, Section 1.4(B)(2)(i) Endorsement:  Secondary Teacher Endorsement Eligibility Pathway 2 to complete a minimum of six semester hours in foundations of literacy and literacy methods relative to the subject area.</w:t>
            </w:r>
          </w:p>
          <w:p w14:paraId="4DF7F45D" w14:textId="77777777" w:rsidR="00114F14" w:rsidRPr="00615CF4" w:rsidRDefault="00114F14" w:rsidP="00CB1A47">
            <w:pPr>
              <w:pStyle w:val="ListBullet"/>
              <w:numPr>
                <w:ilvl w:val="0"/>
                <w:numId w:val="41"/>
              </w:numPr>
              <w:ind w:left="460" w:hanging="180"/>
            </w:pPr>
            <w:r w:rsidRPr="00615CF4">
              <w:t>Amends Part II, Section 1.5(A) Public preschool-12 Function to clarify the endorsement of 700 as industrial arts / engineering and technology.</w:t>
            </w:r>
          </w:p>
          <w:p w14:paraId="3C6662FC" w14:textId="77777777" w:rsidR="00114F14" w:rsidRPr="00615CF4" w:rsidRDefault="00114F14" w:rsidP="00CB1A47">
            <w:pPr>
              <w:pStyle w:val="ListBullet"/>
              <w:numPr>
                <w:ilvl w:val="0"/>
                <w:numId w:val="41"/>
              </w:numPr>
              <w:ind w:left="460" w:hanging="180"/>
            </w:pPr>
            <w:r w:rsidRPr="00615CF4">
              <w:t>Amends Part II, Section 1.12(B)(2)(d) and Section 1.12(B)(3)(c) Literacy Specialist Endorsement Eligibility Pathway 2 and Pathway 3 to include that the applicant has earned graduate semester hours for a literacy and reading clinic encompassing course content in educational and instructional leadership, instructional supervision, adult learning theory and instructional coaching practices.</w:t>
            </w:r>
          </w:p>
          <w:p w14:paraId="5BBE5BE7" w14:textId="39D350C1" w:rsidR="00114F14" w:rsidRDefault="00114F14" w:rsidP="00CB1A47">
            <w:pPr>
              <w:pStyle w:val="ListBullet"/>
            </w:pPr>
            <w:r w:rsidRPr="00615CF4">
              <w:t>Amends Part II, Section 1.13(B)(1) Athletic Director Certificate Eligibility Pathway 1 to clarify there are two steps and adds the requirement that the applicant complete an approved course for teaching exceptional students in regular classrooms.</w:t>
            </w:r>
          </w:p>
          <w:p w14:paraId="5F08CC71" w14:textId="77777777" w:rsidR="00114F14" w:rsidRDefault="00114F14" w:rsidP="00CB1A47">
            <w:pPr>
              <w:pStyle w:val="ListBullet"/>
            </w:pPr>
            <w:r>
              <w:t>Amends Part II, Section 2.1(B)(</w:t>
            </w:r>
            <w:proofErr w:type="gramStart"/>
            <w:r>
              <w:t>3)(</w:t>
            </w:r>
            <w:proofErr w:type="gramEnd"/>
            <w:r>
              <w:t>a-c) Endorsement 282:  Teacher of Children with Disabilities Conditional Certificate for this Endorsement Pathways 1-3, to add as an eligibility criterion for a conditional certificate for that endorsement an applicant must have participated in an alternative certification and mentoring program designated by the Department of Education.</w:t>
            </w:r>
          </w:p>
          <w:p w14:paraId="6F97E8C9" w14:textId="77777777" w:rsidR="00114F14" w:rsidRDefault="00114F14" w:rsidP="00CB1A47">
            <w:pPr>
              <w:pStyle w:val="ListBullet"/>
            </w:pPr>
            <w:r>
              <w:t>Amends Part II, Section 2.2(B)(</w:t>
            </w:r>
            <w:proofErr w:type="gramStart"/>
            <w:r>
              <w:t>3)(</w:t>
            </w:r>
            <w:proofErr w:type="gramEnd"/>
            <w:r>
              <w:t>a-c) Endorsement 286:  Teacher of Children with Severe Disabilities Conditional Certificate for this Endorsement Pathways 1-3, to add as an eligibility criterion for a conditional certificate for that endorsement an applicant must have participated in an alternative certification and mentoring program designated by the Department of Education.</w:t>
            </w:r>
          </w:p>
          <w:p w14:paraId="31CA49C7" w14:textId="77777777" w:rsidR="00114F14" w:rsidRDefault="00114F14" w:rsidP="00CB1A47">
            <w:pPr>
              <w:pStyle w:val="ListBullet"/>
            </w:pPr>
            <w:r>
              <w:t>Amends Part II, Section 3 to change the title from “Professional Teacher Certificate Based on Work Experience” to “Professional Teacher Certificate Based on Authentic Field Experience”.</w:t>
            </w:r>
          </w:p>
          <w:p w14:paraId="7ACDDC3E" w14:textId="7C267BCE" w:rsidR="00114F14" w:rsidRDefault="00114F14" w:rsidP="00CB1A47">
            <w:pPr>
              <w:pStyle w:val="ListBullet"/>
            </w:pPr>
            <w:r>
              <w:t xml:space="preserve">Amends Part II, Section </w:t>
            </w:r>
            <w:r w:rsidRPr="00616CCB">
              <w:t>3</w:t>
            </w:r>
            <w:r>
              <w:t>(2)(C)</w:t>
            </w:r>
            <w:r w:rsidRPr="00616CCB">
              <w:t xml:space="preserve"> Eligibility for a teacher endorsement for secondary education, adult education, world language as identified in Section 1, and electives as identified in Section </w:t>
            </w:r>
            <w:r>
              <w:t>1, by adding:</w:t>
            </w:r>
          </w:p>
          <w:p w14:paraId="1B156AE1" w14:textId="77777777" w:rsidR="00114F14" w:rsidRDefault="00114F14" w:rsidP="00CB1A47">
            <w:pPr>
              <w:pStyle w:val="ListBullet"/>
              <w:numPr>
                <w:ilvl w:val="0"/>
                <w:numId w:val="42"/>
              </w:numPr>
              <w:ind w:left="834"/>
            </w:pPr>
            <w:r>
              <w:t>Three hours in educational assessment as part of the 9 hours of pedagogy courses;</w:t>
            </w:r>
          </w:p>
          <w:p w14:paraId="1FB20C29" w14:textId="77777777" w:rsidR="00114F14" w:rsidRPr="002B223B" w:rsidRDefault="00114F14" w:rsidP="00CB1A47">
            <w:pPr>
              <w:pStyle w:val="ListBullet"/>
              <w:numPr>
                <w:ilvl w:val="0"/>
                <w:numId w:val="42"/>
              </w:numPr>
              <w:ind w:left="834"/>
              <w:rPr>
                <w:color w:val="000000"/>
              </w:rPr>
            </w:pPr>
            <w:r>
              <w:t xml:space="preserve">A content assessment </w:t>
            </w:r>
            <w:r w:rsidRPr="0058568F">
              <w:rPr>
                <w:lang w:val="en-US"/>
              </w:rPr>
              <w:t>in accordance with Rule Chapter 13</w:t>
            </w:r>
            <w:r>
              <w:t xml:space="preserve">:  </w:t>
            </w:r>
            <w:r w:rsidRPr="0058568F">
              <w:rPr>
                <w:i/>
                <w:color w:val="000000"/>
              </w:rPr>
              <w:t xml:space="preserve">Qualifying Examinations for Teachers, </w:t>
            </w:r>
            <w:r w:rsidRPr="002B223B">
              <w:rPr>
                <w:i/>
                <w:color w:val="000000"/>
              </w:rPr>
              <w:t>Educational Specialists, and Administrators</w:t>
            </w:r>
            <w:r w:rsidRPr="002B223B">
              <w:rPr>
                <w:color w:val="000000"/>
              </w:rPr>
              <w:t xml:space="preserve">; and </w:t>
            </w:r>
          </w:p>
          <w:p w14:paraId="6B68839F" w14:textId="0C89533F" w:rsidR="00114F14" w:rsidRPr="002B223B" w:rsidRDefault="00114F14" w:rsidP="00CB1A47">
            <w:pPr>
              <w:pStyle w:val="ListBullet"/>
              <w:numPr>
                <w:ilvl w:val="0"/>
                <w:numId w:val="42"/>
              </w:numPr>
              <w:ind w:left="834"/>
            </w:pPr>
            <w:r w:rsidRPr="002B223B">
              <w:t>Passed a pedagogical knowledge and skills assessment in accordance with Rule Chapter 13 or successful completion of an alternative professional studies program.</w:t>
            </w:r>
          </w:p>
          <w:p w14:paraId="01F24166" w14:textId="36790898" w:rsidR="00114F14" w:rsidRPr="002B223B" w:rsidRDefault="00114F14" w:rsidP="00CB1A47">
            <w:pPr>
              <w:pStyle w:val="ListBullet"/>
            </w:pPr>
            <w:r w:rsidRPr="002B223B">
              <w:t>Amends Part II, Section 4(B)(1)(c) Endorsement 860: Cooperative Education Coordinator General Endorsement Eligibility to provide that the applicant must have completed a minimum of one year of paid applied employment or teaching in the endorsement area during the four years preceding the initial application.</w:t>
            </w:r>
          </w:p>
          <w:p w14:paraId="0A118FC6" w14:textId="77777777" w:rsidR="00114F14" w:rsidRPr="00615CF4" w:rsidRDefault="00114F14" w:rsidP="00CB1A47">
            <w:pPr>
              <w:pStyle w:val="ListBullet"/>
              <w:numPr>
                <w:ilvl w:val="0"/>
                <w:numId w:val="41"/>
              </w:numPr>
              <w:ind w:left="460" w:hanging="180"/>
            </w:pPr>
            <w:r w:rsidRPr="00615CF4">
              <w:t>Requires the Department of Education, in consultation with teacher preparation programs in Maine, to submit annual reports to the Joint Standing Committee on Education and Cultural Affairs by March 1st of the next 3 years on the progress toward implementation of transitioning the grade span for the elementary endorsement 020 from kindergarten to grade 8 to kindergarten to grade 6.</w:t>
            </w:r>
          </w:p>
          <w:p w14:paraId="3B082B99" w14:textId="7F85B720" w:rsidR="00114F14" w:rsidRPr="00615CF4" w:rsidRDefault="00114F14" w:rsidP="00CB1A47">
            <w:pPr>
              <w:pStyle w:val="ListBullet"/>
              <w:numPr>
                <w:ilvl w:val="0"/>
                <w:numId w:val="41"/>
              </w:numPr>
              <w:ind w:left="460" w:hanging="180"/>
            </w:pPr>
            <w:r w:rsidRPr="00615CF4">
              <w:t>Provides Other Special Revenue Funds appropriations in FY 20 of $93,125 to pay for programming and contracting costs necessary to implement the rule changes pursuant to this Resolve.</w:t>
            </w:r>
          </w:p>
        </w:tc>
        <w:tc>
          <w:tcPr>
            <w:tcW w:w="2250" w:type="dxa"/>
            <w:shd w:val="clear" w:color="auto" w:fill="auto"/>
          </w:tcPr>
          <w:p w14:paraId="17D72633" w14:textId="77777777" w:rsidR="00114F14" w:rsidRDefault="00114F14" w:rsidP="00CB1A47">
            <w:pPr>
              <w:rPr>
                <w:sz w:val="22"/>
                <w:szCs w:val="22"/>
              </w:rPr>
            </w:pPr>
            <w:r>
              <w:rPr>
                <w:sz w:val="22"/>
                <w:szCs w:val="22"/>
              </w:rPr>
              <w:t>September 19, 2019</w:t>
            </w:r>
          </w:p>
          <w:p w14:paraId="635E5949" w14:textId="77777777" w:rsidR="00114F14" w:rsidRDefault="00114F14" w:rsidP="00CB1A47">
            <w:pPr>
              <w:rPr>
                <w:sz w:val="22"/>
                <w:szCs w:val="22"/>
              </w:rPr>
            </w:pPr>
          </w:p>
          <w:p w14:paraId="64E95EAE" w14:textId="77777777" w:rsidR="00114F14" w:rsidRDefault="00114F14" w:rsidP="00CB1A47">
            <w:pPr>
              <w:rPr>
                <w:sz w:val="22"/>
                <w:szCs w:val="22"/>
              </w:rPr>
            </w:pPr>
          </w:p>
          <w:p w14:paraId="6B54599A" w14:textId="77777777" w:rsidR="00114F14" w:rsidRDefault="00114F14" w:rsidP="00CB1A47">
            <w:pPr>
              <w:rPr>
                <w:sz w:val="22"/>
                <w:szCs w:val="22"/>
              </w:rPr>
            </w:pPr>
          </w:p>
          <w:p w14:paraId="41F56112" w14:textId="77777777" w:rsidR="00114F14" w:rsidRDefault="00114F14" w:rsidP="00CB1A47">
            <w:pPr>
              <w:rPr>
                <w:sz w:val="22"/>
                <w:szCs w:val="22"/>
              </w:rPr>
            </w:pPr>
          </w:p>
          <w:p w14:paraId="4E69A102" w14:textId="1DFE5AFD" w:rsidR="00114F14" w:rsidRDefault="00114F14" w:rsidP="00CB1A47">
            <w:pPr>
              <w:rPr>
                <w:sz w:val="22"/>
                <w:szCs w:val="22"/>
              </w:rPr>
            </w:pPr>
            <w:r>
              <w:rPr>
                <w:sz w:val="22"/>
                <w:szCs w:val="22"/>
              </w:rPr>
              <w:t xml:space="preserve">Department and State Board to finally adopt Rule Chapter 115. </w:t>
            </w:r>
          </w:p>
          <w:p w14:paraId="112B42E4" w14:textId="77777777" w:rsidR="00114F14" w:rsidRDefault="00114F14" w:rsidP="00CB1A47">
            <w:pPr>
              <w:rPr>
                <w:sz w:val="22"/>
                <w:szCs w:val="22"/>
              </w:rPr>
            </w:pPr>
          </w:p>
          <w:p w14:paraId="18E95854" w14:textId="7D99BC1D" w:rsidR="00114F14" w:rsidRDefault="00114F14" w:rsidP="00CB1A47">
            <w:pPr>
              <w:rPr>
                <w:sz w:val="22"/>
                <w:szCs w:val="22"/>
              </w:rPr>
            </w:pPr>
          </w:p>
          <w:p w14:paraId="0DD296CE" w14:textId="62F01076" w:rsidR="00114F14" w:rsidRDefault="00114F14" w:rsidP="00CB1A47">
            <w:pPr>
              <w:rPr>
                <w:sz w:val="22"/>
                <w:szCs w:val="22"/>
              </w:rPr>
            </w:pPr>
          </w:p>
          <w:p w14:paraId="2EB45E7A" w14:textId="58993F77" w:rsidR="00114F14" w:rsidRDefault="00114F14" w:rsidP="00CB1A47">
            <w:pPr>
              <w:rPr>
                <w:sz w:val="22"/>
                <w:szCs w:val="22"/>
              </w:rPr>
            </w:pPr>
          </w:p>
          <w:p w14:paraId="0A24AD92" w14:textId="3C237EC0" w:rsidR="00114F14" w:rsidRDefault="00114F14" w:rsidP="00CB1A47">
            <w:pPr>
              <w:rPr>
                <w:sz w:val="22"/>
                <w:szCs w:val="22"/>
              </w:rPr>
            </w:pPr>
          </w:p>
          <w:p w14:paraId="38C254E1" w14:textId="123F205F" w:rsidR="00114F14" w:rsidRDefault="00114F14" w:rsidP="00CB1A47">
            <w:pPr>
              <w:rPr>
                <w:sz w:val="22"/>
                <w:szCs w:val="22"/>
              </w:rPr>
            </w:pPr>
          </w:p>
          <w:p w14:paraId="1AC98DD1" w14:textId="41525255" w:rsidR="00114F14" w:rsidRDefault="00114F14" w:rsidP="00CB1A47">
            <w:pPr>
              <w:rPr>
                <w:sz w:val="22"/>
                <w:szCs w:val="22"/>
              </w:rPr>
            </w:pPr>
          </w:p>
          <w:p w14:paraId="0E2D64B1" w14:textId="7E7C9DA8" w:rsidR="00114F14" w:rsidRDefault="00114F14" w:rsidP="00CB1A47">
            <w:pPr>
              <w:rPr>
                <w:sz w:val="22"/>
                <w:szCs w:val="22"/>
              </w:rPr>
            </w:pPr>
          </w:p>
          <w:p w14:paraId="0DB9418D" w14:textId="17147A18" w:rsidR="00114F14" w:rsidRDefault="00114F14" w:rsidP="00CB1A47">
            <w:pPr>
              <w:rPr>
                <w:sz w:val="22"/>
                <w:szCs w:val="22"/>
              </w:rPr>
            </w:pPr>
          </w:p>
          <w:p w14:paraId="079CA338" w14:textId="1F2E4D2C" w:rsidR="00114F14" w:rsidRDefault="00114F14" w:rsidP="00CB1A47">
            <w:pPr>
              <w:rPr>
                <w:sz w:val="22"/>
                <w:szCs w:val="22"/>
              </w:rPr>
            </w:pPr>
          </w:p>
          <w:p w14:paraId="4E5362CE" w14:textId="70026029" w:rsidR="00114F14" w:rsidRDefault="00114F14" w:rsidP="00CB1A47">
            <w:pPr>
              <w:rPr>
                <w:sz w:val="22"/>
                <w:szCs w:val="22"/>
              </w:rPr>
            </w:pPr>
          </w:p>
          <w:p w14:paraId="262FF13E" w14:textId="1846A42E" w:rsidR="00114F14" w:rsidRDefault="00114F14" w:rsidP="00CB1A47">
            <w:pPr>
              <w:rPr>
                <w:sz w:val="22"/>
                <w:szCs w:val="22"/>
              </w:rPr>
            </w:pPr>
          </w:p>
          <w:p w14:paraId="69152537" w14:textId="6B41AB22" w:rsidR="00114F14" w:rsidRDefault="00114F14" w:rsidP="00CB1A47">
            <w:pPr>
              <w:rPr>
                <w:sz w:val="22"/>
                <w:szCs w:val="22"/>
              </w:rPr>
            </w:pPr>
          </w:p>
          <w:p w14:paraId="514F36BB" w14:textId="66F375AE" w:rsidR="00114F14" w:rsidRDefault="00114F14" w:rsidP="00CB1A47">
            <w:pPr>
              <w:rPr>
                <w:sz w:val="22"/>
                <w:szCs w:val="22"/>
              </w:rPr>
            </w:pPr>
          </w:p>
          <w:p w14:paraId="24F67492" w14:textId="1DE2CF25" w:rsidR="00114F14" w:rsidRDefault="00114F14" w:rsidP="00CB1A47">
            <w:pPr>
              <w:rPr>
                <w:sz w:val="22"/>
                <w:szCs w:val="22"/>
              </w:rPr>
            </w:pPr>
          </w:p>
          <w:p w14:paraId="21318A92" w14:textId="049DCB80" w:rsidR="00114F14" w:rsidRDefault="00114F14" w:rsidP="00CB1A47">
            <w:pPr>
              <w:rPr>
                <w:sz w:val="22"/>
                <w:szCs w:val="22"/>
              </w:rPr>
            </w:pPr>
          </w:p>
          <w:p w14:paraId="3494936A" w14:textId="42E81FE6" w:rsidR="00114F14" w:rsidRDefault="00114F14" w:rsidP="00CB1A47">
            <w:pPr>
              <w:rPr>
                <w:sz w:val="22"/>
                <w:szCs w:val="22"/>
              </w:rPr>
            </w:pPr>
          </w:p>
          <w:p w14:paraId="5E1CA4F4" w14:textId="0BF0FBC9" w:rsidR="00114F14" w:rsidRDefault="00114F14" w:rsidP="00CB1A47">
            <w:pPr>
              <w:rPr>
                <w:sz w:val="22"/>
                <w:szCs w:val="22"/>
              </w:rPr>
            </w:pPr>
          </w:p>
          <w:p w14:paraId="36F80B03" w14:textId="64CB4662" w:rsidR="00114F14" w:rsidRDefault="00114F14" w:rsidP="00CB1A47">
            <w:pPr>
              <w:rPr>
                <w:sz w:val="22"/>
                <w:szCs w:val="22"/>
              </w:rPr>
            </w:pPr>
          </w:p>
          <w:p w14:paraId="655804B3" w14:textId="7CB944D4" w:rsidR="00114F14" w:rsidRDefault="00114F14" w:rsidP="00CB1A47">
            <w:pPr>
              <w:rPr>
                <w:sz w:val="22"/>
                <w:szCs w:val="22"/>
              </w:rPr>
            </w:pPr>
          </w:p>
          <w:p w14:paraId="6A92783E" w14:textId="101BCCDA" w:rsidR="00114F14" w:rsidRDefault="00114F14" w:rsidP="00CB1A47">
            <w:pPr>
              <w:rPr>
                <w:sz w:val="22"/>
                <w:szCs w:val="22"/>
              </w:rPr>
            </w:pPr>
          </w:p>
          <w:p w14:paraId="158E7102" w14:textId="14921AD8" w:rsidR="00114F14" w:rsidRDefault="00114F14" w:rsidP="00CB1A47">
            <w:pPr>
              <w:rPr>
                <w:sz w:val="22"/>
                <w:szCs w:val="22"/>
              </w:rPr>
            </w:pPr>
          </w:p>
          <w:p w14:paraId="441C7E06" w14:textId="141B96CE" w:rsidR="00114F14" w:rsidRDefault="00114F14" w:rsidP="00CB1A47">
            <w:pPr>
              <w:rPr>
                <w:sz w:val="22"/>
                <w:szCs w:val="22"/>
              </w:rPr>
            </w:pPr>
          </w:p>
          <w:p w14:paraId="01752286" w14:textId="05BA1F50" w:rsidR="00114F14" w:rsidRDefault="00114F14" w:rsidP="00CB1A47">
            <w:pPr>
              <w:rPr>
                <w:sz w:val="22"/>
                <w:szCs w:val="22"/>
              </w:rPr>
            </w:pPr>
          </w:p>
          <w:p w14:paraId="504FEF1E" w14:textId="259539EF" w:rsidR="00114F14" w:rsidRDefault="00114F14" w:rsidP="00CB1A47">
            <w:pPr>
              <w:rPr>
                <w:sz w:val="22"/>
                <w:szCs w:val="22"/>
              </w:rPr>
            </w:pPr>
          </w:p>
          <w:p w14:paraId="68DC4CDB" w14:textId="667D4EE3" w:rsidR="00114F14" w:rsidRDefault="00114F14" w:rsidP="00CB1A47">
            <w:pPr>
              <w:rPr>
                <w:sz w:val="22"/>
                <w:szCs w:val="22"/>
              </w:rPr>
            </w:pPr>
          </w:p>
          <w:p w14:paraId="704858CB" w14:textId="22834707" w:rsidR="00114F14" w:rsidRDefault="00114F14" w:rsidP="00CB1A47">
            <w:pPr>
              <w:rPr>
                <w:sz w:val="22"/>
                <w:szCs w:val="22"/>
              </w:rPr>
            </w:pPr>
          </w:p>
          <w:p w14:paraId="2148A4F2" w14:textId="7AECA3BD" w:rsidR="00114F14" w:rsidRDefault="00114F14" w:rsidP="00CB1A47">
            <w:pPr>
              <w:rPr>
                <w:sz w:val="22"/>
                <w:szCs w:val="22"/>
              </w:rPr>
            </w:pPr>
          </w:p>
          <w:p w14:paraId="635282F8" w14:textId="6F7740ED" w:rsidR="00114F14" w:rsidRDefault="00114F14" w:rsidP="00CB1A47">
            <w:pPr>
              <w:rPr>
                <w:sz w:val="22"/>
                <w:szCs w:val="22"/>
              </w:rPr>
            </w:pPr>
          </w:p>
          <w:p w14:paraId="4D02C653" w14:textId="7E7F2C4D" w:rsidR="00114F14" w:rsidRDefault="00114F14" w:rsidP="00CB1A47">
            <w:pPr>
              <w:rPr>
                <w:sz w:val="22"/>
                <w:szCs w:val="22"/>
              </w:rPr>
            </w:pPr>
          </w:p>
          <w:p w14:paraId="6FD3711E" w14:textId="1DA78283" w:rsidR="00114F14" w:rsidRDefault="00114F14" w:rsidP="00CB1A47">
            <w:pPr>
              <w:rPr>
                <w:sz w:val="22"/>
                <w:szCs w:val="22"/>
              </w:rPr>
            </w:pPr>
          </w:p>
          <w:p w14:paraId="3E46A3BF" w14:textId="3704AD28" w:rsidR="00114F14" w:rsidRDefault="00114F14" w:rsidP="00CB1A47">
            <w:pPr>
              <w:rPr>
                <w:sz w:val="22"/>
                <w:szCs w:val="22"/>
              </w:rPr>
            </w:pPr>
          </w:p>
          <w:p w14:paraId="4973980B" w14:textId="729CC6E5" w:rsidR="00114F14" w:rsidRDefault="00114F14" w:rsidP="00CB1A47">
            <w:pPr>
              <w:rPr>
                <w:sz w:val="22"/>
                <w:szCs w:val="22"/>
              </w:rPr>
            </w:pPr>
          </w:p>
          <w:p w14:paraId="0387246C" w14:textId="728D05FE" w:rsidR="00114F14" w:rsidRDefault="00114F14" w:rsidP="00CB1A47">
            <w:pPr>
              <w:rPr>
                <w:sz w:val="22"/>
                <w:szCs w:val="22"/>
              </w:rPr>
            </w:pPr>
          </w:p>
          <w:p w14:paraId="272BDB69" w14:textId="588D019E" w:rsidR="00114F14" w:rsidRDefault="00114F14" w:rsidP="00CB1A47">
            <w:pPr>
              <w:rPr>
                <w:sz w:val="22"/>
                <w:szCs w:val="22"/>
              </w:rPr>
            </w:pPr>
          </w:p>
          <w:p w14:paraId="3483E643" w14:textId="43256657" w:rsidR="00114F14" w:rsidRDefault="00114F14" w:rsidP="00CB1A47">
            <w:pPr>
              <w:rPr>
                <w:sz w:val="22"/>
                <w:szCs w:val="22"/>
              </w:rPr>
            </w:pPr>
          </w:p>
          <w:p w14:paraId="0CD3F4D2" w14:textId="3A63CE44" w:rsidR="00114F14" w:rsidRDefault="00114F14" w:rsidP="00CB1A47">
            <w:pPr>
              <w:rPr>
                <w:sz w:val="22"/>
                <w:szCs w:val="22"/>
              </w:rPr>
            </w:pPr>
          </w:p>
          <w:p w14:paraId="21ECE677" w14:textId="18521BF4" w:rsidR="00114F14" w:rsidRDefault="00114F14" w:rsidP="00CB1A47">
            <w:pPr>
              <w:rPr>
                <w:sz w:val="22"/>
                <w:szCs w:val="22"/>
              </w:rPr>
            </w:pPr>
          </w:p>
          <w:p w14:paraId="21072660" w14:textId="2A57F656" w:rsidR="00114F14" w:rsidRDefault="00114F14" w:rsidP="00CB1A47">
            <w:pPr>
              <w:rPr>
                <w:sz w:val="22"/>
                <w:szCs w:val="22"/>
              </w:rPr>
            </w:pPr>
          </w:p>
          <w:p w14:paraId="0B920355" w14:textId="7B968F4B" w:rsidR="00114F14" w:rsidRDefault="00114F14" w:rsidP="00CB1A47">
            <w:pPr>
              <w:rPr>
                <w:sz w:val="22"/>
                <w:szCs w:val="22"/>
              </w:rPr>
            </w:pPr>
          </w:p>
          <w:p w14:paraId="5A043205" w14:textId="6DFFDABB" w:rsidR="00114F14" w:rsidRDefault="00114F14" w:rsidP="00CB1A47">
            <w:pPr>
              <w:rPr>
                <w:sz w:val="22"/>
                <w:szCs w:val="22"/>
              </w:rPr>
            </w:pPr>
          </w:p>
          <w:p w14:paraId="0B772DE0" w14:textId="76279A40" w:rsidR="00114F14" w:rsidRDefault="00114F14" w:rsidP="00CB1A47">
            <w:pPr>
              <w:rPr>
                <w:sz w:val="22"/>
                <w:szCs w:val="22"/>
              </w:rPr>
            </w:pPr>
          </w:p>
          <w:p w14:paraId="68558C13" w14:textId="34EB9470" w:rsidR="00114F14" w:rsidRDefault="00114F14" w:rsidP="00CB1A47">
            <w:pPr>
              <w:rPr>
                <w:sz w:val="22"/>
                <w:szCs w:val="22"/>
              </w:rPr>
            </w:pPr>
          </w:p>
          <w:p w14:paraId="4CAA56DE" w14:textId="3DD355BF" w:rsidR="00114F14" w:rsidRDefault="00114F14" w:rsidP="00CB1A47">
            <w:pPr>
              <w:rPr>
                <w:sz w:val="22"/>
                <w:szCs w:val="22"/>
              </w:rPr>
            </w:pPr>
          </w:p>
          <w:p w14:paraId="6F8D44B8" w14:textId="199239DD" w:rsidR="00114F14" w:rsidRDefault="00114F14" w:rsidP="00CB1A47">
            <w:pPr>
              <w:rPr>
                <w:sz w:val="22"/>
                <w:szCs w:val="22"/>
              </w:rPr>
            </w:pPr>
          </w:p>
          <w:p w14:paraId="19C27FDF" w14:textId="55B04469" w:rsidR="00114F14" w:rsidRDefault="00114F14" w:rsidP="00CB1A47">
            <w:pPr>
              <w:rPr>
                <w:sz w:val="22"/>
                <w:szCs w:val="22"/>
              </w:rPr>
            </w:pPr>
          </w:p>
          <w:p w14:paraId="663D4509" w14:textId="578E62C1" w:rsidR="00114F14" w:rsidRDefault="00114F14" w:rsidP="00CB1A47">
            <w:pPr>
              <w:rPr>
                <w:sz w:val="22"/>
                <w:szCs w:val="22"/>
              </w:rPr>
            </w:pPr>
          </w:p>
          <w:p w14:paraId="0C6F62F4" w14:textId="2833E024" w:rsidR="00114F14" w:rsidRDefault="00114F14" w:rsidP="00CB1A47">
            <w:pPr>
              <w:rPr>
                <w:sz w:val="22"/>
                <w:szCs w:val="22"/>
              </w:rPr>
            </w:pPr>
          </w:p>
          <w:p w14:paraId="692A9314" w14:textId="2159437B" w:rsidR="00114F14" w:rsidRDefault="00114F14" w:rsidP="00CB1A47">
            <w:pPr>
              <w:rPr>
                <w:sz w:val="22"/>
                <w:szCs w:val="22"/>
              </w:rPr>
            </w:pPr>
          </w:p>
          <w:p w14:paraId="787E77A8" w14:textId="26C16E28" w:rsidR="00114F14" w:rsidRDefault="00114F14" w:rsidP="00CB1A47">
            <w:pPr>
              <w:rPr>
                <w:sz w:val="22"/>
                <w:szCs w:val="22"/>
              </w:rPr>
            </w:pPr>
          </w:p>
          <w:p w14:paraId="65ABAD66" w14:textId="06281D17" w:rsidR="00114F14" w:rsidRDefault="00114F14" w:rsidP="00CB1A47">
            <w:pPr>
              <w:rPr>
                <w:sz w:val="22"/>
                <w:szCs w:val="22"/>
              </w:rPr>
            </w:pPr>
          </w:p>
          <w:p w14:paraId="4BF0B892" w14:textId="6CE5A23C" w:rsidR="00114F14" w:rsidRDefault="00114F14" w:rsidP="00CB1A47">
            <w:pPr>
              <w:rPr>
                <w:sz w:val="22"/>
                <w:szCs w:val="22"/>
              </w:rPr>
            </w:pPr>
          </w:p>
          <w:p w14:paraId="408DD8E6" w14:textId="1CC6C833" w:rsidR="00114F14" w:rsidRDefault="00114F14" w:rsidP="00CB1A47">
            <w:pPr>
              <w:rPr>
                <w:sz w:val="22"/>
                <w:szCs w:val="22"/>
              </w:rPr>
            </w:pPr>
          </w:p>
          <w:p w14:paraId="10FAFB70" w14:textId="078C9FEE" w:rsidR="00114F14" w:rsidRDefault="00114F14" w:rsidP="00CB1A47">
            <w:pPr>
              <w:rPr>
                <w:sz w:val="22"/>
                <w:szCs w:val="22"/>
              </w:rPr>
            </w:pPr>
          </w:p>
          <w:p w14:paraId="38E00F54" w14:textId="06B8E741" w:rsidR="00114F14" w:rsidRDefault="00114F14" w:rsidP="00CB1A47">
            <w:pPr>
              <w:rPr>
                <w:sz w:val="22"/>
                <w:szCs w:val="22"/>
              </w:rPr>
            </w:pPr>
          </w:p>
          <w:p w14:paraId="7E8C6501" w14:textId="6B0BC0A3" w:rsidR="00114F14" w:rsidRDefault="00114F14" w:rsidP="00CB1A47">
            <w:pPr>
              <w:rPr>
                <w:sz w:val="22"/>
                <w:szCs w:val="22"/>
              </w:rPr>
            </w:pPr>
          </w:p>
          <w:p w14:paraId="3CEA0EFF" w14:textId="7A4E281F" w:rsidR="00114F14" w:rsidRDefault="00114F14" w:rsidP="00CB1A47">
            <w:pPr>
              <w:rPr>
                <w:sz w:val="22"/>
                <w:szCs w:val="22"/>
              </w:rPr>
            </w:pPr>
          </w:p>
          <w:p w14:paraId="23662526" w14:textId="20ABEE42" w:rsidR="00114F14" w:rsidRDefault="00114F14" w:rsidP="00CB1A47">
            <w:pPr>
              <w:rPr>
                <w:sz w:val="22"/>
                <w:szCs w:val="22"/>
              </w:rPr>
            </w:pPr>
          </w:p>
          <w:p w14:paraId="7EE03071" w14:textId="79AF506A" w:rsidR="00114F14" w:rsidRDefault="00114F14" w:rsidP="00CB1A47">
            <w:pPr>
              <w:rPr>
                <w:sz w:val="22"/>
                <w:szCs w:val="22"/>
              </w:rPr>
            </w:pPr>
          </w:p>
          <w:p w14:paraId="55ACEBF7" w14:textId="65E54D80" w:rsidR="00114F14" w:rsidRDefault="00114F14" w:rsidP="00CB1A47">
            <w:pPr>
              <w:rPr>
                <w:sz w:val="22"/>
                <w:szCs w:val="22"/>
              </w:rPr>
            </w:pPr>
          </w:p>
          <w:p w14:paraId="28DB217C" w14:textId="79A060CB" w:rsidR="00114F14" w:rsidRDefault="00114F14" w:rsidP="00CB1A47">
            <w:pPr>
              <w:rPr>
                <w:sz w:val="22"/>
                <w:szCs w:val="22"/>
              </w:rPr>
            </w:pPr>
          </w:p>
          <w:p w14:paraId="18AE4848" w14:textId="7117A16F" w:rsidR="00114F14" w:rsidRDefault="00114F14" w:rsidP="00CB1A47">
            <w:pPr>
              <w:rPr>
                <w:sz w:val="22"/>
                <w:szCs w:val="22"/>
              </w:rPr>
            </w:pPr>
          </w:p>
          <w:p w14:paraId="71706ECA" w14:textId="01571E38" w:rsidR="00114F14" w:rsidRDefault="00114F14" w:rsidP="00CB1A47">
            <w:pPr>
              <w:rPr>
                <w:sz w:val="22"/>
                <w:szCs w:val="22"/>
              </w:rPr>
            </w:pPr>
          </w:p>
          <w:p w14:paraId="062EEDF0" w14:textId="516ACE61" w:rsidR="00114F14" w:rsidRDefault="00114F14" w:rsidP="00CB1A47">
            <w:pPr>
              <w:rPr>
                <w:sz w:val="22"/>
                <w:szCs w:val="22"/>
              </w:rPr>
            </w:pPr>
          </w:p>
          <w:p w14:paraId="151B0D4F" w14:textId="77777777" w:rsidR="00114F14" w:rsidRDefault="00114F14" w:rsidP="00CB1A47">
            <w:pPr>
              <w:rPr>
                <w:sz w:val="22"/>
                <w:szCs w:val="22"/>
              </w:rPr>
            </w:pPr>
          </w:p>
          <w:p w14:paraId="437D6359" w14:textId="4C597A83" w:rsidR="00114F14" w:rsidRPr="00433A3D" w:rsidRDefault="00114F14" w:rsidP="00CB1A47">
            <w:pPr>
              <w:rPr>
                <w:sz w:val="22"/>
                <w:szCs w:val="22"/>
              </w:rPr>
            </w:pPr>
            <w:r>
              <w:rPr>
                <w:sz w:val="22"/>
                <w:szCs w:val="22"/>
              </w:rPr>
              <w:t>Department to submit reports to the Joint Standing Committee on Education &amp; Cultural Affairs by March 1, 2020, 2021 and 2022.</w:t>
            </w:r>
          </w:p>
        </w:tc>
      </w:tr>
      <w:tr w:rsidR="00114F14" w:rsidRPr="008D72F0" w14:paraId="3CF26821" w14:textId="77777777" w:rsidTr="00114F14">
        <w:trPr>
          <w:trHeight w:val="737"/>
        </w:trPr>
        <w:tc>
          <w:tcPr>
            <w:tcW w:w="3080" w:type="dxa"/>
            <w:shd w:val="clear" w:color="auto" w:fill="auto"/>
          </w:tcPr>
          <w:p w14:paraId="28C9E6B2" w14:textId="77777777" w:rsidR="00114F14" w:rsidRDefault="00114F14" w:rsidP="00CB1A47">
            <w:pPr>
              <w:rPr>
                <w:b/>
              </w:rPr>
            </w:pPr>
            <w:r>
              <w:rPr>
                <w:b/>
              </w:rPr>
              <w:t>LD 1538, Resolve 2019, Chapter 52</w:t>
            </w:r>
          </w:p>
          <w:p w14:paraId="706FBE6F" w14:textId="679CAE13" w:rsidR="00114F14" w:rsidRPr="00906418" w:rsidRDefault="00114F14" w:rsidP="00CB1A47">
            <w:pPr>
              <w:rPr>
                <w:i/>
              </w:rPr>
            </w:pPr>
            <w:r w:rsidRPr="00906418">
              <w:rPr>
                <w:i/>
              </w:rPr>
              <w:t xml:space="preserve">Resolve, Directing the Public Higher Education Systems Coordinating Committee </w:t>
            </w:r>
            <w:proofErr w:type="gramStart"/>
            <w:r w:rsidRPr="00906418">
              <w:rPr>
                <w:i/>
              </w:rPr>
              <w:t>To</w:t>
            </w:r>
            <w:proofErr w:type="gramEnd"/>
            <w:r w:rsidRPr="00906418">
              <w:rPr>
                <w:i/>
              </w:rPr>
              <w:t xml:space="preserve"> Study Compensation Equity among Public Higher Education Institutions</w:t>
            </w:r>
          </w:p>
        </w:tc>
        <w:tc>
          <w:tcPr>
            <w:tcW w:w="7265" w:type="dxa"/>
            <w:shd w:val="clear" w:color="auto" w:fill="auto"/>
          </w:tcPr>
          <w:p w14:paraId="76BFE7E8" w14:textId="77777777" w:rsidR="00114F14" w:rsidRPr="00C12CF3" w:rsidRDefault="00114F14" w:rsidP="00CB1A47">
            <w:pPr>
              <w:pStyle w:val="ListBullet"/>
              <w:numPr>
                <w:ilvl w:val="0"/>
                <w:numId w:val="41"/>
              </w:numPr>
              <w:ind w:left="460" w:hanging="180"/>
            </w:pPr>
            <w:r w:rsidRPr="00C12CF3">
              <w:rPr>
                <w:lang w:val="en-US"/>
              </w:rPr>
              <w:t xml:space="preserve">Directs the Public Higher Education Systems Coordinating Committee (PHESCC) to study the use of adjunct professors across the State, and examine the equity of pay rates and pay scales across the U of Maine System, the Maine Community College System and each campus of those </w:t>
            </w:r>
            <w:r w:rsidRPr="00C12CF3">
              <w:t xml:space="preserve">systems to include an examination of market forces on pay rates and pay scales, how each system's pay rates and pay scales compare nationally and what changes would be necessary to implement a so-called living wage. </w:t>
            </w:r>
          </w:p>
          <w:p w14:paraId="09E9A888" w14:textId="71E7ED4E" w:rsidR="00114F14" w:rsidRPr="00510BFA" w:rsidRDefault="00114F14" w:rsidP="00CB1A47">
            <w:pPr>
              <w:pStyle w:val="ListBullet"/>
              <w:numPr>
                <w:ilvl w:val="0"/>
                <w:numId w:val="41"/>
              </w:numPr>
              <w:ind w:left="460" w:hanging="180"/>
            </w:pPr>
            <w:r w:rsidRPr="00C12CF3">
              <w:t xml:space="preserve">Directs this Committee to report to the Joint Standing Committee on Education &amp; Cultural Affairs no later than January 2, 2020 on the findings and recommendations. </w:t>
            </w:r>
            <w:r>
              <w:t>Authorizes t</w:t>
            </w:r>
            <w:r w:rsidRPr="00C12CF3">
              <w:t xml:space="preserve">he Joint Standing Committee on Education &amp; Cultural Affairs </w:t>
            </w:r>
            <w:r>
              <w:t>to</w:t>
            </w:r>
            <w:r w:rsidRPr="00C12CF3">
              <w:t xml:space="preserve"> submit a bill to the </w:t>
            </w:r>
            <w:r>
              <w:t>2nd R</w:t>
            </w:r>
            <w:r w:rsidRPr="00C12CF3">
              <w:t>egular Session of the 129th Legislature.</w:t>
            </w:r>
          </w:p>
        </w:tc>
        <w:tc>
          <w:tcPr>
            <w:tcW w:w="2250" w:type="dxa"/>
            <w:shd w:val="clear" w:color="auto" w:fill="auto"/>
          </w:tcPr>
          <w:p w14:paraId="6671512A" w14:textId="77777777" w:rsidR="00114F14" w:rsidRDefault="00114F14" w:rsidP="00CB1A47">
            <w:pPr>
              <w:rPr>
                <w:sz w:val="22"/>
                <w:szCs w:val="22"/>
              </w:rPr>
            </w:pPr>
            <w:r>
              <w:rPr>
                <w:sz w:val="22"/>
                <w:szCs w:val="22"/>
              </w:rPr>
              <w:t>September 19, 2019</w:t>
            </w:r>
          </w:p>
          <w:p w14:paraId="504C41FC" w14:textId="77777777" w:rsidR="00114F14" w:rsidRDefault="00114F14" w:rsidP="00CB1A47">
            <w:pPr>
              <w:rPr>
                <w:sz w:val="22"/>
                <w:szCs w:val="22"/>
              </w:rPr>
            </w:pPr>
          </w:p>
          <w:p w14:paraId="63F314CA" w14:textId="2E430EB5" w:rsidR="00114F14" w:rsidRPr="00433A3D" w:rsidRDefault="00114F14" w:rsidP="00CB1A47">
            <w:pPr>
              <w:rPr>
                <w:sz w:val="22"/>
                <w:szCs w:val="22"/>
              </w:rPr>
            </w:pPr>
            <w:r>
              <w:rPr>
                <w:sz w:val="22"/>
                <w:szCs w:val="22"/>
              </w:rPr>
              <w:t>The Coordinating Committee to submit a report to the Education &amp; Cultural Affairs Committee by January 2, 2020.</w:t>
            </w:r>
          </w:p>
        </w:tc>
      </w:tr>
      <w:tr w:rsidR="00114F14" w:rsidRPr="008D72F0" w14:paraId="1AF4D739" w14:textId="77777777" w:rsidTr="00114F14">
        <w:trPr>
          <w:trHeight w:val="737"/>
        </w:trPr>
        <w:tc>
          <w:tcPr>
            <w:tcW w:w="3080" w:type="dxa"/>
            <w:shd w:val="clear" w:color="auto" w:fill="auto"/>
          </w:tcPr>
          <w:p w14:paraId="3B25E163" w14:textId="77777777" w:rsidR="00114F14" w:rsidRDefault="00114F14" w:rsidP="00CB1A47">
            <w:pPr>
              <w:rPr>
                <w:b/>
              </w:rPr>
            </w:pPr>
            <w:bookmarkStart w:id="14" w:name="_Hlk16242313"/>
            <w:r>
              <w:rPr>
                <w:b/>
              </w:rPr>
              <w:t>LD 1549, Public Law 2019, Chapter 394</w:t>
            </w:r>
          </w:p>
          <w:p w14:paraId="284ADE79" w14:textId="6136BBB2" w:rsidR="00114F14" w:rsidRPr="0085641A" w:rsidRDefault="00114F14" w:rsidP="00CB1A47">
            <w:pPr>
              <w:rPr>
                <w:i/>
              </w:rPr>
            </w:pPr>
            <w:r>
              <w:rPr>
                <w:i/>
              </w:rPr>
              <w:t>A</w:t>
            </w:r>
            <w:r w:rsidRPr="0085641A">
              <w:rPr>
                <w:i/>
              </w:rPr>
              <w:t xml:space="preserve">n Act </w:t>
            </w:r>
            <w:proofErr w:type="gramStart"/>
            <w:r w:rsidRPr="0085641A">
              <w:rPr>
                <w:i/>
              </w:rPr>
              <w:t>To</w:t>
            </w:r>
            <w:proofErr w:type="gramEnd"/>
            <w:r w:rsidRPr="0085641A">
              <w:rPr>
                <w:i/>
              </w:rPr>
              <w:t xml:space="preserve"> Increase the Supplement for Certain National Board for Professional Teaching Standards Certified Teachers in Maine</w:t>
            </w:r>
          </w:p>
        </w:tc>
        <w:tc>
          <w:tcPr>
            <w:tcW w:w="7265" w:type="dxa"/>
            <w:shd w:val="clear" w:color="auto" w:fill="auto"/>
          </w:tcPr>
          <w:p w14:paraId="4E7A6B81" w14:textId="77777777" w:rsidR="00114F14" w:rsidRDefault="00114F14" w:rsidP="00CB1A47">
            <w:pPr>
              <w:pStyle w:val="ListBullet"/>
              <w:numPr>
                <w:ilvl w:val="0"/>
                <w:numId w:val="41"/>
              </w:numPr>
              <w:ind w:left="460" w:hanging="180"/>
            </w:pPr>
            <w:r>
              <w:rPr>
                <w:lang w:val="en-US"/>
              </w:rPr>
              <w:t>I</w:t>
            </w:r>
            <w:r w:rsidRPr="004B21E9">
              <w:rPr>
                <w:lang w:val="en-US"/>
              </w:rPr>
              <w:t>ncreases, from $3,000 to $</w:t>
            </w:r>
            <w:r>
              <w:rPr>
                <w:lang w:val="en-US"/>
              </w:rPr>
              <w:t>5</w:t>
            </w:r>
            <w:r w:rsidRPr="004B21E9">
              <w:rPr>
                <w:lang w:val="en-US"/>
              </w:rPr>
              <w:t>,000, the supplement paid to a teacher who has attained certification from the National Board for Professional Teaching Standards and who is employed in a school in which at least 50% of students qualify for a free or reduced-price lunch during the year that the supplement is provided.</w:t>
            </w:r>
          </w:p>
          <w:p w14:paraId="497B133F" w14:textId="77777777" w:rsidR="00114F14" w:rsidRDefault="00114F14" w:rsidP="00CB1A47">
            <w:pPr>
              <w:pStyle w:val="ListBullet"/>
              <w:numPr>
                <w:ilvl w:val="0"/>
                <w:numId w:val="41"/>
              </w:numPr>
              <w:ind w:left="460" w:hanging="180"/>
            </w:pPr>
            <w:r>
              <w:t>Directs the Department to calculate the full funding for the national board certification salary supplement and the National Board Certification Scholarship Fund and report back to the Joint Standing Committee on</w:t>
            </w:r>
            <w:r w:rsidRPr="004B21E9">
              <w:t xml:space="preserve"> </w:t>
            </w:r>
            <w:r>
              <w:t xml:space="preserve">Education &amp; Cultural Affairs by January 1, 2020. </w:t>
            </w:r>
          </w:p>
          <w:p w14:paraId="5B45A2C5" w14:textId="0AB62A94" w:rsidR="00114F14" w:rsidRPr="00510BFA" w:rsidRDefault="00114F14" w:rsidP="00CB1A47">
            <w:pPr>
              <w:pStyle w:val="ListBullet"/>
              <w:numPr>
                <w:ilvl w:val="0"/>
                <w:numId w:val="41"/>
              </w:numPr>
              <w:ind w:left="460" w:hanging="180"/>
            </w:pPr>
            <w:r>
              <w:t>Authorizes the Committee to submit a bill to the 2nd Regular Session of the 129th Legislature.</w:t>
            </w:r>
          </w:p>
        </w:tc>
        <w:tc>
          <w:tcPr>
            <w:tcW w:w="2250" w:type="dxa"/>
            <w:shd w:val="clear" w:color="auto" w:fill="auto"/>
          </w:tcPr>
          <w:p w14:paraId="32AC7BA2" w14:textId="77777777" w:rsidR="00114F14" w:rsidRDefault="00114F14" w:rsidP="00CB1A47">
            <w:pPr>
              <w:rPr>
                <w:sz w:val="22"/>
                <w:szCs w:val="22"/>
              </w:rPr>
            </w:pPr>
            <w:r>
              <w:rPr>
                <w:sz w:val="22"/>
                <w:szCs w:val="22"/>
              </w:rPr>
              <w:t xml:space="preserve">September 19, 2019 </w:t>
            </w:r>
          </w:p>
          <w:p w14:paraId="5C9D2DA1" w14:textId="77777777" w:rsidR="00114F14" w:rsidRDefault="00114F14" w:rsidP="00CB1A47">
            <w:pPr>
              <w:rPr>
                <w:sz w:val="22"/>
                <w:szCs w:val="22"/>
              </w:rPr>
            </w:pPr>
          </w:p>
          <w:p w14:paraId="19823F1A" w14:textId="58D1F705" w:rsidR="00114F14" w:rsidRPr="00433A3D" w:rsidRDefault="00114F14" w:rsidP="00CB1A47">
            <w:pPr>
              <w:rPr>
                <w:sz w:val="22"/>
                <w:szCs w:val="22"/>
              </w:rPr>
            </w:pPr>
            <w:r>
              <w:rPr>
                <w:sz w:val="22"/>
                <w:szCs w:val="22"/>
              </w:rPr>
              <w:t>Department to submit a report to Joint Standing Committee on Education &amp; Cultural Affairs by January 1, 2020.</w:t>
            </w:r>
          </w:p>
        </w:tc>
      </w:tr>
      <w:bookmarkEnd w:id="14"/>
      <w:tr w:rsidR="00114F14" w:rsidRPr="008D72F0" w14:paraId="51CEC708" w14:textId="77777777" w:rsidTr="00114F14">
        <w:trPr>
          <w:trHeight w:val="737"/>
        </w:trPr>
        <w:tc>
          <w:tcPr>
            <w:tcW w:w="3080" w:type="dxa"/>
            <w:shd w:val="clear" w:color="auto" w:fill="auto"/>
          </w:tcPr>
          <w:p w14:paraId="0A99DEE8" w14:textId="77777777" w:rsidR="00114F14" w:rsidRDefault="00114F14" w:rsidP="00CB1A47">
            <w:pPr>
              <w:rPr>
                <w:b/>
              </w:rPr>
            </w:pPr>
            <w:r>
              <w:rPr>
                <w:b/>
              </w:rPr>
              <w:t>LD 1566, Resolve 2019,</w:t>
            </w:r>
          </w:p>
          <w:p w14:paraId="26D039DD" w14:textId="77777777" w:rsidR="00114F14" w:rsidRDefault="00114F14" w:rsidP="00CB1A47">
            <w:pPr>
              <w:rPr>
                <w:b/>
              </w:rPr>
            </w:pPr>
            <w:r>
              <w:rPr>
                <w:b/>
              </w:rPr>
              <w:t>Chapter 56</w:t>
            </w:r>
          </w:p>
          <w:p w14:paraId="4C14A752" w14:textId="4FE48C82" w:rsidR="00114F14" w:rsidRPr="00033EA4" w:rsidRDefault="00114F14" w:rsidP="00CB1A47">
            <w:pPr>
              <w:rPr>
                <w:i/>
              </w:rPr>
            </w:pPr>
            <w:r w:rsidRPr="00033EA4">
              <w:rPr>
                <w:i/>
              </w:rPr>
              <w:t xml:space="preserve">Resolve, To Determine Ways </w:t>
            </w:r>
            <w:proofErr w:type="gramStart"/>
            <w:r w:rsidRPr="00033EA4">
              <w:rPr>
                <w:i/>
              </w:rPr>
              <w:t>To</w:t>
            </w:r>
            <w:proofErr w:type="gramEnd"/>
            <w:r w:rsidRPr="00033EA4">
              <w:rPr>
                <w:i/>
              </w:rPr>
              <w:t xml:space="preserve"> Increase the Number of Recipients under the Tuition Waiver Program for Participants in Foster Care</w:t>
            </w:r>
          </w:p>
        </w:tc>
        <w:tc>
          <w:tcPr>
            <w:tcW w:w="7265" w:type="dxa"/>
            <w:shd w:val="clear" w:color="auto" w:fill="auto"/>
          </w:tcPr>
          <w:p w14:paraId="5D174C1E" w14:textId="77777777" w:rsidR="00114F14" w:rsidRPr="006609BD" w:rsidRDefault="00114F14" w:rsidP="00CB1A47">
            <w:pPr>
              <w:pStyle w:val="ListBullet"/>
              <w:numPr>
                <w:ilvl w:val="0"/>
                <w:numId w:val="41"/>
              </w:numPr>
              <w:ind w:left="460" w:hanging="180"/>
            </w:pPr>
            <w:r w:rsidRPr="006609BD">
              <w:t xml:space="preserve">Directs the </w:t>
            </w:r>
            <w:r w:rsidRPr="006609BD">
              <w:rPr>
                <w:lang w:val="en-US"/>
              </w:rPr>
              <w:t xml:space="preserve">Public Higher Education Systems Coordinating Committee to </w:t>
            </w:r>
            <w:r w:rsidRPr="006609BD">
              <w:t xml:space="preserve">review the tuition waiver program for participants in foster care and to identify barriers to the program for dependent students who have been adopted and independent students who have not been adopted. </w:t>
            </w:r>
          </w:p>
          <w:p w14:paraId="61CFF197" w14:textId="77777777" w:rsidR="00114F14" w:rsidRPr="006609BD" w:rsidRDefault="00114F14" w:rsidP="00CB1A47">
            <w:pPr>
              <w:pStyle w:val="ListBullet"/>
              <w:numPr>
                <w:ilvl w:val="0"/>
                <w:numId w:val="41"/>
              </w:numPr>
              <w:ind w:left="460" w:hanging="180"/>
            </w:pPr>
            <w:r w:rsidRPr="006609BD">
              <w:t>Directs this Committee to report to the Joint Standing Committee on Education &amp; Cultural Affairs no later than January 15, 2020 with findings and recommendations</w:t>
            </w:r>
          </w:p>
          <w:p w14:paraId="4F63C0B1" w14:textId="25A69CBB" w:rsidR="00114F14" w:rsidRPr="00510BFA" w:rsidRDefault="00114F14" w:rsidP="00CB1A47">
            <w:pPr>
              <w:pStyle w:val="ListBullet"/>
              <w:numPr>
                <w:ilvl w:val="0"/>
                <w:numId w:val="41"/>
              </w:numPr>
              <w:ind w:left="460" w:hanging="180"/>
            </w:pPr>
            <w:r w:rsidRPr="006609BD">
              <w:t>Authorizes the Joint Standing Committee on Education &amp; Cultural Affairs to submit a bill to the 2nd Regular Session of the 129th Legislature.</w:t>
            </w:r>
          </w:p>
        </w:tc>
        <w:tc>
          <w:tcPr>
            <w:tcW w:w="2250" w:type="dxa"/>
            <w:shd w:val="clear" w:color="auto" w:fill="auto"/>
          </w:tcPr>
          <w:p w14:paraId="20C81AAD" w14:textId="77777777" w:rsidR="00114F14" w:rsidRDefault="00114F14" w:rsidP="00CB1A47">
            <w:pPr>
              <w:rPr>
                <w:sz w:val="22"/>
                <w:szCs w:val="22"/>
              </w:rPr>
            </w:pPr>
            <w:r>
              <w:rPr>
                <w:sz w:val="22"/>
                <w:szCs w:val="22"/>
              </w:rPr>
              <w:t>September 19, 2019</w:t>
            </w:r>
          </w:p>
          <w:p w14:paraId="37B4346B" w14:textId="6FD31387" w:rsidR="00114F14" w:rsidRDefault="00114F14" w:rsidP="00CB1A47">
            <w:pPr>
              <w:rPr>
                <w:sz w:val="22"/>
                <w:szCs w:val="22"/>
              </w:rPr>
            </w:pPr>
          </w:p>
          <w:p w14:paraId="0FA11FA1" w14:textId="3347182A" w:rsidR="00114F14" w:rsidRDefault="00114F14" w:rsidP="00CB1A47">
            <w:pPr>
              <w:rPr>
                <w:sz w:val="22"/>
                <w:szCs w:val="22"/>
              </w:rPr>
            </w:pPr>
          </w:p>
          <w:p w14:paraId="4976D155" w14:textId="77777777" w:rsidR="00114F14" w:rsidRDefault="00114F14" w:rsidP="00CB1A47">
            <w:pPr>
              <w:rPr>
                <w:sz w:val="22"/>
                <w:szCs w:val="22"/>
              </w:rPr>
            </w:pPr>
          </w:p>
          <w:p w14:paraId="40E42037" w14:textId="3FBCE388" w:rsidR="00114F14" w:rsidRPr="00433A3D" w:rsidRDefault="00114F14" w:rsidP="00CB1A47">
            <w:pPr>
              <w:rPr>
                <w:sz w:val="22"/>
                <w:szCs w:val="22"/>
              </w:rPr>
            </w:pPr>
            <w:r>
              <w:rPr>
                <w:sz w:val="22"/>
                <w:szCs w:val="22"/>
              </w:rPr>
              <w:t>The Coordinating Committee to submit a report to the Education &amp; Cultural Affairs Committee by January 15, 2020</w:t>
            </w:r>
          </w:p>
        </w:tc>
      </w:tr>
      <w:tr w:rsidR="00114F14" w:rsidRPr="008D72F0" w14:paraId="32884BBB" w14:textId="77777777" w:rsidTr="00114F14">
        <w:trPr>
          <w:trHeight w:val="737"/>
        </w:trPr>
        <w:tc>
          <w:tcPr>
            <w:tcW w:w="3080" w:type="dxa"/>
            <w:shd w:val="clear" w:color="auto" w:fill="auto"/>
          </w:tcPr>
          <w:p w14:paraId="1F7827B8" w14:textId="77777777" w:rsidR="00114F14" w:rsidRDefault="00114F14" w:rsidP="00CB1A47">
            <w:pPr>
              <w:rPr>
                <w:b/>
              </w:rPr>
            </w:pPr>
            <w:r>
              <w:rPr>
                <w:b/>
              </w:rPr>
              <w:t>LD 1568, Private &amp; Special Law 2019, Chapter 13</w:t>
            </w:r>
          </w:p>
          <w:p w14:paraId="72ED9E7C" w14:textId="77777777" w:rsidR="00114F14" w:rsidRPr="0050177C" w:rsidRDefault="00114F14" w:rsidP="00CB1A47">
            <w:pPr>
              <w:rPr>
                <w:i/>
              </w:rPr>
            </w:pPr>
            <w:r w:rsidRPr="0050177C">
              <w:rPr>
                <w:i/>
              </w:rPr>
              <w:t>An Act Authorizing the Deorganization of Magalloway Plantation</w:t>
            </w:r>
          </w:p>
          <w:p w14:paraId="79503D68" w14:textId="45EFE6DB" w:rsidR="00114F14" w:rsidRPr="0050177C" w:rsidRDefault="00114F14" w:rsidP="00CB1A47">
            <w:pPr>
              <w:rPr>
                <w:i/>
              </w:rPr>
            </w:pPr>
          </w:p>
        </w:tc>
        <w:tc>
          <w:tcPr>
            <w:tcW w:w="7265" w:type="dxa"/>
            <w:shd w:val="clear" w:color="auto" w:fill="auto"/>
          </w:tcPr>
          <w:p w14:paraId="5138EF1C" w14:textId="77777777" w:rsidR="00114F14" w:rsidRDefault="00114F14" w:rsidP="00CB1A47">
            <w:pPr>
              <w:pStyle w:val="ListBullet"/>
              <w:numPr>
                <w:ilvl w:val="0"/>
                <w:numId w:val="8"/>
              </w:numPr>
              <w:ind w:left="498" w:hanging="180"/>
              <w:rPr>
                <w:lang w:val="en-US"/>
              </w:rPr>
            </w:pPr>
            <w:r w:rsidRPr="00285EF8">
              <w:rPr>
                <w:lang w:val="en-US"/>
              </w:rPr>
              <w:t xml:space="preserve">Authorizes the deorganization of </w:t>
            </w:r>
            <w:r>
              <w:rPr>
                <w:lang w:val="en-US"/>
              </w:rPr>
              <w:t>Magalloway</w:t>
            </w:r>
            <w:r w:rsidRPr="00285EF8">
              <w:rPr>
                <w:lang w:val="en-US"/>
              </w:rPr>
              <w:t xml:space="preserve"> Plantation if 2/3 of the legal voters approve that in a referendum by November 30 and the total number of votes cast for and against the deorgan</w:t>
            </w:r>
            <w:r>
              <w:rPr>
                <w:lang w:val="en-US"/>
              </w:rPr>
              <w:t>iz</w:t>
            </w:r>
            <w:r w:rsidRPr="00285EF8">
              <w:rPr>
                <w:lang w:val="en-US"/>
              </w:rPr>
              <w:t xml:space="preserve">ation must equal or exceed 50% of the total number of votes cast in </w:t>
            </w:r>
            <w:r>
              <w:rPr>
                <w:lang w:val="en-US"/>
              </w:rPr>
              <w:t>Magalloway</w:t>
            </w:r>
            <w:r w:rsidRPr="00285EF8">
              <w:rPr>
                <w:lang w:val="en-US"/>
              </w:rPr>
              <w:t xml:space="preserve"> Plantation for Governor in the last gubernatorial election.</w:t>
            </w:r>
          </w:p>
          <w:p w14:paraId="1650B758" w14:textId="741A7A36" w:rsidR="00114F14" w:rsidRPr="00510BFA" w:rsidRDefault="00114F14" w:rsidP="00CB1A47">
            <w:pPr>
              <w:pStyle w:val="ListBullet"/>
              <w:numPr>
                <w:ilvl w:val="0"/>
                <w:numId w:val="8"/>
              </w:numPr>
              <w:ind w:left="498" w:hanging="180"/>
            </w:pPr>
            <w:r>
              <w:rPr>
                <w:lang w:val="en-US"/>
              </w:rPr>
              <w:t>If approved, the deorganization takes effect July 1, 2021.</w:t>
            </w:r>
          </w:p>
        </w:tc>
        <w:tc>
          <w:tcPr>
            <w:tcW w:w="2250" w:type="dxa"/>
            <w:shd w:val="clear" w:color="auto" w:fill="auto"/>
          </w:tcPr>
          <w:p w14:paraId="3196687C" w14:textId="69EDAF05" w:rsidR="00114F14" w:rsidRPr="00433A3D" w:rsidRDefault="00114F14" w:rsidP="00CB1A47">
            <w:pPr>
              <w:rPr>
                <w:sz w:val="22"/>
                <w:szCs w:val="22"/>
              </w:rPr>
            </w:pPr>
            <w:r>
              <w:rPr>
                <w:sz w:val="22"/>
                <w:szCs w:val="22"/>
              </w:rPr>
              <w:t>September 19, 2019</w:t>
            </w:r>
          </w:p>
        </w:tc>
      </w:tr>
      <w:tr w:rsidR="00114F14" w:rsidRPr="008D72F0" w14:paraId="09B24BEF" w14:textId="77777777" w:rsidTr="00114F14">
        <w:trPr>
          <w:trHeight w:val="737"/>
        </w:trPr>
        <w:tc>
          <w:tcPr>
            <w:tcW w:w="3080" w:type="dxa"/>
            <w:shd w:val="clear" w:color="auto" w:fill="auto"/>
          </w:tcPr>
          <w:p w14:paraId="05019229" w14:textId="77777777" w:rsidR="00114F14" w:rsidRDefault="00114F14" w:rsidP="00CB1A47">
            <w:pPr>
              <w:rPr>
                <w:b/>
              </w:rPr>
            </w:pPr>
            <w:r>
              <w:rPr>
                <w:b/>
              </w:rPr>
              <w:t>LD 1592, Public Law 2019, Chapter 302</w:t>
            </w:r>
          </w:p>
          <w:p w14:paraId="20C4021F" w14:textId="751042B1" w:rsidR="00114F14" w:rsidRPr="00A92CB1" w:rsidRDefault="00114F14" w:rsidP="00CB1A47">
            <w:pPr>
              <w:rPr>
                <w:i/>
              </w:rPr>
            </w:pPr>
            <w:r w:rsidRPr="00A92CB1">
              <w:rPr>
                <w:i/>
              </w:rPr>
              <w:t xml:space="preserve">An Act </w:t>
            </w:r>
            <w:proofErr w:type="gramStart"/>
            <w:r w:rsidRPr="00A92CB1">
              <w:rPr>
                <w:i/>
              </w:rPr>
              <w:t>To</w:t>
            </w:r>
            <w:proofErr w:type="gramEnd"/>
            <w:r w:rsidRPr="00A92CB1">
              <w:rPr>
                <w:i/>
              </w:rPr>
              <w:t xml:space="preserve"> Allow the Dissolution of Regional School Units Composed of a Single Municipality</w:t>
            </w:r>
          </w:p>
        </w:tc>
        <w:tc>
          <w:tcPr>
            <w:tcW w:w="7265" w:type="dxa"/>
            <w:shd w:val="clear" w:color="auto" w:fill="auto"/>
          </w:tcPr>
          <w:p w14:paraId="1A92343C" w14:textId="3258004C" w:rsidR="00114F14" w:rsidRPr="00510BFA" w:rsidRDefault="00114F14" w:rsidP="00CB1A47">
            <w:pPr>
              <w:pStyle w:val="ListBullet"/>
              <w:numPr>
                <w:ilvl w:val="0"/>
                <w:numId w:val="41"/>
              </w:numPr>
              <w:ind w:left="460" w:hanging="180"/>
            </w:pPr>
            <w:r w:rsidRPr="0047561D">
              <w:rPr>
                <w:lang w:val="en-US"/>
              </w:rPr>
              <w:t>Provides a process for a municipality to withdraw from a regional school unit that is composed of a single municipality and provides that upon withdrawal of a municipality from a regional school unit that is composed of a single municipality, the regional school unit is dissolved.</w:t>
            </w:r>
          </w:p>
        </w:tc>
        <w:tc>
          <w:tcPr>
            <w:tcW w:w="2250" w:type="dxa"/>
            <w:shd w:val="clear" w:color="auto" w:fill="auto"/>
          </w:tcPr>
          <w:p w14:paraId="75EA9485" w14:textId="0D3D7C64" w:rsidR="00114F14" w:rsidRPr="00433A3D" w:rsidRDefault="00114F14" w:rsidP="00CB1A47">
            <w:pPr>
              <w:rPr>
                <w:sz w:val="22"/>
                <w:szCs w:val="22"/>
              </w:rPr>
            </w:pPr>
            <w:r>
              <w:rPr>
                <w:sz w:val="22"/>
                <w:szCs w:val="22"/>
              </w:rPr>
              <w:t>September 19, 2019</w:t>
            </w:r>
          </w:p>
        </w:tc>
      </w:tr>
      <w:tr w:rsidR="00114F14" w:rsidRPr="008D72F0" w14:paraId="5F794950" w14:textId="77777777" w:rsidTr="00114F14">
        <w:trPr>
          <w:trHeight w:val="737"/>
        </w:trPr>
        <w:tc>
          <w:tcPr>
            <w:tcW w:w="3080" w:type="dxa"/>
            <w:shd w:val="clear" w:color="auto" w:fill="auto"/>
          </w:tcPr>
          <w:p w14:paraId="3D7E9062" w14:textId="77777777" w:rsidR="00114F14" w:rsidRDefault="00114F14" w:rsidP="00CB1A47">
            <w:pPr>
              <w:rPr>
                <w:b/>
              </w:rPr>
            </w:pPr>
            <w:r>
              <w:rPr>
                <w:b/>
              </w:rPr>
              <w:t>LD 1593, Public Law 2019, Chapter 385</w:t>
            </w:r>
          </w:p>
          <w:p w14:paraId="1FDD1917" w14:textId="77777777" w:rsidR="00114F14" w:rsidRPr="00FB7412" w:rsidRDefault="00114F14" w:rsidP="00CB1A47">
            <w:pPr>
              <w:rPr>
                <w:i/>
              </w:rPr>
            </w:pPr>
            <w:r w:rsidRPr="00FB7412">
              <w:rPr>
                <w:i/>
              </w:rPr>
              <w:t xml:space="preserve">An Act </w:t>
            </w:r>
            <w:proofErr w:type="gramStart"/>
            <w:r w:rsidRPr="00FB7412">
              <w:rPr>
                <w:i/>
              </w:rPr>
              <w:t>To</w:t>
            </w:r>
            <w:proofErr w:type="gramEnd"/>
            <w:r w:rsidRPr="00FB7412">
              <w:rPr>
                <w:i/>
              </w:rPr>
              <w:t xml:space="preserve"> Support Infrastructure Improvements in Schools</w:t>
            </w:r>
          </w:p>
          <w:p w14:paraId="713E31E5" w14:textId="42C29297" w:rsidR="00114F14" w:rsidRPr="00A92CB1" w:rsidRDefault="00114F14" w:rsidP="00CB1A47">
            <w:pPr>
              <w:rPr>
                <w:i/>
              </w:rPr>
            </w:pPr>
          </w:p>
        </w:tc>
        <w:tc>
          <w:tcPr>
            <w:tcW w:w="7265" w:type="dxa"/>
            <w:shd w:val="clear" w:color="auto" w:fill="auto"/>
          </w:tcPr>
          <w:p w14:paraId="48965EC5" w14:textId="77777777" w:rsidR="00114F14" w:rsidRPr="007E7553" w:rsidRDefault="00114F14" w:rsidP="00CB1A47">
            <w:pPr>
              <w:pStyle w:val="ListBullet"/>
              <w:numPr>
                <w:ilvl w:val="0"/>
                <w:numId w:val="41"/>
              </w:numPr>
              <w:ind w:left="460" w:hanging="180"/>
              <w:rPr>
                <w:lang w:val="en-US"/>
              </w:rPr>
            </w:pPr>
            <w:r w:rsidRPr="007E7553">
              <w:rPr>
                <w:lang w:val="en-US"/>
              </w:rPr>
              <w:t xml:space="preserve">Amends the definition of "energy services company" to include financing of locally funded energy conservation improvements, air quality improvements or combined energy conservation and related air quality improvements at existing school administrative unit facilities. </w:t>
            </w:r>
          </w:p>
          <w:p w14:paraId="7A0D0836" w14:textId="1E0D699B" w:rsidR="00114F14" w:rsidRPr="00510BFA" w:rsidRDefault="00114F14" w:rsidP="00CB1A47">
            <w:pPr>
              <w:pStyle w:val="ListBullet"/>
              <w:numPr>
                <w:ilvl w:val="0"/>
                <w:numId w:val="41"/>
              </w:numPr>
              <w:ind w:left="460" w:hanging="180"/>
            </w:pPr>
            <w:r w:rsidRPr="007E7553">
              <w:rPr>
                <w:lang w:val="en-US"/>
              </w:rPr>
              <w:t>Increases the cap to $10,000,000 on the total contract cost, excluding private or federal grant funds, interest and operating and maintenance costs, for which an agreement is deemed to be a professional service, which is not subject to competitive bidding requirements.</w:t>
            </w:r>
          </w:p>
        </w:tc>
        <w:tc>
          <w:tcPr>
            <w:tcW w:w="2250" w:type="dxa"/>
            <w:shd w:val="clear" w:color="auto" w:fill="auto"/>
          </w:tcPr>
          <w:p w14:paraId="610100B8" w14:textId="5FADB37F" w:rsidR="00114F14" w:rsidRPr="00433A3D" w:rsidRDefault="00114F14" w:rsidP="00CB1A47">
            <w:pPr>
              <w:rPr>
                <w:sz w:val="22"/>
                <w:szCs w:val="22"/>
              </w:rPr>
            </w:pPr>
            <w:r>
              <w:rPr>
                <w:sz w:val="22"/>
                <w:szCs w:val="22"/>
              </w:rPr>
              <w:t>September 19, 2019</w:t>
            </w:r>
          </w:p>
        </w:tc>
      </w:tr>
      <w:tr w:rsidR="00114F14" w:rsidRPr="008D72F0" w14:paraId="1DB14564" w14:textId="77777777" w:rsidTr="00114F14">
        <w:trPr>
          <w:trHeight w:val="737"/>
        </w:trPr>
        <w:tc>
          <w:tcPr>
            <w:tcW w:w="3080" w:type="dxa"/>
            <w:shd w:val="clear" w:color="auto" w:fill="auto"/>
          </w:tcPr>
          <w:p w14:paraId="08248E09" w14:textId="77777777" w:rsidR="00114F14" w:rsidRDefault="00114F14" w:rsidP="00CB1A47">
            <w:pPr>
              <w:rPr>
                <w:b/>
              </w:rPr>
            </w:pPr>
            <w:r>
              <w:rPr>
                <w:b/>
              </w:rPr>
              <w:t>LD 1601, Public Law 2019, Chapter 303</w:t>
            </w:r>
          </w:p>
          <w:p w14:paraId="75ED2669" w14:textId="6FD3DA66" w:rsidR="00114F14" w:rsidRPr="00FB7412" w:rsidRDefault="00114F14" w:rsidP="00CB1A47">
            <w:pPr>
              <w:rPr>
                <w:i/>
              </w:rPr>
            </w:pPr>
            <w:r w:rsidRPr="00FB7412">
              <w:rPr>
                <w:i/>
              </w:rPr>
              <w:t xml:space="preserve">An Act </w:t>
            </w:r>
            <w:proofErr w:type="gramStart"/>
            <w:r w:rsidRPr="00FB7412">
              <w:rPr>
                <w:i/>
              </w:rPr>
              <w:t>To</w:t>
            </w:r>
            <w:proofErr w:type="gramEnd"/>
            <w:r w:rsidRPr="00FB7412">
              <w:rPr>
                <w:i/>
              </w:rPr>
              <w:t xml:space="preserve"> Amend the Laws Governing the Educators for Maine Program</w:t>
            </w:r>
          </w:p>
        </w:tc>
        <w:tc>
          <w:tcPr>
            <w:tcW w:w="7265" w:type="dxa"/>
            <w:shd w:val="clear" w:color="auto" w:fill="auto"/>
          </w:tcPr>
          <w:p w14:paraId="689B3BD7" w14:textId="7A66AC81" w:rsidR="00114F14" w:rsidRDefault="00114F14" w:rsidP="00CB1A47">
            <w:pPr>
              <w:pStyle w:val="ListBullet"/>
              <w:numPr>
                <w:ilvl w:val="0"/>
                <w:numId w:val="41"/>
              </w:numPr>
              <w:ind w:left="460" w:hanging="180"/>
            </w:pPr>
            <w:r w:rsidRPr="001E0D3D">
              <w:rPr>
                <w:lang w:val="en-US"/>
              </w:rPr>
              <w:t>Amends the Educators for Maine Program financial assistance by expanding certain definitions to include home-schooled students and educator service at publicly supported secondary schools and special education facilities</w:t>
            </w:r>
            <w:r>
              <w:rPr>
                <w:lang w:val="en-US"/>
              </w:rPr>
              <w:t>;</w:t>
            </w:r>
            <w:r w:rsidRPr="001E0D3D">
              <w:rPr>
                <w:lang w:val="en-US"/>
              </w:rPr>
              <w:t xml:space="preserve"> add</w:t>
            </w:r>
            <w:r>
              <w:rPr>
                <w:lang w:val="en-US"/>
              </w:rPr>
              <w:t>s</w:t>
            </w:r>
            <w:r w:rsidRPr="001E0D3D">
              <w:rPr>
                <w:lang w:val="en-US"/>
              </w:rPr>
              <w:t xml:space="preserve"> service in </w:t>
            </w:r>
            <w:r w:rsidRPr="001E0D3D">
              <w:t>underserved geographic areas as an eligibility criterion</w:t>
            </w:r>
            <w:r>
              <w:t>; and</w:t>
            </w:r>
            <w:r w:rsidRPr="001E0D3D">
              <w:t xml:space="preserve"> add</w:t>
            </w:r>
            <w:r>
              <w:t>s</w:t>
            </w:r>
            <w:r w:rsidRPr="001E0D3D">
              <w:t xml:space="preserve"> a loan repayment provision to the program;</w:t>
            </w:r>
          </w:p>
          <w:p w14:paraId="25E7767E" w14:textId="41D0C11F" w:rsidR="00114F14" w:rsidRPr="00510BFA" w:rsidRDefault="00114F14" w:rsidP="00CB1A47">
            <w:pPr>
              <w:pStyle w:val="ListBullet"/>
              <w:numPr>
                <w:ilvl w:val="0"/>
                <w:numId w:val="41"/>
              </w:numPr>
              <w:ind w:left="460" w:hanging="180"/>
            </w:pPr>
            <w:r>
              <w:t>A</w:t>
            </w:r>
            <w:r w:rsidRPr="001E0D3D">
              <w:t>uthoriz</w:t>
            </w:r>
            <w:r>
              <w:t>es</w:t>
            </w:r>
            <w:r w:rsidRPr="001E0D3D">
              <w:t xml:space="preserve"> the Finance Authority of Maine to increase maximum loan amounts based on available funding; establish</w:t>
            </w:r>
            <w:r>
              <w:t>es</w:t>
            </w:r>
            <w:r w:rsidRPr="001E0D3D">
              <w:t xml:space="preserve"> limits on the duration a recipient may benefit under the program; remov</w:t>
            </w:r>
            <w:r>
              <w:t>es</w:t>
            </w:r>
            <w:r w:rsidRPr="001E0D3D">
              <w:t xml:space="preserve"> the preference for loans to undergraduate students enrolled in a course of study related to underserved subject areas; and increas</w:t>
            </w:r>
            <w:r>
              <w:t>es</w:t>
            </w:r>
            <w:r w:rsidRPr="001E0D3D">
              <w:t xml:space="preserve"> from 5 to 10 years from postsecondary graduation the amount of time a recipient has to complete the return service requirement that may cancel all or part of the loan.</w:t>
            </w:r>
          </w:p>
        </w:tc>
        <w:tc>
          <w:tcPr>
            <w:tcW w:w="2250" w:type="dxa"/>
            <w:shd w:val="clear" w:color="auto" w:fill="auto"/>
          </w:tcPr>
          <w:p w14:paraId="3BB98C6D" w14:textId="4401B386" w:rsidR="00114F14" w:rsidRPr="00433A3D" w:rsidRDefault="00114F14" w:rsidP="00CB1A47">
            <w:pPr>
              <w:rPr>
                <w:sz w:val="22"/>
                <w:szCs w:val="22"/>
              </w:rPr>
            </w:pPr>
            <w:r>
              <w:rPr>
                <w:sz w:val="22"/>
                <w:szCs w:val="22"/>
              </w:rPr>
              <w:t>September 19, 2019</w:t>
            </w:r>
          </w:p>
        </w:tc>
      </w:tr>
      <w:tr w:rsidR="00114F14" w:rsidRPr="00433A3D" w14:paraId="5A9E3BFC" w14:textId="77777777" w:rsidTr="00114F14">
        <w:trPr>
          <w:trHeight w:val="737"/>
        </w:trPr>
        <w:tc>
          <w:tcPr>
            <w:tcW w:w="3080" w:type="dxa"/>
            <w:shd w:val="clear" w:color="auto" w:fill="auto"/>
          </w:tcPr>
          <w:p w14:paraId="52784388" w14:textId="77777777" w:rsidR="00114F14" w:rsidRDefault="00114F14" w:rsidP="0001067E">
            <w:pPr>
              <w:rPr>
                <w:b/>
              </w:rPr>
            </w:pPr>
            <w:r>
              <w:rPr>
                <w:b/>
              </w:rPr>
              <w:t>LD 1635, Resolve 2019, Chapter 66</w:t>
            </w:r>
          </w:p>
          <w:p w14:paraId="6AC39F6E" w14:textId="77777777" w:rsidR="00114F14" w:rsidRPr="00112909" w:rsidRDefault="00114F14" w:rsidP="0001067E">
            <w:pPr>
              <w:rPr>
                <w:i/>
              </w:rPr>
            </w:pPr>
            <w:r w:rsidRPr="00141DB0">
              <w:rPr>
                <w:i/>
              </w:rPr>
              <w:t>Resolve, To Improve Access to Early and Periodic Screening, Diagnostic and Treatment Services for Children from Birth to 8 Years of Age (EMERGENCY)</w:t>
            </w:r>
          </w:p>
        </w:tc>
        <w:tc>
          <w:tcPr>
            <w:tcW w:w="7265" w:type="dxa"/>
            <w:shd w:val="clear" w:color="auto" w:fill="auto"/>
          </w:tcPr>
          <w:p w14:paraId="6DC835CB" w14:textId="77777777" w:rsidR="00114F14" w:rsidRDefault="00114F14" w:rsidP="009624EA">
            <w:pPr>
              <w:pStyle w:val="ListBullet"/>
              <w:numPr>
                <w:ilvl w:val="0"/>
                <w:numId w:val="41"/>
              </w:numPr>
              <w:ind w:left="460" w:hanging="180"/>
            </w:pPr>
            <w:r>
              <w:t>Requires the Department of Health &amp; Human Services, in consultation with the Department of Education, to convene a stakeholder group collect data to determine the capacity of the State, including barriers, to provide child find and early and periodic screening, diagnostic and treatment services to children from birth to 8 years of age, the gaps in services and the costs of addressing those gaps.</w:t>
            </w:r>
          </w:p>
          <w:p w14:paraId="34C4B019" w14:textId="77777777" w:rsidR="00114F14" w:rsidRDefault="00114F14" w:rsidP="009624EA">
            <w:pPr>
              <w:pStyle w:val="ListBullet"/>
              <w:numPr>
                <w:ilvl w:val="0"/>
                <w:numId w:val="41"/>
              </w:numPr>
              <w:ind w:left="460" w:hanging="180"/>
            </w:pPr>
            <w:r>
              <w:t>Directs the stakeholder group is to obtain information from other states that have had success in child find and screening, diagnostic and treatment services to children from birth to 8 years of age.</w:t>
            </w:r>
          </w:p>
          <w:p w14:paraId="78A47297" w14:textId="77777777" w:rsidR="00114F14" w:rsidRDefault="00114F14" w:rsidP="009624EA">
            <w:pPr>
              <w:pStyle w:val="ListBullet"/>
              <w:numPr>
                <w:ilvl w:val="0"/>
                <w:numId w:val="41"/>
              </w:numPr>
              <w:ind w:left="460" w:hanging="180"/>
            </w:pPr>
            <w:r>
              <w:t>Requires the Department of Health &amp; Human Services to submit a report to the Joint Standing Committee on Health &amp; Human Services by December 30, 2019.</w:t>
            </w:r>
            <w:r w:rsidRPr="00304236">
              <w:t xml:space="preserve"> </w:t>
            </w:r>
          </w:p>
          <w:p w14:paraId="57CCFDF2" w14:textId="77777777" w:rsidR="00114F14" w:rsidRPr="00510BFA" w:rsidRDefault="00114F14" w:rsidP="009624EA">
            <w:pPr>
              <w:pStyle w:val="ListBullet"/>
              <w:numPr>
                <w:ilvl w:val="0"/>
                <w:numId w:val="41"/>
              </w:numPr>
              <w:ind w:left="460" w:hanging="180"/>
            </w:pPr>
            <w:r>
              <w:t>Authorizes the Joint Standing Committee on Health &amp; Human Services to submit legislation relating to subject matter of the report to the 2nd Regular Session of the 129th Legislature.</w:t>
            </w:r>
          </w:p>
        </w:tc>
        <w:tc>
          <w:tcPr>
            <w:tcW w:w="2250" w:type="dxa"/>
            <w:shd w:val="clear" w:color="auto" w:fill="auto"/>
          </w:tcPr>
          <w:p w14:paraId="6E3706C0" w14:textId="77777777" w:rsidR="00114F14" w:rsidRDefault="00114F14" w:rsidP="0001067E">
            <w:pPr>
              <w:rPr>
                <w:sz w:val="22"/>
                <w:szCs w:val="22"/>
              </w:rPr>
            </w:pPr>
            <w:r>
              <w:rPr>
                <w:sz w:val="22"/>
                <w:szCs w:val="22"/>
              </w:rPr>
              <w:t>June 13, 2019</w:t>
            </w:r>
          </w:p>
          <w:p w14:paraId="500AEBC9" w14:textId="77777777" w:rsidR="00114F14" w:rsidRDefault="00114F14" w:rsidP="0001067E">
            <w:pPr>
              <w:rPr>
                <w:sz w:val="22"/>
                <w:szCs w:val="22"/>
              </w:rPr>
            </w:pPr>
          </w:p>
          <w:p w14:paraId="4E04578F" w14:textId="77777777" w:rsidR="00114F14" w:rsidRDefault="00114F14" w:rsidP="0001067E">
            <w:pPr>
              <w:rPr>
                <w:sz w:val="22"/>
                <w:szCs w:val="22"/>
              </w:rPr>
            </w:pPr>
          </w:p>
          <w:p w14:paraId="179FE51D" w14:textId="77777777" w:rsidR="00114F14" w:rsidRDefault="00114F14" w:rsidP="0001067E">
            <w:pPr>
              <w:rPr>
                <w:sz w:val="22"/>
                <w:szCs w:val="22"/>
              </w:rPr>
            </w:pPr>
          </w:p>
          <w:p w14:paraId="6C254D0B" w14:textId="77777777" w:rsidR="00114F14" w:rsidRDefault="00114F14" w:rsidP="0001067E">
            <w:pPr>
              <w:rPr>
                <w:sz w:val="22"/>
                <w:szCs w:val="22"/>
              </w:rPr>
            </w:pPr>
          </w:p>
          <w:p w14:paraId="6E099215" w14:textId="77777777" w:rsidR="00114F14" w:rsidRPr="00433A3D" w:rsidRDefault="00114F14" w:rsidP="0001067E">
            <w:pPr>
              <w:rPr>
                <w:sz w:val="22"/>
                <w:szCs w:val="22"/>
              </w:rPr>
            </w:pPr>
            <w:r>
              <w:rPr>
                <w:sz w:val="22"/>
                <w:szCs w:val="22"/>
              </w:rPr>
              <w:t>Department of Health &amp; Human Services to submit report to Joint Standing Committee on Health &amp; Human Services by December 30, 2019.</w:t>
            </w:r>
          </w:p>
        </w:tc>
      </w:tr>
      <w:tr w:rsidR="00114F14" w:rsidRPr="008D72F0" w14:paraId="42477DCA" w14:textId="77777777" w:rsidTr="00114F14">
        <w:trPr>
          <w:trHeight w:val="737"/>
        </w:trPr>
        <w:tc>
          <w:tcPr>
            <w:tcW w:w="3080" w:type="dxa"/>
            <w:shd w:val="clear" w:color="auto" w:fill="auto"/>
          </w:tcPr>
          <w:p w14:paraId="26EB2C3C" w14:textId="77777777" w:rsidR="00114F14" w:rsidRDefault="00114F14" w:rsidP="00CB1A47">
            <w:pPr>
              <w:rPr>
                <w:b/>
              </w:rPr>
            </w:pPr>
            <w:r>
              <w:rPr>
                <w:b/>
              </w:rPr>
              <w:t>LD 1638, Public Law 2019, Chapter 406</w:t>
            </w:r>
          </w:p>
          <w:p w14:paraId="60C7A318" w14:textId="270CC63A" w:rsidR="00114F14" w:rsidRPr="00510BFA" w:rsidRDefault="00114F14" w:rsidP="00CB1A47">
            <w:pPr>
              <w:rPr>
                <w:i/>
              </w:rPr>
            </w:pPr>
            <w:r w:rsidRPr="00112909">
              <w:rPr>
                <w:i/>
              </w:rPr>
              <w:t xml:space="preserve">An Act </w:t>
            </w:r>
            <w:proofErr w:type="gramStart"/>
            <w:r w:rsidRPr="00112909">
              <w:rPr>
                <w:i/>
              </w:rPr>
              <w:t>To</w:t>
            </w:r>
            <w:proofErr w:type="gramEnd"/>
            <w:r w:rsidRPr="00112909">
              <w:rPr>
                <w:i/>
              </w:rPr>
              <w:t xml:space="preserve"> Provide for Gubernatorial Appointments to the Maine Charter School Commission</w:t>
            </w:r>
          </w:p>
        </w:tc>
        <w:tc>
          <w:tcPr>
            <w:tcW w:w="7265" w:type="dxa"/>
            <w:shd w:val="clear" w:color="auto" w:fill="auto"/>
          </w:tcPr>
          <w:p w14:paraId="385ED752" w14:textId="77777777" w:rsidR="00114F14" w:rsidRPr="00F33BE3" w:rsidRDefault="00114F14" w:rsidP="00CB1A47">
            <w:pPr>
              <w:pStyle w:val="ListBullet"/>
              <w:numPr>
                <w:ilvl w:val="0"/>
                <w:numId w:val="41"/>
              </w:numPr>
              <w:ind w:left="460" w:hanging="180"/>
            </w:pPr>
            <w:r w:rsidRPr="00F33BE3">
              <w:t xml:space="preserve">Establishes the appointing authority for four members of the Maine Charter School Commission from the State Board of Education to the Governor and increases the terms of those members from 3 years to 4 years.  </w:t>
            </w:r>
            <w:proofErr w:type="gramStart"/>
            <w:r w:rsidRPr="00F33BE3">
              <w:t>Also</w:t>
            </w:r>
            <w:proofErr w:type="gramEnd"/>
            <w:r w:rsidRPr="00F33BE3">
              <w:t xml:space="preserve"> those four members are subject to review by the Joint Standing Committee on Education &amp; Cultural Affairs and to confirmation by the Senate.</w:t>
            </w:r>
          </w:p>
          <w:p w14:paraId="2FDB1FA0" w14:textId="77777777" w:rsidR="00114F14" w:rsidRDefault="00114F14" w:rsidP="00CB1A47">
            <w:pPr>
              <w:pStyle w:val="ListBullet"/>
              <w:numPr>
                <w:ilvl w:val="0"/>
                <w:numId w:val="41"/>
              </w:numPr>
              <w:ind w:left="460" w:hanging="180"/>
            </w:pPr>
            <w:r w:rsidRPr="00F33BE3">
              <w:t xml:space="preserve">Retains the appointing authority of remaining three members of the Maine Charter School Commission to the State Board of Education. </w:t>
            </w:r>
          </w:p>
          <w:p w14:paraId="65C8BF23" w14:textId="101C7C59" w:rsidR="00114F14" w:rsidRPr="00510BFA" w:rsidRDefault="00114F14" w:rsidP="0043271B">
            <w:pPr>
              <w:pStyle w:val="ListBullet"/>
              <w:numPr>
                <w:ilvl w:val="0"/>
                <w:numId w:val="0"/>
              </w:numPr>
              <w:ind w:left="460"/>
            </w:pPr>
          </w:p>
        </w:tc>
        <w:tc>
          <w:tcPr>
            <w:tcW w:w="2250" w:type="dxa"/>
            <w:shd w:val="clear" w:color="auto" w:fill="auto"/>
          </w:tcPr>
          <w:p w14:paraId="61597F60" w14:textId="0AA8705A" w:rsidR="00114F14" w:rsidRPr="00433A3D" w:rsidRDefault="00114F14" w:rsidP="00CB1A47">
            <w:pPr>
              <w:rPr>
                <w:sz w:val="22"/>
                <w:szCs w:val="22"/>
              </w:rPr>
            </w:pPr>
            <w:r>
              <w:rPr>
                <w:sz w:val="22"/>
                <w:szCs w:val="22"/>
              </w:rPr>
              <w:t>September 19, 2019</w:t>
            </w:r>
          </w:p>
        </w:tc>
      </w:tr>
      <w:tr w:rsidR="00114F14" w:rsidRPr="008D72F0" w14:paraId="03E2BD44" w14:textId="77777777" w:rsidTr="00114F14">
        <w:trPr>
          <w:trHeight w:val="737"/>
        </w:trPr>
        <w:tc>
          <w:tcPr>
            <w:tcW w:w="3080" w:type="dxa"/>
            <w:shd w:val="clear" w:color="auto" w:fill="auto"/>
          </w:tcPr>
          <w:p w14:paraId="756EBB01" w14:textId="77777777" w:rsidR="00114F14" w:rsidRDefault="00114F14" w:rsidP="00CB1A47">
            <w:pPr>
              <w:rPr>
                <w:b/>
              </w:rPr>
            </w:pPr>
            <w:bookmarkStart w:id="15" w:name="_Hlk16242648"/>
            <w:r>
              <w:rPr>
                <w:b/>
              </w:rPr>
              <w:t>LD 1641, Resolve 2019, Chapter 59</w:t>
            </w:r>
          </w:p>
          <w:p w14:paraId="75E18E70" w14:textId="069C0D93" w:rsidR="00114F14" w:rsidRPr="00B70323" w:rsidRDefault="00114F14" w:rsidP="00CB1A47">
            <w:pPr>
              <w:rPr>
                <w:i/>
              </w:rPr>
            </w:pPr>
            <w:r>
              <w:rPr>
                <w:i/>
              </w:rPr>
              <w:t>R</w:t>
            </w:r>
            <w:r w:rsidRPr="00B70323">
              <w:rPr>
                <w:i/>
              </w:rPr>
              <w:t>esolve, To Examine Issues Relating to the School Transportation Workforce</w:t>
            </w:r>
          </w:p>
        </w:tc>
        <w:tc>
          <w:tcPr>
            <w:tcW w:w="7265" w:type="dxa"/>
            <w:shd w:val="clear" w:color="auto" w:fill="auto"/>
          </w:tcPr>
          <w:p w14:paraId="67BDD119" w14:textId="77777777" w:rsidR="00114F14" w:rsidRPr="002B013F" w:rsidRDefault="00114F14" w:rsidP="00CB1A47">
            <w:pPr>
              <w:pStyle w:val="ListBullet"/>
              <w:numPr>
                <w:ilvl w:val="0"/>
                <w:numId w:val="41"/>
              </w:numPr>
              <w:ind w:left="460" w:hanging="180"/>
              <w:rPr>
                <w:lang w:val="en-US"/>
              </w:rPr>
            </w:pPr>
            <w:r w:rsidRPr="002B013F">
              <w:rPr>
                <w:lang w:val="en-US"/>
              </w:rPr>
              <w:t xml:space="preserve">Directs the Department of Education, in collaboration with the Department of Labor, to comprehensively examine issues associated with the school transportation workforce, including, but not limited to, determining the best strategies for hiring, training and retaining school transportation personnel. </w:t>
            </w:r>
          </w:p>
          <w:p w14:paraId="780B8B8A" w14:textId="77777777" w:rsidR="00114F14" w:rsidRPr="002B013F" w:rsidRDefault="00114F14" w:rsidP="00CB1A47">
            <w:pPr>
              <w:pStyle w:val="ListBullet"/>
              <w:numPr>
                <w:ilvl w:val="0"/>
                <w:numId w:val="41"/>
              </w:numPr>
              <w:ind w:left="460" w:hanging="180"/>
              <w:rPr>
                <w:lang w:val="en-US"/>
              </w:rPr>
            </w:pPr>
            <w:r w:rsidRPr="002B013F">
              <w:rPr>
                <w:lang w:val="en-US"/>
              </w:rPr>
              <w:t xml:space="preserve">Requires the Department to submit a report with findings and recommendations to the Joint Standing Committees on Education &amp; Cultural Affairs and on Labor &amp; Housing. </w:t>
            </w:r>
          </w:p>
          <w:p w14:paraId="666BAF13" w14:textId="77777777" w:rsidR="00114F14" w:rsidRPr="0043271B" w:rsidRDefault="00114F14" w:rsidP="00CB1A47">
            <w:pPr>
              <w:pStyle w:val="ListBullet"/>
              <w:numPr>
                <w:ilvl w:val="0"/>
                <w:numId w:val="41"/>
              </w:numPr>
              <w:ind w:left="460" w:hanging="180"/>
            </w:pPr>
            <w:r w:rsidRPr="002B013F">
              <w:rPr>
                <w:lang w:val="en-US"/>
              </w:rPr>
              <w:t>Authorizes each Committee to report out a bill on the subject matter of the report to the 2nd Regular Session of the 129th Legislature.</w:t>
            </w:r>
          </w:p>
          <w:p w14:paraId="692243FD" w14:textId="045906EF" w:rsidR="00114F14" w:rsidRPr="002B013F" w:rsidRDefault="00114F14" w:rsidP="0043271B">
            <w:pPr>
              <w:pStyle w:val="ListBullet"/>
              <w:numPr>
                <w:ilvl w:val="0"/>
                <w:numId w:val="0"/>
              </w:numPr>
              <w:ind w:left="460"/>
            </w:pPr>
          </w:p>
        </w:tc>
        <w:tc>
          <w:tcPr>
            <w:tcW w:w="2250" w:type="dxa"/>
            <w:shd w:val="clear" w:color="auto" w:fill="auto"/>
          </w:tcPr>
          <w:p w14:paraId="4CE75D2B" w14:textId="77777777" w:rsidR="00114F14" w:rsidRDefault="00114F14" w:rsidP="00CB1A47">
            <w:pPr>
              <w:rPr>
                <w:sz w:val="22"/>
                <w:szCs w:val="22"/>
              </w:rPr>
            </w:pPr>
            <w:r>
              <w:rPr>
                <w:sz w:val="22"/>
                <w:szCs w:val="22"/>
              </w:rPr>
              <w:t>September 19, 2019</w:t>
            </w:r>
          </w:p>
          <w:p w14:paraId="65FD9D39" w14:textId="77777777" w:rsidR="00114F14" w:rsidRDefault="00114F14" w:rsidP="00CB1A47">
            <w:pPr>
              <w:rPr>
                <w:sz w:val="22"/>
                <w:szCs w:val="22"/>
              </w:rPr>
            </w:pPr>
          </w:p>
          <w:p w14:paraId="14B10F8C" w14:textId="77777777" w:rsidR="00114F14" w:rsidRDefault="00114F14" w:rsidP="00CB1A47">
            <w:pPr>
              <w:rPr>
                <w:sz w:val="22"/>
                <w:szCs w:val="22"/>
              </w:rPr>
            </w:pPr>
          </w:p>
          <w:p w14:paraId="629730ED" w14:textId="17CA165E" w:rsidR="00114F14" w:rsidRPr="00433A3D" w:rsidRDefault="00114F14" w:rsidP="00CB1A47">
            <w:pPr>
              <w:rPr>
                <w:sz w:val="22"/>
                <w:szCs w:val="22"/>
              </w:rPr>
            </w:pPr>
            <w:r>
              <w:rPr>
                <w:sz w:val="22"/>
                <w:szCs w:val="22"/>
              </w:rPr>
              <w:t>Department to submit report to Joint Standing Committee on Education &amp; Cultural Affairs by January 1, 2020.</w:t>
            </w:r>
          </w:p>
        </w:tc>
      </w:tr>
      <w:bookmarkEnd w:id="15"/>
      <w:tr w:rsidR="00114F14" w:rsidRPr="008D72F0" w14:paraId="6AEDC808" w14:textId="77777777" w:rsidTr="00114F14">
        <w:trPr>
          <w:trHeight w:val="737"/>
        </w:trPr>
        <w:tc>
          <w:tcPr>
            <w:tcW w:w="3080" w:type="dxa"/>
            <w:shd w:val="clear" w:color="auto" w:fill="auto"/>
          </w:tcPr>
          <w:p w14:paraId="39741E9B" w14:textId="77777777" w:rsidR="00114F14" w:rsidRDefault="00114F14" w:rsidP="00CB1A47">
            <w:pPr>
              <w:rPr>
                <w:b/>
              </w:rPr>
            </w:pPr>
            <w:r>
              <w:rPr>
                <w:b/>
              </w:rPr>
              <w:t>LD 1643, Public Law 2019, Chapter 212</w:t>
            </w:r>
          </w:p>
          <w:p w14:paraId="4587C56B" w14:textId="188357EE" w:rsidR="00114F14" w:rsidRPr="00C330DE" w:rsidRDefault="00114F14" w:rsidP="00CB1A47">
            <w:pPr>
              <w:rPr>
                <w:i/>
              </w:rPr>
            </w:pPr>
            <w:r w:rsidRPr="00C330DE">
              <w:rPr>
                <w:i/>
              </w:rPr>
              <w:t xml:space="preserve">An Act </w:t>
            </w:r>
            <w:proofErr w:type="gramStart"/>
            <w:r w:rsidRPr="00C330DE">
              <w:rPr>
                <w:i/>
              </w:rPr>
              <w:t>To</w:t>
            </w:r>
            <w:proofErr w:type="gramEnd"/>
            <w:r w:rsidRPr="00C330DE">
              <w:rPr>
                <w:i/>
              </w:rPr>
              <w:t xml:space="preserve"> Establish Municipal Cost Components for Unorganized Territory Services To Be Rendered in Fiscal Year 2019-20 (EMERGENCY)</w:t>
            </w:r>
          </w:p>
        </w:tc>
        <w:tc>
          <w:tcPr>
            <w:tcW w:w="7265" w:type="dxa"/>
            <w:shd w:val="clear" w:color="auto" w:fill="auto"/>
          </w:tcPr>
          <w:p w14:paraId="6D533828" w14:textId="2F954148" w:rsidR="00114F14" w:rsidRPr="002B013F" w:rsidRDefault="00114F14" w:rsidP="00CB1A47">
            <w:pPr>
              <w:pStyle w:val="ListBullet"/>
              <w:numPr>
                <w:ilvl w:val="0"/>
                <w:numId w:val="9"/>
              </w:numPr>
              <w:ind w:left="460" w:hanging="180"/>
            </w:pPr>
            <w:r w:rsidRPr="002B013F">
              <w:t>Establishes the municipal cost components for state and county services, including education in the unorganized territory, provided to the unorganized territory that would be paid for by a municipality in FY 2019-20. The municipal cost components constitute the property tax for the unorganized territory.</w:t>
            </w:r>
          </w:p>
          <w:p w14:paraId="04AD65A1" w14:textId="5A9BAEA4" w:rsidR="00114F14" w:rsidRPr="002B013F" w:rsidRDefault="00114F14" w:rsidP="00CB1A47">
            <w:pPr>
              <w:pStyle w:val="ListBullet"/>
              <w:numPr>
                <w:ilvl w:val="0"/>
                <w:numId w:val="9"/>
              </w:numPr>
              <w:ind w:left="432" w:hanging="187"/>
            </w:pPr>
            <w:r w:rsidRPr="002B013F">
              <w:t xml:space="preserve">The cost component for Education in the Unorganized Territory (EUT) for 2019-20 is $12,851,922. </w:t>
            </w:r>
          </w:p>
        </w:tc>
        <w:tc>
          <w:tcPr>
            <w:tcW w:w="2250" w:type="dxa"/>
            <w:shd w:val="clear" w:color="auto" w:fill="auto"/>
          </w:tcPr>
          <w:p w14:paraId="0B20771B" w14:textId="4647E88D" w:rsidR="00114F14" w:rsidRPr="00433A3D" w:rsidRDefault="00114F14" w:rsidP="00CB1A47">
            <w:pPr>
              <w:rPr>
                <w:sz w:val="22"/>
                <w:szCs w:val="22"/>
              </w:rPr>
            </w:pPr>
            <w:r>
              <w:rPr>
                <w:sz w:val="22"/>
                <w:szCs w:val="22"/>
              </w:rPr>
              <w:t>June 6, 2019</w:t>
            </w:r>
          </w:p>
        </w:tc>
      </w:tr>
      <w:tr w:rsidR="00114F14" w:rsidRPr="008D72F0" w14:paraId="1129BB47" w14:textId="77777777" w:rsidTr="00114F14">
        <w:trPr>
          <w:trHeight w:val="737"/>
        </w:trPr>
        <w:tc>
          <w:tcPr>
            <w:tcW w:w="3080" w:type="dxa"/>
            <w:shd w:val="clear" w:color="auto" w:fill="auto"/>
          </w:tcPr>
          <w:p w14:paraId="6F89334B" w14:textId="77777777" w:rsidR="00114F14" w:rsidRDefault="00114F14" w:rsidP="00CB1A47">
            <w:pPr>
              <w:rPr>
                <w:b/>
              </w:rPr>
            </w:pPr>
            <w:r>
              <w:rPr>
                <w:b/>
              </w:rPr>
              <w:t>LD 1685, Public Law 2019, Chapter 447</w:t>
            </w:r>
          </w:p>
          <w:p w14:paraId="552A122A" w14:textId="4DD901EF" w:rsidR="00114F14" w:rsidRPr="007F646C" w:rsidRDefault="00114F14" w:rsidP="00CB1A47">
            <w:pPr>
              <w:rPr>
                <w:i/>
              </w:rPr>
            </w:pPr>
            <w:r w:rsidRPr="007F646C">
              <w:rPr>
                <w:i/>
              </w:rPr>
              <w:t xml:space="preserve">An Act </w:t>
            </w:r>
            <w:proofErr w:type="gramStart"/>
            <w:r w:rsidRPr="007F646C">
              <w:rPr>
                <w:i/>
              </w:rPr>
              <w:t>To</w:t>
            </w:r>
            <w:proofErr w:type="gramEnd"/>
            <w:r w:rsidRPr="007F646C">
              <w:rPr>
                <w:i/>
              </w:rPr>
              <w:t xml:space="preserve"> Facilitate Entry of Immigrants into the Workforce</w:t>
            </w:r>
          </w:p>
        </w:tc>
        <w:tc>
          <w:tcPr>
            <w:tcW w:w="7265" w:type="dxa"/>
            <w:shd w:val="clear" w:color="auto" w:fill="auto"/>
          </w:tcPr>
          <w:p w14:paraId="086B8703" w14:textId="5B0556B3" w:rsidR="00114F14" w:rsidRDefault="00114F14" w:rsidP="00CB1A47">
            <w:pPr>
              <w:pStyle w:val="ListBullet"/>
              <w:numPr>
                <w:ilvl w:val="0"/>
                <w:numId w:val="41"/>
              </w:numPr>
              <w:ind w:left="460" w:hanging="180"/>
              <w:rPr>
                <w:lang w:val="en-US"/>
              </w:rPr>
            </w:pPr>
            <w:r>
              <w:rPr>
                <w:lang w:val="en-US"/>
              </w:rPr>
              <w:t>E</w:t>
            </w:r>
            <w:r w:rsidRPr="0095514F">
              <w:rPr>
                <w:lang w:val="en-US"/>
              </w:rPr>
              <w:t>stablishes and provides funding for the Foreign Credentialing and Skills Recognition Revolving Loan Program to be administered by the Finance Authority of Maine</w:t>
            </w:r>
            <w:r>
              <w:rPr>
                <w:lang w:val="en-US"/>
              </w:rPr>
              <w:t xml:space="preserve"> (FAME).</w:t>
            </w:r>
          </w:p>
          <w:p w14:paraId="4A07B983" w14:textId="5374ABD9" w:rsidR="00114F14" w:rsidRPr="00510BFA" w:rsidRDefault="00114F14" w:rsidP="00CB1A47">
            <w:pPr>
              <w:pStyle w:val="ListBullet"/>
              <w:numPr>
                <w:ilvl w:val="0"/>
                <w:numId w:val="41"/>
              </w:numPr>
              <w:ind w:left="460" w:hanging="180"/>
            </w:pPr>
            <w:r w:rsidRPr="00B361EA">
              <w:rPr>
                <w:lang w:val="en-US"/>
              </w:rPr>
              <w:t>Authorizes FAME to provide interest-free loans to foreign educated or foreign-trained, experienced immigrants who need assistance while awaiting federal employment authorization to pay the costs of certain actions and activities that will improve their work-readiness once they receive their work permits.</w:t>
            </w:r>
          </w:p>
        </w:tc>
        <w:tc>
          <w:tcPr>
            <w:tcW w:w="2250" w:type="dxa"/>
            <w:shd w:val="clear" w:color="auto" w:fill="auto"/>
          </w:tcPr>
          <w:p w14:paraId="2564B1C8" w14:textId="41BA0692" w:rsidR="00114F14" w:rsidRPr="00433A3D" w:rsidRDefault="00114F14" w:rsidP="00CB1A47">
            <w:pPr>
              <w:rPr>
                <w:sz w:val="22"/>
                <w:szCs w:val="22"/>
              </w:rPr>
            </w:pPr>
            <w:r>
              <w:rPr>
                <w:sz w:val="22"/>
                <w:szCs w:val="22"/>
              </w:rPr>
              <w:t>September 19, 2019</w:t>
            </w:r>
          </w:p>
        </w:tc>
      </w:tr>
      <w:tr w:rsidR="00114F14" w:rsidRPr="008D72F0" w14:paraId="2E5EE286" w14:textId="77777777" w:rsidTr="00114F14">
        <w:trPr>
          <w:trHeight w:val="737"/>
        </w:trPr>
        <w:tc>
          <w:tcPr>
            <w:tcW w:w="3080" w:type="dxa"/>
            <w:shd w:val="clear" w:color="auto" w:fill="auto"/>
          </w:tcPr>
          <w:p w14:paraId="7ED46B19" w14:textId="77777777" w:rsidR="00114F14" w:rsidRDefault="00114F14" w:rsidP="00CB1A47">
            <w:pPr>
              <w:rPr>
                <w:b/>
              </w:rPr>
            </w:pPr>
            <w:r>
              <w:rPr>
                <w:b/>
              </w:rPr>
              <w:t>LD 1701, Public Law 2019,</w:t>
            </w:r>
          </w:p>
          <w:p w14:paraId="05F010CE" w14:textId="77777777" w:rsidR="00114F14" w:rsidRDefault="00114F14" w:rsidP="00CB1A47">
            <w:pPr>
              <w:rPr>
                <w:b/>
              </w:rPr>
            </w:pPr>
            <w:r>
              <w:rPr>
                <w:b/>
              </w:rPr>
              <w:t>Chapter 464</w:t>
            </w:r>
          </w:p>
          <w:p w14:paraId="55B47B46" w14:textId="7D7867F5" w:rsidR="00114F14" w:rsidRPr="00731467" w:rsidRDefault="00114F14" w:rsidP="00CB1A47">
            <w:pPr>
              <w:rPr>
                <w:i/>
              </w:rPr>
            </w:pPr>
            <w:r w:rsidRPr="00731467">
              <w:rPr>
                <w:i/>
              </w:rPr>
              <w:t xml:space="preserve">An Act </w:t>
            </w:r>
            <w:proofErr w:type="gramStart"/>
            <w:r w:rsidRPr="00731467">
              <w:rPr>
                <w:i/>
              </w:rPr>
              <w:t>To</w:t>
            </w:r>
            <w:proofErr w:type="gramEnd"/>
            <w:r w:rsidRPr="00731467">
              <w:rPr>
                <w:i/>
              </w:rPr>
              <w:t xml:space="preserve"> Clarify Various Provisions of the Maine Human Rights Act</w:t>
            </w:r>
          </w:p>
        </w:tc>
        <w:tc>
          <w:tcPr>
            <w:tcW w:w="7265" w:type="dxa"/>
            <w:shd w:val="clear" w:color="auto" w:fill="auto"/>
          </w:tcPr>
          <w:p w14:paraId="7109DAF3" w14:textId="77777777" w:rsidR="00114F14" w:rsidRPr="008E1DB4" w:rsidRDefault="00114F14" w:rsidP="00CB1A47">
            <w:pPr>
              <w:pStyle w:val="ListBullet"/>
              <w:numPr>
                <w:ilvl w:val="0"/>
                <w:numId w:val="41"/>
              </w:numPr>
              <w:ind w:left="460" w:hanging="180"/>
              <w:rPr>
                <w:lang w:val="en-US"/>
              </w:rPr>
            </w:pPr>
            <w:r w:rsidRPr="008E1DB4">
              <w:t xml:space="preserve">Amends the Maine Human Rights Act </w:t>
            </w:r>
            <w:proofErr w:type="gramStart"/>
            <w:r w:rsidRPr="008E1DB4">
              <w:t>in order to</w:t>
            </w:r>
            <w:proofErr w:type="gramEnd"/>
            <w:r w:rsidRPr="008E1DB4">
              <w:t xml:space="preserve"> clarify its proper application and interpretation.</w:t>
            </w:r>
          </w:p>
          <w:p w14:paraId="22217D76" w14:textId="77777777" w:rsidR="00114F14" w:rsidRPr="008E1DB4" w:rsidRDefault="00114F14" w:rsidP="00CB1A47">
            <w:pPr>
              <w:pStyle w:val="ListBullet"/>
              <w:numPr>
                <w:ilvl w:val="0"/>
                <w:numId w:val="41"/>
              </w:numPr>
              <w:ind w:left="460" w:hanging="180"/>
            </w:pPr>
            <w:r w:rsidRPr="008E1DB4">
              <w:rPr>
                <w:lang w:val="en-US"/>
              </w:rPr>
              <w:t>Defines "Gender identity" to mean the gender-related identity, appearance, mannerisms or other gender-related characteristics of an individual, regardless of the individual's assigned sex at birth.</w:t>
            </w:r>
          </w:p>
          <w:p w14:paraId="07EA0034" w14:textId="0A22C3CF" w:rsidR="00114F14" w:rsidRPr="00510BFA" w:rsidRDefault="00114F14" w:rsidP="00CB1A47">
            <w:pPr>
              <w:pStyle w:val="ListBullet"/>
              <w:numPr>
                <w:ilvl w:val="0"/>
                <w:numId w:val="41"/>
              </w:numPr>
              <w:ind w:left="460" w:hanging="180"/>
            </w:pPr>
            <w:r>
              <w:t xml:space="preserve">Makes </w:t>
            </w:r>
            <w:r w:rsidRPr="008E1DB4">
              <w:t xml:space="preserve">unlawful to designate a single-occupancy toilet facility as for use only by members of one sex. A single occupancy toilet facility may be identified by a sign, </w:t>
            </w:r>
            <w:proofErr w:type="gramStart"/>
            <w:r w:rsidRPr="008E1DB4">
              <w:t>as long as</w:t>
            </w:r>
            <w:proofErr w:type="gramEnd"/>
            <w:r w:rsidRPr="008E1DB4">
              <w:t xml:space="preserve"> the sign does not indicate that the facility is for use by members of one specific sex.</w:t>
            </w:r>
          </w:p>
        </w:tc>
        <w:tc>
          <w:tcPr>
            <w:tcW w:w="2250" w:type="dxa"/>
            <w:shd w:val="clear" w:color="auto" w:fill="auto"/>
          </w:tcPr>
          <w:p w14:paraId="37168137" w14:textId="463CEDBC" w:rsidR="00114F14" w:rsidRPr="00433A3D" w:rsidRDefault="00114F14" w:rsidP="00CB1A47">
            <w:pPr>
              <w:rPr>
                <w:sz w:val="22"/>
                <w:szCs w:val="22"/>
              </w:rPr>
            </w:pPr>
            <w:r>
              <w:rPr>
                <w:sz w:val="22"/>
                <w:szCs w:val="22"/>
              </w:rPr>
              <w:t>September 19, 2019</w:t>
            </w:r>
          </w:p>
        </w:tc>
      </w:tr>
      <w:tr w:rsidR="00114F14" w:rsidRPr="008D72F0" w14:paraId="4073A74F" w14:textId="77777777" w:rsidTr="00114F14">
        <w:trPr>
          <w:trHeight w:val="737"/>
        </w:trPr>
        <w:tc>
          <w:tcPr>
            <w:tcW w:w="3080" w:type="dxa"/>
            <w:shd w:val="clear" w:color="auto" w:fill="auto"/>
          </w:tcPr>
          <w:p w14:paraId="31477D0C" w14:textId="77777777" w:rsidR="00114F14" w:rsidRDefault="00114F14" w:rsidP="00CB1A47">
            <w:pPr>
              <w:rPr>
                <w:b/>
              </w:rPr>
            </w:pPr>
            <w:r>
              <w:rPr>
                <w:b/>
              </w:rPr>
              <w:t>LD 1702, Public Law 2019, Chapter 465</w:t>
            </w:r>
          </w:p>
          <w:p w14:paraId="3A2A1CAF" w14:textId="15D9B7E0" w:rsidR="00114F14" w:rsidRPr="00731467" w:rsidRDefault="00114F14" w:rsidP="00CB1A47">
            <w:pPr>
              <w:rPr>
                <w:i/>
              </w:rPr>
            </w:pPr>
            <w:r w:rsidRPr="00731467">
              <w:rPr>
                <w:i/>
              </w:rPr>
              <w:t xml:space="preserve">An Act </w:t>
            </w:r>
            <w:proofErr w:type="gramStart"/>
            <w:r w:rsidRPr="00731467">
              <w:rPr>
                <w:i/>
              </w:rPr>
              <w:t>To</w:t>
            </w:r>
            <w:proofErr w:type="gramEnd"/>
            <w:r w:rsidRPr="00731467">
              <w:rPr>
                <w:i/>
              </w:rPr>
              <w:t xml:space="preserve"> Enhance the Administration of the Maine Human Rights Act</w:t>
            </w:r>
          </w:p>
        </w:tc>
        <w:tc>
          <w:tcPr>
            <w:tcW w:w="7265" w:type="dxa"/>
            <w:shd w:val="clear" w:color="auto" w:fill="auto"/>
          </w:tcPr>
          <w:p w14:paraId="7CCCFEBC" w14:textId="77777777" w:rsidR="00114F14" w:rsidRDefault="00114F14" w:rsidP="00CB1A47">
            <w:pPr>
              <w:pStyle w:val="ListBullet"/>
              <w:numPr>
                <w:ilvl w:val="0"/>
                <w:numId w:val="41"/>
              </w:numPr>
              <w:ind w:left="460" w:hanging="180"/>
              <w:rPr>
                <w:lang w:val="en-US"/>
              </w:rPr>
            </w:pPr>
            <w:r>
              <w:t>Amends the Maine Human Rights Act to improve processing and investigating complaints.</w:t>
            </w:r>
          </w:p>
          <w:p w14:paraId="5F557711" w14:textId="2D840A9D" w:rsidR="00114F14" w:rsidRDefault="00114F14" w:rsidP="00CB1A47">
            <w:pPr>
              <w:pStyle w:val="ListBullet"/>
              <w:numPr>
                <w:ilvl w:val="0"/>
                <w:numId w:val="41"/>
              </w:numPr>
              <w:ind w:left="460" w:hanging="180"/>
              <w:rPr>
                <w:lang w:val="en-US"/>
              </w:rPr>
            </w:pPr>
            <w:r>
              <w:rPr>
                <w:lang w:val="en-US"/>
              </w:rPr>
              <w:t xml:space="preserve">Clarifies that certain information obtained </w:t>
            </w:r>
            <w:r w:rsidRPr="000425E6">
              <w:rPr>
                <w:lang w:val="en-US"/>
              </w:rPr>
              <w:t>during t</w:t>
            </w:r>
            <w:r>
              <w:rPr>
                <w:lang w:val="en-US"/>
              </w:rPr>
              <w:t>he</w:t>
            </w:r>
            <w:r w:rsidRPr="000425E6">
              <w:rPr>
                <w:lang w:val="en-US"/>
              </w:rPr>
              <w:t xml:space="preserve"> investigation of a complain</w:t>
            </w:r>
            <w:r>
              <w:rPr>
                <w:lang w:val="en-US"/>
              </w:rPr>
              <w:t>t of an act of unlawful discrimination</w:t>
            </w:r>
            <w:r w:rsidRPr="000425E6">
              <w:rPr>
                <w:lang w:val="en-US"/>
              </w:rPr>
              <w:t xml:space="preserve"> is confidential and may not be disclosed except to the parties to a complaint, the </w:t>
            </w:r>
            <w:r>
              <w:rPr>
                <w:lang w:val="en-US"/>
              </w:rPr>
              <w:t>Maine Human Right Com</w:t>
            </w:r>
            <w:r w:rsidRPr="000425E6">
              <w:rPr>
                <w:lang w:val="en-US"/>
              </w:rPr>
              <w:t>mission and its federal partner agencies or in a subsequent civil or criminal legal action</w:t>
            </w:r>
            <w:r>
              <w:rPr>
                <w:lang w:val="en-US"/>
              </w:rPr>
              <w:t>.</w:t>
            </w:r>
          </w:p>
          <w:p w14:paraId="6CC5C248" w14:textId="0C00B98F" w:rsidR="00114F14" w:rsidRDefault="00114F14" w:rsidP="00CB1A47">
            <w:pPr>
              <w:pStyle w:val="ListBullet"/>
              <w:numPr>
                <w:ilvl w:val="0"/>
                <w:numId w:val="41"/>
              </w:numPr>
              <w:ind w:left="460" w:hanging="180"/>
            </w:pPr>
            <w:r>
              <w:t>Authorizes the executive director of the Commission to administratively dismiss a complaint brought under the Act for specified reasons.</w:t>
            </w:r>
          </w:p>
          <w:p w14:paraId="7C9B4ACD" w14:textId="62217BE0" w:rsidR="00114F14" w:rsidRPr="00510BFA" w:rsidRDefault="00114F14" w:rsidP="00CB1A47">
            <w:pPr>
              <w:pStyle w:val="ListBullet"/>
              <w:numPr>
                <w:ilvl w:val="0"/>
                <w:numId w:val="41"/>
              </w:numPr>
              <w:ind w:left="460" w:hanging="180"/>
            </w:pPr>
            <w:r>
              <w:t>Prohibits the awarding of attorney's fees and costs to the Commission and specifies that the Commission is not liable to pay attorney's fees and costs of another party.</w:t>
            </w:r>
          </w:p>
        </w:tc>
        <w:tc>
          <w:tcPr>
            <w:tcW w:w="2250" w:type="dxa"/>
            <w:shd w:val="clear" w:color="auto" w:fill="auto"/>
          </w:tcPr>
          <w:p w14:paraId="6C918385" w14:textId="3C22E144" w:rsidR="00114F14" w:rsidRPr="00433A3D" w:rsidRDefault="00114F14" w:rsidP="00CB1A47">
            <w:pPr>
              <w:rPr>
                <w:sz w:val="22"/>
                <w:szCs w:val="22"/>
              </w:rPr>
            </w:pPr>
            <w:r>
              <w:rPr>
                <w:sz w:val="22"/>
                <w:szCs w:val="22"/>
              </w:rPr>
              <w:t>September 19, 2019</w:t>
            </w:r>
          </w:p>
        </w:tc>
      </w:tr>
      <w:tr w:rsidR="00114F14" w:rsidRPr="008D72F0" w14:paraId="2019B847" w14:textId="77777777" w:rsidTr="00114F14">
        <w:trPr>
          <w:trHeight w:val="737"/>
        </w:trPr>
        <w:tc>
          <w:tcPr>
            <w:tcW w:w="3080" w:type="dxa"/>
            <w:shd w:val="clear" w:color="auto" w:fill="auto"/>
          </w:tcPr>
          <w:p w14:paraId="5737373C" w14:textId="25A80C5A" w:rsidR="00114F14" w:rsidRDefault="00114F14" w:rsidP="00CB1A47">
            <w:pPr>
              <w:rPr>
                <w:b/>
              </w:rPr>
            </w:pPr>
            <w:r>
              <w:rPr>
                <w:b/>
              </w:rPr>
              <w:t>LD 1751, Public Law 2019, Chapter 284</w:t>
            </w:r>
          </w:p>
          <w:p w14:paraId="44D088D4" w14:textId="5401E6E5" w:rsidR="00114F14" w:rsidRPr="007B0EBA" w:rsidRDefault="00114F14" w:rsidP="00CB1A47">
            <w:pPr>
              <w:rPr>
                <w:i/>
              </w:rPr>
            </w:pPr>
            <w:r w:rsidRPr="007B0EBA">
              <w:rPr>
                <w:i/>
              </w:rPr>
              <w:t xml:space="preserve">An Act </w:t>
            </w:r>
            <w:proofErr w:type="gramStart"/>
            <w:r w:rsidRPr="007B0EBA">
              <w:rPr>
                <w:i/>
              </w:rPr>
              <w:t>To</w:t>
            </w:r>
            <w:proofErr w:type="gramEnd"/>
            <w:r w:rsidRPr="007B0EBA">
              <w:rPr>
                <w:i/>
              </w:rPr>
              <w:t xml:space="preserve"> Amend and Clarify the Laws Concerning American Sign Language Interpreters</w:t>
            </w:r>
          </w:p>
        </w:tc>
        <w:tc>
          <w:tcPr>
            <w:tcW w:w="7265" w:type="dxa"/>
            <w:shd w:val="clear" w:color="auto" w:fill="auto"/>
          </w:tcPr>
          <w:p w14:paraId="301166C7" w14:textId="77777777" w:rsidR="00114F14" w:rsidRPr="00026519" w:rsidRDefault="00114F14" w:rsidP="00CB1A47">
            <w:pPr>
              <w:pStyle w:val="ListBullet"/>
              <w:numPr>
                <w:ilvl w:val="0"/>
                <w:numId w:val="41"/>
              </w:numPr>
              <w:ind w:left="460" w:hanging="180"/>
            </w:pPr>
            <w:r w:rsidRPr="00026519">
              <w:rPr>
                <w:lang w:val="en-US"/>
              </w:rPr>
              <w:t xml:space="preserve">Amends the laws governing American Sign Language interpreters to update educational requirements, remove the </w:t>
            </w:r>
            <w:proofErr w:type="spellStart"/>
            <w:r w:rsidRPr="00026519">
              <w:rPr>
                <w:lang w:val="en-US"/>
              </w:rPr>
              <w:t>transliterator</w:t>
            </w:r>
            <w:proofErr w:type="spellEnd"/>
            <w:r w:rsidRPr="00026519">
              <w:rPr>
                <w:lang w:val="en-US"/>
              </w:rPr>
              <w:t xml:space="preserve"> license category, remove the limited license category, establish a new conditional license category, and clarify continuing education requirements</w:t>
            </w:r>
          </w:p>
          <w:p w14:paraId="0F1DFBEB" w14:textId="77777777" w:rsidR="00114F14" w:rsidRPr="00510BFA" w:rsidRDefault="00114F14" w:rsidP="00CB1A47">
            <w:pPr>
              <w:pStyle w:val="ListBullet"/>
              <w:numPr>
                <w:ilvl w:val="0"/>
                <w:numId w:val="0"/>
              </w:numPr>
              <w:ind w:left="280"/>
            </w:pPr>
          </w:p>
        </w:tc>
        <w:tc>
          <w:tcPr>
            <w:tcW w:w="2250" w:type="dxa"/>
            <w:shd w:val="clear" w:color="auto" w:fill="auto"/>
          </w:tcPr>
          <w:p w14:paraId="0C56241E" w14:textId="1745D40D" w:rsidR="00114F14" w:rsidRPr="00433A3D" w:rsidRDefault="00114F14" w:rsidP="00CB1A47">
            <w:pPr>
              <w:rPr>
                <w:sz w:val="22"/>
                <w:szCs w:val="22"/>
              </w:rPr>
            </w:pPr>
            <w:r>
              <w:rPr>
                <w:sz w:val="22"/>
                <w:szCs w:val="22"/>
              </w:rPr>
              <w:t>September 19, 2019</w:t>
            </w:r>
          </w:p>
        </w:tc>
      </w:tr>
      <w:tr w:rsidR="00114F14" w:rsidRPr="008D72F0" w14:paraId="55601CA4" w14:textId="77777777" w:rsidTr="00114F14">
        <w:trPr>
          <w:trHeight w:val="737"/>
        </w:trPr>
        <w:tc>
          <w:tcPr>
            <w:tcW w:w="3080" w:type="dxa"/>
            <w:shd w:val="clear" w:color="auto" w:fill="auto"/>
          </w:tcPr>
          <w:p w14:paraId="527AF6FF" w14:textId="77777777" w:rsidR="00114F14" w:rsidRDefault="00114F14" w:rsidP="00CB1A47">
            <w:pPr>
              <w:rPr>
                <w:b/>
              </w:rPr>
            </w:pPr>
            <w:r>
              <w:rPr>
                <w:b/>
              </w:rPr>
              <w:t>LD 1753, Private &amp; Special Law 2019, Chapter 11</w:t>
            </w:r>
          </w:p>
          <w:p w14:paraId="64D69DB3" w14:textId="40018A41" w:rsidR="00114F14" w:rsidRPr="007B0EBA" w:rsidRDefault="00114F14" w:rsidP="00CB1A47">
            <w:pPr>
              <w:rPr>
                <w:i/>
              </w:rPr>
            </w:pPr>
            <w:r w:rsidRPr="007B0EBA">
              <w:rPr>
                <w:i/>
              </w:rPr>
              <w:t>An Act Amending the Charter of the Boothbay-Boothbay Harbor Community School District</w:t>
            </w:r>
          </w:p>
        </w:tc>
        <w:tc>
          <w:tcPr>
            <w:tcW w:w="7265" w:type="dxa"/>
            <w:shd w:val="clear" w:color="auto" w:fill="auto"/>
          </w:tcPr>
          <w:p w14:paraId="2B49DB68" w14:textId="77777777" w:rsidR="00114F14" w:rsidRPr="00C41E1F" w:rsidRDefault="00114F14" w:rsidP="00CB1A47">
            <w:pPr>
              <w:pStyle w:val="ListBullet"/>
              <w:numPr>
                <w:ilvl w:val="0"/>
                <w:numId w:val="41"/>
              </w:numPr>
              <w:ind w:left="460" w:hanging="180"/>
              <w:rPr>
                <w:lang w:val="en-US"/>
              </w:rPr>
            </w:pPr>
            <w:r w:rsidRPr="00C41E1F">
              <w:rPr>
                <w:lang w:val="en-US"/>
              </w:rPr>
              <w:t>Requires that bond issues in the principal amount of $250,000 or greater go to a referendum vote.</w:t>
            </w:r>
          </w:p>
          <w:p w14:paraId="4B72EA50" w14:textId="77777777" w:rsidR="00114F14" w:rsidRPr="00C41E1F" w:rsidRDefault="00114F14" w:rsidP="00CB1A47">
            <w:pPr>
              <w:pStyle w:val="ListBullet"/>
              <w:numPr>
                <w:ilvl w:val="0"/>
                <w:numId w:val="41"/>
              </w:numPr>
              <w:ind w:left="460" w:hanging="180"/>
              <w:rPr>
                <w:lang w:val="en-US"/>
              </w:rPr>
            </w:pPr>
            <w:r w:rsidRPr="00C41E1F">
              <w:rPr>
                <w:lang w:val="en-US"/>
              </w:rPr>
              <w:t>Adds a competitive bidding requirement for district procurements of $20,000 or greater.</w:t>
            </w:r>
          </w:p>
          <w:p w14:paraId="186CC8FA" w14:textId="4BA465CC" w:rsidR="00114F14" w:rsidRPr="00C41E1F" w:rsidRDefault="00114F14" w:rsidP="00CB1A47">
            <w:pPr>
              <w:pStyle w:val="ListBullet"/>
              <w:numPr>
                <w:ilvl w:val="0"/>
                <w:numId w:val="41"/>
              </w:numPr>
              <w:ind w:left="460" w:hanging="180"/>
              <w:rPr>
                <w:lang w:val="en-US"/>
              </w:rPr>
            </w:pPr>
            <w:r w:rsidRPr="00C41E1F">
              <w:rPr>
                <w:lang w:val="en-US"/>
              </w:rPr>
              <w:t>Increases the cap to the set-aside to the capital reserve fund to be up to $140,000 for FY 2020.  For each fiscal year after it must be the greater of the previous year’s allocation or that year’s allocation adjusted by the percentage change in the Consumer Price Index for the most recently concluded calendar year.</w:t>
            </w:r>
          </w:p>
        </w:tc>
        <w:tc>
          <w:tcPr>
            <w:tcW w:w="2250" w:type="dxa"/>
            <w:shd w:val="clear" w:color="auto" w:fill="auto"/>
          </w:tcPr>
          <w:p w14:paraId="2066D658" w14:textId="07D80505" w:rsidR="00114F14" w:rsidRPr="00433A3D" w:rsidRDefault="00114F14" w:rsidP="00CB1A47">
            <w:pPr>
              <w:rPr>
                <w:sz w:val="22"/>
                <w:szCs w:val="22"/>
              </w:rPr>
            </w:pPr>
            <w:r>
              <w:rPr>
                <w:sz w:val="22"/>
                <w:szCs w:val="22"/>
              </w:rPr>
              <w:t>September 19, 2019</w:t>
            </w:r>
          </w:p>
        </w:tc>
      </w:tr>
      <w:tr w:rsidR="00114F14" w:rsidRPr="008D72F0" w14:paraId="21975350" w14:textId="77777777" w:rsidTr="00114F14">
        <w:trPr>
          <w:trHeight w:val="737"/>
        </w:trPr>
        <w:tc>
          <w:tcPr>
            <w:tcW w:w="3080" w:type="dxa"/>
            <w:shd w:val="clear" w:color="auto" w:fill="auto"/>
          </w:tcPr>
          <w:p w14:paraId="7BC39AB7" w14:textId="77777777" w:rsidR="00114F14" w:rsidRDefault="00114F14" w:rsidP="00CB1A47">
            <w:pPr>
              <w:rPr>
                <w:b/>
              </w:rPr>
            </w:pPr>
            <w:r>
              <w:rPr>
                <w:b/>
              </w:rPr>
              <w:t>LD 1765, Public Law 2019, Chapter 372</w:t>
            </w:r>
          </w:p>
          <w:p w14:paraId="5B0E5357" w14:textId="044215FC" w:rsidR="00114F14" w:rsidRPr="007B0EBA" w:rsidRDefault="00114F14" w:rsidP="00CB1A47">
            <w:pPr>
              <w:rPr>
                <w:i/>
              </w:rPr>
            </w:pPr>
            <w:r w:rsidRPr="007B0EBA">
              <w:rPr>
                <w:i/>
              </w:rPr>
              <w:t xml:space="preserve">An Act </w:t>
            </w:r>
            <w:proofErr w:type="gramStart"/>
            <w:r w:rsidRPr="007B0EBA">
              <w:rPr>
                <w:i/>
              </w:rPr>
              <w:t>To</w:t>
            </w:r>
            <w:proofErr w:type="gramEnd"/>
            <w:r w:rsidRPr="007B0EBA">
              <w:rPr>
                <w:i/>
              </w:rPr>
              <w:t xml:space="preserve"> Expand and Clarify the Prohibition of Hazing at Elementary Schools, Secondary Schools and Postsecondary Institutions</w:t>
            </w:r>
          </w:p>
        </w:tc>
        <w:tc>
          <w:tcPr>
            <w:tcW w:w="7265" w:type="dxa"/>
            <w:shd w:val="clear" w:color="auto" w:fill="auto"/>
          </w:tcPr>
          <w:p w14:paraId="6691EF09" w14:textId="77777777" w:rsidR="00114F14" w:rsidRDefault="00114F14" w:rsidP="00CB1A47">
            <w:pPr>
              <w:pStyle w:val="ListBullet"/>
              <w:numPr>
                <w:ilvl w:val="0"/>
                <w:numId w:val="10"/>
              </w:numPr>
              <w:ind w:left="498" w:hanging="180"/>
            </w:pPr>
            <w:r>
              <w:t>Further defines in statute “injurious hazing” to include any harassing behavior that mentally or physically endangers the mental or physical health of any school personnel or student enrolled in any school in Maine.</w:t>
            </w:r>
          </w:p>
          <w:p w14:paraId="6405EDB0" w14:textId="77777777" w:rsidR="00114F14" w:rsidRDefault="00114F14" w:rsidP="00CB1A47">
            <w:pPr>
              <w:pStyle w:val="ListBullet"/>
              <w:numPr>
                <w:ilvl w:val="0"/>
                <w:numId w:val="10"/>
              </w:numPr>
              <w:ind w:left="498" w:hanging="180"/>
            </w:pPr>
            <w:r>
              <w:t>Includes any activity expected of a student as a condition of joining or maintaining membership in a group that humiliates, degrades, abuses or endangers the student regardless of the student’s willingness to participate in the activity.</w:t>
            </w:r>
          </w:p>
          <w:p w14:paraId="4FA0178E" w14:textId="7D4BE7BB" w:rsidR="00D540F9" w:rsidRPr="00510BFA" w:rsidRDefault="00D540F9" w:rsidP="00D540F9">
            <w:pPr>
              <w:pStyle w:val="ListBullet"/>
              <w:numPr>
                <w:ilvl w:val="0"/>
                <w:numId w:val="0"/>
              </w:numPr>
              <w:ind w:left="460" w:hanging="180"/>
            </w:pPr>
          </w:p>
        </w:tc>
        <w:tc>
          <w:tcPr>
            <w:tcW w:w="2250" w:type="dxa"/>
            <w:shd w:val="clear" w:color="auto" w:fill="auto"/>
          </w:tcPr>
          <w:p w14:paraId="4BB49274" w14:textId="13BE546B" w:rsidR="00114F14" w:rsidRPr="00433A3D" w:rsidRDefault="00114F14" w:rsidP="00CB1A47">
            <w:pPr>
              <w:rPr>
                <w:sz w:val="22"/>
                <w:szCs w:val="22"/>
              </w:rPr>
            </w:pPr>
            <w:r>
              <w:rPr>
                <w:sz w:val="22"/>
                <w:szCs w:val="22"/>
              </w:rPr>
              <w:t>September 19, 2019</w:t>
            </w:r>
          </w:p>
        </w:tc>
      </w:tr>
      <w:tr w:rsidR="00114F14" w:rsidRPr="008D72F0" w14:paraId="2F1C9252" w14:textId="77777777" w:rsidTr="00114F14">
        <w:trPr>
          <w:trHeight w:val="737"/>
        </w:trPr>
        <w:tc>
          <w:tcPr>
            <w:tcW w:w="3080" w:type="dxa"/>
            <w:shd w:val="clear" w:color="auto" w:fill="auto"/>
          </w:tcPr>
          <w:p w14:paraId="10D7F2F0" w14:textId="77777777" w:rsidR="00114F14" w:rsidRDefault="00114F14" w:rsidP="00CB1A47">
            <w:pPr>
              <w:rPr>
                <w:b/>
              </w:rPr>
            </w:pPr>
            <w:r>
              <w:rPr>
                <w:b/>
              </w:rPr>
              <w:t>LD 1773, Public Law 2019, Chapter 336</w:t>
            </w:r>
          </w:p>
          <w:p w14:paraId="22424D6A" w14:textId="74E12793" w:rsidR="00114F14" w:rsidRPr="00126F98" w:rsidRDefault="00114F14" w:rsidP="00CB1A47">
            <w:pPr>
              <w:rPr>
                <w:i/>
              </w:rPr>
            </w:pPr>
            <w:r w:rsidRPr="00126F98">
              <w:rPr>
                <w:i/>
              </w:rPr>
              <w:t xml:space="preserve">An Act </w:t>
            </w:r>
            <w:proofErr w:type="gramStart"/>
            <w:r w:rsidRPr="00126F98">
              <w:rPr>
                <w:i/>
              </w:rPr>
              <w:t>To</w:t>
            </w:r>
            <w:proofErr w:type="gramEnd"/>
            <w:r w:rsidRPr="00126F98">
              <w:rPr>
                <w:i/>
              </w:rPr>
              <w:t xml:space="preserve"> Clarify Bonding Authority for School Management and Leadership Centers</w:t>
            </w:r>
          </w:p>
        </w:tc>
        <w:tc>
          <w:tcPr>
            <w:tcW w:w="7265" w:type="dxa"/>
            <w:shd w:val="clear" w:color="auto" w:fill="auto"/>
          </w:tcPr>
          <w:p w14:paraId="52CEC2F1" w14:textId="77777777" w:rsidR="00114F14" w:rsidRDefault="00114F14" w:rsidP="00CB1A47">
            <w:pPr>
              <w:pStyle w:val="ListBullet"/>
              <w:numPr>
                <w:ilvl w:val="0"/>
                <w:numId w:val="41"/>
              </w:numPr>
              <w:ind w:left="460" w:hanging="180"/>
            </w:pPr>
            <w:r>
              <w:t xml:space="preserve">Provides the provisions necessary to implement existing statutory authority of “school management and leadership centers” (“education service center” pursuant to PL 2019 Chapter 219 [LD 1341]) to issue bonds for school construction. </w:t>
            </w:r>
          </w:p>
          <w:p w14:paraId="64A09F2B" w14:textId="61198C23" w:rsidR="00114F14" w:rsidRPr="00510BFA" w:rsidRDefault="00114F14" w:rsidP="00CB1A47">
            <w:pPr>
              <w:pStyle w:val="ListBullet"/>
              <w:numPr>
                <w:ilvl w:val="0"/>
                <w:numId w:val="41"/>
              </w:numPr>
              <w:ind w:left="460" w:hanging="180"/>
            </w:pPr>
            <w:r>
              <w:t>These provisions are comparable to existing law for school construction bonds issued by school administrative units or by career and technical education regions and include a debt limit of 4% of state-adjusted valuation; a debt limit exclusion for state-subsidized debt; a 25-year maximum bond term; a method for debt allocation, assessment and collection; and the rights of bondholders to enforce the payment of bonds to facilitate their sale.</w:t>
            </w:r>
          </w:p>
        </w:tc>
        <w:tc>
          <w:tcPr>
            <w:tcW w:w="2250" w:type="dxa"/>
            <w:shd w:val="clear" w:color="auto" w:fill="auto"/>
          </w:tcPr>
          <w:p w14:paraId="01070F4A" w14:textId="15FFAFDD" w:rsidR="00114F14" w:rsidRPr="00433A3D" w:rsidRDefault="00114F14" w:rsidP="00CB1A47">
            <w:pPr>
              <w:rPr>
                <w:sz w:val="22"/>
                <w:szCs w:val="22"/>
              </w:rPr>
            </w:pPr>
            <w:r>
              <w:rPr>
                <w:sz w:val="22"/>
                <w:szCs w:val="22"/>
              </w:rPr>
              <w:t>September 19, 2019</w:t>
            </w:r>
          </w:p>
        </w:tc>
      </w:tr>
      <w:tr w:rsidR="00114F14" w:rsidRPr="008D72F0" w14:paraId="24859EC7" w14:textId="77777777" w:rsidTr="00114F14">
        <w:trPr>
          <w:trHeight w:val="737"/>
        </w:trPr>
        <w:tc>
          <w:tcPr>
            <w:tcW w:w="3080" w:type="dxa"/>
            <w:shd w:val="clear" w:color="auto" w:fill="auto"/>
          </w:tcPr>
          <w:p w14:paraId="60025AED" w14:textId="77777777" w:rsidR="00114F14" w:rsidRDefault="00114F14" w:rsidP="00CB1A47">
            <w:pPr>
              <w:rPr>
                <w:b/>
              </w:rPr>
            </w:pPr>
            <w:bookmarkStart w:id="16" w:name="_Hlk16243777"/>
            <w:r>
              <w:rPr>
                <w:b/>
              </w:rPr>
              <w:t>LD 1778, Public Law 2019, Chapter 450</w:t>
            </w:r>
          </w:p>
          <w:p w14:paraId="7DBDF4A5" w14:textId="0F42ECEC" w:rsidR="00114F14" w:rsidRPr="007D16E8" w:rsidRDefault="00114F14" w:rsidP="00CB1A47">
            <w:pPr>
              <w:rPr>
                <w:i/>
              </w:rPr>
            </w:pPr>
            <w:r w:rsidRPr="007F2F4E">
              <w:rPr>
                <w:i/>
              </w:rPr>
              <w:t xml:space="preserve">An Act </w:t>
            </w:r>
            <w:proofErr w:type="gramStart"/>
            <w:r w:rsidRPr="007F2F4E">
              <w:rPr>
                <w:i/>
              </w:rPr>
              <w:t>To</w:t>
            </w:r>
            <w:proofErr w:type="gramEnd"/>
            <w:r w:rsidRPr="007F2F4E">
              <w:rPr>
                <w:i/>
              </w:rPr>
              <w:t xml:space="preserve"> Amend the Laws Concerning the Children's Cabinet and Its Advisory Councils (GOVERNOR'S BILL)</w:t>
            </w:r>
          </w:p>
        </w:tc>
        <w:tc>
          <w:tcPr>
            <w:tcW w:w="7265" w:type="dxa"/>
            <w:shd w:val="clear" w:color="auto" w:fill="auto"/>
          </w:tcPr>
          <w:p w14:paraId="40457C46" w14:textId="77777777" w:rsidR="00114F14" w:rsidRPr="009074A4" w:rsidRDefault="00114F14" w:rsidP="00CB1A47">
            <w:pPr>
              <w:pStyle w:val="ListBullet"/>
              <w:numPr>
                <w:ilvl w:val="0"/>
                <w:numId w:val="41"/>
              </w:numPr>
              <w:ind w:left="460" w:hanging="180"/>
            </w:pPr>
            <w:r w:rsidRPr="009074A4">
              <w:t>Amends certain provisions governing the Maine Children's Cabinet.</w:t>
            </w:r>
          </w:p>
          <w:p w14:paraId="44BD4D3D" w14:textId="77777777" w:rsidR="00114F14" w:rsidRPr="009074A4" w:rsidRDefault="00114F14" w:rsidP="00CB1A47">
            <w:pPr>
              <w:pStyle w:val="ListBullet"/>
              <w:numPr>
                <w:ilvl w:val="0"/>
                <w:numId w:val="41"/>
              </w:numPr>
              <w:ind w:left="460" w:hanging="180"/>
            </w:pPr>
            <w:r w:rsidRPr="009074A4">
              <w:t>Eliminates the Maine Children's Growth Council.</w:t>
            </w:r>
          </w:p>
          <w:p w14:paraId="2D4905C3" w14:textId="77777777" w:rsidR="00114F14" w:rsidRPr="009074A4" w:rsidRDefault="00114F14" w:rsidP="00CB1A47">
            <w:pPr>
              <w:pStyle w:val="ListBullet"/>
              <w:numPr>
                <w:ilvl w:val="0"/>
                <w:numId w:val="41"/>
              </w:numPr>
              <w:ind w:left="460" w:hanging="180"/>
            </w:pPr>
            <w:r w:rsidRPr="009074A4">
              <w:t>Eliminates the Child Care Advisory Council.</w:t>
            </w:r>
          </w:p>
          <w:p w14:paraId="656ED331" w14:textId="69ACE4DC" w:rsidR="00114F14" w:rsidRPr="009074A4" w:rsidRDefault="00114F14" w:rsidP="00CB1A47">
            <w:pPr>
              <w:pStyle w:val="ListBullet"/>
              <w:numPr>
                <w:ilvl w:val="0"/>
                <w:numId w:val="41"/>
              </w:numPr>
              <w:ind w:left="460" w:hanging="180"/>
            </w:pPr>
            <w:r w:rsidRPr="009074A4">
              <w:t>Establishes the Maine Children's Cabinet Early Childhood Advisory Council to develop and evaluate under the direction of the Children's Cabinet a plan for the healthy development of the State's young children and their families</w:t>
            </w:r>
            <w:r>
              <w:t xml:space="preserve"> including the delivery of early childhood services.</w:t>
            </w:r>
          </w:p>
          <w:p w14:paraId="67A8F855" w14:textId="77777777" w:rsidR="00114F14" w:rsidRPr="009074A4" w:rsidRDefault="00114F14" w:rsidP="00CB1A47">
            <w:pPr>
              <w:pStyle w:val="ListBullet"/>
              <w:numPr>
                <w:ilvl w:val="0"/>
                <w:numId w:val="41"/>
              </w:numPr>
              <w:ind w:left="460" w:hanging="180"/>
            </w:pPr>
            <w:r w:rsidRPr="009074A4">
              <w:t xml:space="preserve">The Council consists of the 21 members who must have a strong interest in early childhood and early care and education and must be influential in their communities: </w:t>
            </w:r>
          </w:p>
          <w:p w14:paraId="584BC68B" w14:textId="0B0B80EE" w:rsidR="00114F14" w:rsidRDefault="00114F14" w:rsidP="00CB1A47">
            <w:pPr>
              <w:pStyle w:val="ListBullet"/>
              <w:numPr>
                <w:ilvl w:val="0"/>
                <w:numId w:val="34"/>
              </w:numPr>
              <w:ind w:left="834"/>
            </w:pPr>
            <w:r w:rsidRPr="009074A4">
              <w:t>Three members appointed by the Senate President:</w:t>
            </w:r>
          </w:p>
          <w:p w14:paraId="6E0CB163" w14:textId="77777777" w:rsidR="00114F14" w:rsidRPr="009074A4" w:rsidRDefault="00114F14" w:rsidP="00CB1A47">
            <w:pPr>
              <w:pStyle w:val="ListBullet"/>
              <w:numPr>
                <w:ilvl w:val="0"/>
                <w:numId w:val="35"/>
              </w:numPr>
            </w:pPr>
            <w:r w:rsidRPr="009074A4">
              <w:t>Two members of the Senate.</w:t>
            </w:r>
          </w:p>
          <w:p w14:paraId="77FE1C92" w14:textId="77777777" w:rsidR="00114F14" w:rsidRPr="009074A4" w:rsidRDefault="00114F14" w:rsidP="00CB1A47">
            <w:pPr>
              <w:pStyle w:val="ListBullet"/>
              <w:numPr>
                <w:ilvl w:val="0"/>
                <w:numId w:val="35"/>
              </w:numPr>
            </w:pPr>
            <w:r w:rsidRPr="009074A4">
              <w:t xml:space="preserve">One person representing child </w:t>
            </w:r>
            <w:r w:rsidRPr="009074A4">
              <w:rPr>
                <w:lang w:val="en-US"/>
              </w:rPr>
              <w:t>abuse and neglect prevention.</w:t>
            </w:r>
          </w:p>
          <w:p w14:paraId="6A9B05BF" w14:textId="50D36BFC" w:rsidR="00114F14" w:rsidRDefault="00114F14" w:rsidP="00CB1A47">
            <w:pPr>
              <w:pStyle w:val="ListBullet"/>
              <w:numPr>
                <w:ilvl w:val="0"/>
                <w:numId w:val="34"/>
              </w:numPr>
              <w:ind w:left="834"/>
            </w:pPr>
            <w:r w:rsidRPr="009074A4">
              <w:t>Three members appointed by the Speaker of the House:</w:t>
            </w:r>
          </w:p>
          <w:p w14:paraId="58386234" w14:textId="77777777" w:rsidR="00114F14" w:rsidRPr="009074A4" w:rsidRDefault="00114F14" w:rsidP="00CB1A47">
            <w:pPr>
              <w:pStyle w:val="ListBullet"/>
              <w:numPr>
                <w:ilvl w:val="0"/>
                <w:numId w:val="36"/>
              </w:numPr>
            </w:pPr>
            <w:r w:rsidRPr="009074A4">
              <w:t>Two members of the House of Representatives.</w:t>
            </w:r>
          </w:p>
          <w:p w14:paraId="061C3B5D" w14:textId="77777777" w:rsidR="00114F14" w:rsidRPr="009074A4" w:rsidRDefault="00114F14" w:rsidP="00CB1A47">
            <w:pPr>
              <w:pStyle w:val="ListBullet"/>
              <w:numPr>
                <w:ilvl w:val="0"/>
                <w:numId w:val="36"/>
              </w:numPr>
            </w:pPr>
            <w:r w:rsidRPr="009074A4">
              <w:t>One person who is the parent of a young child.</w:t>
            </w:r>
          </w:p>
          <w:p w14:paraId="041E036E" w14:textId="5EFEC854" w:rsidR="00114F14" w:rsidRDefault="00114F14" w:rsidP="00CB1A47">
            <w:pPr>
              <w:pStyle w:val="ListBullet"/>
              <w:numPr>
                <w:ilvl w:val="0"/>
                <w:numId w:val="34"/>
              </w:numPr>
              <w:ind w:left="834"/>
            </w:pPr>
            <w:r w:rsidRPr="009074A4">
              <w:t>Six members appointed by the Governor:</w:t>
            </w:r>
          </w:p>
          <w:p w14:paraId="0E763F9F" w14:textId="77777777" w:rsidR="00114F14" w:rsidRPr="009074A4" w:rsidRDefault="00114F14" w:rsidP="00CB1A47">
            <w:pPr>
              <w:pStyle w:val="ListBullet"/>
              <w:numPr>
                <w:ilvl w:val="0"/>
                <w:numId w:val="37"/>
              </w:numPr>
              <w:ind w:left="1194"/>
            </w:pPr>
            <w:r w:rsidRPr="009074A4">
              <w:t xml:space="preserve">The Governor or the Governor's designee; </w:t>
            </w:r>
          </w:p>
          <w:p w14:paraId="69737420" w14:textId="77777777" w:rsidR="00114F14" w:rsidRPr="009074A4" w:rsidRDefault="00114F14" w:rsidP="00CB1A47">
            <w:pPr>
              <w:pStyle w:val="ListBullet"/>
              <w:numPr>
                <w:ilvl w:val="0"/>
                <w:numId w:val="37"/>
              </w:numPr>
              <w:ind w:left="1194"/>
            </w:pPr>
            <w:r w:rsidRPr="009074A4">
              <w:t>Two persons with experience in public funding and philanthropy.</w:t>
            </w:r>
          </w:p>
          <w:p w14:paraId="0D3AE6C4" w14:textId="77777777" w:rsidR="00114F14" w:rsidRPr="009074A4" w:rsidRDefault="00114F14" w:rsidP="00CB1A47">
            <w:pPr>
              <w:pStyle w:val="ListBullet"/>
              <w:numPr>
                <w:ilvl w:val="0"/>
                <w:numId w:val="37"/>
              </w:numPr>
              <w:ind w:left="1194"/>
            </w:pPr>
            <w:r w:rsidRPr="009074A4">
              <w:t xml:space="preserve">One person representing postsecondary education. </w:t>
            </w:r>
          </w:p>
          <w:p w14:paraId="27B39956" w14:textId="77777777" w:rsidR="00114F14" w:rsidRPr="009074A4" w:rsidRDefault="00114F14" w:rsidP="00CB1A47">
            <w:pPr>
              <w:pStyle w:val="ListBullet"/>
              <w:numPr>
                <w:ilvl w:val="0"/>
                <w:numId w:val="37"/>
              </w:numPr>
              <w:ind w:left="1194"/>
            </w:pPr>
            <w:r w:rsidRPr="009074A4">
              <w:t>One person representing a business roundtable on early childhood investment.</w:t>
            </w:r>
          </w:p>
          <w:p w14:paraId="300E518F" w14:textId="77777777" w:rsidR="00114F14" w:rsidRPr="009074A4" w:rsidRDefault="00114F14" w:rsidP="00CB1A47">
            <w:pPr>
              <w:pStyle w:val="ListBullet"/>
              <w:numPr>
                <w:ilvl w:val="0"/>
                <w:numId w:val="37"/>
              </w:numPr>
              <w:ind w:left="1194"/>
            </w:pPr>
            <w:r w:rsidRPr="009074A4">
              <w:t>One person with expertise in children's health or public health.</w:t>
            </w:r>
          </w:p>
          <w:p w14:paraId="466A9B21" w14:textId="77777777" w:rsidR="00114F14" w:rsidRPr="009074A4" w:rsidRDefault="00114F14" w:rsidP="00CB1A47">
            <w:pPr>
              <w:pStyle w:val="ListBullet"/>
              <w:numPr>
                <w:ilvl w:val="0"/>
                <w:numId w:val="34"/>
              </w:numPr>
              <w:ind w:left="834"/>
            </w:pPr>
            <w:r w:rsidRPr="009074A4">
              <w:t>Three persons representing statewide, membership or constituent organizations that advance the well-being of young children and their families, including early care and education programs, child care centers, Head Start programs, resource development centers, programs for school-age children, child development services, physicians and child advocates, nominated by their organizations and appointed by the Children’s Cabinet;</w:t>
            </w:r>
          </w:p>
          <w:p w14:paraId="02CE0C98" w14:textId="77777777" w:rsidR="00114F14" w:rsidRPr="009074A4" w:rsidRDefault="00114F14" w:rsidP="00CB1A47">
            <w:pPr>
              <w:pStyle w:val="ListBullet"/>
              <w:numPr>
                <w:ilvl w:val="0"/>
                <w:numId w:val="34"/>
              </w:numPr>
              <w:ind w:left="834"/>
            </w:pPr>
            <w:r w:rsidRPr="009074A4">
              <w:t xml:space="preserve">Two persons representing statewide, membership or constituent organizations for public and private family child care providers, nominated by their organizations and appointed by the Children’s Cabinet; </w:t>
            </w:r>
          </w:p>
          <w:p w14:paraId="35C5E143" w14:textId="77777777" w:rsidR="00114F14" w:rsidRPr="009074A4" w:rsidRDefault="00114F14" w:rsidP="00CB1A47">
            <w:pPr>
              <w:pStyle w:val="ListBullet"/>
              <w:numPr>
                <w:ilvl w:val="0"/>
                <w:numId w:val="34"/>
              </w:numPr>
              <w:ind w:left="834"/>
            </w:pPr>
            <w:r w:rsidRPr="009074A4">
              <w:t>Two ex-officio nonvoting members who are employees of the Department of Education and direct or work in programming that affects young children, appointed by the Commissioner of Education; and</w:t>
            </w:r>
          </w:p>
          <w:p w14:paraId="035F8A1B" w14:textId="23CDB9E4" w:rsidR="00114F14" w:rsidRDefault="00114F14" w:rsidP="00CB1A47">
            <w:pPr>
              <w:pStyle w:val="ListBullet"/>
              <w:numPr>
                <w:ilvl w:val="0"/>
                <w:numId w:val="34"/>
              </w:numPr>
              <w:ind w:left="834"/>
            </w:pPr>
            <w:r w:rsidRPr="009074A4">
              <w:t>Two ex-officio nonvoting members who are employees of the Department of Health and Human Services and direct or work in programming that affects young children, appointed by the Commissioner of Health and Human Services.</w:t>
            </w:r>
          </w:p>
          <w:p w14:paraId="2E91119E" w14:textId="77777777" w:rsidR="00114F14" w:rsidRDefault="00114F14" w:rsidP="00CB1A47">
            <w:pPr>
              <w:pStyle w:val="ListBullet"/>
              <w:numPr>
                <w:ilvl w:val="0"/>
                <w:numId w:val="41"/>
              </w:numPr>
              <w:ind w:left="460" w:hanging="180"/>
            </w:pPr>
            <w:r>
              <w:t>Directs the Council to submit its annual report to the Maine Children’s Cabinet and to the Joint Standing Committees of the Education &amp; Cultural Affairs and Health &amp; Human Services recommendations for changes to laws and rules to reduce barriers to collaboration and coordination among federal and state-funded programs and services for young children and the children's families and to improve the quality of programs and services for young children.</w:t>
            </w:r>
          </w:p>
          <w:p w14:paraId="7B5F505B" w14:textId="78FD0574" w:rsidR="00114F14" w:rsidRPr="00510BFA" w:rsidRDefault="00114F14" w:rsidP="00CB1A47">
            <w:pPr>
              <w:pStyle w:val="ListBullet"/>
              <w:numPr>
                <w:ilvl w:val="0"/>
                <w:numId w:val="41"/>
              </w:numPr>
              <w:ind w:left="460" w:hanging="180"/>
            </w:pPr>
            <w:r>
              <w:t>Allocates Federal Expenditures Fund and Other Special Revenue Funds of $500 each in FY 20 and FY 21 to allow the Council to spend any funding received from any authorized sources.</w:t>
            </w:r>
          </w:p>
        </w:tc>
        <w:tc>
          <w:tcPr>
            <w:tcW w:w="2250" w:type="dxa"/>
            <w:shd w:val="clear" w:color="auto" w:fill="auto"/>
          </w:tcPr>
          <w:p w14:paraId="2BE8B29C" w14:textId="77777777" w:rsidR="00114F14" w:rsidRDefault="00114F14" w:rsidP="00CB1A47">
            <w:pPr>
              <w:rPr>
                <w:sz w:val="22"/>
                <w:szCs w:val="22"/>
              </w:rPr>
            </w:pPr>
            <w:r>
              <w:rPr>
                <w:sz w:val="22"/>
                <w:szCs w:val="22"/>
              </w:rPr>
              <w:t>September 19, 2019</w:t>
            </w:r>
          </w:p>
          <w:p w14:paraId="687F643B" w14:textId="77777777" w:rsidR="00114F14" w:rsidRDefault="00114F14" w:rsidP="00CB1A47">
            <w:pPr>
              <w:rPr>
                <w:sz w:val="22"/>
                <w:szCs w:val="22"/>
              </w:rPr>
            </w:pPr>
          </w:p>
          <w:p w14:paraId="01066F8C" w14:textId="77777777" w:rsidR="00114F14" w:rsidRDefault="00114F14" w:rsidP="00CB1A47">
            <w:pPr>
              <w:rPr>
                <w:sz w:val="22"/>
                <w:szCs w:val="22"/>
              </w:rPr>
            </w:pPr>
          </w:p>
          <w:p w14:paraId="54F09480" w14:textId="77777777" w:rsidR="00114F14" w:rsidRDefault="00114F14" w:rsidP="00CB1A47">
            <w:pPr>
              <w:rPr>
                <w:sz w:val="22"/>
                <w:szCs w:val="22"/>
              </w:rPr>
            </w:pPr>
          </w:p>
          <w:p w14:paraId="7398DA4E" w14:textId="77777777" w:rsidR="00114F14" w:rsidRDefault="00114F14" w:rsidP="00CB1A47">
            <w:pPr>
              <w:rPr>
                <w:sz w:val="22"/>
                <w:szCs w:val="22"/>
              </w:rPr>
            </w:pPr>
          </w:p>
          <w:p w14:paraId="5EC15ECB" w14:textId="77777777" w:rsidR="00114F14" w:rsidRDefault="00114F14" w:rsidP="00CB1A47">
            <w:pPr>
              <w:rPr>
                <w:sz w:val="22"/>
                <w:szCs w:val="22"/>
              </w:rPr>
            </w:pPr>
          </w:p>
          <w:p w14:paraId="31C4FA7B" w14:textId="77777777" w:rsidR="00114F14" w:rsidRDefault="00114F14" w:rsidP="00CB1A47">
            <w:pPr>
              <w:rPr>
                <w:sz w:val="22"/>
                <w:szCs w:val="22"/>
              </w:rPr>
            </w:pPr>
          </w:p>
          <w:p w14:paraId="2128EFB0" w14:textId="77777777" w:rsidR="00114F14" w:rsidRDefault="00114F14" w:rsidP="00CB1A47">
            <w:pPr>
              <w:rPr>
                <w:sz w:val="22"/>
                <w:szCs w:val="22"/>
              </w:rPr>
            </w:pPr>
          </w:p>
          <w:p w14:paraId="5C464DAC" w14:textId="77777777" w:rsidR="00114F14" w:rsidRDefault="00114F14" w:rsidP="00CB1A47">
            <w:pPr>
              <w:rPr>
                <w:sz w:val="22"/>
                <w:szCs w:val="22"/>
              </w:rPr>
            </w:pPr>
          </w:p>
          <w:p w14:paraId="0314BDFF" w14:textId="77777777" w:rsidR="00114F14" w:rsidRDefault="00114F14" w:rsidP="00CB1A47">
            <w:pPr>
              <w:rPr>
                <w:sz w:val="22"/>
                <w:szCs w:val="22"/>
              </w:rPr>
            </w:pPr>
          </w:p>
          <w:p w14:paraId="4B343928" w14:textId="77777777" w:rsidR="00114F14" w:rsidRDefault="00114F14" w:rsidP="00CB1A47">
            <w:pPr>
              <w:rPr>
                <w:sz w:val="22"/>
                <w:szCs w:val="22"/>
              </w:rPr>
            </w:pPr>
          </w:p>
          <w:p w14:paraId="5BD7812D" w14:textId="77777777" w:rsidR="00114F14" w:rsidRDefault="00114F14" w:rsidP="00CB1A47">
            <w:pPr>
              <w:rPr>
                <w:sz w:val="22"/>
                <w:szCs w:val="22"/>
              </w:rPr>
            </w:pPr>
          </w:p>
          <w:p w14:paraId="52893DB3" w14:textId="77777777" w:rsidR="00114F14" w:rsidRDefault="00114F14" w:rsidP="00CB1A47">
            <w:pPr>
              <w:rPr>
                <w:sz w:val="22"/>
                <w:szCs w:val="22"/>
              </w:rPr>
            </w:pPr>
          </w:p>
          <w:p w14:paraId="7F67F1A0" w14:textId="77777777" w:rsidR="00114F14" w:rsidRDefault="00114F14" w:rsidP="00CB1A47">
            <w:pPr>
              <w:rPr>
                <w:sz w:val="22"/>
                <w:szCs w:val="22"/>
              </w:rPr>
            </w:pPr>
          </w:p>
          <w:p w14:paraId="0AB461AD" w14:textId="77777777" w:rsidR="00114F14" w:rsidRDefault="00114F14" w:rsidP="00CB1A47">
            <w:pPr>
              <w:rPr>
                <w:sz w:val="22"/>
                <w:szCs w:val="22"/>
              </w:rPr>
            </w:pPr>
          </w:p>
          <w:p w14:paraId="295785B6" w14:textId="77777777" w:rsidR="00114F14" w:rsidRDefault="00114F14" w:rsidP="00CB1A47">
            <w:pPr>
              <w:rPr>
                <w:sz w:val="22"/>
                <w:szCs w:val="22"/>
              </w:rPr>
            </w:pPr>
          </w:p>
          <w:p w14:paraId="3670506B" w14:textId="77777777" w:rsidR="00114F14" w:rsidRDefault="00114F14" w:rsidP="00CB1A47">
            <w:pPr>
              <w:rPr>
                <w:sz w:val="22"/>
                <w:szCs w:val="22"/>
              </w:rPr>
            </w:pPr>
          </w:p>
          <w:p w14:paraId="1357D0FF" w14:textId="77777777" w:rsidR="00114F14" w:rsidRDefault="00114F14" w:rsidP="00CB1A47">
            <w:pPr>
              <w:rPr>
                <w:sz w:val="22"/>
                <w:szCs w:val="22"/>
              </w:rPr>
            </w:pPr>
          </w:p>
          <w:p w14:paraId="40F0CF25" w14:textId="77777777" w:rsidR="00114F14" w:rsidRDefault="00114F14" w:rsidP="00CB1A47">
            <w:pPr>
              <w:rPr>
                <w:sz w:val="22"/>
                <w:szCs w:val="22"/>
              </w:rPr>
            </w:pPr>
          </w:p>
          <w:p w14:paraId="6375EAA5" w14:textId="77777777" w:rsidR="00114F14" w:rsidRDefault="00114F14" w:rsidP="00CB1A47">
            <w:pPr>
              <w:rPr>
                <w:sz w:val="22"/>
                <w:szCs w:val="22"/>
              </w:rPr>
            </w:pPr>
          </w:p>
          <w:p w14:paraId="129A9AFD" w14:textId="7A9731AB" w:rsidR="00114F14" w:rsidRPr="00433A3D" w:rsidRDefault="00114F14" w:rsidP="00CB1A47">
            <w:pPr>
              <w:rPr>
                <w:sz w:val="22"/>
                <w:szCs w:val="22"/>
              </w:rPr>
            </w:pPr>
            <w:r>
              <w:rPr>
                <w:sz w:val="22"/>
                <w:szCs w:val="22"/>
              </w:rPr>
              <w:t xml:space="preserve">Early Childhood Advisory Council to submit annual reports to Children’s Cabinet and Joint Standing Committees on Education &amp; Cultural Services and Health &amp; Human Services. </w:t>
            </w:r>
          </w:p>
        </w:tc>
      </w:tr>
      <w:bookmarkEnd w:id="16"/>
      <w:tr w:rsidR="00114F14" w:rsidRPr="008D72F0" w14:paraId="4DCF68D2" w14:textId="77777777" w:rsidTr="00114F14">
        <w:trPr>
          <w:trHeight w:val="737"/>
        </w:trPr>
        <w:tc>
          <w:tcPr>
            <w:tcW w:w="3080" w:type="dxa"/>
            <w:shd w:val="clear" w:color="auto" w:fill="auto"/>
          </w:tcPr>
          <w:p w14:paraId="11F6A2BB" w14:textId="77777777" w:rsidR="00114F14" w:rsidRDefault="00114F14" w:rsidP="00CB1A47">
            <w:pPr>
              <w:rPr>
                <w:b/>
              </w:rPr>
            </w:pPr>
            <w:r>
              <w:rPr>
                <w:b/>
              </w:rPr>
              <w:t>LD 1785, Public Law 2019, Chapter 398</w:t>
            </w:r>
          </w:p>
          <w:p w14:paraId="3DCDA5C4" w14:textId="77777777" w:rsidR="00114F14" w:rsidRPr="007D16E8" w:rsidRDefault="00114F14" w:rsidP="00CB1A47">
            <w:pPr>
              <w:rPr>
                <w:i/>
              </w:rPr>
            </w:pPr>
            <w:r w:rsidRPr="007D16E8">
              <w:rPr>
                <w:i/>
              </w:rPr>
              <w:t xml:space="preserve">An Act </w:t>
            </w:r>
            <w:proofErr w:type="gramStart"/>
            <w:r w:rsidRPr="007D16E8">
              <w:rPr>
                <w:i/>
              </w:rPr>
              <w:t>To</w:t>
            </w:r>
            <w:proofErr w:type="gramEnd"/>
            <w:r w:rsidRPr="007D16E8">
              <w:rPr>
                <w:i/>
              </w:rPr>
              <w:t xml:space="preserve"> Amend Certain Education Laws</w:t>
            </w:r>
          </w:p>
          <w:p w14:paraId="4C992ECC" w14:textId="77777777" w:rsidR="00114F14" w:rsidRPr="00510BFA" w:rsidRDefault="00114F14" w:rsidP="00CB1A47">
            <w:pPr>
              <w:rPr>
                <w:i/>
              </w:rPr>
            </w:pPr>
          </w:p>
        </w:tc>
        <w:tc>
          <w:tcPr>
            <w:tcW w:w="7265" w:type="dxa"/>
            <w:shd w:val="clear" w:color="auto" w:fill="auto"/>
          </w:tcPr>
          <w:p w14:paraId="6DD4C53C" w14:textId="77777777" w:rsidR="00114F14" w:rsidRDefault="00114F14" w:rsidP="00CB1A47">
            <w:pPr>
              <w:pStyle w:val="ListBullet"/>
              <w:numPr>
                <w:ilvl w:val="0"/>
                <w:numId w:val="41"/>
              </w:numPr>
              <w:ind w:left="460" w:hanging="180"/>
            </w:pPr>
            <w:r>
              <w:t xml:space="preserve">Repeals provisions of law relating to school construction projects approved by the State Board of Education prior to July 1, 1977 in Title 20 and any references in statute to those sections. </w:t>
            </w:r>
          </w:p>
          <w:p w14:paraId="169F7779" w14:textId="77777777" w:rsidR="00114F14" w:rsidRDefault="00114F14" w:rsidP="00CB1A47">
            <w:pPr>
              <w:pStyle w:val="ListBullet"/>
              <w:numPr>
                <w:ilvl w:val="0"/>
                <w:numId w:val="41"/>
              </w:numPr>
              <w:ind w:left="460" w:hanging="180"/>
            </w:pPr>
            <w:r>
              <w:t xml:space="preserve">Requires the Department of Education to develop and maintain a comprehensive database of resources for people with disabilities on the department's publicly accessible website instead of maintaining a central information system on resources. </w:t>
            </w:r>
          </w:p>
          <w:p w14:paraId="7EB72D5A" w14:textId="77777777" w:rsidR="00114F14" w:rsidRDefault="00114F14" w:rsidP="00CB1A47">
            <w:pPr>
              <w:pStyle w:val="ListBullet"/>
              <w:numPr>
                <w:ilvl w:val="0"/>
                <w:numId w:val="41"/>
              </w:numPr>
              <w:ind w:left="460" w:hanging="180"/>
            </w:pPr>
            <w:r>
              <w:t xml:space="preserve">Removes a reference to Maine Merchant Marine Day in the powers and duties of the State Board of Education. </w:t>
            </w:r>
          </w:p>
          <w:p w14:paraId="5453D213" w14:textId="77777777" w:rsidR="00114F14" w:rsidRDefault="00114F14" w:rsidP="00CB1A47">
            <w:pPr>
              <w:pStyle w:val="ListBullet"/>
              <w:numPr>
                <w:ilvl w:val="0"/>
                <w:numId w:val="41"/>
              </w:numPr>
              <w:ind w:left="460" w:hanging="180"/>
            </w:pPr>
            <w:r>
              <w:t xml:space="preserve">Increases from 90 days to 150 days the </w:t>
            </w:r>
            <w:proofErr w:type="gramStart"/>
            <w:r>
              <w:t>period of time</w:t>
            </w:r>
            <w:proofErr w:type="gramEnd"/>
            <w:r>
              <w:t xml:space="preserve"> in which a charter school authorizer must submit an annual report to the Commissioner and the Legislature.</w:t>
            </w:r>
          </w:p>
          <w:p w14:paraId="2EAF10D3" w14:textId="77777777" w:rsidR="00114F14" w:rsidRDefault="00114F14" w:rsidP="00CB1A47">
            <w:pPr>
              <w:pStyle w:val="ListBullet"/>
              <w:numPr>
                <w:ilvl w:val="0"/>
                <w:numId w:val="41"/>
              </w:numPr>
              <w:ind w:left="460" w:hanging="180"/>
            </w:pPr>
            <w:r>
              <w:t xml:space="preserve">Allows an elementary school student who resides in the unorganized territory to attend as a tuition student any public or private elementary school approved for tuition purposes and a secondary school student who resides in the unorganized territory to attend as a tuition student any public or private secondary school to which that student may gain entrance that is approved for tuition purposes. </w:t>
            </w:r>
          </w:p>
          <w:p w14:paraId="73CBB5D6" w14:textId="77777777" w:rsidR="00114F14" w:rsidRDefault="00114F14" w:rsidP="00CB1A47">
            <w:pPr>
              <w:pStyle w:val="ListBullet"/>
              <w:numPr>
                <w:ilvl w:val="0"/>
                <w:numId w:val="41"/>
              </w:numPr>
              <w:ind w:left="460" w:hanging="180"/>
            </w:pPr>
            <w:r>
              <w:t>Repeals rulemaking requirement for the Department establish rules relating to purchase and storage of hazardous chemicals in schools since</w:t>
            </w:r>
            <w:r w:rsidRPr="00E456F5">
              <w:t xml:space="preserve"> </w:t>
            </w:r>
            <w:r>
              <w:t xml:space="preserve">federal rules are </w:t>
            </w:r>
            <w:proofErr w:type="gramStart"/>
            <w:r>
              <w:t>sufficient</w:t>
            </w:r>
            <w:proofErr w:type="gramEnd"/>
            <w:r>
              <w:t xml:space="preserve"> with regard to hazardous chemicals. </w:t>
            </w:r>
          </w:p>
          <w:p w14:paraId="690BCFF2" w14:textId="77777777" w:rsidR="00114F14" w:rsidRDefault="00114F14" w:rsidP="00CB1A47">
            <w:pPr>
              <w:pStyle w:val="ListBullet"/>
              <w:numPr>
                <w:ilvl w:val="0"/>
                <w:numId w:val="41"/>
              </w:numPr>
              <w:ind w:left="460" w:hanging="180"/>
            </w:pPr>
            <w:r>
              <w:t>Includes psychometrically valid English language proficiency screening for potential English learners in the screening for preschool and early childhood programs.</w:t>
            </w:r>
          </w:p>
          <w:p w14:paraId="053564D6" w14:textId="77777777" w:rsidR="00114F14" w:rsidRDefault="00114F14" w:rsidP="00CB1A47">
            <w:pPr>
              <w:pStyle w:val="ListBullet"/>
              <w:numPr>
                <w:ilvl w:val="0"/>
                <w:numId w:val="41"/>
              </w:numPr>
              <w:ind w:left="460" w:hanging="180"/>
            </w:pPr>
            <w:r>
              <w:t>Repeals a provision of law relating to Alcohol Awareness Day.</w:t>
            </w:r>
          </w:p>
          <w:p w14:paraId="6C6A2B20" w14:textId="77777777" w:rsidR="00114F14" w:rsidRDefault="00114F14" w:rsidP="00CB1A47">
            <w:pPr>
              <w:pStyle w:val="ListBullet"/>
              <w:numPr>
                <w:ilvl w:val="0"/>
                <w:numId w:val="41"/>
              </w:numPr>
              <w:ind w:left="460" w:hanging="180"/>
            </w:pPr>
            <w:r>
              <w:t xml:space="preserve">Replaces the term "limited English proficiency student" with the term "English learner." </w:t>
            </w:r>
          </w:p>
          <w:p w14:paraId="40054C1B" w14:textId="77777777" w:rsidR="00114F14" w:rsidRPr="00D0422B" w:rsidRDefault="00114F14" w:rsidP="00CB1A47">
            <w:pPr>
              <w:pStyle w:val="ListBullet"/>
              <w:numPr>
                <w:ilvl w:val="0"/>
                <w:numId w:val="41"/>
              </w:numPr>
              <w:ind w:left="460" w:hanging="180"/>
            </w:pPr>
            <w:r>
              <w:t>A</w:t>
            </w:r>
            <w:r w:rsidRPr="00D0422B">
              <w:t xml:space="preserve">uthorizes a school board to provide school nurse services through an agreement with an individual registered professional nurse. </w:t>
            </w:r>
          </w:p>
          <w:p w14:paraId="26458DCA" w14:textId="77777777" w:rsidR="00114F14" w:rsidRDefault="00114F14" w:rsidP="00CB1A47">
            <w:pPr>
              <w:pStyle w:val="ListBullet"/>
              <w:numPr>
                <w:ilvl w:val="0"/>
                <w:numId w:val="41"/>
              </w:numPr>
              <w:ind w:left="460" w:hanging="180"/>
            </w:pPr>
            <w:r>
              <w:t>Amends statutory citations in the powers and duties of a cooperative board for a career and technical education region.</w:t>
            </w:r>
          </w:p>
          <w:p w14:paraId="555D3A06" w14:textId="77777777" w:rsidR="00114F14" w:rsidRDefault="00114F14" w:rsidP="00CB1A47">
            <w:pPr>
              <w:pStyle w:val="ListBullet"/>
              <w:numPr>
                <w:ilvl w:val="0"/>
                <w:numId w:val="41"/>
              </w:numPr>
              <w:ind w:left="460" w:hanging="180"/>
            </w:pPr>
            <w:r>
              <w:t xml:space="preserve">Provides a definition of "rural school administrative unit" for purposes of allocating federal funds under the federal Every Student Succeeds Act. </w:t>
            </w:r>
          </w:p>
          <w:p w14:paraId="7487E87F" w14:textId="77777777" w:rsidR="00114F14" w:rsidRDefault="00114F14" w:rsidP="00CB1A47">
            <w:pPr>
              <w:pStyle w:val="ListBullet"/>
              <w:numPr>
                <w:ilvl w:val="0"/>
                <w:numId w:val="41"/>
              </w:numPr>
              <w:ind w:left="460" w:hanging="180"/>
            </w:pPr>
            <w:r>
              <w:t>Removes the limitation on the total cost of the components of essential programs and services.</w:t>
            </w:r>
          </w:p>
          <w:p w14:paraId="1CEF34B1" w14:textId="77777777" w:rsidR="00114F14" w:rsidRDefault="00114F14" w:rsidP="00CB1A47">
            <w:pPr>
              <w:pStyle w:val="ListBullet"/>
              <w:numPr>
                <w:ilvl w:val="0"/>
                <w:numId w:val="41"/>
              </w:numPr>
              <w:ind w:left="460" w:hanging="180"/>
            </w:pPr>
            <w:r>
              <w:t>Clarifies that the amount of the adjustment for economically disadvantaged students is the amount computed as the school administrative unit's total allocation for economically disadvantaged students.</w:t>
            </w:r>
          </w:p>
          <w:p w14:paraId="2BA53356" w14:textId="3D2E37B5" w:rsidR="00114F14" w:rsidRPr="00510BFA" w:rsidRDefault="00114F14" w:rsidP="00CB1A47">
            <w:pPr>
              <w:pStyle w:val="ListBullet"/>
              <w:numPr>
                <w:ilvl w:val="0"/>
                <w:numId w:val="41"/>
              </w:numPr>
              <w:ind w:left="460" w:hanging="180"/>
            </w:pPr>
            <w:r>
              <w:t xml:space="preserve">Removes a requirement that school construction project plans and specifications must be approved by certain state entities and the Department of Administrative &amp; Financial Services, Bureau of General Services from the requirement to perform certain activities relating to school construction projects. </w:t>
            </w:r>
          </w:p>
        </w:tc>
        <w:tc>
          <w:tcPr>
            <w:tcW w:w="2250" w:type="dxa"/>
            <w:shd w:val="clear" w:color="auto" w:fill="auto"/>
          </w:tcPr>
          <w:p w14:paraId="7BAF31F2" w14:textId="5D74FE0C" w:rsidR="00114F14" w:rsidRPr="00433A3D" w:rsidRDefault="00114F14" w:rsidP="00CB1A47">
            <w:pPr>
              <w:rPr>
                <w:sz w:val="22"/>
                <w:szCs w:val="22"/>
              </w:rPr>
            </w:pPr>
            <w:r>
              <w:rPr>
                <w:sz w:val="22"/>
                <w:szCs w:val="22"/>
              </w:rPr>
              <w:t>September 19, 2019</w:t>
            </w:r>
          </w:p>
        </w:tc>
      </w:tr>
      <w:tr w:rsidR="00114F14" w:rsidRPr="008D72F0" w14:paraId="2FDA4479" w14:textId="77777777" w:rsidTr="00114F14">
        <w:trPr>
          <w:trHeight w:val="737"/>
        </w:trPr>
        <w:tc>
          <w:tcPr>
            <w:tcW w:w="3080" w:type="dxa"/>
            <w:shd w:val="clear" w:color="auto" w:fill="auto"/>
          </w:tcPr>
          <w:p w14:paraId="3E6450FC" w14:textId="77777777" w:rsidR="00114F14" w:rsidRDefault="00114F14" w:rsidP="00CB1A47">
            <w:pPr>
              <w:rPr>
                <w:b/>
              </w:rPr>
            </w:pPr>
            <w:r>
              <w:rPr>
                <w:b/>
              </w:rPr>
              <w:t>LD 1815, Public Law 2019, Chapter 500</w:t>
            </w:r>
          </w:p>
          <w:p w14:paraId="40DAFABE" w14:textId="0FDBCF2F" w:rsidR="00114F14" w:rsidRPr="009A6A24" w:rsidRDefault="00114F14" w:rsidP="00CB1A47">
            <w:pPr>
              <w:rPr>
                <w:i/>
              </w:rPr>
            </w:pPr>
            <w:r w:rsidRPr="009A6A24">
              <w:rPr>
                <w:i/>
              </w:rPr>
              <w:t xml:space="preserve">An Act </w:t>
            </w:r>
            <w:proofErr w:type="gramStart"/>
            <w:r w:rsidRPr="009A6A24">
              <w:rPr>
                <w:i/>
              </w:rPr>
              <w:t>To</w:t>
            </w:r>
            <w:proofErr w:type="gramEnd"/>
            <w:r w:rsidRPr="009A6A24">
              <w:rPr>
                <w:i/>
              </w:rPr>
              <w:t xml:space="preserve"> Provide Funds to the University of Maine System to Continue the Statewide Online Advanced Placement Course Program (EMERGENCY)</w:t>
            </w:r>
          </w:p>
        </w:tc>
        <w:tc>
          <w:tcPr>
            <w:tcW w:w="7265" w:type="dxa"/>
            <w:shd w:val="clear" w:color="auto" w:fill="auto"/>
          </w:tcPr>
          <w:p w14:paraId="1D1E1263" w14:textId="5049D136" w:rsidR="00114F14" w:rsidRPr="00B032D5" w:rsidRDefault="00114F14" w:rsidP="00CB1A47">
            <w:pPr>
              <w:pStyle w:val="ListBullet"/>
              <w:numPr>
                <w:ilvl w:val="0"/>
                <w:numId w:val="41"/>
              </w:numPr>
              <w:ind w:left="460" w:hanging="180"/>
            </w:pPr>
            <w:r w:rsidRPr="00B032D5">
              <w:t>Transfers administration of the statewide online advanced placement course program (AP4ALL) from the Department in partnership with the U of M</w:t>
            </w:r>
            <w:r>
              <w:t>aine</w:t>
            </w:r>
            <w:r w:rsidRPr="00B032D5">
              <w:t xml:space="preserve"> at Fort Kent to solely the UM System.</w:t>
            </w:r>
          </w:p>
          <w:p w14:paraId="25B41085" w14:textId="248CACD0" w:rsidR="00114F14" w:rsidRPr="00B032D5" w:rsidRDefault="00114F14" w:rsidP="00CB1A47">
            <w:pPr>
              <w:pStyle w:val="ListBullet"/>
              <w:numPr>
                <w:ilvl w:val="0"/>
                <w:numId w:val="41"/>
              </w:numPr>
              <w:ind w:left="460" w:hanging="180"/>
            </w:pPr>
            <w:r w:rsidRPr="00B032D5">
              <w:t xml:space="preserve">Provides General Fund </w:t>
            </w:r>
            <w:r>
              <w:t>appropriations</w:t>
            </w:r>
            <w:r w:rsidRPr="00B032D5">
              <w:t xml:space="preserve"> of $150,000 each in FY 20 and FY 21 to the UM to continue the statewide online advanced placement program.</w:t>
            </w:r>
          </w:p>
          <w:p w14:paraId="07EA8CC5" w14:textId="32250DB1" w:rsidR="00114F14" w:rsidRPr="00B032D5" w:rsidRDefault="00114F14" w:rsidP="00CB1A47">
            <w:pPr>
              <w:pStyle w:val="ListBullet"/>
              <w:numPr>
                <w:ilvl w:val="0"/>
                <w:numId w:val="41"/>
              </w:numPr>
              <w:ind w:left="460" w:hanging="180"/>
            </w:pPr>
            <w:r w:rsidRPr="00B032D5">
              <w:t xml:space="preserve">Directs the UM System to contract with the national governing body of the advanced placement course program, the College Board, to continue the program for the 2019-2020 school year. </w:t>
            </w:r>
          </w:p>
          <w:p w14:paraId="2BD233DA" w14:textId="6A263F62" w:rsidR="00114F14" w:rsidRPr="00510BFA" w:rsidRDefault="00114F14" w:rsidP="00CB1A47">
            <w:pPr>
              <w:pStyle w:val="ListBullet"/>
              <w:numPr>
                <w:ilvl w:val="0"/>
                <w:numId w:val="41"/>
              </w:numPr>
              <w:ind w:left="460" w:hanging="180"/>
            </w:pPr>
            <w:r w:rsidRPr="00B032D5">
              <w:t>Requires the UM System to submit a report by July 1, 2020 and annually thereafter to the Joint Standing Committee on Education &amp; Cultural Affairs on the status of the statewide online advanced placement course program including participation and levels of success of students.</w:t>
            </w:r>
          </w:p>
        </w:tc>
        <w:tc>
          <w:tcPr>
            <w:tcW w:w="2250" w:type="dxa"/>
            <w:shd w:val="clear" w:color="auto" w:fill="auto"/>
          </w:tcPr>
          <w:p w14:paraId="73DC06B9" w14:textId="77777777" w:rsidR="00114F14" w:rsidRDefault="00114F14" w:rsidP="00CB1A47">
            <w:pPr>
              <w:rPr>
                <w:sz w:val="22"/>
                <w:szCs w:val="22"/>
              </w:rPr>
            </w:pPr>
            <w:r>
              <w:rPr>
                <w:sz w:val="22"/>
                <w:szCs w:val="22"/>
              </w:rPr>
              <w:t>June 28, 2019</w:t>
            </w:r>
          </w:p>
          <w:p w14:paraId="6544C7A2" w14:textId="77777777" w:rsidR="00114F14" w:rsidRDefault="00114F14" w:rsidP="00CB1A47">
            <w:pPr>
              <w:rPr>
                <w:sz w:val="22"/>
                <w:szCs w:val="22"/>
              </w:rPr>
            </w:pPr>
          </w:p>
          <w:p w14:paraId="3A1BEA18" w14:textId="1796A820" w:rsidR="00114F14" w:rsidRPr="00433A3D" w:rsidRDefault="00114F14" w:rsidP="00CB1A47">
            <w:pPr>
              <w:rPr>
                <w:sz w:val="22"/>
                <w:szCs w:val="22"/>
              </w:rPr>
            </w:pPr>
            <w:r>
              <w:rPr>
                <w:sz w:val="22"/>
                <w:szCs w:val="22"/>
              </w:rPr>
              <w:t>University to submit a report to Joint Standing Committee on Education &amp; Cultural Affairs by February 15, 2020 and annually thereafter.</w:t>
            </w:r>
          </w:p>
        </w:tc>
      </w:tr>
      <w:tr w:rsidR="00114F14" w:rsidRPr="008D72F0" w14:paraId="37C5F7E5" w14:textId="77777777" w:rsidTr="00114F14">
        <w:trPr>
          <w:trHeight w:val="737"/>
        </w:trPr>
        <w:tc>
          <w:tcPr>
            <w:tcW w:w="3080" w:type="dxa"/>
            <w:shd w:val="clear" w:color="auto" w:fill="auto"/>
          </w:tcPr>
          <w:p w14:paraId="369EBAB7" w14:textId="77777777" w:rsidR="00114F14" w:rsidRDefault="00114F14" w:rsidP="00CB1A47">
            <w:pPr>
              <w:rPr>
                <w:b/>
              </w:rPr>
            </w:pPr>
            <w:bookmarkStart w:id="17" w:name="_Hlk16242983"/>
            <w:r>
              <w:rPr>
                <w:b/>
              </w:rPr>
              <w:t>LD 1820, Public Law 2019, Chapter 403</w:t>
            </w:r>
          </w:p>
          <w:p w14:paraId="35CA0F37" w14:textId="2F5A34ED" w:rsidR="00114F14" w:rsidRPr="001B7321" w:rsidRDefault="00114F14" w:rsidP="00CB1A47">
            <w:pPr>
              <w:rPr>
                <w:i/>
              </w:rPr>
            </w:pPr>
            <w:r w:rsidRPr="001B7321">
              <w:rPr>
                <w:i/>
              </w:rPr>
              <w:t xml:space="preserve">An Act </w:t>
            </w:r>
            <w:proofErr w:type="gramStart"/>
            <w:r w:rsidRPr="001B7321">
              <w:rPr>
                <w:i/>
              </w:rPr>
              <w:t>To</w:t>
            </w:r>
            <w:proofErr w:type="gramEnd"/>
            <w:r w:rsidRPr="001B7321">
              <w:rPr>
                <w:i/>
              </w:rPr>
              <w:t xml:space="preserve"> Amend the Laws Governing Investigations by School Entities into Holders of Credentials</w:t>
            </w:r>
          </w:p>
        </w:tc>
        <w:tc>
          <w:tcPr>
            <w:tcW w:w="7265" w:type="dxa"/>
            <w:shd w:val="clear" w:color="auto" w:fill="auto"/>
          </w:tcPr>
          <w:p w14:paraId="6692BA38" w14:textId="77777777" w:rsidR="00114F14" w:rsidRDefault="00114F14" w:rsidP="00CB1A47">
            <w:pPr>
              <w:pStyle w:val="ListBullet"/>
              <w:numPr>
                <w:ilvl w:val="0"/>
                <w:numId w:val="41"/>
              </w:numPr>
              <w:ind w:left="460" w:hanging="180"/>
              <w:rPr>
                <w:lang w:val="en-US"/>
              </w:rPr>
            </w:pPr>
            <w:r>
              <w:rPr>
                <w:lang w:val="en-US"/>
              </w:rPr>
              <w:t>C</w:t>
            </w:r>
            <w:r w:rsidRPr="00B8687C">
              <w:rPr>
                <w:lang w:val="en-US"/>
              </w:rPr>
              <w:t>larifies that "covered investigation" means an investigation by a school entity into the conduct of a holder of a credential that a school entity has a reasonable expectation would affect the credential holder's employment or contracted service because the alleged conduct involves alcohol, illegal drugs, physical abuse, emotional abuse, inappropriate contact between a credential holder and a student, stalking or similar behavior that endangers the health, safety or welfare of a student</w:t>
            </w:r>
            <w:r>
              <w:rPr>
                <w:lang w:val="en-US"/>
              </w:rPr>
              <w:t xml:space="preserve"> and </w:t>
            </w:r>
            <w:r w:rsidRPr="00B8687C">
              <w:rPr>
                <w:lang w:val="en-US"/>
              </w:rPr>
              <w:t xml:space="preserve">removes the phrase  "violating boundaries" from </w:t>
            </w:r>
            <w:r>
              <w:rPr>
                <w:lang w:val="en-US"/>
              </w:rPr>
              <w:t>“covered investigation</w:t>
            </w:r>
            <w:r w:rsidRPr="00B8687C">
              <w:rPr>
                <w:lang w:val="en-US"/>
              </w:rPr>
              <w:t>.</w:t>
            </w:r>
            <w:r>
              <w:rPr>
                <w:lang w:val="en-US"/>
              </w:rPr>
              <w:t>”</w:t>
            </w:r>
            <w:r w:rsidRPr="00B8687C">
              <w:rPr>
                <w:lang w:val="en-US"/>
              </w:rPr>
              <w:t xml:space="preserve"> </w:t>
            </w:r>
          </w:p>
          <w:p w14:paraId="25FED49B" w14:textId="77777777" w:rsidR="00114F14" w:rsidRDefault="00114F14" w:rsidP="00CB1A47">
            <w:pPr>
              <w:pStyle w:val="ListBullet"/>
              <w:numPr>
                <w:ilvl w:val="0"/>
                <w:numId w:val="41"/>
              </w:numPr>
              <w:ind w:left="460" w:hanging="180"/>
            </w:pPr>
            <w:r>
              <w:t xml:space="preserve">Removes the requirement that a school entity notify the Department within 15 business days of the initiation of a covered investigation by that school entity. </w:t>
            </w:r>
          </w:p>
          <w:p w14:paraId="3C2F051E" w14:textId="2922E227" w:rsidR="00114F14" w:rsidRDefault="00114F14" w:rsidP="00CB1A47">
            <w:pPr>
              <w:pStyle w:val="ListBullet"/>
              <w:numPr>
                <w:ilvl w:val="0"/>
                <w:numId w:val="41"/>
              </w:numPr>
              <w:ind w:left="460" w:hanging="180"/>
            </w:pPr>
            <w:r>
              <w:t xml:space="preserve">Requires a school entity to immediately notify the Department if a credential holder is disciplined, suspended or terminated </w:t>
            </w:r>
            <w:proofErr w:type="gramStart"/>
            <w:r>
              <w:t>as a result of</w:t>
            </w:r>
            <w:proofErr w:type="gramEnd"/>
            <w:r>
              <w:t xml:space="preserve"> a covered investigation in which the school entity determined that a student’s health, safety or welfare was endangered.</w:t>
            </w:r>
          </w:p>
          <w:p w14:paraId="72E41C53" w14:textId="77777777" w:rsidR="00114F14" w:rsidRDefault="00114F14" w:rsidP="00CB1A47">
            <w:pPr>
              <w:pStyle w:val="ListBullet"/>
              <w:numPr>
                <w:ilvl w:val="0"/>
                <w:numId w:val="41"/>
              </w:numPr>
              <w:ind w:left="460" w:hanging="180"/>
            </w:pPr>
            <w:r>
              <w:t xml:space="preserve">Requires a school entity to immediately notify the Department if a credential holder is who is the subject of a covered investigation leaves the school entity's employment for any reason prior to the conclusion of the covered investigation;  </w:t>
            </w:r>
          </w:p>
          <w:p w14:paraId="341F807B" w14:textId="77777777" w:rsidR="00114F14" w:rsidRDefault="00114F14" w:rsidP="00CB1A47">
            <w:pPr>
              <w:pStyle w:val="ListBullet"/>
              <w:numPr>
                <w:ilvl w:val="0"/>
                <w:numId w:val="41"/>
              </w:numPr>
              <w:ind w:left="460" w:hanging="180"/>
              <w:rPr>
                <w:lang w:val="en-US"/>
              </w:rPr>
            </w:pPr>
            <w:r>
              <w:t xml:space="preserve">Requires that the school entity provide to the Department a copy of any final report produced in support of the school entity's decision to discipline, suspend or terminate the credential holder who </w:t>
            </w:r>
            <w:r w:rsidRPr="00B8687C">
              <w:rPr>
                <w:lang w:val="en-US"/>
              </w:rPr>
              <w:t xml:space="preserve">may submit to the Department a written rebuttal to the report and that the written rebuttal must be placed in the </w:t>
            </w:r>
            <w:r>
              <w:rPr>
                <w:lang w:val="en-US"/>
              </w:rPr>
              <w:t>D</w:t>
            </w:r>
            <w:r w:rsidRPr="00B8687C">
              <w:rPr>
                <w:lang w:val="en-US"/>
              </w:rPr>
              <w:t>epartment's investigative file.</w:t>
            </w:r>
          </w:p>
          <w:p w14:paraId="3790D0EA" w14:textId="77777777" w:rsidR="00114F14" w:rsidRDefault="00114F14" w:rsidP="00CB1A47">
            <w:pPr>
              <w:pStyle w:val="ListBullet"/>
              <w:numPr>
                <w:ilvl w:val="0"/>
                <w:numId w:val="41"/>
              </w:numPr>
              <w:ind w:left="460" w:hanging="180"/>
              <w:rPr>
                <w:lang w:val="en-US"/>
              </w:rPr>
            </w:pPr>
            <w:r>
              <w:rPr>
                <w:lang w:val="en-US"/>
              </w:rPr>
              <w:t>R</w:t>
            </w:r>
            <w:r w:rsidRPr="00B8687C">
              <w:rPr>
                <w:lang w:val="en-US"/>
              </w:rPr>
              <w:t xml:space="preserve">equires the </w:t>
            </w:r>
            <w:r>
              <w:rPr>
                <w:lang w:val="en-US"/>
              </w:rPr>
              <w:t>D</w:t>
            </w:r>
            <w:r w:rsidRPr="00B8687C">
              <w:rPr>
                <w:lang w:val="en-US"/>
              </w:rPr>
              <w:t>epartment to destroy copies of all records and reports related to a finding resulting in discipline, suspension or termination of a credential holder if the finding resulting in that discipline, suspension or termination is reversed upon appeal at the school entity level.</w:t>
            </w:r>
          </w:p>
          <w:p w14:paraId="49AB7FDE" w14:textId="77777777" w:rsidR="00114F14" w:rsidRDefault="00114F14" w:rsidP="00CB1A47">
            <w:pPr>
              <w:pStyle w:val="ListBullet"/>
              <w:numPr>
                <w:ilvl w:val="0"/>
                <w:numId w:val="41"/>
              </w:numPr>
              <w:ind w:left="460" w:hanging="180"/>
            </w:pPr>
            <w:r>
              <w:t>Repeals language requiring the Commissioner to adopt rules governing confidentiality of information received under the provisions concerning covered investigations.</w:t>
            </w:r>
          </w:p>
          <w:p w14:paraId="53553FD7" w14:textId="77777777" w:rsidR="00114F14" w:rsidRDefault="00114F14" w:rsidP="00CB1A47">
            <w:pPr>
              <w:pStyle w:val="ListBullet"/>
              <w:numPr>
                <w:ilvl w:val="0"/>
                <w:numId w:val="41"/>
              </w:numPr>
              <w:ind w:left="460" w:hanging="180"/>
              <w:rPr>
                <w:lang w:val="en-US"/>
              </w:rPr>
            </w:pPr>
            <w:r>
              <w:rPr>
                <w:lang w:val="en-US"/>
              </w:rPr>
              <w:t>D</w:t>
            </w:r>
            <w:r w:rsidRPr="00B8687C">
              <w:rPr>
                <w:lang w:val="en-US"/>
              </w:rPr>
              <w:t xml:space="preserve">irects the </w:t>
            </w:r>
            <w:r>
              <w:rPr>
                <w:lang w:val="en-US"/>
              </w:rPr>
              <w:t>D</w:t>
            </w:r>
            <w:r w:rsidRPr="00B8687C">
              <w:rPr>
                <w:lang w:val="en-US"/>
              </w:rPr>
              <w:t>epartment to convene a work group</w:t>
            </w:r>
            <w:r>
              <w:rPr>
                <w:lang w:val="en-US"/>
              </w:rPr>
              <w:t>,</w:t>
            </w:r>
            <w:r w:rsidRPr="00B8687C">
              <w:rPr>
                <w:lang w:val="en-US"/>
              </w:rPr>
              <w:t xml:space="preserve"> </w:t>
            </w:r>
            <w:r>
              <w:rPr>
                <w:lang w:val="en-US"/>
              </w:rPr>
              <w:t xml:space="preserve">including but not limited to Maine School Management Assoc., Maine Education Assoc., and Office of the Attorney General, </w:t>
            </w:r>
            <w:r w:rsidRPr="00B8687C">
              <w:rPr>
                <w:lang w:val="en-US"/>
              </w:rPr>
              <w:t>to study and report on recommendations and suggested legislation to improve the law regarding investigations into credential holders</w:t>
            </w:r>
            <w:r>
              <w:rPr>
                <w:lang w:val="en-US"/>
              </w:rPr>
              <w:t xml:space="preserve"> </w:t>
            </w:r>
            <w:r w:rsidRPr="00B8687C">
              <w:rPr>
                <w:lang w:val="en-US"/>
              </w:rPr>
              <w:t>to the Joint Standing Committee on Education</w:t>
            </w:r>
            <w:r>
              <w:rPr>
                <w:lang w:val="en-US"/>
              </w:rPr>
              <w:t xml:space="preserve"> &amp;</w:t>
            </w:r>
            <w:r w:rsidRPr="00B8687C">
              <w:rPr>
                <w:lang w:val="en-US"/>
              </w:rPr>
              <w:t xml:space="preserve"> Cultural Affairs no later than February 1, 2020</w:t>
            </w:r>
            <w:r>
              <w:rPr>
                <w:lang w:val="en-US"/>
              </w:rPr>
              <w:t>.</w:t>
            </w:r>
          </w:p>
          <w:p w14:paraId="23B66F8C" w14:textId="249A9026" w:rsidR="00114F14" w:rsidRPr="00510BFA" w:rsidRDefault="00114F14" w:rsidP="00CB1A47">
            <w:pPr>
              <w:pStyle w:val="ListBullet"/>
              <w:numPr>
                <w:ilvl w:val="0"/>
                <w:numId w:val="41"/>
              </w:numPr>
              <w:ind w:left="460" w:hanging="180"/>
            </w:pPr>
            <w:r>
              <w:t>Authorizes the Joint Standing Committee on Education &amp; Cultural Affairs to submit a bill to the 2nd Regular Session of the 129th Legislature.</w:t>
            </w:r>
          </w:p>
        </w:tc>
        <w:tc>
          <w:tcPr>
            <w:tcW w:w="2250" w:type="dxa"/>
            <w:shd w:val="clear" w:color="auto" w:fill="auto"/>
          </w:tcPr>
          <w:p w14:paraId="569F8689" w14:textId="77777777" w:rsidR="00114F14" w:rsidRDefault="00114F14" w:rsidP="00CB1A47">
            <w:pPr>
              <w:rPr>
                <w:sz w:val="22"/>
                <w:szCs w:val="22"/>
              </w:rPr>
            </w:pPr>
            <w:r>
              <w:rPr>
                <w:sz w:val="22"/>
                <w:szCs w:val="22"/>
              </w:rPr>
              <w:t>September 19, 2019</w:t>
            </w:r>
          </w:p>
          <w:p w14:paraId="3056C8A2" w14:textId="77777777" w:rsidR="00114F14" w:rsidRDefault="00114F14" w:rsidP="00CB1A47">
            <w:pPr>
              <w:rPr>
                <w:sz w:val="22"/>
                <w:szCs w:val="22"/>
              </w:rPr>
            </w:pPr>
          </w:p>
          <w:p w14:paraId="38FDF6A9" w14:textId="77777777" w:rsidR="00114F14" w:rsidRDefault="00114F14" w:rsidP="00CB1A47">
            <w:pPr>
              <w:rPr>
                <w:sz w:val="22"/>
                <w:szCs w:val="22"/>
              </w:rPr>
            </w:pPr>
          </w:p>
          <w:p w14:paraId="6C1BFDA7" w14:textId="77777777" w:rsidR="00114F14" w:rsidRDefault="00114F14" w:rsidP="00CB1A47">
            <w:pPr>
              <w:rPr>
                <w:sz w:val="22"/>
                <w:szCs w:val="22"/>
              </w:rPr>
            </w:pPr>
          </w:p>
          <w:p w14:paraId="6BC7A522" w14:textId="77777777" w:rsidR="00114F14" w:rsidRDefault="00114F14" w:rsidP="00CB1A47">
            <w:pPr>
              <w:rPr>
                <w:sz w:val="22"/>
                <w:szCs w:val="22"/>
              </w:rPr>
            </w:pPr>
          </w:p>
          <w:p w14:paraId="3CBFE1D3" w14:textId="77777777" w:rsidR="00114F14" w:rsidRDefault="00114F14" w:rsidP="00CB1A47">
            <w:pPr>
              <w:rPr>
                <w:sz w:val="22"/>
                <w:szCs w:val="22"/>
              </w:rPr>
            </w:pPr>
          </w:p>
          <w:p w14:paraId="4C27339D" w14:textId="77777777" w:rsidR="00114F14" w:rsidRDefault="00114F14" w:rsidP="00CB1A47">
            <w:pPr>
              <w:rPr>
                <w:sz w:val="22"/>
                <w:szCs w:val="22"/>
              </w:rPr>
            </w:pPr>
          </w:p>
          <w:p w14:paraId="255E3632" w14:textId="77777777" w:rsidR="00114F14" w:rsidRDefault="00114F14" w:rsidP="00CB1A47">
            <w:pPr>
              <w:rPr>
                <w:sz w:val="22"/>
                <w:szCs w:val="22"/>
              </w:rPr>
            </w:pPr>
          </w:p>
          <w:p w14:paraId="23F00634" w14:textId="77777777" w:rsidR="00114F14" w:rsidRDefault="00114F14" w:rsidP="00CB1A47">
            <w:pPr>
              <w:rPr>
                <w:sz w:val="22"/>
                <w:szCs w:val="22"/>
              </w:rPr>
            </w:pPr>
          </w:p>
          <w:p w14:paraId="6487A846" w14:textId="77777777" w:rsidR="00114F14" w:rsidRDefault="00114F14" w:rsidP="00CB1A47">
            <w:pPr>
              <w:rPr>
                <w:sz w:val="22"/>
                <w:szCs w:val="22"/>
              </w:rPr>
            </w:pPr>
          </w:p>
          <w:p w14:paraId="57A4C4A0" w14:textId="77777777" w:rsidR="00114F14" w:rsidRDefault="00114F14" w:rsidP="00CB1A47">
            <w:pPr>
              <w:rPr>
                <w:sz w:val="22"/>
                <w:szCs w:val="22"/>
              </w:rPr>
            </w:pPr>
          </w:p>
          <w:p w14:paraId="206C3B1A" w14:textId="77777777" w:rsidR="00114F14" w:rsidRDefault="00114F14" w:rsidP="00CB1A47">
            <w:pPr>
              <w:rPr>
                <w:sz w:val="22"/>
                <w:szCs w:val="22"/>
              </w:rPr>
            </w:pPr>
          </w:p>
          <w:p w14:paraId="4BAC33BD" w14:textId="77777777" w:rsidR="00114F14" w:rsidRDefault="00114F14" w:rsidP="00CB1A47">
            <w:pPr>
              <w:rPr>
                <w:sz w:val="22"/>
                <w:szCs w:val="22"/>
              </w:rPr>
            </w:pPr>
          </w:p>
          <w:p w14:paraId="2DBA4FB5" w14:textId="77777777" w:rsidR="00114F14" w:rsidRDefault="00114F14" w:rsidP="00CB1A47">
            <w:pPr>
              <w:rPr>
                <w:sz w:val="22"/>
                <w:szCs w:val="22"/>
              </w:rPr>
            </w:pPr>
          </w:p>
          <w:p w14:paraId="4CAD0FB8" w14:textId="77777777" w:rsidR="00114F14" w:rsidRDefault="00114F14" w:rsidP="00CB1A47">
            <w:pPr>
              <w:rPr>
                <w:sz w:val="22"/>
                <w:szCs w:val="22"/>
              </w:rPr>
            </w:pPr>
          </w:p>
          <w:p w14:paraId="200BE2AF" w14:textId="77777777" w:rsidR="00114F14" w:rsidRDefault="00114F14" w:rsidP="00CB1A47">
            <w:pPr>
              <w:rPr>
                <w:sz w:val="22"/>
                <w:szCs w:val="22"/>
              </w:rPr>
            </w:pPr>
          </w:p>
          <w:p w14:paraId="4C55D1FB" w14:textId="77777777" w:rsidR="00114F14" w:rsidRDefault="00114F14" w:rsidP="00CB1A47">
            <w:pPr>
              <w:rPr>
                <w:sz w:val="22"/>
                <w:szCs w:val="22"/>
              </w:rPr>
            </w:pPr>
          </w:p>
          <w:p w14:paraId="348459CD" w14:textId="77777777" w:rsidR="00114F14" w:rsidRDefault="00114F14" w:rsidP="00CB1A47">
            <w:pPr>
              <w:rPr>
                <w:sz w:val="22"/>
                <w:szCs w:val="22"/>
              </w:rPr>
            </w:pPr>
          </w:p>
          <w:p w14:paraId="4B8DCA58" w14:textId="77777777" w:rsidR="00114F14" w:rsidRDefault="00114F14" w:rsidP="00CB1A47">
            <w:pPr>
              <w:rPr>
                <w:sz w:val="22"/>
                <w:szCs w:val="22"/>
              </w:rPr>
            </w:pPr>
          </w:p>
          <w:p w14:paraId="089A884C" w14:textId="77777777" w:rsidR="00114F14" w:rsidRDefault="00114F14" w:rsidP="00CB1A47">
            <w:pPr>
              <w:rPr>
                <w:sz w:val="22"/>
                <w:szCs w:val="22"/>
              </w:rPr>
            </w:pPr>
          </w:p>
          <w:p w14:paraId="544AF3EF" w14:textId="77777777" w:rsidR="00114F14" w:rsidRDefault="00114F14" w:rsidP="00CB1A47">
            <w:pPr>
              <w:rPr>
                <w:sz w:val="22"/>
                <w:szCs w:val="22"/>
              </w:rPr>
            </w:pPr>
          </w:p>
          <w:p w14:paraId="064738D2" w14:textId="77777777" w:rsidR="00114F14" w:rsidRDefault="00114F14" w:rsidP="00CB1A47">
            <w:pPr>
              <w:rPr>
                <w:sz w:val="22"/>
                <w:szCs w:val="22"/>
              </w:rPr>
            </w:pPr>
          </w:p>
          <w:p w14:paraId="54A3D350" w14:textId="77777777" w:rsidR="00114F14" w:rsidRDefault="00114F14" w:rsidP="00CB1A47">
            <w:pPr>
              <w:rPr>
                <w:sz w:val="22"/>
                <w:szCs w:val="22"/>
              </w:rPr>
            </w:pPr>
          </w:p>
          <w:p w14:paraId="76DC9E89" w14:textId="77777777" w:rsidR="00114F14" w:rsidRDefault="00114F14" w:rsidP="00CB1A47">
            <w:pPr>
              <w:rPr>
                <w:sz w:val="22"/>
                <w:szCs w:val="22"/>
              </w:rPr>
            </w:pPr>
          </w:p>
          <w:p w14:paraId="05E0BFDD" w14:textId="77777777" w:rsidR="00114F14" w:rsidRDefault="00114F14" w:rsidP="00CB1A47">
            <w:pPr>
              <w:rPr>
                <w:sz w:val="22"/>
                <w:szCs w:val="22"/>
              </w:rPr>
            </w:pPr>
          </w:p>
          <w:p w14:paraId="53848C0E" w14:textId="77777777" w:rsidR="00114F14" w:rsidRDefault="00114F14" w:rsidP="00CB1A47">
            <w:pPr>
              <w:rPr>
                <w:sz w:val="22"/>
                <w:szCs w:val="22"/>
              </w:rPr>
            </w:pPr>
          </w:p>
          <w:p w14:paraId="09AA8F44" w14:textId="77777777" w:rsidR="00114F14" w:rsidRDefault="00114F14" w:rsidP="00CB1A47">
            <w:pPr>
              <w:rPr>
                <w:sz w:val="22"/>
                <w:szCs w:val="22"/>
              </w:rPr>
            </w:pPr>
          </w:p>
          <w:p w14:paraId="0B15F8C2" w14:textId="77777777" w:rsidR="00114F14" w:rsidRDefault="00114F14" w:rsidP="00CB1A47">
            <w:pPr>
              <w:rPr>
                <w:sz w:val="22"/>
                <w:szCs w:val="22"/>
              </w:rPr>
            </w:pPr>
          </w:p>
          <w:p w14:paraId="219A63D0" w14:textId="77777777" w:rsidR="00114F14" w:rsidRDefault="00114F14" w:rsidP="00CB1A47">
            <w:pPr>
              <w:rPr>
                <w:sz w:val="22"/>
                <w:szCs w:val="22"/>
              </w:rPr>
            </w:pPr>
          </w:p>
          <w:p w14:paraId="3BC25D20" w14:textId="77777777" w:rsidR="00114F14" w:rsidRDefault="00114F14" w:rsidP="00CB1A47">
            <w:pPr>
              <w:rPr>
                <w:sz w:val="22"/>
                <w:szCs w:val="22"/>
              </w:rPr>
            </w:pPr>
          </w:p>
          <w:p w14:paraId="5E0FC878" w14:textId="77777777" w:rsidR="00114F14" w:rsidRDefault="00114F14" w:rsidP="00CB1A47">
            <w:pPr>
              <w:rPr>
                <w:sz w:val="22"/>
                <w:szCs w:val="22"/>
              </w:rPr>
            </w:pPr>
          </w:p>
          <w:p w14:paraId="4211DBF6" w14:textId="77777777" w:rsidR="00114F14" w:rsidRDefault="00114F14" w:rsidP="00CB1A47">
            <w:pPr>
              <w:rPr>
                <w:sz w:val="22"/>
                <w:szCs w:val="22"/>
              </w:rPr>
            </w:pPr>
          </w:p>
          <w:p w14:paraId="51BFE864" w14:textId="77777777" w:rsidR="00114F14" w:rsidRDefault="00114F14" w:rsidP="00CB1A47">
            <w:pPr>
              <w:rPr>
                <w:sz w:val="22"/>
                <w:szCs w:val="22"/>
              </w:rPr>
            </w:pPr>
          </w:p>
          <w:p w14:paraId="530919ED" w14:textId="77777777" w:rsidR="00114F14" w:rsidRDefault="00114F14" w:rsidP="00CB1A47">
            <w:pPr>
              <w:rPr>
                <w:sz w:val="22"/>
                <w:szCs w:val="22"/>
              </w:rPr>
            </w:pPr>
          </w:p>
          <w:p w14:paraId="3DFE66C2" w14:textId="77777777" w:rsidR="00114F14" w:rsidRDefault="00114F14" w:rsidP="00CB1A47">
            <w:pPr>
              <w:rPr>
                <w:sz w:val="22"/>
                <w:szCs w:val="22"/>
              </w:rPr>
            </w:pPr>
          </w:p>
          <w:p w14:paraId="4C75CF6E" w14:textId="77777777" w:rsidR="00114F14" w:rsidRDefault="00114F14" w:rsidP="00CB1A47">
            <w:pPr>
              <w:rPr>
                <w:sz w:val="22"/>
                <w:szCs w:val="22"/>
              </w:rPr>
            </w:pPr>
          </w:p>
          <w:p w14:paraId="44A9BC4A" w14:textId="77777777" w:rsidR="00114F14" w:rsidRDefault="00114F14" w:rsidP="00CB1A47">
            <w:pPr>
              <w:rPr>
                <w:sz w:val="22"/>
                <w:szCs w:val="22"/>
              </w:rPr>
            </w:pPr>
          </w:p>
          <w:p w14:paraId="7C9701DE" w14:textId="77777777" w:rsidR="00114F14" w:rsidRDefault="00114F14" w:rsidP="00CB1A47">
            <w:pPr>
              <w:rPr>
                <w:sz w:val="22"/>
                <w:szCs w:val="22"/>
              </w:rPr>
            </w:pPr>
          </w:p>
          <w:p w14:paraId="671051FA" w14:textId="13E2A190" w:rsidR="00114F14" w:rsidRDefault="00114F14" w:rsidP="00CB1A47">
            <w:pPr>
              <w:rPr>
                <w:sz w:val="22"/>
                <w:szCs w:val="22"/>
              </w:rPr>
            </w:pPr>
            <w:r>
              <w:rPr>
                <w:sz w:val="22"/>
                <w:szCs w:val="22"/>
              </w:rPr>
              <w:t>Department to submit a report to Joint Standing Committee on Education &amp; Cultural Affairs by February 1, 2020</w:t>
            </w:r>
          </w:p>
          <w:p w14:paraId="5D6AD13A" w14:textId="77777777" w:rsidR="00114F14" w:rsidRDefault="00114F14" w:rsidP="00CB1A47">
            <w:pPr>
              <w:rPr>
                <w:sz w:val="22"/>
                <w:szCs w:val="22"/>
              </w:rPr>
            </w:pPr>
          </w:p>
          <w:p w14:paraId="48DDB4FD" w14:textId="77777777" w:rsidR="00114F14" w:rsidRDefault="00114F14" w:rsidP="00CB1A47">
            <w:pPr>
              <w:rPr>
                <w:sz w:val="22"/>
                <w:szCs w:val="22"/>
              </w:rPr>
            </w:pPr>
          </w:p>
          <w:p w14:paraId="35D33ECD" w14:textId="77777777" w:rsidR="00114F14" w:rsidRDefault="00114F14" w:rsidP="00CB1A47">
            <w:pPr>
              <w:rPr>
                <w:sz w:val="22"/>
                <w:szCs w:val="22"/>
              </w:rPr>
            </w:pPr>
          </w:p>
          <w:p w14:paraId="6B2387C4" w14:textId="77777777" w:rsidR="00114F14" w:rsidRDefault="00114F14" w:rsidP="00CB1A47">
            <w:pPr>
              <w:rPr>
                <w:sz w:val="22"/>
                <w:szCs w:val="22"/>
              </w:rPr>
            </w:pPr>
          </w:p>
          <w:p w14:paraId="28E21B0A" w14:textId="041D17B7" w:rsidR="00114F14" w:rsidRPr="00433A3D" w:rsidRDefault="00114F14" w:rsidP="00CB1A47">
            <w:pPr>
              <w:rPr>
                <w:sz w:val="22"/>
                <w:szCs w:val="22"/>
              </w:rPr>
            </w:pPr>
          </w:p>
        </w:tc>
      </w:tr>
    </w:tbl>
    <w:bookmarkEnd w:id="17"/>
    <w:p w14:paraId="06939EBB" w14:textId="5275E8B5" w:rsidR="007B29BB" w:rsidRDefault="000656E8" w:rsidP="007B29BB">
      <w:pPr>
        <w:jc w:val="center"/>
        <w:rPr>
          <w:b/>
          <w:sz w:val="22"/>
          <w:szCs w:val="22"/>
          <w:u w:val="single"/>
        </w:rPr>
      </w:pPr>
      <w:r>
        <w:rPr>
          <w:b/>
          <w:sz w:val="28"/>
          <w:szCs w:val="28"/>
        </w:rPr>
        <w:t>Leg</w:t>
      </w:r>
      <w:r w:rsidR="007B29BB">
        <w:rPr>
          <w:b/>
          <w:sz w:val="28"/>
          <w:szCs w:val="28"/>
        </w:rPr>
        <w:t xml:space="preserve">islation Requiring Rulemaking </w:t>
      </w:r>
    </w:p>
    <w:p w14:paraId="683D113F" w14:textId="77777777" w:rsidR="007B29BB" w:rsidRDefault="007B29BB" w:rsidP="007B29BB">
      <w:pPr>
        <w:rPr>
          <w:b/>
          <w:sz w:val="22"/>
          <w:szCs w:val="22"/>
          <w:u w:val="single"/>
        </w:rPr>
      </w:pPr>
    </w:p>
    <w:p w14:paraId="09CB8943" w14:textId="77777777" w:rsidR="007B29BB" w:rsidRDefault="007B29BB" w:rsidP="007B29BB">
      <w:pPr>
        <w:rPr>
          <w:b/>
          <w:sz w:val="22"/>
          <w:szCs w:val="22"/>
          <w:u w:val="single"/>
        </w:rPr>
      </w:pPr>
      <w:r w:rsidRPr="004B5DD0">
        <w:rPr>
          <w:b/>
          <w:sz w:val="22"/>
          <w:szCs w:val="22"/>
          <w:u w:val="single"/>
        </w:rPr>
        <w:t>Rulemaking</w:t>
      </w:r>
    </w:p>
    <w:p w14:paraId="3868C2CD" w14:textId="63BBC61C" w:rsidR="003A00F4" w:rsidRDefault="003A00F4" w:rsidP="00EF6670">
      <w:pPr>
        <w:rPr>
          <w:i/>
          <w:strike/>
          <w:sz w:val="22"/>
          <w:szCs w:val="22"/>
        </w:rPr>
      </w:pPr>
    </w:p>
    <w:p w14:paraId="5D53387B" w14:textId="77777777" w:rsidR="00EB753E" w:rsidRDefault="00EB753E" w:rsidP="00EB753E">
      <w:pPr>
        <w:rPr>
          <w:i/>
        </w:rPr>
      </w:pPr>
      <w:r w:rsidRPr="0005087A">
        <w:t>LD 92</w:t>
      </w:r>
      <w:r>
        <w:t xml:space="preserve"> - </w:t>
      </w:r>
      <w:r w:rsidRPr="00116EAF">
        <w:rPr>
          <w:i/>
        </w:rPr>
        <w:t xml:space="preserve">An Act </w:t>
      </w:r>
      <w:proofErr w:type="gramStart"/>
      <w:r w:rsidRPr="00116EAF">
        <w:rPr>
          <w:i/>
        </w:rPr>
        <w:t>To</w:t>
      </w:r>
      <w:proofErr w:type="gramEnd"/>
      <w:r w:rsidRPr="00116EAF">
        <w:rPr>
          <w:i/>
        </w:rPr>
        <w:t xml:space="preserve"> Amend Teacher Evaluation Requirements</w:t>
      </w:r>
    </w:p>
    <w:p w14:paraId="5CAAA1A5" w14:textId="77777777" w:rsidR="00EB753E" w:rsidRDefault="00EB753E" w:rsidP="00EB753E"/>
    <w:p w14:paraId="1908246A" w14:textId="77777777" w:rsidR="00EB753E" w:rsidRDefault="00EB753E" w:rsidP="00EB753E">
      <w:pPr>
        <w:rPr>
          <w:i/>
        </w:rPr>
      </w:pPr>
      <w:r w:rsidRPr="0005087A">
        <w:t>LD 97</w:t>
      </w:r>
      <w:r>
        <w:t xml:space="preserve">- </w:t>
      </w:r>
      <w:r>
        <w:rPr>
          <w:i/>
        </w:rPr>
        <w:t>Re</w:t>
      </w:r>
      <w:r w:rsidRPr="001C4751">
        <w:rPr>
          <w:i/>
        </w:rPr>
        <w:t xml:space="preserve">solve, Regarding Legislative Review of Portions of Chapter 38: Suicide Awareness </w:t>
      </w:r>
    </w:p>
    <w:p w14:paraId="6869B871" w14:textId="77777777" w:rsidR="00EB753E" w:rsidRDefault="00EB753E" w:rsidP="00EB753E">
      <w:pPr>
        <w:ind w:left="720"/>
        <w:rPr>
          <w:i/>
        </w:rPr>
      </w:pPr>
      <w:r w:rsidRPr="001C4751">
        <w:rPr>
          <w:i/>
        </w:rPr>
        <w:t>and Prevention in Maine Public Schools, a Major Substantive Rule of the Department of Education (EMERGENCY)</w:t>
      </w:r>
    </w:p>
    <w:p w14:paraId="3AD5C142" w14:textId="77777777" w:rsidR="00EB753E" w:rsidRDefault="00EB753E" w:rsidP="00EB753E"/>
    <w:p w14:paraId="3563E4A2" w14:textId="77777777" w:rsidR="00EB753E" w:rsidRDefault="00EB753E" w:rsidP="00EB753E">
      <w:pPr>
        <w:rPr>
          <w:i/>
        </w:rPr>
      </w:pPr>
      <w:r w:rsidRPr="0005087A">
        <w:t>LD 98</w:t>
      </w:r>
      <w:r>
        <w:t xml:space="preserve"> - </w:t>
      </w:r>
      <w:r w:rsidRPr="006A036C">
        <w:rPr>
          <w:i/>
        </w:rPr>
        <w:t xml:space="preserve">Resolve, Regarding Legislative Review of Portions of Chapter 122: Grant Application </w:t>
      </w:r>
    </w:p>
    <w:p w14:paraId="5446E4A8" w14:textId="77777777" w:rsidR="00EB753E" w:rsidRDefault="00EB753E" w:rsidP="00EB753E">
      <w:pPr>
        <w:ind w:left="720"/>
        <w:rPr>
          <w:i/>
        </w:rPr>
      </w:pPr>
      <w:r w:rsidRPr="006A036C">
        <w:rPr>
          <w:i/>
        </w:rPr>
        <w:t>and Award Procedure: Fund for the Efficient Delivery of Educational Services, a Major Substantive Rule of the Department of Education (EMERGENCY)</w:t>
      </w:r>
    </w:p>
    <w:p w14:paraId="3EBED7A6" w14:textId="77777777" w:rsidR="00EB753E" w:rsidRDefault="00EB753E" w:rsidP="00EB753E"/>
    <w:p w14:paraId="3A63D43F" w14:textId="77777777" w:rsidR="00EB753E" w:rsidRDefault="00EB753E" w:rsidP="00EB753E">
      <w:pPr>
        <w:rPr>
          <w:i/>
        </w:rPr>
      </w:pPr>
      <w:r w:rsidRPr="0005087A">
        <w:t>LD 103</w:t>
      </w:r>
      <w:r>
        <w:t xml:space="preserve"> - </w:t>
      </w:r>
      <w:r w:rsidRPr="0005087A">
        <w:rPr>
          <w:i/>
        </w:rPr>
        <w:t xml:space="preserve">An Act </w:t>
      </w:r>
      <w:proofErr w:type="gramStart"/>
      <w:r w:rsidRPr="0005087A">
        <w:rPr>
          <w:i/>
        </w:rPr>
        <w:t>To</w:t>
      </w:r>
      <w:proofErr w:type="gramEnd"/>
      <w:r w:rsidRPr="0005087A">
        <w:rPr>
          <w:i/>
        </w:rPr>
        <w:t xml:space="preserve"> Ensure the Integrity of For-profit Colleges and</w:t>
      </w:r>
      <w:r w:rsidRPr="00BE21E2">
        <w:rPr>
          <w:i/>
        </w:rPr>
        <w:t xml:space="preserve"> Universities</w:t>
      </w:r>
    </w:p>
    <w:p w14:paraId="22D23FAB" w14:textId="77777777" w:rsidR="00EB753E" w:rsidRDefault="00EB753E" w:rsidP="00EB753E"/>
    <w:p w14:paraId="76E1413C" w14:textId="77777777" w:rsidR="00EB753E" w:rsidRDefault="00EB753E" w:rsidP="00EB753E">
      <w:pPr>
        <w:rPr>
          <w:i/>
        </w:rPr>
      </w:pPr>
      <w:r w:rsidRPr="0005087A">
        <w:t>LD 151</w:t>
      </w:r>
      <w:r>
        <w:t xml:space="preserve"> - </w:t>
      </w:r>
      <w:r w:rsidRPr="00764C5C">
        <w:rPr>
          <w:i/>
        </w:rPr>
        <w:t xml:space="preserve">An Act </w:t>
      </w:r>
      <w:proofErr w:type="gramStart"/>
      <w:r w:rsidRPr="00764C5C">
        <w:rPr>
          <w:i/>
        </w:rPr>
        <w:t>To</w:t>
      </w:r>
      <w:proofErr w:type="gramEnd"/>
      <w:r w:rsidRPr="00764C5C">
        <w:rPr>
          <w:i/>
        </w:rPr>
        <w:t xml:space="preserve"> Align State Law with Current Practice Regarding Required School </w:t>
      </w:r>
    </w:p>
    <w:p w14:paraId="3A908AE4" w14:textId="77777777" w:rsidR="00EB753E" w:rsidRPr="00764C5C" w:rsidRDefault="00EB753E" w:rsidP="00EB753E">
      <w:pPr>
        <w:ind w:firstLine="720"/>
        <w:rPr>
          <w:i/>
        </w:rPr>
      </w:pPr>
      <w:r w:rsidRPr="00764C5C">
        <w:rPr>
          <w:i/>
        </w:rPr>
        <w:t>Attendance</w:t>
      </w:r>
    </w:p>
    <w:p w14:paraId="562D1C7A" w14:textId="77777777" w:rsidR="00EB753E" w:rsidRDefault="00EB753E" w:rsidP="00EB753E"/>
    <w:p w14:paraId="1BAA5162" w14:textId="5ADE0FE8" w:rsidR="00EB753E" w:rsidRPr="00DB29A8" w:rsidRDefault="00EB753E" w:rsidP="00EB753E">
      <w:r w:rsidRPr="0005087A">
        <w:t>LD 153</w:t>
      </w:r>
      <w:r>
        <w:t xml:space="preserve"> - </w:t>
      </w:r>
      <w:r w:rsidRPr="0005087A">
        <w:rPr>
          <w:i/>
        </w:rPr>
        <w:t xml:space="preserve">An Act </w:t>
      </w:r>
      <w:proofErr w:type="gramStart"/>
      <w:r w:rsidRPr="0005087A">
        <w:rPr>
          <w:i/>
        </w:rPr>
        <w:t>To</w:t>
      </w:r>
      <w:proofErr w:type="gramEnd"/>
      <w:r w:rsidRPr="0005087A">
        <w:rPr>
          <w:i/>
        </w:rPr>
        <w:t xml:space="preserve"> Strengthen Testing for Lead in School Drinking</w:t>
      </w:r>
      <w:r w:rsidRPr="003D4A7B">
        <w:rPr>
          <w:i/>
        </w:rPr>
        <w:t xml:space="preserve"> Water</w:t>
      </w:r>
      <w:r w:rsidR="003C091B">
        <w:rPr>
          <w:i/>
        </w:rPr>
        <w:t xml:space="preserve"> </w:t>
      </w:r>
      <w:r w:rsidR="00DB29A8">
        <w:rPr>
          <w:i/>
        </w:rPr>
        <w:t>–</w:t>
      </w:r>
      <w:r w:rsidR="003C091B">
        <w:rPr>
          <w:i/>
        </w:rPr>
        <w:t xml:space="preserve"> </w:t>
      </w:r>
      <w:r w:rsidR="00DB29A8">
        <w:t>Note added to Rule</w:t>
      </w:r>
    </w:p>
    <w:p w14:paraId="7000E701" w14:textId="77777777" w:rsidR="00EB753E" w:rsidRDefault="00EB753E" w:rsidP="00EB753E">
      <w:pPr>
        <w:rPr>
          <w:i/>
        </w:rPr>
      </w:pPr>
    </w:p>
    <w:p w14:paraId="6DAAF95C" w14:textId="77777777" w:rsidR="00EB753E" w:rsidRDefault="00EB753E" w:rsidP="00EB753E">
      <w:pPr>
        <w:rPr>
          <w:i/>
        </w:rPr>
      </w:pPr>
      <w:r w:rsidRPr="0005087A">
        <w:t>LD 247</w:t>
      </w:r>
      <w:r>
        <w:t xml:space="preserve"> - </w:t>
      </w:r>
      <w:r w:rsidRPr="00B82941">
        <w:rPr>
          <w:i/>
        </w:rPr>
        <w:t xml:space="preserve">An Act </w:t>
      </w:r>
      <w:proofErr w:type="gramStart"/>
      <w:r w:rsidRPr="00B82941">
        <w:rPr>
          <w:i/>
        </w:rPr>
        <w:t>To</w:t>
      </w:r>
      <w:proofErr w:type="gramEnd"/>
      <w:r w:rsidRPr="00B82941">
        <w:rPr>
          <w:i/>
        </w:rPr>
        <w:t xml:space="preserve"> Increase the Amount of Time School Counselors and Social Workers Spend </w:t>
      </w:r>
    </w:p>
    <w:p w14:paraId="532D431E" w14:textId="77777777" w:rsidR="00EB753E" w:rsidRPr="003D4A7B" w:rsidRDefault="00EB753E" w:rsidP="00EB753E">
      <w:pPr>
        <w:ind w:firstLine="720"/>
        <w:rPr>
          <w:i/>
        </w:rPr>
      </w:pPr>
      <w:r w:rsidRPr="00B82941">
        <w:rPr>
          <w:i/>
        </w:rPr>
        <w:t>Providing Student</w:t>
      </w:r>
      <w:r>
        <w:rPr>
          <w:i/>
        </w:rPr>
        <w:t>s Direct and Indirect Counseling</w:t>
      </w:r>
    </w:p>
    <w:p w14:paraId="0A74CA1E" w14:textId="77777777" w:rsidR="00EB753E" w:rsidRDefault="00EB753E" w:rsidP="00EB753E"/>
    <w:p w14:paraId="3D7A89CF" w14:textId="77777777" w:rsidR="00EB753E" w:rsidRDefault="00EB753E" w:rsidP="00EB753E">
      <w:pPr>
        <w:rPr>
          <w:i/>
        </w:rPr>
      </w:pPr>
      <w:r w:rsidRPr="0005087A">
        <w:t>LD 283</w:t>
      </w:r>
      <w:r>
        <w:t xml:space="preserve"> - </w:t>
      </w:r>
      <w:r w:rsidRPr="00B82941">
        <w:rPr>
          <w:i/>
        </w:rPr>
        <w:t xml:space="preserve">Resolve, Regarding Legislative Review of Portions of Chapter 132: Learning Results: </w:t>
      </w:r>
    </w:p>
    <w:p w14:paraId="2105AAC9" w14:textId="77777777" w:rsidR="00EB753E" w:rsidRDefault="00EB753E" w:rsidP="00EB753E">
      <w:pPr>
        <w:ind w:left="720"/>
      </w:pPr>
      <w:r w:rsidRPr="00B82941">
        <w:rPr>
          <w:i/>
        </w:rPr>
        <w:t>Parameters for Essential Instruction, a Major Substantive Rule of the Department of Education (EMERGENCY)</w:t>
      </w:r>
    </w:p>
    <w:p w14:paraId="717599AA" w14:textId="77777777" w:rsidR="00EB753E" w:rsidRDefault="00EB753E" w:rsidP="00EB753E">
      <w:pPr>
        <w:rPr>
          <w:b/>
        </w:rPr>
      </w:pPr>
    </w:p>
    <w:p w14:paraId="4794F4E3" w14:textId="77777777" w:rsidR="00EB753E" w:rsidRDefault="00EB753E" w:rsidP="00EB753E">
      <w:pPr>
        <w:rPr>
          <w:i/>
        </w:rPr>
      </w:pPr>
      <w:r w:rsidRPr="0005087A">
        <w:t>LD 388</w:t>
      </w:r>
      <w:r>
        <w:t xml:space="preserve"> - </w:t>
      </w:r>
      <w:r w:rsidRPr="00C5092A">
        <w:rPr>
          <w:i/>
        </w:rPr>
        <w:t xml:space="preserve">An Act </w:t>
      </w:r>
      <w:proofErr w:type="gramStart"/>
      <w:r w:rsidRPr="00C5092A">
        <w:rPr>
          <w:i/>
        </w:rPr>
        <w:t>To</w:t>
      </w:r>
      <w:proofErr w:type="gramEnd"/>
      <w:r w:rsidRPr="00C5092A">
        <w:rPr>
          <w:i/>
        </w:rPr>
        <w:t xml:space="preserve"> Recognize Employee Background Checks Conducted for Out-of-state </w:t>
      </w:r>
    </w:p>
    <w:p w14:paraId="3883721F" w14:textId="77777777" w:rsidR="00EB753E" w:rsidRDefault="00EB753E" w:rsidP="00EB753E">
      <w:pPr>
        <w:ind w:firstLine="720"/>
        <w:rPr>
          <w:i/>
        </w:rPr>
      </w:pPr>
      <w:r w:rsidRPr="00C5092A">
        <w:rPr>
          <w:i/>
        </w:rPr>
        <w:t>Schools Eligible for Maine Tuition Assistance (EMERGENCY)</w:t>
      </w:r>
    </w:p>
    <w:p w14:paraId="25BDD7F2" w14:textId="77777777" w:rsidR="00EB753E" w:rsidRDefault="00EB753E" w:rsidP="00EB753E"/>
    <w:p w14:paraId="7F1219BB" w14:textId="77777777" w:rsidR="00EB753E" w:rsidRDefault="00EB753E" w:rsidP="00EB753E">
      <w:pPr>
        <w:rPr>
          <w:i/>
        </w:rPr>
      </w:pPr>
      <w:r w:rsidRPr="0005087A">
        <w:t>LD 441</w:t>
      </w:r>
      <w:r>
        <w:t xml:space="preserve"> - </w:t>
      </w:r>
      <w:r w:rsidRPr="00A97D16">
        <w:rPr>
          <w:i/>
        </w:rPr>
        <w:t xml:space="preserve">An Act </w:t>
      </w:r>
      <w:proofErr w:type="gramStart"/>
      <w:r w:rsidRPr="00A97D16">
        <w:rPr>
          <w:i/>
        </w:rPr>
        <w:t>To</w:t>
      </w:r>
      <w:proofErr w:type="gramEnd"/>
      <w:r w:rsidRPr="00A97D16">
        <w:rPr>
          <w:i/>
        </w:rPr>
        <w:t xml:space="preserve"> Reduce Childhood Exposure to Harmful Ultraviolet Radiation by Allowing </w:t>
      </w:r>
    </w:p>
    <w:p w14:paraId="74720B53" w14:textId="77777777" w:rsidR="00EB753E" w:rsidRDefault="00EB753E" w:rsidP="00EB753E">
      <w:pPr>
        <w:ind w:firstLine="720"/>
        <w:rPr>
          <w:i/>
        </w:rPr>
      </w:pPr>
      <w:r w:rsidRPr="00A97D16">
        <w:rPr>
          <w:i/>
        </w:rPr>
        <w:t xml:space="preserve">Students </w:t>
      </w:r>
      <w:proofErr w:type="gramStart"/>
      <w:r w:rsidRPr="00A97D16">
        <w:rPr>
          <w:i/>
        </w:rPr>
        <w:t>To</w:t>
      </w:r>
      <w:proofErr w:type="gramEnd"/>
      <w:r w:rsidRPr="00A97D16">
        <w:rPr>
          <w:i/>
        </w:rPr>
        <w:t xml:space="preserve"> Use Sunscreen in Schools</w:t>
      </w:r>
    </w:p>
    <w:p w14:paraId="56295AAC" w14:textId="77777777" w:rsidR="00EB753E" w:rsidRDefault="00EB753E" w:rsidP="00EB753E"/>
    <w:p w14:paraId="0B886B81" w14:textId="77777777" w:rsidR="00EB753E" w:rsidRDefault="00EB753E" w:rsidP="00EB753E">
      <w:pPr>
        <w:rPr>
          <w:i/>
        </w:rPr>
      </w:pPr>
      <w:r w:rsidRPr="0005087A">
        <w:t>LD 651</w:t>
      </w:r>
      <w:r>
        <w:t xml:space="preserve"> - </w:t>
      </w:r>
      <w:r w:rsidRPr="003C06A3">
        <w:rPr>
          <w:i/>
        </w:rPr>
        <w:t xml:space="preserve">Resolve, To Facilitate School Access to Federal Title I Funds and Improve the </w:t>
      </w:r>
    </w:p>
    <w:p w14:paraId="0B90E060" w14:textId="77777777" w:rsidR="00EB753E" w:rsidRDefault="00EB753E" w:rsidP="00EB753E">
      <w:pPr>
        <w:ind w:firstLine="720"/>
        <w:rPr>
          <w:i/>
        </w:rPr>
      </w:pPr>
      <w:r w:rsidRPr="003C06A3">
        <w:rPr>
          <w:i/>
        </w:rPr>
        <w:t>Delivery of Special Education Services</w:t>
      </w:r>
    </w:p>
    <w:p w14:paraId="4FFC724E" w14:textId="2581964B" w:rsidR="00EB753E" w:rsidRDefault="00EB753E" w:rsidP="00EB753E"/>
    <w:p w14:paraId="776F70AB" w14:textId="77777777" w:rsidR="00DE7BA4" w:rsidRDefault="00DE7BA4" w:rsidP="00EB753E"/>
    <w:p w14:paraId="3EDD8508" w14:textId="77777777" w:rsidR="006778CF" w:rsidRDefault="006778CF" w:rsidP="00EB753E"/>
    <w:p w14:paraId="22B9F35A" w14:textId="77777777" w:rsidR="00EB753E" w:rsidRDefault="00EB753E" w:rsidP="00EB753E">
      <w:pPr>
        <w:rPr>
          <w:i/>
        </w:rPr>
      </w:pPr>
      <w:r w:rsidRPr="0005087A">
        <w:t>LD 798</w:t>
      </w:r>
      <w:r>
        <w:t xml:space="preserve">- </w:t>
      </w:r>
      <w:r w:rsidRPr="00C72A64">
        <w:rPr>
          <w:i/>
        </w:rPr>
        <w:t xml:space="preserve">An Act </w:t>
      </w:r>
      <w:proofErr w:type="gramStart"/>
      <w:r w:rsidRPr="00C72A64">
        <w:rPr>
          <w:i/>
        </w:rPr>
        <w:t>To</w:t>
      </w:r>
      <w:proofErr w:type="gramEnd"/>
      <w:r w:rsidRPr="00C72A64">
        <w:rPr>
          <w:i/>
        </w:rPr>
        <w:t xml:space="preserve"> Protect Maine Children and Students from Preventable Diseases by </w:t>
      </w:r>
    </w:p>
    <w:p w14:paraId="52B99571" w14:textId="77777777" w:rsidR="00EB753E" w:rsidRPr="00C72A64" w:rsidRDefault="00EB753E" w:rsidP="00EB753E">
      <w:pPr>
        <w:ind w:firstLine="720"/>
        <w:rPr>
          <w:i/>
        </w:rPr>
      </w:pPr>
      <w:r w:rsidRPr="00C72A64">
        <w:rPr>
          <w:i/>
        </w:rPr>
        <w:t>Repealing Certain Exemptions from the Laws Governing Immunization Requirements</w:t>
      </w:r>
    </w:p>
    <w:p w14:paraId="34A6F069" w14:textId="77777777" w:rsidR="00EB753E" w:rsidRDefault="00EB753E" w:rsidP="00EB753E"/>
    <w:p w14:paraId="0361B641" w14:textId="77777777" w:rsidR="00EB753E" w:rsidRDefault="00EB753E" w:rsidP="00EB753E">
      <w:pPr>
        <w:pStyle w:val="Default"/>
        <w:rPr>
          <w:i/>
        </w:rPr>
      </w:pPr>
      <w:r>
        <w:rPr>
          <w:sz w:val="22"/>
          <w:szCs w:val="22"/>
        </w:rPr>
        <w:t xml:space="preserve">LD 1001 - </w:t>
      </w:r>
      <w:r w:rsidRPr="005E2997">
        <w:rPr>
          <w:i/>
        </w:rPr>
        <w:t xml:space="preserve">An Act Making Unified Appropriations and Allocations for the Expenditures of State </w:t>
      </w:r>
    </w:p>
    <w:p w14:paraId="56998160" w14:textId="6E3D3B16" w:rsidR="00EB753E" w:rsidRPr="0005087A" w:rsidRDefault="00EB753E" w:rsidP="00EB753E">
      <w:pPr>
        <w:pStyle w:val="Default"/>
        <w:ind w:left="720"/>
        <w:rPr>
          <w:bCs/>
        </w:rPr>
      </w:pPr>
      <w:r w:rsidRPr="005E2997">
        <w:rPr>
          <w:i/>
        </w:rPr>
        <w:t>Government, General Fund and Other Funds, and Changing Certain Provisions of the Law Necessary to the Proper Operations of State Government for the Fiscal Years Ending June 30, 2019, June 30, 2020 and June 30, 2021 (</w:t>
      </w:r>
      <w:r>
        <w:rPr>
          <w:i/>
        </w:rPr>
        <w:t>EMERGENCY) (</w:t>
      </w:r>
      <w:r w:rsidRPr="0005087A">
        <w:t xml:space="preserve">GOVERNOR'S BILL) </w:t>
      </w:r>
      <w:r w:rsidRPr="0005087A">
        <w:rPr>
          <w:bCs/>
        </w:rPr>
        <w:t xml:space="preserve">PART ZZZZ </w:t>
      </w:r>
      <w:proofErr w:type="gramStart"/>
      <w:r w:rsidR="003C091B">
        <w:rPr>
          <w:bCs/>
        </w:rPr>
        <w:t xml:space="preserve">- </w:t>
      </w:r>
      <w:r w:rsidR="00DB29A8">
        <w:rPr>
          <w:bCs/>
        </w:rPr>
        <w:t xml:space="preserve"> Note</w:t>
      </w:r>
      <w:proofErr w:type="gramEnd"/>
      <w:r w:rsidR="00DB29A8">
        <w:rPr>
          <w:bCs/>
        </w:rPr>
        <w:t xml:space="preserve"> added to Rule.</w:t>
      </w:r>
    </w:p>
    <w:p w14:paraId="5A052EB1" w14:textId="77777777" w:rsidR="00EB753E" w:rsidRDefault="00EB753E" w:rsidP="00EB753E"/>
    <w:p w14:paraId="13DD2EF2" w14:textId="77777777" w:rsidR="00EB753E" w:rsidRDefault="00EB753E" w:rsidP="00EB753E">
      <w:pPr>
        <w:rPr>
          <w:i/>
        </w:rPr>
      </w:pPr>
      <w:r w:rsidRPr="007673EB">
        <w:t>LD 1079</w:t>
      </w:r>
      <w:r>
        <w:t xml:space="preserve"> - </w:t>
      </w:r>
      <w:r w:rsidRPr="007673EB">
        <w:rPr>
          <w:i/>
        </w:rPr>
        <w:t xml:space="preserve">An Act </w:t>
      </w:r>
      <w:proofErr w:type="gramStart"/>
      <w:r w:rsidRPr="007673EB">
        <w:rPr>
          <w:i/>
        </w:rPr>
        <w:t>To</w:t>
      </w:r>
      <w:proofErr w:type="gramEnd"/>
      <w:r w:rsidRPr="007673EB">
        <w:rPr>
          <w:i/>
        </w:rPr>
        <w:t xml:space="preserve"> Authorize Public Schools To Periodically Test for</w:t>
      </w:r>
      <w:r w:rsidRPr="0023250C">
        <w:rPr>
          <w:i/>
        </w:rPr>
        <w:t xml:space="preserve"> Radon</w:t>
      </w:r>
    </w:p>
    <w:p w14:paraId="275EA9F2" w14:textId="77777777" w:rsidR="00EB753E" w:rsidRDefault="00EB753E" w:rsidP="00EB753E"/>
    <w:p w14:paraId="75AA6CF2" w14:textId="77777777" w:rsidR="00EB753E" w:rsidRDefault="00EB753E" w:rsidP="00EB753E">
      <w:pPr>
        <w:rPr>
          <w:i/>
        </w:rPr>
      </w:pPr>
      <w:r w:rsidRPr="003057AF">
        <w:t>LD 1478</w:t>
      </w:r>
      <w:r>
        <w:t xml:space="preserve"> - </w:t>
      </w:r>
      <w:r w:rsidRPr="00FF3470">
        <w:rPr>
          <w:i/>
        </w:rPr>
        <w:t xml:space="preserve">Resolve, Regarding Legislative Review of Portions of Chapter 115: The Credentialing </w:t>
      </w:r>
    </w:p>
    <w:p w14:paraId="26227D6C" w14:textId="77777777" w:rsidR="00EB753E" w:rsidRPr="0005087A" w:rsidRDefault="00EB753E" w:rsidP="00EB753E">
      <w:pPr>
        <w:ind w:left="720"/>
      </w:pPr>
      <w:r w:rsidRPr="00FF3470">
        <w:rPr>
          <w:i/>
        </w:rPr>
        <w:t>of Education Personnel, a Late-filed Major Substantive Rule of the Department of Education (EMERGENCY)</w:t>
      </w:r>
    </w:p>
    <w:p w14:paraId="35AC0626" w14:textId="77777777" w:rsidR="00EB753E" w:rsidRDefault="00EB753E" w:rsidP="00EF6670">
      <w:pPr>
        <w:rPr>
          <w:i/>
          <w:strike/>
          <w:sz w:val="22"/>
          <w:szCs w:val="22"/>
        </w:rPr>
      </w:pPr>
    </w:p>
    <w:p w14:paraId="0F289182" w14:textId="1A68F921" w:rsidR="003A00F4" w:rsidRDefault="003A00F4" w:rsidP="003A00F4">
      <w:pPr>
        <w:jc w:val="center"/>
        <w:rPr>
          <w:b/>
          <w:sz w:val="22"/>
          <w:szCs w:val="22"/>
        </w:rPr>
      </w:pPr>
    </w:p>
    <w:p w14:paraId="482A3417" w14:textId="3B05F29B" w:rsidR="003A00F4" w:rsidRPr="003A00F4" w:rsidRDefault="003A00F4" w:rsidP="003A00F4">
      <w:pPr>
        <w:jc w:val="center"/>
        <w:rPr>
          <w:b/>
          <w:sz w:val="28"/>
          <w:szCs w:val="28"/>
        </w:rPr>
      </w:pPr>
    </w:p>
    <w:p w14:paraId="69FF463C" w14:textId="77777777" w:rsidR="00EB753E" w:rsidRDefault="00EB753E" w:rsidP="003A00F4">
      <w:pPr>
        <w:jc w:val="center"/>
        <w:rPr>
          <w:b/>
          <w:sz w:val="28"/>
          <w:szCs w:val="28"/>
        </w:rPr>
      </w:pPr>
    </w:p>
    <w:p w14:paraId="1B79001D" w14:textId="77777777" w:rsidR="00EB753E" w:rsidRDefault="00EB753E" w:rsidP="003A00F4">
      <w:pPr>
        <w:jc w:val="center"/>
        <w:rPr>
          <w:b/>
          <w:sz w:val="28"/>
          <w:szCs w:val="28"/>
        </w:rPr>
      </w:pPr>
    </w:p>
    <w:p w14:paraId="5E5B3405" w14:textId="77777777" w:rsidR="00EB753E" w:rsidRDefault="00EB753E" w:rsidP="003A00F4">
      <w:pPr>
        <w:jc w:val="center"/>
        <w:rPr>
          <w:b/>
          <w:sz w:val="28"/>
          <w:szCs w:val="28"/>
        </w:rPr>
      </w:pPr>
    </w:p>
    <w:p w14:paraId="2F7C81C0" w14:textId="77777777" w:rsidR="00EB753E" w:rsidRDefault="00EB753E" w:rsidP="003A00F4">
      <w:pPr>
        <w:jc w:val="center"/>
        <w:rPr>
          <w:b/>
          <w:sz w:val="28"/>
          <w:szCs w:val="28"/>
        </w:rPr>
      </w:pPr>
    </w:p>
    <w:p w14:paraId="1573B13A" w14:textId="77777777" w:rsidR="00EB753E" w:rsidRDefault="00EB753E" w:rsidP="003A00F4">
      <w:pPr>
        <w:jc w:val="center"/>
        <w:rPr>
          <w:b/>
          <w:sz w:val="28"/>
          <w:szCs w:val="28"/>
        </w:rPr>
      </w:pPr>
    </w:p>
    <w:p w14:paraId="6FD1D310" w14:textId="77777777" w:rsidR="00EB753E" w:rsidRDefault="00EB753E" w:rsidP="003A00F4">
      <w:pPr>
        <w:jc w:val="center"/>
        <w:rPr>
          <w:b/>
          <w:sz w:val="28"/>
          <w:szCs w:val="28"/>
        </w:rPr>
      </w:pPr>
    </w:p>
    <w:p w14:paraId="581BBD8C" w14:textId="77777777" w:rsidR="00EB753E" w:rsidRDefault="00EB753E" w:rsidP="003A00F4">
      <w:pPr>
        <w:jc w:val="center"/>
        <w:rPr>
          <w:b/>
          <w:sz w:val="28"/>
          <w:szCs w:val="28"/>
        </w:rPr>
      </w:pPr>
    </w:p>
    <w:p w14:paraId="28849ED4" w14:textId="77777777" w:rsidR="00EB753E" w:rsidRDefault="00EB753E" w:rsidP="003A00F4">
      <w:pPr>
        <w:jc w:val="center"/>
        <w:rPr>
          <w:b/>
          <w:sz w:val="28"/>
          <w:szCs w:val="28"/>
        </w:rPr>
      </w:pPr>
    </w:p>
    <w:p w14:paraId="32838F6A" w14:textId="77777777" w:rsidR="00EB753E" w:rsidRDefault="00EB753E" w:rsidP="003A00F4">
      <w:pPr>
        <w:jc w:val="center"/>
        <w:rPr>
          <w:b/>
          <w:sz w:val="28"/>
          <w:szCs w:val="28"/>
        </w:rPr>
      </w:pPr>
    </w:p>
    <w:p w14:paraId="33C0ECF7" w14:textId="77777777" w:rsidR="00EB753E" w:rsidRDefault="00EB753E" w:rsidP="003A00F4">
      <w:pPr>
        <w:jc w:val="center"/>
        <w:rPr>
          <w:b/>
          <w:sz w:val="28"/>
          <w:szCs w:val="28"/>
        </w:rPr>
      </w:pPr>
    </w:p>
    <w:p w14:paraId="053F64AF" w14:textId="77777777" w:rsidR="00EB753E" w:rsidRDefault="00EB753E" w:rsidP="003A00F4">
      <w:pPr>
        <w:jc w:val="center"/>
        <w:rPr>
          <w:b/>
          <w:sz w:val="28"/>
          <w:szCs w:val="28"/>
        </w:rPr>
      </w:pPr>
    </w:p>
    <w:p w14:paraId="47451E08" w14:textId="77777777" w:rsidR="00EB753E" w:rsidRDefault="00EB753E" w:rsidP="003A00F4">
      <w:pPr>
        <w:jc w:val="center"/>
        <w:rPr>
          <w:b/>
          <w:sz w:val="28"/>
          <w:szCs w:val="28"/>
        </w:rPr>
      </w:pPr>
    </w:p>
    <w:p w14:paraId="6495CE20" w14:textId="77777777" w:rsidR="00EB753E" w:rsidRDefault="00EB753E" w:rsidP="003A00F4">
      <w:pPr>
        <w:jc w:val="center"/>
        <w:rPr>
          <w:b/>
          <w:sz w:val="28"/>
          <w:szCs w:val="28"/>
        </w:rPr>
      </w:pPr>
    </w:p>
    <w:p w14:paraId="5524859B" w14:textId="77777777" w:rsidR="00EB753E" w:rsidRDefault="00EB753E" w:rsidP="003A00F4">
      <w:pPr>
        <w:jc w:val="center"/>
        <w:rPr>
          <w:b/>
          <w:sz w:val="28"/>
          <w:szCs w:val="28"/>
        </w:rPr>
      </w:pPr>
    </w:p>
    <w:p w14:paraId="5F9E1679" w14:textId="77777777" w:rsidR="00EB753E" w:rsidRDefault="00EB753E" w:rsidP="003A00F4">
      <w:pPr>
        <w:jc w:val="center"/>
        <w:rPr>
          <w:b/>
          <w:sz w:val="28"/>
          <w:szCs w:val="28"/>
        </w:rPr>
      </w:pPr>
    </w:p>
    <w:p w14:paraId="42735420" w14:textId="77777777" w:rsidR="00EB753E" w:rsidRDefault="00EB753E" w:rsidP="003A00F4">
      <w:pPr>
        <w:jc w:val="center"/>
        <w:rPr>
          <w:b/>
          <w:sz w:val="28"/>
          <w:szCs w:val="28"/>
        </w:rPr>
      </w:pPr>
    </w:p>
    <w:p w14:paraId="0D48C3E3" w14:textId="77777777" w:rsidR="00EB753E" w:rsidRDefault="00EB753E" w:rsidP="003A00F4">
      <w:pPr>
        <w:jc w:val="center"/>
        <w:rPr>
          <w:b/>
          <w:sz w:val="28"/>
          <w:szCs w:val="28"/>
        </w:rPr>
      </w:pPr>
    </w:p>
    <w:p w14:paraId="0F4E6F80" w14:textId="77777777" w:rsidR="00EB753E" w:rsidRDefault="00EB753E" w:rsidP="003A00F4">
      <w:pPr>
        <w:jc w:val="center"/>
        <w:rPr>
          <w:b/>
          <w:sz w:val="28"/>
          <w:szCs w:val="28"/>
        </w:rPr>
      </w:pPr>
    </w:p>
    <w:p w14:paraId="4A262E79" w14:textId="77777777" w:rsidR="00EB753E" w:rsidRDefault="00EB753E" w:rsidP="003A00F4">
      <w:pPr>
        <w:jc w:val="center"/>
        <w:rPr>
          <w:b/>
          <w:sz w:val="28"/>
          <w:szCs w:val="28"/>
        </w:rPr>
      </w:pPr>
    </w:p>
    <w:p w14:paraId="4BE32B26" w14:textId="77777777" w:rsidR="00EB753E" w:rsidRDefault="00EB753E" w:rsidP="003A00F4">
      <w:pPr>
        <w:jc w:val="center"/>
        <w:rPr>
          <w:b/>
          <w:sz w:val="28"/>
          <w:szCs w:val="28"/>
        </w:rPr>
      </w:pPr>
    </w:p>
    <w:p w14:paraId="6E38F17B" w14:textId="35D1C79A" w:rsidR="003A00F4" w:rsidRDefault="000656E8" w:rsidP="003A00F4">
      <w:pPr>
        <w:jc w:val="center"/>
        <w:rPr>
          <w:b/>
          <w:sz w:val="28"/>
          <w:szCs w:val="28"/>
        </w:rPr>
      </w:pPr>
      <w:r>
        <w:rPr>
          <w:b/>
          <w:sz w:val="28"/>
          <w:szCs w:val="28"/>
        </w:rPr>
        <w:t xml:space="preserve">Finalized </w:t>
      </w:r>
      <w:r w:rsidR="003A00F4" w:rsidRPr="003A00F4">
        <w:rPr>
          <w:b/>
          <w:sz w:val="28"/>
          <w:szCs w:val="28"/>
        </w:rPr>
        <w:t>Legislation Requiring Report Backs, Commissions, Task Forces</w:t>
      </w:r>
      <w:r w:rsidR="00DD2C2E">
        <w:rPr>
          <w:b/>
          <w:sz w:val="28"/>
          <w:szCs w:val="28"/>
        </w:rPr>
        <w:t xml:space="preserve"> </w:t>
      </w:r>
      <w:r>
        <w:rPr>
          <w:b/>
          <w:sz w:val="28"/>
          <w:szCs w:val="28"/>
        </w:rPr>
        <w:t>involving the</w:t>
      </w:r>
      <w:r w:rsidR="00DD2C2E">
        <w:rPr>
          <w:b/>
          <w:sz w:val="28"/>
          <w:szCs w:val="28"/>
        </w:rPr>
        <w:t xml:space="preserve"> Department of Education </w:t>
      </w:r>
    </w:p>
    <w:p w14:paraId="57DC616A" w14:textId="3C91F441" w:rsidR="00F929DD" w:rsidRDefault="00F929DD" w:rsidP="00F929DD">
      <w:pPr>
        <w:rPr>
          <w:b/>
          <w:sz w:val="28"/>
          <w:szCs w:val="28"/>
        </w:rPr>
      </w:pPr>
    </w:p>
    <w:p w14:paraId="62B0E115" w14:textId="77777777" w:rsidR="00DD2C2E" w:rsidRDefault="00DD2C2E" w:rsidP="00DD2C2E">
      <w:pPr>
        <w:rPr>
          <w:i/>
        </w:rPr>
      </w:pPr>
      <w:r w:rsidRPr="005C5028">
        <w:rPr>
          <w:lang w:val="en"/>
        </w:rPr>
        <w:t>LD 40</w:t>
      </w:r>
      <w:r>
        <w:rPr>
          <w:lang w:val="en"/>
        </w:rPr>
        <w:t xml:space="preserve"> - </w:t>
      </w:r>
      <w:r w:rsidRPr="009C714B">
        <w:rPr>
          <w:i/>
        </w:rPr>
        <w:t xml:space="preserve">Resolve, To Establish the Commission </w:t>
      </w:r>
      <w:proofErr w:type="gramStart"/>
      <w:r w:rsidRPr="009C714B">
        <w:rPr>
          <w:i/>
        </w:rPr>
        <w:t>To</w:t>
      </w:r>
      <w:proofErr w:type="gramEnd"/>
      <w:r w:rsidRPr="009C714B">
        <w:rPr>
          <w:i/>
        </w:rPr>
        <w:t xml:space="preserve"> Study Children's Mental Health (EMERGENCY)</w:t>
      </w:r>
    </w:p>
    <w:p w14:paraId="36B7C71C" w14:textId="77777777" w:rsidR="00DD2C2E" w:rsidRDefault="00DD2C2E" w:rsidP="00DD2C2E"/>
    <w:p w14:paraId="435E46E7" w14:textId="77777777" w:rsidR="00DD2C2E" w:rsidRDefault="00DD2C2E" w:rsidP="00DD2C2E">
      <w:pPr>
        <w:rPr>
          <w:i/>
        </w:rPr>
      </w:pPr>
      <w:r w:rsidRPr="00AC5D68">
        <w:t xml:space="preserve">LD 309 - </w:t>
      </w:r>
      <w:r w:rsidRPr="00711851">
        <w:rPr>
          <w:i/>
        </w:rPr>
        <w:t xml:space="preserve">Resolve, Directing the Department of Education </w:t>
      </w:r>
      <w:proofErr w:type="gramStart"/>
      <w:r w:rsidRPr="00711851">
        <w:rPr>
          <w:i/>
        </w:rPr>
        <w:t>To</w:t>
      </w:r>
      <w:proofErr w:type="gramEnd"/>
      <w:r w:rsidRPr="00711851">
        <w:rPr>
          <w:i/>
        </w:rPr>
        <w:t xml:space="preserve"> Direct a Study of the Regional Adjustment for School Administrative Units (EMERGENCY)</w:t>
      </w:r>
    </w:p>
    <w:p w14:paraId="12D2DB92" w14:textId="77777777" w:rsidR="00DD2C2E" w:rsidRDefault="00DD2C2E" w:rsidP="00DD2C2E"/>
    <w:p w14:paraId="3E3E26BD" w14:textId="77777777" w:rsidR="00DD2C2E" w:rsidRDefault="00DD2C2E" w:rsidP="00DD2C2E">
      <w:pPr>
        <w:rPr>
          <w:i/>
        </w:rPr>
      </w:pPr>
      <w:r w:rsidRPr="00AC5D68">
        <w:t>LD 576</w:t>
      </w:r>
      <w:r>
        <w:t xml:space="preserve"> - </w:t>
      </w:r>
      <w:r w:rsidRPr="00AC5D68">
        <w:rPr>
          <w:i/>
        </w:rPr>
        <w:t>Resolve, Directing the Department of Education</w:t>
      </w:r>
      <w:r w:rsidRPr="008010F9">
        <w:rPr>
          <w:i/>
        </w:rPr>
        <w:t xml:space="preserve"> to Study and Develop an Online Learning Platform for Students and Educators</w:t>
      </w:r>
    </w:p>
    <w:p w14:paraId="7160EB10" w14:textId="77777777" w:rsidR="00DD2C2E" w:rsidRDefault="00DD2C2E" w:rsidP="00DD2C2E"/>
    <w:p w14:paraId="2E26ACD0" w14:textId="77777777" w:rsidR="00DD2C2E" w:rsidRDefault="00DD2C2E" w:rsidP="00DD2C2E">
      <w:pPr>
        <w:rPr>
          <w:i/>
        </w:rPr>
      </w:pPr>
      <w:r w:rsidRPr="00AC5D68">
        <w:t>LD 642</w:t>
      </w:r>
      <w:r>
        <w:t xml:space="preserve"> - </w:t>
      </w:r>
      <w:r w:rsidRPr="00AC5D68">
        <w:rPr>
          <w:i/>
        </w:rPr>
        <w:t>An Act Regarding Kindergarten Readiness for Children</w:t>
      </w:r>
      <w:r w:rsidRPr="003F276D">
        <w:rPr>
          <w:i/>
        </w:rPr>
        <w:t xml:space="preserve"> Who Are Deaf and Hard of Hearing</w:t>
      </w:r>
    </w:p>
    <w:p w14:paraId="1CC085E6" w14:textId="77777777" w:rsidR="00DD2C2E" w:rsidRDefault="00DD2C2E" w:rsidP="00DD2C2E"/>
    <w:p w14:paraId="20DD9655" w14:textId="77777777" w:rsidR="00DD2C2E" w:rsidRDefault="00DD2C2E" w:rsidP="00DD2C2E">
      <w:pPr>
        <w:rPr>
          <w:i/>
        </w:rPr>
      </w:pPr>
      <w:r w:rsidRPr="00AC5D68">
        <w:t>LD 651</w:t>
      </w:r>
      <w:r>
        <w:t xml:space="preserve"> - </w:t>
      </w:r>
      <w:r w:rsidRPr="00AC5D68">
        <w:rPr>
          <w:i/>
        </w:rPr>
        <w:t>Resolve, To Facilitate School Access to Federal</w:t>
      </w:r>
      <w:r w:rsidRPr="003C06A3">
        <w:rPr>
          <w:i/>
        </w:rPr>
        <w:t xml:space="preserve"> Title I Funds and Improve the Delivery of Special Education Services</w:t>
      </w:r>
    </w:p>
    <w:p w14:paraId="6FDD032F" w14:textId="77777777" w:rsidR="00DD2C2E" w:rsidRDefault="00DD2C2E" w:rsidP="00DD2C2E"/>
    <w:p w14:paraId="0CD006C8" w14:textId="77777777" w:rsidR="00DD2C2E" w:rsidRDefault="00DD2C2E" w:rsidP="00DD2C2E">
      <w:pPr>
        <w:rPr>
          <w:i/>
        </w:rPr>
      </w:pPr>
      <w:r w:rsidRPr="00AC5D68">
        <w:t>LD 858</w:t>
      </w:r>
      <w:r>
        <w:t xml:space="preserve"> - </w:t>
      </w:r>
      <w:r w:rsidRPr="004940BA">
        <w:rPr>
          <w:i/>
        </w:rPr>
        <w:t>Resolve, Directing the Department of Education to Study and Make Recommendations Relating to School Safety and Security</w:t>
      </w:r>
    </w:p>
    <w:p w14:paraId="23A0DEEE" w14:textId="77777777" w:rsidR="00DD2C2E" w:rsidRDefault="00DD2C2E" w:rsidP="00DD2C2E">
      <w:pPr>
        <w:rPr>
          <w:sz w:val="22"/>
          <w:szCs w:val="22"/>
        </w:rPr>
      </w:pPr>
    </w:p>
    <w:p w14:paraId="6D9513BE" w14:textId="77777777" w:rsidR="00DD2C2E" w:rsidRDefault="00DD2C2E" w:rsidP="00DD2C2E">
      <w:pPr>
        <w:rPr>
          <w:sz w:val="22"/>
          <w:szCs w:val="22"/>
        </w:rPr>
      </w:pPr>
      <w:r>
        <w:rPr>
          <w:sz w:val="22"/>
          <w:szCs w:val="22"/>
        </w:rPr>
        <w:t xml:space="preserve">LD 1001 - </w:t>
      </w:r>
      <w:r w:rsidRPr="005E2997">
        <w:rPr>
          <w:i/>
        </w:rPr>
        <w:t>An Act Making Unified Appropriations and Allocations for the Expenditures of State Government, General Fund and Other Funds, and Changing Certain Provisions of the Law Necessary to the Proper Operations of State Government for the Fiscal Years Ending June 30, 2019, June 30, 2020 and June 30, 2021 (</w:t>
      </w:r>
      <w:r>
        <w:rPr>
          <w:i/>
        </w:rPr>
        <w:t xml:space="preserve">EMERGENCY) (GOVERNOR'S </w:t>
      </w:r>
      <w:proofErr w:type="gramStart"/>
      <w:r>
        <w:rPr>
          <w:i/>
        </w:rPr>
        <w:t xml:space="preserve">BILL)  </w:t>
      </w:r>
      <w:r w:rsidRPr="005E2997">
        <w:rPr>
          <w:i/>
        </w:rPr>
        <w:t xml:space="preserve"> </w:t>
      </w:r>
      <w:proofErr w:type="gramEnd"/>
      <w:r w:rsidRPr="005E2997">
        <w:rPr>
          <w:i/>
        </w:rPr>
        <w:t xml:space="preserve">   </w:t>
      </w:r>
      <w:r>
        <w:rPr>
          <w:sz w:val="22"/>
          <w:szCs w:val="22"/>
        </w:rPr>
        <w:t xml:space="preserve">PART UUUU </w:t>
      </w:r>
    </w:p>
    <w:p w14:paraId="0B236493" w14:textId="77777777" w:rsidR="00DD2C2E" w:rsidRDefault="00DD2C2E" w:rsidP="00DD2C2E">
      <w:pPr>
        <w:rPr>
          <w:sz w:val="22"/>
          <w:szCs w:val="22"/>
        </w:rPr>
      </w:pPr>
    </w:p>
    <w:p w14:paraId="67D61B50" w14:textId="77777777" w:rsidR="00DD2C2E" w:rsidRDefault="00DD2C2E" w:rsidP="00DD2C2E">
      <w:pPr>
        <w:rPr>
          <w:sz w:val="22"/>
          <w:szCs w:val="22"/>
        </w:rPr>
      </w:pPr>
      <w:r>
        <w:rPr>
          <w:sz w:val="22"/>
          <w:szCs w:val="22"/>
        </w:rPr>
        <w:t xml:space="preserve">LD 1001 - </w:t>
      </w:r>
      <w:r w:rsidRPr="005E2997">
        <w:rPr>
          <w:i/>
        </w:rPr>
        <w:t>An Act Making Unified Appropriations and Allocations for the Expenditures of State Government, General Fund and Other Funds, and Changing Certain Provisions of the Law Necessary to the Proper Operations of State Government for the Fiscal Years Ending June 30, 2019, June 30, 2020 and June 30, 2021 (</w:t>
      </w:r>
      <w:r>
        <w:rPr>
          <w:i/>
        </w:rPr>
        <w:t xml:space="preserve">EMERGENCY) (GOVERNOR'S </w:t>
      </w:r>
      <w:proofErr w:type="gramStart"/>
      <w:r>
        <w:rPr>
          <w:i/>
        </w:rPr>
        <w:t xml:space="preserve">BILL)  </w:t>
      </w:r>
      <w:r w:rsidRPr="005E2997">
        <w:rPr>
          <w:i/>
        </w:rPr>
        <w:t xml:space="preserve"> </w:t>
      </w:r>
      <w:proofErr w:type="gramEnd"/>
      <w:r w:rsidRPr="005E2997">
        <w:rPr>
          <w:i/>
        </w:rPr>
        <w:t xml:space="preserve">   </w:t>
      </w:r>
      <w:r>
        <w:rPr>
          <w:sz w:val="22"/>
          <w:szCs w:val="22"/>
        </w:rPr>
        <w:t xml:space="preserve">PART VVVV </w:t>
      </w:r>
    </w:p>
    <w:p w14:paraId="1BE2C9F2" w14:textId="77777777" w:rsidR="00DD2C2E" w:rsidRDefault="00DD2C2E" w:rsidP="00DD2C2E">
      <w:pPr>
        <w:rPr>
          <w:sz w:val="22"/>
          <w:szCs w:val="22"/>
        </w:rPr>
      </w:pPr>
    </w:p>
    <w:p w14:paraId="666A0262" w14:textId="77777777" w:rsidR="00DD2C2E" w:rsidRDefault="00DD2C2E" w:rsidP="00DD2C2E">
      <w:pPr>
        <w:rPr>
          <w:i/>
        </w:rPr>
      </w:pPr>
      <w:r w:rsidRPr="00613A93">
        <w:t>LD 1010</w:t>
      </w:r>
      <w:r>
        <w:t xml:space="preserve"> - </w:t>
      </w:r>
      <w:r w:rsidRPr="00F006AF">
        <w:rPr>
          <w:i/>
        </w:rPr>
        <w:t xml:space="preserve">Resolve, Directing the Department of Education </w:t>
      </w:r>
      <w:proofErr w:type="gramStart"/>
      <w:r w:rsidRPr="00F006AF">
        <w:rPr>
          <w:i/>
        </w:rPr>
        <w:t>To</w:t>
      </w:r>
      <w:proofErr w:type="gramEnd"/>
      <w:r w:rsidRPr="00F006AF">
        <w:rPr>
          <w:i/>
        </w:rPr>
        <w:t xml:space="preserve"> Develop a Model School Disciplinary Policy</w:t>
      </w:r>
    </w:p>
    <w:p w14:paraId="0BEA4FA8" w14:textId="77777777" w:rsidR="00DD2C2E" w:rsidRDefault="00DD2C2E" w:rsidP="00DD2C2E">
      <w:pPr>
        <w:rPr>
          <w:sz w:val="22"/>
          <w:szCs w:val="22"/>
        </w:rPr>
      </w:pPr>
    </w:p>
    <w:p w14:paraId="36FEA2A5" w14:textId="77777777" w:rsidR="00DD2C2E" w:rsidRDefault="00DD2C2E" w:rsidP="00DD2C2E">
      <w:pPr>
        <w:rPr>
          <w:i/>
        </w:rPr>
      </w:pPr>
      <w:r w:rsidRPr="00613A93">
        <w:t>LD 1168</w:t>
      </w:r>
      <w:r>
        <w:t xml:space="preserve"> - </w:t>
      </w:r>
      <w:r w:rsidRPr="00613A93">
        <w:rPr>
          <w:i/>
        </w:rPr>
        <w:t>Resolve</w:t>
      </w:r>
      <w:r w:rsidRPr="000D7C22">
        <w:rPr>
          <w:i/>
        </w:rPr>
        <w:t xml:space="preserve">, To Improve Maine's Response to Childhood </w:t>
      </w:r>
      <w:r>
        <w:rPr>
          <w:i/>
        </w:rPr>
        <w:t>Trauma (</w:t>
      </w:r>
      <w:r w:rsidRPr="000D7C22">
        <w:rPr>
          <w:i/>
        </w:rPr>
        <w:t>EMERGENCY</w:t>
      </w:r>
      <w:r>
        <w:rPr>
          <w:i/>
        </w:rPr>
        <w:t>)</w:t>
      </w:r>
    </w:p>
    <w:p w14:paraId="61B259C6" w14:textId="77777777" w:rsidR="00DD2C2E" w:rsidRDefault="00DD2C2E" w:rsidP="00DD2C2E">
      <w:pPr>
        <w:rPr>
          <w:sz w:val="22"/>
          <w:szCs w:val="22"/>
        </w:rPr>
      </w:pPr>
    </w:p>
    <w:p w14:paraId="122AE5DC" w14:textId="77777777" w:rsidR="00DD2C2E" w:rsidRDefault="00DD2C2E" w:rsidP="00DD2C2E">
      <w:pPr>
        <w:rPr>
          <w:i/>
        </w:rPr>
      </w:pPr>
      <w:r w:rsidRPr="00613A93">
        <w:t>LD 1283</w:t>
      </w:r>
      <w:r>
        <w:t xml:space="preserve"> - </w:t>
      </w:r>
      <w:r w:rsidRPr="00760B3D">
        <w:rPr>
          <w:i/>
        </w:rPr>
        <w:t xml:space="preserve">Resolve, To Advance College Affordability by Convening a Task Force </w:t>
      </w:r>
      <w:proofErr w:type="gramStart"/>
      <w:r w:rsidRPr="00760B3D">
        <w:rPr>
          <w:i/>
        </w:rPr>
        <w:t>To</w:t>
      </w:r>
      <w:proofErr w:type="gramEnd"/>
      <w:r w:rsidRPr="00760B3D">
        <w:rPr>
          <w:i/>
        </w:rPr>
        <w:t xml:space="preserve"> Recommend a Sustainable Funding Model for Maintaining Maine's Public Higher Education Infrastructure (EMERGENCY)</w:t>
      </w:r>
    </w:p>
    <w:p w14:paraId="12C0F61A" w14:textId="77777777" w:rsidR="00DD2C2E" w:rsidRDefault="00DD2C2E" w:rsidP="00DD2C2E">
      <w:pPr>
        <w:rPr>
          <w:sz w:val="22"/>
          <w:szCs w:val="22"/>
        </w:rPr>
      </w:pPr>
    </w:p>
    <w:p w14:paraId="0FADFA5F" w14:textId="469E2FB3" w:rsidR="00DD2C2E" w:rsidRDefault="00DD2C2E" w:rsidP="00DD2C2E">
      <w:pPr>
        <w:rPr>
          <w:i/>
        </w:rPr>
      </w:pPr>
      <w:r w:rsidRPr="00613A93">
        <w:t>LD 130</w:t>
      </w:r>
      <w:r>
        <w:t xml:space="preserve">6 - </w:t>
      </w:r>
      <w:r w:rsidRPr="00760B3D">
        <w:rPr>
          <w:i/>
        </w:rPr>
        <w:t>Resolve, To Examine Issues Relating to Bullying in Schools</w:t>
      </w:r>
    </w:p>
    <w:p w14:paraId="3D98AF15" w14:textId="77777777" w:rsidR="00DE7BA4" w:rsidRDefault="00DE7BA4" w:rsidP="00DD2C2E">
      <w:pPr>
        <w:rPr>
          <w:i/>
        </w:rPr>
      </w:pPr>
    </w:p>
    <w:p w14:paraId="206AC776" w14:textId="77777777" w:rsidR="00DD2C2E" w:rsidRDefault="00DD2C2E" w:rsidP="00DD2C2E">
      <w:pPr>
        <w:rPr>
          <w:sz w:val="22"/>
          <w:szCs w:val="22"/>
        </w:rPr>
      </w:pPr>
    </w:p>
    <w:p w14:paraId="3B72AF24" w14:textId="77777777" w:rsidR="00DD2C2E" w:rsidRDefault="00DD2C2E" w:rsidP="00DD2C2E">
      <w:pPr>
        <w:rPr>
          <w:i/>
        </w:rPr>
      </w:pPr>
      <w:r w:rsidRPr="00613A93">
        <w:t>LD 1382</w:t>
      </w:r>
      <w:r>
        <w:t xml:space="preserve"> - </w:t>
      </w:r>
      <w:r w:rsidRPr="009A5B55">
        <w:rPr>
          <w:i/>
        </w:rPr>
        <w:t xml:space="preserve">Resolve, Directing the Department of Education </w:t>
      </w:r>
      <w:proofErr w:type="gramStart"/>
      <w:r w:rsidRPr="009A5B55">
        <w:rPr>
          <w:i/>
        </w:rPr>
        <w:t>To</w:t>
      </w:r>
      <w:proofErr w:type="gramEnd"/>
      <w:r w:rsidRPr="009A5B55">
        <w:rPr>
          <w:i/>
        </w:rPr>
        <w:t xml:space="preserve"> Study and Develop a State Plan for Computer Science Instruction and Professional Development</w:t>
      </w:r>
    </w:p>
    <w:p w14:paraId="39B5D78A" w14:textId="77777777" w:rsidR="00DD2C2E" w:rsidRDefault="00DD2C2E" w:rsidP="00DD2C2E">
      <w:pPr>
        <w:rPr>
          <w:sz w:val="22"/>
          <w:szCs w:val="22"/>
        </w:rPr>
      </w:pPr>
    </w:p>
    <w:p w14:paraId="101A8C59" w14:textId="77777777" w:rsidR="00DD2C2E" w:rsidRDefault="00DD2C2E" w:rsidP="00DD2C2E">
      <w:pPr>
        <w:rPr>
          <w:i/>
        </w:rPr>
      </w:pPr>
      <w:r w:rsidRPr="001777F0">
        <w:t>LD 1478</w:t>
      </w:r>
      <w:r>
        <w:t xml:space="preserve"> - </w:t>
      </w:r>
      <w:r w:rsidRPr="00FF3470">
        <w:rPr>
          <w:i/>
        </w:rPr>
        <w:t>Resolve, Regarding Legislative Review of Portions of Chapter 115: The Credentialing of Education Personnel, a Late-filed Major Substantive Rule of the Department of Education (EMERGENCY)</w:t>
      </w:r>
    </w:p>
    <w:p w14:paraId="6586E32F" w14:textId="77777777" w:rsidR="00DD2C2E" w:rsidRDefault="00DD2C2E" w:rsidP="00DD2C2E">
      <w:pPr>
        <w:rPr>
          <w:sz w:val="22"/>
          <w:szCs w:val="22"/>
        </w:rPr>
      </w:pPr>
    </w:p>
    <w:p w14:paraId="02C66C67" w14:textId="77777777" w:rsidR="00DD2C2E" w:rsidRDefault="00DD2C2E" w:rsidP="00DD2C2E">
      <w:pPr>
        <w:rPr>
          <w:i/>
        </w:rPr>
      </w:pPr>
      <w:r w:rsidRPr="007C5B03">
        <w:t>LD 1549</w:t>
      </w:r>
      <w:r>
        <w:t xml:space="preserve"> - </w:t>
      </w:r>
      <w:r>
        <w:rPr>
          <w:i/>
        </w:rPr>
        <w:t>A</w:t>
      </w:r>
      <w:r w:rsidRPr="0085641A">
        <w:rPr>
          <w:i/>
        </w:rPr>
        <w:t xml:space="preserve">n Act </w:t>
      </w:r>
      <w:proofErr w:type="gramStart"/>
      <w:r w:rsidRPr="0085641A">
        <w:rPr>
          <w:i/>
        </w:rPr>
        <w:t>To</w:t>
      </w:r>
      <w:proofErr w:type="gramEnd"/>
      <w:r w:rsidRPr="0085641A">
        <w:rPr>
          <w:i/>
        </w:rPr>
        <w:t xml:space="preserve"> Increase the Supplement for Certain National Board for Professional Teaching Standards Certified Teachers in Maine</w:t>
      </w:r>
    </w:p>
    <w:p w14:paraId="1139553B" w14:textId="77777777" w:rsidR="00DD2C2E" w:rsidRDefault="00DD2C2E" w:rsidP="00DD2C2E">
      <w:pPr>
        <w:rPr>
          <w:sz w:val="22"/>
          <w:szCs w:val="22"/>
        </w:rPr>
      </w:pPr>
    </w:p>
    <w:p w14:paraId="5F87798C" w14:textId="77777777" w:rsidR="00DD2C2E" w:rsidRDefault="00DD2C2E" w:rsidP="00DD2C2E">
      <w:pPr>
        <w:rPr>
          <w:i/>
        </w:rPr>
      </w:pPr>
      <w:r w:rsidRPr="007C5B03">
        <w:t>LD 1641</w:t>
      </w:r>
      <w:r>
        <w:t xml:space="preserve"> - </w:t>
      </w:r>
      <w:r>
        <w:rPr>
          <w:i/>
        </w:rPr>
        <w:t>R</w:t>
      </w:r>
      <w:r w:rsidRPr="00B70323">
        <w:rPr>
          <w:i/>
        </w:rPr>
        <w:t>esolve, To Examine Issues Relating to the School Transportation Workforce</w:t>
      </w:r>
    </w:p>
    <w:p w14:paraId="6B4EDAC8" w14:textId="77777777" w:rsidR="00DD2C2E" w:rsidRDefault="00DD2C2E" w:rsidP="00DD2C2E">
      <w:pPr>
        <w:rPr>
          <w:sz w:val="22"/>
          <w:szCs w:val="22"/>
        </w:rPr>
      </w:pPr>
    </w:p>
    <w:p w14:paraId="4B2C0C36" w14:textId="77777777" w:rsidR="00DD2C2E" w:rsidRDefault="00DD2C2E" w:rsidP="00DD2C2E">
      <w:r w:rsidRPr="00D2179B">
        <w:t>LD 1778</w:t>
      </w:r>
      <w:r>
        <w:t xml:space="preserve"> - </w:t>
      </w:r>
      <w:r w:rsidRPr="007F2F4E">
        <w:rPr>
          <w:i/>
        </w:rPr>
        <w:t xml:space="preserve">An Act </w:t>
      </w:r>
      <w:proofErr w:type="gramStart"/>
      <w:r w:rsidRPr="007F2F4E">
        <w:rPr>
          <w:i/>
        </w:rPr>
        <w:t>To</w:t>
      </w:r>
      <w:proofErr w:type="gramEnd"/>
      <w:r w:rsidRPr="007F2F4E">
        <w:rPr>
          <w:i/>
        </w:rPr>
        <w:t xml:space="preserve"> Amend the Laws Concerning the Children's Cabinet and Its Advisory Councils (GOVERNOR'S BILL)</w:t>
      </w:r>
    </w:p>
    <w:p w14:paraId="73DD60A3" w14:textId="77777777" w:rsidR="00DD2C2E" w:rsidRDefault="00DD2C2E" w:rsidP="00DD2C2E"/>
    <w:p w14:paraId="51871DE2" w14:textId="31AD8CEA" w:rsidR="00083BBE" w:rsidRDefault="00DD2C2E" w:rsidP="001F5A33">
      <w:pPr>
        <w:rPr>
          <w:b/>
          <w:sz w:val="28"/>
          <w:szCs w:val="28"/>
        </w:rPr>
      </w:pPr>
      <w:r w:rsidRPr="00F10FE6">
        <w:t>LD 1820</w:t>
      </w:r>
      <w:r>
        <w:t xml:space="preserve"> - </w:t>
      </w:r>
      <w:r w:rsidRPr="001B7321">
        <w:rPr>
          <w:i/>
        </w:rPr>
        <w:t xml:space="preserve">An Act </w:t>
      </w:r>
      <w:proofErr w:type="gramStart"/>
      <w:r w:rsidRPr="001B7321">
        <w:rPr>
          <w:i/>
        </w:rPr>
        <w:t>To</w:t>
      </w:r>
      <w:proofErr w:type="gramEnd"/>
      <w:r w:rsidRPr="001B7321">
        <w:rPr>
          <w:i/>
        </w:rPr>
        <w:t xml:space="preserve"> Amend the Laws Governing Investigations by School Entities into Holders of Credentials</w:t>
      </w:r>
    </w:p>
    <w:sectPr w:rsidR="00083BBE" w:rsidSect="00AF2D11">
      <w:headerReference w:type="default" r:id="rId12"/>
      <w:footerReference w:type="default" r:id="rId13"/>
      <w:pgSz w:w="15840" w:h="12240" w:orient="landscape"/>
      <w:pgMar w:top="720" w:right="1440" w:bottom="432"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2DA4" w14:textId="77777777" w:rsidR="00E13B89" w:rsidRDefault="00E13B89">
      <w:r>
        <w:separator/>
      </w:r>
    </w:p>
  </w:endnote>
  <w:endnote w:type="continuationSeparator" w:id="0">
    <w:p w14:paraId="69AC92AF" w14:textId="77777777" w:rsidR="00E13B89" w:rsidRDefault="00E1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09FC" w14:textId="77777777" w:rsidR="00E13B89" w:rsidRDefault="00E13B89" w:rsidP="00381759">
    <w:pPr>
      <w:pStyle w:val="Footer"/>
      <w:jc w:val="center"/>
      <w:rPr>
        <w:sz w:val="16"/>
        <w:szCs w:val="16"/>
      </w:rPr>
    </w:pPr>
  </w:p>
  <w:p w14:paraId="0FD3F679" w14:textId="6424820A" w:rsidR="00E13B89" w:rsidRPr="00D37914" w:rsidRDefault="00E13B89" w:rsidP="00381759">
    <w:pPr>
      <w:pStyle w:val="Footer"/>
      <w:jc w:val="center"/>
      <w:rPr>
        <w:sz w:val="16"/>
        <w:szCs w:val="16"/>
      </w:rPr>
    </w:pPr>
    <w:r w:rsidRPr="00D37914">
      <w:rPr>
        <w:sz w:val="16"/>
        <w:szCs w:val="16"/>
      </w:rPr>
      <w:t xml:space="preserve">Page </w:t>
    </w:r>
    <w:r w:rsidRPr="00D37914">
      <w:rPr>
        <w:sz w:val="16"/>
        <w:szCs w:val="16"/>
      </w:rPr>
      <w:fldChar w:fldCharType="begin"/>
    </w:r>
    <w:r w:rsidRPr="00D37914">
      <w:rPr>
        <w:sz w:val="16"/>
        <w:szCs w:val="16"/>
      </w:rPr>
      <w:instrText xml:space="preserve"> PAGE </w:instrText>
    </w:r>
    <w:r w:rsidRPr="00D37914">
      <w:rPr>
        <w:sz w:val="16"/>
        <w:szCs w:val="16"/>
      </w:rPr>
      <w:fldChar w:fldCharType="separate"/>
    </w:r>
    <w:r>
      <w:rPr>
        <w:noProof/>
        <w:sz w:val="16"/>
        <w:szCs w:val="16"/>
      </w:rPr>
      <w:t>37</w:t>
    </w:r>
    <w:r w:rsidRPr="00D37914">
      <w:rPr>
        <w:sz w:val="16"/>
        <w:szCs w:val="16"/>
      </w:rPr>
      <w:fldChar w:fldCharType="end"/>
    </w:r>
    <w:r w:rsidRPr="00D37914">
      <w:rPr>
        <w:sz w:val="16"/>
        <w:szCs w:val="16"/>
      </w:rPr>
      <w:t xml:space="preserve"> of </w:t>
    </w:r>
    <w:r w:rsidRPr="00D37914">
      <w:rPr>
        <w:sz w:val="16"/>
        <w:szCs w:val="16"/>
      </w:rPr>
      <w:fldChar w:fldCharType="begin"/>
    </w:r>
    <w:r w:rsidRPr="00D37914">
      <w:rPr>
        <w:sz w:val="16"/>
        <w:szCs w:val="16"/>
      </w:rPr>
      <w:instrText xml:space="preserve"> NUMPAGES </w:instrText>
    </w:r>
    <w:r w:rsidRPr="00D37914">
      <w:rPr>
        <w:sz w:val="16"/>
        <w:szCs w:val="16"/>
      </w:rPr>
      <w:fldChar w:fldCharType="separate"/>
    </w:r>
    <w:r>
      <w:rPr>
        <w:noProof/>
        <w:sz w:val="16"/>
        <w:szCs w:val="16"/>
      </w:rPr>
      <w:t>38</w:t>
    </w:r>
    <w:r w:rsidRPr="00D3791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71761" w14:textId="77777777" w:rsidR="00E13B89" w:rsidRDefault="00E13B89">
      <w:r>
        <w:separator/>
      </w:r>
    </w:p>
  </w:footnote>
  <w:footnote w:type="continuationSeparator" w:id="0">
    <w:p w14:paraId="7F67C558" w14:textId="77777777" w:rsidR="00E13B89" w:rsidRDefault="00E1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627B" w14:textId="790BEEDF" w:rsidR="00E13B89" w:rsidRDefault="00E13B89" w:rsidP="002B35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A9E"/>
    <w:multiLevelType w:val="hybridMultilevel"/>
    <w:tmpl w:val="2DF6B684"/>
    <w:lvl w:ilvl="0" w:tplc="04090011">
      <w:start w:val="1"/>
      <w:numFmt w:val="decimal"/>
      <w:lvlText w:val="%1)"/>
      <w:lvlJc w:val="left"/>
      <w:pPr>
        <w:ind w:left="1194"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 w15:restartNumberingAfterBreak="0">
    <w:nsid w:val="06E23E0F"/>
    <w:multiLevelType w:val="hybridMultilevel"/>
    <w:tmpl w:val="396C4C4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25493"/>
    <w:multiLevelType w:val="hybridMultilevel"/>
    <w:tmpl w:val="BFF800D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0C292B77"/>
    <w:multiLevelType w:val="hybridMultilevel"/>
    <w:tmpl w:val="6B400160"/>
    <w:lvl w:ilvl="0" w:tplc="0F9C4A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04746"/>
    <w:multiLevelType w:val="hybridMultilevel"/>
    <w:tmpl w:val="FE7EC5D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E6A2AD4"/>
    <w:multiLevelType w:val="hybridMultilevel"/>
    <w:tmpl w:val="82405250"/>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34C7519"/>
    <w:multiLevelType w:val="hybridMultilevel"/>
    <w:tmpl w:val="F2A67A7E"/>
    <w:lvl w:ilvl="0" w:tplc="4636FF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17C96"/>
    <w:multiLevelType w:val="hybridMultilevel"/>
    <w:tmpl w:val="E09E9BE6"/>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13B94966"/>
    <w:multiLevelType w:val="hybridMultilevel"/>
    <w:tmpl w:val="45B801D8"/>
    <w:lvl w:ilvl="0" w:tplc="04090011">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9" w15:restartNumberingAfterBreak="0">
    <w:nsid w:val="154C283B"/>
    <w:multiLevelType w:val="hybridMultilevel"/>
    <w:tmpl w:val="18A4897A"/>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0" w15:restartNumberingAfterBreak="0">
    <w:nsid w:val="15B33427"/>
    <w:multiLevelType w:val="hybridMultilevel"/>
    <w:tmpl w:val="F7EA5D80"/>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16DA4C00"/>
    <w:multiLevelType w:val="hybridMultilevel"/>
    <w:tmpl w:val="86E0BE80"/>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183A1461"/>
    <w:multiLevelType w:val="hybridMultilevel"/>
    <w:tmpl w:val="128E1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42713"/>
    <w:multiLevelType w:val="hybridMultilevel"/>
    <w:tmpl w:val="89EA5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61E2E"/>
    <w:multiLevelType w:val="hybridMultilevel"/>
    <w:tmpl w:val="488699D0"/>
    <w:lvl w:ilvl="0" w:tplc="0409000B">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5" w15:restartNumberingAfterBreak="0">
    <w:nsid w:val="1D0340C9"/>
    <w:multiLevelType w:val="hybridMultilevel"/>
    <w:tmpl w:val="72A6EC06"/>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209B170F"/>
    <w:multiLevelType w:val="multilevel"/>
    <w:tmpl w:val="742ADB2A"/>
    <w:styleLink w:val="ListBullets"/>
    <w:lvl w:ilvl="0">
      <w:start w:val="1"/>
      <w:numFmt w:val="bullet"/>
      <w:pStyle w:val="ListBullet"/>
      <w:lvlText w:val=""/>
      <w:lvlJc w:val="left"/>
      <w:pPr>
        <w:ind w:left="576" w:hanging="288"/>
      </w:pPr>
      <w:rPr>
        <w:rFonts w:ascii="Symbol" w:hAnsi="Symbol" w:hint="default"/>
        <w:b w:val="0"/>
        <w:color w:val="auto"/>
        <w:spacing w:val="38"/>
        <w:position w:val="0"/>
        <w:sz w:val="24"/>
        <w:szCs w:val="24"/>
      </w:rPr>
    </w:lvl>
    <w:lvl w:ilvl="1">
      <w:start w:val="1"/>
      <w:numFmt w:val="bullet"/>
      <w:pStyle w:val="ListBullet2"/>
      <w:lvlText w:val=""/>
      <w:lvlJc w:val="left"/>
      <w:pPr>
        <w:ind w:left="1296" w:hanging="288"/>
      </w:pPr>
      <w:rPr>
        <w:rFonts w:ascii="Wingdings" w:hAnsi="Wingdings" w:hint="default"/>
        <w:color w:val="auto"/>
      </w:rPr>
    </w:lvl>
    <w:lvl w:ilvl="2">
      <w:start w:val="1"/>
      <w:numFmt w:val="bullet"/>
      <w:lvlText w:val=""/>
      <w:lvlJc w:val="left"/>
      <w:pPr>
        <w:ind w:left="2016" w:hanging="288"/>
      </w:pPr>
      <w:rPr>
        <w:rFonts w:ascii="Wingdings" w:hAnsi="Wingdings" w:hint="default"/>
      </w:rPr>
    </w:lvl>
    <w:lvl w:ilvl="3">
      <w:start w:val="1"/>
      <w:numFmt w:val="bullet"/>
      <w:pStyle w:val="ListBullet4"/>
      <w:lvlText w:val=""/>
      <w:lvlJc w:val="left"/>
      <w:pPr>
        <w:ind w:left="2736" w:hanging="288"/>
      </w:pPr>
      <w:rPr>
        <w:rFonts w:ascii="Symbol" w:hAnsi="Symbol" w:hint="default"/>
      </w:rPr>
    </w:lvl>
    <w:lvl w:ilvl="4">
      <w:start w:val="1"/>
      <w:numFmt w:val="bullet"/>
      <w:pStyle w:val="ListBullet5"/>
      <w:lvlText w:val=""/>
      <w:lvlJc w:val="left"/>
      <w:pPr>
        <w:ind w:left="3456" w:hanging="288"/>
      </w:pPr>
      <w:rPr>
        <w:rFonts w:ascii="Symbol" w:hAnsi="Symbol" w:hint="default"/>
        <w:color w:val="auto"/>
      </w:rPr>
    </w:lvl>
    <w:lvl w:ilvl="5">
      <w:start w:val="1"/>
      <w:numFmt w:val="bullet"/>
      <w:lvlText w:val=""/>
      <w:lvlJc w:val="left"/>
      <w:pPr>
        <w:ind w:left="4176" w:hanging="288"/>
      </w:pPr>
      <w:rPr>
        <w:rFonts w:ascii="Wingdings" w:hAnsi="Wingdings" w:hint="default"/>
      </w:rPr>
    </w:lvl>
    <w:lvl w:ilvl="6">
      <w:start w:val="1"/>
      <w:numFmt w:val="bullet"/>
      <w:lvlText w:val=""/>
      <w:lvlJc w:val="left"/>
      <w:pPr>
        <w:ind w:left="4896" w:hanging="288"/>
      </w:pPr>
      <w:rPr>
        <w:rFonts w:ascii="Symbol" w:hAnsi="Symbol" w:hint="default"/>
      </w:rPr>
    </w:lvl>
    <w:lvl w:ilvl="7">
      <w:start w:val="1"/>
      <w:numFmt w:val="bullet"/>
      <w:lvlText w:val="o"/>
      <w:lvlJc w:val="left"/>
      <w:pPr>
        <w:ind w:left="5616" w:hanging="288"/>
      </w:pPr>
      <w:rPr>
        <w:rFonts w:ascii="Courier New" w:hAnsi="Courier New" w:hint="default"/>
      </w:rPr>
    </w:lvl>
    <w:lvl w:ilvl="8">
      <w:start w:val="1"/>
      <w:numFmt w:val="bullet"/>
      <w:lvlText w:val=""/>
      <w:lvlJc w:val="left"/>
      <w:pPr>
        <w:ind w:left="6336" w:hanging="288"/>
      </w:pPr>
      <w:rPr>
        <w:rFonts w:ascii="Wingdings" w:hAnsi="Wingdings" w:hint="default"/>
      </w:rPr>
    </w:lvl>
  </w:abstractNum>
  <w:abstractNum w:abstractNumId="17" w15:restartNumberingAfterBreak="0">
    <w:nsid w:val="277D179A"/>
    <w:multiLevelType w:val="hybridMultilevel"/>
    <w:tmpl w:val="B784C730"/>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2A9311AC"/>
    <w:multiLevelType w:val="hybridMultilevel"/>
    <w:tmpl w:val="1A3820DA"/>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15:restartNumberingAfterBreak="0">
    <w:nsid w:val="2C100E30"/>
    <w:multiLevelType w:val="hybridMultilevel"/>
    <w:tmpl w:val="CFDCD08A"/>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0" w15:restartNumberingAfterBreak="0">
    <w:nsid w:val="2CC07A53"/>
    <w:multiLevelType w:val="hybridMultilevel"/>
    <w:tmpl w:val="42287A4E"/>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1" w15:restartNumberingAfterBreak="0">
    <w:nsid w:val="2E3564E7"/>
    <w:multiLevelType w:val="hybridMultilevel"/>
    <w:tmpl w:val="6CDA5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97C6E"/>
    <w:multiLevelType w:val="hybridMultilevel"/>
    <w:tmpl w:val="F1504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A0672"/>
    <w:multiLevelType w:val="hybridMultilevel"/>
    <w:tmpl w:val="8D7689DC"/>
    <w:lvl w:ilvl="0" w:tplc="04090011">
      <w:start w:val="1"/>
      <w:numFmt w:val="decimal"/>
      <w:lvlText w:val="%1)"/>
      <w:lvlJc w:val="left"/>
      <w:pPr>
        <w:ind w:left="1000" w:hanging="360"/>
      </w:pPr>
      <w:rPr>
        <w:rFont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4" w15:restartNumberingAfterBreak="0">
    <w:nsid w:val="420908C9"/>
    <w:multiLevelType w:val="hybridMultilevel"/>
    <w:tmpl w:val="B380B4EE"/>
    <w:lvl w:ilvl="0" w:tplc="E820D1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A583F"/>
    <w:multiLevelType w:val="hybridMultilevel"/>
    <w:tmpl w:val="41C6BE5C"/>
    <w:lvl w:ilvl="0" w:tplc="04090011">
      <w:start w:val="1"/>
      <w:numFmt w:val="decimal"/>
      <w:lvlText w:val="%1)"/>
      <w:lvlJc w:val="left"/>
      <w:pPr>
        <w:ind w:left="1218" w:hanging="360"/>
      </w:p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26" w15:restartNumberingAfterBreak="0">
    <w:nsid w:val="44470B2D"/>
    <w:multiLevelType w:val="hybridMultilevel"/>
    <w:tmpl w:val="BF2A2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82B54"/>
    <w:multiLevelType w:val="hybridMultilevel"/>
    <w:tmpl w:val="641040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7C6FD2"/>
    <w:multiLevelType w:val="hybridMultilevel"/>
    <w:tmpl w:val="2DE2B696"/>
    <w:lvl w:ilvl="0" w:tplc="04090011">
      <w:start w:val="1"/>
      <w:numFmt w:val="decimal"/>
      <w:lvlText w:val="%1)"/>
      <w:lvlJc w:val="left"/>
      <w:pPr>
        <w:ind w:left="1194"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29" w15:restartNumberingAfterBreak="0">
    <w:nsid w:val="48F522FF"/>
    <w:multiLevelType w:val="hybridMultilevel"/>
    <w:tmpl w:val="7882A018"/>
    <w:lvl w:ilvl="0" w:tplc="04090011">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0" w15:restartNumberingAfterBreak="0">
    <w:nsid w:val="4D075399"/>
    <w:multiLevelType w:val="hybridMultilevel"/>
    <w:tmpl w:val="57360F2E"/>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1" w15:restartNumberingAfterBreak="0">
    <w:nsid w:val="4EC05B7F"/>
    <w:multiLevelType w:val="hybridMultilevel"/>
    <w:tmpl w:val="847CFCD2"/>
    <w:lvl w:ilvl="0" w:tplc="85101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F202C"/>
    <w:multiLevelType w:val="hybridMultilevel"/>
    <w:tmpl w:val="C35425CE"/>
    <w:lvl w:ilvl="0" w:tplc="0409000B">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3" w15:restartNumberingAfterBreak="0">
    <w:nsid w:val="5A943518"/>
    <w:multiLevelType w:val="hybridMultilevel"/>
    <w:tmpl w:val="43C435E0"/>
    <w:lvl w:ilvl="0" w:tplc="04090011">
      <w:start w:val="1"/>
      <w:numFmt w:val="decimal"/>
      <w:lvlText w:val="%1)"/>
      <w:lvlJc w:val="left"/>
      <w:pPr>
        <w:ind w:left="2184" w:hanging="360"/>
      </w:p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34" w15:restartNumberingAfterBreak="0">
    <w:nsid w:val="5F3E16C1"/>
    <w:multiLevelType w:val="hybridMultilevel"/>
    <w:tmpl w:val="367A52A8"/>
    <w:lvl w:ilvl="0" w:tplc="0409000B">
      <w:start w:val="1"/>
      <w:numFmt w:val="bullet"/>
      <w:lvlText w:val=""/>
      <w:lvlJc w:val="left"/>
      <w:pPr>
        <w:ind w:left="45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671C6"/>
    <w:multiLevelType w:val="hybridMultilevel"/>
    <w:tmpl w:val="86E81D2E"/>
    <w:lvl w:ilvl="0" w:tplc="0409000B">
      <w:start w:val="1"/>
      <w:numFmt w:val="bullet"/>
      <w:lvlText w:val=""/>
      <w:lvlJc w:val="left"/>
      <w:pPr>
        <w:ind w:left="1392" w:hanging="360"/>
      </w:pPr>
      <w:rPr>
        <w:rFonts w:ascii="Wingdings" w:hAnsi="Wingdings"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36" w15:restartNumberingAfterBreak="0">
    <w:nsid w:val="66C72715"/>
    <w:multiLevelType w:val="hybridMultilevel"/>
    <w:tmpl w:val="1314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D0890"/>
    <w:multiLevelType w:val="hybridMultilevel"/>
    <w:tmpl w:val="BF8AC0A8"/>
    <w:lvl w:ilvl="0" w:tplc="0F9C4AE4">
      <w:start w:val="1"/>
      <w:numFmt w:val="bullet"/>
      <w:lvlText w:val=""/>
      <w:lvlJc w:val="left"/>
      <w:pPr>
        <w:ind w:left="672" w:hanging="360"/>
      </w:pPr>
      <w:rPr>
        <w:rFonts w:ascii="Symbol" w:hAnsi="Symbol" w:hint="default"/>
        <w:sz w:val="22"/>
        <w:szCs w:val="22"/>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38" w15:restartNumberingAfterBreak="0">
    <w:nsid w:val="6D175A76"/>
    <w:multiLevelType w:val="hybridMultilevel"/>
    <w:tmpl w:val="8C287B38"/>
    <w:lvl w:ilvl="0" w:tplc="04090011">
      <w:start w:val="1"/>
      <w:numFmt w:val="decimal"/>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39" w15:restartNumberingAfterBreak="0">
    <w:nsid w:val="6F473ED5"/>
    <w:multiLevelType w:val="hybridMultilevel"/>
    <w:tmpl w:val="4A28572E"/>
    <w:lvl w:ilvl="0" w:tplc="0409000B">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0" w15:restartNumberingAfterBreak="0">
    <w:nsid w:val="73EB59B6"/>
    <w:multiLevelType w:val="hybridMultilevel"/>
    <w:tmpl w:val="E0B4E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12814"/>
    <w:multiLevelType w:val="hybridMultilevel"/>
    <w:tmpl w:val="76D650B4"/>
    <w:lvl w:ilvl="0" w:tplc="0F9C4AE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 w:ilvl="0">
        <w:start w:val="1"/>
        <w:numFmt w:val="bullet"/>
        <w:pStyle w:val="ListBullet"/>
        <w:lvlText w:val=""/>
        <w:lvlJc w:val="left"/>
        <w:pPr>
          <w:ind w:left="720" w:hanging="360"/>
        </w:pPr>
        <w:rPr>
          <w:rFonts w:ascii="Symbol" w:hAnsi="Symbol" w:hint="default"/>
          <w:color w:val="auto"/>
        </w:rPr>
      </w:lvl>
    </w:lvlOverride>
    <w:lvlOverride w:ilvl="1">
      <w:lvl w:ilvl="1">
        <w:start w:val="1"/>
        <w:numFmt w:val="bullet"/>
        <w:pStyle w:val="ListBullet2"/>
        <w:lvlText w:val="o"/>
        <w:lvlJc w:val="left"/>
        <w:pPr>
          <w:ind w:left="1360" w:hanging="360"/>
        </w:pPr>
        <w:rPr>
          <w:rFonts w:ascii="Courier New" w:hAnsi="Courier New" w:cs="Courier New" w:hint="default"/>
        </w:rPr>
      </w:lvl>
    </w:lvlOverride>
    <w:lvlOverride w:ilvl="2">
      <w:lvl w:ilvl="2" w:tentative="1">
        <w:start w:val="1"/>
        <w:numFmt w:val="bullet"/>
        <w:lvlText w:val=""/>
        <w:lvlJc w:val="left"/>
        <w:pPr>
          <w:ind w:left="2080" w:hanging="360"/>
        </w:pPr>
        <w:rPr>
          <w:rFonts w:ascii="Wingdings" w:hAnsi="Wingdings" w:hint="default"/>
        </w:rPr>
      </w:lvl>
    </w:lvlOverride>
    <w:lvlOverride w:ilvl="3">
      <w:lvl w:ilvl="3" w:tentative="1">
        <w:start w:val="1"/>
        <w:numFmt w:val="bullet"/>
        <w:pStyle w:val="ListBullet4"/>
        <w:lvlText w:val=""/>
        <w:lvlJc w:val="left"/>
        <w:pPr>
          <w:ind w:left="2800" w:hanging="360"/>
        </w:pPr>
        <w:rPr>
          <w:rFonts w:ascii="Symbol" w:hAnsi="Symbol" w:hint="default"/>
        </w:rPr>
      </w:lvl>
    </w:lvlOverride>
    <w:lvlOverride w:ilvl="4">
      <w:lvl w:ilvl="4" w:tentative="1">
        <w:start w:val="1"/>
        <w:numFmt w:val="bullet"/>
        <w:pStyle w:val="ListBullet5"/>
        <w:lvlText w:val="o"/>
        <w:lvlJc w:val="left"/>
        <w:pPr>
          <w:ind w:left="3520" w:hanging="360"/>
        </w:pPr>
        <w:rPr>
          <w:rFonts w:ascii="Courier New" w:hAnsi="Courier New" w:cs="Courier New" w:hint="default"/>
        </w:rPr>
      </w:lvl>
    </w:lvlOverride>
    <w:lvlOverride w:ilvl="5">
      <w:lvl w:ilvl="5" w:tentative="1">
        <w:start w:val="1"/>
        <w:numFmt w:val="bullet"/>
        <w:lvlText w:val=""/>
        <w:lvlJc w:val="left"/>
        <w:pPr>
          <w:ind w:left="4240" w:hanging="360"/>
        </w:pPr>
        <w:rPr>
          <w:rFonts w:ascii="Wingdings" w:hAnsi="Wingdings" w:hint="default"/>
        </w:rPr>
      </w:lvl>
    </w:lvlOverride>
    <w:lvlOverride w:ilvl="6">
      <w:lvl w:ilvl="6" w:tentative="1">
        <w:start w:val="1"/>
        <w:numFmt w:val="bullet"/>
        <w:lvlText w:val=""/>
        <w:lvlJc w:val="left"/>
        <w:pPr>
          <w:ind w:left="4960" w:hanging="360"/>
        </w:pPr>
        <w:rPr>
          <w:rFonts w:ascii="Symbol" w:hAnsi="Symbol" w:hint="default"/>
        </w:rPr>
      </w:lvl>
    </w:lvlOverride>
    <w:lvlOverride w:ilvl="7">
      <w:lvl w:ilvl="7" w:tentative="1">
        <w:start w:val="1"/>
        <w:numFmt w:val="bullet"/>
        <w:lvlText w:val="o"/>
        <w:lvlJc w:val="left"/>
        <w:pPr>
          <w:ind w:left="5680" w:hanging="360"/>
        </w:pPr>
        <w:rPr>
          <w:rFonts w:ascii="Courier New" w:hAnsi="Courier New" w:cs="Courier New" w:hint="default"/>
        </w:rPr>
      </w:lvl>
    </w:lvlOverride>
    <w:lvlOverride w:ilvl="8">
      <w:lvl w:ilvl="8" w:tentative="1">
        <w:start w:val="1"/>
        <w:numFmt w:val="bullet"/>
        <w:lvlText w:val=""/>
        <w:lvlJc w:val="left"/>
        <w:pPr>
          <w:ind w:left="6400" w:hanging="360"/>
        </w:pPr>
        <w:rPr>
          <w:rFonts w:ascii="Wingdings" w:hAnsi="Wingdings" w:hint="default"/>
        </w:rPr>
      </w:lvl>
    </w:lvlOverride>
  </w:num>
  <w:num w:numId="2">
    <w:abstractNumId w:val="16"/>
  </w:num>
  <w:num w:numId="3">
    <w:abstractNumId w:val="25"/>
  </w:num>
  <w:num w:numId="4">
    <w:abstractNumId w:val="41"/>
  </w:num>
  <w:num w:numId="5">
    <w:abstractNumId w:val="3"/>
  </w:num>
  <w:num w:numId="6">
    <w:abstractNumId w:val="37"/>
  </w:num>
  <w:num w:numId="7">
    <w:abstractNumId w:val="35"/>
  </w:num>
  <w:num w:numId="8">
    <w:abstractNumId w:val="24"/>
  </w:num>
  <w:num w:numId="9">
    <w:abstractNumId w:val="1"/>
  </w:num>
  <w:num w:numId="10">
    <w:abstractNumId w:val="2"/>
  </w:num>
  <w:num w:numId="11">
    <w:abstractNumId w:val="26"/>
  </w:num>
  <w:num w:numId="12">
    <w:abstractNumId w:val="9"/>
  </w:num>
  <w:num w:numId="13">
    <w:abstractNumId w:val="19"/>
  </w:num>
  <w:num w:numId="14">
    <w:abstractNumId w:val="40"/>
  </w:num>
  <w:num w:numId="15">
    <w:abstractNumId w:val="31"/>
  </w:num>
  <w:num w:numId="16">
    <w:abstractNumId w:val="7"/>
  </w:num>
  <w:num w:numId="17">
    <w:abstractNumId w:val="15"/>
  </w:num>
  <w:num w:numId="18">
    <w:abstractNumId w:val="27"/>
  </w:num>
  <w:num w:numId="19">
    <w:abstractNumId w:val="6"/>
  </w:num>
  <w:num w:numId="20">
    <w:abstractNumId w:val="20"/>
  </w:num>
  <w:num w:numId="21">
    <w:abstractNumId w:val="30"/>
  </w:num>
  <w:num w:numId="22">
    <w:abstractNumId w:val="16"/>
    <w:lvlOverride w:ilvl="0">
      <w:lvl w:ilvl="0">
        <w:start w:val="1"/>
        <w:numFmt w:val="bullet"/>
        <w:pStyle w:val="ListBullet"/>
        <w:lvlText w:val=""/>
        <w:lvlJc w:val="left"/>
        <w:pPr>
          <w:ind w:left="738" w:hanging="288"/>
        </w:pPr>
        <w:rPr>
          <w:rFonts w:ascii="Symbol" w:hAnsi="Symbol" w:hint="default"/>
          <w:b w:val="0"/>
          <w:color w:val="auto"/>
          <w:spacing w:val="38"/>
          <w:position w:val="0"/>
          <w:sz w:val="24"/>
          <w:szCs w:val="24"/>
        </w:rPr>
      </w:lvl>
    </w:lvlOverride>
    <w:lvlOverride w:ilvl="1">
      <w:lvl w:ilvl="1">
        <w:start w:val="1"/>
        <w:numFmt w:val="bullet"/>
        <w:pStyle w:val="ListBullet2"/>
        <w:lvlText w:val=""/>
        <w:lvlJc w:val="left"/>
        <w:pPr>
          <w:ind w:left="1296" w:hanging="288"/>
        </w:pPr>
        <w:rPr>
          <w:rFonts w:ascii="Wingdings" w:hAnsi="Wingdings" w:hint="default"/>
          <w:color w:val="auto"/>
        </w:rPr>
      </w:lvl>
    </w:lvlOverride>
    <w:lvlOverride w:ilvl="2">
      <w:lvl w:ilvl="2">
        <w:start w:val="1"/>
        <w:numFmt w:val="bullet"/>
        <w:lvlText w:val=""/>
        <w:lvlJc w:val="left"/>
        <w:pPr>
          <w:ind w:left="2016" w:hanging="288"/>
        </w:pPr>
        <w:rPr>
          <w:rFonts w:ascii="Wingdings" w:hAnsi="Wingdings" w:hint="default"/>
        </w:rPr>
      </w:lvl>
    </w:lvlOverride>
    <w:lvlOverride w:ilvl="3">
      <w:lvl w:ilvl="3">
        <w:start w:val="1"/>
        <w:numFmt w:val="bullet"/>
        <w:pStyle w:val="ListBullet4"/>
        <w:lvlText w:val=""/>
        <w:lvlJc w:val="left"/>
        <w:pPr>
          <w:ind w:left="2736" w:hanging="288"/>
        </w:pPr>
        <w:rPr>
          <w:rFonts w:ascii="Symbol" w:hAnsi="Symbol" w:hint="default"/>
        </w:rPr>
      </w:lvl>
    </w:lvlOverride>
    <w:lvlOverride w:ilvl="4">
      <w:lvl w:ilvl="4">
        <w:start w:val="1"/>
        <w:numFmt w:val="bullet"/>
        <w:pStyle w:val="ListBullet5"/>
        <w:lvlText w:val=""/>
        <w:lvlJc w:val="left"/>
        <w:pPr>
          <w:ind w:left="3456" w:hanging="288"/>
        </w:pPr>
        <w:rPr>
          <w:rFonts w:ascii="Symbol" w:hAnsi="Symbol" w:hint="default"/>
          <w:color w:val="auto"/>
        </w:rPr>
      </w:lvl>
    </w:lvlOverride>
    <w:lvlOverride w:ilvl="5">
      <w:lvl w:ilvl="5">
        <w:start w:val="1"/>
        <w:numFmt w:val="bullet"/>
        <w:lvlText w:val=""/>
        <w:lvlJc w:val="left"/>
        <w:pPr>
          <w:ind w:left="4176" w:hanging="288"/>
        </w:pPr>
        <w:rPr>
          <w:rFonts w:ascii="Wingdings" w:hAnsi="Wingdings" w:hint="default"/>
        </w:rPr>
      </w:lvl>
    </w:lvlOverride>
    <w:lvlOverride w:ilvl="6">
      <w:lvl w:ilvl="6">
        <w:start w:val="1"/>
        <w:numFmt w:val="bullet"/>
        <w:lvlText w:val=""/>
        <w:lvlJc w:val="left"/>
        <w:pPr>
          <w:ind w:left="4896" w:hanging="288"/>
        </w:pPr>
        <w:rPr>
          <w:rFonts w:ascii="Symbol" w:hAnsi="Symbol" w:hint="default"/>
        </w:rPr>
      </w:lvl>
    </w:lvlOverride>
    <w:lvlOverride w:ilvl="7">
      <w:lvl w:ilvl="7">
        <w:start w:val="1"/>
        <w:numFmt w:val="bullet"/>
        <w:lvlText w:val="o"/>
        <w:lvlJc w:val="left"/>
        <w:pPr>
          <w:ind w:left="5616" w:hanging="288"/>
        </w:pPr>
        <w:rPr>
          <w:rFonts w:ascii="Courier New" w:hAnsi="Courier New" w:hint="default"/>
        </w:rPr>
      </w:lvl>
    </w:lvlOverride>
    <w:lvlOverride w:ilvl="8">
      <w:lvl w:ilvl="8">
        <w:start w:val="1"/>
        <w:numFmt w:val="bullet"/>
        <w:lvlText w:val=""/>
        <w:lvlJc w:val="left"/>
        <w:pPr>
          <w:ind w:left="6336" w:hanging="288"/>
        </w:pPr>
        <w:rPr>
          <w:rFonts w:ascii="Wingdings" w:hAnsi="Wingdings" w:hint="default"/>
        </w:rPr>
      </w:lvl>
    </w:lvlOverride>
  </w:num>
  <w:num w:numId="23">
    <w:abstractNumId w:val="11"/>
  </w:num>
  <w:num w:numId="24">
    <w:abstractNumId w:val="4"/>
  </w:num>
  <w:num w:numId="25">
    <w:abstractNumId w:val="5"/>
  </w:num>
  <w:num w:numId="26">
    <w:abstractNumId w:val="17"/>
  </w:num>
  <w:num w:numId="27">
    <w:abstractNumId w:val="23"/>
  </w:num>
  <w:num w:numId="28">
    <w:abstractNumId w:val="38"/>
  </w:num>
  <w:num w:numId="29">
    <w:abstractNumId w:val="18"/>
  </w:num>
  <w:num w:numId="30">
    <w:abstractNumId w:val="33"/>
  </w:num>
  <w:num w:numId="31">
    <w:abstractNumId w:val="32"/>
  </w:num>
  <w:num w:numId="32">
    <w:abstractNumId w:val="29"/>
  </w:num>
  <w:num w:numId="33">
    <w:abstractNumId w:val="8"/>
  </w:num>
  <w:num w:numId="34">
    <w:abstractNumId w:val="34"/>
  </w:num>
  <w:num w:numId="35">
    <w:abstractNumId w:val="0"/>
  </w:num>
  <w:num w:numId="36">
    <w:abstractNumId w:val="28"/>
  </w:num>
  <w:num w:numId="37">
    <w:abstractNumId w:val="12"/>
  </w:num>
  <w:num w:numId="38">
    <w:abstractNumId w:val="13"/>
  </w:num>
  <w:num w:numId="39">
    <w:abstractNumId w:val="10"/>
  </w:num>
  <w:num w:numId="40">
    <w:abstractNumId w:val="39"/>
  </w:num>
  <w:num w:numId="41">
    <w:abstractNumId w:val="36"/>
  </w:num>
  <w:num w:numId="42">
    <w:abstractNumId w:val="14"/>
  </w:num>
  <w:num w:numId="43">
    <w:abstractNumId w:val="22"/>
  </w:num>
  <w:num w:numId="44">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activeWritingStyle w:appName="MSWord" w:lang="e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6F"/>
    <w:rsid w:val="00000769"/>
    <w:rsid w:val="00000AF5"/>
    <w:rsid w:val="00001AF7"/>
    <w:rsid w:val="00002349"/>
    <w:rsid w:val="00002467"/>
    <w:rsid w:val="000035D1"/>
    <w:rsid w:val="00003ACA"/>
    <w:rsid w:val="00003F55"/>
    <w:rsid w:val="000043CB"/>
    <w:rsid w:val="0000452A"/>
    <w:rsid w:val="000046B5"/>
    <w:rsid w:val="00004A76"/>
    <w:rsid w:val="00004B0D"/>
    <w:rsid w:val="00004C43"/>
    <w:rsid w:val="00005837"/>
    <w:rsid w:val="00005D57"/>
    <w:rsid w:val="00005EAA"/>
    <w:rsid w:val="00005F7C"/>
    <w:rsid w:val="000061D2"/>
    <w:rsid w:val="00006388"/>
    <w:rsid w:val="00006961"/>
    <w:rsid w:val="00006ADB"/>
    <w:rsid w:val="000070E1"/>
    <w:rsid w:val="00007239"/>
    <w:rsid w:val="00007623"/>
    <w:rsid w:val="000078A5"/>
    <w:rsid w:val="00007CA9"/>
    <w:rsid w:val="00007E22"/>
    <w:rsid w:val="000100E3"/>
    <w:rsid w:val="0001054B"/>
    <w:rsid w:val="0001067E"/>
    <w:rsid w:val="00010736"/>
    <w:rsid w:val="000108CA"/>
    <w:rsid w:val="00010BE7"/>
    <w:rsid w:val="00010D74"/>
    <w:rsid w:val="00010D91"/>
    <w:rsid w:val="00010E09"/>
    <w:rsid w:val="00010F98"/>
    <w:rsid w:val="00010FB6"/>
    <w:rsid w:val="0001126B"/>
    <w:rsid w:val="0001142C"/>
    <w:rsid w:val="000116D8"/>
    <w:rsid w:val="000118A8"/>
    <w:rsid w:val="000118F2"/>
    <w:rsid w:val="00012037"/>
    <w:rsid w:val="00012F04"/>
    <w:rsid w:val="00012F64"/>
    <w:rsid w:val="00013015"/>
    <w:rsid w:val="000131C7"/>
    <w:rsid w:val="00013217"/>
    <w:rsid w:val="00013540"/>
    <w:rsid w:val="00013560"/>
    <w:rsid w:val="000136F0"/>
    <w:rsid w:val="000138D3"/>
    <w:rsid w:val="00013A7B"/>
    <w:rsid w:val="00013CFD"/>
    <w:rsid w:val="00013E12"/>
    <w:rsid w:val="00013ED0"/>
    <w:rsid w:val="00014428"/>
    <w:rsid w:val="00014904"/>
    <w:rsid w:val="00014F48"/>
    <w:rsid w:val="00014F9E"/>
    <w:rsid w:val="00015183"/>
    <w:rsid w:val="00015337"/>
    <w:rsid w:val="0001565C"/>
    <w:rsid w:val="00015807"/>
    <w:rsid w:val="00015987"/>
    <w:rsid w:val="000171E3"/>
    <w:rsid w:val="000177D6"/>
    <w:rsid w:val="000178B4"/>
    <w:rsid w:val="00017A18"/>
    <w:rsid w:val="00017D90"/>
    <w:rsid w:val="00017E45"/>
    <w:rsid w:val="0002091F"/>
    <w:rsid w:val="00020AF9"/>
    <w:rsid w:val="00020ECC"/>
    <w:rsid w:val="0002108B"/>
    <w:rsid w:val="00021817"/>
    <w:rsid w:val="00021D3E"/>
    <w:rsid w:val="0002203D"/>
    <w:rsid w:val="00022542"/>
    <w:rsid w:val="00022703"/>
    <w:rsid w:val="00022B00"/>
    <w:rsid w:val="00022D53"/>
    <w:rsid w:val="00023653"/>
    <w:rsid w:val="00023733"/>
    <w:rsid w:val="0002379B"/>
    <w:rsid w:val="0002395A"/>
    <w:rsid w:val="00023B77"/>
    <w:rsid w:val="00023E4B"/>
    <w:rsid w:val="00024025"/>
    <w:rsid w:val="00024362"/>
    <w:rsid w:val="0002448D"/>
    <w:rsid w:val="00024821"/>
    <w:rsid w:val="00024D18"/>
    <w:rsid w:val="00024EC1"/>
    <w:rsid w:val="00025D4E"/>
    <w:rsid w:val="00025FB0"/>
    <w:rsid w:val="00026519"/>
    <w:rsid w:val="00026CB9"/>
    <w:rsid w:val="000270FF"/>
    <w:rsid w:val="00027151"/>
    <w:rsid w:val="00027194"/>
    <w:rsid w:val="00027504"/>
    <w:rsid w:val="000275E4"/>
    <w:rsid w:val="000276E6"/>
    <w:rsid w:val="000277A9"/>
    <w:rsid w:val="00027934"/>
    <w:rsid w:val="00027D38"/>
    <w:rsid w:val="00030185"/>
    <w:rsid w:val="000307FE"/>
    <w:rsid w:val="00030859"/>
    <w:rsid w:val="00031072"/>
    <w:rsid w:val="0003109B"/>
    <w:rsid w:val="0003115A"/>
    <w:rsid w:val="0003178B"/>
    <w:rsid w:val="00032050"/>
    <w:rsid w:val="0003233E"/>
    <w:rsid w:val="00032588"/>
    <w:rsid w:val="000333DB"/>
    <w:rsid w:val="0003341D"/>
    <w:rsid w:val="00033EA4"/>
    <w:rsid w:val="00034026"/>
    <w:rsid w:val="000341F3"/>
    <w:rsid w:val="0003438A"/>
    <w:rsid w:val="000343C5"/>
    <w:rsid w:val="00035713"/>
    <w:rsid w:val="000358B5"/>
    <w:rsid w:val="00035E03"/>
    <w:rsid w:val="000360DA"/>
    <w:rsid w:val="00036640"/>
    <w:rsid w:val="000366E3"/>
    <w:rsid w:val="00036A57"/>
    <w:rsid w:val="00036D52"/>
    <w:rsid w:val="000371E7"/>
    <w:rsid w:val="000376EE"/>
    <w:rsid w:val="0004069D"/>
    <w:rsid w:val="000407F5"/>
    <w:rsid w:val="0004093A"/>
    <w:rsid w:val="00040957"/>
    <w:rsid w:val="00041345"/>
    <w:rsid w:val="000414B5"/>
    <w:rsid w:val="00041515"/>
    <w:rsid w:val="00041569"/>
    <w:rsid w:val="00041AE0"/>
    <w:rsid w:val="00041C4E"/>
    <w:rsid w:val="000420D6"/>
    <w:rsid w:val="000429F9"/>
    <w:rsid w:val="00043C06"/>
    <w:rsid w:val="00043E74"/>
    <w:rsid w:val="000442A7"/>
    <w:rsid w:val="000442DC"/>
    <w:rsid w:val="0004432F"/>
    <w:rsid w:val="000443AD"/>
    <w:rsid w:val="0004487C"/>
    <w:rsid w:val="000449D8"/>
    <w:rsid w:val="00044A4D"/>
    <w:rsid w:val="00045297"/>
    <w:rsid w:val="00045896"/>
    <w:rsid w:val="00046722"/>
    <w:rsid w:val="00046B09"/>
    <w:rsid w:val="0004708A"/>
    <w:rsid w:val="000471B4"/>
    <w:rsid w:val="000476A2"/>
    <w:rsid w:val="000501CE"/>
    <w:rsid w:val="00050D5E"/>
    <w:rsid w:val="00051289"/>
    <w:rsid w:val="00051B56"/>
    <w:rsid w:val="00051C37"/>
    <w:rsid w:val="00051D23"/>
    <w:rsid w:val="00051E55"/>
    <w:rsid w:val="000521E9"/>
    <w:rsid w:val="00052557"/>
    <w:rsid w:val="00052F7A"/>
    <w:rsid w:val="0005306C"/>
    <w:rsid w:val="00053392"/>
    <w:rsid w:val="00053567"/>
    <w:rsid w:val="00053886"/>
    <w:rsid w:val="00053BCE"/>
    <w:rsid w:val="0005402D"/>
    <w:rsid w:val="000540B8"/>
    <w:rsid w:val="00054119"/>
    <w:rsid w:val="0005434A"/>
    <w:rsid w:val="000547B2"/>
    <w:rsid w:val="00054957"/>
    <w:rsid w:val="00054997"/>
    <w:rsid w:val="00054A46"/>
    <w:rsid w:val="00054A93"/>
    <w:rsid w:val="00054EA5"/>
    <w:rsid w:val="00054F80"/>
    <w:rsid w:val="00055397"/>
    <w:rsid w:val="000556F2"/>
    <w:rsid w:val="00055ABD"/>
    <w:rsid w:val="00056CD0"/>
    <w:rsid w:val="00057570"/>
    <w:rsid w:val="00057A7E"/>
    <w:rsid w:val="00057C6C"/>
    <w:rsid w:val="00057D70"/>
    <w:rsid w:val="000604BC"/>
    <w:rsid w:val="00060E81"/>
    <w:rsid w:val="00060FF1"/>
    <w:rsid w:val="0006101B"/>
    <w:rsid w:val="0006103C"/>
    <w:rsid w:val="00061171"/>
    <w:rsid w:val="000616BA"/>
    <w:rsid w:val="00061832"/>
    <w:rsid w:val="0006239A"/>
    <w:rsid w:val="00062675"/>
    <w:rsid w:val="00062C13"/>
    <w:rsid w:val="00063971"/>
    <w:rsid w:val="00063B30"/>
    <w:rsid w:val="00063BEC"/>
    <w:rsid w:val="00063F34"/>
    <w:rsid w:val="00064458"/>
    <w:rsid w:val="00065689"/>
    <w:rsid w:val="000656E8"/>
    <w:rsid w:val="00065E4D"/>
    <w:rsid w:val="000663DE"/>
    <w:rsid w:val="000664E8"/>
    <w:rsid w:val="00066954"/>
    <w:rsid w:val="00066F31"/>
    <w:rsid w:val="00067116"/>
    <w:rsid w:val="000673B7"/>
    <w:rsid w:val="00067F66"/>
    <w:rsid w:val="00070988"/>
    <w:rsid w:val="00070CC8"/>
    <w:rsid w:val="00070DF4"/>
    <w:rsid w:val="0007104F"/>
    <w:rsid w:val="0007122A"/>
    <w:rsid w:val="000714E0"/>
    <w:rsid w:val="00071A9D"/>
    <w:rsid w:val="00071B3F"/>
    <w:rsid w:val="00071F35"/>
    <w:rsid w:val="00071F6A"/>
    <w:rsid w:val="000723A5"/>
    <w:rsid w:val="00073B10"/>
    <w:rsid w:val="00073B47"/>
    <w:rsid w:val="00073CD0"/>
    <w:rsid w:val="00073E99"/>
    <w:rsid w:val="00073FD7"/>
    <w:rsid w:val="0007450A"/>
    <w:rsid w:val="0007517F"/>
    <w:rsid w:val="000759CC"/>
    <w:rsid w:val="00075C32"/>
    <w:rsid w:val="00075E6E"/>
    <w:rsid w:val="00076198"/>
    <w:rsid w:val="000761EB"/>
    <w:rsid w:val="0007661F"/>
    <w:rsid w:val="00076A89"/>
    <w:rsid w:val="00077314"/>
    <w:rsid w:val="000773E5"/>
    <w:rsid w:val="000779C8"/>
    <w:rsid w:val="00077E33"/>
    <w:rsid w:val="00077EF5"/>
    <w:rsid w:val="00080266"/>
    <w:rsid w:val="00080BAB"/>
    <w:rsid w:val="00080E64"/>
    <w:rsid w:val="000815AA"/>
    <w:rsid w:val="00081A8D"/>
    <w:rsid w:val="00081D72"/>
    <w:rsid w:val="00082016"/>
    <w:rsid w:val="000825CB"/>
    <w:rsid w:val="000825F5"/>
    <w:rsid w:val="00082ADD"/>
    <w:rsid w:val="00082F19"/>
    <w:rsid w:val="00082F8C"/>
    <w:rsid w:val="000838FD"/>
    <w:rsid w:val="00083A12"/>
    <w:rsid w:val="00083B84"/>
    <w:rsid w:val="00083BBE"/>
    <w:rsid w:val="00083C72"/>
    <w:rsid w:val="000842BB"/>
    <w:rsid w:val="000849C4"/>
    <w:rsid w:val="00085839"/>
    <w:rsid w:val="0008586B"/>
    <w:rsid w:val="00085BC3"/>
    <w:rsid w:val="00085C65"/>
    <w:rsid w:val="00085E4D"/>
    <w:rsid w:val="000860D8"/>
    <w:rsid w:val="000863B4"/>
    <w:rsid w:val="0008666D"/>
    <w:rsid w:val="00086D7F"/>
    <w:rsid w:val="000870B2"/>
    <w:rsid w:val="0008732D"/>
    <w:rsid w:val="000873A5"/>
    <w:rsid w:val="00087D69"/>
    <w:rsid w:val="00087F12"/>
    <w:rsid w:val="000901F1"/>
    <w:rsid w:val="0009032E"/>
    <w:rsid w:val="000909EF"/>
    <w:rsid w:val="00090D3E"/>
    <w:rsid w:val="000910F7"/>
    <w:rsid w:val="0009240E"/>
    <w:rsid w:val="00092740"/>
    <w:rsid w:val="00092786"/>
    <w:rsid w:val="00092A30"/>
    <w:rsid w:val="00092C8E"/>
    <w:rsid w:val="00092D31"/>
    <w:rsid w:val="00093120"/>
    <w:rsid w:val="000931ED"/>
    <w:rsid w:val="00093B79"/>
    <w:rsid w:val="00093B9E"/>
    <w:rsid w:val="000942AD"/>
    <w:rsid w:val="00094E35"/>
    <w:rsid w:val="00095128"/>
    <w:rsid w:val="00095204"/>
    <w:rsid w:val="0009622C"/>
    <w:rsid w:val="00097241"/>
    <w:rsid w:val="000978C5"/>
    <w:rsid w:val="00097A57"/>
    <w:rsid w:val="00097B65"/>
    <w:rsid w:val="000A020D"/>
    <w:rsid w:val="000A132C"/>
    <w:rsid w:val="000A16DF"/>
    <w:rsid w:val="000A17D3"/>
    <w:rsid w:val="000A1A77"/>
    <w:rsid w:val="000A2222"/>
    <w:rsid w:val="000A2568"/>
    <w:rsid w:val="000A38DD"/>
    <w:rsid w:val="000A3D47"/>
    <w:rsid w:val="000A46F2"/>
    <w:rsid w:val="000A49ED"/>
    <w:rsid w:val="000A4AF6"/>
    <w:rsid w:val="000A53A6"/>
    <w:rsid w:val="000A53C2"/>
    <w:rsid w:val="000A5BAF"/>
    <w:rsid w:val="000A5D75"/>
    <w:rsid w:val="000A66CE"/>
    <w:rsid w:val="000A67EF"/>
    <w:rsid w:val="000A6A4B"/>
    <w:rsid w:val="000A6BAA"/>
    <w:rsid w:val="000A6C29"/>
    <w:rsid w:val="000A6DE1"/>
    <w:rsid w:val="000A762D"/>
    <w:rsid w:val="000A7A47"/>
    <w:rsid w:val="000A7FE4"/>
    <w:rsid w:val="000B0448"/>
    <w:rsid w:val="000B0AA6"/>
    <w:rsid w:val="000B1307"/>
    <w:rsid w:val="000B1781"/>
    <w:rsid w:val="000B1B46"/>
    <w:rsid w:val="000B1FB7"/>
    <w:rsid w:val="000B2FB1"/>
    <w:rsid w:val="000B3A02"/>
    <w:rsid w:val="000B3DB8"/>
    <w:rsid w:val="000B3E92"/>
    <w:rsid w:val="000B4A4D"/>
    <w:rsid w:val="000B4BED"/>
    <w:rsid w:val="000B4FA1"/>
    <w:rsid w:val="000B528F"/>
    <w:rsid w:val="000B5776"/>
    <w:rsid w:val="000B5975"/>
    <w:rsid w:val="000B5A41"/>
    <w:rsid w:val="000B5D56"/>
    <w:rsid w:val="000B6442"/>
    <w:rsid w:val="000B6BE7"/>
    <w:rsid w:val="000B6DC6"/>
    <w:rsid w:val="000B6F4D"/>
    <w:rsid w:val="000B750D"/>
    <w:rsid w:val="000B77B7"/>
    <w:rsid w:val="000B7D8F"/>
    <w:rsid w:val="000B7FEE"/>
    <w:rsid w:val="000C0DD0"/>
    <w:rsid w:val="000C1BB0"/>
    <w:rsid w:val="000C1D68"/>
    <w:rsid w:val="000C1DA2"/>
    <w:rsid w:val="000C2021"/>
    <w:rsid w:val="000C234A"/>
    <w:rsid w:val="000C254A"/>
    <w:rsid w:val="000C2842"/>
    <w:rsid w:val="000C2AB4"/>
    <w:rsid w:val="000C2BE4"/>
    <w:rsid w:val="000C2EAF"/>
    <w:rsid w:val="000C3709"/>
    <w:rsid w:val="000C3852"/>
    <w:rsid w:val="000C38CF"/>
    <w:rsid w:val="000C3CBD"/>
    <w:rsid w:val="000C412B"/>
    <w:rsid w:val="000C4510"/>
    <w:rsid w:val="000C4598"/>
    <w:rsid w:val="000C484F"/>
    <w:rsid w:val="000C49A9"/>
    <w:rsid w:val="000C520E"/>
    <w:rsid w:val="000C5275"/>
    <w:rsid w:val="000C56BC"/>
    <w:rsid w:val="000C5714"/>
    <w:rsid w:val="000C5748"/>
    <w:rsid w:val="000C595F"/>
    <w:rsid w:val="000C5A4D"/>
    <w:rsid w:val="000C5A79"/>
    <w:rsid w:val="000C5FB5"/>
    <w:rsid w:val="000C618B"/>
    <w:rsid w:val="000C6399"/>
    <w:rsid w:val="000C66AF"/>
    <w:rsid w:val="000C66FA"/>
    <w:rsid w:val="000C6CCA"/>
    <w:rsid w:val="000C6F4D"/>
    <w:rsid w:val="000C71EB"/>
    <w:rsid w:val="000C77FF"/>
    <w:rsid w:val="000C7986"/>
    <w:rsid w:val="000C7A42"/>
    <w:rsid w:val="000C7B9F"/>
    <w:rsid w:val="000D09BD"/>
    <w:rsid w:val="000D1874"/>
    <w:rsid w:val="000D1984"/>
    <w:rsid w:val="000D19A7"/>
    <w:rsid w:val="000D1B57"/>
    <w:rsid w:val="000D1D1A"/>
    <w:rsid w:val="000D1E39"/>
    <w:rsid w:val="000D1EA8"/>
    <w:rsid w:val="000D1EC5"/>
    <w:rsid w:val="000D20D5"/>
    <w:rsid w:val="000D21F5"/>
    <w:rsid w:val="000D30D1"/>
    <w:rsid w:val="000D509A"/>
    <w:rsid w:val="000D59D9"/>
    <w:rsid w:val="000D5B94"/>
    <w:rsid w:val="000D6492"/>
    <w:rsid w:val="000D65EC"/>
    <w:rsid w:val="000D6BEF"/>
    <w:rsid w:val="000D6DC0"/>
    <w:rsid w:val="000D71DE"/>
    <w:rsid w:val="000D71F4"/>
    <w:rsid w:val="000D7485"/>
    <w:rsid w:val="000D7502"/>
    <w:rsid w:val="000D7AC3"/>
    <w:rsid w:val="000D7B03"/>
    <w:rsid w:val="000D7C22"/>
    <w:rsid w:val="000D7E6E"/>
    <w:rsid w:val="000D7EAF"/>
    <w:rsid w:val="000E02F7"/>
    <w:rsid w:val="000E08FA"/>
    <w:rsid w:val="000E0F17"/>
    <w:rsid w:val="000E1346"/>
    <w:rsid w:val="000E149C"/>
    <w:rsid w:val="000E158F"/>
    <w:rsid w:val="000E19C2"/>
    <w:rsid w:val="000E1F88"/>
    <w:rsid w:val="000E2220"/>
    <w:rsid w:val="000E2603"/>
    <w:rsid w:val="000E2801"/>
    <w:rsid w:val="000E3777"/>
    <w:rsid w:val="000E4005"/>
    <w:rsid w:val="000E4E94"/>
    <w:rsid w:val="000E519A"/>
    <w:rsid w:val="000E54BD"/>
    <w:rsid w:val="000E54F1"/>
    <w:rsid w:val="000E5AB8"/>
    <w:rsid w:val="000E5B4C"/>
    <w:rsid w:val="000E5DA7"/>
    <w:rsid w:val="000E5ECC"/>
    <w:rsid w:val="000E626E"/>
    <w:rsid w:val="000E6642"/>
    <w:rsid w:val="000E66F0"/>
    <w:rsid w:val="000E7CE9"/>
    <w:rsid w:val="000F02B6"/>
    <w:rsid w:val="000F0766"/>
    <w:rsid w:val="000F076A"/>
    <w:rsid w:val="000F08DA"/>
    <w:rsid w:val="000F14AE"/>
    <w:rsid w:val="000F16D0"/>
    <w:rsid w:val="000F16D6"/>
    <w:rsid w:val="000F1C70"/>
    <w:rsid w:val="000F1EAE"/>
    <w:rsid w:val="000F1F9F"/>
    <w:rsid w:val="000F24D4"/>
    <w:rsid w:val="000F24EE"/>
    <w:rsid w:val="000F297D"/>
    <w:rsid w:val="000F351D"/>
    <w:rsid w:val="000F356D"/>
    <w:rsid w:val="000F3582"/>
    <w:rsid w:val="000F38BF"/>
    <w:rsid w:val="000F3BDC"/>
    <w:rsid w:val="000F3CCA"/>
    <w:rsid w:val="000F3DAC"/>
    <w:rsid w:val="000F44C5"/>
    <w:rsid w:val="000F500A"/>
    <w:rsid w:val="000F5079"/>
    <w:rsid w:val="000F52FE"/>
    <w:rsid w:val="000F544D"/>
    <w:rsid w:val="000F55D8"/>
    <w:rsid w:val="000F5FF4"/>
    <w:rsid w:val="000F6D48"/>
    <w:rsid w:val="000F76DA"/>
    <w:rsid w:val="000F79E0"/>
    <w:rsid w:val="000F7C51"/>
    <w:rsid w:val="00100C70"/>
    <w:rsid w:val="00101423"/>
    <w:rsid w:val="001016AD"/>
    <w:rsid w:val="00101D18"/>
    <w:rsid w:val="00101DF8"/>
    <w:rsid w:val="00101EAE"/>
    <w:rsid w:val="00101F46"/>
    <w:rsid w:val="00102764"/>
    <w:rsid w:val="00102C83"/>
    <w:rsid w:val="001035CA"/>
    <w:rsid w:val="00103A47"/>
    <w:rsid w:val="00104627"/>
    <w:rsid w:val="001048ED"/>
    <w:rsid w:val="001048FD"/>
    <w:rsid w:val="00105430"/>
    <w:rsid w:val="0010593B"/>
    <w:rsid w:val="001060B8"/>
    <w:rsid w:val="001068E4"/>
    <w:rsid w:val="00107412"/>
    <w:rsid w:val="00107529"/>
    <w:rsid w:val="0010789B"/>
    <w:rsid w:val="00107ABD"/>
    <w:rsid w:val="0011013A"/>
    <w:rsid w:val="00110F59"/>
    <w:rsid w:val="00111103"/>
    <w:rsid w:val="001111F3"/>
    <w:rsid w:val="00111579"/>
    <w:rsid w:val="00111B27"/>
    <w:rsid w:val="00111B89"/>
    <w:rsid w:val="0011248B"/>
    <w:rsid w:val="0011268B"/>
    <w:rsid w:val="00112909"/>
    <w:rsid w:val="00112ED2"/>
    <w:rsid w:val="0011337B"/>
    <w:rsid w:val="0011350A"/>
    <w:rsid w:val="00113803"/>
    <w:rsid w:val="00113FD0"/>
    <w:rsid w:val="00113FDC"/>
    <w:rsid w:val="001142D3"/>
    <w:rsid w:val="001148FA"/>
    <w:rsid w:val="00114F14"/>
    <w:rsid w:val="001150ED"/>
    <w:rsid w:val="00115B15"/>
    <w:rsid w:val="00116420"/>
    <w:rsid w:val="0011646A"/>
    <w:rsid w:val="0011650F"/>
    <w:rsid w:val="00116647"/>
    <w:rsid w:val="00116CDB"/>
    <w:rsid w:val="00116EAF"/>
    <w:rsid w:val="001170CF"/>
    <w:rsid w:val="00117261"/>
    <w:rsid w:val="0011779A"/>
    <w:rsid w:val="00117DDA"/>
    <w:rsid w:val="00120DF8"/>
    <w:rsid w:val="0012145C"/>
    <w:rsid w:val="001219EF"/>
    <w:rsid w:val="00121BC7"/>
    <w:rsid w:val="00122314"/>
    <w:rsid w:val="00122BD9"/>
    <w:rsid w:val="00122C09"/>
    <w:rsid w:val="00122CCD"/>
    <w:rsid w:val="001230EF"/>
    <w:rsid w:val="001235F5"/>
    <w:rsid w:val="00123634"/>
    <w:rsid w:val="00123A5C"/>
    <w:rsid w:val="00123BEF"/>
    <w:rsid w:val="00124166"/>
    <w:rsid w:val="00124505"/>
    <w:rsid w:val="00124AD2"/>
    <w:rsid w:val="00124E55"/>
    <w:rsid w:val="00124ED5"/>
    <w:rsid w:val="00125647"/>
    <w:rsid w:val="00125DAA"/>
    <w:rsid w:val="001262AF"/>
    <w:rsid w:val="001263CC"/>
    <w:rsid w:val="00126BD6"/>
    <w:rsid w:val="00126F4F"/>
    <w:rsid w:val="00126F98"/>
    <w:rsid w:val="00127984"/>
    <w:rsid w:val="00127F05"/>
    <w:rsid w:val="0013028B"/>
    <w:rsid w:val="00130C53"/>
    <w:rsid w:val="00130E03"/>
    <w:rsid w:val="00130F55"/>
    <w:rsid w:val="00131CD9"/>
    <w:rsid w:val="00131FAB"/>
    <w:rsid w:val="001322AF"/>
    <w:rsid w:val="00132408"/>
    <w:rsid w:val="00132585"/>
    <w:rsid w:val="00132A51"/>
    <w:rsid w:val="00132AB6"/>
    <w:rsid w:val="00132F37"/>
    <w:rsid w:val="001332EA"/>
    <w:rsid w:val="00133606"/>
    <w:rsid w:val="0013398D"/>
    <w:rsid w:val="00133A03"/>
    <w:rsid w:val="00135273"/>
    <w:rsid w:val="00135464"/>
    <w:rsid w:val="0013713E"/>
    <w:rsid w:val="00137265"/>
    <w:rsid w:val="0013769D"/>
    <w:rsid w:val="00137E60"/>
    <w:rsid w:val="00137F9D"/>
    <w:rsid w:val="001404AA"/>
    <w:rsid w:val="00140719"/>
    <w:rsid w:val="00140AF7"/>
    <w:rsid w:val="001413A2"/>
    <w:rsid w:val="0014158F"/>
    <w:rsid w:val="00141671"/>
    <w:rsid w:val="00141B41"/>
    <w:rsid w:val="00141DB0"/>
    <w:rsid w:val="00141E84"/>
    <w:rsid w:val="001424CB"/>
    <w:rsid w:val="00142526"/>
    <w:rsid w:val="00142A43"/>
    <w:rsid w:val="00142F67"/>
    <w:rsid w:val="00143140"/>
    <w:rsid w:val="00143233"/>
    <w:rsid w:val="0014341A"/>
    <w:rsid w:val="00143EA3"/>
    <w:rsid w:val="0014457E"/>
    <w:rsid w:val="00144638"/>
    <w:rsid w:val="00144685"/>
    <w:rsid w:val="001448F3"/>
    <w:rsid w:val="00144CC3"/>
    <w:rsid w:val="00144ED9"/>
    <w:rsid w:val="00144FC6"/>
    <w:rsid w:val="00145DA6"/>
    <w:rsid w:val="001465CE"/>
    <w:rsid w:val="001470AA"/>
    <w:rsid w:val="0014764D"/>
    <w:rsid w:val="00147952"/>
    <w:rsid w:val="001479F6"/>
    <w:rsid w:val="00147ADE"/>
    <w:rsid w:val="00147D4A"/>
    <w:rsid w:val="00147EBE"/>
    <w:rsid w:val="00147F23"/>
    <w:rsid w:val="001503AF"/>
    <w:rsid w:val="00150581"/>
    <w:rsid w:val="001506F9"/>
    <w:rsid w:val="00150D8E"/>
    <w:rsid w:val="001510C5"/>
    <w:rsid w:val="00151301"/>
    <w:rsid w:val="0015189B"/>
    <w:rsid w:val="0015196D"/>
    <w:rsid w:val="00151B72"/>
    <w:rsid w:val="00152307"/>
    <w:rsid w:val="00152C4D"/>
    <w:rsid w:val="00152F3C"/>
    <w:rsid w:val="0015353A"/>
    <w:rsid w:val="00153E00"/>
    <w:rsid w:val="001544A4"/>
    <w:rsid w:val="001548BF"/>
    <w:rsid w:val="0015497F"/>
    <w:rsid w:val="00154AFA"/>
    <w:rsid w:val="00154B50"/>
    <w:rsid w:val="00155456"/>
    <w:rsid w:val="001556F8"/>
    <w:rsid w:val="00155D92"/>
    <w:rsid w:val="00155F3A"/>
    <w:rsid w:val="00156681"/>
    <w:rsid w:val="00156E93"/>
    <w:rsid w:val="0015737B"/>
    <w:rsid w:val="00157427"/>
    <w:rsid w:val="001602E4"/>
    <w:rsid w:val="001603FC"/>
    <w:rsid w:val="001605BA"/>
    <w:rsid w:val="0016127F"/>
    <w:rsid w:val="0016173C"/>
    <w:rsid w:val="00161873"/>
    <w:rsid w:val="00161F4D"/>
    <w:rsid w:val="00161F91"/>
    <w:rsid w:val="0016204A"/>
    <w:rsid w:val="0016212A"/>
    <w:rsid w:val="001621FA"/>
    <w:rsid w:val="001623BF"/>
    <w:rsid w:val="001624A8"/>
    <w:rsid w:val="001624DF"/>
    <w:rsid w:val="00162802"/>
    <w:rsid w:val="0016289A"/>
    <w:rsid w:val="0016344D"/>
    <w:rsid w:val="001638D3"/>
    <w:rsid w:val="00163C11"/>
    <w:rsid w:val="00163F4F"/>
    <w:rsid w:val="00164539"/>
    <w:rsid w:val="00164904"/>
    <w:rsid w:val="00164BC4"/>
    <w:rsid w:val="00165248"/>
    <w:rsid w:val="001655B6"/>
    <w:rsid w:val="001658A0"/>
    <w:rsid w:val="00165974"/>
    <w:rsid w:val="00165A83"/>
    <w:rsid w:val="00165DDC"/>
    <w:rsid w:val="00166127"/>
    <w:rsid w:val="00166969"/>
    <w:rsid w:val="00166D88"/>
    <w:rsid w:val="0016750D"/>
    <w:rsid w:val="00167670"/>
    <w:rsid w:val="001676D8"/>
    <w:rsid w:val="001679DF"/>
    <w:rsid w:val="0017023D"/>
    <w:rsid w:val="00170542"/>
    <w:rsid w:val="00170680"/>
    <w:rsid w:val="001709B7"/>
    <w:rsid w:val="001709DE"/>
    <w:rsid w:val="00170C6B"/>
    <w:rsid w:val="00170F39"/>
    <w:rsid w:val="00170F8D"/>
    <w:rsid w:val="0017190E"/>
    <w:rsid w:val="00171FE3"/>
    <w:rsid w:val="0017210D"/>
    <w:rsid w:val="001722D1"/>
    <w:rsid w:val="00172B2E"/>
    <w:rsid w:val="0017396E"/>
    <w:rsid w:val="00173BB0"/>
    <w:rsid w:val="00173DAC"/>
    <w:rsid w:val="001740AA"/>
    <w:rsid w:val="00174179"/>
    <w:rsid w:val="0017488E"/>
    <w:rsid w:val="00174CE0"/>
    <w:rsid w:val="00174CFB"/>
    <w:rsid w:val="00174DBF"/>
    <w:rsid w:val="00174F54"/>
    <w:rsid w:val="001758ED"/>
    <w:rsid w:val="0017594B"/>
    <w:rsid w:val="0017597E"/>
    <w:rsid w:val="00175997"/>
    <w:rsid w:val="00176269"/>
    <w:rsid w:val="00176957"/>
    <w:rsid w:val="00176B33"/>
    <w:rsid w:val="001778E4"/>
    <w:rsid w:val="00177B52"/>
    <w:rsid w:val="00180372"/>
    <w:rsid w:val="00180958"/>
    <w:rsid w:val="001812B1"/>
    <w:rsid w:val="00181574"/>
    <w:rsid w:val="00182481"/>
    <w:rsid w:val="001826A4"/>
    <w:rsid w:val="00182ECE"/>
    <w:rsid w:val="0018340E"/>
    <w:rsid w:val="00183594"/>
    <w:rsid w:val="00183C7D"/>
    <w:rsid w:val="00183CFF"/>
    <w:rsid w:val="00183E0C"/>
    <w:rsid w:val="00183E5C"/>
    <w:rsid w:val="00183FB7"/>
    <w:rsid w:val="00184066"/>
    <w:rsid w:val="001844E7"/>
    <w:rsid w:val="00184912"/>
    <w:rsid w:val="00184D40"/>
    <w:rsid w:val="001850DD"/>
    <w:rsid w:val="001852F1"/>
    <w:rsid w:val="001856AE"/>
    <w:rsid w:val="00185F7E"/>
    <w:rsid w:val="00186080"/>
    <w:rsid w:val="00186352"/>
    <w:rsid w:val="0018719D"/>
    <w:rsid w:val="0018747C"/>
    <w:rsid w:val="001878ED"/>
    <w:rsid w:val="0019009A"/>
    <w:rsid w:val="001907B1"/>
    <w:rsid w:val="00190A71"/>
    <w:rsid w:val="00190B18"/>
    <w:rsid w:val="00190BBE"/>
    <w:rsid w:val="0019111E"/>
    <w:rsid w:val="001914FA"/>
    <w:rsid w:val="00191B45"/>
    <w:rsid w:val="00191D48"/>
    <w:rsid w:val="00192548"/>
    <w:rsid w:val="001926D4"/>
    <w:rsid w:val="001928EB"/>
    <w:rsid w:val="001928F2"/>
    <w:rsid w:val="00192B5C"/>
    <w:rsid w:val="00192E6C"/>
    <w:rsid w:val="00192E97"/>
    <w:rsid w:val="00193571"/>
    <w:rsid w:val="00193696"/>
    <w:rsid w:val="00194552"/>
    <w:rsid w:val="00194586"/>
    <w:rsid w:val="00194D6B"/>
    <w:rsid w:val="00194DA4"/>
    <w:rsid w:val="00195053"/>
    <w:rsid w:val="00195E81"/>
    <w:rsid w:val="00195EC7"/>
    <w:rsid w:val="00196106"/>
    <w:rsid w:val="00196B3D"/>
    <w:rsid w:val="00196BF1"/>
    <w:rsid w:val="00196CA4"/>
    <w:rsid w:val="00196D25"/>
    <w:rsid w:val="00196E76"/>
    <w:rsid w:val="001970A1"/>
    <w:rsid w:val="00197615"/>
    <w:rsid w:val="001976D8"/>
    <w:rsid w:val="001A026F"/>
    <w:rsid w:val="001A0977"/>
    <w:rsid w:val="001A0B0F"/>
    <w:rsid w:val="001A0EDE"/>
    <w:rsid w:val="001A1132"/>
    <w:rsid w:val="001A173D"/>
    <w:rsid w:val="001A19F3"/>
    <w:rsid w:val="001A1D30"/>
    <w:rsid w:val="001A2B72"/>
    <w:rsid w:val="001A2E23"/>
    <w:rsid w:val="001A38FE"/>
    <w:rsid w:val="001A3CC1"/>
    <w:rsid w:val="001A4914"/>
    <w:rsid w:val="001A4922"/>
    <w:rsid w:val="001A4A7C"/>
    <w:rsid w:val="001A4E28"/>
    <w:rsid w:val="001A50E6"/>
    <w:rsid w:val="001A5375"/>
    <w:rsid w:val="001A53F4"/>
    <w:rsid w:val="001A5417"/>
    <w:rsid w:val="001A5569"/>
    <w:rsid w:val="001A56E1"/>
    <w:rsid w:val="001A6303"/>
    <w:rsid w:val="001A6677"/>
    <w:rsid w:val="001A6F30"/>
    <w:rsid w:val="001A75CB"/>
    <w:rsid w:val="001B0093"/>
    <w:rsid w:val="001B064F"/>
    <w:rsid w:val="001B0895"/>
    <w:rsid w:val="001B0A29"/>
    <w:rsid w:val="001B0C4A"/>
    <w:rsid w:val="001B0CC9"/>
    <w:rsid w:val="001B0D43"/>
    <w:rsid w:val="001B161A"/>
    <w:rsid w:val="001B1665"/>
    <w:rsid w:val="001B18C1"/>
    <w:rsid w:val="001B1A05"/>
    <w:rsid w:val="001B1D4D"/>
    <w:rsid w:val="001B1F30"/>
    <w:rsid w:val="001B1FE2"/>
    <w:rsid w:val="001B202A"/>
    <w:rsid w:val="001B2802"/>
    <w:rsid w:val="001B29DF"/>
    <w:rsid w:val="001B2CE2"/>
    <w:rsid w:val="001B3062"/>
    <w:rsid w:val="001B3568"/>
    <w:rsid w:val="001B36A8"/>
    <w:rsid w:val="001B38E3"/>
    <w:rsid w:val="001B3F68"/>
    <w:rsid w:val="001B4144"/>
    <w:rsid w:val="001B470E"/>
    <w:rsid w:val="001B5439"/>
    <w:rsid w:val="001B5467"/>
    <w:rsid w:val="001B587C"/>
    <w:rsid w:val="001B5A1B"/>
    <w:rsid w:val="001B5B81"/>
    <w:rsid w:val="001B5E71"/>
    <w:rsid w:val="001B6B86"/>
    <w:rsid w:val="001B6D21"/>
    <w:rsid w:val="001B6E12"/>
    <w:rsid w:val="001B702C"/>
    <w:rsid w:val="001B7321"/>
    <w:rsid w:val="001B7431"/>
    <w:rsid w:val="001B7622"/>
    <w:rsid w:val="001B7A28"/>
    <w:rsid w:val="001C04CA"/>
    <w:rsid w:val="001C054E"/>
    <w:rsid w:val="001C0E77"/>
    <w:rsid w:val="001C0FA9"/>
    <w:rsid w:val="001C127F"/>
    <w:rsid w:val="001C136B"/>
    <w:rsid w:val="001C14FB"/>
    <w:rsid w:val="001C249F"/>
    <w:rsid w:val="001C24B7"/>
    <w:rsid w:val="001C2711"/>
    <w:rsid w:val="001C2805"/>
    <w:rsid w:val="001C35CC"/>
    <w:rsid w:val="001C3888"/>
    <w:rsid w:val="001C3D8A"/>
    <w:rsid w:val="001C459E"/>
    <w:rsid w:val="001C4751"/>
    <w:rsid w:val="001C5500"/>
    <w:rsid w:val="001C5801"/>
    <w:rsid w:val="001C5944"/>
    <w:rsid w:val="001C5994"/>
    <w:rsid w:val="001C5A36"/>
    <w:rsid w:val="001C5F1B"/>
    <w:rsid w:val="001C6375"/>
    <w:rsid w:val="001C6A39"/>
    <w:rsid w:val="001C7DF9"/>
    <w:rsid w:val="001D0523"/>
    <w:rsid w:val="001D076F"/>
    <w:rsid w:val="001D104E"/>
    <w:rsid w:val="001D1160"/>
    <w:rsid w:val="001D1609"/>
    <w:rsid w:val="001D16B4"/>
    <w:rsid w:val="001D1A3B"/>
    <w:rsid w:val="001D1AB6"/>
    <w:rsid w:val="001D26DC"/>
    <w:rsid w:val="001D27ED"/>
    <w:rsid w:val="001D2DCA"/>
    <w:rsid w:val="001D2EAD"/>
    <w:rsid w:val="001D356C"/>
    <w:rsid w:val="001D3B7F"/>
    <w:rsid w:val="001D3D17"/>
    <w:rsid w:val="001D43BD"/>
    <w:rsid w:val="001D4C68"/>
    <w:rsid w:val="001D4D07"/>
    <w:rsid w:val="001D51F3"/>
    <w:rsid w:val="001D5427"/>
    <w:rsid w:val="001D5545"/>
    <w:rsid w:val="001D5821"/>
    <w:rsid w:val="001D62C0"/>
    <w:rsid w:val="001D633D"/>
    <w:rsid w:val="001D635B"/>
    <w:rsid w:val="001D71FA"/>
    <w:rsid w:val="001D7278"/>
    <w:rsid w:val="001D7280"/>
    <w:rsid w:val="001D78FC"/>
    <w:rsid w:val="001E0912"/>
    <w:rsid w:val="001E098F"/>
    <w:rsid w:val="001E0CC2"/>
    <w:rsid w:val="001E0D3D"/>
    <w:rsid w:val="001E12D4"/>
    <w:rsid w:val="001E1599"/>
    <w:rsid w:val="001E190C"/>
    <w:rsid w:val="001E279E"/>
    <w:rsid w:val="001E2CA8"/>
    <w:rsid w:val="001E2F94"/>
    <w:rsid w:val="001E330B"/>
    <w:rsid w:val="001E353D"/>
    <w:rsid w:val="001E3AE8"/>
    <w:rsid w:val="001E3D85"/>
    <w:rsid w:val="001E3FEF"/>
    <w:rsid w:val="001E452F"/>
    <w:rsid w:val="001E45BA"/>
    <w:rsid w:val="001E49DD"/>
    <w:rsid w:val="001E4F11"/>
    <w:rsid w:val="001E50D1"/>
    <w:rsid w:val="001E56D7"/>
    <w:rsid w:val="001E5AE1"/>
    <w:rsid w:val="001E5C98"/>
    <w:rsid w:val="001E5F96"/>
    <w:rsid w:val="001E65E3"/>
    <w:rsid w:val="001E6664"/>
    <w:rsid w:val="001E6AF0"/>
    <w:rsid w:val="001E7863"/>
    <w:rsid w:val="001E79E2"/>
    <w:rsid w:val="001F0098"/>
    <w:rsid w:val="001F0364"/>
    <w:rsid w:val="001F0936"/>
    <w:rsid w:val="001F0ED4"/>
    <w:rsid w:val="001F118C"/>
    <w:rsid w:val="001F1E50"/>
    <w:rsid w:val="001F2344"/>
    <w:rsid w:val="001F2979"/>
    <w:rsid w:val="001F2C80"/>
    <w:rsid w:val="001F2DD5"/>
    <w:rsid w:val="001F3181"/>
    <w:rsid w:val="001F3702"/>
    <w:rsid w:val="001F3941"/>
    <w:rsid w:val="001F3E69"/>
    <w:rsid w:val="001F4155"/>
    <w:rsid w:val="001F4273"/>
    <w:rsid w:val="001F481E"/>
    <w:rsid w:val="001F4F0C"/>
    <w:rsid w:val="001F5A33"/>
    <w:rsid w:val="001F5A82"/>
    <w:rsid w:val="001F5D79"/>
    <w:rsid w:val="001F5FC8"/>
    <w:rsid w:val="001F6006"/>
    <w:rsid w:val="001F61DF"/>
    <w:rsid w:val="001F643E"/>
    <w:rsid w:val="001F653F"/>
    <w:rsid w:val="001F65CC"/>
    <w:rsid w:val="001F69AE"/>
    <w:rsid w:val="001F6BB5"/>
    <w:rsid w:val="001F6E9F"/>
    <w:rsid w:val="001F7006"/>
    <w:rsid w:val="001F7275"/>
    <w:rsid w:val="001F77D1"/>
    <w:rsid w:val="001F7928"/>
    <w:rsid w:val="001F79D6"/>
    <w:rsid w:val="001F79F4"/>
    <w:rsid w:val="001F7BA6"/>
    <w:rsid w:val="002005D7"/>
    <w:rsid w:val="00200BB3"/>
    <w:rsid w:val="00200C9D"/>
    <w:rsid w:val="00200D92"/>
    <w:rsid w:val="002017B1"/>
    <w:rsid w:val="00202241"/>
    <w:rsid w:val="002024AA"/>
    <w:rsid w:val="002026E5"/>
    <w:rsid w:val="00202783"/>
    <w:rsid w:val="00202807"/>
    <w:rsid w:val="00203F5F"/>
    <w:rsid w:val="002044B9"/>
    <w:rsid w:val="002046AB"/>
    <w:rsid w:val="00204A14"/>
    <w:rsid w:val="00204AC2"/>
    <w:rsid w:val="00204CBD"/>
    <w:rsid w:val="00204CDC"/>
    <w:rsid w:val="00204E58"/>
    <w:rsid w:val="00204ECF"/>
    <w:rsid w:val="002058E0"/>
    <w:rsid w:val="00206069"/>
    <w:rsid w:val="0020660B"/>
    <w:rsid w:val="002069EA"/>
    <w:rsid w:val="00206BE4"/>
    <w:rsid w:val="00206C7D"/>
    <w:rsid w:val="00206D2F"/>
    <w:rsid w:val="002074F7"/>
    <w:rsid w:val="002076E3"/>
    <w:rsid w:val="00207935"/>
    <w:rsid w:val="0020793C"/>
    <w:rsid w:val="0021046E"/>
    <w:rsid w:val="0021099B"/>
    <w:rsid w:val="00210A60"/>
    <w:rsid w:val="00210C79"/>
    <w:rsid w:val="00211015"/>
    <w:rsid w:val="00211682"/>
    <w:rsid w:val="00211ACE"/>
    <w:rsid w:val="00211BD4"/>
    <w:rsid w:val="00212316"/>
    <w:rsid w:val="002124EB"/>
    <w:rsid w:val="00212573"/>
    <w:rsid w:val="00212A17"/>
    <w:rsid w:val="00213C76"/>
    <w:rsid w:val="00214E6E"/>
    <w:rsid w:val="00214FF6"/>
    <w:rsid w:val="0021539E"/>
    <w:rsid w:val="002154FD"/>
    <w:rsid w:val="0021588F"/>
    <w:rsid w:val="002158A9"/>
    <w:rsid w:val="00215A9C"/>
    <w:rsid w:val="00215BA9"/>
    <w:rsid w:val="002160E9"/>
    <w:rsid w:val="0021651E"/>
    <w:rsid w:val="002167D6"/>
    <w:rsid w:val="00216DAA"/>
    <w:rsid w:val="00220B28"/>
    <w:rsid w:val="00220C89"/>
    <w:rsid w:val="00221EA2"/>
    <w:rsid w:val="00221F49"/>
    <w:rsid w:val="002224A4"/>
    <w:rsid w:val="002232D3"/>
    <w:rsid w:val="00223318"/>
    <w:rsid w:val="00224104"/>
    <w:rsid w:val="00224318"/>
    <w:rsid w:val="00224455"/>
    <w:rsid w:val="002244DE"/>
    <w:rsid w:val="00224542"/>
    <w:rsid w:val="00224619"/>
    <w:rsid w:val="00224896"/>
    <w:rsid w:val="002249EB"/>
    <w:rsid w:val="00224A11"/>
    <w:rsid w:val="00224A68"/>
    <w:rsid w:val="00224B9D"/>
    <w:rsid w:val="00224D60"/>
    <w:rsid w:val="002250DC"/>
    <w:rsid w:val="002250F2"/>
    <w:rsid w:val="0022545C"/>
    <w:rsid w:val="002259A2"/>
    <w:rsid w:val="00226755"/>
    <w:rsid w:val="00226D66"/>
    <w:rsid w:val="002272FB"/>
    <w:rsid w:val="00227812"/>
    <w:rsid w:val="00227EB5"/>
    <w:rsid w:val="00230398"/>
    <w:rsid w:val="002309B3"/>
    <w:rsid w:val="00231550"/>
    <w:rsid w:val="00231A59"/>
    <w:rsid w:val="00231CB9"/>
    <w:rsid w:val="00231EA2"/>
    <w:rsid w:val="00232116"/>
    <w:rsid w:val="0023250C"/>
    <w:rsid w:val="002325AA"/>
    <w:rsid w:val="0023272C"/>
    <w:rsid w:val="00232869"/>
    <w:rsid w:val="002329EA"/>
    <w:rsid w:val="00232EF2"/>
    <w:rsid w:val="00233442"/>
    <w:rsid w:val="0023367E"/>
    <w:rsid w:val="00233E5F"/>
    <w:rsid w:val="00234773"/>
    <w:rsid w:val="0023543C"/>
    <w:rsid w:val="002367EA"/>
    <w:rsid w:val="00236DA8"/>
    <w:rsid w:val="00236EEB"/>
    <w:rsid w:val="002372B8"/>
    <w:rsid w:val="002379E3"/>
    <w:rsid w:val="00237BDE"/>
    <w:rsid w:val="002402DE"/>
    <w:rsid w:val="002402E7"/>
    <w:rsid w:val="00240659"/>
    <w:rsid w:val="00240A35"/>
    <w:rsid w:val="00240CB9"/>
    <w:rsid w:val="00240D5B"/>
    <w:rsid w:val="002411E6"/>
    <w:rsid w:val="0024123B"/>
    <w:rsid w:val="00241292"/>
    <w:rsid w:val="00241D81"/>
    <w:rsid w:val="0024222E"/>
    <w:rsid w:val="0024227A"/>
    <w:rsid w:val="0024250B"/>
    <w:rsid w:val="002433E7"/>
    <w:rsid w:val="00244747"/>
    <w:rsid w:val="002449B4"/>
    <w:rsid w:val="0024525A"/>
    <w:rsid w:val="00245ED7"/>
    <w:rsid w:val="00245F44"/>
    <w:rsid w:val="00246128"/>
    <w:rsid w:val="002462A5"/>
    <w:rsid w:val="0024634D"/>
    <w:rsid w:val="0024690C"/>
    <w:rsid w:val="00246D8D"/>
    <w:rsid w:val="00247244"/>
    <w:rsid w:val="002474E7"/>
    <w:rsid w:val="002502F8"/>
    <w:rsid w:val="00250571"/>
    <w:rsid w:val="00250C39"/>
    <w:rsid w:val="00250D95"/>
    <w:rsid w:val="00250DA3"/>
    <w:rsid w:val="00251164"/>
    <w:rsid w:val="00251B4C"/>
    <w:rsid w:val="002520E1"/>
    <w:rsid w:val="002528F6"/>
    <w:rsid w:val="002529F1"/>
    <w:rsid w:val="00252F69"/>
    <w:rsid w:val="00253AEF"/>
    <w:rsid w:val="00253F90"/>
    <w:rsid w:val="0025521B"/>
    <w:rsid w:val="0025537D"/>
    <w:rsid w:val="00255805"/>
    <w:rsid w:val="002558DC"/>
    <w:rsid w:val="00256635"/>
    <w:rsid w:val="00256A20"/>
    <w:rsid w:val="00256AC6"/>
    <w:rsid w:val="00256D7B"/>
    <w:rsid w:val="00256EE8"/>
    <w:rsid w:val="00260052"/>
    <w:rsid w:val="002606F1"/>
    <w:rsid w:val="00260B47"/>
    <w:rsid w:val="00260BC8"/>
    <w:rsid w:val="00260E1A"/>
    <w:rsid w:val="002623F7"/>
    <w:rsid w:val="00262963"/>
    <w:rsid w:val="00262B80"/>
    <w:rsid w:val="00262F38"/>
    <w:rsid w:val="00264817"/>
    <w:rsid w:val="00264BD5"/>
    <w:rsid w:val="00264D5B"/>
    <w:rsid w:val="0026523B"/>
    <w:rsid w:val="002652CC"/>
    <w:rsid w:val="002655BC"/>
    <w:rsid w:val="00265B07"/>
    <w:rsid w:val="00265B66"/>
    <w:rsid w:val="00265D04"/>
    <w:rsid w:val="00265E19"/>
    <w:rsid w:val="002665E8"/>
    <w:rsid w:val="00267F04"/>
    <w:rsid w:val="00270638"/>
    <w:rsid w:val="002708A2"/>
    <w:rsid w:val="002711E0"/>
    <w:rsid w:val="00271975"/>
    <w:rsid w:val="002725F2"/>
    <w:rsid w:val="00274307"/>
    <w:rsid w:val="00274930"/>
    <w:rsid w:val="00274B07"/>
    <w:rsid w:val="00275412"/>
    <w:rsid w:val="00275D96"/>
    <w:rsid w:val="00275FC8"/>
    <w:rsid w:val="00276B2B"/>
    <w:rsid w:val="00276BCB"/>
    <w:rsid w:val="00276C42"/>
    <w:rsid w:val="00277C66"/>
    <w:rsid w:val="00277F9F"/>
    <w:rsid w:val="00280621"/>
    <w:rsid w:val="00280654"/>
    <w:rsid w:val="002809CF"/>
    <w:rsid w:val="00280B5B"/>
    <w:rsid w:val="00280CF9"/>
    <w:rsid w:val="0028202A"/>
    <w:rsid w:val="0028203C"/>
    <w:rsid w:val="00282845"/>
    <w:rsid w:val="00282E9F"/>
    <w:rsid w:val="00283035"/>
    <w:rsid w:val="002830B0"/>
    <w:rsid w:val="002833DC"/>
    <w:rsid w:val="00283E43"/>
    <w:rsid w:val="002842C6"/>
    <w:rsid w:val="002842E3"/>
    <w:rsid w:val="0028440E"/>
    <w:rsid w:val="002847C6"/>
    <w:rsid w:val="002848FB"/>
    <w:rsid w:val="00284D3E"/>
    <w:rsid w:val="00285255"/>
    <w:rsid w:val="00285298"/>
    <w:rsid w:val="002852DB"/>
    <w:rsid w:val="002853F5"/>
    <w:rsid w:val="00285821"/>
    <w:rsid w:val="00285990"/>
    <w:rsid w:val="00285ABA"/>
    <w:rsid w:val="00285B17"/>
    <w:rsid w:val="00285EF8"/>
    <w:rsid w:val="00286889"/>
    <w:rsid w:val="0028690A"/>
    <w:rsid w:val="00286AAF"/>
    <w:rsid w:val="00287115"/>
    <w:rsid w:val="002876A0"/>
    <w:rsid w:val="00287B0A"/>
    <w:rsid w:val="00287D6B"/>
    <w:rsid w:val="002906F4"/>
    <w:rsid w:val="00290D6D"/>
    <w:rsid w:val="00290E1F"/>
    <w:rsid w:val="00291163"/>
    <w:rsid w:val="002911F1"/>
    <w:rsid w:val="0029121B"/>
    <w:rsid w:val="00291282"/>
    <w:rsid w:val="00291AED"/>
    <w:rsid w:val="00291E93"/>
    <w:rsid w:val="00292127"/>
    <w:rsid w:val="00292608"/>
    <w:rsid w:val="00292B11"/>
    <w:rsid w:val="00292CA7"/>
    <w:rsid w:val="00292D99"/>
    <w:rsid w:val="00293631"/>
    <w:rsid w:val="002936FA"/>
    <w:rsid w:val="002938A2"/>
    <w:rsid w:val="00293EA3"/>
    <w:rsid w:val="00294116"/>
    <w:rsid w:val="00294182"/>
    <w:rsid w:val="0029429B"/>
    <w:rsid w:val="002944BE"/>
    <w:rsid w:val="00294B4F"/>
    <w:rsid w:val="00294E8D"/>
    <w:rsid w:val="00295112"/>
    <w:rsid w:val="002951AF"/>
    <w:rsid w:val="002956D0"/>
    <w:rsid w:val="002957D3"/>
    <w:rsid w:val="002957E2"/>
    <w:rsid w:val="002958F3"/>
    <w:rsid w:val="00296099"/>
    <w:rsid w:val="002969A7"/>
    <w:rsid w:val="00297065"/>
    <w:rsid w:val="00297334"/>
    <w:rsid w:val="002979C8"/>
    <w:rsid w:val="00297A46"/>
    <w:rsid w:val="00297A47"/>
    <w:rsid w:val="002A0117"/>
    <w:rsid w:val="002A0210"/>
    <w:rsid w:val="002A0216"/>
    <w:rsid w:val="002A0373"/>
    <w:rsid w:val="002A10CA"/>
    <w:rsid w:val="002A1C70"/>
    <w:rsid w:val="002A1FF0"/>
    <w:rsid w:val="002A2123"/>
    <w:rsid w:val="002A2A1A"/>
    <w:rsid w:val="002A335A"/>
    <w:rsid w:val="002A3611"/>
    <w:rsid w:val="002A37F5"/>
    <w:rsid w:val="002A448F"/>
    <w:rsid w:val="002A458B"/>
    <w:rsid w:val="002A4B46"/>
    <w:rsid w:val="002A5598"/>
    <w:rsid w:val="002A5B0B"/>
    <w:rsid w:val="002A5C10"/>
    <w:rsid w:val="002A69AE"/>
    <w:rsid w:val="002A6A58"/>
    <w:rsid w:val="002A789B"/>
    <w:rsid w:val="002B013F"/>
    <w:rsid w:val="002B066D"/>
    <w:rsid w:val="002B0744"/>
    <w:rsid w:val="002B08C0"/>
    <w:rsid w:val="002B0A35"/>
    <w:rsid w:val="002B0B03"/>
    <w:rsid w:val="002B1444"/>
    <w:rsid w:val="002B16EB"/>
    <w:rsid w:val="002B223B"/>
    <w:rsid w:val="002B239E"/>
    <w:rsid w:val="002B2EE3"/>
    <w:rsid w:val="002B357D"/>
    <w:rsid w:val="002B3BD4"/>
    <w:rsid w:val="002B4068"/>
    <w:rsid w:val="002B41AF"/>
    <w:rsid w:val="002B41EF"/>
    <w:rsid w:val="002B4468"/>
    <w:rsid w:val="002B4E95"/>
    <w:rsid w:val="002B57DB"/>
    <w:rsid w:val="002B592A"/>
    <w:rsid w:val="002B5B4D"/>
    <w:rsid w:val="002B5D27"/>
    <w:rsid w:val="002B66EE"/>
    <w:rsid w:val="002B68E5"/>
    <w:rsid w:val="002B738A"/>
    <w:rsid w:val="002B73EC"/>
    <w:rsid w:val="002B7A55"/>
    <w:rsid w:val="002B7CF7"/>
    <w:rsid w:val="002B7EC9"/>
    <w:rsid w:val="002B7F6E"/>
    <w:rsid w:val="002B7F8E"/>
    <w:rsid w:val="002C0547"/>
    <w:rsid w:val="002C06AF"/>
    <w:rsid w:val="002C0D71"/>
    <w:rsid w:val="002C0E0B"/>
    <w:rsid w:val="002C164D"/>
    <w:rsid w:val="002C16FB"/>
    <w:rsid w:val="002C1954"/>
    <w:rsid w:val="002C197B"/>
    <w:rsid w:val="002C1D05"/>
    <w:rsid w:val="002C1F76"/>
    <w:rsid w:val="002C1FED"/>
    <w:rsid w:val="002C2422"/>
    <w:rsid w:val="002C2A29"/>
    <w:rsid w:val="002C2E61"/>
    <w:rsid w:val="002C30DF"/>
    <w:rsid w:val="002C362A"/>
    <w:rsid w:val="002C37A3"/>
    <w:rsid w:val="002C3C76"/>
    <w:rsid w:val="002C3EA1"/>
    <w:rsid w:val="002C448A"/>
    <w:rsid w:val="002C484E"/>
    <w:rsid w:val="002C4FF8"/>
    <w:rsid w:val="002C56D6"/>
    <w:rsid w:val="002C59F4"/>
    <w:rsid w:val="002C5F9D"/>
    <w:rsid w:val="002C65AA"/>
    <w:rsid w:val="002C66D7"/>
    <w:rsid w:val="002C683C"/>
    <w:rsid w:val="002C6865"/>
    <w:rsid w:val="002C6E17"/>
    <w:rsid w:val="002C6FDD"/>
    <w:rsid w:val="002C7412"/>
    <w:rsid w:val="002C7718"/>
    <w:rsid w:val="002C79CB"/>
    <w:rsid w:val="002C7FDE"/>
    <w:rsid w:val="002D0224"/>
    <w:rsid w:val="002D0685"/>
    <w:rsid w:val="002D0E0F"/>
    <w:rsid w:val="002D0F7E"/>
    <w:rsid w:val="002D108E"/>
    <w:rsid w:val="002D17C0"/>
    <w:rsid w:val="002D188E"/>
    <w:rsid w:val="002D243E"/>
    <w:rsid w:val="002D2475"/>
    <w:rsid w:val="002D2538"/>
    <w:rsid w:val="002D287E"/>
    <w:rsid w:val="002D2D96"/>
    <w:rsid w:val="002D31F4"/>
    <w:rsid w:val="002D374A"/>
    <w:rsid w:val="002D3A99"/>
    <w:rsid w:val="002D3AA5"/>
    <w:rsid w:val="002D4327"/>
    <w:rsid w:val="002D48E3"/>
    <w:rsid w:val="002D562A"/>
    <w:rsid w:val="002D56C5"/>
    <w:rsid w:val="002D5951"/>
    <w:rsid w:val="002D5C2A"/>
    <w:rsid w:val="002D5DF8"/>
    <w:rsid w:val="002D6613"/>
    <w:rsid w:val="002D6A18"/>
    <w:rsid w:val="002D7C9F"/>
    <w:rsid w:val="002E0080"/>
    <w:rsid w:val="002E0EFA"/>
    <w:rsid w:val="002E17C7"/>
    <w:rsid w:val="002E1A7F"/>
    <w:rsid w:val="002E1CA4"/>
    <w:rsid w:val="002E28F7"/>
    <w:rsid w:val="002E3530"/>
    <w:rsid w:val="002E3A92"/>
    <w:rsid w:val="002E3D22"/>
    <w:rsid w:val="002E4B8E"/>
    <w:rsid w:val="002E4C90"/>
    <w:rsid w:val="002E4CEE"/>
    <w:rsid w:val="002E5BE6"/>
    <w:rsid w:val="002E5D30"/>
    <w:rsid w:val="002E6036"/>
    <w:rsid w:val="002E60A9"/>
    <w:rsid w:val="002E6336"/>
    <w:rsid w:val="002E688C"/>
    <w:rsid w:val="002E6A23"/>
    <w:rsid w:val="002E6C03"/>
    <w:rsid w:val="002E7501"/>
    <w:rsid w:val="002F03D1"/>
    <w:rsid w:val="002F0806"/>
    <w:rsid w:val="002F0962"/>
    <w:rsid w:val="002F0B6B"/>
    <w:rsid w:val="002F0DF0"/>
    <w:rsid w:val="002F102B"/>
    <w:rsid w:val="002F1306"/>
    <w:rsid w:val="002F1902"/>
    <w:rsid w:val="002F1B5B"/>
    <w:rsid w:val="002F1D6B"/>
    <w:rsid w:val="002F2194"/>
    <w:rsid w:val="002F2A1F"/>
    <w:rsid w:val="002F2BCD"/>
    <w:rsid w:val="002F2DFD"/>
    <w:rsid w:val="002F31C4"/>
    <w:rsid w:val="002F3306"/>
    <w:rsid w:val="002F35D7"/>
    <w:rsid w:val="002F3D1F"/>
    <w:rsid w:val="002F41F7"/>
    <w:rsid w:val="002F4235"/>
    <w:rsid w:val="002F4643"/>
    <w:rsid w:val="002F4716"/>
    <w:rsid w:val="002F4A93"/>
    <w:rsid w:val="002F4C6A"/>
    <w:rsid w:val="002F4DDF"/>
    <w:rsid w:val="002F5D5D"/>
    <w:rsid w:val="002F5FAE"/>
    <w:rsid w:val="002F5FDD"/>
    <w:rsid w:val="002F6D00"/>
    <w:rsid w:val="002F738F"/>
    <w:rsid w:val="002F7723"/>
    <w:rsid w:val="00300288"/>
    <w:rsid w:val="00300573"/>
    <w:rsid w:val="00300BAE"/>
    <w:rsid w:val="00300FDF"/>
    <w:rsid w:val="003013C1"/>
    <w:rsid w:val="0030145D"/>
    <w:rsid w:val="003014F2"/>
    <w:rsid w:val="0030172B"/>
    <w:rsid w:val="003019C7"/>
    <w:rsid w:val="00301C23"/>
    <w:rsid w:val="00301E62"/>
    <w:rsid w:val="00301F80"/>
    <w:rsid w:val="003021F0"/>
    <w:rsid w:val="00302749"/>
    <w:rsid w:val="00302D4C"/>
    <w:rsid w:val="003034A1"/>
    <w:rsid w:val="0030375A"/>
    <w:rsid w:val="003040E3"/>
    <w:rsid w:val="003046C7"/>
    <w:rsid w:val="00304A31"/>
    <w:rsid w:val="00304AC3"/>
    <w:rsid w:val="00304F5E"/>
    <w:rsid w:val="00304F60"/>
    <w:rsid w:val="003054B5"/>
    <w:rsid w:val="003054C2"/>
    <w:rsid w:val="0030555F"/>
    <w:rsid w:val="003059C0"/>
    <w:rsid w:val="00305A4B"/>
    <w:rsid w:val="0030603A"/>
    <w:rsid w:val="0030624F"/>
    <w:rsid w:val="003070D6"/>
    <w:rsid w:val="0030711B"/>
    <w:rsid w:val="00310056"/>
    <w:rsid w:val="003106D5"/>
    <w:rsid w:val="00310C0B"/>
    <w:rsid w:val="00310E07"/>
    <w:rsid w:val="0031106C"/>
    <w:rsid w:val="00311181"/>
    <w:rsid w:val="003115BC"/>
    <w:rsid w:val="00311DBA"/>
    <w:rsid w:val="00311DBE"/>
    <w:rsid w:val="00312279"/>
    <w:rsid w:val="00312323"/>
    <w:rsid w:val="003124F3"/>
    <w:rsid w:val="0031295D"/>
    <w:rsid w:val="00312FEC"/>
    <w:rsid w:val="00313175"/>
    <w:rsid w:val="003137D5"/>
    <w:rsid w:val="00313BD8"/>
    <w:rsid w:val="00313EE8"/>
    <w:rsid w:val="00315019"/>
    <w:rsid w:val="00315436"/>
    <w:rsid w:val="00315C74"/>
    <w:rsid w:val="00316504"/>
    <w:rsid w:val="00316A19"/>
    <w:rsid w:val="00317852"/>
    <w:rsid w:val="00317F42"/>
    <w:rsid w:val="0032009C"/>
    <w:rsid w:val="0032047D"/>
    <w:rsid w:val="003206EA"/>
    <w:rsid w:val="00320800"/>
    <w:rsid w:val="00321091"/>
    <w:rsid w:val="003211C8"/>
    <w:rsid w:val="00321349"/>
    <w:rsid w:val="00321616"/>
    <w:rsid w:val="003219CF"/>
    <w:rsid w:val="00321CE6"/>
    <w:rsid w:val="00322146"/>
    <w:rsid w:val="0032224C"/>
    <w:rsid w:val="003223BC"/>
    <w:rsid w:val="003224EB"/>
    <w:rsid w:val="0032313C"/>
    <w:rsid w:val="0032481F"/>
    <w:rsid w:val="00324C1F"/>
    <w:rsid w:val="00324EB1"/>
    <w:rsid w:val="003259B8"/>
    <w:rsid w:val="00325A25"/>
    <w:rsid w:val="00325F94"/>
    <w:rsid w:val="00326252"/>
    <w:rsid w:val="00326281"/>
    <w:rsid w:val="00326633"/>
    <w:rsid w:val="003266BF"/>
    <w:rsid w:val="003269BA"/>
    <w:rsid w:val="003269BF"/>
    <w:rsid w:val="003273E7"/>
    <w:rsid w:val="00327430"/>
    <w:rsid w:val="003308DD"/>
    <w:rsid w:val="0033096E"/>
    <w:rsid w:val="00331646"/>
    <w:rsid w:val="003316E8"/>
    <w:rsid w:val="00331825"/>
    <w:rsid w:val="0033189F"/>
    <w:rsid w:val="0033195E"/>
    <w:rsid w:val="00331D79"/>
    <w:rsid w:val="00331F49"/>
    <w:rsid w:val="00332B85"/>
    <w:rsid w:val="00333471"/>
    <w:rsid w:val="003336BE"/>
    <w:rsid w:val="00333776"/>
    <w:rsid w:val="00333785"/>
    <w:rsid w:val="00334289"/>
    <w:rsid w:val="00334321"/>
    <w:rsid w:val="003344BD"/>
    <w:rsid w:val="003344D2"/>
    <w:rsid w:val="00334A74"/>
    <w:rsid w:val="00334C2B"/>
    <w:rsid w:val="00334CE7"/>
    <w:rsid w:val="0033570D"/>
    <w:rsid w:val="003359B2"/>
    <w:rsid w:val="00335AAB"/>
    <w:rsid w:val="00335C09"/>
    <w:rsid w:val="00336402"/>
    <w:rsid w:val="00336CF4"/>
    <w:rsid w:val="00336F78"/>
    <w:rsid w:val="0033736E"/>
    <w:rsid w:val="003373E6"/>
    <w:rsid w:val="0033799E"/>
    <w:rsid w:val="00337B64"/>
    <w:rsid w:val="0034012F"/>
    <w:rsid w:val="003405A2"/>
    <w:rsid w:val="003409BA"/>
    <w:rsid w:val="003409DE"/>
    <w:rsid w:val="00340CD7"/>
    <w:rsid w:val="00341736"/>
    <w:rsid w:val="0034184D"/>
    <w:rsid w:val="00341B48"/>
    <w:rsid w:val="00341C2F"/>
    <w:rsid w:val="00341DF0"/>
    <w:rsid w:val="0034237C"/>
    <w:rsid w:val="003429BD"/>
    <w:rsid w:val="00343122"/>
    <w:rsid w:val="00343ACA"/>
    <w:rsid w:val="00343D22"/>
    <w:rsid w:val="00343D6E"/>
    <w:rsid w:val="0034405B"/>
    <w:rsid w:val="0034423C"/>
    <w:rsid w:val="003443AE"/>
    <w:rsid w:val="003448F5"/>
    <w:rsid w:val="00344B53"/>
    <w:rsid w:val="003451BD"/>
    <w:rsid w:val="0034525A"/>
    <w:rsid w:val="003458F8"/>
    <w:rsid w:val="00345CBD"/>
    <w:rsid w:val="00346313"/>
    <w:rsid w:val="003468AE"/>
    <w:rsid w:val="00346AC3"/>
    <w:rsid w:val="00346C80"/>
    <w:rsid w:val="00346E3C"/>
    <w:rsid w:val="0034712E"/>
    <w:rsid w:val="003473C6"/>
    <w:rsid w:val="003474BF"/>
    <w:rsid w:val="00347511"/>
    <w:rsid w:val="0034757D"/>
    <w:rsid w:val="0034796A"/>
    <w:rsid w:val="003479EE"/>
    <w:rsid w:val="00347DB6"/>
    <w:rsid w:val="00347F55"/>
    <w:rsid w:val="00347FB8"/>
    <w:rsid w:val="0035001F"/>
    <w:rsid w:val="00350068"/>
    <w:rsid w:val="00350293"/>
    <w:rsid w:val="003518B8"/>
    <w:rsid w:val="0035204D"/>
    <w:rsid w:val="00352B16"/>
    <w:rsid w:val="00352F19"/>
    <w:rsid w:val="003531AA"/>
    <w:rsid w:val="0035397F"/>
    <w:rsid w:val="00353E69"/>
    <w:rsid w:val="0035408A"/>
    <w:rsid w:val="003549A7"/>
    <w:rsid w:val="00354BAF"/>
    <w:rsid w:val="00354C80"/>
    <w:rsid w:val="00354CC2"/>
    <w:rsid w:val="003555CC"/>
    <w:rsid w:val="00355E5A"/>
    <w:rsid w:val="003561CB"/>
    <w:rsid w:val="003564B7"/>
    <w:rsid w:val="00356B3A"/>
    <w:rsid w:val="00356CB9"/>
    <w:rsid w:val="003578A0"/>
    <w:rsid w:val="00357C27"/>
    <w:rsid w:val="00357C65"/>
    <w:rsid w:val="00357FF0"/>
    <w:rsid w:val="003600B4"/>
    <w:rsid w:val="0036052B"/>
    <w:rsid w:val="003606F5"/>
    <w:rsid w:val="00360BA8"/>
    <w:rsid w:val="00360C44"/>
    <w:rsid w:val="00361012"/>
    <w:rsid w:val="00361130"/>
    <w:rsid w:val="003614A0"/>
    <w:rsid w:val="00361545"/>
    <w:rsid w:val="00361660"/>
    <w:rsid w:val="00362210"/>
    <w:rsid w:val="00362CA3"/>
    <w:rsid w:val="00362CDE"/>
    <w:rsid w:val="003635FB"/>
    <w:rsid w:val="003637EE"/>
    <w:rsid w:val="00363C0F"/>
    <w:rsid w:val="00363EA8"/>
    <w:rsid w:val="00363EDA"/>
    <w:rsid w:val="00363F9C"/>
    <w:rsid w:val="003644A0"/>
    <w:rsid w:val="00364625"/>
    <w:rsid w:val="00364975"/>
    <w:rsid w:val="00364DCB"/>
    <w:rsid w:val="00365A2E"/>
    <w:rsid w:val="00366447"/>
    <w:rsid w:val="0036669E"/>
    <w:rsid w:val="0036680A"/>
    <w:rsid w:val="00366CAE"/>
    <w:rsid w:val="003673C3"/>
    <w:rsid w:val="00367520"/>
    <w:rsid w:val="00367CAE"/>
    <w:rsid w:val="00367EF1"/>
    <w:rsid w:val="003701B8"/>
    <w:rsid w:val="00370214"/>
    <w:rsid w:val="0037059E"/>
    <w:rsid w:val="00370767"/>
    <w:rsid w:val="00370A0D"/>
    <w:rsid w:val="00370B49"/>
    <w:rsid w:val="00370D6D"/>
    <w:rsid w:val="00370F71"/>
    <w:rsid w:val="003717AE"/>
    <w:rsid w:val="00371C6C"/>
    <w:rsid w:val="003722E3"/>
    <w:rsid w:val="00372570"/>
    <w:rsid w:val="00372695"/>
    <w:rsid w:val="003726B5"/>
    <w:rsid w:val="00372F8F"/>
    <w:rsid w:val="003733A6"/>
    <w:rsid w:val="00373B34"/>
    <w:rsid w:val="00373B83"/>
    <w:rsid w:val="00373D5E"/>
    <w:rsid w:val="003741DF"/>
    <w:rsid w:val="00374336"/>
    <w:rsid w:val="00374466"/>
    <w:rsid w:val="00374F70"/>
    <w:rsid w:val="003759E1"/>
    <w:rsid w:val="00375C92"/>
    <w:rsid w:val="00376675"/>
    <w:rsid w:val="00376AA2"/>
    <w:rsid w:val="00376B36"/>
    <w:rsid w:val="00376FE4"/>
    <w:rsid w:val="0037727C"/>
    <w:rsid w:val="003774C2"/>
    <w:rsid w:val="0037789E"/>
    <w:rsid w:val="00377A7E"/>
    <w:rsid w:val="00377EDC"/>
    <w:rsid w:val="00377FBB"/>
    <w:rsid w:val="00380014"/>
    <w:rsid w:val="0038004A"/>
    <w:rsid w:val="00381363"/>
    <w:rsid w:val="003813B8"/>
    <w:rsid w:val="00381759"/>
    <w:rsid w:val="00381BB4"/>
    <w:rsid w:val="00381BBD"/>
    <w:rsid w:val="00381CA3"/>
    <w:rsid w:val="00381D4F"/>
    <w:rsid w:val="00381FA9"/>
    <w:rsid w:val="00382035"/>
    <w:rsid w:val="00382551"/>
    <w:rsid w:val="0038284E"/>
    <w:rsid w:val="00382890"/>
    <w:rsid w:val="00382E7F"/>
    <w:rsid w:val="0038485C"/>
    <w:rsid w:val="00384C1E"/>
    <w:rsid w:val="00384C85"/>
    <w:rsid w:val="00384E30"/>
    <w:rsid w:val="00384EBC"/>
    <w:rsid w:val="00384F83"/>
    <w:rsid w:val="0038560C"/>
    <w:rsid w:val="00385A86"/>
    <w:rsid w:val="00385D4C"/>
    <w:rsid w:val="003861F1"/>
    <w:rsid w:val="003864D7"/>
    <w:rsid w:val="003865D2"/>
    <w:rsid w:val="00386763"/>
    <w:rsid w:val="003869DC"/>
    <w:rsid w:val="00386D0B"/>
    <w:rsid w:val="00386F39"/>
    <w:rsid w:val="0038737D"/>
    <w:rsid w:val="00387A27"/>
    <w:rsid w:val="00387ACC"/>
    <w:rsid w:val="00387C8A"/>
    <w:rsid w:val="00390872"/>
    <w:rsid w:val="00390ECD"/>
    <w:rsid w:val="00391AAF"/>
    <w:rsid w:val="00391BA1"/>
    <w:rsid w:val="003920D0"/>
    <w:rsid w:val="00392A3F"/>
    <w:rsid w:val="00392CAC"/>
    <w:rsid w:val="00392D29"/>
    <w:rsid w:val="0039324D"/>
    <w:rsid w:val="00393313"/>
    <w:rsid w:val="00393400"/>
    <w:rsid w:val="003935B1"/>
    <w:rsid w:val="0039389C"/>
    <w:rsid w:val="00393D9A"/>
    <w:rsid w:val="00393E64"/>
    <w:rsid w:val="00394135"/>
    <w:rsid w:val="00395123"/>
    <w:rsid w:val="003952C4"/>
    <w:rsid w:val="00395322"/>
    <w:rsid w:val="003955E1"/>
    <w:rsid w:val="0039569E"/>
    <w:rsid w:val="003967E6"/>
    <w:rsid w:val="00396CB9"/>
    <w:rsid w:val="00397545"/>
    <w:rsid w:val="003977ED"/>
    <w:rsid w:val="0039781A"/>
    <w:rsid w:val="00397EDA"/>
    <w:rsid w:val="00397F27"/>
    <w:rsid w:val="003A0015"/>
    <w:rsid w:val="003A00DE"/>
    <w:rsid w:val="003A00F4"/>
    <w:rsid w:val="003A0493"/>
    <w:rsid w:val="003A049C"/>
    <w:rsid w:val="003A0896"/>
    <w:rsid w:val="003A0BD1"/>
    <w:rsid w:val="003A18CF"/>
    <w:rsid w:val="003A22CF"/>
    <w:rsid w:val="003A2302"/>
    <w:rsid w:val="003A2725"/>
    <w:rsid w:val="003A2C1E"/>
    <w:rsid w:val="003A324B"/>
    <w:rsid w:val="003A3AA7"/>
    <w:rsid w:val="003A3B90"/>
    <w:rsid w:val="003A3BF8"/>
    <w:rsid w:val="003A4BA6"/>
    <w:rsid w:val="003A4BE2"/>
    <w:rsid w:val="003A4C35"/>
    <w:rsid w:val="003A5308"/>
    <w:rsid w:val="003A5C86"/>
    <w:rsid w:val="003A5CF5"/>
    <w:rsid w:val="003A669E"/>
    <w:rsid w:val="003A6895"/>
    <w:rsid w:val="003A68DF"/>
    <w:rsid w:val="003A6C99"/>
    <w:rsid w:val="003A71E1"/>
    <w:rsid w:val="003A7472"/>
    <w:rsid w:val="003A76EC"/>
    <w:rsid w:val="003A7EA7"/>
    <w:rsid w:val="003A7F78"/>
    <w:rsid w:val="003B0105"/>
    <w:rsid w:val="003B0151"/>
    <w:rsid w:val="003B01EF"/>
    <w:rsid w:val="003B0231"/>
    <w:rsid w:val="003B0D01"/>
    <w:rsid w:val="003B0D1F"/>
    <w:rsid w:val="003B10BE"/>
    <w:rsid w:val="003B1220"/>
    <w:rsid w:val="003B1653"/>
    <w:rsid w:val="003B1832"/>
    <w:rsid w:val="003B187A"/>
    <w:rsid w:val="003B2469"/>
    <w:rsid w:val="003B25CA"/>
    <w:rsid w:val="003B29C7"/>
    <w:rsid w:val="003B2C8A"/>
    <w:rsid w:val="003B39F7"/>
    <w:rsid w:val="003B428D"/>
    <w:rsid w:val="003B43D7"/>
    <w:rsid w:val="003B46E7"/>
    <w:rsid w:val="003B4B95"/>
    <w:rsid w:val="003B4E85"/>
    <w:rsid w:val="003B5285"/>
    <w:rsid w:val="003B55AD"/>
    <w:rsid w:val="003B569F"/>
    <w:rsid w:val="003B5728"/>
    <w:rsid w:val="003B5D98"/>
    <w:rsid w:val="003B5E36"/>
    <w:rsid w:val="003B6410"/>
    <w:rsid w:val="003B68EF"/>
    <w:rsid w:val="003B70D4"/>
    <w:rsid w:val="003B7457"/>
    <w:rsid w:val="003B7920"/>
    <w:rsid w:val="003C0145"/>
    <w:rsid w:val="003C0366"/>
    <w:rsid w:val="003C0591"/>
    <w:rsid w:val="003C06A3"/>
    <w:rsid w:val="003C091B"/>
    <w:rsid w:val="003C0AF3"/>
    <w:rsid w:val="003C0BD3"/>
    <w:rsid w:val="003C0C30"/>
    <w:rsid w:val="003C0ED8"/>
    <w:rsid w:val="003C10F9"/>
    <w:rsid w:val="003C149E"/>
    <w:rsid w:val="003C186B"/>
    <w:rsid w:val="003C1F1E"/>
    <w:rsid w:val="003C1FAA"/>
    <w:rsid w:val="003C204D"/>
    <w:rsid w:val="003C2BB3"/>
    <w:rsid w:val="003C2BD2"/>
    <w:rsid w:val="003C2FFE"/>
    <w:rsid w:val="003C311D"/>
    <w:rsid w:val="003C44E9"/>
    <w:rsid w:val="003C4864"/>
    <w:rsid w:val="003C53C2"/>
    <w:rsid w:val="003C5508"/>
    <w:rsid w:val="003C5A5F"/>
    <w:rsid w:val="003C5BAC"/>
    <w:rsid w:val="003C6113"/>
    <w:rsid w:val="003C6317"/>
    <w:rsid w:val="003C63B6"/>
    <w:rsid w:val="003C6431"/>
    <w:rsid w:val="003C6A48"/>
    <w:rsid w:val="003C6A72"/>
    <w:rsid w:val="003C6D62"/>
    <w:rsid w:val="003C73D9"/>
    <w:rsid w:val="003C74FD"/>
    <w:rsid w:val="003C79FD"/>
    <w:rsid w:val="003C7E4D"/>
    <w:rsid w:val="003C7F6A"/>
    <w:rsid w:val="003D0924"/>
    <w:rsid w:val="003D0A9A"/>
    <w:rsid w:val="003D0CB7"/>
    <w:rsid w:val="003D0D3A"/>
    <w:rsid w:val="003D10EA"/>
    <w:rsid w:val="003D138B"/>
    <w:rsid w:val="003D1AD3"/>
    <w:rsid w:val="003D1BB3"/>
    <w:rsid w:val="003D2393"/>
    <w:rsid w:val="003D256D"/>
    <w:rsid w:val="003D27C2"/>
    <w:rsid w:val="003D315D"/>
    <w:rsid w:val="003D3452"/>
    <w:rsid w:val="003D394B"/>
    <w:rsid w:val="003D4525"/>
    <w:rsid w:val="003D4526"/>
    <w:rsid w:val="003D480F"/>
    <w:rsid w:val="003D4A7B"/>
    <w:rsid w:val="003D4B12"/>
    <w:rsid w:val="003D4BCB"/>
    <w:rsid w:val="003D4C0D"/>
    <w:rsid w:val="003D4C6D"/>
    <w:rsid w:val="003D4CB5"/>
    <w:rsid w:val="003D4EBE"/>
    <w:rsid w:val="003D51FC"/>
    <w:rsid w:val="003D525D"/>
    <w:rsid w:val="003D53A5"/>
    <w:rsid w:val="003D54FB"/>
    <w:rsid w:val="003D5B0E"/>
    <w:rsid w:val="003D5ECE"/>
    <w:rsid w:val="003D6391"/>
    <w:rsid w:val="003D649D"/>
    <w:rsid w:val="003D64B0"/>
    <w:rsid w:val="003D6C6D"/>
    <w:rsid w:val="003D6FEC"/>
    <w:rsid w:val="003D700E"/>
    <w:rsid w:val="003D7036"/>
    <w:rsid w:val="003D75AD"/>
    <w:rsid w:val="003D769F"/>
    <w:rsid w:val="003D76AF"/>
    <w:rsid w:val="003D7A66"/>
    <w:rsid w:val="003D7BE9"/>
    <w:rsid w:val="003D7CBD"/>
    <w:rsid w:val="003D7CF0"/>
    <w:rsid w:val="003E005E"/>
    <w:rsid w:val="003E0497"/>
    <w:rsid w:val="003E0585"/>
    <w:rsid w:val="003E1055"/>
    <w:rsid w:val="003E10AA"/>
    <w:rsid w:val="003E1528"/>
    <w:rsid w:val="003E1D71"/>
    <w:rsid w:val="003E2081"/>
    <w:rsid w:val="003E226C"/>
    <w:rsid w:val="003E2AFB"/>
    <w:rsid w:val="003E31D1"/>
    <w:rsid w:val="003E37BF"/>
    <w:rsid w:val="003E3926"/>
    <w:rsid w:val="003E3F0C"/>
    <w:rsid w:val="003E4186"/>
    <w:rsid w:val="003E4D7B"/>
    <w:rsid w:val="003E584E"/>
    <w:rsid w:val="003E5AC9"/>
    <w:rsid w:val="003E5E80"/>
    <w:rsid w:val="003E5F19"/>
    <w:rsid w:val="003E5F73"/>
    <w:rsid w:val="003E6225"/>
    <w:rsid w:val="003E672A"/>
    <w:rsid w:val="003E686F"/>
    <w:rsid w:val="003E6F6E"/>
    <w:rsid w:val="003E7083"/>
    <w:rsid w:val="003E7673"/>
    <w:rsid w:val="003E7E6D"/>
    <w:rsid w:val="003F0319"/>
    <w:rsid w:val="003F0475"/>
    <w:rsid w:val="003F160A"/>
    <w:rsid w:val="003F26F0"/>
    <w:rsid w:val="003F276D"/>
    <w:rsid w:val="003F29AF"/>
    <w:rsid w:val="003F2FE3"/>
    <w:rsid w:val="003F4362"/>
    <w:rsid w:val="003F4377"/>
    <w:rsid w:val="003F4AA8"/>
    <w:rsid w:val="003F5302"/>
    <w:rsid w:val="003F53D7"/>
    <w:rsid w:val="003F5702"/>
    <w:rsid w:val="003F5932"/>
    <w:rsid w:val="003F5951"/>
    <w:rsid w:val="003F6101"/>
    <w:rsid w:val="003F61CA"/>
    <w:rsid w:val="003F6380"/>
    <w:rsid w:val="003F63E3"/>
    <w:rsid w:val="003F6A14"/>
    <w:rsid w:val="003F721B"/>
    <w:rsid w:val="003F79F9"/>
    <w:rsid w:val="003F7CD5"/>
    <w:rsid w:val="003F7DC5"/>
    <w:rsid w:val="00400A3A"/>
    <w:rsid w:val="00400B4D"/>
    <w:rsid w:val="00400DCB"/>
    <w:rsid w:val="00401460"/>
    <w:rsid w:val="00401A48"/>
    <w:rsid w:val="00401F68"/>
    <w:rsid w:val="00402036"/>
    <w:rsid w:val="00402048"/>
    <w:rsid w:val="004027E2"/>
    <w:rsid w:val="00402891"/>
    <w:rsid w:val="00402B1E"/>
    <w:rsid w:val="00402DA1"/>
    <w:rsid w:val="00402E63"/>
    <w:rsid w:val="00403712"/>
    <w:rsid w:val="00403963"/>
    <w:rsid w:val="00403B8D"/>
    <w:rsid w:val="00403DA0"/>
    <w:rsid w:val="00403E90"/>
    <w:rsid w:val="00403F7A"/>
    <w:rsid w:val="00404A78"/>
    <w:rsid w:val="004054A8"/>
    <w:rsid w:val="00405606"/>
    <w:rsid w:val="00405801"/>
    <w:rsid w:val="00405A8D"/>
    <w:rsid w:val="004066CA"/>
    <w:rsid w:val="00406900"/>
    <w:rsid w:val="0040697E"/>
    <w:rsid w:val="00406CA8"/>
    <w:rsid w:val="00406CDA"/>
    <w:rsid w:val="00407138"/>
    <w:rsid w:val="004072FA"/>
    <w:rsid w:val="00407549"/>
    <w:rsid w:val="0040779E"/>
    <w:rsid w:val="00407B61"/>
    <w:rsid w:val="00407BC6"/>
    <w:rsid w:val="00407DC1"/>
    <w:rsid w:val="0041082C"/>
    <w:rsid w:val="00410C49"/>
    <w:rsid w:val="00410D72"/>
    <w:rsid w:val="00410D94"/>
    <w:rsid w:val="004118AA"/>
    <w:rsid w:val="00411C6F"/>
    <w:rsid w:val="0041248F"/>
    <w:rsid w:val="004124E6"/>
    <w:rsid w:val="00412539"/>
    <w:rsid w:val="00412564"/>
    <w:rsid w:val="0041270B"/>
    <w:rsid w:val="004134D1"/>
    <w:rsid w:val="00413759"/>
    <w:rsid w:val="0041410E"/>
    <w:rsid w:val="004141BE"/>
    <w:rsid w:val="004143DB"/>
    <w:rsid w:val="00414536"/>
    <w:rsid w:val="00414B60"/>
    <w:rsid w:val="00414D56"/>
    <w:rsid w:val="00414D74"/>
    <w:rsid w:val="00415043"/>
    <w:rsid w:val="00415270"/>
    <w:rsid w:val="00415974"/>
    <w:rsid w:val="00415A0C"/>
    <w:rsid w:val="004162CB"/>
    <w:rsid w:val="0041630B"/>
    <w:rsid w:val="004166EB"/>
    <w:rsid w:val="00416853"/>
    <w:rsid w:val="00416DBE"/>
    <w:rsid w:val="00417199"/>
    <w:rsid w:val="0041793B"/>
    <w:rsid w:val="004179D9"/>
    <w:rsid w:val="00417D99"/>
    <w:rsid w:val="00420323"/>
    <w:rsid w:val="004204CD"/>
    <w:rsid w:val="00420B37"/>
    <w:rsid w:val="00420DBA"/>
    <w:rsid w:val="00420FBA"/>
    <w:rsid w:val="00421079"/>
    <w:rsid w:val="00421290"/>
    <w:rsid w:val="004216E4"/>
    <w:rsid w:val="00421A48"/>
    <w:rsid w:val="00421D6D"/>
    <w:rsid w:val="00421ECA"/>
    <w:rsid w:val="00422140"/>
    <w:rsid w:val="00422145"/>
    <w:rsid w:val="0042234D"/>
    <w:rsid w:val="00422454"/>
    <w:rsid w:val="00422653"/>
    <w:rsid w:val="00422A8C"/>
    <w:rsid w:val="00422FF0"/>
    <w:rsid w:val="0042358D"/>
    <w:rsid w:val="0042385B"/>
    <w:rsid w:val="004239F8"/>
    <w:rsid w:val="00423A24"/>
    <w:rsid w:val="0042418F"/>
    <w:rsid w:val="0042419B"/>
    <w:rsid w:val="004241F1"/>
    <w:rsid w:val="0042434D"/>
    <w:rsid w:val="00424866"/>
    <w:rsid w:val="00424936"/>
    <w:rsid w:val="00424B91"/>
    <w:rsid w:val="00424D6D"/>
    <w:rsid w:val="00424DD9"/>
    <w:rsid w:val="00424F6D"/>
    <w:rsid w:val="004253CF"/>
    <w:rsid w:val="004255FC"/>
    <w:rsid w:val="00426EB1"/>
    <w:rsid w:val="00426EF3"/>
    <w:rsid w:val="00426F7B"/>
    <w:rsid w:val="004270E7"/>
    <w:rsid w:val="00427FD0"/>
    <w:rsid w:val="0043046B"/>
    <w:rsid w:val="00430539"/>
    <w:rsid w:val="004306FB"/>
    <w:rsid w:val="00430954"/>
    <w:rsid w:val="00430DC0"/>
    <w:rsid w:val="00430E95"/>
    <w:rsid w:val="0043101D"/>
    <w:rsid w:val="0043198F"/>
    <w:rsid w:val="00431DF8"/>
    <w:rsid w:val="0043201B"/>
    <w:rsid w:val="00432603"/>
    <w:rsid w:val="004326E6"/>
    <w:rsid w:val="0043271B"/>
    <w:rsid w:val="004327C8"/>
    <w:rsid w:val="00433044"/>
    <w:rsid w:val="004333B4"/>
    <w:rsid w:val="004338B2"/>
    <w:rsid w:val="00433A3D"/>
    <w:rsid w:val="00433A63"/>
    <w:rsid w:val="00433AA2"/>
    <w:rsid w:val="00434ABF"/>
    <w:rsid w:val="00435764"/>
    <w:rsid w:val="00435D7F"/>
    <w:rsid w:val="004360DD"/>
    <w:rsid w:val="0043685E"/>
    <w:rsid w:val="00437128"/>
    <w:rsid w:val="004374AF"/>
    <w:rsid w:val="0043750B"/>
    <w:rsid w:val="00437720"/>
    <w:rsid w:val="004400AB"/>
    <w:rsid w:val="0044023A"/>
    <w:rsid w:val="004402DC"/>
    <w:rsid w:val="00440847"/>
    <w:rsid w:val="00440C8B"/>
    <w:rsid w:val="00441155"/>
    <w:rsid w:val="00441201"/>
    <w:rsid w:val="004418B4"/>
    <w:rsid w:val="0044191C"/>
    <w:rsid w:val="00441DCB"/>
    <w:rsid w:val="00441DD1"/>
    <w:rsid w:val="004420E0"/>
    <w:rsid w:val="00442641"/>
    <w:rsid w:val="00442AFD"/>
    <w:rsid w:val="00443107"/>
    <w:rsid w:val="00443811"/>
    <w:rsid w:val="004440FF"/>
    <w:rsid w:val="0044426B"/>
    <w:rsid w:val="0044483E"/>
    <w:rsid w:val="00444D98"/>
    <w:rsid w:val="00445282"/>
    <w:rsid w:val="00445891"/>
    <w:rsid w:val="00445C02"/>
    <w:rsid w:val="00445D39"/>
    <w:rsid w:val="00445EF5"/>
    <w:rsid w:val="00445F46"/>
    <w:rsid w:val="00446032"/>
    <w:rsid w:val="0044630F"/>
    <w:rsid w:val="0044682A"/>
    <w:rsid w:val="0044686A"/>
    <w:rsid w:val="004469EC"/>
    <w:rsid w:val="00446BB0"/>
    <w:rsid w:val="00446D04"/>
    <w:rsid w:val="0044721C"/>
    <w:rsid w:val="00447574"/>
    <w:rsid w:val="004477F6"/>
    <w:rsid w:val="0044783A"/>
    <w:rsid w:val="00447C8A"/>
    <w:rsid w:val="00447DA1"/>
    <w:rsid w:val="0045078C"/>
    <w:rsid w:val="00450BA5"/>
    <w:rsid w:val="00450C93"/>
    <w:rsid w:val="00450D29"/>
    <w:rsid w:val="00451115"/>
    <w:rsid w:val="004511F4"/>
    <w:rsid w:val="00451539"/>
    <w:rsid w:val="00451576"/>
    <w:rsid w:val="00451773"/>
    <w:rsid w:val="00451B11"/>
    <w:rsid w:val="00451B6E"/>
    <w:rsid w:val="00451CFB"/>
    <w:rsid w:val="00452119"/>
    <w:rsid w:val="0045254B"/>
    <w:rsid w:val="00452F66"/>
    <w:rsid w:val="00454258"/>
    <w:rsid w:val="004544B0"/>
    <w:rsid w:val="004544BD"/>
    <w:rsid w:val="0045518C"/>
    <w:rsid w:val="004551B6"/>
    <w:rsid w:val="0045559F"/>
    <w:rsid w:val="00457076"/>
    <w:rsid w:val="004573C0"/>
    <w:rsid w:val="00457846"/>
    <w:rsid w:val="00457AD8"/>
    <w:rsid w:val="00457C7C"/>
    <w:rsid w:val="004605F2"/>
    <w:rsid w:val="00460692"/>
    <w:rsid w:val="0046127C"/>
    <w:rsid w:val="004613A6"/>
    <w:rsid w:val="004615B3"/>
    <w:rsid w:val="00461C3F"/>
    <w:rsid w:val="00461C40"/>
    <w:rsid w:val="00461E35"/>
    <w:rsid w:val="004625FC"/>
    <w:rsid w:val="004628BC"/>
    <w:rsid w:val="00462CF7"/>
    <w:rsid w:val="00462EDD"/>
    <w:rsid w:val="00463F04"/>
    <w:rsid w:val="004643E3"/>
    <w:rsid w:val="004645D6"/>
    <w:rsid w:val="00464FCC"/>
    <w:rsid w:val="004653A6"/>
    <w:rsid w:val="004655E7"/>
    <w:rsid w:val="004659BF"/>
    <w:rsid w:val="00465A42"/>
    <w:rsid w:val="00465C07"/>
    <w:rsid w:val="00465EB6"/>
    <w:rsid w:val="00465F0F"/>
    <w:rsid w:val="004667A7"/>
    <w:rsid w:val="0046711D"/>
    <w:rsid w:val="00470235"/>
    <w:rsid w:val="004704A6"/>
    <w:rsid w:val="0047072E"/>
    <w:rsid w:val="004709B0"/>
    <w:rsid w:val="00470E14"/>
    <w:rsid w:val="00471243"/>
    <w:rsid w:val="00471349"/>
    <w:rsid w:val="004715D7"/>
    <w:rsid w:val="00471E57"/>
    <w:rsid w:val="00471F9A"/>
    <w:rsid w:val="004720FE"/>
    <w:rsid w:val="00472448"/>
    <w:rsid w:val="00472498"/>
    <w:rsid w:val="004727FB"/>
    <w:rsid w:val="00472833"/>
    <w:rsid w:val="0047286D"/>
    <w:rsid w:val="00472E8F"/>
    <w:rsid w:val="004730BD"/>
    <w:rsid w:val="004731EC"/>
    <w:rsid w:val="00473491"/>
    <w:rsid w:val="004734BA"/>
    <w:rsid w:val="00473D14"/>
    <w:rsid w:val="00474331"/>
    <w:rsid w:val="004748A8"/>
    <w:rsid w:val="00474A36"/>
    <w:rsid w:val="00474A74"/>
    <w:rsid w:val="00474E26"/>
    <w:rsid w:val="004750E1"/>
    <w:rsid w:val="0047561D"/>
    <w:rsid w:val="00475670"/>
    <w:rsid w:val="00475DDA"/>
    <w:rsid w:val="00476756"/>
    <w:rsid w:val="00476797"/>
    <w:rsid w:val="004770DE"/>
    <w:rsid w:val="0047712B"/>
    <w:rsid w:val="00477584"/>
    <w:rsid w:val="00477BA3"/>
    <w:rsid w:val="00477EA5"/>
    <w:rsid w:val="00480160"/>
    <w:rsid w:val="004807F5"/>
    <w:rsid w:val="00480DC1"/>
    <w:rsid w:val="00480EC8"/>
    <w:rsid w:val="00480F96"/>
    <w:rsid w:val="00481DEB"/>
    <w:rsid w:val="00481F6B"/>
    <w:rsid w:val="004827E9"/>
    <w:rsid w:val="0048286C"/>
    <w:rsid w:val="00482BDC"/>
    <w:rsid w:val="00482E70"/>
    <w:rsid w:val="00482EDB"/>
    <w:rsid w:val="00483559"/>
    <w:rsid w:val="00483ADE"/>
    <w:rsid w:val="004841F1"/>
    <w:rsid w:val="004853DA"/>
    <w:rsid w:val="00485EA3"/>
    <w:rsid w:val="004860C1"/>
    <w:rsid w:val="004860F6"/>
    <w:rsid w:val="00486266"/>
    <w:rsid w:val="004868C2"/>
    <w:rsid w:val="00486935"/>
    <w:rsid w:val="00486F2C"/>
    <w:rsid w:val="00487081"/>
    <w:rsid w:val="004876E6"/>
    <w:rsid w:val="0048797E"/>
    <w:rsid w:val="00487AAB"/>
    <w:rsid w:val="00487BAF"/>
    <w:rsid w:val="00487DEB"/>
    <w:rsid w:val="00490EC4"/>
    <w:rsid w:val="0049108F"/>
    <w:rsid w:val="00491140"/>
    <w:rsid w:val="00491583"/>
    <w:rsid w:val="004918AF"/>
    <w:rsid w:val="00491960"/>
    <w:rsid w:val="00491E0F"/>
    <w:rsid w:val="00492DC0"/>
    <w:rsid w:val="00493004"/>
    <w:rsid w:val="0049314D"/>
    <w:rsid w:val="0049376C"/>
    <w:rsid w:val="004937F5"/>
    <w:rsid w:val="004940BA"/>
    <w:rsid w:val="0049427D"/>
    <w:rsid w:val="004942E7"/>
    <w:rsid w:val="00494362"/>
    <w:rsid w:val="0049515F"/>
    <w:rsid w:val="00495A2F"/>
    <w:rsid w:val="00495D1B"/>
    <w:rsid w:val="00496588"/>
    <w:rsid w:val="004967F2"/>
    <w:rsid w:val="00496AB4"/>
    <w:rsid w:val="00496AE1"/>
    <w:rsid w:val="00496C08"/>
    <w:rsid w:val="00497019"/>
    <w:rsid w:val="004970AA"/>
    <w:rsid w:val="004971AA"/>
    <w:rsid w:val="00497458"/>
    <w:rsid w:val="00497A33"/>
    <w:rsid w:val="00497BFF"/>
    <w:rsid w:val="00497E31"/>
    <w:rsid w:val="004A0314"/>
    <w:rsid w:val="004A0D74"/>
    <w:rsid w:val="004A0D81"/>
    <w:rsid w:val="004A0EC3"/>
    <w:rsid w:val="004A104C"/>
    <w:rsid w:val="004A110D"/>
    <w:rsid w:val="004A1203"/>
    <w:rsid w:val="004A12C0"/>
    <w:rsid w:val="004A155D"/>
    <w:rsid w:val="004A1713"/>
    <w:rsid w:val="004A1E34"/>
    <w:rsid w:val="004A201A"/>
    <w:rsid w:val="004A293C"/>
    <w:rsid w:val="004A2BE4"/>
    <w:rsid w:val="004A2D38"/>
    <w:rsid w:val="004A3B4B"/>
    <w:rsid w:val="004A3E35"/>
    <w:rsid w:val="004A3F45"/>
    <w:rsid w:val="004A43EC"/>
    <w:rsid w:val="004A44CC"/>
    <w:rsid w:val="004A4C21"/>
    <w:rsid w:val="004A586B"/>
    <w:rsid w:val="004A5A50"/>
    <w:rsid w:val="004A6175"/>
    <w:rsid w:val="004A6BF5"/>
    <w:rsid w:val="004A70A1"/>
    <w:rsid w:val="004A7A89"/>
    <w:rsid w:val="004A7D95"/>
    <w:rsid w:val="004A7F71"/>
    <w:rsid w:val="004B0220"/>
    <w:rsid w:val="004B0B1C"/>
    <w:rsid w:val="004B1288"/>
    <w:rsid w:val="004B2E5A"/>
    <w:rsid w:val="004B3105"/>
    <w:rsid w:val="004B3415"/>
    <w:rsid w:val="004B37DD"/>
    <w:rsid w:val="004B39DC"/>
    <w:rsid w:val="004B3B12"/>
    <w:rsid w:val="004B41E9"/>
    <w:rsid w:val="004B4894"/>
    <w:rsid w:val="004B4A32"/>
    <w:rsid w:val="004B4C93"/>
    <w:rsid w:val="004B54D6"/>
    <w:rsid w:val="004B5884"/>
    <w:rsid w:val="004B594A"/>
    <w:rsid w:val="004B5DD0"/>
    <w:rsid w:val="004B5EDB"/>
    <w:rsid w:val="004B6396"/>
    <w:rsid w:val="004B63A1"/>
    <w:rsid w:val="004B63DB"/>
    <w:rsid w:val="004B6475"/>
    <w:rsid w:val="004B6603"/>
    <w:rsid w:val="004B661E"/>
    <w:rsid w:val="004B67F6"/>
    <w:rsid w:val="004B6853"/>
    <w:rsid w:val="004B6A78"/>
    <w:rsid w:val="004B6CCD"/>
    <w:rsid w:val="004B7CEB"/>
    <w:rsid w:val="004C08F4"/>
    <w:rsid w:val="004C0F10"/>
    <w:rsid w:val="004C10BD"/>
    <w:rsid w:val="004C136E"/>
    <w:rsid w:val="004C1640"/>
    <w:rsid w:val="004C1A9C"/>
    <w:rsid w:val="004C1B21"/>
    <w:rsid w:val="004C1B6E"/>
    <w:rsid w:val="004C1C4D"/>
    <w:rsid w:val="004C1DF0"/>
    <w:rsid w:val="004C2138"/>
    <w:rsid w:val="004C2655"/>
    <w:rsid w:val="004C2A6C"/>
    <w:rsid w:val="004C2E27"/>
    <w:rsid w:val="004C2F7F"/>
    <w:rsid w:val="004C31B5"/>
    <w:rsid w:val="004C394E"/>
    <w:rsid w:val="004C3D1F"/>
    <w:rsid w:val="004C4649"/>
    <w:rsid w:val="004C4996"/>
    <w:rsid w:val="004C4DE4"/>
    <w:rsid w:val="004C51F7"/>
    <w:rsid w:val="004C5943"/>
    <w:rsid w:val="004C5BD4"/>
    <w:rsid w:val="004C6B7B"/>
    <w:rsid w:val="004C6BBD"/>
    <w:rsid w:val="004C6FF0"/>
    <w:rsid w:val="004C7B7E"/>
    <w:rsid w:val="004C7CE5"/>
    <w:rsid w:val="004D06F1"/>
    <w:rsid w:val="004D07FD"/>
    <w:rsid w:val="004D096E"/>
    <w:rsid w:val="004D0BBE"/>
    <w:rsid w:val="004D0BD1"/>
    <w:rsid w:val="004D12B8"/>
    <w:rsid w:val="004D166B"/>
    <w:rsid w:val="004D1A4A"/>
    <w:rsid w:val="004D1F99"/>
    <w:rsid w:val="004D20B9"/>
    <w:rsid w:val="004D2348"/>
    <w:rsid w:val="004D243C"/>
    <w:rsid w:val="004D26B0"/>
    <w:rsid w:val="004D2D0D"/>
    <w:rsid w:val="004D2FB9"/>
    <w:rsid w:val="004D35D8"/>
    <w:rsid w:val="004D3C44"/>
    <w:rsid w:val="004D3D31"/>
    <w:rsid w:val="004D3EC4"/>
    <w:rsid w:val="004D400E"/>
    <w:rsid w:val="004D45E9"/>
    <w:rsid w:val="004D489D"/>
    <w:rsid w:val="004D4D21"/>
    <w:rsid w:val="004D4F5B"/>
    <w:rsid w:val="004D5164"/>
    <w:rsid w:val="004D5198"/>
    <w:rsid w:val="004D520C"/>
    <w:rsid w:val="004D5386"/>
    <w:rsid w:val="004D5476"/>
    <w:rsid w:val="004D57E6"/>
    <w:rsid w:val="004D5949"/>
    <w:rsid w:val="004D5A12"/>
    <w:rsid w:val="004D5BAA"/>
    <w:rsid w:val="004D5DD1"/>
    <w:rsid w:val="004D5EF7"/>
    <w:rsid w:val="004D6560"/>
    <w:rsid w:val="004D6769"/>
    <w:rsid w:val="004D763D"/>
    <w:rsid w:val="004D7EAC"/>
    <w:rsid w:val="004D7F82"/>
    <w:rsid w:val="004E016A"/>
    <w:rsid w:val="004E01A6"/>
    <w:rsid w:val="004E0416"/>
    <w:rsid w:val="004E05E0"/>
    <w:rsid w:val="004E127A"/>
    <w:rsid w:val="004E133D"/>
    <w:rsid w:val="004E19F4"/>
    <w:rsid w:val="004E2868"/>
    <w:rsid w:val="004E2A46"/>
    <w:rsid w:val="004E2EFC"/>
    <w:rsid w:val="004E34C4"/>
    <w:rsid w:val="004E3517"/>
    <w:rsid w:val="004E368D"/>
    <w:rsid w:val="004E3A7F"/>
    <w:rsid w:val="004E4727"/>
    <w:rsid w:val="004E4999"/>
    <w:rsid w:val="004E49DE"/>
    <w:rsid w:val="004E4F9F"/>
    <w:rsid w:val="004E5578"/>
    <w:rsid w:val="004E6518"/>
    <w:rsid w:val="004E6690"/>
    <w:rsid w:val="004E6F74"/>
    <w:rsid w:val="004E746D"/>
    <w:rsid w:val="004E759E"/>
    <w:rsid w:val="004E7B7B"/>
    <w:rsid w:val="004F00A0"/>
    <w:rsid w:val="004F01D5"/>
    <w:rsid w:val="004F01F0"/>
    <w:rsid w:val="004F06EC"/>
    <w:rsid w:val="004F099D"/>
    <w:rsid w:val="004F0D48"/>
    <w:rsid w:val="004F0FA4"/>
    <w:rsid w:val="004F1169"/>
    <w:rsid w:val="004F120A"/>
    <w:rsid w:val="004F15AF"/>
    <w:rsid w:val="004F162C"/>
    <w:rsid w:val="004F1873"/>
    <w:rsid w:val="004F1885"/>
    <w:rsid w:val="004F1A71"/>
    <w:rsid w:val="004F1FB5"/>
    <w:rsid w:val="004F2362"/>
    <w:rsid w:val="004F23EC"/>
    <w:rsid w:val="004F28E8"/>
    <w:rsid w:val="004F2AB6"/>
    <w:rsid w:val="004F2B02"/>
    <w:rsid w:val="004F2C71"/>
    <w:rsid w:val="004F2D21"/>
    <w:rsid w:val="004F31BE"/>
    <w:rsid w:val="004F33EB"/>
    <w:rsid w:val="004F340D"/>
    <w:rsid w:val="004F377B"/>
    <w:rsid w:val="004F3A30"/>
    <w:rsid w:val="004F3B3A"/>
    <w:rsid w:val="004F3F7F"/>
    <w:rsid w:val="004F4519"/>
    <w:rsid w:val="004F47BA"/>
    <w:rsid w:val="004F4D22"/>
    <w:rsid w:val="004F4E67"/>
    <w:rsid w:val="004F4FF3"/>
    <w:rsid w:val="004F53E0"/>
    <w:rsid w:val="004F5B37"/>
    <w:rsid w:val="004F5D88"/>
    <w:rsid w:val="004F6290"/>
    <w:rsid w:val="004F64C1"/>
    <w:rsid w:val="004F6513"/>
    <w:rsid w:val="004F679E"/>
    <w:rsid w:val="004F6A72"/>
    <w:rsid w:val="004F6C87"/>
    <w:rsid w:val="004F73C0"/>
    <w:rsid w:val="004F761F"/>
    <w:rsid w:val="004F7CA5"/>
    <w:rsid w:val="00500012"/>
    <w:rsid w:val="00500856"/>
    <w:rsid w:val="00500CB6"/>
    <w:rsid w:val="00501554"/>
    <w:rsid w:val="0050177C"/>
    <w:rsid w:val="005019DD"/>
    <w:rsid w:val="005019F0"/>
    <w:rsid w:val="00501D92"/>
    <w:rsid w:val="00501F79"/>
    <w:rsid w:val="0050211B"/>
    <w:rsid w:val="00502630"/>
    <w:rsid w:val="005033BA"/>
    <w:rsid w:val="00503462"/>
    <w:rsid w:val="005034C1"/>
    <w:rsid w:val="00503A00"/>
    <w:rsid w:val="00503C53"/>
    <w:rsid w:val="00503E19"/>
    <w:rsid w:val="00503E4D"/>
    <w:rsid w:val="00503F3B"/>
    <w:rsid w:val="00504CCF"/>
    <w:rsid w:val="00504FCB"/>
    <w:rsid w:val="00505E28"/>
    <w:rsid w:val="00506188"/>
    <w:rsid w:val="0050634B"/>
    <w:rsid w:val="00506AC9"/>
    <w:rsid w:val="00506E65"/>
    <w:rsid w:val="0050711F"/>
    <w:rsid w:val="005071AA"/>
    <w:rsid w:val="00507A3F"/>
    <w:rsid w:val="00507AFF"/>
    <w:rsid w:val="00510BB9"/>
    <w:rsid w:val="00510BFA"/>
    <w:rsid w:val="00510F0A"/>
    <w:rsid w:val="00510F23"/>
    <w:rsid w:val="0051113D"/>
    <w:rsid w:val="0051165B"/>
    <w:rsid w:val="00511839"/>
    <w:rsid w:val="00511A6F"/>
    <w:rsid w:val="00511AB3"/>
    <w:rsid w:val="00511C1B"/>
    <w:rsid w:val="00511C3E"/>
    <w:rsid w:val="00511DC9"/>
    <w:rsid w:val="00512263"/>
    <w:rsid w:val="00512864"/>
    <w:rsid w:val="00512B06"/>
    <w:rsid w:val="00512D72"/>
    <w:rsid w:val="00512DBB"/>
    <w:rsid w:val="005137DE"/>
    <w:rsid w:val="00513B84"/>
    <w:rsid w:val="0051477C"/>
    <w:rsid w:val="00514B04"/>
    <w:rsid w:val="00514C9B"/>
    <w:rsid w:val="00514E07"/>
    <w:rsid w:val="005151A8"/>
    <w:rsid w:val="0051599C"/>
    <w:rsid w:val="00515A26"/>
    <w:rsid w:val="00515E9E"/>
    <w:rsid w:val="00516129"/>
    <w:rsid w:val="00516E7F"/>
    <w:rsid w:val="00516F01"/>
    <w:rsid w:val="00517144"/>
    <w:rsid w:val="00517573"/>
    <w:rsid w:val="0051757D"/>
    <w:rsid w:val="005176E4"/>
    <w:rsid w:val="00517D9D"/>
    <w:rsid w:val="00520369"/>
    <w:rsid w:val="0052074D"/>
    <w:rsid w:val="005208B5"/>
    <w:rsid w:val="0052097C"/>
    <w:rsid w:val="00521629"/>
    <w:rsid w:val="00521A24"/>
    <w:rsid w:val="00521A32"/>
    <w:rsid w:val="00521BF3"/>
    <w:rsid w:val="00522DEF"/>
    <w:rsid w:val="005233F9"/>
    <w:rsid w:val="00524221"/>
    <w:rsid w:val="00524875"/>
    <w:rsid w:val="0052525F"/>
    <w:rsid w:val="005258E9"/>
    <w:rsid w:val="00526320"/>
    <w:rsid w:val="0052664A"/>
    <w:rsid w:val="005268C7"/>
    <w:rsid w:val="00527106"/>
    <w:rsid w:val="00527306"/>
    <w:rsid w:val="005275CB"/>
    <w:rsid w:val="0052778F"/>
    <w:rsid w:val="00527A9F"/>
    <w:rsid w:val="00527B47"/>
    <w:rsid w:val="00530046"/>
    <w:rsid w:val="0053046E"/>
    <w:rsid w:val="0053078B"/>
    <w:rsid w:val="00530EB5"/>
    <w:rsid w:val="005313BC"/>
    <w:rsid w:val="0053141A"/>
    <w:rsid w:val="00531527"/>
    <w:rsid w:val="00531853"/>
    <w:rsid w:val="00531A39"/>
    <w:rsid w:val="00532260"/>
    <w:rsid w:val="0053281A"/>
    <w:rsid w:val="00532FCC"/>
    <w:rsid w:val="00533C11"/>
    <w:rsid w:val="00533F96"/>
    <w:rsid w:val="00534271"/>
    <w:rsid w:val="00534668"/>
    <w:rsid w:val="00534C72"/>
    <w:rsid w:val="00534CA4"/>
    <w:rsid w:val="00534FAC"/>
    <w:rsid w:val="0053520E"/>
    <w:rsid w:val="00535BB6"/>
    <w:rsid w:val="005362DB"/>
    <w:rsid w:val="00536DAC"/>
    <w:rsid w:val="00537835"/>
    <w:rsid w:val="00537B20"/>
    <w:rsid w:val="00537F41"/>
    <w:rsid w:val="005400E9"/>
    <w:rsid w:val="005403D6"/>
    <w:rsid w:val="00540702"/>
    <w:rsid w:val="00540E1B"/>
    <w:rsid w:val="005415B5"/>
    <w:rsid w:val="00541D22"/>
    <w:rsid w:val="005424A2"/>
    <w:rsid w:val="00542613"/>
    <w:rsid w:val="005428B9"/>
    <w:rsid w:val="00542BE3"/>
    <w:rsid w:val="00542BF3"/>
    <w:rsid w:val="00543410"/>
    <w:rsid w:val="005437F1"/>
    <w:rsid w:val="00543C88"/>
    <w:rsid w:val="005443A4"/>
    <w:rsid w:val="005445F6"/>
    <w:rsid w:val="005446F0"/>
    <w:rsid w:val="00544D44"/>
    <w:rsid w:val="00544E5B"/>
    <w:rsid w:val="00544ECF"/>
    <w:rsid w:val="0054513F"/>
    <w:rsid w:val="005455FE"/>
    <w:rsid w:val="005457CA"/>
    <w:rsid w:val="005458C5"/>
    <w:rsid w:val="00545FBA"/>
    <w:rsid w:val="00546340"/>
    <w:rsid w:val="00546400"/>
    <w:rsid w:val="00546485"/>
    <w:rsid w:val="00546864"/>
    <w:rsid w:val="00547F1B"/>
    <w:rsid w:val="0055056C"/>
    <w:rsid w:val="00550981"/>
    <w:rsid w:val="005509A6"/>
    <w:rsid w:val="00550B8B"/>
    <w:rsid w:val="00551599"/>
    <w:rsid w:val="005515B8"/>
    <w:rsid w:val="00551D08"/>
    <w:rsid w:val="00551E46"/>
    <w:rsid w:val="00551F07"/>
    <w:rsid w:val="005520DF"/>
    <w:rsid w:val="005520E4"/>
    <w:rsid w:val="0055276D"/>
    <w:rsid w:val="00552B5B"/>
    <w:rsid w:val="005536A1"/>
    <w:rsid w:val="00553716"/>
    <w:rsid w:val="0055380A"/>
    <w:rsid w:val="00553F6D"/>
    <w:rsid w:val="00554BC7"/>
    <w:rsid w:val="005553BA"/>
    <w:rsid w:val="00555996"/>
    <w:rsid w:val="0055674A"/>
    <w:rsid w:val="005576E5"/>
    <w:rsid w:val="00557C02"/>
    <w:rsid w:val="00557F2E"/>
    <w:rsid w:val="00560277"/>
    <w:rsid w:val="00560AD2"/>
    <w:rsid w:val="00560C3A"/>
    <w:rsid w:val="00560D20"/>
    <w:rsid w:val="0056148D"/>
    <w:rsid w:val="00561894"/>
    <w:rsid w:val="00561E07"/>
    <w:rsid w:val="005623F2"/>
    <w:rsid w:val="00562B7D"/>
    <w:rsid w:val="00562E82"/>
    <w:rsid w:val="00562F0A"/>
    <w:rsid w:val="0056304B"/>
    <w:rsid w:val="00563784"/>
    <w:rsid w:val="005637EA"/>
    <w:rsid w:val="00563CD6"/>
    <w:rsid w:val="00563E55"/>
    <w:rsid w:val="00564B28"/>
    <w:rsid w:val="00564C48"/>
    <w:rsid w:val="00565734"/>
    <w:rsid w:val="005658D8"/>
    <w:rsid w:val="005659D8"/>
    <w:rsid w:val="00565D64"/>
    <w:rsid w:val="0056631D"/>
    <w:rsid w:val="00566438"/>
    <w:rsid w:val="00566760"/>
    <w:rsid w:val="0056679C"/>
    <w:rsid w:val="00566B6F"/>
    <w:rsid w:val="00566D2B"/>
    <w:rsid w:val="00566EB8"/>
    <w:rsid w:val="005670C0"/>
    <w:rsid w:val="00570BF7"/>
    <w:rsid w:val="00570C9A"/>
    <w:rsid w:val="0057151E"/>
    <w:rsid w:val="005719EC"/>
    <w:rsid w:val="00571F44"/>
    <w:rsid w:val="0057214A"/>
    <w:rsid w:val="005723D1"/>
    <w:rsid w:val="00572585"/>
    <w:rsid w:val="00572694"/>
    <w:rsid w:val="00572777"/>
    <w:rsid w:val="0057386A"/>
    <w:rsid w:val="00573908"/>
    <w:rsid w:val="00573A2D"/>
    <w:rsid w:val="00573C8A"/>
    <w:rsid w:val="00574295"/>
    <w:rsid w:val="00574BD7"/>
    <w:rsid w:val="0057563B"/>
    <w:rsid w:val="0057590B"/>
    <w:rsid w:val="00575F9A"/>
    <w:rsid w:val="00576616"/>
    <w:rsid w:val="0057673B"/>
    <w:rsid w:val="005767E1"/>
    <w:rsid w:val="00576A04"/>
    <w:rsid w:val="00576A7F"/>
    <w:rsid w:val="00576DFD"/>
    <w:rsid w:val="00577003"/>
    <w:rsid w:val="005775DD"/>
    <w:rsid w:val="0057775A"/>
    <w:rsid w:val="00577A18"/>
    <w:rsid w:val="00577DFF"/>
    <w:rsid w:val="00577F95"/>
    <w:rsid w:val="00580194"/>
    <w:rsid w:val="00580559"/>
    <w:rsid w:val="005805EC"/>
    <w:rsid w:val="00580AA3"/>
    <w:rsid w:val="00580D03"/>
    <w:rsid w:val="00581534"/>
    <w:rsid w:val="00581F1B"/>
    <w:rsid w:val="00582670"/>
    <w:rsid w:val="005830DE"/>
    <w:rsid w:val="00583161"/>
    <w:rsid w:val="00583B4D"/>
    <w:rsid w:val="00584760"/>
    <w:rsid w:val="00585149"/>
    <w:rsid w:val="0058541E"/>
    <w:rsid w:val="005854FB"/>
    <w:rsid w:val="00585525"/>
    <w:rsid w:val="00585695"/>
    <w:rsid w:val="0058575E"/>
    <w:rsid w:val="00585EE2"/>
    <w:rsid w:val="00585F6A"/>
    <w:rsid w:val="00585FCB"/>
    <w:rsid w:val="00586735"/>
    <w:rsid w:val="00586ABF"/>
    <w:rsid w:val="00587700"/>
    <w:rsid w:val="0058788F"/>
    <w:rsid w:val="00590325"/>
    <w:rsid w:val="00590752"/>
    <w:rsid w:val="00590ACF"/>
    <w:rsid w:val="00590CC6"/>
    <w:rsid w:val="0059120C"/>
    <w:rsid w:val="00591220"/>
    <w:rsid w:val="0059174E"/>
    <w:rsid w:val="00591A72"/>
    <w:rsid w:val="00591C3F"/>
    <w:rsid w:val="00592124"/>
    <w:rsid w:val="005922C2"/>
    <w:rsid w:val="00592354"/>
    <w:rsid w:val="00592CAB"/>
    <w:rsid w:val="00592D61"/>
    <w:rsid w:val="00592E43"/>
    <w:rsid w:val="00592E6C"/>
    <w:rsid w:val="005933D3"/>
    <w:rsid w:val="00593428"/>
    <w:rsid w:val="00593643"/>
    <w:rsid w:val="0059364A"/>
    <w:rsid w:val="0059399B"/>
    <w:rsid w:val="00593A98"/>
    <w:rsid w:val="00593C30"/>
    <w:rsid w:val="00593E48"/>
    <w:rsid w:val="0059435A"/>
    <w:rsid w:val="005943F6"/>
    <w:rsid w:val="00594AA8"/>
    <w:rsid w:val="00594FDA"/>
    <w:rsid w:val="0059503D"/>
    <w:rsid w:val="00595138"/>
    <w:rsid w:val="005952F5"/>
    <w:rsid w:val="005953E2"/>
    <w:rsid w:val="0059571C"/>
    <w:rsid w:val="00595DC2"/>
    <w:rsid w:val="00595FA7"/>
    <w:rsid w:val="00596A42"/>
    <w:rsid w:val="00596CE7"/>
    <w:rsid w:val="00596FEB"/>
    <w:rsid w:val="00597514"/>
    <w:rsid w:val="00597766"/>
    <w:rsid w:val="005977BF"/>
    <w:rsid w:val="00597C91"/>
    <w:rsid w:val="005A02FD"/>
    <w:rsid w:val="005A073C"/>
    <w:rsid w:val="005A0CF6"/>
    <w:rsid w:val="005A1651"/>
    <w:rsid w:val="005A16A3"/>
    <w:rsid w:val="005A19ED"/>
    <w:rsid w:val="005A1B88"/>
    <w:rsid w:val="005A25C8"/>
    <w:rsid w:val="005A2C57"/>
    <w:rsid w:val="005A332D"/>
    <w:rsid w:val="005A34C8"/>
    <w:rsid w:val="005A367C"/>
    <w:rsid w:val="005A43E1"/>
    <w:rsid w:val="005A476F"/>
    <w:rsid w:val="005A5235"/>
    <w:rsid w:val="005A52D9"/>
    <w:rsid w:val="005A5D9F"/>
    <w:rsid w:val="005A5ED7"/>
    <w:rsid w:val="005A6898"/>
    <w:rsid w:val="005A68D1"/>
    <w:rsid w:val="005A79A5"/>
    <w:rsid w:val="005A7FA6"/>
    <w:rsid w:val="005B01AE"/>
    <w:rsid w:val="005B01D1"/>
    <w:rsid w:val="005B038B"/>
    <w:rsid w:val="005B0D6A"/>
    <w:rsid w:val="005B14A2"/>
    <w:rsid w:val="005B1CA6"/>
    <w:rsid w:val="005B1DD7"/>
    <w:rsid w:val="005B1E3E"/>
    <w:rsid w:val="005B200A"/>
    <w:rsid w:val="005B2190"/>
    <w:rsid w:val="005B220F"/>
    <w:rsid w:val="005B294E"/>
    <w:rsid w:val="005B2AE3"/>
    <w:rsid w:val="005B2AE9"/>
    <w:rsid w:val="005B2FEA"/>
    <w:rsid w:val="005B330C"/>
    <w:rsid w:val="005B3E52"/>
    <w:rsid w:val="005B3FAD"/>
    <w:rsid w:val="005B4420"/>
    <w:rsid w:val="005B4502"/>
    <w:rsid w:val="005B4CC9"/>
    <w:rsid w:val="005B5119"/>
    <w:rsid w:val="005B54F1"/>
    <w:rsid w:val="005B58C7"/>
    <w:rsid w:val="005B5990"/>
    <w:rsid w:val="005B5A88"/>
    <w:rsid w:val="005B6054"/>
    <w:rsid w:val="005B6645"/>
    <w:rsid w:val="005B6D7C"/>
    <w:rsid w:val="005B740A"/>
    <w:rsid w:val="005B7A03"/>
    <w:rsid w:val="005B7CFD"/>
    <w:rsid w:val="005C041A"/>
    <w:rsid w:val="005C08EC"/>
    <w:rsid w:val="005C0C80"/>
    <w:rsid w:val="005C110D"/>
    <w:rsid w:val="005C1377"/>
    <w:rsid w:val="005C17F2"/>
    <w:rsid w:val="005C1EBE"/>
    <w:rsid w:val="005C21B2"/>
    <w:rsid w:val="005C23B9"/>
    <w:rsid w:val="005C2500"/>
    <w:rsid w:val="005C264A"/>
    <w:rsid w:val="005C279B"/>
    <w:rsid w:val="005C2CCD"/>
    <w:rsid w:val="005C32FD"/>
    <w:rsid w:val="005C3D0E"/>
    <w:rsid w:val="005C4617"/>
    <w:rsid w:val="005C4637"/>
    <w:rsid w:val="005C4DC7"/>
    <w:rsid w:val="005C4DD5"/>
    <w:rsid w:val="005C4F0E"/>
    <w:rsid w:val="005C4FEC"/>
    <w:rsid w:val="005C543E"/>
    <w:rsid w:val="005C57CA"/>
    <w:rsid w:val="005C5CE2"/>
    <w:rsid w:val="005C6323"/>
    <w:rsid w:val="005C6B41"/>
    <w:rsid w:val="005C6E05"/>
    <w:rsid w:val="005C7414"/>
    <w:rsid w:val="005C753E"/>
    <w:rsid w:val="005C7955"/>
    <w:rsid w:val="005C7AEB"/>
    <w:rsid w:val="005C7D70"/>
    <w:rsid w:val="005C7ED6"/>
    <w:rsid w:val="005D00CF"/>
    <w:rsid w:val="005D0372"/>
    <w:rsid w:val="005D056C"/>
    <w:rsid w:val="005D057F"/>
    <w:rsid w:val="005D0E3A"/>
    <w:rsid w:val="005D1164"/>
    <w:rsid w:val="005D16FC"/>
    <w:rsid w:val="005D18A0"/>
    <w:rsid w:val="005D1989"/>
    <w:rsid w:val="005D1C08"/>
    <w:rsid w:val="005D1D7C"/>
    <w:rsid w:val="005D1DD5"/>
    <w:rsid w:val="005D1E51"/>
    <w:rsid w:val="005D2645"/>
    <w:rsid w:val="005D2AE6"/>
    <w:rsid w:val="005D2D7A"/>
    <w:rsid w:val="005D2EBD"/>
    <w:rsid w:val="005D3606"/>
    <w:rsid w:val="005D3D6D"/>
    <w:rsid w:val="005D3E6F"/>
    <w:rsid w:val="005D4507"/>
    <w:rsid w:val="005D45E5"/>
    <w:rsid w:val="005D4858"/>
    <w:rsid w:val="005D4CB7"/>
    <w:rsid w:val="005D4EF3"/>
    <w:rsid w:val="005D54BA"/>
    <w:rsid w:val="005D609A"/>
    <w:rsid w:val="005D6366"/>
    <w:rsid w:val="005D722B"/>
    <w:rsid w:val="005D733C"/>
    <w:rsid w:val="005D75EF"/>
    <w:rsid w:val="005D7649"/>
    <w:rsid w:val="005E01C0"/>
    <w:rsid w:val="005E02D4"/>
    <w:rsid w:val="005E033F"/>
    <w:rsid w:val="005E08E5"/>
    <w:rsid w:val="005E1538"/>
    <w:rsid w:val="005E16E4"/>
    <w:rsid w:val="005E1C16"/>
    <w:rsid w:val="005E1D74"/>
    <w:rsid w:val="005E1DC0"/>
    <w:rsid w:val="005E2879"/>
    <w:rsid w:val="005E2997"/>
    <w:rsid w:val="005E2C88"/>
    <w:rsid w:val="005E2DA7"/>
    <w:rsid w:val="005E4503"/>
    <w:rsid w:val="005E45E9"/>
    <w:rsid w:val="005E49CF"/>
    <w:rsid w:val="005E55DF"/>
    <w:rsid w:val="005E57F4"/>
    <w:rsid w:val="005E5886"/>
    <w:rsid w:val="005E593E"/>
    <w:rsid w:val="005E5E2E"/>
    <w:rsid w:val="005E5EF6"/>
    <w:rsid w:val="005E6554"/>
    <w:rsid w:val="005E65C8"/>
    <w:rsid w:val="005E6C28"/>
    <w:rsid w:val="005E6CFF"/>
    <w:rsid w:val="005E708B"/>
    <w:rsid w:val="005E7446"/>
    <w:rsid w:val="005E7949"/>
    <w:rsid w:val="005E7B97"/>
    <w:rsid w:val="005E7E52"/>
    <w:rsid w:val="005E7FAE"/>
    <w:rsid w:val="005F061D"/>
    <w:rsid w:val="005F0C18"/>
    <w:rsid w:val="005F11AE"/>
    <w:rsid w:val="005F12C5"/>
    <w:rsid w:val="005F182F"/>
    <w:rsid w:val="005F19ED"/>
    <w:rsid w:val="005F243D"/>
    <w:rsid w:val="005F24CE"/>
    <w:rsid w:val="005F24E8"/>
    <w:rsid w:val="005F2888"/>
    <w:rsid w:val="005F2955"/>
    <w:rsid w:val="005F2C1A"/>
    <w:rsid w:val="005F36C4"/>
    <w:rsid w:val="005F3ADE"/>
    <w:rsid w:val="005F3EC7"/>
    <w:rsid w:val="005F4458"/>
    <w:rsid w:val="005F48A8"/>
    <w:rsid w:val="005F4FE9"/>
    <w:rsid w:val="005F50BB"/>
    <w:rsid w:val="005F5612"/>
    <w:rsid w:val="005F59BE"/>
    <w:rsid w:val="005F5A29"/>
    <w:rsid w:val="005F5C3B"/>
    <w:rsid w:val="005F62A2"/>
    <w:rsid w:val="005F63A5"/>
    <w:rsid w:val="005F6857"/>
    <w:rsid w:val="006003B2"/>
    <w:rsid w:val="0060065C"/>
    <w:rsid w:val="006008C9"/>
    <w:rsid w:val="006011A5"/>
    <w:rsid w:val="006011F7"/>
    <w:rsid w:val="00601234"/>
    <w:rsid w:val="006012BC"/>
    <w:rsid w:val="00601E4B"/>
    <w:rsid w:val="00602668"/>
    <w:rsid w:val="006029F9"/>
    <w:rsid w:val="00602A24"/>
    <w:rsid w:val="00603834"/>
    <w:rsid w:val="006039B3"/>
    <w:rsid w:val="00603A89"/>
    <w:rsid w:val="00603E3B"/>
    <w:rsid w:val="00603EA9"/>
    <w:rsid w:val="00604565"/>
    <w:rsid w:val="00604BC6"/>
    <w:rsid w:val="00605798"/>
    <w:rsid w:val="006059B6"/>
    <w:rsid w:val="00605A2A"/>
    <w:rsid w:val="0060651E"/>
    <w:rsid w:val="00606639"/>
    <w:rsid w:val="0060691E"/>
    <w:rsid w:val="006070A3"/>
    <w:rsid w:val="00607232"/>
    <w:rsid w:val="0060771F"/>
    <w:rsid w:val="00607921"/>
    <w:rsid w:val="00607933"/>
    <w:rsid w:val="00607A14"/>
    <w:rsid w:val="00607C9C"/>
    <w:rsid w:val="006104D3"/>
    <w:rsid w:val="00610761"/>
    <w:rsid w:val="006112C1"/>
    <w:rsid w:val="00611EF2"/>
    <w:rsid w:val="006121C9"/>
    <w:rsid w:val="0061245F"/>
    <w:rsid w:val="006124B6"/>
    <w:rsid w:val="00612623"/>
    <w:rsid w:val="00612995"/>
    <w:rsid w:val="00612AD4"/>
    <w:rsid w:val="00612E30"/>
    <w:rsid w:val="0061307D"/>
    <w:rsid w:val="00614033"/>
    <w:rsid w:val="0061408F"/>
    <w:rsid w:val="006145B2"/>
    <w:rsid w:val="00615537"/>
    <w:rsid w:val="00615C32"/>
    <w:rsid w:val="00615CF4"/>
    <w:rsid w:val="00615D05"/>
    <w:rsid w:val="00615D09"/>
    <w:rsid w:val="00615F22"/>
    <w:rsid w:val="00616C8F"/>
    <w:rsid w:val="00617154"/>
    <w:rsid w:val="0061764F"/>
    <w:rsid w:val="006177F9"/>
    <w:rsid w:val="00617AEB"/>
    <w:rsid w:val="00617F4B"/>
    <w:rsid w:val="0062015A"/>
    <w:rsid w:val="00620176"/>
    <w:rsid w:val="00620329"/>
    <w:rsid w:val="0062074B"/>
    <w:rsid w:val="006207BD"/>
    <w:rsid w:val="00620923"/>
    <w:rsid w:val="00620D2F"/>
    <w:rsid w:val="0062150A"/>
    <w:rsid w:val="00621719"/>
    <w:rsid w:val="0062179E"/>
    <w:rsid w:val="00621BF3"/>
    <w:rsid w:val="00621D84"/>
    <w:rsid w:val="00621DCE"/>
    <w:rsid w:val="006220F6"/>
    <w:rsid w:val="00622352"/>
    <w:rsid w:val="0062256C"/>
    <w:rsid w:val="00622B8B"/>
    <w:rsid w:val="00624140"/>
    <w:rsid w:val="00624290"/>
    <w:rsid w:val="00624558"/>
    <w:rsid w:val="0062501A"/>
    <w:rsid w:val="0062510A"/>
    <w:rsid w:val="00625563"/>
    <w:rsid w:val="0062563D"/>
    <w:rsid w:val="00625694"/>
    <w:rsid w:val="006257D9"/>
    <w:rsid w:val="00625E6F"/>
    <w:rsid w:val="00625FE8"/>
    <w:rsid w:val="00626008"/>
    <w:rsid w:val="006266DB"/>
    <w:rsid w:val="006266DF"/>
    <w:rsid w:val="00626860"/>
    <w:rsid w:val="00626F4C"/>
    <w:rsid w:val="00627563"/>
    <w:rsid w:val="0062795F"/>
    <w:rsid w:val="0063068D"/>
    <w:rsid w:val="0063082D"/>
    <w:rsid w:val="00630908"/>
    <w:rsid w:val="00630DC4"/>
    <w:rsid w:val="006311F9"/>
    <w:rsid w:val="0063132E"/>
    <w:rsid w:val="006319D3"/>
    <w:rsid w:val="00631CB2"/>
    <w:rsid w:val="0063267B"/>
    <w:rsid w:val="0063272C"/>
    <w:rsid w:val="00633548"/>
    <w:rsid w:val="00633C4E"/>
    <w:rsid w:val="006345FC"/>
    <w:rsid w:val="0063523D"/>
    <w:rsid w:val="00635AFB"/>
    <w:rsid w:val="00636071"/>
    <w:rsid w:val="0063650B"/>
    <w:rsid w:val="00636525"/>
    <w:rsid w:val="00636616"/>
    <w:rsid w:val="006377AB"/>
    <w:rsid w:val="00637855"/>
    <w:rsid w:val="006379A7"/>
    <w:rsid w:val="00637AF7"/>
    <w:rsid w:val="00640899"/>
    <w:rsid w:val="006408BE"/>
    <w:rsid w:val="0064175E"/>
    <w:rsid w:val="00641DDC"/>
    <w:rsid w:val="00642944"/>
    <w:rsid w:val="00642FF0"/>
    <w:rsid w:val="00643026"/>
    <w:rsid w:val="0064331D"/>
    <w:rsid w:val="006437A2"/>
    <w:rsid w:val="006437ED"/>
    <w:rsid w:val="006438A6"/>
    <w:rsid w:val="006444A5"/>
    <w:rsid w:val="00644AC0"/>
    <w:rsid w:val="006454B8"/>
    <w:rsid w:val="006475C0"/>
    <w:rsid w:val="00651246"/>
    <w:rsid w:val="00652615"/>
    <w:rsid w:val="00652B36"/>
    <w:rsid w:val="006533D8"/>
    <w:rsid w:val="0065341C"/>
    <w:rsid w:val="00653599"/>
    <w:rsid w:val="0065380B"/>
    <w:rsid w:val="00653FD5"/>
    <w:rsid w:val="00654078"/>
    <w:rsid w:val="006543F3"/>
    <w:rsid w:val="00654C76"/>
    <w:rsid w:val="00654D99"/>
    <w:rsid w:val="0065503E"/>
    <w:rsid w:val="00655413"/>
    <w:rsid w:val="006559AF"/>
    <w:rsid w:val="00655A1D"/>
    <w:rsid w:val="00655A46"/>
    <w:rsid w:val="00655E7C"/>
    <w:rsid w:val="0065691D"/>
    <w:rsid w:val="00657021"/>
    <w:rsid w:val="0065707F"/>
    <w:rsid w:val="0065736D"/>
    <w:rsid w:val="00657981"/>
    <w:rsid w:val="00657C22"/>
    <w:rsid w:val="00660257"/>
    <w:rsid w:val="006602A8"/>
    <w:rsid w:val="006603F0"/>
    <w:rsid w:val="00660636"/>
    <w:rsid w:val="006609BD"/>
    <w:rsid w:val="006609E6"/>
    <w:rsid w:val="00661083"/>
    <w:rsid w:val="00661188"/>
    <w:rsid w:val="006614C4"/>
    <w:rsid w:val="00661559"/>
    <w:rsid w:val="00661696"/>
    <w:rsid w:val="0066184C"/>
    <w:rsid w:val="00661B4E"/>
    <w:rsid w:val="00661EA3"/>
    <w:rsid w:val="006621C2"/>
    <w:rsid w:val="00662AD4"/>
    <w:rsid w:val="00663169"/>
    <w:rsid w:val="00663556"/>
    <w:rsid w:val="00663645"/>
    <w:rsid w:val="00663748"/>
    <w:rsid w:val="00663855"/>
    <w:rsid w:val="00663D21"/>
    <w:rsid w:val="00663FA9"/>
    <w:rsid w:val="006643D9"/>
    <w:rsid w:val="00664B59"/>
    <w:rsid w:val="00665C13"/>
    <w:rsid w:val="00665D46"/>
    <w:rsid w:val="00665F1E"/>
    <w:rsid w:val="0066635A"/>
    <w:rsid w:val="00666D39"/>
    <w:rsid w:val="006673C4"/>
    <w:rsid w:val="006674B8"/>
    <w:rsid w:val="00667530"/>
    <w:rsid w:val="00667899"/>
    <w:rsid w:val="00667C58"/>
    <w:rsid w:val="00667D79"/>
    <w:rsid w:val="00670853"/>
    <w:rsid w:val="00670969"/>
    <w:rsid w:val="0067098C"/>
    <w:rsid w:val="00670F42"/>
    <w:rsid w:val="00670FBE"/>
    <w:rsid w:val="006713A4"/>
    <w:rsid w:val="0067146C"/>
    <w:rsid w:val="00671614"/>
    <w:rsid w:val="00671716"/>
    <w:rsid w:val="006722E2"/>
    <w:rsid w:val="006725EC"/>
    <w:rsid w:val="00672A81"/>
    <w:rsid w:val="00672DB9"/>
    <w:rsid w:val="00672F4A"/>
    <w:rsid w:val="006732A6"/>
    <w:rsid w:val="006737DC"/>
    <w:rsid w:val="00673903"/>
    <w:rsid w:val="00673A14"/>
    <w:rsid w:val="00673ADB"/>
    <w:rsid w:val="00673F40"/>
    <w:rsid w:val="00673FF6"/>
    <w:rsid w:val="00674057"/>
    <w:rsid w:val="006740CA"/>
    <w:rsid w:val="00674238"/>
    <w:rsid w:val="00674351"/>
    <w:rsid w:val="006745CE"/>
    <w:rsid w:val="0067473E"/>
    <w:rsid w:val="00675519"/>
    <w:rsid w:val="00675685"/>
    <w:rsid w:val="0067597E"/>
    <w:rsid w:val="00675BE4"/>
    <w:rsid w:val="00675C27"/>
    <w:rsid w:val="00675E93"/>
    <w:rsid w:val="006761F4"/>
    <w:rsid w:val="00676B99"/>
    <w:rsid w:val="0067725A"/>
    <w:rsid w:val="0067745F"/>
    <w:rsid w:val="006778CF"/>
    <w:rsid w:val="00677CF9"/>
    <w:rsid w:val="00677FA0"/>
    <w:rsid w:val="0068047B"/>
    <w:rsid w:val="00680ADF"/>
    <w:rsid w:val="00680FBE"/>
    <w:rsid w:val="00681AEC"/>
    <w:rsid w:val="00681BEE"/>
    <w:rsid w:val="00681D4C"/>
    <w:rsid w:val="006822D9"/>
    <w:rsid w:val="006824C2"/>
    <w:rsid w:val="006828AE"/>
    <w:rsid w:val="006832E0"/>
    <w:rsid w:val="0068391A"/>
    <w:rsid w:val="00683BD0"/>
    <w:rsid w:val="00683BE9"/>
    <w:rsid w:val="00683DCF"/>
    <w:rsid w:val="00683F21"/>
    <w:rsid w:val="006840B0"/>
    <w:rsid w:val="006843ED"/>
    <w:rsid w:val="00684479"/>
    <w:rsid w:val="00684511"/>
    <w:rsid w:val="006847B4"/>
    <w:rsid w:val="006847BA"/>
    <w:rsid w:val="00684BA9"/>
    <w:rsid w:val="00684F6B"/>
    <w:rsid w:val="00685130"/>
    <w:rsid w:val="00685187"/>
    <w:rsid w:val="00685383"/>
    <w:rsid w:val="006853FF"/>
    <w:rsid w:val="0068561F"/>
    <w:rsid w:val="006856D0"/>
    <w:rsid w:val="00685A6F"/>
    <w:rsid w:val="00685C18"/>
    <w:rsid w:val="00685C1D"/>
    <w:rsid w:val="006863DF"/>
    <w:rsid w:val="006866D4"/>
    <w:rsid w:val="0068675A"/>
    <w:rsid w:val="00686C65"/>
    <w:rsid w:val="0068712D"/>
    <w:rsid w:val="006872E2"/>
    <w:rsid w:val="00687992"/>
    <w:rsid w:val="00687F1C"/>
    <w:rsid w:val="006900CF"/>
    <w:rsid w:val="00690CCF"/>
    <w:rsid w:val="00690D7C"/>
    <w:rsid w:val="00690EE7"/>
    <w:rsid w:val="006911B5"/>
    <w:rsid w:val="00691930"/>
    <w:rsid w:val="00691962"/>
    <w:rsid w:val="006923BE"/>
    <w:rsid w:val="00692867"/>
    <w:rsid w:val="00692C8D"/>
    <w:rsid w:val="00692E9D"/>
    <w:rsid w:val="00693011"/>
    <w:rsid w:val="006939A5"/>
    <w:rsid w:val="00693F05"/>
    <w:rsid w:val="00693F5D"/>
    <w:rsid w:val="006940EC"/>
    <w:rsid w:val="006940FB"/>
    <w:rsid w:val="00694545"/>
    <w:rsid w:val="00694AB2"/>
    <w:rsid w:val="0069528D"/>
    <w:rsid w:val="00695501"/>
    <w:rsid w:val="00695828"/>
    <w:rsid w:val="00695F49"/>
    <w:rsid w:val="0069611B"/>
    <w:rsid w:val="0069629C"/>
    <w:rsid w:val="006967B3"/>
    <w:rsid w:val="00696911"/>
    <w:rsid w:val="00696DBA"/>
    <w:rsid w:val="0069727A"/>
    <w:rsid w:val="0069751A"/>
    <w:rsid w:val="00697BE3"/>
    <w:rsid w:val="006A0042"/>
    <w:rsid w:val="006A00F3"/>
    <w:rsid w:val="006A036C"/>
    <w:rsid w:val="006A078C"/>
    <w:rsid w:val="006A0AB6"/>
    <w:rsid w:val="006A0CBD"/>
    <w:rsid w:val="006A0FE4"/>
    <w:rsid w:val="006A135C"/>
    <w:rsid w:val="006A13CB"/>
    <w:rsid w:val="006A1712"/>
    <w:rsid w:val="006A1819"/>
    <w:rsid w:val="006A1C2E"/>
    <w:rsid w:val="006A1C59"/>
    <w:rsid w:val="006A1E33"/>
    <w:rsid w:val="006A1E68"/>
    <w:rsid w:val="006A215C"/>
    <w:rsid w:val="006A21C6"/>
    <w:rsid w:val="006A22CD"/>
    <w:rsid w:val="006A22CE"/>
    <w:rsid w:val="006A2691"/>
    <w:rsid w:val="006A2994"/>
    <w:rsid w:val="006A3581"/>
    <w:rsid w:val="006A3D26"/>
    <w:rsid w:val="006A3EF2"/>
    <w:rsid w:val="006A400D"/>
    <w:rsid w:val="006A4289"/>
    <w:rsid w:val="006A4D12"/>
    <w:rsid w:val="006A4D2C"/>
    <w:rsid w:val="006A545B"/>
    <w:rsid w:val="006A59A4"/>
    <w:rsid w:val="006A5DEF"/>
    <w:rsid w:val="006A64EF"/>
    <w:rsid w:val="006A65EE"/>
    <w:rsid w:val="006A661B"/>
    <w:rsid w:val="006A66D1"/>
    <w:rsid w:val="006A66F6"/>
    <w:rsid w:val="006A7884"/>
    <w:rsid w:val="006B13C3"/>
    <w:rsid w:val="006B16BE"/>
    <w:rsid w:val="006B1C26"/>
    <w:rsid w:val="006B22AF"/>
    <w:rsid w:val="006B25EF"/>
    <w:rsid w:val="006B2A72"/>
    <w:rsid w:val="006B2C64"/>
    <w:rsid w:val="006B2CBD"/>
    <w:rsid w:val="006B318D"/>
    <w:rsid w:val="006B3C17"/>
    <w:rsid w:val="006B48F5"/>
    <w:rsid w:val="006B4FFE"/>
    <w:rsid w:val="006B519F"/>
    <w:rsid w:val="006B5292"/>
    <w:rsid w:val="006B56D5"/>
    <w:rsid w:val="006B5946"/>
    <w:rsid w:val="006B5B10"/>
    <w:rsid w:val="006B5D16"/>
    <w:rsid w:val="006B5E8B"/>
    <w:rsid w:val="006B63BC"/>
    <w:rsid w:val="006B64F5"/>
    <w:rsid w:val="006B6565"/>
    <w:rsid w:val="006B6A3F"/>
    <w:rsid w:val="006B72A6"/>
    <w:rsid w:val="006B777B"/>
    <w:rsid w:val="006B7883"/>
    <w:rsid w:val="006C1364"/>
    <w:rsid w:val="006C14BD"/>
    <w:rsid w:val="006C177E"/>
    <w:rsid w:val="006C18E0"/>
    <w:rsid w:val="006C197A"/>
    <w:rsid w:val="006C1AF3"/>
    <w:rsid w:val="006C1DF9"/>
    <w:rsid w:val="006C22AD"/>
    <w:rsid w:val="006C27D1"/>
    <w:rsid w:val="006C29C3"/>
    <w:rsid w:val="006C311F"/>
    <w:rsid w:val="006C3306"/>
    <w:rsid w:val="006C3889"/>
    <w:rsid w:val="006C40A2"/>
    <w:rsid w:val="006C438D"/>
    <w:rsid w:val="006C447A"/>
    <w:rsid w:val="006C4695"/>
    <w:rsid w:val="006C4D56"/>
    <w:rsid w:val="006C4E10"/>
    <w:rsid w:val="006C59F7"/>
    <w:rsid w:val="006C5E4B"/>
    <w:rsid w:val="006C5E6F"/>
    <w:rsid w:val="006C6001"/>
    <w:rsid w:val="006C679E"/>
    <w:rsid w:val="006C6A84"/>
    <w:rsid w:val="006C6D01"/>
    <w:rsid w:val="006C6DE5"/>
    <w:rsid w:val="006C78C5"/>
    <w:rsid w:val="006D00F2"/>
    <w:rsid w:val="006D055D"/>
    <w:rsid w:val="006D0567"/>
    <w:rsid w:val="006D084E"/>
    <w:rsid w:val="006D0938"/>
    <w:rsid w:val="006D0AD0"/>
    <w:rsid w:val="006D0BBA"/>
    <w:rsid w:val="006D1107"/>
    <w:rsid w:val="006D111B"/>
    <w:rsid w:val="006D1269"/>
    <w:rsid w:val="006D145C"/>
    <w:rsid w:val="006D14D8"/>
    <w:rsid w:val="006D1706"/>
    <w:rsid w:val="006D20DA"/>
    <w:rsid w:val="006D2333"/>
    <w:rsid w:val="006D23BA"/>
    <w:rsid w:val="006D3647"/>
    <w:rsid w:val="006D37F2"/>
    <w:rsid w:val="006D45B9"/>
    <w:rsid w:val="006D45F8"/>
    <w:rsid w:val="006D4898"/>
    <w:rsid w:val="006D4CE3"/>
    <w:rsid w:val="006D53D5"/>
    <w:rsid w:val="006D55DD"/>
    <w:rsid w:val="006D584E"/>
    <w:rsid w:val="006D5B4A"/>
    <w:rsid w:val="006D6728"/>
    <w:rsid w:val="006D69D9"/>
    <w:rsid w:val="006D6C0A"/>
    <w:rsid w:val="006D6D1D"/>
    <w:rsid w:val="006D6DE0"/>
    <w:rsid w:val="006D7737"/>
    <w:rsid w:val="006D7EA4"/>
    <w:rsid w:val="006D7FDC"/>
    <w:rsid w:val="006E013A"/>
    <w:rsid w:val="006E044F"/>
    <w:rsid w:val="006E0CC5"/>
    <w:rsid w:val="006E1424"/>
    <w:rsid w:val="006E152F"/>
    <w:rsid w:val="006E1A53"/>
    <w:rsid w:val="006E1C25"/>
    <w:rsid w:val="006E2166"/>
    <w:rsid w:val="006E21E0"/>
    <w:rsid w:val="006E2CB6"/>
    <w:rsid w:val="006E2FCE"/>
    <w:rsid w:val="006E320A"/>
    <w:rsid w:val="006E3313"/>
    <w:rsid w:val="006E3A6A"/>
    <w:rsid w:val="006E3CAC"/>
    <w:rsid w:val="006E3D73"/>
    <w:rsid w:val="006E3F80"/>
    <w:rsid w:val="006E4BF6"/>
    <w:rsid w:val="006E4CC8"/>
    <w:rsid w:val="006E4FDA"/>
    <w:rsid w:val="006E5333"/>
    <w:rsid w:val="006E5A48"/>
    <w:rsid w:val="006E5A5D"/>
    <w:rsid w:val="006E5D4B"/>
    <w:rsid w:val="006E5FEA"/>
    <w:rsid w:val="006E6479"/>
    <w:rsid w:val="006E65F2"/>
    <w:rsid w:val="006E6AEA"/>
    <w:rsid w:val="006E72F7"/>
    <w:rsid w:val="006E7477"/>
    <w:rsid w:val="006E7776"/>
    <w:rsid w:val="006F01DC"/>
    <w:rsid w:val="006F0258"/>
    <w:rsid w:val="006F051C"/>
    <w:rsid w:val="006F09D8"/>
    <w:rsid w:val="006F0E31"/>
    <w:rsid w:val="006F15DA"/>
    <w:rsid w:val="006F275E"/>
    <w:rsid w:val="006F27CC"/>
    <w:rsid w:val="006F2F43"/>
    <w:rsid w:val="006F37A4"/>
    <w:rsid w:val="006F41BE"/>
    <w:rsid w:val="006F4852"/>
    <w:rsid w:val="006F4884"/>
    <w:rsid w:val="006F4984"/>
    <w:rsid w:val="006F579E"/>
    <w:rsid w:val="006F67C9"/>
    <w:rsid w:val="006F6C13"/>
    <w:rsid w:val="006F6CFF"/>
    <w:rsid w:val="006F6F23"/>
    <w:rsid w:val="006F7019"/>
    <w:rsid w:val="006F7093"/>
    <w:rsid w:val="006F7595"/>
    <w:rsid w:val="006F78B7"/>
    <w:rsid w:val="006F7F34"/>
    <w:rsid w:val="00700084"/>
    <w:rsid w:val="00700697"/>
    <w:rsid w:val="00700975"/>
    <w:rsid w:val="0070103B"/>
    <w:rsid w:val="007013E6"/>
    <w:rsid w:val="007016E3"/>
    <w:rsid w:val="0070205E"/>
    <w:rsid w:val="007021C2"/>
    <w:rsid w:val="00702BCE"/>
    <w:rsid w:val="00702D12"/>
    <w:rsid w:val="00702D33"/>
    <w:rsid w:val="00702F4A"/>
    <w:rsid w:val="007035CE"/>
    <w:rsid w:val="007036B8"/>
    <w:rsid w:val="00703AF2"/>
    <w:rsid w:val="00703C8E"/>
    <w:rsid w:val="0070437B"/>
    <w:rsid w:val="007048B8"/>
    <w:rsid w:val="00704AAF"/>
    <w:rsid w:val="00706129"/>
    <w:rsid w:val="00706335"/>
    <w:rsid w:val="007063DB"/>
    <w:rsid w:val="007063E6"/>
    <w:rsid w:val="00706DDF"/>
    <w:rsid w:val="007071BE"/>
    <w:rsid w:val="00707641"/>
    <w:rsid w:val="00707C04"/>
    <w:rsid w:val="00710036"/>
    <w:rsid w:val="0071075B"/>
    <w:rsid w:val="00710BBA"/>
    <w:rsid w:val="00710D44"/>
    <w:rsid w:val="00710E42"/>
    <w:rsid w:val="007110E6"/>
    <w:rsid w:val="007112AB"/>
    <w:rsid w:val="00711851"/>
    <w:rsid w:val="00711B33"/>
    <w:rsid w:val="0071268D"/>
    <w:rsid w:val="00712D09"/>
    <w:rsid w:val="007132FD"/>
    <w:rsid w:val="007133D1"/>
    <w:rsid w:val="007138D0"/>
    <w:rsid w:val="00713936"/>
    <w:rsid w:val="007143EB"/>
    <w:rsid w:val="007144F6"/>
    <w:rsid w:val="00714687"/>
    <w:rsid w:val="0071477A"/>
    <w:rsid w:val="00714AD5"/>
    <w:rsid w:val="00714BAD"/>
    <w:rsid w:val="00714E68"/>
    <w:rsid w:val="00715136"/>
    <w:rsid w:val="007151F1"/>
    <w:rsid w:val="00715303"/>
    <w:rsid w:val="00715584"/>
    <w:rsid w:val="007158DA"/>
    <w:rsid w:val="007158E7"/>
    <w:rsid w:val="00715E5A"/>
    <w:rsid w:val="00716176"/>
    <w:rsid w:val="00716ADA"/>
    <w:rsid w:val="007173B4"/>
    <w:rsid w:val="007179D0"/>
    <w:rsid w:val="00717E9C"/>
    <w:rsid w:val="00720455"/>
    <w:rsid w:val="00720A8B"/>
    <w:rsid w:val="00720ABC"/>
    <w:rsid w:val="00720EAF"/>
    <w:rsid w:val="007212FC"/>
    <w:rsid w:val="007214A5"/>
    <w:rsid w:val="00721D53"/>
    <w:rsid w:val="00721F6B"/>
    <w:rsid w:val="00723378"/>
    <w:rsid w:val="0072354A"/>
    <w:rsid w:val="0072371C"/>
    <w:rsid w:val="0072495A"/>
    <w:rsid w:val="00724A0F"/>
    <w:rsid w:val="00724D6C"/>
    <w:rsid w:val="00724E92"/>
    <w:rsid w:val="00724F0F"/>
    <w:rsid w:val="007251C2"/>
    <w:rsid w:val="0072569B"/>
    <w:rsid w:val="00725716"/>
    <w:rsid w:val="00725AAF"/>
    <w:rsid w:val="00725DB8"/>
    <w:rsid w:val="00725DE1"/>
    <w:rsid w:val="0072615C"/>
    <w:rsid w:val="007262B5"/>
    <w:rsid w:val="00726331"/>
    <w:rsid w:val="00726E7C"/>
    <w:rsid w:val="007272C3"/>
    <w:rsid w:val="00727368"/>
    <w:rsid w:val="007274A2"/>
    <w:rsid w:val="0072754A"/>
    <w:rsid w:val="007279BF"/>
    <w:rsid w:val="00727B68"/>
    <w:rsid w:val="00727D49"/>
    <w:rsid w:val="00730D5C"/>
    <w:rsid w:val="00731467"/>
    <w:rsid w:val="007314C0"/>
    <w:rsid w:val="007317E8"/>
    <w:rsid w:val="00731A10"/>
    <w:rsid w:val="00731C93"/>
    <w:rsid w:val="00732283"/>
    <w:rsid w:val="0073241D"/>
    <w:rsid w:val="00732666"/>
    <w:rsid w:val="00732C4E"/>
    <w:rsid w:val="00732C61"/>
    <w:rsid w:val="00732DC6"/>
    <w:rsid w:val="00734187"/>
    <w:rsid w:val="00734246"/>
    <w:rsid w:val="00734341"/>
    <w:rsid w:val="007343BB"/>
    <w:rsid w:val="007345F5"/>
    <w:rsid w:val="00734A6B"/>
    <w:rsid w:val="00734B1C"/>
    <w:rsid w:val="00734D88"/>
    <w:rsid w:val="00735058"/>
    <w:rsid w:val="00735170"/>
    <w:rsid w:val="00735291"/>
    <w:rsid w:val="00735551"/>
    <w:rsid w:val="0073569D"/>
    <w:rsid w:val="00735EAB"/>
    <w:rsid w:val="0073622A"/>
    <w:rsid w:val="00736472"/>
    <w:rsid w:val="00736658"/>
    <w:rsid w:val="007368CC"/>
    <w:rsid w:val="007368DA"/>
    <w:rsid w:val="007376F1"/>
    <w:rsid w:val="00737744"/>
    <w:rsid w:val="00737A96"/>
    <w:rsid w:val="00737D11"/>
    <w:rsid w:val="00737E77"/>
    <w:rsid w:val="00737F93"/>
    <w:rsid w:val="007403C2"/>
    <w:rsid w:val="00740643"/>
    <w:rsid w:val="00740962"/>
    <w:rsid w:val="0074096C"/>
    <w:rsid w:val="00740A31"/>
    <w:rsid w:val="007418B6"/>
    <w:rsid w:val="00741AA7"/>
    <w:rsid w:val="00741D7D"/>
    <w:rsid w:val="007429A4"/>
    <w:rsid w:val="00742B4A"/>
    <w:rsid w:val="00742F45"/>
    <w:rsid w:val="00743194"/>
    <w:rsid w:val="00743762"/>
    <w:rsid w:val="00743C0D"/>
    <w:rsid w:val="00743D96"/>
    <w:rsid w:val="00743F20"/>
    <w:rsid w:val="00744035"/>
    <w:rsid w:val="0074434A"/>
    <w:rsid w:val="007447A9"/>
    <w:rsid w:val="00744BC4"/>
    <w:rsid w:val="007455D7"/>
    <w:rsid w:val="00745854"/>
    <w:rsid w:val="00745A31"/>
    <w:rsid w:val="0074642F"/>
    <w:rsid w:val="00746A17"/>
    <w:rsid w:val="00746F15"/>
    <w:rsid w:val="007500D3"/>
    <w:rsid w:val="007500E5"/>
    <w:rsid w:val="00750564"/>
    <w:rsid w:val="00750719"/>
    <w:rsid w:val="007507D6"/>
    <w:rsid w:val="007512C5"/>
    <w:rsid w:val="0075192D"/>
    <w:rsid w:val="00752194"/>
    <w:rsid w:val="0075262D"/>
    <w:rsid w:val="0075268A"/>
    <w:rsid w:val="007527EE"/>
    <w:rsid w:val="00752979"/>
    <w:rsid w:val="00752B9B"/>
    <w:rsid w:val="00752BA6"/>
    <w:rsid w:val="00752C09"/>
    <w:rsid w:val="00753146"/>
    <w:rsid w:val="0075322A"/>
    <w:rsid w:val="00753258"/>
    <w:rsid w:val="0075327C"/>
    <w:rsid w:val="00753EF2"/>
    <w:rsid w:val="00754069"/>
    <w:rsid w:val="00754750"/>
    <w:rsid w:val="007548C9"/>
    <w:rsid w:val="007549F1"/>
    <w:rsid w:val="0075514E"/>
    <w:rsid w:val="007551DD"/>
    <w:rsid w:val="007553D5"/>
    <w:rsid w:val="0075559A"/>
    <w:rsid w:val="007555E9"/>
    <w:rsid w:val="00755945"/>
    <w:rsid w:val="00755A61"/>
    <w:rsid w:val="00755A99"/>
    <w:rsid w:val="00755D2B"/>
    <w:rsid w:val="00755EA1"/>
    <w:rsid w:val="00756101"/>
    <w:rsid w:val="007563B3"/>
    <w:rsid w:val="00756421"/>
    <w:rsid w:val="00756589"/>
    <w:rsid w:val="007567AA"/>
    <w:rsid w:val="00756B7D"/>
    <w:rsid w:val="00756FD0"/>
    <w:rsid w:val="0075711E"/>
    <w:rsid w:val="007571E7"/>
    <w:rsid w:val="007573F8"/>
    <w:rsid w:val="00757424"/>
    <w:rsid w:val="00757B6B"/>
    <w:rsid w:val="00760094"/>
    <w:rsid w:val="00760B3D"/>
    <w:rsid w:val="00761AA6"/>
    <w:rsid w:val="00761B50"/>
    <w:rsid w:val="00761FB9"/>
    <w:rsid w:val="0076208B"/>
    <w:rsid w:val="00762910"/>
    <w:rsid w:val="007629D7"/>
    <w:rsid w:val="00763264"/>
    <w:rsid w:val="007634BB"/>
    <w:rsid w:val="007635EF"/>
    <w:rsid w:val="00763E7C"/>
    <w:rsid w:val="00764544"/>
    <w:rsid w:val="00764645"/>
    <w:rsid w:val="0076472A"/>
    <w:rsid w:val="00764C5C"/>
    <w:rsid w:val="00764C93"/>
    <w:rsid w:val="00764C9A"/>
    <w:rsid w:val="0076567B"/>
    <w:rsid w:val="007658BF"/>
    <w:rsid w:val="00765C29"/>
    <w:rsid w:val="007660F8"/>
    <w:rsid w:val="00766342"/>
    <w:rsid w:val="007668E7"/>
    <w:rsid w:val="00766FA7"/>
    <w:rsid w:val="007673F4"/>
    <w:rsid w:val="0076751F"/>
    <w:rsid w:val="007676CB"/>
    <w:rsid w:val="0077043C"/>
    <w:rsid w:val="00770941"/>
    <w:rsid w:val="00771467"/>
    <w:rsid w:val="00771544"/>
    <w:rsid w:val="00771D7D"/>
    <w:rsid w:val="007720B3"/>
    <w:rsid w:val="007721B9"/>
    <w:rsid w:val="00772561"/>
    <w:rsid w:val="007729E1"/>
    <w:rsid w:val="00772AAB"/>
    <w:rsid w:val="00773437"/>
    <w:rsid w:val="007736DD"/>
    <w:rsid w:val="007737BE"/>
    <w:rsid w:val="00773A39"/>
    <w:rsid w:val="00773B77"/>
    <w:rsid w:val="0077407E"/>
    <w:rsid w:val="00774988"/>
    <w:rsid w:val="00775219"/>
    <w:rsid w:val="0077560A"/>
    <w:rsid w:val="007756B7"/>
    <w:rsid w:val="00775BF1"/>
    <w:rsid w:val="00775DDA"/>
    <w:rsid w:val="007767F4"/>
    <w:rsid w:val="007768DF"/>
    <w:rsid w:val="00776AFE"/>
    <w:rsid w:val="00776B86"/>
    <w:rsid w:val="007776E8"/>
    <w:rsid w:val="0077777A"/>
    <w:rsid w:val="00777A1D"/>
    <w:rsid w:val="00777CA8"/>
    <w:rsid w:val="00777F6C"/>
    <w:rsid w:val="00780973"/>
    <w:rsid w:val="0078101A"/>
    <w:rsid w:val="00781021"/>
    <w:rsid w:val="007811CC"/>
    <w:rsid w:val="007816F9"/>
    <w:rsid w:val="00781873"/>
    <w:rsid w:val="00781981"/>
    <w:rsid w:val="00781A07"/>
    <w:rsid w:val="00781A3E"/>
    <w:rsid w:val="00781E62"/>
    <w:rsid w:val="00782480"/>
    <w:rsid w:val="0078320C"/>
    <w:rsid w:val="007833DC"/>
    <w:rsid w:val="0078351C"/>
    <w:rsid w:val="00783714"/>
    <w:rsid w:val="00783971"/>
    <w:rsid w:val="00783D82"/>
    <w:rsid w:val="00784925"/>
    <w:rsid w:val="00784E12"/>
    <w:rsid w:val="00784F83"/>
    <w:rsid w:val="007850D5"/>
    <w:rsid w:val="007862EB"/>
    <w:rsid w:val="0078640A"/>
    <w:rsid w:val="00786539"/>
    <w:rsid w:val="00786A71"/>
    <w:rsid w:val="007871E9"/>
    <w:rsid w:val="007874AA"/>
    <w:rsid w:val="007874F7"/>
    <w:rsid w:val="00787694"/>
    <w:rsid w:val="00787A9D"/>
    <w:rsid w:val="00787B6D"/>
    <w:rsid w:val="00787C50"/>
    <w:rsid w:val="00790252"/>
    <w:rsid w:val="0079038D"/>
    <w:rsid w:val="00790613"/>
    <w:rsid w:val="0079077F"/>
    <w:rsid w:val="00790EF9"/>
    <w:rsid w:val="00790FB5"/>
    <w:rsid w:val="0079159E"/>
    <w:rsid w:val="007917AB"/>
    <w:rsid w:val="00791B2C"/>
    <w:rsid w:val="00791EB1"/>
    <w:rsid w:val="00791EFC"/>
    <w:rsid w:val="00792042"/>
    <w:rsid w:val="00792062"/>
    <w:rsid w:val="00792440"/>
    <w:rsid w:val="00792859"/>
    <w:rsid w:val="00792AA1"/>
    <w:rsid w:val="00792AA7"/>
    <w:rsid w:val="00793315"/>
    <w:rsid w:val="007933D7"/>
    <w:rsid w:val="007936F7"/>
    <w:rsid w:val="00793757"/>
    <w:rsid w:val="00793C8F"/>
    <w:rsid w:val="00793D9F"/>
    <w:rsid w:val="007940BF"/>
    <w:rsid w:val="00794296"/>
    <w:rsid w:val="007946E4"/>
    <w:rsid w:val="00794A4C"/>
    <w:rsid w:val="00794ADF"/>
    <w:rsid w:val="007957D2"/>
    <w:rsid w:val="00795928"/>
    <w:rsid w:val="00795A99"/>
    <w:rsid w:val="00795C79"/>
    <w:rsid w:val="0079720D"/>
    <w:rsid w:val="00797373"/>
    <w:rsid w:val="00797391"/>
    <w:rsid w:val="00797787"/>
    <w:rsid w:val="00797A9D"/>
    <w:rsid w:val="00797E55"/>
    <w:rsid w:val="007A0450"/>
    <w:rsid w:val="007A04AA"/>
    <w:rsid w:val="007A073A"/>
    <w:rsid w:val="007A08A6"/>
    <w:rsid w:val="007A0CB4"/>
    <w:rsid w:val="007A1476"/>
    <w:rsid w:val="007A180F"/>
    <w:rsid w:val="007A1A17"/>
    <w:rsid w:val="007A1A19"/>
    <w:rsid w:val="007A1C13"/>
    <w:rsid w:val="007A2391"/>
    <w:rsid w:val="007A2B48"/>
    <w:rsid w:val="007A2E3D"/>
    <w:rsid w:val="007A32C5"/>
    <w:rsid w:val="007A3423"/>
    <w:rsid w:val="007A3440"/>
    <w:rsid w:val="007A356D"/>
    <w:rsid w:val="007A3A33"/>
    <w:rsid w:val="007A3BB6"/>
    <w:rsid w:val="007A3C54"/>
    <w:rsid w:val="007A40F5"/>
    <w:rsid w:val="007A4786"/>
    <w:rsid w:val="007A48CE"/>
    <w:rsid w:val="007A4BC4"/>
    <w:rsid w:val="007A4E35"/>
    <w:rsid w:val="007A5189"/>
    <w:rsid w:val="007A5265"/>
    <w:rsid w:val="007A52C5"/>
    <w:rsid w:val="007A5F5F"/>
    <w:rsid w:val="007A6177"/>
    <w:rsid w:val="007A6265"/>
    <w:rsid w:val="007A65EA"/>
    <w:rsid w:val="007A6A29"/>
    <w:rsid w:val="007A6CB1"/>
    <w:rsid w:val="007A6FAF"/>
    <w:rsid w:val="007A7743"/>
    <w:rsid w:val="007A7A16"/>
    <w:rsid w:val="007A7A3D"/>
    <w:rsid w:val="007A7CA1"/>
    <w:rsid w:val="007B00B6"/>
    <w:rsid w:val="007B073F"/>
    <w:rsid w:val="007B0A6A"/>
    <w:rsid w:val="007B0B4B"/>
    <w:rsid w:val="007B0B56"/>
    <w:rsid w:val="007B0DCA"/>
    <w:rsid w:val="007B0E5A"/>
    <w:rsid w:val="007B0EBA"/>
    <w:rsid w:val="007B1369"/>
    <w:rsid w:val="007B16F5"/>
    <w:rsid w:val="007B187F"/>
    <w:rsid w:val="007B1C1A"/>
    <w:rsid w:val="007B219E"/>
    <w:rsid w:val="007B23F0"/>
    <w:rsid w:val="007B246B"/>
    <w:rsid w:val="007B2499"/>
    <w:rsid w:val="007B26FF"/>
    <w:rsid w:val="007B276F"/>
    <w:rsid w:val="007B27D5"/>
    <w:rsid w:val="007B29BB"/>
    <w:rsid w:val="007B2A2C"/>
    <w:rsid w:val="007B2B88"/>
    <w:rsid w:val="007B31BD"/>
    <w:rsid w:val="007B32BF"/>
    <w:rsid w:val="007B393F"/>
    <w:rsid w:val="007B3B60"/>
    <w:rsid w:val="007B3D9E"/>
    <w:rsid w:val="007B4874"/>
    <w:rsid w:val="007B4D84"/>
    <w:rsid w:val="007B50E1"/>
    <w:rsid w:val="007B63CD"/>
    <w:rsid w:val="007B76DF"/>
    <w:rsid w:val="007B7791"/>
    <w:rsid w:val="007B794E"/>
    <w:rsid w:val="007C008A"/>
    <w:rsid w:val="007C02E9"/>
    <w:rsid w:val="007C0DEF"/>
    <w:rsid w:val="007C1E33"/>
    <w:rsid w:val="007C1EF2"/>
    <w:rsid w:val="007C2010"/>
    <w:rsid w:val="007C2794"/>
    <w:rsid w:val="007C346E"/>
    <w:rsid w:val="007C3B21"/>
    <w:rsid w:val="007C3D64"/>
    <w:rsid w:val="007C4080"/>
    <w:rsid w:val="007C4256"/>
    <w:rsid w:val="007C470B"/>
    <w:rsid w:val="007C4D7C"/>
    <w:rsid w:val="007C505B"/>
    <w:rsid w:val="007C5FB6"/>
    <w:rsid w:val="007C620F"/>
    <w:rsid w:val="007C6288"/>
    <w:rsid w:val="007C6DC6"/>
    <w:rsid w:val="007C6DE1"/>
    <w:rsid w:val="007C78F2"/>
    <w:rsid w:val="007D0228"/>
    <w:rsid w:val="007D0E4F"/>
    <w:rsid w:val="007D0F29"/>
    <w:rsid w:val="007D1062"/>
    <w:rsid w:val="007D108F"/>
    <w:rsid w:val="007D12F7"/>
    <w:rsid w:val="007D16E8"/>
    <w:rsid w:val="007D17EA"/>
    <w:rsid w:val="007D1B86"/>
    <w:rsid w:val="007D1D9F"/>
    <w:rsid w:val="007D241A"/>
    <w:rsid w:val="007D278D"/>
    <w:rsid w:val="007D2BF9"/>
    <w:rsid w:val="007D3558"/>
    <w:rsid w:val="007D36AA"/>
    <w:rsid w:val="007D388D"/>
    <w:rsid w:val="007D39D5"/>
    <w:rsid w:val="007D3BC1"/>
    <w:rsid w:val="007D43FD"/>
    <w:rsid w:val="007D4404"/>
    <w:rsid w:val="007D45A2"/>
    <w:rsid w:val="007D4691"/>
    <w:rsid w:val="007D4E62"/>
    <w:rsid w:val="007D5092"/>
    <w:rsid w:val="007D53AF"/>
    <w:rsid w:val="007D5BF4"/>
    <w:rsid w:val="007D5C4B"/>
    <w:rsid w:val="007D66DB"/>
    <w:rsid w:val="007D7123"/>
    <w:rsid w:val="007D7399"/>
    <w:rsid w:val="007D75D9"/>
    <w:rsid w:val="007D7BCC"/>
    <w:rsid w:val="007E01ED"/>
    <w:rsid w:val="007E050C"/>
    <w:rsid w:val="007E0639"/>
    <w:rsid w:val="007E07A2"/>
    <w:rsid w:val="007E0BB2"/>
    <w:rsid w:val="007E0D1A"/>
    <w:rsid w:val="007E0FEC"/>
    <w:rsid w:val="007E12E6"/>
    <w:rsid w:val="007E198D"/>
    <w:rsid w:val="007E1BCA"/>
    <w:rsid w:val="007E1BE6"/>
    <w:rsid w:val="007E1F14"/>
    <w:rsid w:val="007E1F97"/>
    <w:rsid w:val="007E2644"/>
    <w:rsid w:val="007E27CC"/>
    <w:rsid w:val="007E284D"/>
    <w:rsid w:val="007E2B02"/>
    <w:rsid w:val="007E2DC8"/>
    <w:rsid w:val="007E2E79"/>
    <w:rsid w:val="007E358C"/>
    <w:rsid w:val="007E35CC"/>
    <w:rsid w:val="007E3BAC"/>
    <w:rsid w:val="007E3D4A"/>
    <w:rsid w:val="007E3FC8"/>
    <w:rsid w:val="007E4077"/>
    <w:rsid w:val="007E40B7"/>
    <w:rsid w:val="007E44BA"/>
    <w:rsid w:val="007E4736"/>
    <w:rsid w:val="007E48EB"/>
    <w:rsid w:val="007E4E71"/>
    <w:rsid w:val="007E51AA"/>
    <w:rsid w:val="007E539A"/>
    <w:rsid w:val="007E5BD4"/>
    <w:rsid w:val="007E6742"/>
    <w:rsid w:val="007E6AF1"/>
    <w:rsid w:val="007E6C0D"/>
    <w:rsid w:val="007E6D4F"/>
    <w:rsid w:val="007E6FA5"/>
    <w:rsid w:val="007E70D6"/>
    <w:rsid w:val="007E7509"/>
    <w:rsid w:val="007E7524"/>
    <w:rsid w:val="007E7553"/>
    <w:rsid w:val="007E7F5B"/>
    <w:rsid w:val="007F029F"/>
    <w:rsid w:val="007F0534"/>
    <w:rsid w:val="007F07DA"/>
    <w:rsid w:val="007F087D"/>
    <w:rsid w:val="007F136D"/>
    <w:rsid w:val="007F14D9"/>
    <w:rsid w:val="007F1A7E"/>
    <w:rsid w:val="007F219C"/>
    <w:rsid w:val="007F25D9"/>
    <w:rsid w:val="007F2E4A"/>
    <w:rsid w:val="007F2F4E"/>
    <w:rsid w:val="007F389B"/>
    <w:rsid w:val="007F3CB8"/>
    <w:rsid w:val="007F3D6D"/>
    <w:rsid w:val="007F3E4F"/>
    <w:rsid w:val="007F4630"/>
    <w:rsid w:val="007F50EF"/>
    <w:rsid w:val="007F5A2E"/>
    <w:rsid w:val="007F646C"/>
    <w:rsid w:val="007F703C"/>
    <w:rsid w:val="007F7652"/>
    <w:rsid w:val="007F7AF5"/>
    <w:rsid w:val="007F7FDC"/>
    <w:rsid w:val="00800377"/>
    <w:rsid w:val="008009DD"/>
    <w:rsid w:val="00800D01"/>
    <w:rsid w:val="008010F9"/>
    <w:rsid w:val="00801474"/>
    <w:rsid w:val="00801823"/>
    <w:rsid w:val="00801F8A"/>
    <w:rsid w:val="00802072"/>
    <w:rsid w:val="00802214"/>
    <w:rsid w:val="0080236D"/>
    <w:rsid w:val="0080294B"/>
    <w:rsid w:val="00803087"/>
    <w:rsid w:val="008036FC"/>
    <w:rsid w:val="00803768"/>
    <w:rsid w:val="008037FC"/>
    <w:rsid w:val="00803820"/>
    <w:rsid w:val="00803A6D"/>
    <w:rsid w:val="00803CD5"/>
    <w:rsid w:val="0080422F"/>
    <w:rsid w:val="008042A5"/>
    <w:rsid w:val="00804976"/>
    <w:rsid w:val="00804B10"/>
    <w:rsid w:val="00804DE3"/>
    <w:rsid w:val="00804F7C"/>
    <w:rsid w:val="00805115"/>
    <w:rsid w:val="008059A3"/>
    <w:rsid w:val="008059CD"/>
    <w:rsid w:val="00805A37"/>
    <w:rsid w:val="00806667"/>
    <w:rsid w:val="00806B33"/>
    <w:rsid w:val="008078A2"/>
    <w:rsid w:val="00807AC7"/>
    <w:rsid w:val="00807AE0"/>
    <w:rsid w:val="00807B4C"/>
    <w:rsid w:val="00810017"/>
    <w:rsid w:val="008101B4"/>
    <w:rsid w:val="00810550"/>
    <w:rsid w:val="008108C3"/>
    <w:rsid w:val="0081167D"/>
    <w:rsid w:val="008117EF"/>
    <w:rsid w:val="00811AAA"/>
    <w:rsid w:val="00811BE8"/>
    <w:rsid w:val="00811D2D"/>
    <w:rsid w:val="00812266"/>
    <w:rsid w:val="008128E1"/>
    <w:rsid w:val="00812964"/>
    <w:rsid w:val="00812BE6"/>
    <w:rsid w:val="00813129"/>
    <w:rsid w:val="008136F6"/>
    <w:rsid w:val="00813865"/>
    <w:rsid w:val="00813E0F"/>
    <w:rsid w:val="00814863"/>
    <w:rsid w:val="00814AE1"/>
    <w:rsid w:val="00814F2B"/>
    <w:rsid w:val="008152E4"/>
    <w:rsid w:val="008153F9"/>
    <w:rsid w:val="00815510"/>
    <w:rsid w:val="0081597D"/>
    <w:rsid w:val="00815F78"/>
    <w:rsid w:val="00816172"/>
    <w:rsid w:val="00816248"/>
    <w:rsid w:val="00817811"/>
    <w:rsid w:val="00817C4B"/>
    <w:rsid w:val="00817D8D"/>
    <w:rsid w:val="0082051E"/>
    <w:rsid w:val="0082051F"/>
    <w:rsid w:val="0082059E"/>
    <w:rsid w:val="0082067F"/>
    <w:rsid w:val="00820807"/>
    <w:rsid w:val="00820E6B"/>
    <w:rsid w:val="0082105D"/>
    <w:rsid w:val="0082164A"/>
    <w:rsid w:val="0082191C"/>
    <w:rsid w:val="00822D8D"/>
    <w:rsid w:val="008230FC"/>
    <w:rsid w:val="008238A8"/>
    <w:rsid w:val="008240D3"/>
    <w:rsid w:val="008245B5"/>
    <w:rsid w:val="00824718"/>
    <w:rsid w:val="00824FDE"/>
    <w:rsid w:val="00825522"/>
    <w:rsid w:val="00825A60"/>
    <w:rsid w:val="00825AC8"/>
    <w:rsid w:val="00825FCA"/>
    <w:rsid w:val="008266D6"/>
    <w:rsid w:val="00826A7A"/>
    <w:rsid w:val="00827235"/>
    <w:rsid w:val="0082740E"/>
    <w:rsid w:val="0082757E"/>
    <w:rsid w:val="00827594"/>
    <w:rsid w:val="0082766A"/>
    <w:rsid w:val="00827727"/>
    <w:rsid w:val="0082776A"/>
    <w:rsid w:val="008278FA"/>
    <w:rsid w:val="00827B7A"/>
    <w:rsid w:val="00830923"/>
    <w:rsid w:val="008309A0"/>
    <w:rsid w:val="00830B6B"/>
    <w:rsid w:val="00831090"/>
    <w:rsid w:val="008311B1"/>
    <w:rsid w:val="00831651"/>
    <w:rsid w:val="00831A68"/>
    <w:rsid w:val="00832796"/>
    <w:rsid w:val="008327C7"/>
    <w:rsid w:val="00832B63"/>
    <w:rsid w:val="00832D28"/>
    <w:rsid w:val="00833083"/>
    <w:rsid w:val="008332DA"/>
    <w:rsid w:val="0083341B"/>
    <w:rsid w:val="0083353C"/>
    <w:rsid w:val="008338B1"/>
    <w:rsid w:val="00833E4B"/>
    <w:rsid w:val="00833EB3"/>
    <w:rsid w:val="00833F7B"/>
    <w:rsid w:val="00833FB8"/>
    <w:rsid w:val="00834042"/>
    <w:rsid w:val="00834196"/>
    <w:rsid w:val="00834478"/>
    <w:rsid w:val="008346A1"/>
    <w:rsid w:val="0083494F"/>
    <w:rsid w:val="00834A56"/>
    <w:rsid w:val="00834A87"/>
    <w:rsid w:val="0083503F"/>
    <w:rsid w:val="00835913"/>
    <w:rsid w:val="00835B38"/>
    <w:rsid w:val="008363CE"/>
    <w:rsid w:val="008365DE"/>
    <w:rsid w:val="008368D0"/>
    <w:rsid w:val="008368D2"/>
    <w:rsid w:val="00836EC3"/>
    <w:rsid w:val="00837029"/>
    <w:rsid w:val="00837056"/>
    <w:rsid w:val="00837339"/>
    <w:rsid w:val="00837A97"/>
    <w:rsid w:val="008400A9"/>
    <w:rsid w:val="0084083A"/>
    <w:rsid w:val="008408CD"/>
    <w:rsid w:val="008408F3"/>
    <w:rsid w:val="00840FF4"/>
    <w:rsid w:val="0084169A"/>
    <w:rsid w:val="00842086"/>
    <w:rsid w:val="008423F1"/>
    <w:rsid w:val="00842528"/>
    <w:rsid w:val="0084284C"/>
    <w:rsid w:val="008428C8"/>
    <w:rsid w:val="008438AA"/>
    <w:rsid w:val="00843E0F"/>
    <w:rsid w:val="00843F76"/>
    <w:rsid w:val="0084407C"/>
    <w:rsid w:val="0084473F"/>
    <w:rsid w:val="00844979"/>
    <w:rsid w:val="00844CA8"/>
    <w:rsid w:val="00845602"/>
    <w:rsid w:val="0084596A"/>
    <w:rsid w:val="008459E6"/>
    <w:rsid w:val="00845FA2"/>
    <w:rsid w:val="0084630B"/>
    <w:rsid w:val="008468F2"/>
    <w:rsid w:val="00846A8F"/>
    <w:rsid w:val="00846E80"/>
    <w:rsid w:val="008476DC"/>
    <w:rsid w:val="00847EAC"/>
    <w:rsid w:val="008505AD"/>
    <w:rsid w:val="00850720"/>
    <w:rsid w:val="008508B8"/>
    <w:rsid w:val="00850E45"/>
    <w:rsid w:val="00850EE2"/>
    <w:rsid w:val="0085146C"/>
    <w:rsid w:val="008516B2"/>
    <w:rsid w:val="00851711"/>
    <w:rsid w:val="00852370"/>
    <w:rsid w:val="0085255E"/>
    <w:rsid w:val="0085281E"/>
    <w:rsid w:val="00852AB9"/>
    <w:rsid w:val="00852C8F"/>
    <w:rsid w:val="00854DF8"/>
    <w:rsid w:val="00855099"/>
    <w:rsid w:val="008554D7"/>
    <w:rsid w:val="00855AFD"/>
    <w:rsid w:val="008562A9"/>
    <w:rsid w:val="0085641A"/>
    <w:rsid w:val="00856546"/>
    <w:rsid w:val="008566E4"/>
    <w:rsid w:val="0085675C"/>
    <w:rsid w:val="00856766"/>
    <w:rsid w:val="00857023"/>
    <w:rsid w:val="008577CE"/>
    <w:rsid w:val="008578ED"/>
    <w:rsid w:val="0085793D"/>
    <w:rsid w:val="00857A0D"/>
    <w:rsid w:val="00857C23"/>
    <w:rsid w:val="00857E62"/>
    <w:rsid w:val="00860351"/>
    <w:rsid w:val="00860637"/>
    <w:rsid w:val="00860653"/>
    <w:rsid w:val="0086081A"/>
    <w:rsid w:val="00860820"/>
    <w:rsid w:val="00860F3F"/>
    <w:rsid w:val="0086113F"/>
    <w:rsid w:val="008613EE"/>
    <w:rsid w:val="00861BFA"/>
    <w:rsid w:val="00861DE2"/>
    <w:rsid w:val="00861FC5"/>
    <w:rsid w:val="00862ADE"/>
    <w:rsid w:val="00863018"/>
    <w:rsid w:val="008630C9"/>
    <w:rsid w:val="00863A9B"/>
    <w:rsid w:val="00863C69"/>
    <w:rsid w:val="00863E29"/>
    <w:rsid w:val="00863E61"/>
    <w:rsid w:val="00864617"/>
    <w:rsid w:val="00864D18"/>
    <w:rsid w:val="00866118"/>
    <w:rsid w:val="00866308"/>
    <w:rsid w:val="00866648"/>
    <w:rsid w:val="008666A8"/>
    <w:rsid w:val="008666D2"/>
    <w:rsid w:val="008667A8"/>
    <w:rsid w:val="00866967"/>
    <w:rsid w:val="00866986"/>
    <w:rsid w:val="0086708F"/>
    <w:rsid w:val="00871336"/>
    <w:rsid w:val="00871737"/>
    <w:rsid w:val="00871CD0"/>
    <w:rsid w:val="00872454"/>
    <w:rsid w:val="00872689"/>
    <w:rsid w:val="00872803"/>
    <w:rsid w:val="0087283F"/>
    <w:rsid w:val="00872F5B"/>
    <w:rsid w:val="008730F4"/>
    <w:rsid w:val="00873937"/>
    <w:rsid w:val="0087477F"/>
    <w:rsid w:val="00874957"/>
    <w:rsid w:val="00874F15"/>
    <w:rsid w:val="00875536"/>
    <w:rsid w:val="0087566F"/>
    <w:rsid w:val="00876155"/>
    <w:rsid w:val="00876682"/>
    <w:rsid w:val="008766A5"/>
    <w:rsid w:val="008768FC"/>
    <w:rsid w:val="0087694A"/>
    <w:rsid w:val="00876A7B"/>
    <w:rsid w:val="00877A64"/>
    <w:rsid w:val="00877ACF"/>
    <w:rsid w:val="00877DE7"/>
    <w:rsid w:val="00877DEA"/>
    <w:rsid w:val="008802CC"/>
    <w:rsid w:val="0088059B"/>
    <w:rsid w:val="0088092A"/>
    <w:rsid w:val="00880B9C"/>
    <w:rsid w:val="00880C16"/>
    <w:rsid w:val="008812D9"/>
    <w:rsid w:val="00881439"/>
    <w:rsid w:val="00881A37"/>
    <w:rsid w:val="00881C71"/>
    <w:rsid w:val="00881CA0"/>
    <w:rsid w:val="00881FA7"/>
    <w:rsid w:val="0088270A"/>
    <w:rsid w:val="008831FF"/>
    <w:rsid w:val="0088350A"/>
    <w:rsid w:val="008838FC"/>
    <w:rsid w:val="00883CD6"/>
    <w:rsid w:val="008843A5"/>
    <w:rsid w:val="008845E1"/>
    <w:rsid w:val="00884889"/>
    <w:rsid w:val="00885309"/>
    <w:rsid w:val="008854A2"/>
    <w:rsid w:val="0088566F"/>
    <w:rsid w:val="0088587F"/>
    <w:rsid w:val="008864C8"/>
    <w:rsid w:val="00886594"/>
    <w:rsid w:val="008865F5"/>
    <w:rsid w:val="00886A51"/>
    <w:rsid w:val="00886A95"/>
    <w:rsid w:val="00886C06"/>
    <w:rsid w:val="00886D3C"/>
    <w:rsid w:val="00886FB2"/>
    <w:rsid w:val="008876AD"/>
    <w:rsid w:val="0089022F"/>
    <w:rsid w:val="00890D02"/>
    <w:rsid w:val="00890E7C"/>
    <w:rsid w:val="00890FD7"/>
    <w:rsid w:val="008913B5"/>
    <w:rsid w:val="008917DF"/>
    <w:rsid w:val="008918EE"/>
    <w:rsid w:val="00891F4C"/>
    <w:rsid w:val="008921DA"/>
    <w:rsid w:val="0089221D"/>
    <w:rsid w:val="00892E58"/>
    <w:rsid w:val="008935FA"/>
    <w:rsid w:val="008936A3"/>
    <w:rsid w:val="0089390F"/>
    <w:rsid w:val="00893AC1"/>
    <w:rsid w:val="008947D6"/>
    <w:rsid w:val="00894D74"/>
    <w:rsid w:val="00894E96"/>
    <w:rsid w:val="00894EE9"/>
    <w:rsid w:val="008955C1"/>
    <w:rsid w:val="00895823"/>
    <w:rsid w:val="00895848"/>
    <w:rsid w:val="008958D7"/>
    <w:rsid w:val="0089648A"/>
    <w:rsid w:val="00897825"/>
    <w:rsid w:val="00897AB1"/>
    <w:rsid w:val="00897BDA"/>
    <w:rsid w:val="008A0006"/>
    <w:rsid w:val="008A06F2"/>
    <w:rsid w:val="008A0A33"/>
    <w:rsid w:val="008A0D8A"/>
    <w:rsid w:val="008A0FB3"/>
    <w:rsid w:val="008A121C"/>
    <w:rsid w:val="008A1415"/>
    <w:rsid w:val="008A17B6"/>
    <w:rsid w:val="008A198B"/>
    <w:rsid w:val="008A1D06"/>
    <w:rsid w:val="008A207C"/>
    <w:rsid w:val="008A3500"/>
    <w:rsid w:val="008A3767"/>
    <w:rsid w:val="008A3909"/>
    <w:rsid w:val="008A3F78"/>
    <w:rsid w:val="008A4345"/>
    <w:rsid w:val="008A60FA"/>
    <w:rsid w:val="008A65ED"/>
    <w:rsid w:val="008A6992"/>
    <w:rsid w:val="008A6A28"/>
    <w:rsid w:val="008A721A"/>
    <w:rsid w:val="008A73DA"/>
    <w:rsid w:val="008A76ED"/>
    <w:rsid w:val="008A776B"/>
    <w:rsid w:val="008A7DC3"/>
    <w:rsid w:val="008B02AB"/>
    <w:rsid w:val="008B03BE"/>
    <w:rsid w:val="008B054D"/>
    <w:rsid w:val="008B06F4"/>
    <w:rsid w:val="008B11A6"/>
    <w:rsid w:val="008B19A0"/>
    <w:rsid w:val="008B1E51"/>
    <w:rsid w:val="008B1FCA"/>
    <w:rsid w:val="008B20C8"/>
    <w:rsid w:val="008B2C57"/>
    <w:rsid w:val="008B2ECA"/>
    <w:rsid w:val="008B303B"/>
    <w:rsid w:val="008B34A9"/>
    <w:rsid w:val="008B3964"/>
    <w:rsid w:val="008B3ADB"/>
    <w:rsid w:val="008B3D62"/>
    <w:rsid w:val="008B423D"/>
    <w:rsid w:val="008B43E5"/>
    <w:rsid w:val="008B4518"/>
    <w:rsid w:val="008B47D7"/>
    <w:rsid w:val="008B4859"/>
    <w:rsid w:val="008B50E3"/>
    <w:rsid w:val="008B530B"/>
    <w:rsid w:val="008B53A4"/>
    <w:rsid w:val="008B53BF"/>
    <w:rsid w:val="008B598C"/>
    <w:rsid w:val="008B5A6B"/>
    <w:rsid w:val="008B6035"/>
    <w:rsid w:val="008B6216"/>
    <w:rsid w:val="008B6DB3"/>
    <w:rsid w:val="008B7186"/>
    <w:rsid w:val="008B77B0"/>
    <w:rsid w:val="008B78FE"/>
    <w:rsid w:val="008B7F27"/>
    <w:rsid w:val="008C002C"/>
    <w:rsid w:val="008C0074"/>
    <w:rsid w:val="008C0247"/>
    <w:rsid w:val="008C0F19"/>
    <w:rsid w:val="008C128E"/>
    <w:rsid w:val="008C1513"/>
    <w:rsid w:val="008C15FC"/>
    <w:rsid w:val="008C181C"/>
    <w:rsid w:val="008C25CB"/>
    <w:rsid w:val="008C2615"/>
    <w:rsid w:val="008C3124"/>
    <w:rsid w:val="008C3411"/>
    <w:rsid w:val="008C3975"/>
    <w:rsid w:val="008C3B2E"/>
    <w:rsid w:val="008C3EAB"/>
    <w:rsid w:val="008C402B"/>
    <w:rsid w:val="008C4118"/>
    <w:rsid w:val="008C48B0"/>
    <w:rsid w:val="008C4D90"/>
    <w:rsid w:val="008C4F1F"/>
    <w:rsid w:val="008C527E"/>
    <w:rsid w:val="008C560C"/>
    <w:rsid w:val="008C5F0D"/>
    <w:rsid w:val="008C626D"/>
    <w:rsid w:val="008C64B2"/>
    <w:rsid w:val="008C6ACA"/>
    <w:rsid w:val="008C7AB0"/>
    <w:rsid w:val="008C7C8E"/>
    <w:rsid w:val="008C7D7C"/>
    <w:rsid w:val="008D0109"/>
    <w:rsid w:val="008D06E2"/>
    <w:rsid w:val="008D10C4"/>
    <w:rsid w:val="008D1474"/>
    <w:rsid w:val="008D151A"/>
    <w:rsid w:val="008D151B"/>
    <w:rsid w:val="008D151E"/>
    <w:rsid w:val="008D15D4"/>
    <w:rsid w:val="008D2590"/>
    <w:rsid w:val="008D3214"/>
    <w:rsid w:val="008D3579"/>
    <w:rsid w:val="008D3607"/>
    <w:rsid w:val="008D432D"/>
    <w:rsid w:val="008D4A26"/>
    <w:rsid w:val="008D4EB1"/>
    <w:rsid w:val="008D54D1"/>
    <w:rsid w:val="008D591C"/>
    <w:rsid w:val="008D5A3A"/>
    <w:rsid w:val="008D5B1F"/>
    <w:rsid w:val="008D5D87"/>
    <w:rsid w:val="008D5DC8"/>
    <w:rsid w:val="008D6AA4"/>
    <w:rsid w:val="008D72F0"/>
    <w:rsid w:val="008D78B0"/>
    <w:rsid w:val="008D7CA7"/>
    <w:rsid w:val="008E00DC"/>
    <w:rsid w:val="008E0113"/>
    <w:rsid w:val="008E06BE"/>
    <w:rsid w:val="008E096A"/>
    <w:rsid w:val="008E0CA3"/>
    <w:rsid w:val="008E0FB7"/>
    <w:rsid w:val="008E1DB4"/>
    <w:rsid w:val="008E20CA"/>
    <w:rsid w:val="008E27B1"/>
    <w:rsid w:val="008E29AD"/>
    <w:rsid w:val="008E2C4B"/>
    <w:rsid w:val="008E32E5"/>
    <w:rsid w:val="008E36FE"/>
    <w:rsid w:val="008E3796"/>
    <w:rsid w:val="008E3BC5"/>
    <w:rsid w:val="008E3F9C"/>
    <w:rsid w:val="008E409E"/>
    <w:rsid w:val="008E4747"/>
    <w:rsid w:val="008E4840"/>
    <w:rsid w:val="008E49BC"/>
    <w:rsid w:val="008E4DEA"/>
    <w:rsid w:val="008E56BD"/>
    <w:rsid w:val="008E5E68"/>
    <w:rsid w:val="008E5FE9"/>
    <w:rsid w:val="008E6261"/>
    <w:rsid w:val="008E6612"/>
    <w:rsid w:val="008E7F89"/>
    <w:rsid w:val="008F08DC"/>
    <w:rsid w:val="008F09EF"/>
    <w:rsid w:val="008F1127"/>
    <w:rsid w:val="008F1400"/>
    <w:rsid w:val="008F1765"/>
    <w:rsid w:val="008F1983"/>
    <w:rsid w:val="008F1CE7"/>
    <w:rsid w:val="008F1DF0"/>
    <w:rsid w:val="008F24F0"/>
    <w:rsid w:val="008F36EE"/>
    <w:rsid w:val="008F3BBE"/>
    <w:rsid w:val="008F3BD2"/>
    <w:rsid w:val="008F3D45"/>
    <w:rsid w:val="008F42B4"/>
    <w:rsid w:val="008F4535"/>
    <w:rsid w:val="008F45DF"/>
    <w:rsid w:val="008F519C"/>
    <w:rsid w:val="008F5572"/>
    <w:rsid w:val="008F6668"/>
    <w:rsid w:val="008F67B1"/>
    <w:rsid w:val="008F6CE5"/>
    <w:rsid w:val="008F6EAF"/>
    <w:rsid w:val="008F71E9"/>
    <w:rsid w:val="008F7276"/>
    <w:rsid w:val="008F7AD7"/>
    <w:rsid w:val="008F7F1B"/>
    <w:rsid w:val="00900173"/>
    <w:rsid w:val="0090050E"/>
    <w:rsid w:val="009007DE"/>
    <w:rsid w:val="00900B99"/>
    <w:rsid w:val="00900C28"/>
    <w:rsid w:val="009010B4"/>
    <w:rsid w:val="009019C7"/>
    <w:rsid w:val="00901DE0"/>
    <w:rsid w:val="0090259D"/>
    <w:rsid w:val="009027BC"/>
    <w:rsid w:val="00902864"/>
    <w:rsid w:val="00902907"/>
    <w:rsid w:val="00902C0D"/>
    <w:rsid w:val="009033D1"/>
    <w:rsid w:val="00903D7E"/>
    <w:rsid w:val="00903FC8"/>
    <w:rsid w:val="00904000"/>
    <w:rsid w:val="009044A0"/>
    <w:rsid w:val="009045C8"/>
    <w:rsid w:val="00904839"/>
    <w:rsid w:val="00904CDE"/>
    <w:rsid w:val="009055C5"/>
    <w:rsid w:val="00905851"/>
    <w:rsid w:val="00905C54"/>
    <w:rsid w:val="00905EF9"/>
    <w:rsid w:val="00905F6F"/>
    <w:rsid w:val="0090609E"/>
    <w:rsid w:val="00906321"/>
    <w:rsid w:val="00906418"/>
    <w:rsid w:val="009065DC"/>
    <w:rsid w:val="009070EA"/>
    <w:rsid w:val="00907401"/>
    <w:rsid w:val="009074A4"/>
    <w:rsid w:val="00907533"/>
    <w:rsid w:val="00907B25"/>
    <w:rsid w:val="00907E6D"/>
    <w:rsid w:val="009102CB"/>
    <w:rsid w:val="00910A25"/>
    <w:rsid w:val="00910AA1"/>
    <w:rsid w:val="00910C56"/>
    <w:rsid w:val="009114E6"/>
    <w:rsid w:val="009119D1"/>
    <w:rsid w:val="00911A84"/>
    <w:rsid w:val="00911DF3"/>
    <w:rsid w:val="00911F29"/>
    <w:rsid w:val="009125B2"/>
    <w:rsid w:val="00912731"/>
    <w:rsid w:val="009127FF"/>
    <w:rsid w:val="00912FEB"/>
    <w:rsid w:val="00913249"/>
    <w:rsid w:val="009139F3"/>
    <w:rsid w:val="0091424C"/>
    <w:rsid w:val="009144D1"/>
    <w:rsid w:val="009150C6"/>
    <w:rsid w:val="00915181"/>
    <w:rsid w:val="009155AF"/>
    <w:rsid w:val="009156B5"/>
    <w:rsid w:val="0091596B"/>
    <w:rsid w:val="00915AAE"/>
    <w:rsid w:val="00915C93"/>
    <w:rsid w:val="00915F42"/>
    <w:rsid w:val="009163B3"/>
    <w:rsid w:val="00917387"/>
    <w:rsid w:val="00917694"/>
    <w:rsid w:val="00917975"/>
    <w:rsid w:val="009200D8"/>
    <w:rsid w:val="00920702"/>
    <w:rsid w:val="00920890"/>
    <w:rsid w:val="00920D2D"/>
    <w:rsid w:val="00920EF8"/>
    <w:rsid w:val="00920F25"/>
    <w:rsid w:val="00920FDD"/>
    <w:rsid w:val="0092197D"/>
    <w:rsid w:val="00921CCC"/>
    <w:rsid w:val="00922017"/>
    <w:rsid w:val="00922077"/>
    <w:rsid w:val="0092210F"/>
    <w:rsid w:val="00922219"/>
    <w:rsid w:val="009226F9"/>
    <w:rsid w:val="009229AF"/>
    <w:rsid w:val="00923487"/>
    <w:rsid w:val="00923B79"/>
    <w:rsid w:val="00923DD1"/>
    <w:rsid w:val="00924276"/>
    <w:rsid w:val="00924AFA"/>
    <w:rsid w:val="00924C4C"/>
    <w:rsid w:val="00924E4D"/>
    <w:rsid w:val="00925101"/>
    <w:rsid w:val="0092515F"/>
    <w:rsid w:val="009252C2"/>
    <w:rsid w:val="0092557E"/>
    <w:rsid w:val="00925E46"/>
    <w:rsid w:val="00926028"/>
    <w:rsid w:val="00926FE6"/>
    <w:rsid w:val="009270D3"/>
    <w:rsid w:val="0092768B"/>
    <w:rsid w:val="009279E6"/>
    <w:rsid w:val="00927CCD"/>
    <w:rsid w:val="00927E5E"/>
    <w:rsid w:val="00927F20"/>
    <w:rsid w:val="00930F61"/>
    <w:rsid w:val="009311F2"/>
    <w:rsid w:val="009317E9"/>
    <w:rsid w:val="009318D5"/>
    <w:rsid w:val="00931B0D"/>
    <w:rsid w:val="00931CEA"/>
    <w:rsid w:val="00932285"/>
    <w:rsid w:val="0093276B"/>
    <w:rsid w:val="00932846"/>
    <w:rsid w:val="00932896"/>
    <w:rsid w:val="00932EB7"/>
    <w:rsid w:val="009332D5"/>
    <w:rsid w:val="00933300"/>
    <w:rsid w:val="0093342A"/>
    <w:rsid w:val="009338E1"/>
    <w:rsid w:val="00933F8F"/>
    <w:rsid w:val="00934071"/>
    <w:rsid w:val="009341D0"/>
    <w:rsid w:val="00934373"/>
    <w:rsid w:val="009347D1"/>
    <w:rsid w:val="00935146"/>
    <w:rsid w:val="0093539A"/>
    <w:rsid w:val="00935C6E"/>
    <w:rsid w:val="00935EF0"/>
    <w:rsid w:val="00935F54"/>
    <w:rsid w:val="009360A0"/>
    <w:rsid w:val="0093657E"/>
    <w:rsid w:val="009366FB"/>
    <w:rsid w:val="00936BFE"/>
    <w:rsid w:val="00936FF4"/>
    <w:rsid w:val="0093727A"/>
    <w:rsid w:val="00937901"/>
    <w:rsid w:val="009406A9"/>
    <w:rsid w:val="00940B1B"/>
    <w:rsid w:val="00940BD9"/>
    <w:rsid w:val="00940CED"/>
    <w:rsid w:val="00940D71"/>
    <w:rsid w:val="0094138A"/>
    <w:rsid w:val="009413D1"/>
    <w:rsid w:val="0094218D"/>
    <w:rsid w:val="00942729"/>
    <w:rsid w:val="00942D14"/>
    <w:rsid w:val="00942D20"/>
    <w:rsid w:val="0094328D"/>
    <w:rsid w:val="009434B3"/>
    <w:rsid w:val="009437E0"/>
    <w:rsid w:val="00943CEB"/>
    <w:rsid w:val="00943DC4"/>
    <w:rsid w:val="009440DF"/>
    <w:rsid w:val="009441A6"/>
    <w:rsid w:val="009447D4"/>
    <w:rsid w:val="00944FCF"/>
    <w:rsid w:val="00945096"/>
    <w:rsid w:val="009451D5"/>
    <w:rsid w:val="009452AA"/>
    <w:rsid w:val="009453DD"/>
    <w:rsid w:val="00945623"/>
    <w:rsid w:val="00945A8A"/>
    <w:rsid w:val="00945EBE"/>
    <w:rsid w:val="00945F13"/>
    <w:rsid w:val="009501ED"/>
    <w:rsid w:val="00950600"/>
    <w:rsid w:val="00950AFF"/>
    <w:rsid w:val="0095119A"/>
    <w:rsid w:val="0095170E"/>
    <w:rsid w:val="00951EF0"/>
    <w:rsid w:val="00952289"/>
    <w:rsid w:val="009523D7"/>
    <w:rsid w:val="0095262A"/>
    <w:rsid w:val="00952827"/>
    <w:rsid w:val="00952DE8"/>
    <w:rsid w:val="009533CE"/>
    <w:rsid w:val="00953ADC"/>
    <w:rsid w:val="00953F0A"/>
    <w:rsid w:val="0095421E"/>
    <w:rsid w:val="009543AF"/>
    <w:rsid w:val="00954E29"/>
    <w:rsid w:val="009550C4"/>
    <w:rsid w:val="009553CA"/>
    <w:rsid w:val="00955895"/>
    <w:rsid w:val="00955DA1"/>
    <w:rsid w:val="00956399"/>
    <w:rsid w:val="00956426"/>
    <w:rsid w:val="0095643B"/>
    <w:rsid w:val="009566CC"/>
    <w:rsid w:val="00957701"/>
    <w:rsid w:val="00957D0A"/>
    <w:rsid w:val="00960736"/>
    <w:rsid w:val="009609CC"/>
    <w:rsid w:val="00960F99"/>
    <w:rsid w:val="00960FA4"/>
    <w:rsid w:val="00960FD4"/>
    <w:rsid w:val="00961105"/>
    <w:rsid w:val="00961B6F"/>
    <w:rsid w:val="00962232"/>
    <w:rsid w:val="009624EA"/>
    <w:rsid w:val="00962B6A"/>
    <w:rsid w:val="00962F1A"/>
    <w:rsid w:val="0096352B"/>
    <w:rsid w:val="00963EF3"/>
    <w:rsid w:val="00964B5A"/>
    <w:rsid w:val="0096590C"/>
    <w:rsid w:val="00965D73"/>
    <w:rsid w:val="00965E51"/>
    <w:rsid w:val="0096617E"/>
    <w:rsid w:val="0096662C"/>
    <w:rsid w:val="00966696"/>
    <w:rsid w:val="00966761"/>
    <w:rsid w:val="00967235"/>
    <w:rsid w:val="00967515"/>
    <w:rsid w:val="00967E07"/>
    <w:rsid w:val="00967E3C"/>
    <w:rsid w:val="00967EC5"/>
    <w:rsid w:val="009702AD"/>
    <w:rsid w:val="009704FF"/>
    <w:rsid w:val="009710B1"/>
    <w:rsid w:val="0097120C"/>
    <w:rsid w:val="009712B5"/>
    <w:rsid w:val="0097130D"/>
    <w:rsid w:val="0097171C"/>
    <w:rsid w:val="0097172C"/>
    <w:rsid w:val="009722E5"/>
    <w:rsid w:val="009729CA"/>
    <w:rsid w:val="00973169"/>
    <w:rsid w:val="00973953"/>
    <w:rsid w:val="00974076"/>
    <w:rsid w:val="00974259"/>
    <w:rsid w:val="009744B8"/>
    <w:rsid w:val="00974604"/>
    <w:rsid w:val="0097467B"/>
    <w:rsid w:val="00974D2B"/>
    <w:rsid w:val="00975540"/>
    <w:rsid w:val="009757BA"/>
    <w:rsid w:val="0097583A"/>
    <w:rsid w:val="00975C0C"/>
    <w:rsid w:val="00975C1C"/>
    <w:rsid w:val="00975CE2"/>
    <w:rsid w:val="00975F38"/>
    <w:rsid w:val="00975F7F"/>
    <w:rsid w:val="0097600C"/>
    <w:rsid w:val="0097673C"/>
    <w:rsid w:val="00976817"/>
    <w:rsid w:val="009772F4"/>
    <w:rsid w:val="0097774E"/>
    <w:rsid w:val="009778B6"/>
    <w:rsid w:val="0098050F"/>
    <w:rsid w:val="009806E0"/>
    <w:rsid w:val="00980815"/>
    <w:rsid w:val="00980904"/>
    <w:rsid w:val="009811E9"/>
    <w:rsid w:val="009814A4"/>
    <w:rsid w:val="009818B8"/>
    <w:rsid w:val="00982351"/>
    <w:rsid w:val="00982824"/>
    <w:rsid w:val="00982E19"/>
    <w:rsid w:val="009835D1"/>
    <w:rsid w:val="0098386C"/>
    <w:rsid w:val="009838CF"/>
    <w:rsid w:val="00983BDF"/>
    <w:rsid w:val="00983D46"/>
    <w:rsid w:val="009840CC"/>
    <w:rsid w:val="00984210"/>
    <w:rsid w:val="009843C7"/>
    <w:rsid w:val="009846D2"/>
    <w:rsid w:val="009847D8"/>
    <w:rsid w:val="00984900"/>
    <w:rsid w:val="00984F38"/>
    <w:rsid w:val="00985DD3"/>
    <w:rsid w:val="009861B4"/>
    <w:rsid w:val="00986465"/>
    <w:rsid w:val="00986721"/>
    <w:rsid w:val="00986E83"/>
    <w:rsid w:val="00987181"/>
    <w:rsid w:val="009872BE"/>
    <w:rsid w:val="00987414"/>
    <w:rsid w:val="009904DE"/>
    <w:rsid w:val="00990502"/>
    <w:rsid w:val="00990596"/>
    <w:rsid w:val="0099092D"/>
    <w:rsid w:val="00990BCF"/>
    <w:rsid w:val="00991383"/>
    <w:rsid w:val="009928DB"/>
    <w:rsid w:val="00992C94"/>
    <w:rsid w:val="009937A0"/>
    <w:rsid w:val="00993F1F"/>
    <w:rsid w:val="009948C7"/>
    <w:rsid w:val="00994DAB"/>
    <w:rsid w:val="00994EE8"/>
    <w:rsid w:val="0099578B"/>
    <w:rsid w:val="00995CD6"/>
    <w:rsid w:val="00996047"/>
    <w:rsid w:val="00996860"/>
    <w:rsid w:val="00996A61"/>
    <w:rsid w:val="00997082"/>
    <w:rsid w:val="00997160"/>
    <w:rsid w:val="0099737F"/>
    <w:rsid w:val="00997762"/>
    <w:rsid w:val="009A00D9"/>
    <w:rsid w:val="009A01D5"/>
    <w:rsid w:val="009A0720"/>
    <w:rsid w:val="009A0C82"/>
    <w:rsid w:val="009A0F58"/>
    <w:rsid w:val="009A1170"/>
    <w:rsid w:val="009A150D"/>
    <w:rsid w:val="009A1785"/>
    <w:rsid w:val="009A1A2F"/>
    <w:rsid w:val="009A1A58"/>
    <w:rsid w:val="009A1D3E"/>
    <w:rsid w:val="009A20ED"/>
    <w:rsid w:val="009A3A63"/>
    <w:rsid w:val="009A4A1C"/>
    <w:rsid w:val="009A4ADC"/>
    <w:rsid w:val="009A4C53"/>
    <w:rsid w:val="009A4CC6"/>
    <w:rsid w:val="009A5327"/>
    <w:rsid w:val="009A5B55"/>
    <w:rsid w:val="009A5BA6"/>
    <w:rsid w:val="009A5C04"/>
    <w:rsid w:val="009A5C5A"/>
    <w:rsid w:val="009A61BF"/>
    <w:rsid w:val="009A66E3"/>
    <w:rsid w:val="009A6A24"/>
    <w:rsid w:val="009A77FC"/>
    <w:rsid w:val="009A79EB"/>
    <w:rsid w:val="009A7EE8"/>
    <w:rsid w:val="009B05F8"/>
    <w:rsid w:val="009B08AA"/>
    <w:rsid w:val="009B0A92"/>
    <w:rsid w:val="009B1635"/>
    <w:rsid w:val="009B22E5"/>
    <w:rsid w:val="009B2C3D"/>
    <w:rsid w:val="009B2DDB"/>
    <w:rsid w:val="009B31CE"/>
    <w:rsid w:val="009B331D"/>
    <w:rsid w:val="009B3EF4"/>
    <w:rsid w:val="009B4009"/>
    <w:rsid w:val="009B4133"/>
    <w:rsid w:val="009B453D"/>
    <w:rsid w:val="009B4701"/>
    <w:rsid w:val="009B4AA6"/>
    <w:rsid w:val="009B4D9E"/>
    <w:rsid w:val="009B51AE"/>
    <w:rsid w:val="009B5559"/>
    <w:rsid w:val="009B5A7E"/>
    <w:rsid w:val="009B5B6C"/>
    <w:rsid w:val="009B6582"/>
    <w:rsid w:val="009B67DB"/>
    <w:rsid w:val="009B69FA"/>
    <w:rsid w:val="009B6B0F"/>
    <w:rsid w:val="009B6FF4"/>
    <w:rsid w:val="009B70DA"/>
    <w:rsid w:val="009B7154"/>
    <w:rsid w:val="009B7464"/>
    <w:rsid w:val="009B7A94"/>
    <w:rsid w:val="009B7C03"/>
    <w:rsid w:val="009B7F15"/>
    <w:rsid w:val="009C026C"/>
    <w:rsid w:val="009C0498"/>
    <w:rsid w:val="009C170F"/>
    <w:rsid w:val="009C1A57"/>
    <w:rsid w:val="009C1AC5"/>
    <w:rsid w:val="009C23F5"/>
    <w:rsid w:val="009C28B4"/>
    <w:rsid w:val="009C28D6"/>
    <w:rsid w:val="009C33EE"/>
    <w:rsid w:val="009C33FA"/>
    <w:rsid w:val="009C3A17"/>
    <w:rsid w:val="009C3FFF"/>
    <w:rsid w:val="009C460C"/>
    <w:rsid w:val="009C4C2A"/>
    <w:rsid w:val="009C5205"/>
    <w:rsid w:val="009C53A1"/>
    <w:rsid w:val="009C557F"/>
    <w:rsid w:val="009C55F0"/>
    <w:rsid w:val="009C5723"/>
    <w:rsid w:val="009C57C4"/>
    <w:rsid w:val="009C5808"/>
    <w:rsid w:val="009C5AA1"/>
    <w:rsid w:val="009C5B91"/>
    <w:rsid w:val="009C5F71"/>
    <w:rsid w:val="009C6122"/>
    <w:rsid w:val="009C61C5"/>
    <w:rsid w:val="009C638B"/>
    <w:rsid w:val="009C6518"/>
    <w:rsid w:val="009C6CCB"/>
    <w:rsid w:val="009C6E0F"/>
    <w:rsid w:val="009C714B"/>
    <w:rsid w:val="009C7B59"/>
    <w:rsid w:val="009C7F22"/>
    <w:rsid w:val="009C7F28"/>
    <w:rsid w:val="009D0043"/>
    <w:rsid w:val="009D008A"/>
    <w:rsid w:val="009D0A68"/>
    <w:rsid w:val="009D0BEF"/>
    <w:rsid w:val="009D0F4E"/>
    <w:rsid w:val="009D1075"/>
    <w:rsid w:val="009D12EC"/>
    <w:rsid w:val="009D1505"/>
    <w:rsid w:val="009D1F0C"/>
    <w:rsid w:val="009D2098"/>
    <w:rsid w:val="009D21E4"/>
    <w:rsid w:val="009D2B7D"/>
    <w:rsid w:val="009D3602"/>
    <w:rsid w:val="009D37FE"/>
    <w:rsid w:val="009D3DC4"/>
    <w:rsid w:val="009D3E0A"/>
    <w:rsid w:val="009D3F9B"/>
    <w:rsid w:val="009D45A4"/>
    <w:rsid w:val="009D4BC5"/>
    <w:rsid w:val="009D4CB3"/>
    <w:rsid w:val="009D6607"/>
    <w:rsid w:val="009D6653"/>
    <w:rsid w:val="009D6895"/>
    <w:rsid w:val="009D68A0"/>
    <w:rsid w:val="009D6AAB"/>
    <w:rsid w:val="009D6D5D"/>
    <w:rsid w:val="009D722D"/>
    <w:rsid w:val="009D76E1"/>
    <w:rsid w:val="009D78C7"/>
    <w:rsid w:val="009D7964"/>
    <w:rsid w:val="009D7EEB"/>
    <w:rsid w:val="009E0502"/>
    <w:rsid w:val="009E05A6"/>
    <w:rsid w:val="009E07E3"/>
    <w:rsid w:val="009E0BC2"/>
    <w:rsid w:val="009E0DAF"/>
    <w:rsid w:val="009E1FF4"/>
    <w:rsid w:val="009E26D0"/>
    <w:rsid w:val="009E27E6"/>
    <w:rsid w:val="009E2DF0"/>
    <w:rsid w:val="009E3A91"/>
    <w:rsid w:val="009E42FE"/>
    <w:rsid w:val="009E452D"/>
    <w:rsid w:val="009E4861"/>
    <w:rsid w:val="009E49DD"/>
    <w:rsid w:val="009E6932"/>
    <w:rsid w:val="009E6C60"/>
    <w:rsid w:val="009E6F3E"/>
    <w:rsid w:val="009E70A2"/>
    <w:rsid w:val="009E72E9"/>
    <w:rsid w:val="009E77FA"/>
    <w:rsid w:val="009E79E0"/>
    <w:rsid w:val="009F06C8"/>
    <w:rsid w:val="009F0896"/>
    <w:rsid w:val="009F0936"/>
    <w:rsid w:val="009F1388"/>
    <w:rsid w:val="009F18C1"/>
    <w:rsid w:val="009F18D2"/>
    <w:rsid w:val="009F1F2F"/>
    <w:rsid w:val="009F250C"/>
    <w:rsid w:val="009F2AC5"/>
    <w:rsid w:val="009F2FF5"/>
    <w:rsid w:val="009F4602"/>
    <w:rsid w:val="009F4813"/>
    <w:rsid w:val="009F4BAD"/>
    <w:rsid w:val="009F4DB9"/>
    <w:rsid w:val="009F51B2"/>
    <w:rsid w:val="009F5348"/>
    <w:rsid w:val="009F5451"/>
    <w:rsid w:val="009F56D3"/>
    <w:rsid w:val="009F58A9"/>
    <w:rsid w:val="009F5ED4"/>
    <w:rsid w:val="009F6B61"/>
    <w:rsid w:val="009F6B63"/>
    <w:rsid w:val="009F6D5D"/>
    <w:rsid w:val="009F7845"/>
    <w:rsid w:val="009F7AE9"/>
    <w:rsid w:val="00A0045C"/>
    <w:rsid w:val="00A00526"/>
    <w:rsid w:val="00A007B8"/>
    <w:rsid w:val="00A01428"/>
    <w:rsid w:val="00A0173D"/>
    <w:rsid w:val="00A01E43"/>
    <w:rsid w:val="00A02781"/>
    <w:rsid w:val="00A02D6D"/>
    <w:rsid w:val="00A03503"/>
    <w:rsid w:val="00A03BF2"/>
    <w:rsid w:val="00A040E4"/>
    <w:rsid w:val="00A041CA"/>
    <w:rsid w:val="00A041D3"/>
    <w:rsid w:val="00A04841"/>
    <w:rsid w:val="00A049F4"/>
    <w:rsid w:val="00A053D3"/>
    <w:rsid w:val="00A05404"/>
    <w:rsid w:val="00A05878"/>
    <w:rsid w:val="00A0591D"/>
    <w:rsid w:val="00A05A40"/>
    <w:rsid w:val="00A06FD2"/>
    <w:rsid w:val="00A101F2"/>
    <w:rsid w:val="00A11168"/>
    <w:rsid w:val="00A1148B"/>
    <w:rsid w:val="00A11B3E"/>
    <w:rsid w:val="00A1237D"/>
    <w:rsid w:val="00A1260F"/>
    <w:rsid w:val="00A1280C"/>
    <w:rsid w:val="00A129C4"/>
    <w:rsid w:val="00A12A8F"/>
    <w:rsid w:val="00A12C8E"/>
    <w:rsid w:val="00A12F05"/>
    <w:rsid w:val="00A12F1B"/>
    <w:rsid w:val="00A130E8"/>
    <w:rsid w:val="00A132B6"/>
    <w:rsid w:val="00A13E31"/>
    <w:rsid w:val="00A13F06"/>
    <w:rsid w:val="00A14D33"/>
    <w:rsid w:val="00A14DD2"/>
    <w:rsid w:val="00A152F7"/>
    <w:rsid w:val="00A1534B"/>
    <w:rsid w:val="00A15428"/>
    <w:rsid w:val="00A15462"/>
    <w:rsid w:val="00A156EB"/>
    <w:rsid w:val="00A1570B"/>
    <w:rsid w:val="00A15A01"/>
    <w:rsid w:val="00A15B61"/>
    <w:rsid w:val="00A15F76"/>
    <w:rsid w:val="00A1668F"/>
    <w:rsid w:val="00A16BCE"/>
    <w:rsid w:val="00A16F81"/>
    <w:rsid w:val="00A1714C"/>
    <w:rsid w:val="00A171C1"/>
    <w:rsid w:val="00A171F7"/>
    <w:rsid w:val="00A173B9"/>
    <w:rsid w:val="00A1749A"/>
    <w:rsid w:val="00A17A37"/>
    <w:rsid w:val="00A2017D"/>
    <w:rsid w:val="00A2082C"/>
    <w:rsid w:val="00A209A1"/>
    <w:rsid w:val="00A21B9C"/>
    <w:rsid w:val="00A21DAD"/>
    <w:rsid w:val="00A22167"/>
    <w:rsid w:val="00A226AD"/>
    <w:rsid w:val="00A22948"/>
    <w:rsid w:val="00A22ECC"/>
    <w:rsid w:val="00A2386A"/>
    <w:rsid w:val="00A23AF9"/>
    <w:rsid w:val="00A247C6"/>
    <w:rsid w:val="00A24E0F"/>
    <w:rsid w:val="00A2580B"/>
    <w:rsid w:val="00A25BEE"/>
    <w:rsid w:val="00A25CE9"/>
    <w:rsid w:val="00A25EC0"/>
    <w:rsid w:val="00A264D3"/>
    <w:rsid w:val="00A26574"/>
    <w:rsid w:val="00A265E5"/>
    <w:rsid w:val="00A2675E"/>
    <w:rsid w:val="00A267A8"/>
    <w:rsid w:val="00A26F5B"/>
    <w:rsid w:val="00A27B15"/>
    <w:rsid w:val="00A27C77"/>
    <w:rsid w:val="00A305C6"/>
    <w:rsid w:val="00A307EA"/>
    <w:rsid w:val="00A30840"/>
    <w:rsid w:val="00A30B13"/>
    <w:rsid w:val="00A30F48"/>
    <w:rsid w:val="00A31211"/>
    <w:rsid w:val="00A31FE1"/>
    <w:rsid w:val="00A323DC"/>
    <w:rsid w:val="00A326E4"/>
    <w:rsid w:val="00A3280D"/>
    <w:rsid w:val="00A33128"/>
    <w:rsid w:val="00A3312E"/>
    <w:rsid w:val="00A33902"/>
    <w:rsid w:val="00A33B24"/>
    <w:rsid w:val="00A33D81"/>
    <w:rsid w:val="00A33E6F"/>
    <w:rsid w:val="00A3455D"/>
    <w:rsid w:val="00A345B7"/>
    <w:rsid w:val="00A34759"/>
    <w:rsid w:val="00A34CC0"/>
    <w:rsid w:val="00A351CB"/>
    <w:rsid w:val="00A3566D"/>
    <w:rsid w:val="00A35739"/>
    <w:rsid w:val="00A35916"/>
    <w:rsid w:val="00A359BF"/>
    <w:rsid w:val="00A36FED"/>
    <w:rsid w:val="00A3716B"/>
    <w:rsid w:val="00A375AA"/>
    <w:rsid w:val="00A37780"/>
    <w:rsid w:val="00A37B44"/>
    <w:rsid w:val="00A37D74"/>
    <w:rsid w:val="00A37DE9"/>
    <w:rsid w:val="00A40161"/>
    <w:rsid w:val="00A40A07"/>
    <w:rsid w:val="00A40BE5"/>
    <w:rsid w:val="00A40D46"/>
    <w:rsid w:val="00A40F9F"/>
    <w:rsid w:val="00A40FDB"/>
    <w:rsid w:val="00A4107A"/>
    <w:rsid w:val="00A41244"/>
    <w:rsid w:val="00A41465"/>
    <w:rsid w:val="00A41874"/>
    <w:rsid w:val="00A41E0C"/>
    <w:rsid w:val="00A42FE4"/>
    <w:rsid w:val="00A435C5"/>
    <w:rsid w:val="00A439A4"/>
    <w:rsid w:val="00A43AF6"/>
    <w:rsid w:val="00A43F53"/>
    <w:rsid w:val="00A446E0"/>
    <w:rsid w:val="00A44875"/>
    <w:rsid w:val="00A448B8"/>
    <w:rsid w:val="00A44ED1"/>
    <w:rsid w:val="00A451B4"/>
    <w:rsid w:val="00A45CB1"/>
    <w:rsid w:val="00A46151"/>
    <w:rsid w:val="00A4700A"/>
    <w:rsid w:val="00A4729F"/>
    <w:rsid w:val="00A47351"/>
    <w:rsid w:val="00A47773"/>
    <w:rsid w:val="00A4795D"/>
    <w:rsid w:val="00A479C2"/>
    <w:rsid w:val="00A47D80"/>
    <w:rsid w:val="00A50C83"/>
    <w:rsid w:val="00A5125D"/>
    <w:rsid w:val="00A51899"/>
    <w:rsid w:val="00A51C81"/>
    <w:rsid w:val="00A51F35"/>
    <w:rsid w:val="00A520AA"/>
    <w:rsid w:val="00A52388"/>
    <w:rsid w:val="00A523F0"/>
    <w:rsid w:val="00A52C98"/>
    <w:rsid w:val="00A52E0B"/>
    <w:rsid w:val="00A53031"/>
    <w:rsid w:val="00A53471"/>
    <w:rsid w:val="00A53531"/>
    <w:rsid w:val="00A535E8"/>
    <w:rsid w:val="00A53E8D"/>
    <w:rsid w:val="00A53F82"/>
    <w:rsid w:val="00A54D23"/>
    <w:rsid w:val="00A55A9C"/>
    <w:rsid w:val="00A56AA7"/>
    <w:rsid w:val="00A56BED"/>
    <w:rsid w:val="00A56DAD"/>
    <w:rsid w:val="00A56E42"/>
    <w:rsid w:val="00A571EA"/>
    <w:rsid w:val="00A57244"/>
    <w:rsid w:val="00A57AE4"/>
    <w:rsid w:val="00A57DE6"/>
    <w:rsid w:val="00A60121"/>
    <w:rsid w:val="00A60543"/>
    <w:rsid w:val="00A612F8"/>
    <w:rsid w:val="00A6177C"/>
    <w:rsid w:val="00A617C0"/>
    <w:rsid w:val="00A618B0"/>
    <w:rsid w:val="00A61FF3"/>
    <w:rsid w:val="00A62114"/>
    <w:rsid w:val="00A621F8"/>
    <w:rsid w:val="00A62732"/>
    <w:rsid w:val="00A62826"/>
    <w:rsid w:val="00A629D5"/>
    <w:rsid w:val="00A62DA2"/>
    <w:rsid w:val="00A62EE1"/>
    <w:rsid w:val="00A639EC"/>
    <w:rsid w:val="00A63B4C"/>
    <w:rsid w:val="00A64389"/>
    <w:rsid w:val="00A6458D"/>
    <w:rsid w:val="00A6491A"/>
    <w:rsid w:val="00A64C1D"/>
    <w:rsid w:val="00A64F7D"/>
    <w:rsid w:val="00A65250"/>
    <w:rsid w:val="00A6543B"/>
    <w:rsid w:val="00A654F9"/>
    <w:rsid w:val="00A664A6"/>
    <w:rsid w:val="00A668FD"/>
    <w:rsid w:val="00A66C27"/>
    <w:rsid w:val="00A66C3C"/>
    <w:rsid w:val="00A66CBB"/>
    <w:rsid w:val="00A66DB8"/>
    <w:rsid w:val="00A66E56"/>
    <w:rsid w:val="00A67076"/>
    <w:rsid w:val="00A6731A"/>
    <w:rsid w:val="00A674AF"/>
    <w:rsid w:val="00A67D0A"/>
    <w:rsid w:val="00A703C9"/>
    <w:rsid w:val="00A703F1"/>
    <w:rsid w:val="00A70B24"/>
    <w:rsid w:val="00A70DD7"/>
    <w:rsid w:val="00A70E85"/>
    <w:rsid w:val="00A71AA1"/>
    <w:rsid w:val="00A71B77"/>
    <w:rsid w:val="00A71CD1"/>
    <w:rsid w:val="00A7201D"/>
    <w:rsid w:val="00A72040"/>
    <w:rsid w:val="00A72053"/>
    <w:rsid w:val="00A72574"/>
    <w:rsid w:val="00A72625"/>
    <w:rsid w:val="00A7286D"/>
    <w:rsid w:val="00A72D74"/>
    <w:rsid w:val="00A72FDA"/>
    <w:rsid w:val="00A73734"/>
    <w:rsid w:val="00A73FAA"/>
    <w:rsid w:val="00A74017"/>
    <w:rsid w:val="00A74031"/>
    <w:rsid w:val="00A74C32"/>
    <w:rsid w:val="00A75881"/>
    <w:rsid w:val="00A75F7E"/>
    <w:rsid w:val="00A76020"/>
    <w:rsid w:val="00A76486"/>
    <w:rsid w:val="00A76C2D"/>
    <w:rsid w:val="00A76FB3"/>
    <w:rsid w:val="00A77376"/>
    <w:rsid w:val="00A77E4A"/>
    <w:rsid w:val="00A8024C"/>
    <w:rsid w:val="00A80570"/>
    <w:rsid w:val="00A80669"/>
    <w:rsid w:val="00A80B84"/>
    <w:rsid w:val="00A80E4D"/>
    <w:rsid w:val="00A81520"/>
    <w:rsid w:val="00A81E8F"/>
    <w:rsid w:val="00A81EEB"/>
    <w:rsid w:val="00A8224D"/>
    <w:rsid w:val="00A82C14"/>
    <w:rsid w:val="00A82F00"/>
    <w:rsid w:val="00A830E6"/>
    <w:rsid w:val="00A831CF"/>
    <w:rsid w:val="00A83652"/>
    <w:rsid w:val="00A84047"/>
    <w:rsid w:val="00A858D1"/>
    <w:rsid w:val="00A85992"/>
    <w:rsid w:val="00A85DA9"/>
    <w:rsid w:val="00A862A7"/>
    <w:rsid w:val="00A86A2D"/>
    <w:rsid w:val="00A8720E"/>
    <w:rsid w:val="00A873C5"/>
    <w:rsid w:val="00A87819"/>
    <w:rsid w:val="00A878A5"/>
    <w:rsid w:val="00A87D0F"/>
    <w:rsid w:val="00A9039A"/>
    <w:rsid w:val="00A907EB"/>
    <w:rsid w:val="00A9189B"/>
    <w:rsid w:val="00A919E0"/>
    <w:rsid w:val="00A920AB"/>
    <w:rsid w:val="00A92173"/>
    <w:rsid w:val="00A9243D"/>
    <w:rsid w:val="00A92888"/>
    <w:rsid w:val="00A92892"/>
    <w:rsid w:val="00A92CB1"/>
    <w:rsid w:val="00A93142"/>
    <w:rsid w:val="00A93251"/>
    <w:rsid w:val="00A936C7"/>
    <w:rsid w:val="00A93A57"/>
    <w:rsid w:val="00A93E90"/>
    <w:rsid w:val="00A94555"/>
    <w:rsid w:val="00A94867"/>
    <w:rsid w:val="00A948A2"/>
    <w:rsid w:val="00A94AEB"/>
    <w:rsid w:val="00A95320"/>
    <w:rsid w:val="00A958DB"/>
    <w:rsid w:val="00A95F96"/>
    <w:rsid w:val="00A96293"/>
    <w:rsid w:val="00A96339"/>
    <w:rsid w:val="00A96F5D"/>
    <w:rsid w:val="00A979B6"/>
    <w:rsid w:val="00A97B6C"/>
    <w:rsid w:val="00A97D16"/>
    <w:rsid w:val="00AA0237"/>
    <w:rsid w:val="00AA0F2A"/>
    <w:rsid w:val="00AA1304"/>
    <w:rsid w:val="00AA16BE"/>
    <w:rsid w:val="00AA1B4A"/>
    <w:rsid w:val="00AA1BFE"/>
    <w:rsid w:val="00AA1C0B"/>
    <w:rsid w:val="00AA1D57"/>
    <w:rsid w:val="00AA2EF3"/>
    <w:rsid w:val="00AA2FB9"/>
    <w:rsid w:val="00AA301F"/>
    <w:rsid w:val="00AA3302"/>
    <w:rsid w:val="00AA3490"/>
    <w:rsid w:val="00AA34B6"/>
    <w:rsid w:val="00AA38FB"/>
    <w:rsid w:val="00AA39EC"/>
    <w:rsid w:val="00AA3B03"/>
    <w:rsid w:val="00AA3DFF"/>
    <w:rsid w:val="00AA4088"/>
    <w:rsid w:val="00AA43BE"/>
    <w:rsid w:val="00AA479A"/>
    <w:rsid w:val="00AA50A0"/>
    <w:rsid w:val="00AA50F1"/>
    <w:rsid w:val="00AA51A3"/>
    <w:rsid w:val="00AA5419"/>
    <w:rsid w:val="00AA6649"/>
    <w:rsid w:val="00AA735A"/>
    <w:rsid w:val="00AA7EEE"/>
    <w:rsid w:val="00AB099F"/>
    <w:rsid w:val="00AB0B94"/>
    <w:rsid w:val="00AB1076"/>
    <w:rsid w:val="00AB1227"/>
    <w:rsid w:val="00AB1408"/>
    <w:rsid w:val="00AB18F8"/>
    <w:rsid w:val="00AB1B7B"/>
    <w:rsid w:val="00AB1EA8"/>
    <w:rsid w:val="00AB1EED"/>
    <w:rsid w:val="00AB1F49"/>
    <w:rsid w:val="00AB1FED"/>
    <w:rsid w:val="00AB21FE"/>
    <w:rsid w:val="00AB27DA"/>
    <w:rsid w:val="00AB2C07"/>
    <w:rsid w:val="00AB3459"/>
    <w:rsid w:val="00AB36B9"/>
    <w:rsid w:val="00AB3738"/>
    <w:rsid w:val="00AB38DC"/>
    <w:rsid w:val="00AB43DB"/>
    <w:rsid w:val="00AB48DA"/>
    <w:rsid w:val="00AB4C1A"/>
    <w:rsid w:val="00AB4D0E"/>
    <w:rsid w:val="00AB5415"/>
    <w:rsid w:val="00AB588D"/>
    <w:rsid w:val="00AB5C5D"/>
    <w:rsid w:val="00AB5C74"/>
    <w:rsid w:val="00AB5CF9"/>
    <w:rsid w:val="00AB60D3"/>
    <w:rsid w:val="00AB60D4"/>
    <w:rsid w:val="00AB60F4"/>
    <w:rsid w:val="00AB64D4"/>
    <w:rsid w:val="00AB6AD9"/>
    <w:rsid w:val="00AB6D50"/>
    <w:rsid w:val="00AB7239"/>
    <w:rsid w:val="00AB776B"/>
    <w:rsid w:val="00AB776F"/>
    <w:rsid w:val="00AC00AC"/>
    <w:rsid w:val="00AC0694"/>
    <w:rsid w:val="00AC0D69"/>
    <w:rsid w:val="00AC0FB2"/>
    <w:rsid w:val="00AC1457"/>
    <w:rsid w:val="00AC1553"/>
    <w:rsid w:val="00AC176A"/>
    <w:rsid w:val="00AC18CA"/>
    <w:rsid w:val="00AC1AE7"/>
    <w:rsid w:val="00AC2120"/>
    <w:rsid w:val="00AC2238"/>
    <w:rsid w:val="00AC28B4"/>
    <w:rsid w:val="00AC28BB"/>
    <w:rsid w:val="00AC2A68"/>
    <w:rsid w:val="00AC2A7F"/>
    <w:rsid w:val="00AC2ABC"/>
    <w:rsid w:val="00AC34CB"/>
    <w:rsid w:val="00AC3668"/>
    <w:rsid w:val="00AC3673"/>
    <w:rsid w:val="00AC36EE"/>
    <w:rsid w:val="00AC3A0D"/>
    <w:rsid w:val="00AC3C4C"/>
    <w:rsid w:val="00AC3DBF"/>
    <w:rsid w:val="00AC3EC0"/>
    <w:rsid w:val="00AC3EE7"/>
    <w:rsid w:val="00AC442F"/>
    <w:rsid w:val="00AC49C5"/>
    <w:rsid w:val="00AC4CC0"/>
    <w:rsid w:val="00AC5495"/>
    <w:rsid w:val="00AC5746"/>
    <w:rsid w:val="00AC5E59"/>
    <w:rsid w:val="00AC60B6"/>
    <w:rsid w:val="00AC645C"/>
    <w:rsid w:val="00AC65C5"/>
    <w:rsid w:val="00AC77DF"/>
    <w:rsid w:val="00AC7B83"/>
    <w:rsid w:val="00AD033B"/>
    <w:rsid w:val="00AD070F"/>
    <w:rsid w:val="00AD09F5"/>
    <w:rsid w:val="00AD1218"/>
    <w:rsid w:val="00AD13DB"/>
    <w:rsid w:val="00AD147F"/>
    <w:rsid w:val="00AD158A"/>
    <w:rsid w:val="00AD1665"/>
    <w:rsid w:val="00AD20F1"/>
    <w:rsid w:val="00AD2928"/>
    <w:rsid w:val="00AD29F5"/>
    <w:rsid w:val="00AD315C"/>
    <w:rsid w:val="00AD32A0"/>
    <w:rsid w:val="00AD3B9D"/>
    <w:rsid w:val="00AD3E38"/>
    <w:rsid w:val="00AD44D4"/>
    <w:rsid w:val="00AD50F4"/>
    <w:rsid w:val="00AD510E"/>
    <w:rsid w:val="00AD5AAB"/>
    <w:rsid w:val="00AD5BF3"/>
    <w:rsid w:val="00AD62A9"/>
    <w:rsid w:val="00AD657B"/>
    <w:rsid w:val="00AD6FB9"/>
    <w:rsid w:val="00AD71E2"/>
    <w:rsid w:val="00AD755F"/>
    <w:rsid w:val="00AD7AEC"/>
    <w:rsid w:val="00AE03ED"/>
    <w:rsid w:val="00AE0555"/>
    <w:rsid w:val="00AE05D7"/>
    <w:rsid w:val="00AE0D1E"/>
    <w:rsid w:val="00AE0F80"/>
    <w:rsid w:val="00AE10FD"/>
    <w:rsid w:val="00AE195F"/>
    <w:rsid w:val="00AE1CB8"/>
    <w:rsid w:val="00AE1E6A"/>
    <w:rsid w:val="00AE1EF9"/>
    <w:rsid w:val="00AE2177"/>
    <w:rsid w:val="00AE2467"/>
    <w:rsid w:val="00AE261A"/>
    <w:rsid w:val="00AE26EC"/>
    <w:rsid w:val="00AE273D"/>
    <w:rsid w:val="00AE33E3"/>
    <w:rsid w:val="00AE357E"/>
    <w:rsid w:val="00AE4033"/>
    <w:rsid w:val="00AE4384"/>
    <w:rsid w:val="00AE4397"/>
    <w:rsid w:val="00AE4817"/>
    <w:rsid w:val="00AE4B39"/>
    <w:rsid w:val="00AE4C20"/>
    <w:rsid w:val="00AE523B"/>
    <w:rsid w:val="00AE559D"/>
    <w:rsid w:val="00AE55AA"/>
    <w:rsid w:val="00AE5A4F"/>
    <w:rsid w:val="00AE5B0E"/>
    <w:rsid w:val="00AE5D0C"/>
    <w:rsid w:val="00AE610C"/>
    <w:rsid w:val="00AE6970"/>
    <w:rsid w:val="00AE69F7"/>
    <w:rsid w:val="00AE6D4D"/>
    <w:rsid w:val="00AE6D74"/>
    <w:rsid w:val="00AE7006"/>
    <w:rsid w:val="00AF0205"/>
    <w:rsid w:val="00AF11C3"/>
    <w:rsid w:val="00AF13F1"/>
    <w:rsid w:val="00AF152A"/>
    <w:rsid w:val="00AF1AB1"/>
    <w:rsid w:val="00AF1FA3"/>
    <w:rsid w:val="00AF2D11"/>
    <w:rsid w:val="00AF2DDD"/>
    <w:rsid w:val="00AF2F15"/>
    <w:rsid w:val="00AF4608"/>
    <w:rsid w:val="00AF47DF"/>
    <w:rsid w:val="00AF4F3D"/>
    <w:rsid w:val="00AF5232"/>
    <w:rsid w:val="00AF53F2"/>
    <w:rsid w:val="00AF549B"/>
    <w:rsid w:val="00AF54C9"/>
    <w:rsid w:val="00AF579B"/>
    <w:rsid w:val="00AF5CA6"/>
    <w:rsid w:val="00AF5D0B"/>
    <w:rsid w:val="00AF6033"/>
    <w:rsid w:val="00AF60BA"/>
    <w:rsid w:val="00AF61E0"/>
    <w:rsid w:val="00AF6628"/>
    <w:rsid w:val="00AF68FA"/>
    <w:rsid w:val="00AF68FC"/>
    <w:rsid w:val="00AF69E5"/>
    <w:rsid w:val="00AF6B41"/>
    <w:rsid w:val="00AF7A1D"/>
    <w:rsid w:val="00AF7D5B"/>
    <w:rsid w:val="00AF7E66"/>
    <w:rsid w:val="00B00235"/>
    <w:rsid w:val="00B003AC"/>
    <w:rsid w:val="00B00557"/>
    <w:rsid w:val="00B00CC7"/>
    <w:rsid w:val="00B00D15"/>
    <w:rsid w:val="00B012C6"/>
    <w:rsid w:val="00B01AA4"/>
    <w:rsid w:val="00B022D7"/>
    <w:rsid w:val="00B02D62"/>
    <w:rsid w:val="00B0317A"/>
    <w:rsid w:val="00B032D5"/>
    <w:rsid w:val="00B03444"/>
    <w:rsid w:val="00B038CB"/>
    <w:rsid w:val="00B03BD0"/>
    <w:rsid w:val="00B0428C"/>
    <w:rsid w:val="00B049C2"/>
    <w:rsid w:val="00B04C2E"/>
    <w:rsid w:val="00B04E07"/>
    <w:rsid w:val="00B04F52"/>
    <w:rsid w:val="00B051E7"/>
    <w:rsid w:val="00B05E5D"/>
    <w:rsid w:val="00B05EEA"/>
    <w:rsid w:val="00B069DD"/>
    <w:rsid w:val="00B06ABB"/>
    <w:rsid w:val="00B06C59"/>
    <w:rsid w:val="00B07428"/>
    <w:rsid w:val="00B07A31"/>
    <w:rsid w:val="00B07CAC"/>
    <w:rsid w:val="00B10004"/>
    <w:rsid w:val="00B10041"/>
    <w:rsid w:val="00B10092"/>
    <w:rsid w:val="00B10910"/>
    <w:rsid w:val="00B10E83"/>
    <w:rsid w:val="00B10EF2"/>
    <w:rsid w:val="00B111F5"/>
    <w:rsid w:val="00B112C4"/>
    <w:rsid w:val="00B11645"/>
    <w:rsid w:val="00B11BF7"/>
    <w:rsid w:val="00B11ECC"/>
    <w:rsid w:val="00B1207B"/>
    <w:rsid w:val="00B12766"/>
    <w:rsid w:val="00B12953"/>
    <w:rsid w:val="00B129C7"/>
    <w:rsid w:val="00B12B8D"/>
    <w:rsid w:val="00B134A4"/>
    <w:rsid w:val="00B136DE"/>
    <w:rsid w:val="00B13B9E"/>
    <w:rsid w:val="00B14450"/>
    <w:rsid w:val="00B14557"/>
    <w:rsid w:val="00B147DA"/>
    <w:rsid w:val="00B149FC"/>
    <w:rsid w:val="00B14D97"/>
    <w:rsid w:val="00B15249"/>
    <w:rsid w:val="00B153EC"/>
    <w:rsid w:val="00B154BF"/>
    <w:rsid w:val="00B155B3"/>
    <w:rsid w:val="00B15AAE"/>
    <w:rsid w:val="00B16459"/>
    <w:rsid w:val="00B1650A"/>
    <w:rsid w:val="00B16BBF"/>
    <w:rsid w:val="00B17415"/>
    <w:rsid w:val="00B174B4"/>
    <w:rsid w:val="00B17640"/>
    <w:rsid w:val="00B17936"/>
    <w:rsid w:val="00B20798"/>
    <w:rsid w:val="00B207E0"/>
    <w:rsid w:val="00B20A33"/>
    <w:rsid w:val="00B20DDB"/>
    <w:rsid w:val="00B20F0D"/>
    <w:rsid w:val="00B20F36"/>
    <w:rsid w:val="00B219C5"/>
    <w:rsid w:val="00B21FFA"/>
    <w:rsid w:val="00B22EE4"/>
    <w:rsid w:val="00B23CF2"/>
    <w:rsid w:val="00B2418F"/>
    <w:rsid w:val="00B24605"/>
    <w:rsid w:val="00B24854"/>
    <w:rsid w:val="00B252AA"/>
    <w:rsid w:val="00B25376"/>
    <w:rsid w:val="00B254D5"/>
    <w:rsid w:val="00B25572"/>
    <w:rsid w:val="00B25849"/>
    <w:rsid w:val="00B25AA4"/>
    <w:rsid w:val="00B25D25"/>
    <w:rsid w:val="00B25D98"/>
    <w:rsid w:val="00B26ECC"/>
    <w:rsid w:val="00B26F84"/>
    <w:rsid w:val="00B27BC4"/>
    <w:rsid w:val="00B30082"/>
    <w:rsid w:val="00B302B1"/>
    <w:rsid w:val="00B3041C"/>
    <w:rsid w:val="00B30A86"/>
    <w:rsid w:val="00B31191"/>
    <w:rsid w:val="00B3126B"/>
    <w:rsid w:val="00B31345"/>
    <w:rsid w:val="00B316B0"/>
    <w:rsid w:val="00B31960"/>
    <w:rsid w:val="00B31AD8"/>
    <w:rsid w:val="00B32089"/>
    <w:rsid w:val="00B321EC"/>
    <w:rsid w:val="00B32F92"/>
    <w:rsid w:val="00B33574"/>
    <w:rsid w:val="00B33588"/>
    <w:rsid w:val="00B338C3"/>
    <w:rsid w:val="00B33D3F"/>
    <w:rsid w:val="00B33F3E"/>
    <w:rsid w:val="00B35166"/>
    <w:rsid w:val="00B358B7"/>
    <w:rsid w:val="00B35958"/>
    <w:rsid w:val="00B35FB4"/>
    <w:rsid w:val="00B361EA"/>
    <w:rsid w:val="00B36892"/>
    <w:rsid w:val="00B373E2"/>
    <w:rsid w:val="00B37489"/>
    <w:rsid w:val="00B3777C"/>
    <w:rsid w:val="00B37885"/>
    <w:rsid w:val="00B37AA4"/>
    <w:rsid w:val="00B37C8F"/>
    <w:rsid w:val="00B37DAB"/>
    <w:rsid w:val="00B37EE8"/>
    <w:rsid w:val="00B40035"/>
    <w:rsid w:val="00B40093"/>
    <w:rsid w:val="00B40AE3"/>
    <w:rsid w:val="00B40BE2"/>
    <w:rsid w:val="00B40D86"/>
    <w:rsid w:val="00B41161"/>
    <w:rsid w:val="00B41E47"/>
    <w:rsid w:val="00B42079"/>
    <w:rsid w:val="00B4255A"/>
    <w:rsid w:val="00B4262E"/>
    <w:rsid w:val="00B42E56"/>
    <w:rsid w:val="00B42E5C"/>
    <w:rsid w:val="00B42FA5"/>
    <w:rsid w:val="00B434E7"/>
    <w:rsid w:val="00B435E3"/>
    <w:rsid w:val="00B437CC"/>
    <w:rsid w:val="00B438A9"/>
    <w:rsid w:val="00B43A21"/>
    <w:rsid w:val="00B43B33"/>
    <w:rsid w:val="00B43BA7"/>
    <w:rsid w:val="00B43DAC"/>
    <w:rsid w:val="00B447FA"/>
    <w:rsid w:val="00B44A1A"/>
    <w:rsid w:val="00B44CE4"/>
    <w:rsid w:val="00B452CB"/>
    <w:rsid w:val="00B452D5"/>
    <w:rsid w:val="00B456D4"/>
    <w:rsid w:val="00B456DC"/>
    <w:rsid w:val="00B45AE3"/>
    <w:rsid w:val="00B45C74"/>
    <w:rsid w:val="00B46090"/>
    <w:rsid w:val="00B460A3"/>
    <w:rsid w:val="00B46498"/>
    <w:rsid w:val="00B46545"/>
    <w:rsid w:val="00B46C66"/>
    <w:rsid w:val="00B46CEC"/>
    <w:rsid w:val="00B47011"/>
    <w:rsid w:val="00B472C2"/>
    <w:rsid w:val="00B474DA"/>
    <w:rsid w:val="00B47A7D"/>
    <w:rsid w:val="00B47E44"/>
    <w:rsid w:val="00B5037D"/>
    <w:rsid w:val="00B50401"/>
    <w:rsid w:val="00B50A92"/>
    <w:rsid w:val="00B51559"/>
    <w:rsid w:val="00B515E0"/>
    <w:rsid w:val="00B51A1E"/>
    <w:rsid w:val="00B51AE3"/>
    <w:rsid w:val="00B51D2E"/>
    <w:rsid w:val="00B524D5"/>
    <w:rsid w:val="00B52D93"/>
    <w:rsid w:val="00B53019"/>
    <w:rsid w:val="00B537BC"/>
    <w:rsid w:val="00B538E1"/>
    <w:rsid w:val="00B54098"/>
    <w:rsid w:val="00B54109"/>
    <w:rsid w:val="00B547B9"/>
    <w:rsid w:val="00B54811"/>
    <w:rsid w:val="00B54952"/>
    <w:rsid w:val="00B549BE"/>
    <w:rsid w:val="00B54EE1"/>
    <w:rsid w:val="00B55003"/>
    <w:rsid w:val="00B554FD"/>
    <w:rsid w:val="00B5600C"/>
    <w:rsid w:val="00B56317"/>
    <w:rsid w:val="00B57075"/>
    <w:rsid w:val="00B57492"/>
    <w:rsid w:val="00B579DB"/>
    <w:rsid w:val="00B57CA2"/>
    <w:rsid w:val="00B60ED0"/>
    <w:rsid w:val="00B6238D"/>
    <w:rsid w:val="00B62927"/>
    <w:rsid w:val="00B62FDD"/>
    <w:rsid w:val="00B630F9"/>
    <w:rsid w:val="00B63159"/>
    <w:rsid w:val="00B63347"/>
    <w:rsid w:val="00B63652"/>
    <w:rsid w:val="00B636EE"/>
    <w:rsid w:val="00B63A6D"/>
    <w:rsid w:val="00B64072"/>
    <w:rsid w:val="00B6415E"/>
    <w:rsid w:val="00B64188"/>
    <w:rsid w:val="00B641D7"/>
    <w:rsid w:val="00B644F8"/>
    <w:rsid w:val="00B645E3"/>
    <w:rsid w:val="00B6476C"/>
    <w:rsid w:val="00B648DF"/>
    <w:rsid w:val="00B64A7C"/>
    <w:rsid w:val="00B654F7"/>
    <w:rsid w:val="00B655CB"/>
    <w:rsid w:val="00B658D4"/>
    <w:rsid w:val="00B65DC1"/>
    <w:rsid w:val="00B66AE4"/>
    <w:rsid w:val="00B6742B"/>
    <w:rsid w:val="00B67931"/>
    <w:rsid w:val="00B67D0F"/>
    <w:rsid w:val="00B70323"/>
    <w:rsid w:val="00B706F9"/>
    <w:rsid w:val="00B70781"/>
    <w:rsid w:val="00B708E6"/>
    <w:rsid w:val="00B70D84"/>
    <w:rsid w:val="00B70F67"/>
    <w:rsid w:val="00B71210"/>
    <w:rsid w:val="00B715BB"/>
    <w:rsid w:val="00B717C1"/>
    <w:rsid w:val="00B719C2"/>
    <w:rsid w:val="00B71ECD"/>
    <w:rsid w:val="00B71FBA"/>
    <w:rsid w:val="00B72183"/>
    <w:rsid w:val="00B7219D"/>
    <w:rsid w:val="00B72F01"/>
    <w:rsid w:val="00B7367E"/>
    <w:rsid w:val="00B73765"/>
    <w:rsid w:val="00B73AA3"/>
    <w:rsid w:val="00B73B15"/>
    <w:rsid w:val="00B73C1C"/>
    <w:rsid w:val="00B73D2E"/>
    <w:rsid w:val="00B73F49"/>
    <w:rsid w:val="00B74804"/>
    <w:rsid w:val="00B75148"/>
    <w:rsid w:val="00B75B38"/>
    <w:rsid w:val="00B761C0"/>
    <w:rsid w:val="00B76773"/>
    <w:rsid w:val="00B76A03"/>
    <w:rsid w:val="00B77BFA"/>
    <w:rsid w:val="00B77E96"/>
    <w:rsid w:val="00B77F94"/>
    <w:rsid w:val="00B80555"/>
    <w:rsid w:val="00B80FD1"/>
    <w:rsid w:val="00B8133A"/>
    <w:rsid w:val="00B814F6"/>
    <w:rsid w:val="00B81615"/>
    <w:rsid w:val="00B8182A"/>
    <w:rsid w:val="00B81E29"/>
    <w:rsid w:val="00B821DD"/>
    <w:rsid w:val="00B82326"/>
    <w:rsid w:val="00B8244B"/>
    <w:rsid w:val="00B82616"/>
    <w:rsid w:val="00B82941"/>
    <w:rsid w:val="00B82E1B"/>
    <w:rsid w:val="00B82EDF"/>
    <w:rsid w:val="00B83BD1"/>
    <w:rsid w:val="00B83F1D"/>
    <w:rsid w:val="00B83F9B"/>
    <w:rsid w:val="00B8482F"/>
    <w:rsid w:val="00B849E1"/>
    <w:rsid w:val="00B84ABB"/>
    <w:rsid w:val="00B84C78"/>
    <w:rsid w:val="00B84C84"/>
    <w:rsid w:val="00B85708"/>
    <w:rsid w:val="00B859F4"/>
    <w:rsid w:val="00B85B2E"/>
    <w:rsid w:val="00B8661E"/>
    <w:rsid w:val="00B86963"/>
    <w:rsid w:val="00B86EB5"/>
    <w:rsid w:val="00B8732B"/>
    <w:rsid w:val="00B87852"/>
    <w:rsid w:val="00B87C2F"/>
    <w:rsid w:val="00B90442"/>
    <w:rsid w:val="00B9047E"/>
    <w:rsid w:val="00B90744"/>
    <w:rsid w:val="00B9093A"/>
    <w:rsid w:val="00B90B97"/>
    <w:rsid w:val="00B91002"/>
    <w:rsid w:val="00B91086"/>
    <w:rsid w:val="00B9126D"/>
    <w:rsid w:val="00B9140D"/>
    <w:rsid w:val="00B91553"/>
    <w:rsid w:val="00B92977"/>
    <w:rsid w:val="00B92C5B"/>
    <w:rsid w:val="00B92E5C"/>
    <w:rsid w:val="00B9304F"/>
    <w:rsid w:val="00B9309B"/>
    <w:rsid w:val="00B931CC"/>
    <w:rsid w:val="00B932F9"/>
    <w:rsid w:val="00B93E58"/>
    <w:rsid w:val="00B93E8E"/>
    <w:rsid w:val="00B9400A"/>
    <w:rsid w:val="00B9426C"/>
    <w:rsid w:val="00B94DAE"/>
    <w:rsid w:val="00B95554"/>
    <w:rsid w:val="00B95A6A"/>
    <w:rsid w:val="00B96002"/>
    <w:rsid w:val="00B9609B"/>
    <w:rsid w:val="00B96300"/>
    <w:rsid w:val="00B96E2E"/>
    <w:rsid w:val="00B974F0"/>
    <w:rsid w:val="00B97A74"/>
    <w:rsid w:val="00B97A9C"/>
    <w:rsid w:val="00B97CE6"/>
    <w:rsid w:val="00B97D2F"/>
    <w:rsid w:val="00B97D9B"/>
    <w:rsid w:val="00BA054F"/>
    <w:rsid w:val="00BA0A3F"/>
    <w:rsid w:val="00BA0C7B"/>
    <w:rsid w:val="00BA0F49"/>
    <w:rsid w:val="00BA1D43"/>
    <w:rsid w:val="00BA1F21"/>
    <w:rsid w:val="00BA21B7"/>
    <w:rsid w:val="00BA2700"/>
    <w:rsid w:val="00BA2B46"/>
    <w:rsid w:val="00BA3645"/>
    <w:rsid w:val="00BA36F2"/>
    <w:rsid w:val="00BA3C1B"/>
    <w:rsid w:val="00BA3E25"/>
    <w:rsid w:val="00BA3F7C"/>
    <w:rsid w:val="00BA4198"/>
    <w:rsid w:val="00BA4D5B"/>
    <w:rsid w:val="00BA591D"/>
    <w:rsid w:val="00BA5A75"/>
    <w:rsid w:val="00BA7606"/>
    <w:rsid w:val="00BA77E5"/>
    <w:rsid w:val="00BA78DC"/>
    <w:rsid w:val="00BA7D5E"/>
    <w:rsid w:val="00BA7E67"/>
    <w:rsid w:val="00BA7EE5"/>
    <w:rsid w:val="00BA7F94"/>
    <w:rsid w:val="00BB00BB"/>
    <w:rsid w:val="00BB0339"/>
    <w:rsid w:val="00BB0647"/>
    <w:rsid w:val="00BB0655"/>
    <w:rsid w:val="00BB08BE"/>
    <w:rsid w:val="00BB0DBE"/>
    <w:rsid w:val="00BB0E58"/>
    <w:rsid w:val="00BB0EDD"/>
    <w:rsid w:val="00BB0F0B"/>
    <w:rsid w:val="00BB0FFA"/>
    <w:rsid w:val="00BB10B4"/>
    <w:rsid w:val="00BB1211"/>
    <w:rsid w:val="00BB1227"/>
    <w:rsid w:val="00BB141F"/>
    <w:rsid w:val="00BB1C1F"/>
    <w:rsid w:val="00BB2238"/>
    <w:rsid w:val="00BB2593"/>
    <w:rsid w:val="00BB2616"/>
    <w:rsid w:val="00BB2944"/>
    <w:rsid w:val="00BB297E"/>
    <w:rsid w:val="00BB2C5D"/>
    <w:rsid w:val="00BB343D"/>
    <w:rsid w:val="00BB3487"/>
    <w:rsid w:val="00BB439C"/>
    <w:rsid w:val="00BB472C"/>
    <w:rsid w:val="00BB48F9"/>
    <w:rsid w:val="00BB49F1"/>
    <w:rsid w:val="00BB534F"/>
    <w:rsid w:val="00BB56C7"/>
    <w:rsid w:val="00BB58D1"/>
    <w:rsid w:val="00BB5D4C"/>
    <w:rsid w:val="00BB62D8"/>
    <w:rsid w:val="00BB6643"/>
    <w:rsid w:val="00BB66AB"/>
    <w:rsid w:val="00BB736C"/>
    <w:rsid w:val="00BB7505"/>
    <w:rsid w:val="00BB76FA"/>
    <w:rsid w:val="00BB79D0"/>
    <w:rsid w:val="00BB7A8F"/>
    <w:rsid w:val="00BB7ADC"/>
    <w:rsid w:val="00BB7D43"/>
    <w:rsid w:val="00BC09A0"/>
    <w:rsid w:val="00BC149C"/>
    <w:rsid w:val="00BC1D9D"/>
    <w:rsid w:val="00BC2147"/>
    <w:rsid w:val="00BC27D0"/>
    <w:rsid w:val="00BC2E4A"/>
    <w:rsid w:val="00BC3452"/>
    <w:rsid w:val="00BC37E0"/>
    <w:rsid w:val="00BC37F5"/>
    <w:rsid w:val="00BC3D49"/>
    <w:rsid w:val="00BC4330"/>
    <w:rsid w:val="00BC43F4"/>
    <w:rsid w:val="00BC4ACD"/>
    <w:rsid w:val="00BC527A"/>
    <w:rsid w:val="00BC5619"/>
    <w:rsid w:val="00BC57E9"/>
    <w:rsid w:val="00BC57EC"/>
    <w:rsid w:val="00BC5FFD"/>
    <w:rsid w:val="00BC63A6"/>
    <w:rsid w:val="00BC64B9"/>
    <w:rsid w:val="00BC66CC"/>
    <w:rsid w:val="00BC67B0"/>
    <w:rsid w:val="00BC68F0"/>
    <w:rsid w:val="00BC6A9F"/>
    <w:rsid w:val="00BC7044"/>
    <w:rsid w:val="00BC778C"/>
    <w:rsid w:val="00BC7835"/>
    <w:rsid w:val="00BC7C91"/>
    <w:rsid w:val="00BC7D47"/>
    <w:rsid w:val="00BD0178"/>
    <w:rsid w:val="00BD01A6"/>
    <w:rsid w:val="00BD22C8"/>
    <w:rsid w:val="00BD29D5"/>
    <w:rsid w:val="00BD364E"/>
    <w:rsid w:val="00BD3D2A"/>
    <w:rsid w:val="00BD3E03"/>
    <w:rsid w:val="00BD3FCF"/>
    <w:rsid w:val="00BD4A9C"/>
    <w:rsid w:val="00BD4C7C"/>
    <w:rsid w:val="00BD533C"/>
    <w:rsid w:val="00BD58F0"/>
    <w:rsid w:val="00BD60DE"/>
    <w:rsid w:val="00BE0355"/>
    <w:rsid w:val="00BE06AC"/>
    <w:rsid w:val="00BE073A"/>
    <w:rsid w:val="00BE08D9"/>
    <w:rsid w:val="00BE0B81"/>
    <w:rsid w:val="00BE0EA9"/>
    <w:rsid w:val="00BE1426"/>
    <w:rsid w:val="00BE17F0"/>
    <w:rsid w:val="00BE189C"/>
    <w:rsid w:val="00BE21E2"/>
    <w:rsid w:val="00BE245C"/>
    <w:rsid w:val="00BE25AF"/>
    <w:rsid w:val="00BE290C"/>
    <w:rsid w:val="00BE3643"/>
    <w:rsid w:val="00BE3F86"/>
    <w:rsid w:val="00BE450E"/>
    <w:rsid w:val="00BE4575"/>
    <w:rsid w:val="00BE4733"/>
    <w:rsid w:val="00BE4C37"/>
    <w:rsid w:val="00BE4E77"/>
    <w:rsid w:val="00BE5F57"/>
    <w:rsid w:val="00BE5FAA"/>
    <w:rsid w:val="00BE5FC1"/>
    <w:rsid w:val="00BE601B"/>
    <w:rsid w:val="00BE6246"/>
    <w:rsid w:val="00BE630C"/>
    <w:rsid w:val="00BE658C"/>
    <w:rsid w:val="00BE6A99"/>
    <w:rsid w:val="00BE6CA1"/>
    <w:rsid w:val="00BE6EC5"/>
    <w:rsid w:val="00BE6EE3"/>
    <w:rsid w:val="00BE79FA"/>
    <w:rsid w:val="00BE7A3D"/>
    <w:rsid w:val="00BF03F9"/>
    <w:rsid w:val="00BF04CC"/>
    <w:rsid w:val="00BF069C"/>
    <w:rsid w:val="00BF0BBE"/>
    <w:rsid w:val="00BF0CD8"/>
    <w:rsid w:val="00BF0FAF"/>
    <w:rsid w:val="00BF169B"/>
    <w:rsid w:val="00BF1A31"/>
    <w:rsid w:val="00BF1CFE"/>
    <w:rsid w:val="00BF2206"/>
    <w:rsid w:val="00BF2447"/>
    <w:rsid w:val="00BF24B5"/>
    <w:rsid w:val="00BF258C"/>
    <w:rsid w:val="00BF3201"/>
    <w:rsid w:val="00BF40C2"/>
    <w:rsid w:val="00BF4205"/>
    <w:rsid w:val="00BF4DF4"/>
    <w:rsid w:val="00BF57AB"/>
    <w:rsid w:val="00BF5A55"/>
    <w:rsid w:val="00BF5A8F"/>
    <w:rsid w:val="00BF5CA5"/>
    <w:rsid w:val="00BF5D70"/>
    <w:rsid w:val="00BF5EFE"/>
    <w:rsid w:val="00BF620C"/>
    <w:rsid w:val="00BF6835"/>
    <w:rsid w:val="00BF6DF1"/>
    <w:rsid w:val="00BF71F8"/>
    <w:rsid w:val="00BF7415"/>
    <w:rsid w:val="00BF7584"/>
    <w:rsid w:val="00BF75A3"/>
    <w:rsid w:val="00BF763E"/>
    <w:rsid w:val="00BF78FD"/>
    <w:rsid w:val="00BF7BF3"/>
    <w:rsid w:val="00BF7C58"/>
    <w:rsid w:val="00C0013F"/>
    <w:rsid w:val="00C00325"/>
    <w:rsid w:val="00C006ED"/>
    <w:rsid w:val="00C00A2F"/>
    <w:rsid w:val="00C00BB1"/>
    <w:rsid w:val="00C00BC9"/>
    <w:rsid w:val="00C01684"/>
    <w:rsid w:val="00C01871"/>
    <w:rsid w:val="00C018B7"/>
    <w:rsid w:val="00C01AC4"/>
    <w:rsid w:val="00C01FCD"/>
    <w:rsid w:val="00C02195"/>
    <w:rsid w:val="00C023B1"/>
    <w:rsid w:val="00C023D9"/>
    <w:rsid w:val="00C02477"/>
    <w:rsid w:val="00C0254E"/>
    <w:rsid w:val="00C0264D"/>
    <w:rsid w:val="00C02CFE"/>
    <w:rsid w:val="00C02D16"/>
    <w:rsid w:val="00C03851"/>
    <w:rsid w:val="00C038D8"/>
    <w:rsid w:val="00C038E0"/>
    <w:rsid w:val="00C03AEB"/>
    <w:rsid w:val="00C03B8E"/>
    <w:rsid w:val="00C04726"/>
    <w:rsid w:val="00C04FFF"/>
    <w:rsid w:val="00C05266"/>
    <w:rsid w:val="00C053A0"/>
    <w:rsid w:val="00C05591"/>
    <w:rsid w:val="00C05731"/>
    <w:rsid w:val="00C05B2A"/>
    <w:rsid w:val="00C05E21"/>
    <w:rsid w:val="00C062AC"/>
    <w:rsid w:val="00C063BB"/>
    <w:rsid w:val="00C0671B"/>
    <w:rsid w:val="00C06B16"/>
    <w:rsid w:val="00C06C1F"/>
    <w:rsid w:val="00C076B5"/>
    <w:rsid w:val="00C07ACF"/>
    <w:rsid w:val="00C07C72"/>
    <w:rsid w:val="00C10D9C"/>
    <w:rsid w:val="00C1155D"/>
    <w:rsid w:val="00C11593"/>
    <w:rsid w:val="00C116F8"/>
    <w:rsid w:val="00C11D68"/>
    <w:rsid w:val="00C11F08"/>
    <w:rsid w:val="00C12057"/>
    <w:rsid w:val="00C121B0"/>
    <w:rsid w:val="00C1260B"/>
    <w:rsid w:val="00C12979"/>
    <w:rsid w:val="00C12CF3"/>
    <w:rsid w:val="00C1300F"/>
    <w:rsid w:val="00C1308E"/>
    <w:rsid w:val="00C13136"/>
    <w:rsid w:val="00C132DF"/>
    <w:rsid w:val="00C13363"/>
    <w:rsid w:val="00C1355F"/>
    <w:rsid w:val="00C137FA"/>
    <w:rsid w:val="00C145FA"/>
    <w:rsid w:val="00C14DA7"/>
    <w:rsid w:val="00C158EA"/>
    <w:rsid w:val="00C15BB1"/>
    <w:rsid w:val="00C15DC4"/>
    <w:rsid w:val="00C168D2"/>
    <w:rsid w:val="00C16C32"/>
    <w:rsid w:val="00C16DF7"/>
    <w:rsid w:val="00C16FCB"/>
    <w:rsid w:val="00C17371"/>
    <w:rsid w:val="00C17E56"/>
    <w:rsid w:val="00C20821"/>
    <w:rsid w:val="00C21704"/>
    <w:rsid w:val="00C218A2"/>
    <w:rsid w:val="00C21F6E"/>
    <w:rsid w:val="00C22042"/>
    <w:rsid w:val="00C2213F"/>
    <w:rsid w:val="00C227BB"/>
    <w:rsid w:val="00C229F9"/>
    <w:rsid w:val="00C230EC"/>
    <w:rsid w:val="00C23496"/>
    <w:rsid w:val="00C23CE7"/>
    <w:rsid w:val="00C24267"/>
    <w:rsid w:val="00C242A2"/>
    <w:rsid w:val="00C242B2"/>
    <w:rsid w:val="00C2433B"/>
    <w:rsid w:val="00C245CA"/>
    <w:rsid w:val="00C24645"/>
    <w:rsid w:val="00C246ED"/>
    <w:rsid w:val="00C24B48"/>
    <w:rsid w:val="00C24D7A"/>
    <w:rsid w:val="00C2503B"/>
    <w:rsid w:val="00C2514A"/>
    <w:rsid w:val="00C25225"/>
    <w:rsid w:val="00C264FA"/>
    <w:rsid w:val="00C26540"/>
    <w:rsid w:val="00C2686F"/>
    <w:rsid w:val="00C26A50"/>
    <w:rsid w:val="00C26DCA"/>
    <w:rsid w:val="00C26E5E"/>
    <w:rsid w:val="00C2719E"/>
    <w:rsid w:val="00C2740C"/>
    <w:rsid w:val="00C279F5"/>
    <w:rsid w:val="00C30103"/>
    <w:rsid w:val="00C303CB"/>
    <w:rsid w:val="00C30646"/>
    <w:rsid w:val="00C310CB"/>
    <w:rsid w:val="00C3145C"/>
    <w:rsid w:val="00C31DDD"/>
    <w:rsid w:val="00C31DE4"/>
    <w:rsid w:val="00C323C3"/>
    <w:rsid w:val="00C3241A"/>
    <w:rsid w:val="00C327A4"/>
    <w:rsid w:val="00C32AA3"/>
    <w:rsid w:val="00C32FBA"/>
    <w:rsid w:val="00C330AA"/>
    <w:rsid w:val="00C330DE"/>
    <w:rsid w:val="00C33325"/>
    <w:rsid w:val="00C33461"/>
    <w:rsid w:val="00C33847"/>
    <w:rsid w:val="00C3437E"/>
    <w:rsid w:val="00C347A0"/>
    <w:rsid w:val="00C347A7"/>
    <w:rsid w:val="00C3483A"/>
    <w:rsid w:val="00C34C19"/>
    <w:rsid w:val="00C35442"/>
    <w:rsid w:val="00C35646"/>
    <w:rsid w:val="00C36040"/>
    <w:rsid w:val="00C36F63"/>
    <w:rsid w:val="00C378A2"/>
    <w:rsid w:val="00C37E63"/>
    <w:rsid w:val="00C402E4"/>
    <w:rsid w:val="00C40300"/>
    <w:rsid w:val="00C40792"/>
    <w:rsid w:val="00C4083A"/>
    <w:rsid w:val="00C40A8F"/>
    <w:rsid w:val="00C40C10"/>
    <w:rsid w:val="00C40D44"/>
    <w:rsid w:val="00C40D83"/>
    <w:rsid w:val="00C41133"/>
    <w:rsid w:val="00C41470"/>
    <w:rsid w:val="00C41998"/>
    <w:rsid w:val="00C41C33"/>
    <w:rsid w:val="00C41E1F"/>
    <w:rsid w:val="00C42DC5"/>
    <w:rsid w:val="00C43071"/>
    <w:rsid w:val="00C4368D"/>
    <w:rsid w:val="00C436A3"/>
    <w:rsid w:val="00C43D16"/>
    <w:rsid w:val="00C441D6"/>
    <w:rsid w:val="00C44B45"/>
    <w:rsid w:val="00C44D34"/>
    <w:rsid w:val="00C44E8E"/>
    <w:rsid w:val="00C44F39"/>
    <w:rsid w:val="00C44FA1"/>
    <w:rsid w:val="00C44FCD"/>
    <w:rsid w:val="00C458F3"/>
    <w:rsid w:val="00C45FB3"/>
    <w:rsid w:val="00C460F6"/>
    <w:rsid w:val="00C464DC"/>
    <w:rsid w:val="00C46760"/>
    <w:rsid w:val="00C46966"/>
    <w:rsid w:val="00C47656"/>
    <w:rsid w:val="00C47A1B"/>
    <w:rsid w:val="00C47AD0"/>
    <w:rsid w:val="00C47B61"/>
    <w:rsid w:val="00C50322"/>
    <w:rsid w:val="00C50335"/>
    <w:rsid w:val="00C5092A"/>
    <w:rsid w:val="00C50970"/>
    <w:rsid w:val="00C50CDC"/>
    <w:rsid w:val="00C5196F"/>
    <w:rsid w:val="00C52019"/>
    <w:rsid w:val="00C526FE"/>
    <w:rsid w:val="00C5289A"/>
    <w:rsid w:val="00C52A94"/>
    <w:rsid w:val="00C52FA0"/>
    <w:rsid w:val="00C532AE"/>
    <w:rsid w:val="00C53627"/>
    <w:rsid w:val="00C54165"/>
    <w:rsid w:val="00C54417"/>
    <w:rsid w:val="00C5477F"/>
    <w:rsid w:val="00C551D1"/>
    <w:rsid w:val="00C552BC"/>
    <w:rsid w:val="00C55933"/>
    <w:rsid w:val="00C559C2"/>
    <w:rsid w:val="00C55A59"/>
    <w:rsid w:val="00C55AC3"/>
    <w:rsid w:val="00C55C8D"/>
    <w:rsid w:val="00C56402"/>
    <w:rsid w:val="00C56F8F"/>
    <w:rsid w:val="00C570A0"/>
    <w:rsid w:val="00C57260"/>
    <w:rsid w:val="00C57445"/>
    <w:rsid w:val="00C5778F"/>
    <w:rsid w:val="00C57AD8"/>
    <w:rsid w:val="00C57BF1"/>
    <w:rsid w:val="00C607DA"/>
    <w:rsid w:val="00C60E5C"/>
    <w:rsid w:val="00C60E93"/>
    <w:rsid w:val="00C6110F"/>
    <w:rsid w:val="00C61138"/>
    <w:rsid w:val="00C61229"/>
    <w:rsid w:val="00C6122F"/>
    <w:rsid w:val="00C612D2"/>
    <w:rsid w:val="00C61BA1"/>
    <w:rsid w:val="00C62A71"/>
    <w:rsid w:val="00C62C22"/>
    <w:rsid w:val="00C62E6E"/>
    <w:rsid w:val="00C62FE3"/>
    <w:rsid w:val="00C632E5"/>
    <w:rsid w:val="00C63714"/>
    <w:rsid w:val="00C63835"/>
    <w:rsid w:val="00C6389B"/>
    <w:rsid w:val="00C63A72"/>
    <w:rsid w:val="00C63FA3"/>
    <w:rsid w:val="00C6414E"/>
    <w:rsid w:val="00C641C3"/>
    <w:rsid w:val="00C64383"/>
    <w:rsid w:val="00C6453E"/>
    <w:rsid w:val="00C64765"/>
    <w:rsid w:val="00C64B6F"/>
    <w:rsid w:val="00C65388"/>
    <w:rsid w:val="00C6547A"/>
    <w:rsid w:val="00C6552A"/>
    <w:rsid w:val="00C65752"/>
    <w:rsid w:val="00C65968"/>
    <w:rsid w:val="00C66977"/>
    <w:rsid w:val="00C66DA1"/>
    <w:rsid w:val="00C66FC7"/>
    <w:rsid w:val="00C675DC"/>
    <w:rsid w:val="00C677FA"/>
    <w:rsid w:val="00C678CB"/>
    <w:rsid w:val="00C67B49"/>
    <w:rsid w:val="00C67F0A"/>
    <w:rsid w:val="00C70562"/>
    <w:rsid w:val="00C706E3"/>
    <w:rsid w:val="00C70815"/>
    <w:rsid w:val="00C70A7E"/>
    <w:rsid w:val="00C70C88"/>
    <w:rsid w:val="00C70EF7"/>
    <w:rsid w:val="00C72522"/>
    <w:rsid w:val="00C72799"/>
    <w:rsid w:val="00C7295D"/>
    <w:rsid w:val="00C72A64"/>
    <w:rsid w:val="00C737D2"/>
    <w:rsid w:val="00C7384C"/>
    <w:rsid w:val="00C738B1"/>
    <w:rsid w:val="00C73AE2"/>
    <w:rsid w:val="00C73B52"/>
    <w:rsid w:val="00C73EEB"/>
    <w:rsid w:val="00C74560"/>
    <w:rsid w:val="00C74646"/>
    <w:rsid w:val="00C74D06"/>
    <w:rsid w:val="00C74E25"/>
    <w:rsid w:val="00C75108"/>
    <w:rsid w:val="00C7519E"/>
    <w:rsid w:val="00C751DC"/>
    <w:rsid w:val="00C75501"/>
    <w:rsid w:val="00C75E3A"/>
    <w:rsid w:val="00C764E2"/>
    <w:rsid w:val="00C768F4"/>
    <w:rsid w:val="00C76B9F"/>
    <w:rsid w:val="00C76BCB"/>
    <w:rsid w:val="00C76D35"/>
    <w:rsid w:val="00C7741B"/>
    <w:rsid w:val="00C776A2"/>
    <w:rsid w:val="00C77E6E"/>
    <w:rsid w:val="00C80707"/>
    <w:rsid w:val="00C80AB2"/>
    <w:rsid w:val="00C80C4E"/>
    <w:rsid w:val="00C80DE5"/>
    <w:rsid w:val="00C810AD"/>
    <w:rsid w:val="00C8167D"/>
    <w:rsid w:val="00C81D1E"/>
    <w:rsid w:val="00C824CA"/>
    <w:rsid w:val="00C826C7"/>
    <w:rsid w:val="00C82849"/>
    <w:rsid w:val="00C82A52"/>
    <w:rsid w:val="00C82C21"/>
    <w:rsid w:val="00C82C4D"/>
    <w:rsid w:val="00C82CC1"/>
    <w:rsid w:val="00C82FFC"/>
    <w:rsid w:val="00C83005"/>
    <w:rsid w:val="00C830D8"/>
    <w:rsid w:val="00C8319E"/>
    <w:rsid w:val="00C834EF"/>
    <w:rsid w:val="00C83B49"/>
    <w:rsid w:val="00C83DC5"/>
    <w:rsid w:val="00C841A3"/>
    <w:rsid w:val="00C845B4"/>
    <w:rsid w:val="00C84C12"/>
    <w:rsid w:val="00C84D25"/>
    <w:rsid w:val="00C84DA4"/>
    <w:rsid w:val="00C85104"/>
    <w:rsid w:val="00C855C0"/>
    <w:rsid w:val="00C85801"/>
    <w:rsid w:val="00C85B9D"/>
    <w:rsid w:val="00C85D7D"/>
    <w:rsid w:val="00C86169"/>
    <w:rsid w:val="00C86A4F"/>
    <w:rsid w:val="00C8706E"/>
    <w:rsid w:val="00C875F1"/>
    <w:rsid w:val="00C877D8"/>
    <w:rsid w:val="00C87836"/>
    <w:rsid w:val="00C8793C"/>
    <w:rsid w:val="00C87F82"/>
    <w:rsid w:val="00C906F9"/>
    <w:rsid w:val="00C909E9"/>
    <w:rsid w:val="00C90EC7"/>
    <w:rsid w:val="00C91293"/>
    <w:rsid w:val="00C91566"/>
    <w:rsid w:val="00C92017"/>
    <w:rsid w:val="00C92120"/>
    <w:rsid w:val="00C9255B"/>
    <w:rsid w:val="00C927AF"/>
    <w:rsid w:val="00C927BA"/>
    <w:rsid w:val="00C935AC"/>
    <w:rsid w:val="00C93637"/>
    <w:rsid w:val="00C93A1C"/>
    <w:rsid w:val="00C9407A"/>
    <w:rsid w:val="00C944A3"/>
    <w:rsid w:val="00C9480A"/>
    <w:rsid w:val="00C949EA"/>
    <w:rsid w:val="00C94BAE"/>
    <w:rsid w:val="00C94F01"/>
    <w:rsid w:val="00C95165"/>
    <w:rsid w:val="00C95574"/>
    <w:rsid w:val="00C95836"/>
    <w:rsid w:val="00C95F6D"/>
    <w:rsid w:val="00C96152"/>
    <w:rsid w:val="00C96232"/>
    <w:rsid w:val="00C963A9"/>
    <w:rsid w:val="00C96423"/>
    <w:rsid w:val="00C96C01"/>
    <w:rsid w:val="00C96E14"/>
    <w:rsid w:val="00C96EAA"/>
    <w:rsid w:val="00C96FE9"/>
    <w:rsid w:val="00C976E2"/>
    <w:rsid w:val="00CA0791"/>
    <w:rsid w:val="00CA199A"/>
    <w:rsid w:val="00CA1BDD"/>
    <w:rsid w:val="00CA233B"/>
    <w:rsid w:val="00CA2613"/>
    <w:rsid w:val="00CA2A4C"/>
    <w:rsid w:val="00CA2FBF"/>
    <w:rsid w:val="00CA3ECC"/>
    <w:rsid w:val="00CA42B2"/>
    <w:rsid w:val="00CA5322"/>
    <w:rsid w:val="00CA5387"/>
    <w:rsid w:val="00CA5FAB"/>
    <w:rsid w:val="00CA637E"/>
    <w:rsid w:val="00CA685C"/>
    <w:rsid w:val="00CA6B60"/>
    <w:rsid w:val="00CA78F6"/>
    <w:rsid w:val="00CA7E0A"/>
    <w:rsid w:val="00CB00EB"/>
    <w:rsid w:val="00CB035F"/>
    <w:rsid w:val="00CB03B6"/>
    <w:rsid w:val="00CB0891"/>
    <w:rsid w:val="00CB0B9A"/>
    <w:rsid w:val="00CB0F8F"/>
    <w:rsid w:val="00CB1443"/>
    <w:rsid w:val="00CB149D"/>
    <w:rsid w:val="00CB18BB"/>
    <w:rsid w:val="00CB1A47"/>
    <w:rsid w:val="00CB1A5D"/>
    <w:rsid w:val="00CB1AF2"/>
    <w:rsid w:val="00CB22F7"/>
    <w:rsid w:val="00CB2655"/>
    <w:rsid w:val="00CB291E"/>
    <w:rsid w:val="00CB2985"/>
    <w:rsid w:val="00CB2F21"/>
    <w:rsid w:val="00CB30E7"/>
    <w:rsid w:val="00CB38AC"/>
    <w:rsid w:val="00CB3906"/>
    <w:rsid w:val="00CB3D16"/>
    <w:rsid w:val="00CB4088"/>
    <w:rsid w:val="00CB49C1"/>
    <w:rsid w:val="00CB4C83"/>
    <w:rsid w:val="00CB4CF3"/>
    <w:rsid w:val="00CB55DD"/>
    <w:rsid w:val="00CB5896"/>
    <w:rsid w:val="00CB5977"/>
    <w:rsid w:val="00CB5A97"/>
    <w:rsid w:val="00CB6021"/>
    <w:rsid w:val="00CB642A"/>
    <w:rsid w:val="00CB69D7"/>
    <w:rsid w:val="00CB6D23"/>
    <w:rsid w:val="00CB716E"/>
    <w:rsid w:val="00CB7535"/>
    <w:rsid w:val="00CB77B3"/>
    <w:rsid w:val="00CB78F7"/>
    <w:rsid w:val="00CB7A00"/>
    <w:rsid w:val="00CB7B12"/>
    <w:rsid w:val="00CC030E"/>
    <w:rsid w:val="00CC0581"/>
    <w:rsid w:val="00CC06EA"/>
    <w:rsid w:val="00CC0776"/>
    <w:rsid w:val="00CC0E7B"/>
    <w:rsid w:val="00CC113B"/>
    <w:rsid w:val="00CC12DA"/>
    <w:rsid w:val="00CC12DB"/>
    <w:rsid w:val="00CC1330"/>
    <w:rsid w:val="00CC146E"/>
    <w:rsid w:val="00CC1995"/>
    <w:rsid w:val="00CC1A4E"/>
    <w:rsid w:val="00CC1CBF"/>
    <w:rsid w:val="00CC1E97"/>
    <w:rsid w:val="00CC2416"/>
    <w:rsid w:val="00CC274D"/>
    <w:rsid w:val="00CC2892"/>
    <w:rsid w:val="00CC38B4"/>
    <w:rsid w:val="00CC4407"/>
    <w:rsid w:val="00CC4696"/>
    <w:rsid w:val="00CC472E"/>
    <w:rsid w:val="00CC487F"/>
    <w:rsid w:val="00CC4E58"/>
    <w:rsid w:val="00CC505F"/>
    <w:rsid w:val="00CC51FC"/>
    <w:rsid w:val="00CC57D0"/>
    <w:rsid w:val="00CC6587"/>
    <w:rsid w:val="00CC672B"/>
    <w:rsid w:val="00CC6976"/>
    <w:rsid w:val="00CC6A0F"/>
    <w:rsid w:val="00CC6BA9"/>
    <w:rsid w:val="00CC7023"/>
    <w:rsid w:val="00CC718A"/>
    <w:rsid w:val="00CC7A51"/>
    <w:rsid w:val="00CC7FE6"/>
    <w:rsid w:val="00CD0179"/>
    <w:rsid w:val="00CD0284"/>
    <w:rsid w:val="00CD06E3"/>
    <w:rsid w:val="00CD0F91"/>
    <w:rsid w:val="00CD1196"/>
    <w:rsid w:val="00CD157A"/>
    <w:rsid w:val="00CD1C9F"/>
    <w:rsid w:val="00CD22CF"/>
    <w:rsid w:val="00CD237F"/>
    <w:rsid w:val="00CD2532"/>
    <w:rsid w:val="00CD29B8"/>
    <w:rsid w:val="00CD2A37"/>
    <w:rsid w:val="00CD2EB7"/>
    <w:rsid w:val="00CD35B5"/>
    <w:rsid w:val="00CD3E6E"/>
    <w:rsid w:val="00CD3F8E"/>
    <w:rsid w:val="00CD4126"/>
    <w:rsid w:val="00CD420D"/>
    <w:rsid w:val="00CD4B6A"/>
    <w:rsid w:val="00CD4BBF"/>
    <w:rsid w:val="00CD4D38"/>
    <w:rsid w:val="00CD5374"/>
    <w:rsid w:val="00CD5823"/>
    <w:rsid w:val="00CD6197"/>
    <w:rsid w:val="00CD6546"/>
    <w:rsid w:val="00CD68A8"/>
    <w:rsid w:val="00CD6C7F"/>
    <w:rsid w:val="00CD7362"/>
    <w:rsid w:val="00CD7583"/>
    <w:rsid w:val="00CD7612"/>
    <w:rsid w:val="00CD7784"/>
    <w:rsid w:val="00CD7961"/>
    <w:rsid w:val="00CD7D06"/>
    <w:rsid w:val="00CD7E1D"/>
    <w:rsid w:val="00CE0106"/>
    <w:rsid w:val="00CE0270"/>
    <w:rsid w:val="00CE0574"/>
    <w:rsid w:val="00CE0DDD"/>
    <w:rsid w:val="00CE0E17"/>
    <w:rsid w:val="00CE177D"/>
    <w:rsid w:val="00CE17C1"/>
    <w:rsid w:val="00CE1861"/>
    <w:rsid w:val="00CE19D5"/>
    <w:rsid w:val="00CE1D6C"/>
    <w:rsid w:val="00CE1E84"/>
    <w:rsid w:val="00CE2CC2"/>
    <w:rsid w:val="00CE2D83"/>
    <w:rsid w:val="00CE2DDB"/>
    <w:rsid w:val="00CE3123"/>
    <w:rsid w:val="00CE315B"/>
    <w:rsid w:val="00CE3248"/>
    <w:rsid w:val="00CE343A"/>
    <w:rsid w:val="00CE358E"/>
    <w:rsid w:val="00CE3B6A"/>
    <w:rsid w:val="00CE3B6F"/>
    <w:rsid w:val="00CE3C95"/>
    <w:rsid w:val="00CE41D4"/>
    <w:rsid w:val="00CE45F9"/>
    <w:rsid w:val="00CE4783"/>
    <w:rsid w:val="00CE48A4"/>
    <w:rsid w:val="00CE48CB"/>
    <w:rsid w:val="00CE4BCA"/>
    <w:rsid w:val="00CE4C28"/>
    <w:rsid w:val="00CE51D7"/>
    <w:rsid w:val="00CE5532"/>
    <w:rsid w:val="00CE58F3"/>
    <w:rsid w:val="00CE5A32"/>
    <w:rsid w:val="00CE60B0"/>
    <w:rsid w:val="00CE66B7"/>
    <w:rsid w:val="00CE6716"/>
    <w:rsid w:val="00CE6825"/>
    <w:rsid w:val="00CE6B25"/>
    <w:rsid w:val="00CE6B2B"/>
    <w:rsid w:val="00CE6F76"/>
    <w:rsid w:val="00CE707B"/>
    <w:rsid w:val="00CE762A"/>
    <w:rsid w:val="00CE7C8C"/>
    <w:rsid w:val="00CF0081"/>
    <w:rsid w:val="00CF06C3"/>
    <w:rsid w:val="00CF0E4E"/>
    <w:rsid w:val="00CF14B0"/>
    <w:rsid w:val="00CF19CF"/>
    <w:rsid w:val="00CF1EA3"/>
    <w:rsid w:val="00CF2425"/>
    <w:rsid w:val="00CF28E3"/>
    <w:rsid w:val="00CF2BE7"/>
    <w:rsid w:val="00CF32E2"/>
    <w:rsid w:val="00CF3A6E"/>
    <w:rsid w:val="00CF3E0A"/>
    <w:rsid w:val="00CF3FCB"/>
    <w:rsid w:val="00CF43F1"/>
    <w:rsid w:val="00CF4783"/>
    <w:rsid w:val="00CF47ED"/>
    <w:rsid w:val="00CF4E03"/>
    <w:rsid w:val="00CF51B5"/>
    <w:rsid w:val="00CF56AE"/>
    <w:rsid w:val="00CF5A3C"/>
    <w:rsid w:val="00CF5CE8"/>
    <w:rsid w:val="00CF61F6"/>
    <w:rsid w:val="00CF67DD"/>
    <w:rsid w:val="00CF6A2B"/>
    <w:rsid w:val="00CF7DA9"/>
    <w:rsid w:val="00CF7F1D"/>
    <w:rsid w:val="00CF7F3D"/>
    <w:rsid w:val="00D00383"/>
    <w:rsid w:val="00D00AD7"/>
    <w:rsid w:val="00D00B6E"/>
    <w:rsid w:val="00D00E58"/>
    <w:rsid w:val="00D01194"/>
    <w:rsid w:val="00D01309"/>
    <w:rsid w:val="00D017F9"/>
    <w:rsid w:val="00D01DBC"/>
    <w:rsid w:val="00D01E9F"/>
    <w:rsid w:val="00D0228A"/>
    <w:rsid w:val="00D02320"/>
    <w:rsid w:val="00D02691"/>
    <w:rsid w:val="00D027A6"/>
    <w:rsid w:val="00D02C83"/>
    <w:rsid w:val="00D02F17"/>
    <w:rsid w:val="00D03131"/>
    <w:rsid w:val="00D03F61"/>
    <w:rsid w:val="00D04311"/>
    <w:rsid w:val="00D04685"/>
    <w:rsid w:val="00D04A90"/>
    <w:rsid w:val="00D04FEB"/>
    <w:rsid w:val="00D05AB0"/>
    <w:rsid w:val="00D05B50"/>
    <w:rsid w:val="00D05BE7"/>
    <w:rsid w:val="00D0610C"/>
    <w:rsid w:val="00D06222"/>
    <w:rsid w:val="00D06545"/>
    <w:rsid w:val="00D06548"/>
    <w:rsid w:val="00D06B0B"/>
    <w:rsid w:val="00D07232"/>
    <w:rsid w:val="00D1076F"/>
    <w:rsid w:val="00D10A28"/>
    <w:rsid w:val="00D112F2"/>
    <w:rsid w:val="00D11666"/>
    <w:rsid w:val="00D11979"/>
    <w:rsid w:val="00D11CF4"/>
    <w:rsid w:val="00D120C1"/>
    <w:rsid w:val="00D1218F"/>
    <w:rsid w:val="00D12A83"/>
    <w:rsid w:val="00D13016"/>
    <w:rsid w:val="00D134C5"/>
    <w:rsid w:val="00D13638"/>
    <w:rsid w:val="00D13E17"/>
    <w:rsid w:val="00D14626"/>
    <w:rsid w:val="00D1482F"/>
    <w:rsid w:val="00D14A58"/>
    <w:rsid w:val="00D14EE1"/>
    <w:rsid w:val="00D15072"/>
    <w:rsid w:val="00D1627E"/>
    <w:rsid w:val="00D16285"/>
    <w:rsid w:val="00D16968"/>
    <w:rsid w:val="00D16A69"/>
    <w:rsid w:val="00D16E23"/>
    <w:rsid w:val="00D1756A"/>
    <w:rsid w:val="00D17AB0"/>
    <w:rsid w:val="00D17D74"/>
    <w:rsid w:val="00D17DC2"/>
    <w:rsid w:val="00D20468"/>
    <w:rsid w:val="00D209A7"/>
    <w:rsid w:val="00D20AB6"/>
    <w:rsid w:val="00D20D2B"/>
    <w:rsid w:val="00D21463"/>
    <w:rsid w:val="00D214E4"/>
    <w:rsid w:val="00D22140"/>
    <w:rsid w:val="00D223B2"/>
    <w:rsid w:val="00D225AA"/>
    <w:rsid w:val="00D2271A"/>
    <w:rsid w:val="00D22782"/>
    <w:rsid w:val="00D22B20"/>
    <w:rsid w:val="00D22FF4"/>
    <w:rsid w:val="00D234E1"/>
    <w:rsid w:val="00D2359F"/>
    <w:rsid w:val="00D23A5F"/>
    <w:rsid w:val="00D2422B"/>
    <w:rsid w:val="00D242C1"/>
    <w:rsid w:val="00D24971"/>
    <w:rsid w:val="00D2505D"/>
    <w:rsid w:val="00D255E7"/>
    <w:rsid w:val="00D25622"/>
    <w:rsid w:val="00D259FA"/>
    <w:rsid w:val="00D25B7C"/>
    <w:rsid w:val="00D25F4E"/>
    <w:rsid w:val="00D262FE"/>
    <w:rsid w:val="00D267C9"/>
    <w:rsid w:val="00D268DC"/>
    <w:rsid w:val="00D2707B"/>
    <w:rsid w:val="00D27727"/>
    <w:rsid w:val="00D278FB"/>
    <w:rsid w:val="00D30089"/>
    <w:rsid w:val="00D3070E"/>
    <w:rsid w:val="00D3072A"/>
    <w:rsid w:val="00D30906"/>
    <w:rsid w:val="00D30BFE"/>
    <w:rsid w:val="00D30C12"/>
    <w:rsid w:val="00D30CAF"/>
    <w:rsid w:val="00D31102"/>
    <w:rsid w:val="00D31130"/>
    <w:rsid w:val="00D318DF"/>
    <w:rsid w:val="00D319E8"/>
    <w:rsid w:val="00D31ACD"/>
    <w:rsid w:val="00D31D14"/>
    <w:rsid w:val="00D31D8B"/>
    <w:rsid w:val="00D31D8E"/>
    <w:rsid w:val="00D32C60"/>
    <w:rsid w:val="00D32E2F"/>
    <w:rsid w:val="00D3318A"/>
    <w:rsid w:val="00D331C1"/>
    <w:rsid w:val="00D331FE"/>
    <w:rsid w:val="00D333AF"/>
    <w:rsid w:val="00D33855"/>
    <w:rsid w:val="00D33EE2"/>
    <w:rsid w:val="00D33F76"/>
    <w:rsid w:val="00D33F7F"/>
    <w:rsid w:val="00D351CA"/>
    <w:rsid w:val="00D3547C"/>
    <w:rsid w:val="00D358F1"/>
    <w:rsid w:val="00D35F5D"/>
    <w:rsid w:val="00D3629B"/>
    <w:rsid w:val="00D367A9"/>
    <w:rsid w:val="00D3685A"/>
    <w:rsid w:val="00D3749B"/>
    <w:rsid w:val="00D37AB7"/>
    <w:rsid w:val="00D37AD3"/>
    <w:rsid w:val="00D40170"/>
    <w:rsid w:val="00D40961"/>
    <w:rsid w:val="00D41928"/>
    <w:rsid w:val="00D42949"/>
    <w:rsid w:val="00D42D6A"/>
    <w:rsid w:val="00D431FB"/>
    <w:rsid w:val="00D43991"/>
    <w:rsid w:val="00D43AE2"/>
    <w:rsid w:val="00D43C7E"/>
    <w:rsid w:val="00D43F6E"/>
    <w:rsid w:val="00D440BE"/>
    <w:rsid w:val="00D4411D"/>
    <w:rsid w:val="00D44289"/>
    <w:rsid w:val="00D443AC"/>
    <w:rsid w:val="00D449AB"/>
    <w:rsid w:val="00D44B0B"/>
    <w:rsid w:val="00D44B87"/>
    <w:rsid w:val="00D44EC2"/>
    <w:rsid w:val="00D4514E"/>
    <w:rsid w:val="00D45614"/>
    <w:rsid w:val="00D456D9"/>
    <w:rsid w:val="00D4596D"/>
    <w:rsid w:val="00D45974"/>
    <w:rsid w:val="00D45CEE"/>
    <w:rsid w:val="00D45F53"/>
    <w:rsid w:val="00D4617F"/>
    <w:rsid w:val="00D4619C"/>
    <w:rsid w:val="00D4647B"/>
    <w:rsid w:val="00D46968"/>
    <w:rsid w:val="00D47264"/>
    <w:rsid w:val="00D474FB"/>
    <w:rsid w:val="00D4776E"/>
    <w:rsid w:val="00D47C55"/>
    <w:rsid w:val="00D50062"/>
    <w:rsid w:val="00D501C1"/>
    <w:rsid w:val="00D50FE1"/>
    <w:rsid w:val="00D5122A"/>
    <w:rsid w:val="00D51A68"/>
    <w:rsid w:val="00D51B8A"/>
    <w:rsid w:val="00D522F8"/>
    <w:rsid w:val="00D524F3"/>
    <w:rsid w:val="00D529AD"/>
    <w:rsid w:val="00D52BDB"/>
    <w:rsid w:val="00D52E3A"/>
    <w:rsid w:val="00D52EDE"/>
    <w:rsid w:val="00D52F92"/>
    <w:rsid w:val="00D538E7"/>
    <w:rsid w:val="00D540F9"/>
    <w:rsid w:val="00D5415E"/>
    <w:rsid w:val="00D54172"/>
    <w:rsid w:val="00D5445E"/>
    <w:rsid w:val="00D54533"/>
    <w:rsid w:val="00D54991"/>
    <w:rsid w:val="00D552AC"/>
    <w:rsid w:val="00D557A0"/>
    <w:rsid w:val="00D5586A"/>
    <w:rsid w:val="00D55889"/>
    <w:rsid w:val="00D55A11"/>
    <w:rsid w:val="00D55CB2"/>
    <w:rsid w:val="00D55DBE"/>
    <w:rsid w:val="00D56366"/>
    <w:rsid w:val="00D56461"/>
    <w:rsid w:val="00D5658B"/>
    <w:rsid w:val="00D56737"/>
    <w:rsid w:val="00D56A9A"/>
    <w:rsid w:val="00D57215"/>
    <w:rsid w:val="00D574B9"/>
    <w:rsid w:val="00D5775A"/>
    <w:rsid w:val="00D57EB8"/>
    <w:rsid w:val="00D60EF2"/>
    <w:rsid w:val="00D60EF3"/>
    <w:rsid w:val="00D6138E"/>
    <w:rsid w:val="00D6182D"/>
    <w:rsid w:val="00D61A0C"/>
    <w:rsid w:val="00D61B83"/>
    <w:rsid w:val="00D62154"/>
    <w:rsid w:val="00D62731"/>
    <w:rsid w:val="00D62803"/>
    <w:rsid w:val="00D628E8"/>
    <w:rsid w:val="00D6385E"/>
    <w:rsid w:val="00D648A2"/>
    <w:rsid w:val="00D648BB"/>
    <w:rsid w:val="00D64B4B"/>
    <w:rsid w:val="00D64B56"/>
    <w:rsid w:val="00D64FC3"/>
    <w:rsid w:val="00D64FF2"/>
    <w:rsid w:val="00D65022"/>
    <w:rsid w:val="00D6515E"/>
    <w:rsid w:val="00D65229"/>
    <w:rsid w:val="00D653CA"/>
    <w:rsid w:val="00D654F9"/>
    <w:rsid w:val="00D6574E"/>
    <w:rsid w:val="00D65B14"/>
    <w:rsid w:val="00D65B68"/>
    <w:rsid w:val="00D65B9C"/>
    <w:rsid w:val="00D6656E"/>
    <w:rsid w:val="00D6673F"/>
    <w:rsid w:val="00D66963"/>
    <w:rsid w:val="00D66DFF"/>
    <w:rsid w:val="00D674DB"/>
    <w:rsid w:val="00D676F8"/>
    <w:rsid w:val="00D677D6"/>
    <w:rsid w:val="00D67B87"/>
    <w:rsid w:val="00D67EEA"/>
    <w:rsid w:val="00D703D9"/>
    <w:rsid w:val="00D7068D"/>
    <w:rsid w:val="00D70789"/>
    <w:rsid w:val="00D7091C"/>
    <w:rsid w:val="00D709F2"/>
    <w:rsid w:val="00D70BE3"/>
    <w:rsid w:val="00D70DEE"/>
    <w:rsid w:val="00D70FEA"/>
    <w:rsid w:val="00D715C2"/>
    <w:rsid w:val="00D71EF0"/>
    <w:rsid w:val="00D724A6"/>
    <w:rsid w:val="00D72CD2"/>
    <w:rsid w:val="00D72D00"/>
    <w:rsid w:val="00D73920"/>
    <w:rsid w:val="00D73B69"/>
    <w:rsid w:val="00D7462F"/>
    <w:rsid w:val="00D74790"/>
    <w:rsid w:val="00D74DEC"/>
    <w:rsid w:val="00D75985"/>
    <w:rsid w:val="00D75F1F"/>
    <w:rsid w:val="00D761B5"/>
    <w:rsid w:val="00D76B8E"/>
    <w:rsid w:val="00D76C73"/>
    <w:rsid w:val="00D77328"/>
    <w:rsid w:val="00D77696"/>
    <w:rsid w:val="00D77E55"/>
    <w:rsid w:val="00D802B6"/>
    <w:rsid w:val="00D80305"/>
    <w:rsid w:val="00D8064D"/>
    <w:rsid w:val="00D80ABB"/>
    <w:rsid w:val="00D80D15"/>
    <w:rsid w:val="00D81015"/>
    <w:rsid w:val="00D8192C"/>
    <w:rsid w:val="00D81C90"/>
    <w:rsid w:val="00D81D4F"/>
    <w:rsid w:val="00D81DF4"/>
    <w:rsid w:val="00D81FF0"/>
    <w:rsid w:val="00D82268"/>
    <w:rsid w:val="00D826DF"/>
    <w:rsid w:val="00D82A86"/>
    <w:rsid w:val="00D82D61"/>
    <w:rsid w:val="00D82DCB"/>
    <w:rsid w:val="00D834D7"/>
    <w:rsid w:val="00D8368B"/>
    <w:rsid w:val="00D836F0"/>
    <w:rsid w:val="00D837ED"/>
    <w:rsid w:val="00D83B74"/>
    <w:rsid w:val="00D84153"/>
    <w:rsid w:val="00D846C7"/>
    <w:rsid w:val="00D8501A"/>
    <w:rsid w:val="00D8570B"/>
    <w:rsid w:val="00D8579B"/>
    <w:rsid w:val="00D85903"/>
    <w:rsid w:val="00D859E3"/>
    <w:rsid w:val="00D860A6"/>
    <w:rsid w:val="00D860BA"/>
    <w:rsid w:val="00D86231"/>
    <w:rsid w:val="00D86289"/>
    <w:rsid w:val="00D865D6"/>
    <w:rsid w:val="00D86ADF"/>
    <w:rsid w:val="00D86D35"/>
    <w:rsid w:val="00D8746A"/>
    <w:rsid w:val="00D8759F"/>
    <w:rsid w:val="00D90264"/>
    <w:rsid w:val="00D90272"/>
    <w:rsid w:val="00D903FC"/>
    <w:rsid w:val="00D90727"/>
    <w:rsid w:val="00D90A32"/>
    <w:rsid w:val="00D90C18"/>
    <w:rsid w:val="00D90CE7"/>
    <w:rsid w:val="00D91B38"/>
    <w:rsid w:val="00D9265D"/>
    <w:rsid w:val="00D928EA"/>
    <w:rsid w:val="00D92FBD"/>
    <w:rsid w:val="00D93453"/>
    <w:rsid w:val="00D934C0"/>
    <w:rsid w:val="00D937C6"/>
    <w:rsid w:val="00D93BA3"/>
    <w:rsid w:val="00D93C24"/>
    <w:rsid w:val="00D93C41"/>
    <w:rsid w:val="00D9420A"/>
    <w:rsid w:val="00D9444F"/>
    <w:rsid w:val="00D94B8B"/>
    <w:rsid w:val="00D94E7F"/>
    <w:rsid w:val="00D94F02"/>
    <w:rsid w:val="00D95044"/>
    <w:rsid w:val="00D957FE"/>
    <w:rsid w:val="00D95A0D"/>
    <w:rsid w:val="00D95BC8"/>
    <w:rsid w:val="00D95D23"/>
    <w:rsid w:val="00D96461"/>
    <w:rsid w:val="00D96950"/>
    <w:rsid w:val="00D96966"/>
    <w:rsid w:val="00D97289"/>
    <w:rsid w:val="00D97391"/>
    <w:rsid w:val="00D9739D"/>
    <w:rsid w:val="00D97DEA"/>
    <w:rsid w:val="00DA04E6"/>
    <w:rsid w:val="00DA1539"/>
    <w:rsid w:val="00DA15AB"/>
    <w:rsid w:val="00DA1E4C"/>
    <w:rsid w:val="00DA2444"/>
    <w:rsid w:val="00DA2D3A"/>
    <w:rsid w:val="00DA3699"/>
    <w:rsid w:val="00DA3918"/>
    <w:rsid w:val="00DA3962"/>
    <w:rsid w:val="00DA3EF3"/>
    <w:rsid w:val="00DA4580"/>
    <w:rsid w:val="00DA5165"/>
    <w:rsid w:val="00DA535B"/>
    <w:rsid w:val="00DA5522"/>
    <w:rsid w:val="00DA5607"/>
    <w:rsid w:val="00DA573D"/>
    <w:rsid w:val="00DA5B92"/>
    <w:rsid w:val="00DA5F62"/>
    <w:rsid w:val="00DA6742"/>
    <w:rsid w:val="00DA7890"/>
    <w:rsid w:val="00DA7E5E"/>
    <w:rsid w:val="00DB02D5"/>
    <w:rsid w:val="00DB06AA"/>
    <w:rsid w:val="00DB0E6C"/>
    <w:rsid w:val="00DB184C"/>
    <w:rsid w:val="00DB1B00"/>
    <w:rsid w:val="00DB1D7C"/>
    <w:rsid w:val="00DB1E7C"/>
    <w:rsid w:val="00DB2905"/>
    <w:rsid w:val="00DB29A8"/>
    <w:rsid w:val="00DB2B4C"/>
    <w:rsid w:val="00DB2FDA"/>
    <w:rsid w:val="00DB302C"/>
    <w:rsid w:val="00DB3371"/>
    <w:rsid w:val="00DB3BEB"/>
    <w:rsid w:val="00DB4049"/>
    <w:rsid w:val="00DB44CF"/>
    <w:rsid w:val="00DB4A44"/>
    <w:rsid w:val="00DB4CF0"/>
    <w:rsid w:val="00DB5200"/>
    <w:rsid w:val="00DB6080"/>
    <w:rsid w:val="00DB60EC"/>
    <w:rsid w:val="00DB6410"/>
    <w:rsid w:val="00DB64FE"/>
    <w:rsid w:val="00DB67B9"/>
    <w:rsid w:val="00DB6869"/>
    <w:rsid w:val="00DB6D2C"/>
    <w:rsid w:val="00DB782C"/>
    <w:rsid w:val="00DC054E"/>
    <w:rsid w:val="00DC07BE"/>
    <w:rsid w:val="00DC0961"/>
    <w:rsid w:val="00DC0A54"/>
    <w:rsid w:val="00DC105F"/>
    <w:rsid w:val="00DC19DD"/>
    <w:rsid w:val="00DC1FBE"/>
    <w:rsid w:val="00DC2884"/>
    <w:rsid w:val="00DC2BC1"/>
    <w:rsid w:val="00DC2D8B"/>
    <w:rsid w:val="00DC2F24"/>
    <w:rsid w:val="00DC33B7"/>
    <w:rsid w:val="00DC33C8"/>
    <w:rsid w:val="00DC3855"/>
    <w:rsid w:val="00DC3D47"/>
    <w:rsid w:val="00DC3E30"/>
    <w:rsid w:val="00DC46F6"/>
    <w:rsid w:val="00DC50B5"/>
    <w:rsid w:val="00DC5ACC"/>
    <w:rsid w:val="00DC60E7"/>
    <w:rsid w:val="00DC65CD"/>
    <w:rsid w:val="00DC6640"/>
    <w:rsid w:val="00DC684C"/>
    <w:rsid w:val="00DC6A7E"/>
    <w:rsid w:val="00DC7977"/>
    <w:rsid w:val="00DC7B14"/>
    <w:rsid w:val="00DC7BA3"/>
    <w:rsid w:val="00DD076D"/>
    <w:rsid w:val="00DD0908"/>
    <w:rsid w:val="00DD094A"/>
    <w:rsid w:val="00DD0DF1"/>
    <w:rsid w:val="00DD116A"/>
    <w:rsid w:val="00DD13A6"/>
    <w:rsid w:val="00DD1583"/>
    <w:rsid w:val="00DD17C7"/>
    <w:rsid w:val="00DD1854"/>
    <w:rsid w:val="00DD1879"/>
    <w:rsid w:val="00DD1D87"/>
    <w:rsid w:val="00DD286C"/>
    <w:rsid w:val="00DD2AEA"/>
    <w:rsid w:val="00DD2C2E"/>
    <w:rsid w:val="00DD2E71"/>
    <w:rsid w:val="00DD315B"/>
    <w:rsid w:val="00DD393F"/>
    <w:rsid w:val="00DD3F13"/>
    <w:rsid w:val="00DD421A"/>
    <w:rsid w:val="00DD44DB"/>
    <w:rsid w:val="00DD4705"/>
    <w:rsid w:val="00DD4761"/>
    <w:rsid w:val="00DD545E"/>
    <w:rsid w:val="00DD59C3"/>
    <w:rsid w:val="00DD5D4A"/>
    <w:rsid w:val="00DD6076"/>
    <w:rsid w:val="00DD696F"/>
    <w:rsid w:val="00DD7623"/>
    <w:rsid w:val="00DD77DE"/>
    <w:rsid w:val="00DE0272"/>
    <w:rsid w:val="00DE064D"/>
    <w:rsid w:val="00DE0F2B"/>
    <w:rsid w:val="00DE13D8"/>
    <w:rsid w:val="00DE14BB"/>
    <w:rsid w:val="00DE172C"/>
    <w:rsid w:val="00DE179C"/>
    <w:rsid w:val="00DE19F1"/>
    <w:rsid w:val="00DE1BDF"/>
    <w:rsid w:val="00DE1C53"/>
    <w:rsid w:val="00DE229C"/>
    <w:rsid w:val="00DE27AE"/>
    <w:rsid w:val="00DE2C72"/>
    <w:rsid w:val="00DE2DBE"/>
    <w:rsid w:val="00DE3086"/>
    <w:rsid w:val="00DE30A9"/>
    <w:rsid w:val="00DE341C"/>
    <w:rsid w:val="00DE34DF"/>
    <w:rsid w:val="00DE3CDE"/>
    <w:rsid w:val="00DE41ED"/>
    <w:rsid w:val="00DE4529"/>
    <w:rsid w:val="00DE46F3"/>
    <w:rsid w:val="00DE477E"/>
    <w:rsid w:val="00DE47F4"/>
    <w:rsid w:val="00DE4A93"/>
    <w:rsid w:val="00DE4D20"/>
    <w:rsid w:val="00DE50FD"/>
    <w:rsid w:val="00DE5593"/>
    <w:rsid w:val="00DE5B3B"/>
    <w:rsid w:val="00DE6670"/>
    <w:rsid w:val="00DE66E4"/>
    <w:rsid w:val="00DE6AD3"/>
    <w:rsid w:val="00DE72F7"/>
    <w:rsid w:val="00DE778D"/>
    <w:rsid w:val="00DE7884"/>
    <w:rsid w:val="00DE7892"/>
    <w:rsid w:val="00DE7BA4"/>
    <w:rsid w:val="00DE7E08"/>
    <w:rsid w:val="00DE7F55"/>
    <w:rsid w:val="00DF012D"/>
    <w:rsid w:val="00DF0340"/>
    <w:rsid w:val="00DF0830"/>
    <w:rsid w:val="00DF0843"/>
    <w:rsid w:val="00DF11F3"/>
    <w:rsid w:val="00DF1581"/>
    <w:rsid w:val="00DF1C6E"/>
    <w:rsid w:val="00DF2536"/>
    <w:rsid w:val="00DF2712"/>
    <w:rsid w:val="00DF30C3"/>
    <w:rsid w:val="00DF357B"/>
    <w:rsid w:val="00DF3633"/>
    <w:rsid w:val="00DF36B1"/>
    <w:rsid w:val="00DF386F"/>
    <w:rsid w:val="00DF395E"/>
    <w:rsid w:val="00DF3CAD"/>
    <w:rsid w:val="00DF410F"/>
    <w:rsid w:val="00DF46FF"/>
    <w:rsid w:val="00DF4847"/>
    <w:rsid w:val="00DF48B3"/>
    <w:rsid w:val="00DF56D1"/>
    <w:rsid w:val="00DF63EA"/>
    <w:rsid w:val="00DF6414"/>
    <w:rsid w:val="00DF6F2D"/>
    <w:rsid w:val="00DF706A"/>
    <w:rsid w:val="00DF71B0"/>
    <w:rsid w:val="00DF722B"/>
    <w:rsid w:val="00DF7399"/>
    <w:rsid w:val="00DF7694"/>
    <w:rsid w:val="00DF7809"/>
    <w:rsid w:val="00DF7C29"/>
    <w:rsid w:val="00DF7EE9"/>
    <w:rsid w:val="00DF7F4C"/>
    <w:rsid w:val="00E005DD"/>
    <w:rsid w:val="00E00784"/>
    <w:rsid w:val="00E00BF6"/>
    <w:rsid w:val="00E00F3F"/>
    <w:rsid w:val="00E012B8"/>
    <w:rsid w:val="00E013DC"/>
    <w:rsid w:val="00E018AB"/>
    <w:rsid w:val="00E026BC"/>
    <w:rsid w:val="00E02752"/>
    <w:rsid w:val="00E029F5"/>
    <w:rsid w:val="00E02CAC"/>
    <w:rsid w:val="00E02E56"/>
    <w:rsid w:val="00E02EC1"/>
    <w:rsid w:val="00E02F97"/>
    <w:rsid w:val="00E04C01"/>
    <w:rsid w:val="00E05093"/>
    <w:rsid w:val="00E050CA"/>
    <w:rsid w:val="00E057CC"/>
    <w:rsid w:val="00E05A47"/>
    <w:rsid w:val="00E05B64"/>
    <w:rsid w:val="00E05BC2"/>
    <w:rsid w:val="00E05E01"/>
    <w:rsid w:val="00E06321"/>
    <w:rsid w:val="00E06B7D"/>
    <w:rsid w:val="00E06CF2"/>
    <w:rsid w:val="00E07565"/>
    <w:rsid w:val="00E0757B"/>
    <w:rsid w:val="00E07A3D"/>
    <w:rsid w:val="00E07EB7"/>
    <w:rsid w:val="00E07FF1"/>
    <w:rsid w:val="00E102CF"/>
    <w:rsid w:val="00E1063A"/>
    <w:rsid w:val="00E10A45"/>
    <w:rsid w:val="00E10C70"/>
    <w:rsid w:val="00E111AC"/>
    <w:rsid w:val="00E11672"/>
    <w:rsid w:val="00E11A22"/>
    <w:rsid w:val="00E1206E"/>
    <w:rsid w:val="00E1269D"/>
    <w:rsid w:val="00E126CB"/>
    <w:rsid w:val="00E127A8"/>
    <w:rsid w:val="00E12C7F"/>
    <w:rsid w:val="00E12F8E"/>
    <w:rsid w:val="00E1321C"/>
    <w:rsid w:val="00E13B89"/>
    <w:rsid w:val="00E14003"/>
    <w:rsid w:val="00E14008"/>
    <w:rsid w:val="00E1464F"/>
    <w:rsid w:val="00E14E71"/>
    <w:rsid w:val="00E14E87"/>
    <w:rsid w:val="00E14EE6"/>
    <w:rsid w:val="00E153EB"/>
    <w:rsid w:val="00E15491"/>
    <w:rsid w:val="00E15834"/>
    <w:rsid w:val="00E15A5F"/>
    <w:rsid w:val="00E15B41"/>
    <w:rsid w:val="00E16AA0"/>
    <w:rsid w:val="00E16C89"/>
    <w:rsid w:val="00E16DE9"/>
    <w:rsid w:val="00E16DF1"/>
    <w:rsid w:val="00E178D1"/>
    <w:rsid w:val="00E207EE"/>
    <w:rsid w:val="00E20E74"/>
    <w:rsid w:val="00E2141C"/>
    <w:rsid w:val="00E21D18"/>
    <w:rsid w:val="00E21E95"/>
    <w:rsid w:val="00E21EC7"/>
    <w:rsid w:val="00E2254F"/>
    <w:rsid w:val="00E22BA6"/>
    <w:rsid w:val="00E23120"/>
    <w:rsid w:val="00E2338B"/>
    <w:rsid w:val="00E23AB8"/>
    <w:rsid w:val="00E243FC"/>
    <w:rsid w:val="00E249BB"/>
    <w:rsid w:val="00E24D66"/>
    <w:rsid w:val="00E25043"/>
    <w:rsid w:val="00E25168"/>
    <w:rsid w:val="00E252D2"/>
    <w:rsid w:val="00E2534F"/>
    <w:rsid w:val="00E25766"/>
    <w:rsid w:val="00E2586D"/>
    <w:rsid w:val="00E25963"/>
    <w:rsid w:val="00E25D85"/>
    <w:rsid w:val="00E261F3"/>
    <w:rsid w:val="00E262FA"/>
    <w:rsid w:val="00E26300"/>
    <w:rsid w:val="00E263FD"/>
    <w:rsid w:val="00E26823"/>
    <w:rsid w:val="00E26838"/>
    <w:rsid w:val="00E26A2C"/>
    <w:rsid w:val="00E26D5E"/>
    <w:rsid w:val="00E27672"/>
    <w:rsid w:val="00E3013F"/>
    <w:rsid w:val="00E30A7A"/>
    <w:rsid w:val="00E315D6"/>
    <w:rsid w:val="00E319BF"/>
    <w:rsid w:val="00E32253"/>
    <w:rsid w:val="00E3232A"/>
    <w:rsid w:val="00E326DD"/>
    <w:rsid w:val="00E32F6D"/>
    <w:rsid w:val="00E332D4"/>
    <w:rsid w:val="00E334BE"/>
    <w:rsid w:val="00E33586"/>
    <w:rsid w:val="00E3373B"/>
    <w:rsid w:val="00E33D60"/>
    <w:rsid w:val="00E34456"/>
    <w:rsid w:val="00E34ECF"/>
    <w:rsid w:val="00E35317"/>
    <w:rsid w:val="00E35B73"/>
    <w:rsid w:val="00E3622A"/>
    <w:rsid w:val="00E36324"/>
    <w:rsid w:val="00E36608"/>
    <w:rsid w:val="00E36B9A"/>
    <w:rsid w:val="00E36C91"/>
    <w:rsid w:val="00E36C9B"/>
    <w:rsid w:val="00E36DE5"/>
    <w:rsid w:val="00E37317"/>
    <w:rsid w:val="00E37A59"/>
    <w:rsid w:val="00E37B67"/>
    <w:rsid w:val="00E37DF8"/>
    <w:rsid w:val="00E37E3B"/>
    <w:rsid w:val="00E37EAA"/>
    <w:rsid w:val="00E4013F"/>
    <w:rsid w:val="00E40313"/>
    <w:rsid w:val="00E40415"/>
    <w:rsid w:val="00E4044A"/>
    <w:rsid w:val="00E407B7"/>
    <w:rsid w:val="00E40B59"/>
    <w:rsid w:val="00E40C3B"/>
    <w:rsid w:val="00E40F6F"/>
    <w:rsid w:val="00E4100C"/>
    <w:rsid w:val="00E416B4"/>
    <w:rsid w:val="00E41BD2"/>
    <w:rsid w:val="00E41FB2"/>
    <w:rsid w:val="00E421FA"/>
    <w:rsid w:val="00E42529"/>
    <w:rsid w:val="00E43675"/>
    <w:rsid w:val="00E43A45"/>
    <w:rsid w:val="00E43BEE"/>
    <w:rsid w:val="00E43C4F"/>
    <w:rsid w:val="00E43EB1"/>
    <w:rsid w:val="00E4427E"/>
    <w:rsid w:val="00E44FAA"/>
    <w:rsid w:val="00E454B6"/>
    <w:rsid w:val="00E45E38"/>
    <w:rsid w:val="00E46304"/>
    <w:rsid w:val="00E46ADD"/>
    <w:rsid w:val="00E46BA0"/>
    <w:rsid w:val="00E46F58"/>
    <w:rsid w:val="00E47201"/>
    <w:rsid w:val="00E473D2"/>
    <w:rsid w:val="00E47437"/>
    <w:rsid w:val="00E47C42"/>
    <w:rsid w:val="00E47CC0"/>
    <w:rsid w:val="00E47CCC"/>
    <w:rsid w:val="00E50148"/>
    <w:rsid w:val="00E50E18"/>
    <w:rsid w:val="00E51198"/>
    <w:rsid w:val="00E51240"/>
    <w:rsid w:val="00E516F6"/>
    <w:rsid w:val="00E5176D"/>
    <w:rsid w:val="00E51C9A"/>
    <w:rsid w:val="00E51CE1"/>
    <w:rsid w:val="00E51F89"/>
    <w:rsid w:val="00E520CC"/>
    <w:rsid w:val="00E521A1"/>
    <w:rsid w:val="00E522F8"/>
    <w:rsid w:val="00E52C34"/>
    <w:rsid w:val="00E52CC1"/>
    <w:rsid w:val="00E5307D"/>
    <w:rsid w:val="00E53345"/>
    <w:rsid w:val="00E53A7B"/>
    <w:rsid w:val="00E53BB3"/>
    <w:rsid w:val="00E5487E"/>
    <w:rsid w:val="00E54903"/>
    <w:rsid w:val="00E54C9F"/>
    <w:rsid w:val="00E54EB0"/>
    <w:rsid w:val="00E55575"/>
    <w:rsid w:val="00E55788"/>
    <w:rsid w:val="00E557A6"/>
    <w:rsid w:val="00E55C3F"/>
    <w:rsid w:val="00E56044"/>
    <w:rsid w:val="00E56904"/>
    <w:rsid w:val="00E56C36"/>
    <w:rsid w:val="00E57222"/>
    <w:rsid w:val="00E57C8C"/>
    <w:rsid w:val="00E57D31"/>
    <w:rsid w:val="00E57EC7"/>
    <w:rsid w:val="00E602E9"/>
    <w:rsid w:val="00E604EF"/>
    <w:rsid w:val="00E61013"/>
    <w:rsid w:val="00E6183C"/>
    <w:rsid w:val="00E619DA"/>
    <w:rsid w:val="00E61A2D"/>
    <w:rsid w:val="00E61CF1"/>
    <w:rsid w:val="00E61FCB"/>
    <w:rsid w:val="00E622A9"/>
    <w:rsid w:val="00E622C4"/>
    <w:rsid w:val="00E62507"/>
    <w:rsid w:val="00E62737"/>
    <w:rsid w:val="00E62F1D"/>
    <w:rsid w:val="00E632BB"/>
    <w:rsid w:val="00E6331A"/>
    <w:rsid w:val="00E637BE"/>
    <w:rsid w:val="00E63821"/>
    <w:rsid w:val="00E63BD9"/>
    <w:rsid w:val="00E63D20"/>
    <w:rsid w:val="00E63DE3"/>
    <w:rsid w:val="00E64015"/>
    <w:rsid w:val="00E649D9"/>
    <w:rsid w:val="00E64A5C"/>
    <w:rsid w:val="00E64D08"/>
    <w:rsid w:val="00E64DAF"/>
    <w:rsid w:val="00E65B3B"/>
    <w:rsid w:val="00E65DB0"/>
    <w:rsid w:val="00E65FD8"/>
    <w:rsid w:val="00E661C8"/>
    <w:rsid w:val="00E664BC"/>
    <w:rsid w:val="00E665DA"/>
    <w:rsid w:val="00E66865"/>
    <w:rsid w:val="00E66F17"/>
    <w:rsid w:val="00E6705A"/>
    <w:rsid w:val="00E677EC"/>
    <w:rsid w:val="00E67AB9"/>
    <w:rsid w:val="00E700DA"/>
    <w:rsid w:val="00E70142"/>
    <w:rsid w:val="00E70294"/>
    <w:rsid w:val="00E7060A"/>
    <w:rsid w:val="00E70783"/>
    <w:rsid w:val="00E71C09"/>
    <w:rsid w:val="00E720C8"/>
    <w:rsid w:val="00E723B0"/>
    <w:rsid w:val="00E727FA"/>
    <w:rsid w:val="00E72884"/>
    <w:rsid w:val="00E73A47"/>
    <w:rsid w:val="00E73ACA"/>
    <w:rsid w:val="00E73B4E"/>
    <w:rsid w:val="00E73EA1"/>
    <w:rsid w:val="00E7417B"/>
    <w:rsid w:val="00E7469F"/>
    <w:rsid w:val="00E74A63"/>
    <w:rsid w:val="00E74B89"/>
    <w:rsid w:val="00E75598"/>
    <w:rsid w:val="00E75E91"/>
    <w:rsid w:val="00E75EC7"/>
    <w:rsid w:val="00E7612C"/>
    <w:rsid w:val="00E7699A"/>
    <w:rsid w:val="00E76E57"/>
    <w:rsid w:val="00E76EDC"/>
    <w:rsid w:val="00E77B03"/>
    <w:rsid w:val="00E80131"/>
    <w:rsid w:val="00E804CC"/>
    <w:rsid w:val="00E80805"/>
    <w:rsid w:val="00E808AB"/>
    <w:rsid w:val="00E80E96"/>
    <w:rsid w:val="00E8149F"/>
    <w:rsid w:val="00E8183D"/>
    <w:rsid w:val="00E81CDF"/>
    <w:rsid w:val="00E822E5"/>
    <w:rsid w:val="00E824F5"/>
    <w:rsid w:val="00E82BB6"/>
    <w:rsid w:val="00E83022"/>
    <w:rsid w:val="00E832F4"/>
    <w:rsid w:val="00E8341E"/>
    <w:rsid w:val="00E8349F"/>
    <w:rsid w:val="00E8357E"/>
    <w:rsid w:val="00E839EF"/>
    <w:rsid w:val="00E84232"/>
    <w:rsid w:val="00E843E0"/>
    <w:rsid w:val="00E8446F"/>
    <w:rsid w:val="00E844E4"/>
    <w:rsid w:val="00E84734"/>
    <w:rsid w:val="00E8490F"/>
    <w:rsid w:val="00E854E8"/>
    <w:rsid w:val="00E858EC"/>
    <w:rsid w:val="00E86270"/>
    <w:rsid w:val="00E862FA"/>
    <w:rsid w:val="00E872A4"/>
    <w:rsid w:val="00E878AB"/>
    <w:rsid w:val="00E87BDF"/>
    <w:rsid w:val="00E87F59"/>
    <w:rsid w:val="00E87FB6"/>
    <w:rsid w:val="00E9010B"/>
    <w:rsid w:val="00E90325"/>
    <w:rsid w:val="00E903F6"/>
    <w:rsid w:val="00E9161F"/>
    <w:rsid w:val="00E91E10"/>
    <w:rsid w:val="00E925CC"/>
    <w:rsid w:val="00E934C6"/>
    <w:rsid w:val="00E937AF"/>
    <w:rsid w:val="00E93F8A"/>
    <w:rsid w:val="00E9489D"/>
    <w:rsid w:val="00E94DF1"/>
    <w:rsid w:val="00E95034"/>
    <w:rsid w:val="00E95394"/>
    <w:rsid w:val="00E955D4"/>
    <w:rsid w:val="00E95641"/>
    <w:rsid w:val="00E95671"/>
    <w:rsid w:val="00E95C86"/>
    <w:rsid w:val="00E95CB2"/>
    <w:rsid w:val="00E95D90"/>
    <w:rsid w:val="00E960E7"/>
    <w:rsid w:val="00E96A04"/>
    <w:rsid w:val="00E96D44"/>
    <w:rsid w:val="00E97060"/>
    <w:rsid w:val="00E9752C"/>
    <w:rsid w:val="00E975D7"/>
    <w:rsid w:val="00E97A4D"/>
    <w:rsid w:val="00E97AC7"/>
    <w:rsid w:val="00E97F1D"/>
    <w:rsid w:val="00EA0010"/>
    <w:rsid w:val="00EA040C"/>
    <w:rsid w:val="00EA13A1"/>
    <w:rsid w:val="00EA1932"/>
    <w:rsid w:val="00EA1D1B"/>
    <w:rsid w:val="00EA2524"/>
    <w:rsid w:val="00EA2D21"/>
    <w:rsid w:val="00EA3679"/>
    <w:rsid w:val="00EA3AC0"/>
    <w:rsid w:val="00EA3B2D"/>
    <w:rsid w:val="00EA3ED2"/>
    <w:rsid w:val="00EA4A81"/>
    <w:rsid w:val="00EA4AEF"/>
    <w:rsid w:val="00EA4C86"/>
    <w:rsid w:val="00EA52A5"/>
    <w:rsid w:val="00EA5EE9"/>
    <w:rsid w:val="00EA6021"/>
    <w:rsid w:val="00EA6594"/>
    <w:rsid w:val="00EA6A1E"/>
    <w:rsid w:val="00EA7256"/>
    <w:rsid w:val="00EA72CC"/>
    <w:rsid w:val="00EA72EC"/>
    <w:rsid w:val="00EA73B3"/>
    <w:rsid w:val="00EA7539"/>
    <w:rsid w:val="00EA7AD2"/>
    <w:rsid w:val="00EB015C"/>
    <w:rsid w:val="00EB0470"/>
    <w:rsid w:val="00EB0678"/>
    <w:rsid w:val="00EB0B07"/>
    <w:rsid w:val="00EB0B09"/>
    <w:rsid w:val="00EB10E9"/>
    <w:rsid w:val="00EB1D83"/>
    <w:rsid w:val="00EB1E33"/>
    <w:rsid w:val="00EB1E3A"/>
    <w:rsid w:val="00EB2412"/>
    <w:rsid w:val="00EB2B8B"/>
    <w:rsid w:val="00EB2D1F"/>
    <w:rsid w:val="00EB30AE"/>
    <w:rsid w:val="00EB312A"/>
    <w:rsid w:val="00EB31D6"/>
    <w:rsid w:val="00EB322E"/>
    <w:rsid w:val="00EB32A3"/>
    <w:rsid w:val="00EB38CC"/>
    <w:rsid w:val="00EB39CE"/>
    <w:rsid w:val="00EB4066"/>
    <w:rsid w:val="00EB461A"/>
    <w:rsid w:val="00EB501D"/>
    <w:rsid w:val="00EB555E"/>
    <w:rsid w:val="00EB566C"/>
    <w:rsid w:val="00EB5A5B"/>
    <w:rsid w:val="00EB630A"/>
    <w:rsid w:val="00EB753E"/>
    <w:rsid w:val="00EB76D9"/>
    <w:rsid w:val="00EB771D"/>
    <w:rsid w:val="00EB7F2F"/>
    <w:rsid w:val="00EC1296"/>
    <w:rsid w:val="00EC1367"/>
    <w:rsid w:val="00EC13C8"/>
    <w:rsid w:val="00EC21DE"/>
    <w:rsid w:val="00EC2AE3"/>
    <w:rsid w:val="00EC2D3C"/>
    <w:rsid w:val="00EC2FFF"/>
    <w:rsid w:val="00EC31DA"/>
    <w:rsid w:val="00EC348A"/>
    <w:rsid w:val="00EC34A7"/>
    <w:rsid w:val="00EC35EA"/>
    <w:rsid w:val="00EC35F0"/>
    <w:rsid w:val="00EC385B"/>
    <w:rsid w:val="00EC39DA"/>
    <w:rsid w:val="00EC3CC2"/>
    <w:rsid w:val="00EC43C8"/>
    <w:rsid w:val="00EC4BD6"/>
    <w:rsid w:val="00EC4E62"/>
    <w:rsid w:val="00EC4F9D"/>
    <w:rsid w:val="00EC51C6"/>
    <w:rsid w:val="00EC52E8"/>
    <w:rsid w:val="00EC61FF"/>
    <w:rsid w:val="00EC68B3"/>
    <w:rsid w:val="00EC690E"/>
    <w:rsid w:val="00EC6C82"/>
    <w:rsid w:val="00EC6CA1"/>
    <w:rsid w:val="00EC6DAB"/>
    <w:rsid w:val="00EC6F62"/>
    <w:rsid w:val="00EC714B"/>
    <w:rsid w:val="00EC71BC"/>
    <w:rsid w:val="00ED086B"/>
    <w:rsid w:val="00ED0A5C"/>
    <w:rsid w:val="00ED0CEA"/>
    <w:rsid w:val="00ED0CED"/>
    <w:rsid w:val="00ED0FDD"/>
    <w:rsid w:val="00ED1157"/>
    <w:rsid w:val="00ED1326"/>
    <w:rsid w:val="00ED1BAC"/>
    <w:rsid w:val="00ED1D40"/>
    <w:rsid w:val="00ED249C"/>
    <w:rsid w:val="00ED2EB8"/>
    <w:rsid w:val="00ED38DB"/>
    <w:rsid w:val="00ED3C01"/>
    <w:rsid w:val="00ED433B"/>
    <w:rsid w:val="00ED44DE"/>
    <w:rsid w:val="00ED482F"/>
    <w:rsid w:val="00ED4FFD"/>
    <w:rsid w:val="00ED54BE"/>
    <w:rsid w:val="00ED5797"/>
    <w:rsid w:val="00ED611C"/>
    <w:rsid w:val="00ED6429"/>
    <w:rsid w:val="00ED661E"/>
    <w:rsid w:val="00ED66B7"/>
    <w:rsid w:val="00ED6DA7"/>
    <w:rsid w:val="00ED6FD6"/>
    <w:rsid w:val="00ED727E"/>
    <w:rsid w:val="00ED73F1"/>
    <w:rsid w:val="00ED76CE"/>
    <w:rsid w:val="00ED7D1F"/>
    <w:rsid w:val="00EE075E"/>
    <w:rsid w:val="00EE2161"/>
    <w:rsid w:val="00EE25AA"/>
    <w:rsid w:val="00EE3111"/>
    <w:rsid w:val="00EE3734"/>
    <w:rsid w:val="00EE3811"/>
    <w:rsid w:val="00EE3C84"/>
    <w:rsid w:val="00EE434A"/>
    <w:rsid w:val="00EE448F"/>
    <w:rsid w:val="00EE456C"/>
    <w:rsid w:val="00EE45E2"/>
    <w:rsid w:val="00EE463D"/>
    <w:rsid w:val="00EE47D8"/>
    <w:rsid w:val="00EE4812"/>
    <w:rsid w:val="00EE4D23"/>
    <w:rsid w:val="00EE4E30"/>
    <w:rsid w:val="00EE4E54"/>
    <w:rsid w:val="00EE5550"/>
    <w:rsid w:val="00EE5EAA"/>
    <w:rsid w:val="00EE67EE"/>
    <w:rsid w:val="00EE6C66"/>
    <w:rsid w:val="00EE6D78"/>
    <w:rsid w:val="00EE756B"/>
    <w:rsid w:val="00EE76B4"/>
    <w:rsid w:val="00EE7785"/>
    <w:rsid w:val="00EE7886"/>
    <w:rsid w:val="00EE7A10"/>
    <w:rsid w:val="00EE7A7C"/>
    <w:rsid w:val="00EE7ED6"/>
    <w:rsid w:val="00EF02F0"/>
    <w:rsid w:val="00EF03CA"/>
    <w:rsid w:val="00EF04FD"/>
    <w:rsid w:val="00EF0875"/>
    <w:rsid w:val="00EF08C4"/>
    <w:rsid w:val="00EF13DB"/>
    <w:rsid w:val="00EF1842"/>
    <w:rsid w:val="00EF1E85"/>
    <w:rsid w:val="00EF1EAD"/>
    <w:rsid w:val="00EF2622"/>
    <w:rsid w:val="00EF264E"/>
    <w:rsid w:val="00EF28D3"/>
    <w:rsid w:val="00EF2FF7"/>
    <w:rsid w:val="00EF3248"/>
    <w:rsid w:val="00EF325A"/>
    <w:rsid w:val="00EF3E4F"/>
    <w:rsid w:val="00EF3E89"/>
    <w:rsid w:val="00EF3FFC"/>
    <w:rsid w:val="00EF42C2"/>
    <w:rsid w:val="00EF4DB4"/>
    <w:rsid w:val="00EF5139"/>
    <w:rsid w:val="00EF563D"/>
    <w:rsid w:val="00EF5AED"/>
    <w:rsid w:val="00EF6670"/>
    <w:rsid w:val="00EF66BC"/>
    <w:rsid w:val="00EF7962"/>
    <w:rsid w:val="00F001F3"/>
    <w:rsid w:val="00F006AF"/>
    <w:rsid w:val="00F00A00"/>
    <w:rsid w:val="00F00C01"/>
    <w:rsid w:val="00F00E50"/>
    <w:rsid w:val="00F012C3"/>
    <w:rsid w:val="00F016F9"/>
    <w:rsid w:val="00F02946"/>
    <w:rsid w:val="00F034A0"/>
    <w:rsid w:val="00F03719"/>
    <w:rsid w:val="00F03C73"/>
    <w:rsid w:val="00F042B5"/>
    <w:rsid w:val="00F04A45"/>
    <w:rsid w:val="00F04A50"/>
    <w:rsid w:val="00F0518E"/>
    <w:rsid w:val="00F05627"/>
    <w:rsid w:val="00F057CC"/>
    <w:rsid w:val="00F057D6"/>
    <w:rsid w:val="00F05C26"/>
    <w:rsid w:val="00F05D05"/>
    <w:rsid w:val="00F062E8"/>
    <w:rsid w:val="00F06682"/>
    <w:rsid w:val="00F067BC"/>
    <w:rsid w:val="00F07872"/>
    <w:rsid w:val="00F07EF8"/>
    <w:rsid w:val="00F1036F"/>
    <w:rsid w:val="00F104DB"/>
    <w:rsid w:val="00F10A88"/>
    <w:rsid w:val="00F10B93"/>
    <w:rsid w:val="00F10C0C"/>
    <w:rsid w:val="00F110C4"/>
    <w:rsid w:val="00F1113A"/>
    <w:rsid w:val="00F11CB3"/>
    <w:rsid w:val="00F11FF7"/>
    <w:rsid w:val="00F1290D"/>
    <w:rsid w:val="00F12D32"/>
    <w:rsid w:val="00F13208"/>
    <w:rsid w:val="00F13451"/>
    <w:rsid w:val="00F13510"/>
    <w:rsid w:val="00F13985"/>
    <w:rsid w:val="00F13C28"/>
    <w:rsid w:val="00F14067"/>
    <w:rsid w:val="00F14B34"/>
    <w:rsid w:val="00F14FF6"/>
    <w:rsid w:val="00F154EA"/>
    <w:rsid w:val="00F15A62"/>
    <w:rsid w:val="00F16D92"/>
    <w:rsid w:val="00F17CCA"/>
    <w:rsid w:val="00F17D07"/>
    <w:rsid w:val="00F17F10"/>
    <w:rsid w:val="00F20377"/>
    <w:rsid w:val="00F2063F"/>
    <w:rsid w:val="00F208E2"/>
    <w:rsid w:val="00F21281"/>
    <w:rsid w:val="00F21BBA"/>
    <w:rsid w:val="00F21D92"/>
    <w:rsid w:val="00F22048"/>
    <w:rsid w:val="00F22305"/>
    <w:rsid w:val="00F2291E"/>
    <w:rsid w:val="00F22951"/>
    <w:rsid w:val="00F229AC"/>
    <w:rsid w:val="00F229EC"/>
    <w:rsid w:val="00F22A5A"/>
    <w:rsid w:val="00F22C82"/>
    <w:rsid w:val="00F23BD7"/>
    <w:rsid w:val="00F241E9"/>
    <w:rsid w:val="00F2429F"/>
    <w:rsid w:val="00F24832"/>
    <w:rsid w:val="00F24FF9"/>
    <w:rsid w:val="00F2542B"/>
    <w:rsid w:val="00F25D27"/>
    <w:rsid w:val="00F25F6F"/>
    <w:rsid w:val="00F25F99"/>
    <w:rsid w:val="00F268A8"/>
    <w:rsid w:val="00F26CB4"/>
    <w:rsid w:val="00F26CE5"/>
    <w:rsid w:val="00F26FEF"/>
    <w:rsid w:val="00F27142"/>
    <w:rsid w:val="00F271F7"/>
    <w:rsid w:val="00F275DD"/>
    <w:rsid w:val="00F277A5"/>
    <w:rsid w:val="00F27B33"/>
    <w:rsid w:val="00F27FB0"/>
    <w:rsid w:val="00F30390"/>
    <w:rsid w:val="00F30409"/>
    <w:rsid w:val="00F31536"/>
    <w:rsid w:val="00F31F4C"/>
    <w:rsid w:val="00F32279"/>
    <w:rsid w:val="00F325AF"/>
    <w:rsid w:val="00F3281A"/>
    <w:rsid w:val="00F32B87"/>
    <w:rsid w:val="00F32FB1"/>
    <w:rsid w:val="00F33BE3"/>
    <w:rsid w:val="00F342A5"/>
    <w:rsid w:val="00F34398"/>
    <w:rsid w:val="00F34719"/>
    <w:rsid w:val="00F34770"/>
    <w:rsid w:val="00F34790"/>
    <w:rsid w:val="00F34A7C"/>
    <w:rsid w:val="00F34B99"/>
    <w:rsid w:val="00F34DAE"/>
    <w:rsid w:val="00F34DC2"/>
    <w:rsid w:val="00F3506F"/>
    <w:rsid w:val="00F35409"/>
    <w:rsid w:val="00F35768"/>
    <w:rsid w:val="00F35CD9"/>
    <w:rsid w:val="00F36106"/>
    <w:rsid w:val="00F362F5"/>
    <w:rsid w:val="00F36650"/>
    <w:rsid w:val="00F36683"/>
    <w:rsid w:val="00F36795"/>
    <w:rsid w:val="00F3736E"/>
    <w:rsid w:val="00F37DBA"/>
    <w:rsid w:val="00F402D4"/>
    <w:rsid w:val="00F40747"/>
    <w:rsid w:val="00F40F61"/>
    <w:rsid w:val="00F41004"/>
    <w:rsid w:val="00F42074"/>
    <w:rsid w:val="00F4254F"/>
    <w:rsid w:val="00F42D0E"/>
    <w:rsid w:val="00F42E74"/>
    <w:rsid w:val="00F42F42"/>
    <w:rsid w:val="00F437F4"/>
    <w:rsid w:val="00F43C0A"/>
    <w:rsid w:val="00F43FD1"/>
    <w:rsid w:val="00F4436B"/>
    <w:rsid w:val="00F44DC5"/>
    <w:rsid w:val="00F45137"/>
    <w:rsid w:val="00F45C1E"/>
    <w:rsid w:val="00F46274"/>
    <w:rsid w:val="00F463C1"/>
    <w:rsid w:val="00F464E7"/>
    <w:rsid w:val="00F46981"/>
    <w:rsid w:val="00F46E4C"/>
    <w:rsid w:val="00F46FDD"/>
    <w:rsid w:val="00F46FF9"/>
    <w:rsid w:val="00F47711"/>
    <w:rsid w:val="00F47BE6"/>
    <w:rsid w:val="00F501B4"/>
    <w:rsid w:val="00F501B9"/>
    <w:rsid w:val="00F5055D"/>
    <w:rsid w:val="00F50CFE"/>
    <w:rsid w:val="00F512B7"/>
    <w:rsid w:val="00F51873"/>
    <w:rsid w:val="00F51A28"/>
    <w:rsid w:val="00F51C6F"/>
    <w:rsid w:val="00F51D18"/>
    <w:rsid w:val="00F51DA5"/>
    <w:rsid w:val="00F51E94"/>
    <w:rsid w:val="00F51F7F"/>
    <w:rsid w:val="00F524A5"/>
    <w:rsid w:val="00F5261A"/>
    <w:rsid w:val="00F52D84"/>
    <w:rsid w:val="00F5356D"/>
    <w:rsid w:val="00F53EC0"/>
    <w:rsid w:val="00F5465F"/>
    <w:rsid w:val="00F54919"/>
    <w:rsid w:val="00F54FD8"/>
    <w:rsid w:val="00F55456"/>
    <w:rsid w:val="00F5575F"/>
    <w:rsid w:val="00F5651C"/>
    <w:rsid w:val="00F570C9"/>
    <w:rsid w:val="00F571E0"/>
    <w:rsid w:val="00F578E6"/>
    <w:rsid w:val="00F57E71"/>
    <w:rsid w:val="00F607E8"/>
    <w:rsid w:val="00F609F3"/>
    <w:rsid w:val="00F60A87"/>
    <w:rsid w:val="00F6141A"/>
    <w:rsid w:val="00F61546"/>
    <w:rsid w:val="00F61CB4"/>
    <w:rsid w:val="00F62030"/>
    <w:rsid w:val="00F629D7"/>
    <w:rsid w:val="00F63711"/>
    <w:rsid w:val="00F6377A"/>
    <w:rsid w:val="00F63AFB"/>
    <w:rsid w:val="00F63DC4"/>
    <w:rsid w:val="00F64383"/>
    <w:rsid w:val="00F644C8"/>
    <w:rsid w:val="00F6478F"/>
    <w:rsid w:val="00F64F5D"/>
    <w:rsid w:val="00F6558D"/>
    <w:rsid w:val="00F65993"/>
    <w:rsid w:val="00F65ACF"/>
    <w:rsid w:val="00F65B02"/>
    <w:rsid w:val="00F65CCB"/>
    <w:rsid w:val="00F65D0A"/>
    <w:rsid w:val="00F65D29"/>
    <w:rsid w:val="00F6652B"/>
    <w:rsid w:val="00F66C3A"/>
    <w:rsid w:val="00F678B7"/>
    <w:rsid w:val="00F6797D"/>
    <w:rsid w:val="00F67EA2"/>
    <w:rsid w:val="00F70203"/>
    <w:rsid w:val="00F70277"/>
    <w:rsid w:val="00F70493"/>
    <w:rsid w:val="00F70560"/>
    <w:rsid w:val="00F70987"/>
    <w:rsid w:val="00F70B05"/>
    <w:rsid w:val="00F71AC5"/>
    <w:rsid w:val="00F71B96"/>
    <w:rsid w:val="00F72A99"/>
    <w:rsid w:val="00F72C15"/>
    <w:rsid w:val="00F72E36"/>
    <w:rsid w:val="00F72EE5"/>
    <w:rsid w:val="00F72FF2"/>
    <w:rsid w:val="00F7385F"/>
    <w:rsid w:val="00F740E9"/>
    <w:rsid w:val="00F74192"/>
    <w:rsid w:val="00F743AA"/>
    <w:rsid w:val="00F743F4"/>
    <w:rsid w:val="00F7499A"/>
    <w:rsid w:val="00F74A75"/>
    <w:rsid w:val="00F74C47"/>
    <w:rsid w:val="00F753EC"/>
    <w:rsid w:val="00F7562C"/>
    <w:rsid w:val="00F75798"/>
    <w:rsid w:val="00F758C1"/>
    <w:rsid w:val="00F75DA5"/>
    <w:rsid w:val="00F75F4D"/>
    <w:rsid w:val="00F76A43"/>
    <w:rsid w:val="00F8034C"/>
    <w:rsid w:val="00F8082A"/>
    <w:rsid w:val="00F80B09"/>
    <w:rsid w:val="00F811E7"/>
    <w:rsid w:val="00F81388"/>
    <w:rsid w:val="00F813BC"/>
    <w:rsid w:val="00F813CC"/>
    <w:rsid w:val="00F81498"/>
    <w:rsid w:val="00F81D4B"/>
    <w:rsid w:val="00F821FA"/>
    <w:rsid w:val="00F829C1"/>
    <w:rsid w:val="00F82CBB"/>
    <w:rsid w:val="00F82F68"/>
    <w:rsid w:val="00F8353F"/>
    <w:rsid w:val="00F835D6"/>
    <w:rsid w:val="00F83662"/>
    <w:rsid w:val="00F83C22"/>
    <w:rsid w:val="00F8426C"/>
    <w:rsid w:val="00F84519"/>
    <w:rsid w:val="00F845E4"/>
    <w:rsid w:val="00F848D7"/>
    <w:rsid w:val="00F84991"/>
    <w:rsid w:val="00F849D0"/>
    <w:rsid w:val="00F849F4"/>
    <w:rsid w:val="00F85986"/>
    <w:rsid w:val="00F85D05"/>
    <w:rsid w:val="00F85D76"/>
    <w:rsid w:val="00F85D91"/>
    <w:rsid w:val="00F8624F"/>
    <w:rsid w:val="00F864B3"/>
    <w:rsid w:val="00F86547"/>
    <w:rsid w:val="00F866CD"/>
    <w:rsid w:val="00F86A22"/>
    <w:rsid w:val="00F8702B"/>
    <w:rsid w:val="00F8721F"/>
    <w:rsid w:val="00F87249"/>
    <w:rsid w:val="00F87309"/>
    <w:rsid w:val="00F874A8"/>
    <w:rsid w:val="00F8797E"/>
    <w:rsid w:val="00F9006F"/>
    <w:rsid w:val="00F902B7"/>
    <w:rsid w:val="00F902E5"/>
    <w:rsid w:val="00F903D2"/>
    <w:rsid w:val="00F90511"/>
    <w:rsid w:val="00F906A0"/>
    <w:rsid w:val="00F909AC"/>
    <w:rsid w:val="00F90B5C"/>
    <w:rsid w:val="00F90C06"/>
    <w:rsid w:val="00F90E2F"/>
    <w:rsid w:val="00F91083"/>
    <w:rsid w:val="00F920F9"/>
    <w:rsid w:val="00F9285B"/>
    <w:rsid w:val="00F929DD"/>
    <w:rsid w:val="00F92A1D"/>
    <w:rsid w:val="00F92E28"/>
    <w:rsid w:val="00F92E4E"/>
    <w:rsid w:val="00F932E8"/>
    <w:rsid w:val="00F932ED"/>
    <w:rsid w:val="00F933EB"/>
    <w:rsid w:val="00F9343C"/>
    <w:rsid w:val="00F942C9"/>
    <w:rsid w:val="00F957B7"/>
    <w:rsid w:val="00F95C94"/>
    <w:rsid w:val="00F95E78"/>
    <w:rsid w:val="00F95F33"/>
    <w:rsid w:val="00F96422"/>
    <w:rsid w:val="00F96646"/>
    <w:rsid w:val="00F96659"/>
    <w:rsid w:val="00F96675"/>
    <w:rsid w:val="00F96CA3"/>
    <w:rsid w:val="00F9700D"/>
    <w:rsid w:val="00F97026"/>
    <w:rsid w:val="00F973BC"/>
    <w:rsid w:val="00F97657"/>
    <w:rsid w:val="00F976AD"/>
    <w:rsid w:val="00F9778A"/>
    <w:rsid w:val="00F97995"/>
    <w:rsid w:val="00F97D31"/>
    <w:rsid w:val="00F97EF3"/>
    <w:rsid w:val="00FA0735"/>
    <w:rsid w:val="00FA0F13"/>
    <w:rsid w:val="00FA16FD"/>
    <w:rsid w:val="00FA1DEE"/>
    <w:rsid w:val="00FA21FD"/>
    <w:rsid w:val="00FA22C2"/>
    <w:rsid w:val="00FA343F"/>
    <w:rsid w:val="00FA3654"/>
    <w:rsid w:val="00FA3B93"/>
    <w:rsid w:val="00FA3BD2"/>
    <w:rsid w:val="00FA3D0E"/>
    <w:rsid w:val="00FA3E8C"/>
    <w:rsid w:val="00FA3EF6"/>
    <w:rsid w:val="00FA4043"/>
    <w:rsid w:val="00FA4047"/>
    <w:rsid w:val="00FA4389"/>
    <w:rsid w:val="00FA4B66"/>
    <w:rsid w:val="00FA5976"/>
    <w:rsid w:val="00FA5BCA"/>
    <w:rsid w:val="00FA5D91"/>
    <w:rsid w:val="00FA649D"/>
    <w:rsid w:val="00FA684F"/>
    <w:rsid w:val="00FA6B3B"/>
    <w:rsid w:val="00FA6B85"/>
    <w:rsid w:val="00FA6C09"/>
    <w:rsid w:val="00FA6FC8"/>
    <w:rsid w:val="00FA7110"/>
    <w:rsid w:val="00FA7C8E"/>
    <w:rsid w:val="00FA7EF5"/>
    <w:rsid w:val="00FA7FDF"/>
    <w:rsid w:val="00FB011D"/>
    <w:rsid w:val="00FB0C8B"/>
    <w:rsid w:val="00FB0E8E"/>
    <w:rsid w:val="00FB12F5"/>
    <w:rsid w:val="00FB133A"/>
    <w:rsid w:val="00FB15B8"/>
    <w:rsid w:val="00FB19A8"/>
    <w:rsid w:val="00FB1C76"/>
    <w:rsid w:val="00FB217B"/>
    <w:rsid w:val="00FB22F8"/>
    <w:rsid w:val="00FB249E"/>
    <w:rsid w:val="00FB25C9"/>
    <w:rsid w:val="00FB2B99"/>
    <w:rsid w:val="00FB31C0"/>
    <w:rsid w:val="00FB3A8F"/>
    <w:rsid w:val="00FB42FD"/>
    <w:rsid w:val="00FB4467"/>
    <w:rsid w:val="00FB4863"/>
    <w:rsid w:val="00FB4C68"/>
    <w:rsid w:val="00FB55B7"/>
    <w:rsid w:val="00FB55E1"/>
    <w:rsid w:val="00FB56D1"/>
    <w:rsid w:val="00FB5993"/>
    <w:rsid w:val="00FB5DC7"/>
    <w:rsid w:val="00FB5F27"/>
    <w:rsid w:val="00FB679E"/>
    <w:rsid w:val="00FB6B2F"/>
    <w:rsid w:val="00FB6C29"/>
    <w:rsid w:val="00FB6F89"/>
    <w:rsid w:val="00FB7412"/>
    <w:rsid w:val="00FB77E3"/>
    <w:rsid w:val="00FB7E5E"/>
    <w:rsid w:val="00FC0577"/>
    <w:rsid w:val="00FC0977"/>
    <w:rsid w:val="00FC0B70"/>
    <w:rsid w:val="00FC1002"/>
    <w:rsid w:val="00FC2000"/>
    <w:rsid w:val="00FC24F9"/>
    <w:rsid w:val="00FC282E"/>
    <w:rsid w:val="00FC28FC"/>
    <w:rsid w:val="00FC2B0D"/>
    <w:rsid w:val="00FC3073"/>
    <w:rsid w:val="00FC3496"/>
    <w:rsid w:val="00FC34B7"/>
    <w:rsid w:val="00FC3B80"/>
    <w:rsid w:val="00FC3FB1"/>
    <w:rsid w:val="00FC4033"/>
    <w:rsid w:val="00FC4127"/>
    <w:rsid w:val="00FC4212"/>
    <w:rsid w:val="00FC4238"/>
    <w:rsid w:val="00FC430E"/>
    <w:rsid w:val="00FC43A5"/>
    <w:rsid w:val="00FC4482"/>
    <w:rsid w:val="00FC4C3D"/>
    <w:rsid w:val="00FC606E"/>
    <w:rsid w:val="00FC629F"/>
    <w:rsid w:val="00FC6DB9"/>
    <w:rsid w:val="00FC7022"/>
    <w:rsid w:val="00FC7045"/>
    <w:rsid w:val="00FC7187"/>
    <w:rsid w:val="00FC71F5"/>
    <w:rsid w:val="00FC7215"/>
    <w:rsid w:val="00FC75F7"/>
    <w:rsid w:val="00FC788A"/>
    <w:rsid w:val="00FC7F98"/>
    <w:rsid w:val="00FD00A6"/>
    <w:rsid w:val="00FD03CD"/>
    <w:rsid w:val="00FD04C3"/>
    <w:rsid w:val="00FD058F"/>
    <w:rsid w:val="00FD0B92"/>
    <w:rsid w:val="00FD10FA"/>
    <w:rsid w:val="00FD1107"/>
    <w:rsid w:val="00FD16DF"/>
    <w:rsid w:val="00FD1EC3"/>
    <w:rsid w:val="00FD23B9"/>
    <w:rsid w:val="00FD29D7"/>
    <w:rsid w:val="00FD2BDF"/>
    <w:rsid w:val="00FD3106"/>
    <w:rsid w:val="00FD315D"/>
    <w:rsid w:val="00FD3D07"/>
    <w:rsid w:val="00FD3DB9"/>
    <w:rsid w:val="00FD3E2B"/>
    <w:rsid w:val="00FD49DE"/>
    <w:rsid w:val="00FD4BA7"/>
    <w:rsid w:val="00FD50F0"/>
    <w:rsid w:val="00FD55BD"/>
    <w:rsid w:val="00FD5B34"/>
    <w:rsid w:val="00FD5EB8"/>
    <w:rsid w:val="00FD6063"/>
    <w:rsid w:val="00FD618B"/>
    <w:rsid w:val="00FD6270"/>
    <w:rsid w:val="00FD6BD9"/>
    <w:rsid w:val="00FD6E10"/>
    <w:rsid w:val="00FD6F2E"/>
    <w:rsid w:val="00FD6F88"/>
    <w:rsid w:val="00FD70CD"/>
    <w:rsid w:val="00FD760B"/>
    <w:rsid w:val="00FD76D1"/>
    <w:rsid w:val="00FD7C28"/>
    <w:rsid w:val="00FD7E8A"/>
    <w:rsid w:val="00FE0171"/>
    <w:rsid w:val="00FE095B"/>
    <w:rsid w:val="00FE0CEB"/>
    <w:rsid w:val="00FE0F85"/>
    <w:rsid w:val="00FE165A"/>
    <w:rsid w:val="00FE1AB6"/>
    <w:rsid w:val="00FE1E56"/>
    <w:rsid w:val="00FE1F4B"/>
    <w:rsid w:val="00FE20DD"/>
    <w:rsid w:val="00FE2CDE"/>
    <w:rsid w:val="00FE309A"/>
    <w:rsid w:val="00FE37C1"/>
    <w:rsid w:val="00FE39E7"/>
    <w:rsid w:val="00FE3B6C"/>
    <w:rsid w:val="00FE3D54"/>
    <w:rsid w:val="00FE40FE"/>
    <w:rsid w:val="00FE5166"/>
    <w:rsid w:val="00FE51DC"/>
    <w:rsid w:val="00FE54D8"/>
    <w:rsid w:val="00FE5513"/>
    <w:rsid w:val="00FE5580"/>
    <w:rsid w:val="00FE58B7"/>
    <w:rsid w:val="00FE5C58"/>
    <w:rsid w:val="00FE5D07"/>
    <w:rsid w:val="00FE5EFB"/>
    <w:rsid w:val="00FE6591"/>
    <w:rsid w:val="00FE6CFD"/>
    <w:rsid w:val="00FE6D14"/>
    <w:rsid w:val="00FE6FB6"/>
    <w:rsid w:val="00FE71A1"/>
    <w:rsid w:val="00FE76F6"/>
    <w:rsid w:val="00FE79A4"/>
    <w:rsid w:val="00FF010C"/>
    <w:rsid w:val="00FF0177"/>
    <w:rsid w:val="00FF01F9"/>
    <w:rsid w:val="00FF0BD6"/>
    <w:rsid w:val="00FF0D55"/>
    <w:rsid w:val="00FF139D"/>
    <w:rsid w:val="00FF13FF"/>
    <w:rsid w:val="00FF1571"/>
    <w:rsid w:val="00FF1572"/>
    <w:rsid w:val="00FF1595"/>
    <w:rsid w:val="00FF1659"/>
    <w:rsid w:val="00FF177E"/>
    <w:rsid w:val="00FF197F"/>
    <w:rsid w:val="00FF1A15"/>
    <w:rsid w:val="00FF23EB"/>
    <w:rsid w:val="00FF2662"/>
    <w:rsid w:val="00FF2AAE"/>
    <w:rsid w:val="00FF2CE3"/>
    <w:rsid w:val="00FF3470"/>
    <w:rsid w:val="00FF37B3"/>
    <w:rsid w:val="00FF3855"/>
    <w:rsid w:val="00FF3869"/>
    <w:rsid w:val="00FF3990"/>
    <w:rsid w:val="00FF3BBD"/>
    <w:rsid w:val="00FF3F81"/>
    <w:rsid w:val="00FF3FDB"/>
    <w:rsid w:val="00FF44A4"/>
    <w:rsid w:val="00FF4E9C"/>
    <w:rsid w:val="00FF50BA"/>
    <w:rsid w:val="00FF514D"/>
    <w:rsid w:val="00FF51CE"/>
    <w:rsid w:val="00FF53A8"/>
    <w:rsid w:val="00FF5F47"/>
    <w:rsid w:val="00FF6177"/>
    <w:rsid w:val="00FF6728"/>
    <w:rsid w:val="00FF6FDD"/>
    <w:rsid w:val="00FF7405"/>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9465B7"/>
  <w15:docId w15:val="{57FECC5A-4BA0-48D0-AFB5-F5E5B340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25A"/>
    <w:rPr>
      <w:sz w:val="24"/>
      <w:szCs w:val="24"/>
    </w:rPr>
  </w:style>
  <w:style w:type="paragraph" w:styleId="Heading1">
    <w:name w:val="heading 1"/>
    <w:basedOn w:val="Normal"/>
    <w:next w:val="Normal"/>
    <w:qFormat/>
    <w:rsid w:val="007B276F"/>
    <w:pPr>
      <w:keepNext/>
      <w:ind w:right="-660"/>
      <w:jc w:val="center"/>
      <w:outlineLvl w:val="0"/>
    </w:pPr>
    <w:rPr>
      <w:b/>
      <w:bCs/>
      <w:sz w:val="36"/>
    </w:rPr>
  </w:style>
  <w:style w:type="paragraph" w:styleId="Heading2">
    <w:name w:val="heading 2"/>
    <w:basedOn w:val="Normal"/>
    <w:next w:val="Normal"/>
    <w:qFormat/>
    <w:rsid w:val="007B276F"/>
    <w:pPr>
      <w:keepNext/>
      <w:jc w:val="center"/>
      <w:outlineLvl w:val="1"/>
    </w:pPr>
    <w:rPr>
      <w:b/>
      <w:bCs/>
    </w:rPr>
  </w:style>
  <w:style w:type="paragraph" w:styleId="Heading3">
    <w:name w:val="heading 3"/>
    <w:basedOn w:val="Normal"/>
    <w:next w:val="Normal"/>
    <w:qFormat/>
    <w:rsid w:val="007B276F"/>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B276F"/>
    <w:pPr>
      <w:jc w:val="center"/>
    </w:pPr>
    <w:rPr>
      <w:b/>
      <w:bCs/>
      <w:sz w:val="28"/>
    </w:rPr>
  </w:style>
  <w:style w:type="paragraph" w:styleId="Header">
    <w:name w:val="header"/>
    <w:basedOn w:val="Normal"/>
    <w:rsid w:val="007B276F"/>
    <w:pPr>
      <w:tabs>
        <w:tab w:val="center" w:pos="4320"/>
        <w:tab w:val="right" w:pos="8640"/>
      </w:tabs>
    </w:pPr>
  </w:style>
  <w:style w:type="paragraph" w:styleId="Footer">
    <w:name w:val="footer"/>
    <w:basedOn w:val="Normal"/>
    <w:rsid w:val="007B276F"/>
    <w:pPr>
      <w:tabs>
        <w:tab w:val="center" w:pos="4320"/>
        <w:tab w:val="right" w:pos="8640"/>
      </w:tabs>
    </w:pPr>
  </w:style>
  <w:style w:type="character" w:styleId="Hyperlink">
    <w:name w:val="Hyperlink"/>
    <w:rsid w:val="007B276F"/>
    <w:rPr>
      <w:rFonts w:cs="Times New Roman"/>
      <w:color w:val="0000FF"/>
      <w:u w:val="single"/>
    </w:rPr>
  </w:style>
  <w:style w:type="paragraph" w:customStyle="1" w:styleId="textindpara">
    <w:name w:val="text indpara"/>
    <w:basedOn w:val="Normal"/>
    <w:rsid w:val="007B276F"/>
    <w:pPr>
      <w:spacing w:before="100" w:beforeAutospacing="1" w:after="100" w:afterAutospacing="1"/>
    </w:pPr>
  </w:style>
  <w:style w:type="character" w:customStyle="1" w:styleId="text1">
    <w:name w:val="text1"/>
    <w:rsid w:val="007B276F"/>
    <w:rPr>
      <w:rFonts w:ascii="Times New Roman" w:hAnsi="Times New Roman" w:cs="Times New Roman" w:hint="default"/>
      <w:b w:val="0"/>
      <w:bCs w:val="0"/>
      <w:sz w:val="24"/>
      <w:szCs w:val="24"/>
    </w:rPr>
  </w:style>
  <w:style w:type="paragraph" w:styleId="BodyText2">
    <w:name w:val="Body Text 2"/>
    <w:basedOn w:val="Normal"/>
    <w:rsid w:val="00683F21"/>
    <w:pPr>
      <w:spacing w:before="100" w:after="100"/>
      <w:ind w:left="360" w:firstLine="360"/>
      <w:jc w:val="both"/>
    </w:pPr>
    <w:rPr>
      <w:sz w:val="22"/>
      <w:szCs w:val="20"/>
    </w:rPr>
  </w:style>
  <w:style w:type="character" w:customStyle="1" w:styleId="cBodyTextIndent">
    <w:name w:val="cBodyTextIndent"/>
    <w:rsid w:val="00683F21"/>
    <w:rPr>
      <w:rFonts w:ascii="Times New Roman" w:hAnsi="Times New Roman"/>
      <w:sz w:val="22"/>
    </w:rPr>
  </w:style>
  <w:style w:type="character" w:customStyle="1" w:styleId="style241">
    <w:name w:val="style241"/>
    <w:rsid w:val="00D70BE3"/>
    <w:rPr>
      <w:color w:val="666666"/>
    </w:rPr>
  </w:style>
  <w:style w:type="character" w:styleId="PageNumber">
    <w:name w:val="page number"/>
    <w:basedOn w:val="DefaultParagraphFont"/>
    <w:rsid w:val="006C177E"/>
  </w:style>
  <w:style w:type="paragraph" w:customStyle="1" w:styleId="Default">
    <w:name w:val="Default"/>
    <w:rsid w:val="00367CAE"/>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ED1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16289A"/>
    <w:pPr>
      <w:spacing w:before="100" w:beforeAutospacing="1" w:after="264"/>
    </w:pPr>
  </w:style>
  <w:style w:type="paragraph" w:styleId="BalloonText">
    <w:name w:val="Balloon Text"/>
    <w:basedOn w:val="Normal"/>
    <w:semiHidden/>
    <w:rsid w:val="00CB1443"/>
    <w:rPr>
      <w:rFonts w:ascii="Tahoma" w:hAnsi="Tahoma" w:cs="Tahoma"/>
      <w:sz w:val="16"/>
      <w:szCs w:val="16"/>
    </w:rPr>
  </w:style>
  <w:style w:type="numbering" w:customStyle="1" w:styleId="ListBullets">
    <w:name w:val="ListBullets"/>
    <w:rsid w:val="008009DD"/>
    <w:pPr>
      <w:numPr>
        <w:numId w:val="2"/>
      </w:numPr>
    </w:pPr>
  </w:style>
  <w:style w:type="character" w:styleId="Emphasis">
    <w:name w:val="Emphasis"/>
    <w:qFormat/>
    <w:rsid w:val="004072FA"/>
    <w:rPr>
      <w:i/>
      <w:iCs/>
    </w:rPr>
  </w:style>
  <w:style w:type="paragraph" w:styleId="ListBullet">
    <w:name w:val="List Bullet"/>
    <w:basedOn w:val="Normal"/>
    <w:qFormat/>
    <w:rsid w:val="00E63821"/>
    <w:pPr>
      <w:numPr>
        <w:numId w:val="1"/>
      </w:numPr>
      <w:ind w:left="460" w:hanging="180"/>
      <w:contextualSpacing/>
    </w:pPr>
    <w:rPr>
      <w:lang w:val="en"/>
    </w:rPr>
  </w:style>
  <w:style w:type="paragraph" w:styleId="ListBullet2">
    <w:name w:val="List Bullet 2"/>
    <w:basedOn w:val="Normal"/>
    <w:rsid w:val="008009DD"/>
    <w:pPr>
      <w:numPr>
        <w:ilvl w:val="1"/>
        <w:numId w:val="1"/>
      </w:numPr>
      <w:ind w:left="1296" w:hanging="288"/>
      <w:contextualSpacing/>
    </w:pPr>
  </w:style>
  <w:style w:type="paragraph" w:styleId="ListBullet4">
    <w:name w:val="List Bullet 4"/>
    <w:basedOn w:val="Normal"/>
    <w:rsid w:val="008009DD"/>
    <w:pPr>
      <w:numPr>
        <w:ilvl w:val="3"/>
        <w:numId w:val="1"/>
      </w:numPr>
      <w:ind w:left="2736" w:hanging="288"/>
      <w:contextualSpacing/>
    </w:pPr>
  </w:style>
  <w:style w:type="paragraph" w:styleId="ListBullet5">
    <w:name w:val="List Bullet 5"/>
    <w:basedOn w:val="Normal"/>
    <w:rsid w:val="008009DD"/>
    <w:pPr>
      <w:numPr>
        <w:ilvl w:val="4"/>
        <w:numId w:val="1"/>
      </w:numPr>
      <w:ind w:left="3456" w:hanging="288"/>
      <w:contextualSpacing/>
    </w:pPr>
  </w:style>
  <w:style w:type="paragraph" w:styleId="ListParagraph">
    <w:name w:val="List Paragraph"/>
    <w:basedOn w:val="Normal"/>
    <w:uiPriority w:val="34"/>
    <w:qFormat/>
    <w:rsid w:val="00344B53"/>
    <w:pPr>
      <w:ind w:left="720"/>
    </w:pPr>
  </w:style>
  <w:style w:type="character" w:customStyle="1" w:styleId="HTMLPreformattedChar">
    <w:name w:val="HTML Preformatted Char"/>
    <w:link w:val="HTMLPreformatted"/>
    <w:uiPriority w:val="99"/>
    <w:rsid w:val="00445EF5"/>
    <w:rPr>
      <w:rFonts w:ascii="Courier New" w:hAnsi="Courier New" w:cs="Courier New"/>
    </w:rPr>
  </w:style>
  <w:style w:type="paragraph" w:styleId="NoSpacing">
    <w:name w:val="No Spacing"/>
    <w:uiPriority w:val="1"/>
    <w:qFormat/>
    <w:rsid w:val="00D255E7"/>
    <w:rPr>
      <w:rFonts w:ascii="Calibri" w:eastAsia="Calibri" w:hAnsi="Calibri"/>
      <w:sz w:val="22"/>
      <w:szCs w:val="22"/>
    </w:rPr>
  </w:style>
  <w:style w:type="character" w:customStyle="1" w:styleId="bhistory">
    <w:name w:val="bhistory"/>
    <w:basedOn w:val="DefaultParagraphFont"/>
    <w:rsid w:val="00F6558D"/>
  </w:style>
  <w:style w:type="character" w:customStyle="1" w:styleId="apple-converted-space">
    <w:name w:val="apple-converted-space"/>
    <w:basedOn w:val="DefaultParagraphFont"/>
    <w:rsid w:val="00F6558D"/>
  </w:style>
  <w:style w:type="character" w:customStyle="1" w:styleId="histyear">
    <w:name w:val="hist_year"/>
    <w:basedOn w:val="DefaultParagraphFont"/>
    <w:rsid w:val="00F6558D"/>
  </w:style>
  <w:style w:type="character" w:customStyle="1" w:styleId="histchapter">
    <w:name w:val="hist_chapter"/>
    <w:basedOn w:val="DefaultParagraphFont"/>
    <w:rsid w:val="00F6558D"/>
  </w:style>
  <w:style w:type="character" w:customStyle="1" w:styleId="histsection">
    <w:name w:val="hist_section"/>
    <w:basedOn w:val="DefaultParagraphFont"/>
    <w:rsid w:val="00F6558D"/>
  </w:style>
  <w:style w:type="character" w:styleId="Strong">
    <w:name w:val="Strong"/>
    <w:basedOn w:val="DefaultParagraphFont"/>
    <w:uiPriority w:val="22"/>
    <w:qFormat/>
    <w:rsid w:val="00670853"/>
    <w:rPr>
      <w:b/>
      <w:bCs/>
    </w:rPr>
  </w:style>
  <w:style w:type="character" w:styleId="CommentReference">
    <w:name w:val="annotation reference"/>
    <w:basedOn w:val="DefaultParagraphFont"/>
    <w:semiHidden/>
    <w:unhideWhenUsed/>
    <w:rsid w:val="00F63DC4"/>
    <w:rPr>
      <w:sz w:val="16"/>
      <w:szCs w:val="16"/>
    </w:rPr>
  </w:style>
  <w:style w:type="paragraph" w:styleId="CommentText">
    <w:name w:val="annotation text"/>
    <w:basedOn w:val="Normal"/>
    <w:link w:val="CommentTextChar"/>
    <w:semiHidden/>
    <w:unhideWhenUsed/>
    <w:rsid w:val="00F63DC4"/>
    <w:rPr>
      <w:sz w:val="20"/>
      <w:szCs w:val="20"/>
    </w:rPr>
  </w:style>
  <w:style w:type="character" w:customStyle="1" w:styleId="CommentTextChar">
    <w:name w:val="Comment Text Char"/>
    <w:basedOn w:val="DefaultParagraphFont"/>
    <w:link w:val="CommentText"/>
    <w:semiHidden/>
    <w:rsid w:val="00F63DC4"/>
  </w:style>
  <w:style w:type="paragraph" w:styleId="CommentSubject">
    <w:name w:val="annotation subject"/>
    <w:basedOn w:val="CommentText"/>
    <w:next w:val="CommentText"/>
    <w:link w:val="CommentSubjectChar"/>
    <w:semiHidden/>
    <w:unhideWhenUsed/>
    <w:rsid w:val="00F63DC4"/>
    <w:rPr>
      <w:b/>
      <w:bCs/>
    </w:rPr>
  </w:style>
  <w:style w:type="character" w:customStyle="1" w:styleId="CommentSubjectChar">
    <w:name w:val="Comment Subject Char"/>
    <w:basedOn w:val="CommentTextChar"/>
    <w:link w:val="CommentSubject"/>
    <w:semiHidden/>
    <w:rsid w:val="00F63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109">
      <w:bodyDiv w:val="1"/>
      <w:marLeft w:val="0"/>
      <w:marRight w:val="0"/>
      <w:marTop w:val="0"/>
      <w:marBottom w:val="0"/>
      <w:divBdr>
        <w:top w:val="none" w:sz="0" w:space="0" w:color="auto"/>
        <w:left w:val="none" w:sz="0" w:space="0" w:color="auto"/>
        <w:bottom w:val="none" w:sz="0" w:space="0" w:color="auto"/>
        <w:right w:val="none" w:sz="0" w:space="0" w:color="auto"/>
      </w:divBdr>
    </w:div>
    <w:div w:id="30998632">
      <w:bodyDiv w:val="1"/>
      <w:marLeft w:val="0"/>
      <w:marRight w:val="0"/>
      <w:marTop w:val="0"/>
      <w:marBottom w:val="0"/>
      <w:divBdr>
        <w:top w:val="none" w:sz="0" w:space="0" w:color="auto"/>
        <w:left w:val="none" w:sz="0" w:space="0" w:color="auto"/>
        <w:bottom w:val="none" w:sz="0" w:space="0" w:color="auto"/>
        <w:right w:val="none" w:sz="0" w:space="0" w:color="auto"/>
      </w:divBdr>
    </w:div>
    <w:div w:id="33387073">
      <w:bodyDiv w:val="1"/>
      <w:marLeft w:val="0"/>
      <w:marRight w:val="0"/>
      <w:marTop w:val="0"/>
      <w:marBottom w:val="0"/>
      <w:divBdr>
        <w:top w:val="none" w:sz="0" w:space="0" w:color="auto"/>
        <w:left w:val="none" w:sz="0" w:space="0" w:color="auto"/>
        <w:bottom w:val="none" w:sz="0" w:space="0" w:color="auto"/>
        <w:right w:val="none" w:sz="0" w:space="0" w:color="auto"/>
      </w:divBdr>
    </w:div>
    <w:div w:id="47339582">
      <w:bodyDiv w:val="1"/>
      <w:marLeft w:val="0"/>
      <w:marRight w:val="0"/>
      <w:marTop w:val="0"/>
      <w:marBottom w:val="0"/>
      <w:divBdr>
        <w:top w:val="none" w:sz="0" w:space="0" w:color="auto"/>
        <w:left w:val="none" w:sz="0" w:space="0" w:color="auto"/>
        <w:bottom w:val="none" w:sz="0" w:space="0" w:color="auto"/>
        <w:right w:val="none" w:sz="0" w:space="0" w:color="auto"/>
      </w:divBdr>
    </w:div>
    <w:div w:id="87392123">
      <w:bodyDiv w:val="1"/>
      <w:marLeft w:val="0"/>
      <w:marRight w:val="0"/>
      <w:marTop w:val="0"/>
      <w:marBottom w:val="0"/>
      <w:divBdr>
        <w:top w:val="none" w:sz="0" w:space="0" w:color="auto"/>
        <w:left w:val="none" w:sz="0" w:space="0" w:color="auto"/>
        <w:bottom w:val="none" w:sz="0" w:space="0" w:color="auto"/>
        <w:right w:val="none" w:sz="0" w:space="0" w:color="auto"/>
      </w:divBdr>
    </w:div>
    <w:div w:id="88700501">
      <w:bodyDiv w:val="1"/>
      <w:marLeft w:val="0"/>
      <w:marRight w:val="0"/>
      <w:marTop w:val="0"/>
      <w:marBottom w:val="0"/>
      <w:divBdr>
        <w:top w:val="none" w:sz="0" w:space="0" w:color="auto"/>
        <w:left w:val="none" w:sz="0" w:space="0" w:color="auto"/>
        <w:bottom w:val="none" w:sz="0" w:space="0" w:color="auto"/>
        <w:right w:val="none" w:sz="0" w:space="0" w:color="auto"/>
      </w:divBdr>
    </w:div>
    <w:div w:id="107548730">
      <w:bodyDiv w:val="1"/>
      <w:marLeft w:val="0"/>
      <w:marRight w:val="0"/>
      <w:marTop w:val="0"/>
      <w:marBottom w:val="0"/>
      <w:divBdr>
        <w:top w:val="none" w:sz="0" w:space="0" w:color="auto"/>
        <w:left w:val="none" w:sz="0" w:space="0" w:color="auto"/>
        <w:bottom w:val="none" w:sz="0" w:space="0" w:color="auto"/>
        <w:right w:val="none" w:sz="0" w:space="0" w:color="auto"/>
      </w:divBdr>
    </w:div>
    <w:div w:id="118620177">
      <w:bodyDiv w:val="1"/>
      <w:marLeft w:val="0"/>
      <w:marRight w:val="0"/>
      <w:marTop w:val="0"/>
      <w:marBottom w:val="0"/>
      <w:divBdr>
        <w:top w:val="none" w:sz="0" w:space="0" w:color="auto"/>
        <w:left w:val="none" w:sz="0" w:space="0" w:color="auto"/>
        <w:bottom w:val="none" w:sz="0" w:space="0" w:color="auto"/>
        <w:right w:val="none" w:sz="0" w:space="0" w:color="auto"/>
      </w:divBdr>
    </w:div>
    <w:div w:id="120659081">
      <w:bodyDiv w:val="1"/>
      <w:marLeft w:val="0"/>
      <w:marRight w:val="0"/>
      <w:marTop w:val="0"/>
      <w:marBottom w:val="0"/>
      <w:divBdr>
        <w:top w:val="none" w:sz="0" w:space="0" w:color="auto"/>
        <w:left w:val="none" w:sz="0" w:space="0" w:color="auto"/>
        <w:bottom w:val="none" w:sz="0" w:space="0" w:color="auto"/>
        <w:right w:val="none" w:sz="0" w:space="0" w:color="auto"/>
      </w:divBdr>
    </w:div>
    <w:div w:id="130709173">
      <w:bodyDiv w:val="1"/>
      <w:marLeft w:val="0"/>
      <w:marRight w:val="0"/>
      <w:marTop w:val="0"/>
      <w:marBottom w:val="0"/>
      <w:divBdr>
        <w:top w:val="none" w:sz="0" w:space="0" w:color="auto"/>
        <w:left w:val="none" w:sz="0" w:space="0" w:color="auto"/>
        <w:bottom w:val="none" w:sz="0" w:space="0" w:color="auto"/>
        <w:right w:val="none" w:sz="0" w:space="0" w:color="auto"/>
      </w:divBdr>
    </w:div>
    <w:div w:id="137305967">
      <w:bodyDiv w:val="1"/>
      <w:marLeft w:val="0"/>
      <w:marRight w:val="0"/>
      <w:marTop w:val="0"/>
      <w:marBottom w:val="0"/>
      <w:divBdr>
        <w:top w:val="none" w:sz="0" w:space="0" w:color="auto"/>
        <w:left w:val="none" w:sz="0" w:space="0" w:color="auto"/>
        <w:bottom w:val="none" w:sz="0" w:space="0" w:color="auto"/>
        <w:right w:val="none" w:sz="0" w:space="0" w:color="auto"/>
      </w:divBdr>
    </w:div>
    <w:div w:id="154103758">
      <w:bodyDiv w:val="1"/>
      <w:marLeft w:val="0"/>
      <w:marRight w:val="0"/>
      <w:marTop w:val="0"/>
      <w:marBottom w:val="0"/>
      <w:divBdr>
        <w:top w:val="none" w:sz="0" w:space="0" w:color="auto"/>
        <w:left w:val="none" w:sz="0" w:space="0" w:color="auto"/>
        <w:bottom w:val="none" w:sz="0" w:space="0" w:color="auto"/>
        <w:right w:val="none" w:sz="0" w:space="0" w:color="auto"/>
      </w:divBdr>
    </w:div>
    <w:div w:id="170726254">
      <w:bodyDiv w:val="1"/>
      <w:marLeft w:val="0"/>
      <w:marRight w:val="0"/>
      <w:marTop w:val="0"/>
      <w:marBottom w:val="0"/>
      <w:divBdr>
        <w:top w:val="none" w:sz="0" w:space="0" w:color="auto"/>
        <w:left w:val="none" w:sz="0" w:space="0" w:color="auto"/>
        <w:bottom w:val="none" w:sz="0" w:space="0" w:color="auto"/>
        <w:right w:val="none" w:sz="0" w:space="0" w:color="auto"/>
      </w:divBdr>
    </w:div>
    <w:div w:id="179778408">
      <w:bodyDiv w:val="1"/>
      <w:marLeft w:val="0"/>
      <w:marRight w:val="0"/>
      <w:marTop w:val="0"/>
      <w:marBottom w:val="0"/>
      <w:divBdr>
        <w:top w:val="none" w:sz="0" w:space="0" w:color="auto"/>
        <w:left w:val="none" w:sz="0" w:space="0" w:color="auto"/>
        <w:bottom w:val="none" w:sz="0" w:space="0" w:color="auto"/>
        <w:right w:val="none" w:sz="0" w:space="0" w:color="auto"/>
      </w:divBdr>
    </w:div>
    <w:div w:id="183905322">
      <w:bodyDiv w:val="1"/>
      <w:marLeft w:val="0"/>
      <w:marRight w:val="0"/>
      <w:marTop w:val="0"/>
      <w:marBottom w:val="0"/>
      <w:divBdr>
        <w:top w:val="none" w:sz="0" w:space="0" w:color="auto"/>
        <w:left w:val="none" w:sz="0" w:space="0" w:color="auto"/>
        <w:bottom w:val="none" w:sz="0" w:space="0" w:color="auto"/>
        <w:right w:val="none" w:sz="0" w:space="0" w:color="auto"/>
      </w:divBdr>
    </w:div>
    <w:div w:id="185756758">
      <w:bodyDiv w:val="1"/>
      <w:marLeft w:val="0"/>
      <w:marRight w:val="0"/>
      <w:marTop w:val="0"/>
      <w:marBottom w:val="0"/>
      <w:divBdr>
        <w:top w:val="none" w:sz="0" w:space="0" w:color="auto"/>
        <w:left w:val="none" w:sz="0" w:space="0" w:color="auto"/>
        <w:bottom w:val="none" w:sz="0" w:space="0" w:color="auto"/>
        <w:right w:val="none" w:sz="0" w:space="0" w:color="auto"/>
      </w:divBdr>
    </w:div>
    <w:div w:id="198664908">
      <w:bodyDiv w:val="1"/>
      <w:marLeft w:val="0"/>
      <w:marRight w:val="0"/>
      <w:marTop w:val="0"/>
      <w:marBottom w:val="0"/>
      <w:divBdr>
        <w:top w:val="none" w:sz="0" w:space="0" w:color="auto"/>
        <w:left w:val="none" w:sz="0" w:space="0" w:color="auto"/>
        <w:bottom w:val="none" w:sz="0" w:space="0" w:color="auto"/>
        <w:right w:val="none" w:sz="0" w:space="0" w:color="auto"/>
      </w:divBdr>
    </w:div>
    <w:div w:id="225260036">
      <w:bodyDiv w:val="1"/>
      <w:marLeft w:val="0"/>
      <w:marRight w:val="0"/>
      <w:marTop w:val="0"/>
      <w:marBottom w:val="0"/>
      <w:divBdr>
        <w:top w:val="none" w:sz="0" w:space="0" w:color="auto"/>
        <w:left w:val="none" w:sz="0" w:space="0" w:color="auto"/>
        <w:bottom w:val="none" w:sz="0" w:space="0" w:color="auto"/>
        <w:right w:val="none" w:sz="0" w:space="0" w:color="auto"/>
      </w:divBdr>
    </w:div>
    <w:div w:id="232664564">
      <w:bodyDiv w:val="1"/>
      <w:marLeft w:val="0"/>
      <w:marRight w:val="0"/>
      <w:marTop w:val="0"/>
      <w:marBottom w:val="0"/>
      <w:divBdr>
        <w:top w:val="none" w:sz="0" w:space="0" w:color="auto"/>
        <w:left w:val="none" w:sz="0" w:space="0" w:color="auto"/>
        <w:bottom w:val="none" w:sz="0" w:space="0" w:color="auto"/>
        <w:right w:val="none" w:sz="0" w:space="0" w:color="auto"/>
      </w:divBdr>
    </w:div>
    <w:div w:id="233515978">
      <w:bodyDiv w:val="1"/>
      <w:marLeft w:val="0"/>
      <w:marRight w:val="0"/>
      <w:marTop w:val="0"/>
      <w:marBottom w:val="0"/>
      <w:divBdr>
        <w:top w:val="none" w:sz="0" w:space="0" w:color="auto"/>
        <w:left w:val="none" w:sz="0" w:space="0" w:color="auto"/>
        <w:bottom w:val="none" w:sz="0" w:space="0" w:color="auto"/>
        <w:right w:val="none" w:sz="0" w:space="0" w:color="auto"/>
      </w:divBdr>
    </w:div>
    <w:div w:id="241648892">
      <w:bodyDiv w:val="1"/>
      <w:marLeft w:val="0"/>
      <w:marRight w:val="0"/>
      <w:marTop w:val="0"/>
      <w:marBottom w:val="0"/>
      <w:divBdr>
        <w:top w:val="none" w:sz="0" w:space="0" w:color="auto"/>
        <w:left w:val="none" w:sz="0" w:space="0" w:color="auto"/>
        <w:bottom w:val="none" w:sz="0" w:space="0" w:color="auto"/>
        <w:right w:val="none" w:sz="0" w:space="0" w:color="auto"/>
      </w:divBdr>
    </w:div>
    <w:div w:id="243144800">
      <w:bodyDiv w:val="1"/>
      <w:marLeft w:val="0"/>
      <w:marRight w:val="0"/>
      <w:marTop w:val="0"/>
      <w:marBottom w:val="0"/>
      <w:divBdr>
        <w:top w:val="none" w:sz="0" w:space="0" w:color="auto"/>
        <w:left w:val="none" w:sz="0" w:space="0" w:color="auto"/>
        <w:bottom w:val="none" w:sz="0" w:space="0" w:color="auto"/>
        <w:right w:val="none" w:sz="0" w:space="0" w:color="auto"/>
      </w:divBdr>
    </w:div>
    <w:div w:id="249125860">
      <w:bodyDiv w:val="1"/>
      <w:marLeft w:val="0"/>
      <w:marRight w:val="0"/>
      <w:marTop w:val="0"/>
      <w:marBottom w:val="0"/>
      <w:divBdr>
        <w:top w:val="none" w:sz="0" w:space="0" w:color="auto"/>
        <w:left w:val="none" w:sz="0" w:space="0" w:color="auto"/>
        <w:bottom w:val="none" w:sz="0" w:space="0" w:color="auto"/>
        <w:right w:val="none" w:sz="0" w:space="0" w:color="auto"/>
      </w:divBdr>
    </w:div>
    <w:div w:id="251090182">
      <w:bodyDiv w:val="1"/>
      <w:marLeft w:val="0"/>
      <w:marRight w:val="0"/>
      <w:marTop w:val="0"/>
      <w:marBottom w:val="0"/>
      <w:divBdr>
        <w:top w:val="none" w:sz="0" w:space="0" w:color="auto"/>
        <w:left w:val="none" w:sz="0" w:space="0" w:color="auto"/>
        <w:bottom w:val="none" w:sz="0" w:space="0" w:color="auto"/>
        <w:right w:val="none" w:sz="0" w:space="0" w:color="auto"/>
      </w:divBdr>
    </w:div>
    <w:div w:id="260796892">
      <w:bodyDiv w:val="1"/>
      <w:marLeft w:val="0"/>
      <w:marRight w:val="0"/>
      <w:marTop w:val="0"/>
      <w:marBottom w:val="0"/>
      <w:divBdr>
        <w:top w:val="none" w:sz="0" w:space="0" w:color="auto"/>
        <w:left w:val="none" w:sz="0" w:space="0" w:color="auto"/>
        <w:bottom w:val="none" w:sz="0" w:space="0" w:color="auto"/>
        <w:right w:val="none" w:sz="0" w:space="0" w:color="auto"/>
      </w:divBdr>
    </w:div>
    <w:div w:id="279385720">
      <w:bodyDiv w:val="1"/>
      <w:marLeft w:val="0"/>
      <w:marRight w:val="0"/>
      <w:marTop w:val="0"/>
      <w:marBottom w:val="0"/>
      <w:divBdr>
        <w:top w:val="none" w:sz="0" w:space="0" w:color="auto"/>
        <w:left w:val="none" w:sz="0" w:space="0" w:color="auto"/>
        <w:bottom w:val="none" w:sz="0" w:space="0" w:color="auto"/>
        <w:right w:val="none" w:sz="0" w:space="0" w:color="auto"/>
      </w:divBdr>
    </w:div>
    <w:div w:id="283080172">
      <w:bodyDiv w:val="1"/>
      <w:marLeft w:val="0"/>
      <w:marRight w:val="0"/>
      <w:marTop w:val="0"/>
      <w:marBottom w:val="0"/>
      <w:divBdr>
        <w:top w:val="none" w:sz="0" w:space="0" w:color="auto"/>
        <w:left w:val="none" w:sz="0" w:space="0" w:color="auto"/>
        <w:bottom w:val="none" w:sz="0" w:space="0" w:color="auto"/>
        <w:right w:val="none" w:sz="0" w:space="0" w:color="auto"/>
      </w:divBdr>
    </w:div>
    <w:div w:id="304237130">
      <w:bodyDiv w:val="1"/>
      <w:marLeft w:val="0"/>
      <w:marRight w:val="0"/>
      <w:marTop w:val="0"/>
      <w:marBottom w:val="0"/>
      <w:divBdr>
        <w:top w:val="none" w:sz="0" w:space="0" w:color="auto"/>
        <w:left w:val="none" w:sz="0" w:space="0" w:color="auto"/>
        <w:bottom w:val="none" w:sz="0" w:space="0" w:color="auto"/>
        <w:right w:val="none" w:sz="0" w:space="0" w:color="auto"/>
      </w:divBdr>
    </w:div>
    <w:div w:id="308903825">
      <w:bodyDiv w:val="1"/>
      <w:marLeft w:val="0"/>
      <w:marRight w:val="0"/>
      <w:marTop w:val="0"/>
      <w:marBottom w:val="0"/>
      <w:divBdr>
        <w:top w:val="none" w:sz="0" w:space="0" w:color="auto"/>
        <w:left w:val="none" w:sz="0" w:space="0" w:color="auto"/>
        <w:bottom w:val="none" w:sz="0" w:space="0" w:color="auto"/>
        <w:right w:val="none" w:sz="0" w:space="0" w:color="auto"/>
      </w:divBdr>
    </w:div>
    <w:div w:id="316112172">
      <w:bodyDiv w:val="1"/>
      <w:marLeft w:val="0"/>
      <w:marRight w:val="0"/>
      <w:marTop w:val="0"/>
      <w:marBottom w:val="0"/>
      <w:divBdr>
        <w:top w:val="none" w:sz="0" w:space="0" w:color="auto"/>
        <w:left w:val="none" w:sz="0" w:space="0" w:color="auto"/>
        <w:bottom w:val="none" w:sz="0" w:space="0" w:color="auto"/>
        <w:right w:val="none" w:sz="0" w:space="0" w:color="auto"/>
      </w:divBdr>
    </w:div>
    <w:div w:id="326834128">
      <w:bodyDiv w:val="1"/>
      <w:marLeft w:val="0"/>
      <w:marRight w:val="0"/>
      <w:marTop w:val="0"/>
      <w:marBottom w:val="0"/>
      <w:divBdr>
        <w:top w:val="none" w:sz="0" w:space="0" w:color="auto"/>
        <w:left w:val="none" w:sz="0" w:space="0" w:color="auto"/>
        <w:bottom w:val="none" w:sz="0" w:space="0" w:color="auto"/>
        <w:right w:val="none" w:sz="0" w:space="0" w:color="auto"/>
      </w:divBdr>
    </w:div>
    <w:div w:id="337319618">
      <w:bodyDiv w:val="1"/>
      <w:marLeft w:val="0"/>
      <w:marRight w:val="0"/>
      <w:marTop w:val="0"/>
      <w:marBottom w:val="0"/>
      <w:divBdr>
        <w:top w:val="none" w:sz="0" w:space="0" w:color="auto"/>
        <w:left w:val="none" w:sz="0" w:space="0" w:color="auto"/>
        <w:bottom w:val="none" w:sz="0" w:space="0" w:color="auto"/>
        <w:right w:val="none" w:sz="0" w:space="0" w:color="auto"/>
      </w:divBdr>
    </w:div>
    <w:div w:id="359598677">
      <w:bodyDiv w:val="1"/>
      <w:marLeft w:val="0"/>
      <w:marRight w:val="0"/>
      <w:marTop w:val="0"/>
      <w:marBottom w:val="0"/>
      <w:divBdr>
        <w:top w:val="none" w:sz="0" w:space="0" w:color="auto"/>
        <w:left w:val="none" w:sz="0" w:space="0" w:color="auto"/>
        <w:bottom w:val="none" w:sz="0" w:space="0" w:color="auto"/>
        <w:right w:val="none" w:sz="0" w:space="0" w:color="auto"/>
      </w:divBdr>
    </w:div>
    <w:div w:id="366416985">
      <w:bodyDiv w:val="1"/>
      <w:marLeft w:val="0"/>
      <w:marRight w:val="0"/>
      <w:marTop w:val="0"/>
      <w:marBottom w:val="0"/>
      <w:divBdr>
        <w:top w:val="none" w:sz="0" w:space="0" w:color="auto"/>
        <w:left w:val="none" w:sz="0" w:space="0" w:color="auto"/>
        <w:bottom w:val="none" w:sz="0" w:space="0" w:color="auto"/>
        <w:right w:val="none" w:sz="0" w:space="0" w:color="auto"/>
      </w:divBdr>
    </w:div>
    <w:div w:id="369300362">
      <w:bodyDiv w:val="1"/>
      <w:marLeft w:val="0"/>
      <w:marRight w:val="0"/>
      <w:marTop w:val="0"/>
      <w:marBottom w:val="0"/>
      <w:divBdr>
        <w:top w:val="none" w:sz="0" w:space="0" w:color="auto"/>
        <w:left w:val="none" w:sz="0" w:space="0" w:color="auto"/>
        <w:bottom w:val="none" w:sz="0" w:space="0" w:color="auto"/>
        <w:right w:val="none" w:sz="0" w:space="0" w:color="auto"/>
      </w:divBdr>
    </w:div>
    <w:div w:id="372272656">
      <w:bodyDiv w:val="1"/>
      <w:marLeft w:val="0"/>
      <w:marRight w:val="0"/>
      <w:marTop w:val="0"/>
      <w:marBottom w:val="0"/>
      <w:divBdr>
        <w:top w:val="none" w:sz="0" w:space="0" w:color="auto"/>
        <w:left w:val="none" w:sz="0" w:space="0" w:color="auto"/>
        <w:bottom w:val="none" w:sz="0" w:space="0" w:color="auto"/>
        <w:right w:val="none" w:sz="0" w:space="0" w:color="auto"/>
      </w:divBdr>
    </w:div>
    <w:div w:id="387848763">
      <w:bodyDiv w:val="1"/>
      <w:marLeft w:val="0"/>
      <w:marRight w:val="0"/>
      <w:marTop w:val="0"/>
      <w:marBottom w:val="0"/>
      <w:divBdr>
        <w:top w:val="none" w:sz="0" w:space="0" w:color="auto"/>
        <w:left w:val="none" w:sz="0" w:space="0" w:color="auto"/>
        <w:bottom w:val="none" w:sz="0" w:space="0" w:color="auto"/>
        <w:right w:val="none" w:sz="0" w:space="0" w:color="auto"/>
      </w:divBdr>
    </w:div>
    <w:div w:id="391198147">
      <w:bodyDiv w:val="1"/>
      <w:marLeft w:val="0"/>
      <w:marRight w:val="0"/>
      <w:marTop w:val="0"/>
      <w:marBottom w:val="0"/>
      <w:divBdr>
        <w:top w:val="none" w:sz="0" w:space="0" w:color="auto"/>
        <w:left w:val="none" w:sz="0" w:space="0" w:color="auto"/>
        <w:bottom w:val="none" w:sz="0" w:space="0" w:color="auto"/>
        <w:right w:val="none" w:sz="0" w:space="0" w:color="auto"/>
      </w:divBdr>
    </w:div>
    <w:div w:id="394158718">
      <w:bodyDiv w:val="1"/>
      <w:marLeft w:val="0"/>
      <w:marRight w:val="0"/>
      <w:marTop w:val="0"/>
      <w:marBottom w:val="0"/>
      <w:divBdr>
        <w:top w:val="none" w:sz="0" w:space="0" w:color="auto"/>
        <w:left w:val="none" w:sz="0" w:space="0" w:color="auto"/>
        <w:bottom w:val="none" w:sz="0" w:space="0" w:color="auto"/>
        <w:right w:val="none" w:sz="0" w:space="0" w:color="auto"/>
      </w:divBdr>
    </w:div>
    <w:div w:id="400254661">
      <w:bodyDiv w:val="1"/>
      <w:marLeft w:val="0"/>
      <w:marRight w:val="0"/>
      <w:marTop w:val="0"/>
      <w:marBottom w:val="0"/>
      <w:divBdr>
        <w:top w:val="none" w:sz="0" w:space="0" w:color="auto"/>
        <w:left w:val="none" w:sz="0" w:space="0" w:color="auto"/>
        <w:bottom w:val="none" w:sz="0" w:space="0" w:color="auto"/>
        <w:right w:val="none" w:sz="0" w:space="0" w:color="auto"/>
      </w:divBdr>
    </w:div>
    <w:div w:id="402529783">
      <w:bodyDiv w:val="1"/>
      <w:marLeft w:val="0"/>
      <w:marRight w:val="0"/>
      <w:marTop w:val="0"/>
      <w:marBottom w:val="0"/>
      <w:divBdr>
        <w:top w:val="none" w:sz="0" w:space="0" w:color="auto"/>
        <w:left w:val="none" w:sz="0" w:space="0" w:color="auto"/>
        <w:bottom w:val="none" w:sz="0" w:space="0" w:color="auto"/>
        <w:right w:val="none" w:sz="0" w:space="0" w:color="auto"/>
      </w:divBdr>
    </w:div>
    <w:div w:id="402601321">
      <w:bodyDiv w:val="1"/>
      <w:marLeft w:val="0"/>
      <w:marRight w:val="0"/>
      <w:marTop w:val="0"/>
      <w:marBottom w:val="0"/>
      <w:divBdr>
        <w:top w:val="none" w:sz="0" w:space="0" w:color="auto"/>
        <w:left w:val="none" w:sz="0" w:space="0" w:color="auto"/>
        <w:bottom w:val="none" w:sz="0" w:space="0" w:color="auto"/>
        <w:right w:val="none" w:sz="0" w:space="0" w:color="auto"/>
      </w:divBdr>
    </w:div>
    <w:div w:id="403453245">
      <w:bodyDiv w:val="1"/>
      <w:marLeft w:val="0"/>
      <w:marRight w:val="0"/>
      <w:marTop w:val="0"/>
      <w:marBottom w:val="0"/>
      <w:divBdr>
        <w:top w:val="none" w:sz="0" w:space="0" w:color="auto"/>
        <w:left w:val="none" w:sz="0" w:space="0" w:color="auto"/>
        <w:bottom w:val="none" w:sz="0" w:space="0" w:color="auto"/>
        <w:right w:val="none" w:sz="0" w:space="0" w:color="auto"/>
      </w:divBdr>
    </w:div>
    <w:div w:id="425269906">
      <w:bodyDiv w:val="1"/>
      <w:marLeft w:val="0"/>
      <w:marRight w:val="0"/>
      <w:marTop w:val="0"/>
      <w:marBottom w:val="0"/>
      <w:divBdr>
        <w:top w:val="none" w:sz="0" w:space="0" w:color="auto"/>
        <w:left w:val="none" w:sz="0" w:space="0" w:color="auto"/>
        <w:bottom w:val="none" w:sz="0" w:space="0" w:color="auto"/>
        <w:right w:val="none" w:sz="0" w:space="0" w:color="auto"/>
      </w:divBdr>
    </w:div>
    <w:div w:id="426001015">
      <w:bodyDiv w:val="1"/>
      <w:marLeft w:val="0"/>
      <w:marRight w:val="0"/>
      <w:marTop w:val="0"/>
      <w:marBottom w:val="0"/>
      <w:divBdr>
        <w:top w:val="none" w:sz="0" w:space="0" w:color="auto"/>
        <w:left w:val="none" w:sz="0" w:space="0" w:color="auto"/>
        <w:bottom w:val="none" w:sz="0" w:space="0" w:color="auto"/>
        <w:right w:val="none" w:sz="0" w:space="0" w:color="auto"/>
      </w:divBdr>
    </w:div>
    <w:div w:id="433866303">
      <w:bodyDiv w:val="1"/>
      <w:marLeft w:val="0"/>
      <w:marRight w:val="0"/>
      <w:marTop w:val="0"/>
      <w:marBottom w:val="0"/>
      <w:divBdr>
        <w:top w:val="none" w:sz="0" w:space="0" w:color="auto"/>
        <w:left w:val="none" w:sz="0" w:space="0" w:color="auto"/>
        <w:bottom w:val="none" w:sz="0" w:space="0" w:color="auto"/>
        <w:right w:val="none" w:sz="0" w:space="0" w:color="auto"/>
      </w:divBdr>
    </w:div>
    <w:div w:id="435059280">
      <w:bodyDiv w:val="1"/>
      <w:marLeft w:val="0"/>
      <w:marRight w:val="0"/>
      <w:marTop w:val="0"/>
      <w:marBottom w:val="0"/>
      <w:divBdr>
        <w:top w:val="none" w:sz="0" w:space="0" w:color="auto"/>
        <w:left w:val="none" w:sz="0" w:space="0" w:color="auto"/>
        <w:bottom w:val="none" w:sz="0" w:space="0" w:color="auto"/>
        <w:right w:val="none" w:sz="0" w:space="0" w:color="auto"/>
      </w:divBdr>
    </w:div>
    <w:div w:id="458844166">
      <w:bodyDiv w:val="1"/>
      <w:marLeft w:val="0"/>
      <w:marRight w:val="0"/>
      <w:marTop w:val="0"/>
      <w:marBottom w:val="0"/>
      <w:divBdr>
        <w:top w:val="none" w:sz="0" w:space="0" w:color="auto"/>
        <w:left w:val="none" w:sz="0" w:space="0" w:color="auto"/>
        <w:bottom w:val="none" w:sz="0" w:space="0" w:color="auto"/>
        <w:right w:val="none" w:sz="0" w:space="0" w:color="auto"/>
      </w:divBdr>
    </w:div>
    <w:div w:id="461963554">
      <w:bodyDiv w:val="1"/>
      <w:marLeft w:val="0"/>
      <w:marRight w:val="0"/>
      <w:marTop w:val="0"/>
      <w:marBottom w:val="0"/>
      <w:divBdr>
        <w:top w:val="none" w:sz="0" w:space="0" w:color="auto"/>
        <w:left w:val="none" w:sz="0" w:space="0" w:color="auto"/>
        <w:bottom w:val="none" w:sz="0" w:space="0" w:color="auto"/>
        <w:right w:val="none" w:sz="0" w:space="0" w:color="auto"/>
      </w:divBdr>
    </w:div>
    <w:div w:id="466357891">
      <w:bodyDiv w:val="1"/>
      <w:marLeft w:val="0"/>
      <w:marRight w:val="0"/>
      <w:marTop w:val="0"/>
      <w:marBottom w:val="0"/>
      <w:divBdr>
        <w:top w:val="none" w:sz="0" w:space="0" w:color="auto"/>
        <w:left w:val="none" w:sz="0" w:space="0" w:color="auto"/>
        <w:bottom w:val="none" w:sz="0" w:space="0" w:color="auto"/>
        <w:right w:val="none" w:sz="0" w:space="0" w:color="auto"/>
      </w:divBdr>
    </w:div>
    <w:div w:id="499664551">
      <w:bodyDiv w:val="1"/>
      <w:marLeft w:val="0"/>
      <w:marRight w:val="0"/>
      <w:marTop w:val="0"/>
      <w:marBottom w:val="0"/>
      <w:divBdr>
        <w:top w:val="none" w:sz="0" w:space="0" w:color="auto"/>
        <w:left w:val="none" w:sz="0" w:space="0" w:color="auto"/>
        <w:bottom w:val="none" w:sz="0" w:space="0" w:color="auto"/>
        <w:right w:val="none" w:sz="0" w:space="0" w:color="auto"/>
      </w:divBdr>
    </w:div>
    <w:div w:id="500127098">
      <w:bodyDiv w:val="1"/>
      <w:marLeft w:val="0"/>
      <w:marRight w:val="0"/>
      <w:marTop w:val="0"/>
      <w:marBottom w:val="0"/>
      <w:divBdr>
        <w:top w:val="none" w:sz="0" w:space="0" w:color="auto"/>
        <w:left w:val="none" w:sz="0" w:space="0" w:color="auto"/>
        <w:bottom w:val="none" w:sz="0" w:space="0" w:color="auto"/>
        <w:right w:val="none" w:sz="0" w:space="0" w:color="auto"/>
      </w:divBdr>
    </w:div>
    <w:div w:id="507839374">
      <w:bodyDiv w:val="1"/>
      <w:marLeft w:val="0"/>
      <w:marRight w:val="0"/>
      <w:marTop w:val="0"/>
      <w:marBottom w:val="0"/>
      <w:divBdr>
        <w:top w:val="none" w:sz="0" w:space="0" w:color="auto"/>
        <w:left w:val="none" w:sz="0" w:space="0" w:color="auto"/>
        <w:bottom w:val="none" w:sz="0" w:space="0" w:color="auto"/>
        <w:right w:val="none" w:sz="0" w:space="0" w:color="auto"/>
      </w:divBdr>
    </w:div>
    <w:div w:id="518129742">
      <w:bodyDiv w:val="1"/>
      <w:marLeft w:val="0"/>
      <w:marRight w:val="0"/>
      <w:marTop w:val="0"/>
      <w:marBottom w:val="0"/>
      <w:divBdr>
        <w:top w:val="none" w:sz="0" w:space="0" w:color="auto"/>
        <w:left w:val="none" w:sz="0" w:space="0" w:color="auto"/>
        <w:bottom w:val="none" w:sz="0" w:space="0" w:color="auto"/>
        <w:right w:val="none" w:sz="0" w:space="0" w:color="auto"/>
      </w:divBdr>
    </w:div>
    <w:div w:id="519860418">
      <w:bodyDiv w:val="1"/>
      <w:marLeft w:val="0"/>
      <w:marRight w:val="0"/>
      <w:marTop w:val="0"/>
      <w:marBottom w:val="0"/>
      <w:divBdr>
        <w:top w:val="none" w:sz="0" w:space="0" w:color="auto"/>
        <w:left w:val="none" w:sz="0" w:space="0" w:color="auto"/>
        <w:bottom w:val="none" w:sz="0" w:space="0" w:color="auto"/>
        <w:right w:val="none" w:sz="0" w:space="0" w:color="auto"/>
      </w:divBdr>
    </w:div>
    <w:div w:id="522406275">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42645004">
      <w:bodyDiv w:val="1"/>
      <w:marLeft w:val="0"/>
      <w:marRight w:val="0"/>
      <w:marTop w:val="0"/>
      <w:marBottom w:val="0"/>
      <w:divBdr>
        <w:top w:val="none" w:sz="0" w:space="0" w:color="auto"/>
        <w:left w:val="none" w:sz="0" w:space="0" w:color="auto"/>
        <w:bottom w:val="none" w:sz="0" w:space="0" w:color="auto"/>
        <w:right w:val="none" w:sz="0" w:space="0" w:color="auto"/>
      </w:divBdr>
    </w:div>
    <w:div w:id="547650125">
      <w:bodyDiv w:val="1"/>
      <w:marLeft w:val="0"/>
      <w:marRight w:val="0"/>
      <w:marTop w:val="0"/>
      <w:marBottom w:val="0"/>
      <w:divBdr>
        <w:top w:val="none" w:sz="0" w:space="0" w:color="auto"/>
        <w:left w:val="none" w:sz="0" w:space="0" w:color="auto"/>
        <w:bottom w:val="none" w:sz="0" w:space="0" w:color="auto"/>
        <w:right w:val="none" w:sz="0" w:space="0" w:color="auto"/>
      </w:divBdr>
    </w:div>
    <w:div w:id="552010579">
      <w:bodyDiv w:val="1"/>
      <w:marLeft w:val="0"/>
      <w:marRight w:val="0"/>
      <w:marTop w:val="0"/>
      <w:marBottom w:val="0"/>
      <w:divBdr>
        <w:top w:val="none" w:sz="0" w:space="0" w:color="auto"/>
        <w:left w:val="none" w:sz="0" w:space="0" w:color="auto"/>
        <w:bottom w:val="none" w:sz="0" w:space="0" w:color="auto"/>
        <w:right w:val="none" w:sz="0" w:space="0" w:color="auto"/>
      </w:divBdr>
    </w:div>
    <w:div w:id="564414087">
      <w:bodyDiv w:val="1"/>
      <w:marLeft w:val="0"/>
      <w:marRight w:val="0"/>
      <w:marTop w:val="0"/>
      <w:marBottom w:val="0"/>
      <w:divBdr>
        <w:top w:val="none" w:sz="0" w:space="0" w:color="auto"/>
        <w:left w:val="none" w:sz="0" w:space="0" w:color="auto"/>
        <w:bottom w:val="none" w:sz="0" w:space="0" w:color="auto"/>
        <w:right w:val="none" w:sz="0" w:space="0" w:color="auto"/>
      </w:divBdr>
    </w:div>
    <w:div w:id="568657466">
      <w:bodyDiv w:val="1"/>
      <w:marLeft w:val="0"/>
      <w:marRight w:val="0"/>
      <w:marTop w:val="0"/>
      <w:marBottom w:val="0"/>
      <w:divBdr>
        <w:top w:val="none" w:sz="0" w:space="0" w:color="auto"/>
        <w:left w:val="none" w:sz="0" w:space="0" w:color="auto"/>
        <w:bottom w:val="none" w:sz="0" w:space="0" w:color="auto"/>
        <w:right w:val="none" w:sz="0" w:space="0" w:color="auto"/>
      </w:divBdr>
    </w:div>
    <w:div w:id="570624797">
      <w:bodyDiv w:val="1"/>
      <w:marLeft w:val="0"/>
      <w:marRight w:val="0"/>
      <w:marTop w:val="0"/>
      <w:marBottom w:val="0"/>
      <w:divBdr>
        <w:top w:val="none" w:sz="0" w:space="0" w:color="auto"/>
        <w:left w:val="none" w:sz="0" w:space="0" w:color="auto"/>
        <w:bottom w:val="none" w:sz="0" w:space="0" w:color="auto"/>
        <w:right w:val="none" w:sz="0" w:space="0" w:color="auto"/>
      </w:divBdr>
    </w:div>
    <w:div w:id="582492385">
      <w:bodyDiv w:val="1"/>
      <w:marLeft w:val="0"/>
      <w:marRight w:val="0"/>
      <w:marTop w:val="0"/>
      <w:marBottom w:val="0"/>
      <w:divBdr>
        <w:top w:val="none" w:sz="0" w:space="0" w:color="auto"/>
        <w:left w:val="none" w:sz="0" w:space="0" w:color="auto"/>
        <w:bottom w:val="none" w:sz="0" w:space="0" w:color="auto"/>
        <w:right w:val="none" w:sz="0" w:space="0" w:color="auto"/>
      </w:divBdr>
    </w:div>
    <w:div w:id="588732459">
      <w:bodyDiv w:val="1"/>
      <w:marLeft w:val="0"/>
      <w:marRight w:val="0"/>
      <w:marTop w:val="0"/>
      <w:marBottom w:val="0"/>
      <w:divBdr>
        <w:top w:val="none" w:sz="0" w:space="0" w:color="auto"/>
        <w:left w:val="none" w:sz="0" w:space="0" w:color="auto"/>
        <w:bottom w:val="none" w:sz="0" w:space="0" w:color="auto"/>
        <w:right w:val="none" w:sz="0" w:space="0" w:color="auto"/>
      </w:divBdr>
    </w:div>
    <w:div w:id="604192098">
      <w:bodyDiv w:val="1"/>
      <w:marLeft w:val="0"/>
      <w:marRight w:val="0"/>
      <w:marTop w:val="0"/>
      <w:marBottom w:val="0"/>
      <w:divBdr>
        <w:top w:val="none" w:sz="0" w:space="0" w:color="auto"/>
        <w:left w:val="none" w:sz="0" w:space="0" w:color="auto"/>
        <w:bottom w:val="none" w:sz="0" w:space="0" w:color="auto"/>
        <w:right w:val="none" w:sz="0" w:space="0" w:color="auto"/>
      </w:divBdr>
    </w:div>
    <w:div w:id="623268002">
      <w:bodyDiv w:val="1"/>
      <w:marLeft w:val="0"/>
      <w:marRight w:val="0"/>
      <w:marTop w:val="0"/>
      <w:marBottom w:val="0"/>
      <w:divBdr>
        <w:top w:val="none" w:sz="0" w:space="0" w:color="auto"/>
        <w:left w:val="none" w:sz="0" w:space="0" w:color="auto"/>
        <w:bottom w:val="none" w:sz="0" w:space="0" w:color="auto"/>
        <w:right w:val="none" w:sz="0" w:space="0" w:color="auto"/>
      </w:divBdr>
    </w:div>
    <w:div w:id="632834197">
      <w:bodyDiv w:val="1"/>
      <w:marLeft w:val="0"/>
      <w:marRight w:val="0"/>
      <w:marTop w:val="0"/>
      <w:marBottom w:val="0"/>
      <w:divBdr>
        <w:top w:val="none" w:sz="0" w:space="0" w:color="auto"/>
        <w:left w:val="none" w:sz="0" w:space="0" w:color="auto"/>
        <w:bottom w:val="none" w:sz="0" w:space="0" w:color="auto"/>
        <w:right w:val="none" w:sz="0" w:space="0" w:color="auto"/>
      </w:divBdr>
    </w:div>
    <w:div w:id="634025266">
      <w:bodyDiv w:val="1"/>
      <w:marLeft w:val="0"/>
      <w:marRight w:val="0"/>
      <w:marTop w:val="0"/>
      <w:marBottom w:val="0"/>
      <w:divBdr>
        <w:top w:val="none" w:sz="0" w:space="0" w:color="auto"/>
        <w:left w:val="none" w:sz="0" w:space="0" w:color="auto"/>
        <w:bottom w:val="none" w:sz="0" w:space="0" w:color="auto"/>
        <w:right w:val="none" w:sz="0" w:space="0" w:color="auto"/>
      </w:divBdr>
    </w:div>
    <w:div w:id="635141903">
      <w:bodyDiv w:val="1"/>
      <w:marLeft w:val="0"/>
      <w:marRight w:val="0"/>
      <w:marTop w:val="0"/>
      <w:marBottom w:val="0"/>
      <w:divBdr>
        <w:top w:val="none" w:sz="0" w:space="0" w:color="auto"/>
        <w:left w:val="none" w:sz="0" w:space="0" w:color="auto"/>
        <w:bottom w:val="none" w:sz="0" w:space="0" w:color="auto"/>
        <w:right w:val="none" w:sz="0" w:space="0" w:color="auto"/>
      </w:divBdr>
    </w:div>
    <w:div w:id="650519035">
      <w:bodyDiv w:val="1"/>
      <w:marLeft w:val="0"/>
      <w:marRight w:val="0"/>
      <w:marTop w:val="0"/>
      <w:marBottom w:val="0"/>
      <w:divBdr>
        <w:top w:val="none" w:sz="0" w:space="0" w:color="auto"/>
        <w:left w:val="none" w:sz="0" w:space="0" w:color="auto"/>
        <w:bottom w:val="none" w:sz="0" w:space="0" w:color="auto"/>
        <w:right w:val="none" w:sz="0" w:space="0" w:color="auto"/>
      </w:divBdr>
    </w:div>
    <w:div w:id="660041839">
      <w:bodyDiv w:val="1"/>
      <w:marLeft w:val="0"/>
      <w:marRight w:val="0"/>
      <w:marTop w:val="0"/>
      <w:marBottom w:val="0"/>
      <w:divBdr>
        <w:top w:val="none" w:sz="0" w:space="0" w:color="auto"/>
        <w:left w:val="none" w:sz="0" w:space="0" w:color="auto"/>
        <w:bottom w:val="none" w:sz="0" w:space="0" w:color="auto"/>
        <w:right w:val="none" w:sz="0" w:space="0" w:color="auto"/>
      </w:divBdr>
    </w:div>
    <w:div w:id="662054365">
      <w:bodyDiv w:val="1"/>
      <w:marLeft w:val="0"/>
      <w:marRight w:val="0"/>
      <w:marTop w:val="0"/>
      <w:marBottom w:val="0"/>
      <w:divBdr>
        <w:top w:val="none" w:sz="0" w:space="0" w:color="auto"/>
        <w:left w:val="none" w:sz="0" w:space="0" w:color="auto"/>
        <w:bottom w:val="none" w:sz="0" w:space="0" w:color="auto"/>
        <w:right w:val="none" w:sz="0" w:space="0" w:color="auto"/>
      </w:divBdr>
    </w:div>
    <w:div w:id="662777236">
      <w:bodyDiv w:val="1"/>
      <w:marLeft w:val="0"/>
      <w:marRight w:val="0"/>
      <w:marTop w:val="0"/>
      <w:marBottom w:val="0"/>
      <w:divBdr>
        <w:top w:val="none" w:sz="0" w:space="0" w:color="auto"/>
        <w:left w:val="none" w:sz="0" w:space="0" w:color="auto"/>
        <w:bottom w:val="none" w:sz="0" w:space="0" w:color="auto"/>
        <w:right w:val="none" w:sz="0" w:space="0" w:color="auto"/>
      </w:divBdr>
    </w:div>
    <w:div w:id="663171393">
      <w:bodyDiv w:val="1"/>
      <w:marLeft w:val="0"/>
      <w:marRight w:val="0"/>
      <w:marTop w:val="0"/>
      <w:marBottom w:val="0"/>
      <w:divBdr>
        <w:top w:val="none" w:sz="0" w:space="0" w:color="auto"/>
        <w:left w:val="none" w:sz="0" w:space="0" w:color="auto"/>
        <w:bottom w:val="none" w:sz="0" w:space="0" w:color="auto"/>
        <w:right w:val="none" w:sz="0" w:space="0" w:color="auto"/>
      </w:divBdr>
    </w:div>
    <w:div w:id="666252562">
      <w:bodyDiv w:val="1"/>
      <w:marLeft w:val="0"/>
      <w:marRight w:val="0"/>
      <w:marTop w:val="0"/>
      <w:marBottom w:val="0"/>
      <w:divBdr>
        <w:top w:val="none" w:sz="0" w:space="0" w:color="auto"/>
        <w:left w:val="none" w:sz="0" w:space="0" w:color="auto"/>
        <w:bottom w:val="none" w:sz="0" w:space="0" w:color="auto"/>
        <w:right w:val="none" w:sz="0" w:space="0" w:color="auto"/>
      </w:divBdr>
    </w:div>
    <w:div w:id="680006255">
      <w:bodyDiv w:val="1"/>
      <w:marLeft w:val="0"/>
      <w:marRight w:val="0"/>
      <w:marTop w:val="0"/>
      <w:marBottom w:val="0"/>
      <w:divBdr>
        <w:top w:val="none" w:sz="0" w:space="0" w:color="auto"/>
        <w:left w:val="none" w:sz="0" w:space="0" w:color="auto"/>
        <w:bottom w:val="none" w:sz="0" w:space="0" w:color="auto"/>
        <w:right w:val="none" w:sz="0" w:space="0" w:color="auto"/>
      </w:divBdr>
    </w:div>
    <w:div w:id="695617993">
      <w:bodyDiv w:val="1"/>
      <w:marLeft w:val="0"/>
      <w:marRight w:val="0"/>
      <w:marTop w:val="0"/>
      <w:marBottom w:val="0"/>
      <w:divBdr>
        <w:top w:val="none" w:sz="0" w:space="0" w:color="auto"/>
        <w:left w:val="none" w:sz="0" w:space="0" w:color="auto"/>
        <w:bottom w:val="none" w:sz="0" w:space="0" w:color="auto"/>
        <w:right w:val="none" w:sz="0" w:space="0" w:color="auto"/>
      </w:divBdr>
    </w:div>
    <w:div w:id="699550853">
      <w:bodyDiv w:val="1"/>
      <w:marLeft w:val="0"/>
      <w:marRight w:val="0"/>
      <w:marTop w:val="0"/>
      <w:marBottom w:val="0"/>
      <w:divBdr>
        <w:top w:val="none" w:sz="0" w:space="0" w:color="auto"/>
        <w:left w:val="none" w:sz="0" w:space="0" w:color="auto"/>
        <w:bottom w:val="none" w:sz="0" w:space="0" w:color="auto"/>
        <w:right w:val="none" w:sz="0" w:space="0" w:color="auto"/>
      </w:divBdr>
    </w:div>
    <w:div w:id="707681315">
      <w:bodyDiv w:val="1"/>
      <w:marLeft w:val="0"/>
      <w:marRight w:val="0"/>
      <w:marTop w:val="0"/>
      <w:marBottom w:val="0"/>
      <w:divBdr>
        <w:top w:val="none" w:sz="0" w:space="0" w:color="auto"/>
        <w:left w:val="none" w:sz="0" w:space="0" w:color="auto"/>
        <w:bottom w:val="none" w:sz="0" w:space="0" w:color="auto"/>
        <w:right w:val="none" w:sz="0" w:space="0" w:color="auto"/>
      </w:divBdr>
    </w:div>
    <w:div w:id="708991807">
      <w:bodyDiv w:val="1"/>
      <w:marLeft w:val="0"/>
      <w:marRight w:val="0"/>
      <w:marTop w:val="0"/>
      <w:marBottom w:val="0"/>
      <w:divBdr>
        <w:top w:val="none" w:sz="0" w:space="0" w:color="auto"/>
        <w:left w:val="none" w:sz="0" w:space="0" w:color="auto"/>
        <w:bottom w:val="none" w:sz="0" w:space="0" w:color="auto"/>
        <w:right w:val="none" w:sz="0" w:space="0" w:color="auto"/>
      </w:divBdr>
    </w:div>
    <w:div w:id="717896823">
      <w:bodyDiv w:val="1"/>
      <w:marLeft w:val="0"/>
      <w:marRight w:val="0"/>
      <w:marTop w:val="0"/>
      <w:marBottom w:val="0"/>
      <w:divBdr>
        <w:top w:val="none" w:sz="0" w:space="0" w:color="auto"/>
        <w:left w:val="none" w:sz="0" w:space="0" w:color="auto"/>
        <w:bottom w:val="none" w:sz="0" w:space="0" w:color="auto"/>
        <w:right w:val="none" w:sz="0" w:space="0" w:color="auto"/>
      </w:divBdr>
    </w:div>
    <w:div w:id="722414360">
      <w:bodyDiv w:val="1"/>
      <w:marLeft w:val="0"/>
      <w:marRight w:val="0"/>
      <w:marTop w:val="0"/>
      <w:marBottom w:val="0"/>
      <w:divBdr>
        <w:top w:val="none" w:sz="0" w:space="0" w:color="auto"/>
        <w:left w:val="none" w:sz="0" w:space="0" w:color="auto"/>
        <w:bottom w:val="none" w:sz="0" w:space="0" w:color="auto"/>
        <w:right w:val="none" w:sz="0" w:space="0" w:color="auto"/>
      </w:divBdr>
    </w:div>
    <w:div w:id="725110604">
      <w:bodyDiv w:val="1"/>
      <w:marLeft w:val="0"/>
      <w:marRight w:val="0"/>
      <w:marTop w:val="0"/>
      <w:marBottom w:val="0"/>
      <w:divBdr>
        <w:top w:val="none" w:sz="0" w:space="0" w:color="auto"/>
        <w:left w:val="none" w:sz="0" w:space="0" w:color="auto"/>
        <w:bottom w:val="none" w:sz="0" w:space="0" w:color="auto"/>
        <w:right w:val="none" w:sz="0" w:space="0" w:color="auto"/>
      </w:divBdr>
    </w:div>
    <w:div w:id="728768438">
      <w:bodyDiv w:val="1"/>
      <w:marLeft w:val="0"/>
      <w:marRight w:val="0"/>
      <w:marTop w:val="0"/>
      <w:marBottom w:val="0"/>
      <w:divBdr>
        <w:top w:val="none" w:sz="0" w:space="0" w:color="auto"/>
        <w:left w:val="none" w:sz="0" w:space="0" w:color="auto"/>
        <w:bottom w:val="none" w:sz="0" w:space="0" w:color="auto"/>
        <w:right w:val="none" w:sz="0" w:space="0" w:color="auto"/>
      </w:divBdr>
    </w:div>
    <w:div w:id="729231021">
      <w:bodyDiv w:val="1"/>
      <w:marLeft w:val="0"/>
      <w:marRight w:val="0"/>
      <w:marTop w:val="0"/>
      <w:marBottom w:val="0"/>
      <w:divBdr>
        <w:top w:val="none" w:sz="0" w:space="0" w:color="auto"/>
        <w:left w:val="none" w:sz="0" w:space="0" w:color="auto"/>
        <w:bottom w:val="none" w:sz="0" w:space="0" w:color="auto"/>
        <w:right w:val="none" w:sz="0" w:space="0" w:color="auto"/>
      </w:divBdr>
    </w:div>
    <w:div w:id="745033834">
      <w:bodyDiv w:val="1"/>
      <w:marLeft w:val="0"/>
      <w:marRight w:val="0"/>
      <w:marTop w:val="0"/>
      <w:marBottom w:val="0"/>
      <w:divBdr>
        <w:top w:val="none" w:sz="0" w:space="0" w:color="auto"/>
        <w:left w:val="none" w:sz="0" w:space="0" w:color="auto"/>
        <w:bottom w:val="none" w:sz="0" w:space="0" w:color="auto"/>
        <w:right w:val="none" w:sz="0" w:space="0" w:color="auto"/>
      </w:divBdr>
    </w:div>
    <w:div w:id="747113652">
      <w:bodyDiv w:val="1"/>
      <w:marLeft w:val="0"/>
      <w:marRight w:val="0"/>
      <w:marTop w:val="0"/>
      <w:marBottom w:val="0"/>
      <w:divBdr>
        <w:top w:val="none" w:sz="0" w:space="0" w:color="auto"/>
        <w:left w:val="none" w:sz="0" w:space="0" w:color="auto"/>
        <w:bottom w:val="none" w:sz="0" w:space="0" w:color="auto"/>
        <w:right w:val="none" w:sz="0" w:space="0" w:color="auto"/>
      </w:divBdr>
    </w:div>
    <w:div w:id="769857158">
      <w:bodyDiv w:val="1"/>
      <w:marLeft w:val="0"/>
      <w:marRight w:val="0"/>
      <w:marTop w:val="0"/>
      <w:marBottom w:val="0"/>
      <w:divBdr>
        <w:top w:val="none" w:sz="0" w:space="0" w:color="auto"/>
        <w:left w:val="none" w:sz="0" w:space="0" w:color="auto"/>
        <w:bottom w:val="none" w:sz="0" w:space="0" w:color="auto"/>
        <w:right w:val="none" w:sz="0" w:space="0" w:color="auto"/>
      </w:divBdr>
    </w:div>
    <w:div w:id="788092186">
      <w:bodyDiv w:val="1"/>
      <w:marLeft w:val="0"/>
      <w:marRight w:val="0"/>
      <w:marTop w:val="0"/>
      <w:marBottom w:val="0"/>
      <w:divBdr>
        <w:top w:val="none" w:sz="0" w:space="0" w:color="auto"/>
        <w:left w:val="none" w:sz="0" w:space="0" w:color="auto"/>
        <w:bottom w:val="none" w:sz="0" w:space="0" w:color="auto"/>
        <w:right w:val="none" w:sz="0" w:space="0" w:color="auto"/>
      </w:divBdr>
    </w:div>
    <w:div w:id="789401913">
      <w:bodyDiv w:val="1"/>
      <w:marLeft w:val="0"/>
      <w:marRight w:val="0"/>
      <w:marTop w:val="0"/>
      <w:marBottom w:val="0"/>
      <w:divBdr>
        <w:top w:val="none" w:sz="0" w:space="0" w:color="auto"/>
        <w:left w:val="none" w:sz="0" w:space="0" w:color="auto"/>
        <w:bottom w:val="none" w:sz="0" w:space="0" w:color="auto"/>
        <w:right w:val="none" w:sz="0" w:space="0" w:color="auto"/>
      </w:divBdr>
    </w:div>
    <w:div w:id="791022702">
      <w:bodyDiv w:val="1"/>
      <w:marLeft w:val="0"/>
      <w:marRight w:val="0"/>
      <w:marTop w:val="0"/>
      <w:marBottom w:val="0"/>
      <w:divBdr>
        <w:top w:val="none" w:sz="0" w:space="0" w:color="auto"/>
        <w:left w:val="none" w:sz="0" w:space="0" w:color="auto"/>
        <w:bottom w:val="none" w:sz="0" w:space="0" w:color="auto"/>
        <w:right w:val="none" w:sz="0" w:space="0" w:color="auto"/>
      </w:divBdr>
    </w:div>
    <w:div w:id="797146458">
      <w:bodyDiv w:val="1"/>
      <w:marLeft w:val="0"/>
      <w:marRight w:val="0"/>
      <w:marTop w:val="0"/>
      <w:marBottom w:val="0"/>
      <w:divBdr>
        <w:top w:val="none" w:sz="0" w:space="0" w:color="auto"/>
        <w:left w:val="none" w:sz="0" w:space="0" w:color="auto"/>
        <w:bottom w:val="none" w:sz="0" w:space="0" w:color="auto"/>
        <w:right w:val="none" w:sz="0" w:space="0" w:color="auto"/>
      </w:divBdr>
    </w:div>
    <w:div w:id="798374208">
      <w:bodyDiv w:val="1"/>
      <w:marLeft w:val="0"/>
      <w:marRight w:val="0"/>
      <w:marTop w:val="0"/>
      <w:marBottom w:val="0"/>
      <w:divBdr>
        <w:top w:val="none" w:sz="0" w:space="0" w:color="auto"/>
        <w:left w:val="none" w:sz="0" w:space="0" w:color="auto"/>
        <w:bottom w:val="none" w:sz="0" w:space="0" w:color="auto"/>
        <w:right w:val="none" w:sz="0" w:space="0" w:color="auto"/>
      </w:divBdr>
    </w:div>
    <w:div w:id="802694509">
      <w:bodyDiv w:val="1"/>
      <w:marLeft w:val="0"/>
      <w:marRight w:val="0"/>
      <w:marTop w:val="0"/>
      <w:marBottom w:val="0"/>
      <w:divBdr>
        <w:top w:val="none" w:sz="0" w:space="0" w:color="auto"/>
        <w:left w:val="none" w:sz="0" w:space="0" w:color="auto"/>
        <w:bottom w:val="none" w:sz="0" w:space="0" w:color="auto"/>
        <w:right w:val="none" w:sz="0" w:space="0" w:color="auto"/>
      </w:divBdr>
    </w:div>
    <w:div w:id="804733383">
      <w:bodyDiv w:val="1"/>
      <w:marLeft w:val="0"/>
      <w:marRight w:val="0"/>
      <w:marTop w:val="0"/>
      <w:marBottom w:val="0"/>
      <w:divBdr>
        <w:top w:val="none" w:sz="0" w:space="0" w:color="auto"/>
        <w:left w:val="none" w:sz="0" w:space="0" w:color="auto"/>
        <w:bottom w:val="none" w:sz="0" w:space="0" w:color="auto"/>
        <w:right w:val="none" w:sz="0" w:space="0" w:color="auto"/>
      </w:divBdr>
    </w:div>
    <w:div w:id="808130404">
      <w:bodyDiv w:val="1"/>
      <w:marLeft w:val="0"/>
      <w:marRight w:val="0"/>
      <w:marTop w:val="0"/>
      <w:marBottom w:val="0"/>
      <w:divBdr>
        <w:top w:val="none" w:sz="0" w:space="0" w:color="auto"/>
        <w:left w:val="none" w:sz="0" w:space="0" w:color="auto"/>
        <w:bottom w:val="none" w:sz="0" w:space="0" w:color="auto"/>
        <w:right w:val="none" w:sz="0" w:space="0" w:color="auto"/>
      </w:divBdr>
    </w:div>
    <w:div w:id="823398678">
      <w:bodyDiv w:val="1"/>
      <w:marLeft w:val="0"/>
      <w:marRight w:val="0"/>
      <w:marTop w:val="0"/>
      <w:marBottom w:val="0"/>
      <w:divBdr>
        <w:top w:val="none" w:sz="0" w:space="0" w:color="auto"/>
        <w:left w:val="none" w:sz="0" w:space="0" w:color="auto"/>
        <w:bottom w:val="none" w:sz="0" w:space="0" w:color="auto"/>
        <w:right w:val="none" w:sz="0" w:space="0" w:color="auto"/>
      </w:divBdr>
    </w:div>
    <w:div w:id="826896261">
      <w:bodyDiv w:val="1"/>
      <w:marLeft w:val="0"/>
      <w:marRight w:val="0"/>
      <w:marTop w:val="0"/>
      <w:marBottom w:val="0"/>
      <w:divBdr>
        <w:top w:val="none" w:sz="0" w:space="0" w:color="auto"/>
        <w:left w:val="none" w:sz="0" w:space="0" w:color="auto"/>
        <w:bottom w:val="none" w:sz="0" w:space="0" w:color="auto"/>
        <w:right w:val="none" w:sz="0" w:space="0" w:color="auto"/>
      </w:divBdr>
    </w:div>
    <w:div w:id="843200576">
      <w:bodyDiv w:val="1"/>
      <w:marLeft w:val="0"/>
      <w:marRight w:val="0"/>
      <w:marTop w:val="0"/>
      <w:marBottom w:val="0"/>
      <w:divBdr>
        <w:top w:val="none" w:sz="0" w:space="0" w:color="auto"/>
        <w:left w:val="none" w:sz="0" w:space="0" w:color="auto"/>
        <w:bottom w:val="none" w:sz="0" w:space="0" w:color="auto"/>
        <w:right w:val="none" w:sz="0" w:space="0" w:color="auto"/>
      </w:divBdr>
    </w:div>
    <w:div w:id="853769541">
      <w:bodyDiv w:val="1"/>
      <w:marLeft w:val="0"/>
      <w:marRight w:val="0"/>
      <w:marTop w:val="0"/>
      <w:marBottom w:val="0"/>
      <w:divBdr>
        <w:top w:val="none" w:sz="0" w:space="0" w:color="auto"/>
        <w:left w:val="none" w:sz="0" w:space="0" w:color="auto"/>
        <w:bottom w:val="none" w:sz="0" w:space="0" w:color="auto"/>
        <w:right w:val="none" w:sz="0" w:space="0" w:color="auto"/>
      </w:divBdr>
    </w:div>
    <w:div w:id="855538544">
      <w:bodyDiv w:val="1"/>
      <w:marLeft w:val="0"/>
      <w:marRight w:val="0"/>
      <w:marTop w:val="0"/>
      <w:marBottom w:val="0"/>
      <w:divBdr>
        <w:top w:val="none" w:sz="0" w:space="0" w:color="auto"/>
        <w:left w:val="none" w:sz="0" w:space="0" w:color="auto"/>
        <w:bottom w:val="none" w:sz="0" w:space="0" w:color="auto"/>
        <w:right w:val="none" w:sz="0" w:space="0" w:color="auto"/>
      </w:divBdr>
    </w:div>
    <w:div w:id="856775167">
      <w:bodyDiv w:val="1"/>
      <w:marLeft w:val="0"/>
      <w:marRight w:val="0"/>
      <w:marTop w:val="0"/>
      <w:marBottom w:val="0"/>
      <w:divBdr>
        <w:top w:val="none" w:sz="0" w:space="0" w:color="auto"/>
        <w:left w:val="none" w:sz="0" w:space="0" w:color="auto"/>
        <w:bottom w:val="none" w:sz="0" w:space="0" w:color="auto"/>
        <w:right w:val="none" w:sz="0" w:space="0" w:color="auto"/>
      </w:divBdr>
    </w:div>
    <w:div w:id="863641527">
      <w:bodyDiv w:val="1"/>
      <w:marLeft w:val="0"/>
      <w:marRight w:val="0"/>
      <w:marTop w:val="0"/>
      <w:marBottom w:val="0"/>
      <w:divBdr>
        <w:top w:val="none" w:sz="0" w:space="0" w:color="auto"/>
        <w:left w:val="none" w:sz="0" w:space="0" w:color="auto"/>
        <w:bottom w:val="none" w:sz="0" w:space="0" w:color="auto"/>
        <w:right w:val="none" w:sz="0" w:space="0" w:color="auto"/>
      </w:divBdr>
    </w:div>
    <w:div w:id="890969225">
      <w:bodyDiv w:val="1"/>
      <w:marLeft w:val="0"/>
      <w:marRight w:val="0"/>
      <w:marTop w:val="0"/>
      <w:marBottom w:val="0"/>
      <w:divBdr>
        <w:top w:val="none" w:sz="0" w:space="0" w:color="auto"/>
        <w:left w:val="none" w:sz="0" w:space="0" w:color="auto"/>
        <w:bottom w:val="none" w:sz="0" w:space="0" w:color="auto"/>
        <w:right w:val="none" w:sz="0" w:space="0" w:color="auto"/>
      </w:divBdr>
    </w:div>
    <w:div w:id="895048255">
      <w:bodyDiv w:val="1"/>
      <w:marLeft w:val="0"/>
      <w:marRight w:val="0"/>
      <w:marTop w:val="0"/>
      <w:marBottom w:val="0"/>
      <w:divBdr>
        <w:top w:val="none" w:sz="0" w:space="0" w:color="auto"/>
        <w:left w:val="none" w:sz="0" w:space="0" w:color="auto"/>
        <w:bottom w:val="none" w:sz="0" w:space="0" w:color="auto"/>
        <w:right w:val="none" w:sz="0" w:space="0" w:color="auto"/>
      </w:divBdr>
    </w:div>
    <w:div w:id="898782386">
      <w:bodyDiv w:val="1"/>
      <w:marLeft w:val="0"/>
      <w:marRight w:val="0"/>
      <w:marTop w:val="0"/>
      <w:marBottom w:val="0"/>
      <w:divBdr>
        <w:top w:val="none" w:sz="0" w:space="0" w:color="auto"/>
        <w:left w:val="none" w:sz="0" w:space="0" w:color="auto"/>
        <w:bottom w:val="none" w:sz="0" w:space="0" w:color="auto"/>
        <w:right w:val="none" w:sz="0" w:space="0" w:color="auto"/>
      </w:divBdr>
    </w:div>
    <w:div w:id="902910439">
      <w:bodyDiv w:val="1"/>
      <w:marLeft w:val="0"/>
      <w:marRight w:val="0"/>
      <w:marTop w:val="0"/>
      <w:marBottom w:val="0"/>
      <w:divBdr>
        <w:top w:val="none" w:sz="0" w:space="0" w:color="auto"/>
        <w:left w:val="none" w:sz="0" w:space="0" w:color="auto"/>
        <w:bottom w:val="none" w:sz="0" w:space="0" w:color="auto"/>
        <w:right w:val="none" w:sz="0" w:space="0" w:color="auto"/>
      </w:divBdr>
    </w:div>
    <w:div w:id="908346327">
      <w:bodyDiv w:val="1"/>
      <w:marLeft w:val="0"/>
      <w:marRight w:val="0"/>
      <w:marTop w:val="0"/>
      <w:marBottom w:val="0"/>
      <w:divBdr>
        <w:top w:val="none" w:sz="0" w:space="0" w:color="auto"/>
        <w:left w:val="none" w:sz="0" w:space="0" w:color="auto"/>
        <w:bottom w:val="none" w:sz="0" w:space="0" w:color="auto"/>
        <w:right w:val="none" w:sz="0" w:space="0" w:color="auto"/>
      </w:divBdr>
    </w:div>
    <w:div w:id="919022038">
      <w:bodyDiv w:val="1"/>
      <w:marLeft w:val="0"/>
      <w:marRight w:val="0"/>
      <w:marTop w:val="0"/>
      <w:marBottom w:val="0"/>
      <w:divBdr>
        <w:top w:val="none" w:sz="0" w:space="0" w:color="auto"/>
        <w:left w:val="none" w:sz="0" w:space="0" w:color="auto"/>
        <w:bottom w:val="none" w:sz="0" w:space="0" w:color="auto"/>
        <w:right w:val="none" w:sz="0" w:space="0" w:color="auto"/>
      </w:divBdr>
    </w:div>
    <w:div w:id="921111056">
      <w:bodyDiv w:val="1"/>
      <w:marLeft w:val="0"/>
      <w:marRight w:val="0"/>
      <w:marTop w:val="0"/>
      <w:marBottom w:val="0"/>
      <w:divBdr>
        <w:top w:val="none" w:sz="0" w:space="0" w:color="auto"/>
        <w:left w:val="none" w:sz="0" w:space="0" w:color="auto"/>
        <w:bottom w:val="none" w:sz="0" w:space="0" w:color="auto"/>
        <w:right w:val="none" w:sz="0" w:space="0" w:color="auto"/>
      </w:divBdr>
    </w:div>
    <w:div w:id="925193860">
      <w:bodyDiv w:val="1"/>
      <w:marLeft w:val="0"/>
      <w:marRight w:val="0"/>
      <w:marTop w:val="0"/>
      <w:marBottom w:val="0"/>
      <w:divBdr>
        <w:top w:val="none" w:sz="0" w:space="0" w:color="auto"/>
        <w:left w:val="none" w:sz="0" w:space="0" w:color="auto"/>
        <w:bottom w:val="none" w:sz="0" w:space="0" w:color="auto"/>
        <w:right w:val="none" w:sz="0" w:space="0" w:color="auto"/>
      </w:divBdr>
    </w:div>
    <w:div w:id="927690385">
      <w:bodyDiv w:val="1"/>
      <w:marLeft w:val="0"/>
      <w:marRight w:val="0"/>
      <w:marTop w:val="0"/>
      <w:marBottom w:val="0"/>
      <w:divBdr>
        <w:top w:val="none" w:sz="0" w:space="0" w:color="auto"/>
        <w:left w:val="none" w:sz="0" w:space="0" w:color="auto"/>
        <w:bottom w:val="none" w:sz="0" w:space="0" w:color="auto"/>
        <w:right w:val="none" w:sz="0" w:space="0" w:color="auto"/>
      </w:divBdr>
    </w:div>
    <w:div w:id="931015695">
      <w:bodyDiv w:val="1"/>
      <w:marLeft w:val="0"/>
      <w:marRight w:val="0"/>
      <w:marTop w:val="0"/>
      <w:marBottom w:val="0"/>
      <w:divBdr>
        <w:top w:val="none" w:sz="0" w:space="0" w:color="auto"/>
        <w:left w:val="none" w:sz="0" w:space="0" w:color="auto"/>
        <w:bottom w:val="none" w:sz="0" w:space="0" w:color="auto"/>
        <w:right w:val="none" w:sz="0" w:space="0" w:color="auto"/>
      </w:divBdr>
    </w:div>
    <w:div w:id="940457142">
      <w:bodyDiv w:val="1"/>
      <w:marLeft w:val="0"/>
      <w:marRight w:val="0"/>
      <w:marTop w:val="0"/>
      <w:marBottom w:val="0"/>
      <w:divBdr>
        <w:top w:val="none" w:sz="0" w:space="0" w:color="auto"/>
        <w:left w:val="none" w:sz="0" w:space="0" w:color="auto"/>
        <w:bottom w:val="none" w:sz="0" w:space="0" w:color="auto"/>
        <w:right w:val="none" w:sz="0" w:space="0" w:color="auto"/>
      </w:divBdr>
    </w:div>
    <w:div w:id="943876152">
      <w:bodyDiv w:val="1"/>
      <w:marLeft w:val="0"/>
      <w:marRight w:val="0"/>
      <w:marTop w:val="0"/>
      <w:marBottom w:val="0"/>
      <w:divBdr>
        <w:top w:val="none" w:sz="0" w:space="0" w:color="auto"/>
        <w:left w:val="none" w:sz="0" w:space="0" w:color="auto"/>
        <w:bottom w:val="none" w:sz="0" w:space="0" w:color="auto"/>
        <w:right w:val="none" w:sz="0" w:space="0" w:color="auto"/>
      </w:divBdr>
    </w:div>
    <w:div w:id="947156197">
      <w:bodyDiv w:val="1"/>
      <w:marLeft w:val="0"/>
      <w:marRight w:val="0"/>
      <w:marTop w:val="0"/>
      <w:marBottom w:val="0"/>
      <w:divBdr>
        <w:top w:val="none" w:sz="0" w:space="0" w:color="auto"/>
        <w:left w:val="none" w:sz="0" w:space="0" w:color="auto"/>
        <w:bottom w:val="none" w:sz="0" w:space="0" w:color="auto"/>
        <w:right w:val="none" w:sz="0" w:space="0" w:color="auto"/>
      </w:divBdr>
    </w:div>
    <w:div w:id="947156231">
      <w:bodyDiv w:val="1"/>
      <w:marLeft w:val="0"/>
      <w:marRight w:val="0"/>
      <w:marTop w:val="0"/>
      <w:marBottom w:val="0"/>
      <w:divBdr>
        <w:top w:val="none" w:sz="0" w:space="0" w:color="auto"/>
        <w:left w:val="none" w:sz="0" w:space="0" w:color="auto"/>
        <w:bottom w:val="none" w:sz="0" w:space="0" w:color="auto"/>
        <w:right w:val="none" w:sz="0" w:space="0" w:color="auto"/>
      </w:divBdr>
    </w:div>
    <w:div w:id="949050729">
      <w:bodyDiv w:val="1"/>
      <w:marLeft w:val="0"/>
      <w:marRight w:val="0"/>
      <w:marTop w:val="0"/>
      <w:marBottom w:val="0"/>
      <w:divBdr>
        <w:top w:val="none" w:sz="0" w:space="0" w:color="auto"/>
        <w:left w:val="none" w:sz="0" w:space="0" w:color="auto"/>
        <w:bottom w:val="none" w:sz="0" w:space="0" w:color="auto"/>
        <w:right w:val="none" w:sz="0" w:space="0" w:color="auto"/>
      </w:divBdr>
    </w:div>
    <w:div w:id="954098521">
      <w:bodyDiv w:val="1"/>
      <w:marLeft w:val="0"/>
      <w:marRight w:val="0"/>
      <w:marTop w:val="0"/>
      <w:marBottom w:val="0"/>
      <w:divBdr>
        <w:top w:val="none" w:sz="0" w:space="0" w:color="auto"/>
        <w:left w:val="none" w:sz="0" w:space="0" w:color="auto"/>
        <w:bottom w:val="none" w:sz="0" w:space="0" w:color="auto"/>
        <w:right w:val="none" w:sz="0" w:space="0" w:color="auto"/>
      </w:divBdr>
    </w:div>
    <w:div w:id="956908248">
      <w:bodyDiv w:val="1"/>
      <w:marLeft w:val="0"/>
      <w:marRight w:val="0"/>
      <w:marTop w:val="0"/>
      <w:marBottom w:val="0"/>
      <w:divBdr>
        <w:top w:val="none" w:sz="0" w:space="0" w:color="auto"/>
        <w:left w:val="none" w:sz="0" w:space="0" w:color="auto"/>
        <w:bottom w:val="none" w:sz="0" w:space="0" w:color="auto"/>
        <w:right w:val="none" w:sz="0" w:space="0" w:color="auto"/>
      </w:divBdr>
    </w:div>
    <w:div w:id="971060068">
      <w:bodyDiv w:val="1"/>
      <w:marLeft w:val="0"/>
      <w:marRight w:val="0"/>
      <w:marTop w:val="0"/>
      <w:marBottom w:val="0"/>
      <w:divBdr>
        <w:top w:val="none" w:sz="0" w:space="0" w:color="auto"/>
        <w:left w:val="none" w:sz="0" w:space="0" w:color="auto"/>
        <w:bottom w:val="none" w:sz="0" w:space="0" w:color="auto"/>
        <w:right w:val="none" w:sz="0" w:space="0" w:color="auto"/>
      </w:divBdr>
    </w:div>
    <w:div w:id="975767620">
      <w:bodyDiv w:val="1"/>
      <w:marLeft w:val="0"/>
      <w:marRight w:val="0"/>
      <w:marTop w:val="0"/>
      <w:marBottom w:val="0"/>
      <w:divBdr>
        <w:top w:val="none" w:sz="0" w:space="0" w:color="auto"/>
        <w:left w:val="none" w:sz="0" w:space="0" w:color="auto"/>
        <w:bottom w:val="none" w:sz="0" w:space="0" w:color="auto"/>
        <w:right w:val="none" w:sz="0" w:space="0" w:color="auto"/>
      </w:divBdr>
    </w:div>
    <w:div w:id="976379282">
      <w:bodyDiv w:val="1"/>
      <w:marLeft w:val="0"/>
      <w:marRight w:val="0"/>
      <w:marTop w:val="0"/>
      <w:marBottom w:val="0"/>
      <w:divBdr>
        <w:top w:val="none" w:sz="0" w:space="0" w:color="auto"/>
        <w:left w:val="none" w:sz="0" w:space="0" w:color="auto"/>
        <w:bottom w:val="none" w:sz="0" w:space="0" w:color="auto"/>
        <w:right w:val="none" w:sz="0" w:space="0" w:color="auto"/>
      </w:divBdr>
    </w:div>
    <w:div w:id="978221277">
      <w:bodyDiv w:val="1"/>
      <w:marLeft w:val="0"/>
      <w:marRight w:val="0"/>
      <w:marTop w:val="0"/>
      <w:marBottom w:val="0"/>
      <w:divBdr>
        <w:top w:val="none" w:sz="0" w:space="0" w:color="auto"/>
        <w:left w:val="none" w:sz="0" w:space="0" w:color="auto"/>
        <w:bottom w:val="none" w:sz="0" w:space="0" w:color="auto"/>
        <w:right w:val="none" w:sz="0" w:space="0" w:color="auto"/>
      </w:divBdr>
    </w:div>
    <w:div w:id="993415048">
      <w:bodyDiv w:val="1"/>
      <w:marLeft w:val="0"/>
      <w:marRight w:val="0"/>
      <w:marTop w:val="0"/>
      <w:marBottom w:val="0"/>
      <w:divBdr>
        <w:top w:val="none" w:sz="0" w:space="0" w:color="auto"/>
        <w:left w:val="none" w:sz="0" w:space="0" w:color="auto"/>
        <w:bottom w:val="none" w:sz="0" w:space="0" w:color="auto"/>
        <w:right w:val="none" w:sz="0" w:space="0" w:color="auto"/>
      </w:divBdr>
    </w:div>
    <w:div w:id="1009328838">
      <w:bodyDiv w:val="1"/>
      <w:marLeft w:val="0"/>
      <w:marRight w:val="0"/>
      <w:marTop w:val="0"/>
      <w:marBottom w:val="0"/>
      <w:divBdr>
        <w:top w:val="none" w:sz="0" w:space="0" w:color="auto"/>
        <w:left w:val="none" w:sz="0" w:space="0" w:color="auto"/>
        <w:bottom w:val="none" w:sz="0" w:space="0" w:color="auto"/>
        <w:right w:val="none" w:sz="0" w:space="0" w:color="auto"/>
      </w:divBdr>
    </w:div>
    <w:div w:id="1020399070">
      <w:bodyDiv w:val="1"/>
      <w:marLeft w:val="0"/>
      <w:marRight w:val="0"/>
      <w:marTop w:val="0"/>
      <w:marBottom w:val="0"/>
      <w:divBdr>
        <w:top w:val="none" w:sz="0" w:space="0" w:color="auto"/>
        <w:left w:val="none" w:sz="0" w:space="0" w:color="auto"/>
        <w:bottom w:val="none" w:sz="0" w:space="0" w:color="auto"/>
        <w:right w:val="none" w:sz="0" w:space="0" w:color="auto"/>
      </w:divBdr>
    </w:div>
    <w:div w:id="1026256093">
      <w:bodyDiv w:val="1"/>
      <w:marLeft w:val="0"/>
      <w:marRight w:val="0"/>
      <w:marTop w:val="0"/>
      <w:marBottom w:val="0"/>
      <w:divBdr>
        <w:top w:val="none" w:sz="0" w:space="0" w:color="auto"/>
        <w:left w:val="none" w:sz="0" w:space="0" w:color="auto"/>
        <w:bottom w:val="none" w:sz="0" w:space="0" w:color="auto"/>
        <w:right w:val="none" w:sz="0" w:space="0" w:color="auto"/>
      </w:divBdr>
    </w:div>
    <w:div w:id="1036152663">
      <w:bodyDiv w:val="1"/>
      <w:marLeft w:val="0"/>
      <w:marRight w:val="0"/>
      <w:marTop w:val="0"/>
      <w:marBottom w:val="0"/>
      <w:divBdr>
        <w:top w:val="none" w:sz="0" w:space="0" w:color="auto"/>
        <w:left w:val="none" w:sz="0" w:space="0" w:color="auto"/>
        <w:bottom w:val="none" w:sz="0" w:space="0" w:color="auto"/>
        <w:right w:val="none" w:sz="0" w:space="0" w:color="auto"/>
      </w:divBdr>
    </w:div>
    <w:div w:id="1053967337">
      <w:bodyDiv w:val="1"/>
      <w:marLeft w:val="0"/>
      <w:marRight w:val="0"/>
      <w:marTop w:val="0"/>
      <w:marBottom w:val="0"/>
      <w:divBdr>
        <w:top w:val="none" w:sz="0" w:space="0" w:color="auto"/>
        <w:left w:val="none" w:sz="0" w:space="0" w:color="auto"/>
        <w:bottom w:val="none" w:sz="0" w:space="0" w:color="auto"/>
        <w:right w:val="none" w:sz="0" w:space="0" w:color="auto"/>
      </w:divBdr>
    </w:div>
    <w:div w:id="1054431288">
      <w:bodyDiv w:val="1"/>
      <w:marLeft w:val="0"/>
      <w:marRight w:val="0"/>
      <w:marTop w:val="0"/>
      <w:marBottom w:val="0"/>
      <w:divBdr>
        <w:top w:val="none" w:sz="0" w:space="0" w:color="auto"/>
        <w:left w:val="none" w:sz="0" w:space="0" w:color="auto"/>
        <w:bottom w:val="none" w:sz="0" w:space="0" w:color="auto"/>
        <w:right w:val="none" w:sz="0" w:space="0" w:color="auto"/>
      </w:divBdr>
    </w:div>
    <w:div w:id="1071587570">
      <w:bodyDiv w:val="1"/>
      <w:marLeft w:val="0"/>
      <w:marRight w:val="0"/>
      <w:marTop w:val="0"/>
      <w:marBottom w:val="0"/>
      <w:divBdr>
        <w:top w:val="none" w:sz="0" w:space="0" w:color="auto"/>
        <w:left w:val="none" w:sz="0" w:space="0" w:color="auto"/>
        <w:bottom w:val="none" w:sz="0" w:space="0" w:color="auto"/>
        <w:right w:val="none" w:sz="0" w:space="0" w:color="auto"/>
      </w:divBdr>
    </w:div>
    <w:div w:id="1076443317">
      <w:bodyDiv w:val="1"/>
      <w:marLeft w:val="0"/>
      <w:marRight w:val="0"/>
      <w:marTop w:val="0"/>
      <w:marBottom w:val="0"/>
      <w:divBdr>
        <w:top w:val="none" w:sz="0" w:space="0" w:color="auto"/>
        <w:left w:val="none" w:sz="0" w:space="0" w:color="auto"/>
        <w:bottom w:val="none" w:sz="0" w:space="0" w:color="auto"/>
        <w:right w:val="none" w:sz="0" w:space="0" w:color="auto"/>
      </w:divBdr>
    </w:div>
    <w:div w:id="1080449566">
      <w:bodyDiv w:val="1"/>
      <w:marLeft w:val="0"/>
      <w:marRight w:val="0"/>
      <w:marTop w:val="0"/>
      <w:marBottom w:val="0"/>
      <w:divBdr>
        <w:top w:val="none" w:sz="0" w:space="0" w:color="auto"/>
        <w:left w:val="none" w:sz="0" w:space="0" w:color="auto"/>
        <w:bottom w:val="none" w:sz="0" w:space="0" w:color="auto"/>
        <w:right w:val="none" w:sz="0" w:space="0" w:color="auto"/>
      </w:divBdr>
    </w:div>
    <w:div w:id="1093748526">
      <w:bodyDiv w:val="1"/>
      <w:marLeft w:val="0"/>
      <w:marRight w:val="0"/>
      <w:marTop w:val="0"/>
      <w:marBottom w:val="0"/>
      <w:divBdr>
        <w:top w:val="none" w:sz="0" w:space="0" w:color="auto"/>
        <w:left w:val="none" w:sz="0" w:space="0" w:color="auto"/>
        <w:bottom w:val="none" w:sz="0" w:space="0" w:color="auto"/>
        <w:right w:val="none" w:sz="0" w:space="0" w:color="auto"/>
      </w:divBdr>
    </w:div>
    <w:div w:id="1096093278">
      <w:bodyDiv w:val="1"/>
      <w:marLeft w:val="0"/>
      <w:marRight w:val="0"/>
      <w:marTop w:val="0"/>
      <w:marBottom w:val="0"/>
      <w:divBdr>
        <w:top w:val="none" w:sz="0" w:space="0" w:color="auto"/>
        <w:left w:val="none" w:sz="0" w:space="0" w:color="auto"/>
        <w:bottom w:val="none" w:sz="0" w:space="0" w:color="auto"/>
        <w:right w:val="none" w:sz="0" w:space="0" w:color="auto"/>
      </w:divBdr>
    </w:div>
    <w:div w:id="1123812296">
      <w:bodyDiv w:val="1"/>
      <w:marLeft w:val="0"/>
      <w:marRight w:val="0"/>
      <w:marTop w:val="0"/>
      <w:marBottom w:val="0"/>
      <w:divBdr>
        <w:top w:val="none" w:sz="0" w:space="0" w:color="auto"/>
        <w:left w:val="none" w:sz="0" w:space="0" w:color="auto"/>
        <w:bottom w:val="none" w:sz="0" w:space="0" w:color="auto"/>
        <w:right w:val="none" w:sz="0" w:space="0" w:color="auto"/>
      </w:divBdr>
    </w:div>
    <w:div w:id="1124883526">
      <w:bodyDiv w:val="1"/>
      <w:marLeft w:val="0"/>
      <w:marRight w:val="0"/>
      <w:marTop w:val="0"/>
      <w:marBottom w:val="0"/>
      <w:divBdr>
        <w:top w:val="none" w:sz="0" w:space="0" w:color="auto"/>
        <w:left w:val="none" w:sz="0" w:space="0" w:color="auto"/>
        <w:bottom w:val="none" w:sz="0" w:space="0" w:color="auto"/>
        <w:right w:val="none" w:sz="0" w:space="0" w:color="auto"/>
      </w:divBdr>
    </w:div>
    <w:div w:id="1128207929">
      <w:bodyDiv w:val="1"/>
      <w:marLeft w:val="0"/>
      <w:marRight w:val="0"/>
      <w:marTop w:val="0"/>
      <w:marBottom w:val="0"/>
      <w:divBdr>
        <w:top w:val="none" w:sz="0" w:space="0" w:color="auto"/>
        <w:left w:val="none" w:sz="0" w:space="0" w:color="auto"/>
        <w:bottom w:val="none" w:sz="0" w:space="0" w:color="auto"/>
        <w:right w:val="none" w:sz="0" w:space="0" w:color="auto"/>
      </w:divBdr>
    </w:div>
    <w:div w:id="1132406092">
      <w:bodyDiv w:val="1"/>
      <w:marLeft w:val="0"/>
      <w:marRight w:val="0"/>
      <w:marTop w:val="0"/>
      <w:marBottom w:val="0"/>
      <w:divBdr>
        <w:top w:val="none" w:sz="0" w:space="0" w:color="auto"/>
        <w:left w:val="none" w:sz="0" w:space="0" w:color="auto"/>
        <w:bottom w:val="none" w:sz="0" w:space="0" w:color="auto"/>
        <w:right w:val="none" w:sz="0" w:space="0" w:color="auto"/>
      </w:divBdr>
    </w:div>
    <w:div w:id="1138456503">
      <w:bodyDiv w:val="1"/>
      <w:marLeft w:val="0"/>
      <w:marRight w:val="0"/>
      <w:marTop w:val="0"/>
      <w:marBottom w:val="0"/>
      <w:divBdr>
        <w:top w:val="none" w:sz="0" w:space="0" w:color="auto"/>
        <w:left w:val="none" w:sz="0" w:space="0" w:color="auto"/>
        <w:bottom w:val="none" w:sz="0" w:space="0" w:color="auto"/>
        <w:right w:val="none" w:sz="0" w:space="0" w:color="auto"/>
      </w:divBdr>
    </w:div>
    <w:div w:id="1138719372">
      <w:bodyDiv w:val="1"/>
      <w:marLeft w:val="0"/>
      <w:marRight w:val="0"/>
      <w:marTop w:val="0"/>
      <w:marBottom w:val="0"/>
      <w:divBdr>
        <w:top w:val="none" w:sz="0" w:space="0" w:color="auto"/>
        <w:left w:val="none" w:sz="0" w:space="0" w:color="auto"/>
        <w:bottom w:val="none" w:sz="0" w:space="0" w:color="auto"/>
        <w:right w:val="none" w:sz="0" w:space="0" w:color="auto"/>
      </w:divBdr>
    </w:div>
    <w:div w:id="1141846711">
      <w:bodyDiv w:val="1"/>
      <w:marLeft w:val="0"/>
      <w:marRight w:val="0"/>
      <w:marTop w:val="0"/>
      <w:marBottom w:val="0"/>
      <w:divBdr>
        <w:top w:val="none" w:sz="0" w:space="0" w:color="auto"/>
        <w:left w:val="none" w:sz="0" w:space="0" w:color="auto"/>
        <w:bottom w:val="none" w:sz="0" w:space="0" w:color="auto"/>
        <w:right w:val="none" w:sz="0" w:space="0" w:color="auto"/>
      </w:divBdr>
    </w:div>
    <w:div w:id="1146093625">
      <w:bodyDiv w:val="1"/>
      <w:marLeft w:val="0"/>
      <w:marRight w:val="0"/>
      <w:marTop w:val="0"/>
      <w:marBottom w:val="0"/>
      <w:divBdr>
        <w:top w:val="none" w:sz="0" w:space="0" w:color="auto"/>
        <w:left w:val="none" w:sz="0" w:space="0" w:color="auto"/>
        <w:bottom w:val="none" w:sz="0" w:space="0" w:color="auto"/>
        <w:right w:val="none" w:sz="0" w:space="0" w:color="auto"/>
      </w:divBdr>
    </w:div>
    <w:div w:id="1146631164">
      <w:bodyDiv w:val="1"/>
      <w:marLeft w:val="0"/>
      <w:marRight w:val="0"/>
      <w:marTop w:val="0"/>
      <w:marBottom w:val="0"/>
      <w:divBdr>
        <w:top w:val="none" w:sz="0" w:space="0" w:color="auto"/>
        <w:left w:val="none" w:sz="0" w:space="0" w:color="auto"/>
        <w:bottom w:val="none" w:sz="0" w:space="0" w:color="auto"/>
        <w:right w:val="none" w:sz="0" w:space="0" w:color="auto"/>
      </w:divBdr>
    </w:div>
    <w:div w:id="1156413740">
      <w:bodyDiv w:val="1"/>
      <w:marLeft w:val="0"/>
      <w:marRight w:val="0"/>
      <w:marTop w:val="0"/>
      <w:marBottom w:val="0"/>
      <w:divBdr>
        <w:top w:val="none" w:sz="0" w:space="0" w:color="auto"/>
        <w:left w:val="none" w:sz="0" w:space="0" w:color="auto"/>
        <w:bottom w:val="none" w:sz="0" w:space="0" w:color="auto"/>
        <w:right w:val="none" w:sz="0" w:space="0" w:color="auto"/>
      </w:divBdr>
    </w:div>
    <w:div w:id="1183712559">
      <w:bodyDiv w:val="1"/>
      <w:marLeft w:val="0"/>
      <w:marRight w:val="0"/>
      <w:marTop w:val="0"/>
      <w:marBottom w:val="0"/>
      <w:divBdr>
        <w:top w:val="none" w:sz="0" w:space="0" w:color="auto"/>
        <w:left w:val="none" w:sz="0" w:space="0" w:color="auto"/>
        <w:bottom w:val="none" w:sz="0" w:space="0" w:color="auto"/>
        <w:right w:val="none" w:sz="0" w:space="0" w:color="auto"/>
      </w:divBdr>
    </w:div>
    <w:div w:id="1188640399">
      <w:bodyDiv w:val="1"/>
      <w:marLeft w:val="0"/>
      <w:marRight w:val="0"/>
      <w:marTop w:val="0"/>
      <w:marBottom w:val="0"/>
      <w:divBdr>
        <w:top w:val="none" w:sz="0" w:space="0" w:color="auto"/>
        <w:left w:val="none" w:sz="0" w:space="0" w:color="auto"/>
        <w:bottom w:val="none" w:sz="0" w:space="0" w:color="auto"/>
        <w:right w:val="none" w:sz="0" w:space="0" w:color="auto"/>
      </w:divBdr>
    </w:div>
    <w:div w:id="1190558703">
      <w:bodyDiv w:val="1"/>
      <w:marLeft w:val="0"/>
      <w:marRight w:val="0"/>
      <w:marTop w:val="0"/>
      <w:marBottom w:val="0"/>
      <w:divBdr>
        <w:top w:val="none" w:sz="0" w:space="0" w:color="auto"/>
        <w:left w:val="none" w:sz="0" w:space="0" w:color="auto"/>
        <w:bottom w:val="none" w:sz="0" w:space="0" w:color="auto"/>
        <w:right w:val="none" w:sz="0" w:space="0" w:color="auto"/>
      </w:divBdr>
    </w:div>
    <w:div w:id="1190610908">
      <w:bodyDiv w:val="1"/>
      <w:marLeft w:val="0"/>
      <w:marRight w:val="0"/>
      <w:marTop w:val="0"/>
      <w:marBottom w:val="0"/>
      <w:divBdr>
        <w:top w:val="none" w:sz="0" w:space="0" w:color="auto"/>
        <w:left w:val="none" w:sz="0" w:space="0" w:color="auto"/>
        <w:bottom w:val="none" w:sz="0" w:space="0" w:color="auto"/>
        <w:right w:val="none" w:sz="0" w:space="0" w:color="auto"/>
      </w:divBdr>
    </w:div>
    <w:div w:id="1190801790">
      <w:bodyDiv w:val="1"/>
      <w:marLeft w:val="0"/>
      <w:marRight w:val="0"/>
      <w:marTop w:val="0"/>
      <w:marBottom w:val="0"/>
      <w:divBdr>
        <w:top w:val="none" w:sz="0" w:space="0" w:color="auto"/>
        <w:left w:val="none" w:sz="0" w:space="0" w:color="auto"/>
        <w:bottom w:val="none" w:sz="0" w:space="0" w:color="auto"/>
        <w:right w:val="none" w:sz="0" w:space="0" w:color="auto"/>
      </w:divBdr>
    </w:div>
    <w:div w:id="1210454977">
      <w:bodyDiv w:val="1"/>
      <w:marLeft w:val="0"/>
      <w:marRight w:val="0"/>
      <w:marTop w:val="0"/>
      <w:marBottom w:val="0"/>
      <w:divBdr>
        <w:top w:val="none" w:sz="0" w:space="0" w:color="auto"/>
        <w:left w:val="none" w:sz="0" w:space="0" w:color="auto"/>
        <w:bottom w:val="none" w:sz="0" w:space="0" w:color="auto"/>
        <w:right w:val="none" w:sz="0" w:space="0" w:color="auto"/>
      </w:divBdr>
    </w:div>
    <w:div w:id="1229002533">
      <w:bodyDiv w:val="1"/>
      <w:marLeft w:val="0"/>
      <w:marRight w:val="0"/>
      <w:marTop w:val="0"/>
      <w:marBottom w:val="0"/>
      <w:divBdr>
        <w:top w:val="none" w:sz="0" w:space="0" w:color="auto"/>
        <w:left w:val="none" w:sz="0" w:space="0" w:color="auto"/>
        <w:bottom w:val="none" w:sz="0" w:space="0" w:color="auto"/>
        <w:right w:val="none" w:sz="0" w:space="0" w:color="auto"/>
      </w:divBdr>
    </w:div>
    <w:div w:id="1252544364">
      <w:bodyDiv w:val="1"/>
      <w:marLeft w:val="0"/>
      <w:marRight w:val="0"/>
      <w:marTop w:val="0"/>
      <w:marBottom w:val="0"/>
      <w:divBdr>
        <w:top w:val="none" w:sz="0" w:space="0" w:color="auto"/>
        <w:left w:val="none" w:sz="0" w:space="0" w:color="auto"/>
        <w:bottom w:val="none" w:sz="0" w:space="0" w:color="auto"/>
        <w:right w:val="none" w:sz="0" w:space="0" w:color="auto"/>
      </w:divBdr>
    </w:div>
    <w:div w:id="1254899431">
      <w:bodyDiv w:val="1"/>
      <w:marLeft w:val="0"/>
      <w:marRight w:val="0"/>
      <w:marTop w:val="0"/>
      <w:marBottom w:val="0"/>
      <w:divBdr>
        <w:top w:val="none" w:sz="0" w:space="0" w:color="auto"/>
        <w:left w:val="none" w:sz="0" w:space="0" w:color="auto"/>
        <w:bottom w:val="none" w:sz="0" w:space="0" w:color="auto"/>
        <w:right w:val="none" w:sz="0" w:space="0" w:color="auto"/>
      </w:divBdr>
    </w:div>
    <w:div w:id="1283152491">
      <w:bodyDiv w:val="1"/>
      <w:marLeft w:val="0"/>
      <w:marRight w:val="0"/>
      <w:marTop w:val="0"/>
      <w:marBottom w:val="0"/>
      <w:divBdr>
        <w:top w:val="none" w:sz="0" w:space="0" w:color="auto"/>
        <w:left w:val="none" w:sz="0" w:space="0" w:color="auto"/>
        <w:bottom w:val="none" w:sz="0" w:space="0" w:color="auto"/>
        <w:right w:val="none" w:sz="0" w:space="0" w:color="auto"/>
      </w:divBdr>
    </w:div>
    <w:div w:id="1298803992">
      <w:bodyDiv w:val="1"/>
      <w:marLeft w:val="0"/>
      <w:marRight w:val="0"/>
      <w:marTop w:val="0"/>
      <w:marBottom w:val="0"/>
      <w:divBdr>
        <w:top w:val="none" w:sz="0" w:space="0" w:color="auto"/>
        <w:left w:val="none" w:sz="0" w:space="0" w:color="auto"/>
        <w:bottom w:val="none" w:sz="0" w:space="0" w:color="auto"/>
        <w:right w:val="none" w:sz="0" w:space="0" w:color="auto"/>
      </w:divBdr>
    </w:div>
    <w:div w:id="1306623267">
      <w:bodyDiv w:val="1"/>
      <w:marLeft w:val="0"/>
      <w:marRight w:val="0"/>
      <w:marTop w:val="0"/>
      <w:marBottom w:val="0"/>
      <w:divBdr>
        <w:top w:val="none" w:sz="0" w:space="0" w:color="auto"/>
        <w:left w:val="none" w:sz="0" w:space="0" w:color="auto"/>
        <w:bottom w:val="none" w:sz="0" w:space="0" w:color="auto"/>
        <w:right w:val="none" w:sz="0" w:space="0" w:color="auto"/>
      </w:divBdr>
    </w:div>
    <w:div w:id="1311446464">
      <w:bodyDiv w:val="1"/>
      <w:marLeft w:val="0"/>
      <w:marRight w:val="0"/>
      <w:marTop w:val="0"/>
      <w:marBottom w:val="0"/>
      <w:divBdr>
        <w:top w:val="none" w:sz="0" w:space="0" w:color="auto"/>
        <w:left w:val="none" w:sz="0" w:space="0" w:color="auto"/>
        <w:bottom w:val="none" w:sz="0" w:space="0" w:color="auto"/>
        <w:right w:val="none" w:sz="0" w:space="0" w:color="auto"/>
      </w:divBdr>
    </w:div>
    <w:div w:id="1311473238">
      <w:bodyDiv w:val="1"/>
      <w:marLeft w:val="0"/>
      <w:marRight w:val="0"/>
      <w:marTop w:val="0"/>
      <w:marBottom w:val="0"/>
      <w:divBdr>
        <w:top w:val="none" w:sz="0" w:space="0" w:color="auto"/>
        <w:left w:val="none" w:sz="0" w:space="0" w:color="auto"/>
        <w:bottom w:val="none" w:sz="0" w:space="0" w:color="auto"/>
        <w:right w:val="none" w:sz="0" w:space="0" w:color="auto"/>
      </w:divBdr>
    </w:div>
    <w:div w:id="1316715174">
      <w:bodyDiv w:val="1"/>
      <w:marLeft w:val="0"/>
      <w:marRight w:val="0"/>
      <w:marTop w:val="0"/>
      <w:marBottom w:val="0"/>
      <w:divBdr>
        <w:top w:val="none" w:sz="0" w:space="0" w:color="auto"/>
        <w:left w:val="none" w:sz="0" w:space="0" w:color="auto"/>
        <w:bottom w:val="none" w:sz="0" w:space="0" w:color="auto"/>
        <w:right w:val="none" w:sz="0" w:space="0" w:color="auto"/>
      </w:divBdr>
    </w:div>
    <w:div w:id="1319307120">
      <w:bodyDiv w:val="1"/>
      <w:marLeft w:val="0"/>
      <w:marRight w:val="0"/>
      <w:marTop w:val="0"/>
      <w:marBottom w:val="0"/>
      <w:divBdr>
        <w:top w:val="none" w:sz="0" w:space="0" w:color="auto"/>
        <w:left w:val="none" w:sz="0" w:space="0" w:color="auto"/>
        <w:bottom w:val="none" w:sz="0" w:space="0" w:color="auto"/>
        <w:right w:val="none" w:sz="0" w:space="0" w:color="auto"/>
      </w:divBdr>
    </w:div>
    <w:div w:id="1319455958">
      <w:bodyDiv w:val="1"/>
      <w:marLeft w:val="0"/>
      <w:marRight w:val="0"/>
      <w:marTop w:val="0"/>
      <w:marBottom w:val="0"/>
      <w:divBdr>
        <w:top w:val="none" w:sz="0" w:space="0" w:color="auto"/>
        <w:left w:val="none" w:sz="0" w:space="0" w:color="auto"/>
        <w:bottom w:val="none" w:sz="0" w:space="0" w:color="auto"/>
        <w:right w:val="none" w:sz="0" w:space="0" w:color="auto"/>
      </w:divBdr>
    </w:div>
    <w:div w:id="1333142773">
      <w:bodyDiv w:val="1"/>
      <w:marLeft w:val="0"/>
      <w:marRight w:val="0"/>
      <w:marTop w:val="0"/>
      <w:marBottom w:val="0"/>
      <w:divBdr>
        <w:top w:val="none" w:sz="0" w:space="0" w:color="auto"/>
        <w:left w:val="none" w:sz="0" w:space="0" w:color="auto"/>
        <w:bottom w:val="none" w:sz="0" w:space="0" w:color="auto"/>
        <w:right w:val="none" w:sz="0" w:space="0" w:color="auto"/>
      </w:divBdr>
    </w:div>
    <w:div w:id="1339042654">
      <w:bodyDiv w:val="1"/>
      <w:marLeft w:val="0"/>
      <w:marRight w:val="0"/>
      <w:marTop w:val="0"/>
      <w:marBottom w:val="0"/>
      <w:divBdr>
        <w:top w:val="none" w:sz="0" w:space="0" w:color="auto"/>
        <w:left w:val="none" w:sz="0" w:space="0" w:color="auto"/>
        <w:bottom w:val="none" w:sz="0" w:space="0" w:color="auto"/>
        <w:right w:val="none" w:sz="0" w:space="0" w:color="auto"/>
      </w:divBdr>
    </w:div>
    <w:div w:id="1355107064">
      <w:bodyDiv w:val="1"/>
      <w:marLeft w:val="0"/>
      <w:marRight w:val="0"/>
      <w:marTop w:val="0"/>
      <w:marBottom w:val="0"/>
      <w:divBdr>
        <w:top w:val="none" w:sz="0" w:space="0" w:color="auto"/>
        <w:left w:val="none" w:sz="0" w:space="0" w:color="auto"/>
        <w:bottom w:val="none" w:sz="0" w:space="0" w:color="auto"/>
        <w:right w:val="none" w:sz="0" w:space="0" w:color="auto"/>
      </w:divBdr>
    </w:div>
    <w:div w:id="1368334601">
      <w:bodyDiv w:val="1"/>
      <w:marLeft w:val="0"/>
      <w:marRight w:val="0"/>
      <w:marTop w:val="0"/>
      <w:marBottom w:val="0"/>
      <w:divBdr>
        <w:top w:val="none" w:sz="0" w:space="0" w:color="auto"/>
        <w:left w:val="none" w:sz="0" w:space="0" w:color="auto"/>
        <w:bottom w:val="none" w:sz="0" w:space="0" w:color="auto"/>
        <w:right w:val="none" w:sz="0" w:space="0" w:color="auto"/>
      </w:divBdr>
      <w:divsChild>
        <w:div w:id="1949312942">
          <w:marLeft w:val="0"/>
          <w:marRight w:val="0"/>
          <w:marTop w:val="0"/>
          <w:marBottom w:val="0"/>
          <w:divBdr>
            <w:top w:val="none" w:sz="0" w:space="0" w:color="auto"/>
            <w:left w:val="none" w:sz="0" w:space="0" w:color="auto"/>
            <w:bottom w:val="none" w:sz="0" w:space="0" w:color="auto"/>
            <w:right w:val="none" w:sz="0" w:space="0" w:color="auto"/>
          </w:divBdr>
          <w:divsChild>
            <w:div w:id="309944533">
              <w:marLeft w:val="0"/>
              <w:marRight w:val="0"/>
              <w:marTop w:val="0"/>
              <w:marBottom w:val="0"/>
              <w:divBdr>
                <w:top w:val="none" w:sz="0" w:space="0" w:color="auto"/>
                <w:left w:val="none" w:sz="0" w:space="0" w:color="auto"/>
                <w:bottom w:val="none" w:sz="0" w:space="0" w:color="auto"/>
                <w:right w:val="none" w:sz="0" w:space="0" w:color="auto"/>
              </w:divBdr>
              <w:divsChild>
                <w:div w:id="794524978">
                  <w:marLeft w:val="0"/>
                  <w:marRight w:val="0"/>
                  <w:marTop w:val="0"/>
                  <w:marBottom w:val="0"/>
                  <w:divBdr>
                    <w:top w:val="none" w:sz="0" w:space="0" w:color="auto"/>
                    <w:left w:val="none" w:sz="0" w:space="0" w:color="auto"/>
                    <w:bottom w:val="none" w:sz="0" w:space="0" w:color="auto"/>
                    <w:right w:val="none" w:sz="0" w:space="0" w:color="auto"/>
                  </w:divBdr>
                  <w:divsChild>
                    <w:div w:id="217594832">
                      <w:marLeft w:val="0"/>
                      <w:marRight w:val="0"/>
                      <w:marTop w:val="0"/>
                      <w:marBottom w:val="0"/>
                      <w:divBdr>
                        <w:top w:val="none" w:sz="0" w:space="0" w:color="auto"/>
                        <w:left w:val="none" w:sz="0" w:space="0" w:color="auto"/>
                        <w:bottom w:val="none" w:sz="0" w:space="0" w:color="auto"/>
                        <w:right w:val="none" w:sz="0" w:space="0" w:color="auto"/>
                      </w:divBdr>
                      <w:divsChild>
                        <w:div w:id="510027253">
                          <w:marLeft w:val="0"/>
                          <w:marRight w:val="0"/>
                          <w:marTop w:val="0"/>
                          <w:marBottom w:val="0"/>
                          <w:divBdr>
                            <w:top w:val="none" w:sz="0" w:space="0" w:color="auto"/>
                            <w:left w:val="none" w:sz="0" w:space="0" w:color="auto"/>
                            <w:bottom w:val="none" w:sz="0" w:space="0" w:color="auto"/>
                            <w:right w:val="none" w:sz="0" w:space="0" w:color="auto"/>
                          </w:divBdr>
                          <w:divsChild>
                            <w:div w:id="14228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19287">
      <w:bodyDiv w:val="1"/>
      <w:marLeft w:val="0"/>
      <w:marRight w:val="0"/>
      <w:marTop w:val="0"/>
      <w:marBottom w:val="0"/>
      <w:divBdr>
        <w:top w:val="none" w:sz="0" w:space="0" w:color="auto"/>
        <w:left w:val="none" w:sz="0" w:space="0" w:color="auto"/>
        <w:bottom w:val="none" w:sz="0" w:space="0" w:color="auto"/>
        <w:right w:val="none" w:sz="0" w:space="0" w:color="auto"/>
      </w:divBdr>
    </w:div>
    <w:div w:id="1380475742">
      <w:bodyDiv w:val="1"/>
      <w:marLeft w:val="0"/>
      <w:marRight w:val="0"/>
      <w:marTop w:val="0"/>
      <w:marBottom w:val="0"/>
      <w:divBdr>
        <w:top w:val="none" w:sz="0" w:space="0" w:color="auto"/>
        <w:left w:val="none" w:sz="0" w:space="0" w:color="auto"/>
        <w:bottom w:val="none" w:sz="0" w:space="0" w:color="auto"/>
        <w:right w:val="none" w:sz="0" w:space="0" w:color="auto"/>
      </w:divBdr>
    </w:div>
    <w:div w:id="1384796136">
      <w:bodyDiv w:val="1"/>
      <w:marLeft w:val="0"/>
      <w:marRight w:val="0"/>
      <w:marTop w:val="0"/>
      <w:marBottom w:val="0"/>
      <w:divBdr>
        <w:top w:val="none" w:sz="0" w:space="0" w:color="auto"/>
        <w:left w:val="none" w:sz="0" w:space="0" w:color="auto"/>
        <w:bottom w:val="none" w:sz="0" w:space="0" w:color="auto"/>
        <w:right w:val="none" w:sz="0" w:space="0" w:color="auto"/>
      </w:divBdr>
    </w:div>
    <w:div w:id="1387073278">
      <w:bodyDiv w:val="1"/>
      <w:marLeft w:val="0"/>
      <w:marRight w:val="0"/>
      <w:marTop w:val="0"/>
      <w:marBottom w:val="0"/>
      <w:divBdr>
        <w:top w:val="none" w:sz="0" w:space="0" w:color="auto"/>
        <w:left w:val="none" w:sz="0" w:space="0" w:color="auto"/>
        <w:bottom w:val="none" w:sz="0" w:space="0" w:color="auto"/>
        <w:right w:val="none" w:sz="0" w:space="0" w:color="auto"/>
      </w:divBdr>
    </w:div>
    <w:div w:id="1387415272">
      <w:bodyDiv w:val="1"/>
      <w:marLeft w:val="0"/>
      <w:marRight w:val="0"/>
      <w:marTop w:val="0"/>
      <w:marBottom w:val="0"/>
      <w:divBdr>
        <w:top w:val="none" w:sz="0" w:space="0" w:color="auto"/>
        <w:left w:val="none" w:sz="0" w:space="0" w:color="auto"/>
        <w:bottom w:val="none" w:sz="0" w:space="0" w:color="auto"/>
        <w:right w:val="none" w:sz="0" w:space="0" w:color="auto"/>
      </w:divBdr>
    </w:div>
    <w:div w:id="1387871047">
      <w:bodyDiv w:val="1"/>
      <w:marLeft w:val="0"/>
      <w:marRight w:val="0"/>
      <w:marTop w:val="0"/>
      <w:marBottom w:val="0"/>
      <w:divBdr>
        <w:top w:val="none" w:sz="0" w:space="0" w:color="auto"/>
        <w:left w:val="none" w:sz="0" w:space="0" w:color="auto"/>
        <w:bottom w:val="none" w:sz="0" w:space="0" w:color="auto"/>
        <w:right w:val="none" w:sz="0" w:space="0" w:color="auto"/>
      </w:divBdr>
    </w:div>
    <w:div w:id="1400329648">
      <w:bodyDiv w:val="1"/>
      <w:marLeft w:val="0"/>
      <w:marRight w:val="0"/>
      <w:marTop w:val="0"/>
      <w:marBottom w:val="0"/>
      <w:divBdr>
        <w:top w:val="none" w:sz="0" w:space="0" w:color="auto"/>
        <w:left w:val="none" w:sz="0" w:space="0" w:color="auto"/>
        <w:bottom w:val="none" w:sz="0" w:space="0" w:color="auto"/>
        <w:right w:val="none" w:sz="0" w:space="0" w:color="auto"/>
      </w:divBdr>
    </w:div>
    <w:div w:id="1401948544">
      <w:bodyDiv w:val="1"/>
      <w:marLeft w:val="0"/>
      <w:marRight w:val="0"/>
      <w:marTop w:val="0"/>
      <w:marBottom w:val="0"/>
      <w:divBdr>
        <w:top w:val="none" w:sz="0" w:space="0" w:color="auto"/>
        <w:left w:val="none" w:sz="0" w:space="0" w:color="auto"/>
        <w:bottom w:val="none" w:sz="0" w:space="0" w:color="auto"/>
        <w:right w:val="none" w:sz="0" w:space="0" w:color="auto"/>
      </w:divBdr>
    </w:div>
    <w:div w:id="1405838047">
      <w:bodyDiv w:val="1"/>
      <w:marLeft w:val="0"/>
      <w:marRight w:val="0"/>
      <w:marTop w:val="0"/>
      <w:marBottom w:val="0"/>
      <w:divBdr>
        <w:top w:val="none" w:sz="0" w:space="0" w:color="auto"/>
        <w:left w:val="none" w:sz="0" w:space="0" w:color="auto"/>
        <w:bottom w:val="none" w:sz="0" w:space="0" w:color="auto"/>
        <w:right w:val="none" w:sz="0" w:space="0" w:color="auto"/>
      </w:divBdr>
    </w:div>
    <w:div w:id="1413283849">
      <w:bodyDiv w:val="1"/>
      <w:marLeft w:val="0"/>
      <w:marRight w:val="0"/>
      <w:marTop w:val="0"/>
      <w:marBottom w:val="0"/>
      <w:divBdr>
        <w:top w:val="none" w:sz="0" w:space="0" w:color="auto"/>
        <w:left w:val="none" w:sz="0" w:space="0" w:color="auto"/>
        <w:bottom w:val="none" w:sz="0" w:space="0" w:color="auto"/>
        <w:right w:val="none" w:sz="0" w:space="0" w:color="auto"/>
      </w:divBdr>
    </w:div>
    <w:div w:id="1426878315">
      <w:bodyDiv w:val="1"/>
      <w:marLeft w:val="0"/>
      <w:marRight w:val="0"/>
      <w:marTop w:val="0"/>
      <w:marBottom w:val="0"/>
      <w:divBdr>
        <w:top w:val="none" w:sz="0" w:space="0" w:color="auto"/>
        <w:left w:val="none" w:sz="0" w:space="0" w:color="auto"/>
        <w:bottom w:val="none" w:sz="0" w:space="0" w:color="auto"/>
        <w:right w:val="none" w:sz="0" w:space="0" w:color="auto"/>
      </w:divBdr>
    </w:div>
    <w:div w:id="1434548286">
      <w:bodyDiv w:val="1"/>
      <w:marLeft w:val="0"/>
      <w:marRight w:val="0"/>
      <w:marTop w:val="0"/>
      <w:marBottom w:val="0"/>
      <w:divBdr>
        <w:top w:val="none" w:sz="0" w:space="0" w:color="auto"/>
        <w:left w:val="none" w:sz="0" w:space="0" w:color="auto"/>
        <w:bottom w:val="none" w:sz="0" w:space="0" w:color="auto"/>
        <w:right w:val="none" w:sz="0" w:space="0" w:color="auto"/>
      </w:divBdr>
    </w:div>
    <w:div w:id="1441022549">
      <w:bodyDiv w:val="1"/>
      <w:marLeft w:val="0"/>
      <w:marRight w:val="0"/>
      <w:marTop w:val="0"/>
      <w:marBottom w:val="0"/>
      <w:divBdr>
        <w:top w:val="none" w:sz="0" w:space="0" w:color="auto"/>
        <w:left w:val="none" w:sz="0" w:space="0" w:color="auto"/>
        <w:bottom w:val="none" w:sz="0" w:space="0" w:color="auto"/>
        <w:right w:val="none" w:sz="0" w:space="0" w:color="auto"/>
      </w:divBdr>
    </w:div>
    <w:div w:id="1458257001">
      <w:bodyDiv w:val="1"/>
      <w:marLeft w:val="0"/>
      <w:marRight w:val="0"/>
      <w:marTop w:val="0"/>
      <w:marBottom w:val="0"/>
      <w:divBdr>
        <w:top w:val="none" w:sz="0" w:space="0" w:color="auto"/>
        <w:left w:val="none" w:sz="0" w:space="0" w:color="auto"/>
        <w:bottom w:val="none" w:sz="0" w:space="0" w:color="auto"/>
        <w:right w:val="none" w:sz="0" w:space="0" w:color="auto"/>
      </w:divBdr>
    </w:div>
    <w:div w:id="1462768119">
      <w:bodyDiv w:val="1"/>
      <w:marLeft w:val="0"/>
      <w:marRight w:val="0"/>
      <w:marTop w:val="0"/>
      <w:marBottom w:val="0"/>
      <w:divBdr>
        <w:top w:val="none" w:sz="0" w:space="0" w:color="auto"/>
        <w:left w:val="none" w:sz="0" w:space="0" w:color="auto"/>
        <w:bottom w:val="none" w:sz="0" w:space="0" w:color="auto"/>
        <w:right w:val="none" w:sz="0" w:space="0" w:color="auto"/>
      </w:divBdr>
    </w:div>
    <w:div w:id="1477985953">
      <w:bodyDiv w:val="1"/>
      <w:marLeft w:val="0"/>
      <w:marRight w:val="0"/>
      <w:marTop w:val="0"/>
      <w:marBottom w:val="0"/>
      <w:divBdr>
        <w:top w:val="none" w:sz="0" w:space="0" w:color="auto"/>
        <w:left w:val="none" w:sz="0" w:space="0" w:color="auto"/>
        <w:bottom w:val="none" w:sz="0" w:space="0" w:color="auto"/>
        <w:right w:val="none" w:sz="0" w:space="0" w:color="auto"/>
      </w:divBdr>
    </w:div>
    <w:div w:id="1487936297">
      <w:bodyDiv w:val="1"/>
      <w:marLeft w:val="0"/>
      <w:marRight w:val="0"/>
      <w:marTop w:val="0"/>
      <w:marBottom w:val="0"/>
      <w:divBdr>
        <w:top w:val="none" w:sz="0" w:space="0" w:color="auto"/>
        <w:left w:val="none" w:sz="0" w:space="0" w:color="auto"/>
        <w:bottom w:val="none" w:sz="0" w:space="0" w:color="auto"/>
        <w:right w:val="none" w:sz="0" w:space="0" w:color="auto"/>
      </w:divBdr>
    </w:div>
    <w:div w:id="1493058034">
      <w:bodyDiv w:val="1"/>
      <w:marLeft w:val="0"/>
      <w:marRight w:val="0"/>
      <w:marTop w:val="0"/>
      <w:marBottom w:val="0"/>
      <w:divBdr>
        <w:top w:val="none" w:sz="0" w:space="0" w:color="auto"/>
        <w:left w:val="none" w:sz="0" w:space="0" w:color="auto"/>
        <w:bottom w:val="none" w:sz="0" w:space="0" w:color="auto"/>
        <w:right w:val="none" w:sz="0" w:space="0" w:color="auto"/>
      </w:divBdr>
    </w:div>
    <w:div w:id="1502545633">
      <w:bodyDiv w:val="1"/>
      <w:marLeft w:val="0"/>
      <w:marRight w:val="0"/>
      <w:marTop w:val="0"/>
      <w:marBottom w:val="0"/>
      <w:divBdr>
        <w:top w:val="none" w:sz="0" w:space="0" w:color="auto"/>
        <w:left w:val="none" w:sz="0" w:space="0" w:color="auto"/>
        <w:bottom w:val="none" w:sz="0" w:space="0" w:color="auto"/>
        <w:right w:val="none" w:sz="0" w:space="0" w:color="auto"/>
      </w:divBdr>
    </w:div>
    <w:div w:id="1504080497">
      <w:bodyDiv w:val="1"/>
      <w:marLeft w:val="0"/>
      <w:marRight w:val="0"/>
      <w:marTop w:val="0"/>
      <w:marBottom w:val="0"/>
      <w:divBdr>
        <w:top w:val="none" w:sz="0" w:space="0" w:color="auto"/>
        <w:left w:val="none" w:sz="0" w:space="0" w:color="auto"/>
        <w:bottom w:val="none" w:sz="0" w:space="0" w:color="auto"/>
        <w:right w:val="none" w:sz="0" w:space="0" w:color="auto"/>
      </w:divBdr>
    </w:div>
    <w:div w:id="1508131137">
      <w:bodyDiv w:val="1"/>
      <w:marLeft w:val="0"/>
      <w:marRight w:val="0"/>
      <w:marTop w:val="0"/>
      <w:marBottom w:val="0"/>
      <w:divBdr>
        <w:top w:val="none" w:sz="0" w:space="0" w:color="auto"/>
        <w:left w:val="none" w:sz="0" w:space="0" w:color="auto"/>
        <w:bottom w:val="none" w:sz="0" w:space="0" w:color="auto"/>
        <w:right w:val="none" w:sz="0" w:space="0" w:color="auto"/>
      </w:divBdr>
    </w:div>
    <w:div w:id="1522430174">
      <w:bodyDiv w:val="1"/>
      <w:marLeft w:val="0"/>
      <w:marRight w:val="0"/>
      <w:marTop w:val="0"/>
      <w:marBottom w:val="0"/>
      <w:divBdr>
        <w:top w:val="none" w:sz="0" w:space="0" w:color="auto"/>
        <w:left w:val="none" w:sz="0" w:space="0" w:color="auto"/>
        <w:bottom w:val="none" w:sz="0" w:space="0" w:color="auto"/>
        <w:right w:val="none" w:sz="0" w:space="0" w:color="auto"/>
      </w:divBdr>
    </w:div>
    <w:div w:id="1527670098">
      <w:bodyDiv w:val="1"/>
      <w:marLeft w:val="0"/>
      <w:marRight w:val="0"/>
      <w:marTop w:val="0"/>
      <w:marBottom w:val="0"/>
      <w:divBdr>
        <w:top w:val="none" w:sz="0" w:space="0" w:color="auto"/>
        <w:left w:val="none" w:sz="0" w:space="0" w:color="auto"/>
        <w:bottom w:val="none" w:sz="0" w:space="0" w:color="auto"/>
        <w:right w:val="none" w:sz="0" w:space="0" w:color="auto"/>
      </w:divBdr>
    </w:div>
    <w:div w:id="1529679434">
      <w:bodyDiv w:val="1"/>
      <w:marLeft w:val="0"/>
      <w:marRight w:val="0"/>
      <w:marTop w:val="0"/>
      <w:marBottom w:val="0"/>
      <w:divBdr>
        <w:top w:val="none" w:sz="0" w:space="0" w:color="auto"/>
        <w:left w:val="none" w:sz="0" w:space="0" w:color="auto"/>
        <w:bottom w:val="none" w:sz="0" w:space="0" w:color="auto"/>
        <w:right w:val="none" w:sz="0" w:space="0" w:color="auto"/>
      </w:divBdr>
    </w:div>
    <w:div w:id="1532381880">
      <w:bodyDiv w:val="1"/>
      <w:marLeft w:val="0"/>
      <w:marRight w:val="0"/>
      <w:marTop w:val="0"/>
      <w:marBottom w:val="0"/>
      <w:divBdr>
        <w:top w:val="none" w:sz="0" w:space="0" w:color="auto"/>
        <w:left w:val="none" w:sz="0" w:space="0" w:color="auto"/>
        <w:bottom w:val="none" w:sz="0" w:space="0" w:color="auto"/>
        <w:right w:val="none" w:sz="0" w:space="0" w:color="auto"/>
      </w:divBdr>
    </w:div>
    <w:div w:id="1539783290">
      <w:bodyDiv w:val="1"/>
      <w:marLeft w:val="0"/>
      <w:marRight w:val="0"/>
      <w:marTop w:val="0"/>
      <w:marBottom w:val="0"/>
      <w:divBdr>
        <w:top w:val="none" w:sz="0" w:space="0" w:color="auto"/>
        <w:left w:val="none" w:sz="0" w:space="0" w:color="auto"/>
        <w:bottom w:val="none" w:sz="0" w:space="0" w:color="auto"/>
        <w:right w:val="none" w:sz="0" w:space="0" w:color="auto"/>
      </w:divBdr>
    </w:div>
    <w:div w:id="1556309497">
      <w:bodyDiv w:val="1"/>
      <w:marLeft w:val="0"/>
      <w:marRight w:val="0"/>
      <w:marTop w:val="0"/>
      <w:marBottom w:val="0"/>
      <w:divBdr>
        <w:top w:val="none" w:sz="0" w:space="0" w:color="auto"/>
        <w:left w:val="none" w:sz="0" w:space="0" w:color="auto"/>
        <w:bottom w:val="none" w:sz="0" w:space="0" w:color="auto"/>
        <w:right w:val="none" w:sz="0" w:space="0" w:color="auto"/>
      </w:divBdr>
    </w:div>
    <w:div w:id="1560940926">
      <w:bodyDiv w:val="1"/>
      <w:marLeft w:val="0"/>
      <w:marRight w:val="0"/>
      <w:marTop w:val="0"/>
      <w:marBottom w:val="0"/>
      <w:divBdr>
        <w:top w:val="none" w:sz="0" w:space="0" w:color="auto"/>
        <w:left w:val="none" w:sz="0" w:space="0" w:color="auto"/>
        <w:bottom w:val="none" w:sz="0" w:space="0" w:color="auto"/>
        <w:right w:val="none" w:sz="0" w:space="0" w:color="auto"/>
      </w:divBdr>
    </w:div>
    <w:div w:id="1562328940">
      <w:bodyDiv w:val="1"/>
      <w:marLeft w:val="0"/>
      <w:marRight w:val="0"/>
      <w:marTop w:val="0"/>
      <w:marBottom w:val="0"/>
      <w:divBdr>
        <w:top w:val="none" w:sz="0" w:space="0" w:color="auto"/>
        <w:left w:val="none" w:sz="0" w:space="0" w:color="auto"/>
        <w:bottom w:val="none" w:sz="0" w:space="0" w:color="auto"/>
        <w:right w:val="none" w:sz="0" w:space="0" w:color="auto"/>
      </w:divBdr>
    </w:div>
    <w:div w:id="1579898317">
      <w:bodyDiv w:val="1"/>
      <w:marLeft w:val="0"/>
      <w:marRight w:val="0"/>
      <w:marTop w:val="0"/>
      <w:marBottom w:val="0"/>
      <w:divBdr>
        <w:top w:val="none" w:sz="0" w:space="0" w:color="auto"/>
        <w:left w:val="none" w:sz="0" w:space="0" w:color="auto"/>
        <w:bottom w:val="none" w:sz="0" w:space="0" w:color="auto"/>
        <w:right w:val="none" w:sz="0" w:space="0" w:color="auto"/>
      </w:divBdr>
    </w:div>
    <w:div w:id="1581870828">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0773288">
      <w:bodyDiv w:val="1"/>
      <w:marLeft w:val="0"/>
      <w:marRight w:val="0"/>
      <w:marTop w:val="0"/>
      <w:marBottom w:val="0"/>
      <w:divBdr>
        <w:top w:val="none" w:sz="0" w:space="0" w:color="auto"/>
        <w:left w:val="none" w:sz="0" w:space="0" w:color="auto"/>
        <w:bottom w:val="none" w:sz="0" w:space="0" w:color="auto"/>
        <w:right w:val="none" w:sz="0" w:space="0" w:color="auto"/>
      </w:divBdr>
    </w:div>
    <w:div w:id="1600212614">
      <w:bodyDiv w:val="1"/>
      <w:marLeft w:val="0"/>
      <w:marRight w:val="0"/>
      <w:marTop w:val="0"/>
      <w:marBottom w:val="0"/>
      <w:divBdr>
        <w:top w:val="none" w:sz="0" w:space="0" w:color="auto"/>
        <w:left w:val="none" w:sz="0" w:space="0" w:color="auto"/>
        <w:bottom w:val="none" w:sz="0" w:space="0" w:color="auto"/>
        <w:right w:val="none" w:sz="0" w:space="0" w:color="auto"/>
      </w:divBdr>
    </w:div>
    <w:div w:id="1602452901">
      <w:bodyDiv w:val="1"/>
      <w:marLeft w:val="0"/>
      <w:marRight w:val="0"/>
      <w:marTop w:val="0"/>
      <w:marBottom w:val="0"/>
      <w:divBdr>
        <w:top w:val="none" w:sz="0" w:space="0" w:color="auto"/>
        <w:left w:val="none" w:sz="0" w:space="0" w:color="auto"/>
        <w:bottom w:val="none" w:sz="0" w:space="0" w:color="auto"/>
        <w:right w:val="none" w:sz="0" w:space="0" w:color="auto"/>
      </w:divBdr>
    </w:div>
    <w:div w:id="1613786990">
      <w:bodyDiv w:val="1"/>
      <w:marLeft w:val="0"/>
      <w:marRight w:val="0"/>
      <w:marTop w:val="0"/>
      <w:marBottom w:val="0"/>
      <w:divBdr>
        <w:top w:val="none" w:sz="0" w:space="0" w:color="auto"/>
        <w:left w:val="none" w:sz="0" w:space="0" w:color="auto"/>
        <w:bottom w:val="none" w:sz="0" w:space="0" w:color="auto"/>
        <w:right w:val="none" w:sz="0" w:space="0" w:color="auto"/>
      </w:divBdr>
    </w:div>
    <w:div w:id="1635057998">
      <w:bodyDiv w:val="1"/>
      <w:marLeft w:val="0"/>
      <w:marRight w:val="0"/>
      <w:marTop w:val="0"/>
      <w:marBottom w:val="0"/>
      <w:divBdr>
        <w:top w:val="none" w:sz="0" w:space="0" w:color="auto"/>
        <w:left w:val="none" w:sz="0" w:space="0" w:color="auto"/>
        <w:bottom w:val="none" w:sz="0" w:space="0" w:color="auto"/>
        <w:right w:val="none" w:sz="0" w:space="0" w:color="auto"/>
      </w:divBdr>
    </w:div>
    <w:div w:id="1637830364">
      <w:bodyDiv w:val="1"/>
      <w:marLeft w:val="0"/>
      <w:marRight w:val="0"/>
      <w:marTop w:val="0"/>
      <w:marBottom w:val="0"/>
      <w:divBdr>
        <w:top w:val="none" w:sz="0" w:space="0" w:color="auto"/>
        <w:left w:val="none" w:sz="0" w:space="0" w:color="auto"/>
        <w:bottom w:val="none" w:sz="0" w:space="0" w:color="auto"/>
        <w:right w:val="none" w:sz="0" w:space="0" w:color="auto"/>
      </w:divBdr>
    </w:div>
    <w:div w:id="1638954775">
      <w:bodyDiv w:val="1"/>
      <w:marLeft w:val="0"/>
      <w:marRight w:val="0"/>
      <w:marTop w:val="0"/>
      <w:marBottom w:val="0"/>
      <w:divBdr>
        <w:top w:val="none" w:sz="0" w:space="0" w:color="auto"/>
        <w:left w:val="none" w:sz="0" w:space="0" w:color="auto"/>
        <w:bottom w:val="none" w:sz="0" w:space="0" w:color="auto"/>
        <w:right w:val="none" w:sz="0" w:space="0" w:color="auto"/>
      </w:divBdr>
    </w:div>
    <w:div w:id="1661692584">
      <w:bodyDiv w:val="1"/>
      <w:marLeft w:val="0"/>
      <w:marRight w:val="0"/>
      <w:marTop w:val="0"/>
      <w:marBottom w:val="0"/>
      <w:divBdr>
        <w:top w:val="none" w:sz="0" w:space="0" w:color="auto"/>
        <w:left w:val="none" w:sz="0" w:space="0" w:color="auto"/>
        <w:bottom w:val="none" w:sz="0" w:space="0" w:color="auto"/>
        <w:right w:val="none" w:sz="0" w:space="0" w:color="auto"/>
      </w:divBdr>
    </w:div>
    <w:div w:id="1663002836">
      <w:bodyDiv w:val="1"/>
      <w:marLeft w:val="0"/>
      <w:marRight w:val="0"/>
      <w:marTop w:val="0"/>
      <w:marBottom w:val="0"/>
      <w:divBdr>
        <w:top w:val="none" w:sz="0" w:space="0" w:color="auto"/>
        <w:left w:val="none" w:sz="0" w:space="0" w:color="auto"/>
        <w:bottom w:val="none" w:sz="0" w:space="0" w:color="auto"/>
        <w:right w:val="none" w:sz="0" w:space="0" w:color="auto"/>
      </w:divBdr>
    </w:div>
    <w:div w:id="1672365762">
      <w:bodyDiv w:val="1"/>
      <w:marLeft w:val="0"/>
      <w:marRight w:val="0"/>
      <w:marTop w:val="0"/>
      <w:marBottom w:val="0"/>
      <w:divBdr>
        <w:top w:val="none" w:sz="0" w:space="0" w:color="auto"/>
        <w:left w:val="none" w:sz="0" w:space="0" w:color="auto"/>
        <w:bottom w:val="none" w:sz="0" w:space="0" w:color="auto"/>
        <w:right w:val="none" w:sz="0" w:space="0" w:color="auto"/>
      </w:divBdr>
    </w:div>
    <w:div w:id="1695572218">
      <w:bodyDiv w:val="1"/>
      <w:marLeft w:val="0"/>
      <w:marRight w:val="0"/>
      <w:marTop w:val="0"/>
      <w:marBottom w:val="0"/>
      <w:divBdr>
        <w:top w:val="none" w:sz="0" w:space="0" w:color="auto"/>
        <w:left w:val="none" w:sz="0" w:space="0" w:color="auto"/>
        <w:bottom w:val="none" w:sz="0" w:space="0" w:color="auto"/>
        <w:right w:val="none" w:sz="0" w:space="0" w:color="auto"/>
      </w:divBdr>
    </w:div>
    <w:div w:id="1735860244">
      <w:bodyDiv w:val="1"/>
      <w:marLeft w:val="0"/>
      <w:marRight w:val="0"/>
      <w:marTop w:val="0"/>
      <w:marBottom w:val="0"/>
      <w:divBdr>
        <w:top w:val="none" w:sz="0" w:space="0" w:color="auto"/>
        <w:left w:val="none" w:sz="0" w:space="0" w:color="auto"/>
        <w:bottom w:val="none" w:sz="0" w:space="0" w:color="auto"/>
        <w:right w:val="none" w:sz="0" w:space="0" w:color="auto"/>
      </w:divBdr>
    </w:div>
    <w:div w:id="1748308643">
      <w:bodyDiv w:val="1"/>
      <w:marLeft w:val="0"/>
      <w:marRight w:val="0"/>
      <w:marTop w:val="0"/>
      <w:marBottom w:val="0"/>
      <w:divBdr>
        <w:top w:val="none" w:sz="0" w:space="0" w:color="auto"/>
        <w:left w:val="none" w:sz="0" w:space="0" w:color="auto"/>
        <w:bottom w:val="none" w:sz="0" w:space="0" w:color="auto"/>
        <w:right w:val="none" w:sz="0" w:space="0" w:color="auto"/>
      </w:divBdr>
    </w:div>
    <w:div w:id="1752192993">
      <w:bodyDiv w:val="1"/>
      <w:marLeft w:val="0"/>
      <w:marRight w:val="0"/>
      <w:marTop w:val="0"/>
      <w:marBottom w:val="0"/>
      <w:divBdr>
        <w:top w:val="none" w:sz="0" w:space="0" w:color="auto"/>
        <w:left w:val="none" w:sz="0" w:space="0" w:color="auto"/>
        <w:bottom w:val="none" w:sz="0" w:space="0" w:color="auto"/>
        <w:right w:val="none" w:sz="0" w:space="0" w:color="auto"/>
      </w:divBdr>
    </w:div>
    <w:div w:id="1761560837">
      <w:bodyDiv w:val="1"/>
      <w:marLeft w:val="0"/>
      <w:marRight w:val="0"/>
      <w:marTop w:val="0"/>
      <w:marBottom w:val="0"/>
      <w:divBdr>
        <w:top w:val="none" w:sz="0" w:space="0" w:color="auto"/>
        <w:left w:val="none" w:sz="0" w:space="0" w:color="auto"/>
        <w:bottom w:val="none" w:sz="0" w:space="0" w:color="auto"/>
        <w:right w:val="none" w:sz="0" w:space="0" w:color="auto"/>
      </w:divBdr>
    </w:div>
    <w:div w:id="1766144807">
      <w:bodyDiv w:val="1"/>
      <w:marLeft w:val="0"/>
      <w:marRight w:val="0"/>
      <w:marTop w:val="0"/>
      <w:marBottom w:val="0"/>
      <w:divBdr>
        <w:top w:val="none" w:sz="0" w:space="0" w:color="auto"/>
        <w:left w:val="none" w:sz="0" w:space="0" w:color="auto"/>
        <w:bottom w:val="none" w:sz="0" w:space="0" w:color="auto"/>
        <w:right w:val="none" w:sz="0" w:space="0" w:color="auto"/>
      </w:divBdr>
    </w:div>
    <w:div w:id="1769230982">
      <w:bodyDiv w:val="1"/>
      <w:marLeft w:val="0"/>
      <w:marRight w:val="0"/>
      <w:marTop w:val="0"/>
      <w:marBottom w:val="0"/>
      <w:divBdr>
        <w:top w:val="none" w:sz="0" w:space="0" w:color="auto"/>
        <w:left w:val="none" w:sz="0" w:space="0" w:color="auto"/>
        <w:bottom w:val="none" w:sz="0" w:space="0" w:color="auto"/>
        <w:right w:val="none" w:sz="0" w:space="0" w:color="auto"/>
      </w:divBdr>
    </w:div>
    <w:div w:id="1795900578">
      <w:bodyDiv w:val="1"/>
      <w:marLeft w:val="0"/>
      <w:marRight w:val="0"/>
      <w:marTop w:val="0"/>
      <w:marBottom w:val="0"/>
      <w:divBdr>
        <w:top w:val="none" w:sz="0" w:space="0" w:color="auto"/>
        <w:left w:val="none" w:sz="0" w:space="0" w:color="auto"/>
        <w:bottom w:val="none" w:sz="0" w:space="0" w:color="auto"/>
        <w:right w:val="none" w:sz="0" w:space="0" w:color="auto"/>
      </w:divBdr>
    </w:div>
    <w:div w:id="1803838516">
      <w:bodyDiv w:val="1"/>
      <w:marLeft w:val="0"/>
      <w:marRight w:val="0"/>
      <w:marTop w:val="0"/>
      <w:marBottom w:val="0"/>
      <w:divBdr>
        <w:top w:val="none" w:sz="0" w:space="0" w:color="auto"/>
        <w:left w:val="none" w:sz="0" w:space="0" w:color="auto"/>
        <w:bottom w:val="none" w:sz="0" w:space="0" w:color="auto"/>
        <w:right w:val="none" w:sz="0" w:space="0" w:color="auto"/>
      </w:divBdr>
    </w:div>
    <w:div w:id="1805005564">
      <w:bodyDiv w:val="1"/>
      <w:marLeft w:val="0"/>
      <w:marRight w:val="0"/>
      <w:marTop w:val="0"/>
      <w:marBottom w:val="0"/>
      <w:divBdr>
        <w:top w:val="none" w:sz="0" w:space="0" w:color="auto"/>
        <w:left w:val="none" w:sz="0" w:space="0" w:color="auto"/>
        <w:bottom w:val="none" w:sz="0" w:space="0" w:color="auto"/>
        <w:right w:val="none" w:sz="0" w:space="0" w:color="auto"/>
      </w:divBdr>
    </w:div>
    <w:div w:id="1813984177">
      <w:bodyDiv w:val="1"/>
      <w:marLeft w:val="0"/>
      <w:marRight w:val="0"/>
      <w:marTop w:val="0"/>
      <w:marBottom w:val="0"/>
      <w:divBdr>
        <w:top w:val="none" w:sz="0" w:space="0" w:color="auto"/>
        <w:left w:val="none" w:sz="0" w:space="0" w:color="auto"/>
        <w:bottom w:val="none" w:sz="0" w:space="0" w:color="auto"/>
        <w:right w:val="none" w:sz="0" w:space="0" w:color="auto"/>
      </w:divBdr>
    </w:div>
    <w:div w:id="1818495075">
      <w:bodyDiv w:val="1"/>
      <w:marLeft w:val="0"/>
      <w:marRight w:val="0"/>
      <w:marTop w:val="0"/>
      <w:marBottom w:val="0"/>
      <w:divBdr>
        <w:top w:val="none" w:sz="0" w:space="0" w:color="auto"/>
        <w:left w:val="none" w:sz="0" w:space="0" w:color="auto"/>
        <w:bottom w:val="none" w:sz="0" w:space="0" w:color="auto"/>
        <w:right w:val="none" w:sz="0" w:space="0" w:color="auto"/>
      </w:divBdr>
    </w:div>
    <w:div w:id="1827866385">
      <w:bodyDiv w:val="1"/>
      <w:marLeft w:val="0"/>
      <w:marRight w:val="0"/>
      <w:marTop w:val="0"/>
      <w:marBottom w:val="0"/>
      <w:divBdr>
        <w:top w:val="none" w:sz="0" w:space="0" w:color="auto"/>
        <w:left w:val="none" w:sz="0" w:space="0" w:color="auto"/>
        <w:bottom w:val="none" w:sz="0" w:space="0" w:color="auto"/>
        <w:right w:val="none" w:sz="0" w:space="0" w:color="auto"/>
      </w:divBdr>
    </w:div>
    <w:div w:id="1836333595">
      <w:bodyDiv w:val="1"/>
      <w:marLeft w:val="0"/>
      <w:marRight w:val="0"/>
      <w:marTop w:val="0"/>
      <w:marBottom w:val="0"/>
      <w:divBdr>
        <w:top w:val="none" w:sz="0" w:space="0" w:color="auto"/>
        <w:left w:val="none" w:sz="0" w:space="0" w:color="auto"/>
        <w:bottom w:val="none" w:sz="0" w:space="0" w:color="auto"/>
        <w:right w:val="none" w:sz="0" w:space="0" w:color="auto"/>
      </w:divBdr>
    </w:div>
    <w:div w:id="1856841866">
      <w:bodyDiv w:val="1"/>
      <w:marLeft w:val="0"/>
      <w:marRight w:val="0"/>
      <w:marTop w:val="0"/>
      <w:marBottom w:val="0"/>
      <w:divBdr>
        <w:top w:val="none" w:sz="0" w:space="0" w:color="auto"/>
        <w:left w:val="none" w:sz="0" w:space="0" w:color="auto"/>
        <w:bottom w:val="none" w:sz="0" w:space="0" w:color="auto"/>
        <w:right w:val="none" w:sz="0" w:space="0" w:color="auto"/>
      </w:divBdr>
    </w:div>
    <w:div w:id="1858419782">
      <w:bodyDiv w:val="1"/>
      <w:marLeft w:val="0"/>
      <w:marRight w:val="0"/>
      <w:marTop w:val="0"/>
      <w:marBottom w:val="0"/>
      <w:divBdr>
        <w:top w:val="none" w:sz="0" w:space="0" w:color="auto"/>
        <w:left w:val="none" w:sz="0" w:space="0" w:color="auto"/>
        <w:bottom w:val="none" w:sz="0" w:space="0" w:color="auto"/>
        <w:right w:val="none" w:sz="0" w:space="0" w:color="auto"/>
      </w:divBdr>
    </w:div>
    <w:div w:id="1862350960">
      <w:bodyDiv w:val="1"/>
      <w:marLeft w:val="0"/>
      <w:marRight w:val="0"/>
      <w:marTop w:val="0"/>
      <w:marBottom w:val="0"/>
      <w:divBdr>
        <w:top w:val="none" w:sz="0" w:space="0" w:color="auto"/>
        <w:left w:val="none" w:sz="0" w:space="0" w:color="auto"/>
        <w:bottom w:val="none" w:sz="0" w:space="0" w:color="auto"/>
        <w:right w:val="none" w:sz="0" w:space="0" w:color="auto"/>
      </w:divBdr>
    </w:div>
    <w:div w:id="1868785083">
      <w:bodyDiv w:val="1"/>
      <w:marLeft w:val="0"/>
      <w:marRight w:val="0"/>
      <w:marTop w:val="0"/>
      <w:marBottom w:val="0"/>
      <w:divBdr>
        <w:top w:val="none" w:sz="0" w:space="0" w:color="auto"/>
        <w:left w:val="none" w:sz="0" w:space="0" w:color="auto"/>
        <w:bottom w:val="none" w:sz="0" w:space="0" w:color="auto"/>
        <w:right w:val="none" w:sz="0" w:space="0" w:color="auto"/>
      </w:divBdr>
    </w:div>
    <w:div w:id="1877036447">
      <w:bodyDiv w:val="1"/>
      <w:marLeft w:val="0"/>
      <w:marRight w:val="0"/>
      <w:marTop w:val="0"/>
      <w:marBottom w:val="0"/>
      <w:divBdr>
        <w:top w:val="none" w:sz="0" w:space="0" w:color="auto"/>
        <w:left w:val="none" w:sz="0" w:space="0" w:color="auto"/>
        <w:bottom w:val="none" w:sz="0" w:space="0" w:color="auto"/>
        <w:right w:val="none" w:sz="0" w:space="0" w:color="auto"/>
      </w:divBdr>
    </w:div>
    <w:div w:id="1878543547">
      <w:bodyDiv w:val="1"/>
      <w:marLeft w:val="0"/>
      <w:marRight w:val="0"/>
      <w:marTop w:val="0"/>
      <w:marBottom w:val="0"/>
      <w:divBdr>
        <w:top w:val="none" w:sz="0" w:space="0" w:color="auto"/>
        <w:left w:val="none" w:sz="0" w:space="0" w:color="auto"/>
        <w:bottom w:val="none" w:sz="0" w:space="0" w:color="auto"/>
        <w:right w:val="none" w:sz="0" w:space="0" w:color="auto"/>
      </w:divBdr>
    </w:div>
    <w:div w:id="1905027687">
      <w:bodyDiv w:val="1"/>
      <w:marLeft w:val="0"/>
      <w:marRight w:val="0"/>
      <w:marTop w:val="0"/>
      <w:marBottom w:val="0"/>
      <w:divBdr>
        <w:top w:val="none" w:sz="0" w:space="0" w:color="auto"/>
        <w:left w:val="none" w:sz="0" w:space="0" w:color="auto"/>
        <w:bottom w:val="none" w:sz="0" w:space="0" w:color="auto"/>
        <w:right w:val="none" w:sz="0" w:space="0" w:color="auto"/>
      </w:divBdr>
    </w:div>
    <w:div w:id="1907955654">
      <w:bodyDiv w:val="1"/>
      <w:marLeft w:val="0"/>
      <w:marRight w:val="0"/>
      <w:marTop w:val="0"/>
      <w:marBottom w:val="0"/>
      <w:divBdr>
        <w:top w:val="none" w:sz="0" w:space="0" w:color="auto"/>
        <w:left w:val="none" w:sz="0" w:space="0" w:color="auto"/>
        <w:bottom w:val="none" w:sz="0" w:space="0" w:color="auto"/>
        <w:right w:val="none" w:sz="0" w:space="0" w:color="auto"/>
      </w:divBdr>
    </w:div>
    <w:div w:id="1909875252">
      <w:bodyDiv w:val="1"/>
      <w:marLeft w:val="0"/>
      <w:marRight w:val="0"/>
      <w:marTop w:val="0"/>
      <w:marBottom w:val="0"/>
      <w:divBdr>
        <w:top w:val="none" w:sz="0" w:space="0" w:color="auto"/>
        <w:left w:val="none" w:sz="0" w:space="0" w:color="auto"/>
        <w:bottom w:val="none" w:sz="0" w:space="0" w:color="auto"/>
        <w:right w:val="none" w:sz="0" w:space="0" w:color="auto"/>
      </w:divBdr>
    </w:div>
    <w:div w:id="1915239424">
      <w:bodyDiv w:val="1"/>
      <w:marLeft w:val="0"/>
      <w:marRight w:val="0"/>
      <w:marTop w:val="0"/>
      <w:marBottom w:val="0"/>
      <w:divBdr>
        <w:top w:val="none" w:sz="0" w:space="0" w:color="auto"/>
        <w:left w:val="none" w:sz="0" w:space="0" w:color="auto"/>
        <w:bottom w:val="none" w:sz="0" w:space="0" w:color="auto"/>
        <w:right w:val="none" w:sz="0" w:space="0" w:color="auto"/>
      </w:divBdr>
    </w:div>
    <w:div w:id="1917979361">
      <w:bodyDiv w:val="1"/>
      <w:marLeft w:val="0"/>
      <w:marRight w:val="0"/>
      <w:marTop w:val="0"/>
      <w:marBottom w:val="0"/>
      <w:divBdr>
        <w:top w:val="none" w:sz="0" w:space="0" w:color="auto"/>
        <w:left w:val="none" w:sz="0" w:space="0" w:color="auto"/>
        <w:bottom w:val="none" w:sz="0" w:space="0" w:color="auto"/>
        <w:right w:val="none" w:sz="0" w:space="0" w:color="auto"/>
      </w:divBdr>
    </w:div>
    <w:div w:id="1919244063">
      <w:bodyDiv w:val="1"/>
      <w:marLeft w:val="0"/>
      <w:marRight w:val="0"/>
      <w:marTop w:val="0"/>
      <w:marBottom w:val="0"/>
      <w:divBdr>
        <w:top w:val="none" w:sz="0" w:space="0" w:color="auto"/>
        <w:left w:val="none" w:sz="0" w:space="0" w:color="auto"/>
        <w:bottom w:val="none" w:sz="0" w:space="0" w:color="auto"/>
        <w:right w:val="none" w:sz="0" w:space="0" w:color="auto"/>
      </w:divBdr>
    </w:div>
    <w:div w:id="1921211936">
      <w:bodyDiv w:val="1"/>
      <w:marLeft w:val="0"/>
      <w:marRight w:val="0"/>
      <w:marTop w:val="0"/>
      <w:marBottom w:val="0"/>
      <w:divBdr>
        <w:top w:val="none" w:sz="0" w:space="0" w:color="auto"/>
        <w:left w:val="none" w:sz="0" w:space="0" w:color="auto"/>
        <w:bottom w:val="none" w:sz="0" w:space="0" w:color="auto"/>
        <w:right w:val="none" w:sz="0" w:space="0" w:color="auto"/>
      </w:divBdr>
    </w:div>
    <w:div w:id="1931503981">
      <w:bodyDiv w:val="1"/>
      <w:marLeft w:val="0"/>
      <w:marRight w:val="0"/>
      <w:marTop w:val="0"/>
      <w:marBottom w:val="0"/>
      <w:divBdr>
        <w:top w:val="none" w:sz="0" w:space="0" w:color="auto"/>
        <w:left w:val="none" w:sz="0" w:space="0" w:color="auto"/>
        <w:bottom w:val="none" w:sz="0" w:space="0" w:color="auto"/>
        <w:right w:val="none" w:sz="0" w:space="0" w:color="auto"/>
      </w:divBdr>
    </w:div>
    <w:div w:id="1942182720">
      <w:bodyDiv w:val="1"/>
      <w:marLeft w:val="0"/>
      <w:marRight w:val="0"/>
      <w:marTop w:val="0"/>
      <w:marBottom w:val="0"/>
      <w:divBdr>
        <w:top w:val="none" w:sz="0" w:space="0" w:color="auto"/>
        <w:left w:val="none" w:sz="0" w:space="0" w:color="auto"/>
        <w:bottom w:val="none" w:sz="0" w:space="0" w:color="auto"/>
        <w:right w:val="none" w:sz="0" w:space="0" w:color="auto"/>
      </w:divBdr>
    </w:div>
    <w:div w:id="1959682997">
      <w:bodyDiv w:val="1"/>
      <w:marLeft w:val="0"/>
      <w:marRight w:val="0"/>
      <w:marTop w:val="0"/>
      <w:marBottom w:val="0"/>
      <w:divBdr>
        <w:top w:val="none" w:sz="0" w:space="0" w:color="auto"/>
        <w:left w:val="none" w:sz="0" w:space="0" w:color="auto"/>
        <w:bottom w:val="none" w:sz="0" w:space="0" w:color="auto"/>
        <w:right w:val="none" w:sz="0" w:space="0" w:color="auto"/>
      </w:divBdr>
    </w:div>
    <w:div w:id="1962228359">
      <w:bodyDiv w:val="1"/>
      <w:marLeft w:val="0"/>
      <w:marRight w:val="0"/>
      <w:marTop w:val="0"/>
      <w:marBottom w:val="0"/>
      <w:divBdr>
        <w:top w:val="none" w:sz="0" w:space="0" w:color="auto"/>
        <w:left w:val="none" w:sz="0" w:space="0" w:color="auto"/>
        <w:bottom w:val="none" w:sz="0" w:space="0" w:color="auto"/>
        <w:right w:val="none" w:sz="0" w:space="0" w:color="auto"/>
      </w:divBdr>
    </w:div>
    <w:div w:id="1963531064">
      <w:bodyDiv w:val="1"/>
      <w:marLeft w:val="0"/>
      <w:marRight w:val="0"/>
      <w:marTop w:val="0"/>
      <w:marBottom w:val="0"/>
      <w:divBdr>
        <w:top w:val="none" w:sz="0" w:space="0" w:color="auto"/>
        <w:left w:val="none" w:sz="0" w:space="0" w:color="auto"/>
        <w:bottom w:val="none" w:sz="0" w:space="0" w:color="auto"/>
        <w:right w:val="none" w:sz="0" w:space="0" w:color="auto"/>
      </w:divBdr>
    </w:div>
    <w:div w:id="1965428500">
      <w:bodyDiv w:val="1"/>
      <w:marLeft w:val="0"/>
      <w:marRight w:val="0"/>
      <w:marTop w:val="0"/>
      <w:marBottom w:val="0"/>
      <w:divBdr>
        <w:top w:val="none" w:sz="0" w:space="0" w:color="auto"/>
        <w:left w:val="none" w:sz="0" w:space="0" w:color="auto"/>
        <w:bottom w:val="none" w:sz="0" w:space="0" w:color="auto"/>
        <w:right w:val="none" w:sz="0" w:space="0" w:color="auto"/>
      </w:divBdr>
    </w:div>
    <w:div w:id="1968271819">
      <w:bodyDiv w:val="1"/>
      <w:marLeft w:val="0"/>
      <w:marRight w:val="0"/>
      <w:marTop w:val="0"/>
      <w:marBottom w:val="0"/>
      <w:divBdr>
        <w:top w:val="none" w:sz="0" w:space="0" w:color="auto"/>
        <w:left w:val="none" w:sz="0" w:space="0" w:color="auto"/>
        <w:bottom w:val="none" w:sz="0" w:space="0" w:color="auto"/>
        <w:right w:val="none" w:sz="0" w:space="0" w:color="auto"/>
      </w:divBdr>
    </w:div>
    <w:div w:id="1972207168">
      <w:bodyDiv w:val="1"/>
      <w:marLeft w:val="0"/>
      <w:marRight w:val="0"/>
      <w:marTop w:val="0"/>
      <w:marBottom w:val="0"/>
      <w:divBdr>
        <w:top w:val="none" w:sz="0" w:space="0" w:color="auto"/>
        <w:left w:val="none" w:sz="0" w:space="0" w:color="auto"/>
        <w:bottom w:val="none" w:sz="0" w:space="0" w:color="auto"/>
        <w:right w:val="none" w:sz="0" w:space="0" w:color="auto"/>
      </w:divBdr>
    </w:div>
    <w:div w:id="1980063448">
      <w:bodyDiv w:val="1"/>
      <w:marLeft w:val="0"/>
      <w:marRight w:val="0"/>
      <w:marTop w:val="0"/>
      <w:marBottom w:val="0"/>
      <w:divBdr>
        <w:top w:val="none" w:sz="0" w:space="0" w:color="auto"/>
        <w:left w:val="none" w:sz="0" w:space="0" w:color="auto"/>
        <w:bottom w:val="none" w:sz="0" w:space="0" w:color="auto"/>
        <w:right w:val="none" w:sz="0" w:space="0" w:color="auto"/>
      </w:divBdr>
    </w:div>
    <w:div w:id="1985424559">
      <w:bodyDiv w:val="1"/>
      <w:marLeft w:val="0"/>
      <w:marRight w:val="0"/>
      <w:marTop w:val="0"/>
      <w:marBottom w:val="0"/>
      <w:divBdr>
        <w:top w:val="none" w:sz="0" w:space="0" w:color="auto"/>
        <w:left w:val="none" w:sz="0" w:space="0" w:color="auto"/>
        <w:bottom w:val="none" w:sz="0" w:space="0" w:color="auto"/>
        <w:right w:val="none" w:sz="0" w:space="0" w:color="auto"/>
      </w:divBdr>
    </w:div>
    <w:div w:id="1991052693">
      <w:bodyDiv w:val="1"/>
      <w:marLeft w:val="0"/>
      <w:marRight w:val="0"/>
      <w:marTop w:val="0"/>
      <w:marBottom w:val="0"/>
      <w:divBdr>
        <w:top w:val="none" w:sz="0" w:space="0" w:color="auto"/>
        <w:left w:val="none" w:sz="0" w:space="0" w:color="auto"/>
        <w:bottom w:val="none" w:sz="0" w:space="0" w:color="auto"/>
        <w:right w:val="none" w:sz="0" w:space="0" w:color="auto"/>
      </w:divBdr>
    </w:div>
    <w:div w:id="2009673173">
      <w:bodyDiv w:val="1"/>
      <w:marLeft w:val="0"/>
      <w:marRight w:val="0"/>
      <w:marTop w:val="0"/>
      <w:marBottom w:val="0"/>
      <w:divBdr>
        <w:top w:val="none" w:sz="0" w:space="0" w:color="auto"/>
        <w:left w:val="none" w:sz="0" w:space="0" w:color="auto"/>
        <w:bottom w:val="none" w:sz="0" w:space="0" w:color="auto"/>
        <w:right w:val="none" w:sz="0" w:space="0" w:color="auto"/>
      </w:divBdr>
    </w:div>
    <w:div w:id="2015372987">
      <w:bodyDiv w:val="1"/>
      <w:marLeft w:val="0"/>
      <w:marRight w:val="0"/>
      <w:marTop w:val="0"/>
      <w:marBottom w:val="0"/>
      <w:divBdr>
        <w:top w:val="none" w:sz="0" w:space="0" w:color="auto"/>
        <w:left w:val="none" w:sz="0" w:space="0" w:color="auto"/>
        <w:bottom w:val="none" w:sz="0" w:space="0" w:color="auto"/>
        <w:right w:val="none" w:sz="0" w:space="0" w:color="auto"/>
      </w:divBdr>
    </w:div>
    <w:div w:id="2019892060">
      <w:bodyDiv w:val="1"/>
      <w:marLeft w:val="0"/>
      <w:marRight w:val="0"/>
      <w:marTop w:val="0"/>
      <w:marBottom w:val="0"/>
      <w:divBdr>
        <w:top w:val="none" w:sz="0" w:space="0" w:color="auto"/>
        <w:left w:val="none" w:sz="0" w:space="0" w:color="auto"/>
        <w:bottom w:val="none" w:sz="0" w:space="0" w:color="auto"/>
        <w:right w:val="none" w:sz="0" w:space="0" w:color="auto"/>
      </w:divBdr>
    </w:div>
    <w:div w:id="2035418069">
      <w:bodyDiv w:val="1"/>
      <w:marLeft w:val="0"/>
      <w:marRight w:val="0"/>
      <w:marTop w:val="0"/>
      <w:marBottom w:val="0"/>
      <w:divBdr>
        <w:top w:val="none" w:sz="0" w:space="0" w:color="auto"/>
        <w:left w:val="none" w:sz="0" w:space="0" w:color="auto"/>
        <w:bottom w:val="none" w:sz="0" w:space="0" w:color="auto"/>
        <w:right w:val="none" w:sz="0" w:space="0" w:color="auto"/>
      </w:divBdr>
    </w:div>
    <w:div w:id="2052727486">
      <w:bodyDiv w:val="1"/>
      <w:marLeft w:val="0"/>
      <w:marRight w:val="0"/>
      <w:marTop w:val="0"/>
      <w:marBottom w:val="0"/>
      <w:divBdr>
        <w:top w:val="none" w:sz="0" w:space="0" w:color="auto"/>
        <w:left w:val="none" w:sz="0" w:space="0" w:color="auto"/>
        <w:bottom w:val="none" w:sz="0" w:space="0" w:color="auto"/>
        <w:right w:val="none" w:sz="0" w:space="0" w:color="auto"/>
      </w:divBdr>
    </w:div>
    <w:div w:id="2054840109">
      <w:bodyDiv w:val="1"/>
      <w:marLeft w:val="0"/>
      <w:marRight w:val="0"/>
      <w:marTop w:val="0"/>
      <w:marBottom w:val="0"/>
      <w:divBdr>
        <w:top w:val="none" w:sz="0" w:space="0" w:color="auto"/>
        <w:left w:val="none" w:sz="0" w:space="0" w:color="auto"/>
        <w:bottom w:val="none" w:sz="0" w:space="0" w:color="auto"/>
        <w:right w:val="none" w:sz="0" w:space="0" w:color="auto"/>
      </w:divBdr>
    </w:div>
    <w:div w:id="2070226951">
      <w:bodyDiv w:val="1"/>
      <w:marLeft w:val="0"/>
      <w:marRight w:val="0"/>
      <w:marTop w:val="0"/>
      <w:marBottom w:val="0"/>
      <w:divBdr>
        <w:top w:val="none" w:sz="0" w:space="0" w:color="auto"/>
        <w:left w:val="none" w:sz="0" w:space="0" w:color="auto"/>
        <w:bottom w:val="none" w:sz="0" w:space="0" w:color="auto"/>
        <w:right w:val="none" w:sz="0" w:space="0" w:color="auto"/>
      </w:divBdr>
    </w:div>
    <w:div w:id="2097897811">
      <w:bodyDiv w:val="1"/>
      <w:marLeft w:val="0"/>
      <w:marRight w:val="0"/>
      <w:marTop w:val="0"/>
      <w:marBottom w:val="0"/>
      <w:divBdr>
        <w:top w:val="none" w:sz="0" w:space="0" w:color="auto"/>
        <w:left w:val="none" w:sz="0" w:space="0" w:color="auto"/>
        <w:bottom w:val="none" w:sz="0" w:space="0" w:color="auto"/>
        <w:right w:val="none" w:sz="0" w:space="0" w:color="auto"/>
      </w:divBdr>
    </w:div>
    <w:div w:id="2098283318">
      <w:bodyDiv w:val="1"/>
      <w:marLeft w:val="0"/>
      <w:marRight w:val="0"/>
      <w:marTop w:val="0"/>
      <w:marBottom w:val="0"/>
      <w:divBdr>
        <w:top w:val="none" w:sz="0" w:space="0" w:color="auto"/>
        <w:left w:val="none" w:sz="0" w:space="0" w:color="auto"/>
        <w:bottom w:val="none" w:sz="0" w:space="0" w:color="auto"/>
        <w:right w:val="none" w:sz="0" w:space="0" w:color="auto"/>
      </w:divBdr>
    </w:div>
    <w:div w:id="21427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C80F099E7CF4AB2120A5BFE0AADFB" ma:contentTypeVersion="5" ma:contentTypeDescription="Create a new document." ma:contentTypeScope="" ma:versionID="4309f6bbbbb14a2ea5c46aa29c6ee269">
  <xsd:schema xmlns:xsd="http://www.w3.org/2001/XMLSchema" xmlns:xs="http://www.w3.org/2001/XMLSchema" xmlns:p="http://schemas.microsoft.com/office/2006/metadata/properties" xmlns:ns3="fe04784a-9b21-460f-890f-7b2d3d70a0a7" xmlns:ns4="2209ac8e-1ff0-417c-9319-c6aa90ed621f" targetNamespace="http://schemas.microsoft.com/office/2006/metadata/properties" ma:root="true" ma:fieldsID="9398780dc54e0f79b4604fea925b7bbe" ns3:_="" ns4:_="">
    <xsd:import namespace="fe04784a-9b21-460f-890f-7b2d3d70a0a7"/>
    <xsd:import namespace="2209ac8e-1ff0-417c-9319-c6aa90ed62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784a-9b21-460f-890f-7b2d3d70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09ac8e-1ff0-417c-9319-c6aa90ed62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4491-11DC-45C1-987C-7281521D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784a-9b21-460f-890f-7b2d3d70a0a7"/>
    <ds:schemaRef ds:uri="2209ac8e-1ff0-417c-9319-c6aa90ed6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D7CB4-B4E4-4400-85F9-AC2D4BEBF7EC}">
  <ds:schemaRefs>
    <ds:schemaRef ds:uri="http://schemas.microsoft.com/sharepoint/v3/contenttype/forms"/>
  </ds:schemaRefs>
</ds:datastoreItem>
</file>

<file path=customXml/itemProps3.xml><?xml version="1.0" encoding="utf-8"?>
<ds:datastoreItem xmlns:ds="http://schemas.openxmlformats.org/officeDocument/2006/customXml" ds:itemID="{1F14FC15-A460-4982-BE77-C7854D1172D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fe04784a-9b21-460f-890f-7b2d3d70a0a7"/>
    <ds:schemaRef ds:uri="2209ac8e-1ff0-417c-9319-c6aa90ed621f"/>
    <ds:schemaRef ds:uri="http://www.w3.org/XML/1998/namespace"/>
    <ds:schemaRef ds:uri="http://purl.org/dc/dcmitype/"/>
  </ds:schemaRefs>
</ds:datastoreItem>
</file>

<file path=customXml/itemProps4.xml><?xml version="1.0" encoding="utf-8"?>
<ds:datastoreItem xmlns:ds="http://schemas.openxmlformats.org/officeDocument/2006/customXml" ds:itemID="{F4E6C6E0-D9D5-4A58-A888-6F3D741F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86</Pages>
  <Words>23283</Words>
  <Characters>129977</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Education Related Legislation</vt:lpstr>
    </vt:vector>
  </TitlesOfParts>
  <Company>Department of Education</Company>
  <LinksUpToDate>false</LinksUpToDate>
  <CharactersWithSpaces>152955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Related Legislation</dc:title>
  <dc:creator>Valued Gateway Client</dc:creator>
  <cp:lastModifiedBy>Mckay, Danielle</cp:lastModifiedBy>
  <cp:revision>5</cp:revision>
  <cp:lastPrinted>2017-10-11T14:47:00Z</cp:lastPrinted>
  <dcterms:created xsi:type="dcterms:W3CDTF">2019-09-10T14:10:00Z</dcterms:created>
  <dcterms:modified xsi:type="dcterms:W3CDTF">2019-09-10T14:16:00Z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0x010100395C80F099E7CF4AB2120A5BFE0AADFB</vt:lpwstr>
  </property>
</Properties>
</file>