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397" w:rsidRDefault="00090FCF">
      <w:pPr>
        <w:jc w:val="center"/>
        <w:rPr>
          <w:rFonts w:ascii="Times New Roman" w:hAnsi="Times New Roman" w:cs="Times New Roman"/>
          <w:b/>
          <w:color w:val="162C40"/>
          <w:sz w:val="24"/>
          <w:szCs w:val="24"/>
        </w:rPr>
      </w:pPr>
      <w:r>
        <w:rPr>
          <w:rFonts w:ascii="Times New Roman" w:hAnsi="Times New Roman" w:cs="Times New Roman"/>
          <w:b/>
          <w:sz w:val="32"/>
          <w:szCs w:val="32"/>
        </w:rPr>
        <w:t>LEA Notification of Eligibility for District-Wide Community Eligibility Provision</w:t>
      </w:r>
    </w:p>
    <w:p w:rsidR="00661397" w:rsidRDefault="00090FCF">
      <w:pPr>
        <w:jc w:val="right"/>
        <w:rPr>
          <w:rFonts w:ascii="Times New Roman" w:hAnsi="Times New Roman" w:cs="Times New Roman"/>
          <w:sz w:val="24"/>
          <w:szCs w:val="24"/>
        </w:rPr>
      </w:pPr>
      <w:r>
        <w:rPr>
          <w:rFonts w:ascii="Times New Roman" w:hAnsi="Times New Roman" w:cs="Times New Roman"/>
          <w:b/>
          <w:color w:val="162C40"/>
          <w:sz w:val="24"/>
          <w:szCs w:val="24"/>
        </w:rPr>
        <w:t>Implementation Date</w:t>
      </w:r>
      <w:r>
        <w:rPr>
          <w:rFonts w:ascii="Times New Roman" w:hAnsi="Times New Roman" w:cs="Times New Roman"/>
          <w:sz w:val="24"/>
          <w:szCs w:val="24"/>
        </w:rPr>
        <w:t>: January 2019</w:t>
      </w:r>
    </w:p>
    <w:p w:rsidR="00661397" w:rsidRDefault="00090FCF">
      <w:pPr>
        <w:jc w:val="right"/>
        <w:rPr>
          <w:rFonts w:ascii="Times New Roman" w:hAnsi="Times New Roman" w:cs="Times New Roman"/>
          <w:sz w:val="24"/>
          <w:szCs w:val="24"/>
        </w:rPr>
      </w:pPr>
      <w:r>
        <w:rPr>
          <w:rFonts w:ascii="Times New Roman" w:hAnsi="Times New Roman" w:cs="Times New Roman"/>
          <w:b/>
          <w:color w:val="162C40"/>
          <w:sz w:val="24"/>
          <w:szCs w:val="24"/>
        </w:rPr>
        <w:t xml:space="preserve">Revised </w:t>
      </w:r>
      <w:proofErr w:type="spellStart"/>
      <w:proofErr w:type="gramStart"/>
      <w:r>
        <w:rPr>
          <w:rFonts w:ascii="Times New Roman" w:hAnsi="Times New Roman" w:cs="Times New Roman"/>
          <w:b/>
          <w:color w:val="162C40"/>
          <w:sz w:val="24"/>
          <w:szCs w:val="24"/>
        </w:rPr>
        <w:t>Date</w:t>
      </w:r>
      <w:r>
        <w:rPr>
          <w:rFonts w:ascii="Times New Roman" w:hAnsi="Times New Roman" w:cs="Times New Roman"/>
          <w:sz w:val="24"/>
          <w:szCs w:val="24"/>
        </w:rPr>
        <w:t>:</w:t>
      </w:r>
      <w:r w:rsidR="000421EB">
        <w:rPr>
          <w:rFonts w:ascii="Times New Roman" w:hAnsi="Times New Roman" w:cs="Times New Roman"/>
          <w:sz w:val="24"/>
          <w:szCs w:val="24"/>
        </w:rPr>
        <w:t>Decmeber</w:t>
      </w:r>
      <w:proofErr w:type="spellEnd"/>
      <w:proofErr w:type="gramEnd"/>
      <w:r>
        <w:rPr>
          <w:rFonts w:ascii="Times New Roman" w:hAnsi="Times New Roman" w:cs="Times New Roman"/>
          <w:sz w:val="24"/>
          <w:szCs w:val="24"/>
        </w:rPr>
        <w:t xml:space="preserve"> 2020</w:t>
      </w:r>
    </w:p>
    <w:p w:rsidR="00661397" w:rsidRDefault="00090FCF">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162C40"/>
          <w:sz w:val="24"/>
          <w:szCs w:val="24"/>
        </w:rPr>
        <w:t>Next Review Date</w:t>
      </w:r>
      <w:r>
        <w:rPr>
          <w:rFonts w:ascii="Times New Roman" w:hAnsi="Times New Roman" w:cs="Times New Roman"/>
          <w:sz w:val="24"/>
          <w:szCs w:val="24"/>
        </w:rPr>
        <w:t xml:space="preserve">: </w:t>
      </w:r>
      <w:r w:rsidR="000421EB">
        <w:rPr>
          <w:rFonts w:ascii="Times New Roman" w:hAnsi="Times New Roman" w:cs="Times New Roman"/>
          <w:sz w:val="24"/>
          <w:szCs w:val="24"/>
        </w:rPr>
        <w:t>December</w:t>
      </w:r>
      <w:r>
        <w:rPr>
          <w:rFonts w:ascii="Times New Roman" w:hAnsi="Times New Roman" w:cs="Times New Roman"/>
          <w:sz w:val="24"/>
          <w:szCs w:val="24"/>
        </w:rPr>
        <w:t xml:space="preserve"> 2021</w:t>
      </w:r>
    </w:p>
    <w:p w:rsidR="00661397" w:rsidRDefault="00090FCF">
      <w:pPr>
        <w:rPr>
          <w:rFonts w:ascii="Times New Roman" w:hAnsi="Times New Roman" w:cs="Times New Roman"/>
          <w:sz w:val="24"/>
          <w:szCs w:val="24"/>
        </w:rPr>
      </w:pPr>
      <w:r>
        <w:rPr>
          <w:rFonts w:ascii="Times New Roman" w:hAnsi="Times New Roman" w:cs="Times New Roman"/>
          <w:b/>
          <w:color w:val="162C40"/>
          <w:sz w:val="24"/>
          <w:szCs w:val="24"/>
        </w:rPr>
        <w:t>Purpose</w:t>
      </w:r>
      <w:r>
        <w:rPr>
          <w:rFonts w:ascii="Times New Roman" w:hAnsi="Times New Roman" w:cs="Times New Roman"/>
          <w:sz w:val="24"/>
          <w:szCs w:val="24"/>
        </w:rPr>
        <w:t>: This procedure is used to annually notify LEAs of their district-wide eligibility to participate in Community Eligibility Provision (CEP).</w:t>
      </w:r>
    </w:p>
    <w:p w:rsidR="00661397" w:rsidRDefault="00661397">
      <w:pPr>
        <w:spacing w:after="0"/>
        <w:rPr>
          <w:rFonts w:ascii="Times New Roman" w:hAnsi="Times New Roman" w:cs="Times New Roman"/>
          <w:sz w:val="24"/>
          <w:szCs w:val="24"/>
        </w:rPr>
      </w:pPr>
    </w:p>
    <w:p w:rsidR="00661397" w:rsidRDefault="00090FCF">
      <w:pPr>
        <w:rPr>
          <w:rFonts w:ascii="Times New Roman" w:hAnsi="Times New Roman" w:cs="Times New Roman"/>
          <w:sz w:val="24"/>
          <w:szCs w:val="24"/>
        </w:rPr>
      </w:pPr>
      <w:r>
        <w:rPr>
          <w:rFonts w:ascii="Times New Roman" w:hAnsi="Times New Roman" w:cs="Times New Roman"/>
          <w:b/>
          <w:color w:val="162C40"/>
          <w:sz w:val="24"/>
          <w:szCs w:val="24"/>
        </w:rPr>
        <w:t>Applicable Audience</w:t>
      </w:r>
      <w:r>
        <w:rPr>
          <w:rFonts w:ascii="Times New Roman" w:hAnsi="Times New Roman" w:cs="Times New Roman"/>
          <w:sz w:val="24"/>
          <w:szCs w:val="24"/>
        </w:rPr>
        <w:t>:</w:t>
      </w:r>
    </w:p>
    <w:tbl>
      <w:tblPr>
        <w:tblStyle w:val="TableGrid"/>
        <w:tblW w:w="9357" w:type="dxa"/>
        <w:tblLook w:val="04A0" w:firstRow="1" w:lastRow="0" w:firstColumn="1" w:lastColumn="0" w:noHBand="0" w:noVBand="1"/>
      </w:tblPr>
      <w:tblGrid>
        <w:gridCol w:w="2339"/>
        <w:gridCol w:w="2339"/>
        <w:gridCol w:w="2339"/>
        <w:gridCol w:w="2340"/>
      </w:tblGrid>
      <w:tr w:rsidR="00661397">
        <w:tc>
          <w:tcPr>
            <w:tcW w:w="2339" w:type="dxa"/>
            <w:shd w:val="clear" w:color="auto" w:fill="6D8BA6"/>
          </w:tcPr>
          <w:p w:rsidR="00661397" w:rsidRDefault="00090FCF">
            <w:pPr>
              <w:rPr>
                <w:rFonts w:ascii="Times New Roman" w:hAnsi="Times New Roman" w:cs="Times New Roman"/>
                <w:color w:val="162C40"/>
                <w:sz w:val="24"/>
                <w:szCs w:val="24"/>
              </w:rPr>
            </w:pPr>
            <w:r>
              <w:rPr>
                <w:rFonts w:ascii="Times New Roman" w:hAnsi="Times New Roman" w:cs="Times New Roman"/>
                <w:sz w:val="24"/>
                <w:szCs w:val="24"/>
              </w:rPr>
              <w:t>Office</w:t>
            </w:r>
          </w:p>
        </w:tc>
        <w:tc>
          <w:tcPr>
            <w:tcW w:w="2339" w:type="dxa"/>
            <w:shd w:val="clear" w:color="auto" w:fill="6D8BA6"/>
          </w:tcPr>
          <w:p w:rsidR="00661397" w:rsidRDefault="00090FCF">
            <w:pPr>
              <w:rPr>
                <w:rFonts w:ascii="Times New Roman" w:hAnsi="Times New Roman" w:cs="Times New Roman"/>
                <w:color w:val="162C40"/>
                <w:sz w:val="24"/>
                <w:szCs w:val="24"/>
              </w:rPr>
            </w:pPr>
            <w:r>
              <w:rPr>
                <w:rFonts w:ascii="Times New Roman" w:hAnsi="Times New Roman" w:cs="Times New Roman"/>
                <w:sz w:val="24"/>
                <w:szCs w:val="24"/>
              </w:rPr>
              <w:t>Division</w:t>
            </w:r>
          </w:p>
        </w:tc>
        <w:tc>
          <w:tcPr>
            <w:tcW w:w="2339" w:type="dxa"/>
            <w:shd w:val="clear" w:color="auto" w:fill="6D8BA6"/>
          </w:tcPr>
          <w:p w:rsidR="00661397" w:rsidRDefault="00090FCF">
            <w:pPr>
              <w:rPr>
                <w:rFonts w:ascii="Times New Roman" w:hAnsi="Times New Roman" w:cs="Times New Roman"/>
                <w:color w:val="162C40"/>
                <w:sz w:val="24"/>
                <w:szCs w:val="24"/>
              </w:rPr>
            </w:pPr>
            <w:r>
              <w:rPr>
                <w:rFonts w:ascii="Times New Roman" w:hAnsi="Times New Roman" w:cs="Times New Roman"/>
                <w:sz w:val="24"/>
                <w:szCs w:val="24"/>
              </w:rPr>
              <w:t>Section</w:t>
            </w:r>
          </w:p>
        </w:tc>
        <w:tc>
          <w:tcPr>
            <w:tcW w:w="2340" w:type="dxa"/>
            <w:shd w:val="clear" w:color="auto" w:fill="6D8BA6"/>
          </w:tcPr>
          <w:p w:rsidR="00661397" w:rsidRDefault="00090FCF">
            <w:pPr>
              <w:rPr>
                <w:rFonts w:ascii="Times New Roman" w:hAnsi="Times New Roman" w:cs="Times New Roman"/>
                <w:color w:val="162C40"/>
                <w:sz w:val="24"/>
                <w:szCs w:val="24"/>
              </w:rPr>
            </w:pPr>
            <w:r>
              <w:rPr>
                <w:rFonts w:ascii="Times New Roman" w:hAnsi="Times New Roman" w:cs="Times New Roman"/>
                <w:color w:val="162C40"/>
                <w:sz w:val="24"/>
                <w:szCs w:val="24"/>
              </w:rPr>
              <w:t>Position</w:t>
            </w:r>
          </w:p>
        </w:tc>
      </w:tr>
      <w:tr w:rsidR="00661397">
        <w:tc>
          <w:tcPr>
            <w:tcW w:w="2339" w:type="dxa"/>
          </w:tcPr>
          <w:p w:rsidR="00661397" w:rsidRDefault="00090FCF">
            <w:pPr>
              <w:rPr>
                <w:rFonts w:ascii="Times New Roman" w:hAnsi="Times New Roman" w:cs="Times New Roman"/>
              </w:rPr>
            </w:pPr>
            <w:r>
              <w:rPr>
                <w:rFonts w:ascii="Times New Roman" w:hAnsi="Times New Roman" w:cs="Times New Roman"/>
              </w:rPr>
              <w:t>School Finance &amp; Operations</w:t>
            </w:r>
          </w:p>
        </w:tc>
        <w:tc>
          <w:tcPr>
            <w:tcW w:w="2339" w:type="dxa"/>
          </w:tcPr>
          <w:p w:rsidR="00661397" w:rsidRDefault="00090FCF">
            <w:pPr>
              <w:rPr>
                <w:rFonts w:ascii="Times New Roman" w:hAnsi="Times New Roman" w:cs="Times New Roman"/>
              </w:rPr>
            </w:pPr>
            <w:r>
              <w:rPr>
                <w:rFonts w:ascii="Times New Roman" w:hAnsi="Times New Roman" w:cs="Times New Roman"/>
              </w:rPr>
              <w:t>Child Nutrition</w:t>
            </w:r>
          </w:p>
        </w:tc>
        <w:tc>
          <w:tcPr>
            <w:tcW w:w="2339" w:type="dxa"/>
          </w:tcPr>
          <w:p w:rsidR="00661397" w:rsidRDefault="00090FCF">
            <w:pPr>
              <w:rPr>
                <w:rFonts w:ascii="Times New Roman" w:hAnsi="Times New Roman" w:cs="Times New Roman"/>
              </w:rPr>
            </w:pPr>
            <w:r>
              <w:rPr>
                <w:rFonts w:ascii="Times New Roman" w:hAnsi="Times New Roman" w:cs="Times New Roman"/>
              </w:rPr>
              <w:t>NSLP</w:t>
            </w:r>
          </w:p>
        </w:tc>
        <w:tc>
          <w:tcPr>
            <w:tcW w:w="2340" w:type="dxa"/>
          </w:tcPr>
          <w:p w:rsidR="00661397" w:rsidRDefault="00661397">
            <w:pPr>
              <w:rPr>
                <w:rFonts w:ascii="Times New Roman" w:hAnsi="Times New Roman" w:cs="Times New Roman"/>
              </w:rPr>
            </w:pPr>
          </w:p>
        </w:tc>
      </w:tr>
      <w:tr w:rsidR="00661397">
        <w:tc>
          <w:tcPr>
            <w:tcW w:w="2339" w:type="dxa"/>
          </w:tcPr>
          <w:p w:rsidR="00661397" w:rsidRDefault="00661397">
            <w:pPr>
              <w:rPr>
                <w:rFonts w:ascii="Times New Roman" w:hAnsi="Times New Roman" w:cs="Times New Roman"/>
              </w:rPr>
            </w:pPr>
          </w:p>
        </w:tc>
        <w:tc>
          <w:tcPr>
            <w:tcW w:w="2339" w:type="dxa"/>
          </w:tcPr>
          <w:p w:rsidR="00661397" w:rsidRDefault="00661397">
            <w:pPr>
              <w:rPr>
                <w:rFonts w:ascii="Times New Roman" w:hAnsi="Times New Roman" w:cs="Times New Roman"/>
              </w:rPr>
            </w:pPr>
          </w:p>
        </w:tc>
        <w:tc>
          <w:tcPr>
            <w:tcW w:w="2339" w:type="dxa"/>
          </w:tcPr>
          <w:p w:rsidR="00661397" w:rsidRDefault="00661397">
            <w:pPr>
              <w:rPr>
                <w:rFonts w:ascii="Times New Roman" w:hAnsi="Times New Roman" w:cs="Times New Roman"/>
              </w:rPr>
            </w:pPr>
          </w:p>
        </w:tc>
        <w:tc>
          <w:tcPr>
            <w:tcW w:w="2340" w:type="dxa"/>
          </w:tcPr>
          <w:p w:rsidR="00661397" w:rsidRDefault="00661397">
            <w:pPr>
              <w:rPr>
                <w:rFonts w:ascii="Times New Roman" w:hAnsi="Times New Roman" w:cs="Times New Roman"/>
              </w:rPr>
            </w:pPr>
          </w:p>
        </w:tc>
      </w:tr>
      <w:tr w:rsidR="00661397">
        <w:tc>
          <w:tcPr>
            <w:tcW w:w="2339" w:type="dxa"/>
          </w:tcPr>
          <w:p w:rsidR="00661397" w:rsidRDefault="00661397">
            <w:pPr>
              <w:rPr>
                <w:rFonts w:ascii="Times New Roman" w:hAnsi="Times New Roman" w:cs="Times New Roman"/>
              </w:rPr>
            </w:pPr>
          </w:p>
        </w:tc>
        <w:tc>
          <w:tcPr>
            <w:tcW w:w="2339" w:type="dxa"/>
          </w:tcPr>
          <w:p w:rsidR="00661397" w:rsidRDefault="00661397">
            <w:pPr>
              <w:rPr>
                <w:rFonts w:ascii="Times New Roman" w:hAnsi="Times New Roman" w:cs="Times New Roman"/>
              </w:rPr>
            </w:pPr>
          </w:p>
        </w:tc>
        <w:tc>
          <w:tcPr>
            <w:tcW w:w="2339" w:type="dxa"/>
          </w:tcPr>
          <w:p w:rsidR="00661397" w:rsidRDefault="00661397">
            <w:pPr>
              <w:rPr>
                <w:rFonts w:ascii="Times New Roman" w:hAnsi="Times New Roman" w:cs="Times New Roman"/>
              </w:rPr>
            </w:pPr>
          </w:p>
        </w:tc>
        <w:tc>
          <w:tcPr>
            <w:tcW w:w="2340" w:type="dxa"/>
          </w:tcPr>
          <w:p w:rsidR="00661397" w:rsidRDefault="00661397">
            <w:pPr>
              <w:rPr>
                <w:rFonts w:ascii="Times New Roman" w:hAnsi="Times New Roman" w:cs="Times New Roman"/>
              </w:rPr>
            </w:pPr>
          </w:p>
        </w:tc>
      </w:tr>
      <w:tr w:rsidR="00661397">
        <w:tc>
          <w:tcPr>
            <w:tcW w:w="2339" w:type="dxa"/>
          </w:tcPr>
          <w:p w:rsidR="00661397" w:rsidRDefault="00661397">
            <w:pPr>
              <w:rPr>
                <w:rFonts w:ascii="Times New Roman" w:hAnsi="Times New Roman" w:cs="Times New Roman"/>
              </w:rPr>
            </w:pPr>
          </w:p>
        </w:tc>
        <w:tc>
          <w:tcPr>
            <w:tcW w:w="2339" w:type="dxa"/>
          </w:tcPr>
          <w:p w:rsidR="00661397" w:rsidRDefault="00661397">
            <w:pPr>
              <w:rPr>
                <w:rFonts w:ascii="Times New Roman" w:hAnsi="Times New Roman" w:cs="Times New Roman"/>
              </w:rPr>
            </w:pPr>
          </w:p>
        </w:tc>
        <w:tc>
          <w:tcPr>
            <w:tcW w:w="2339" w:type="dxa"/>
          </w:tcPr>
          <w:p w:rsidR="00661397" w:rsidRDefault="00661397">
            <w:pPr>
              <w:rPr>
                <w:rFonts w:ascii="Times New Roman" w:hAnsi="Times New Roman" w:cs="Times New Roman"/>
              </w:rPr>
            </w:pPr>
          </w:p>
        </w:tc>
        <w:tc>
          <w:tcPr>
            <w:tcW w:w="2340" w:type="dxa"/>
          </w:tcPr>
          <w:p w:rsidR="00661397" w:rsidRDefault="00661397">
            <w:pPr>
              <w:rPr>
                <w:rFonts w:ascii="Times New Roman" w:hAnsi="Times New Roman" w:cs="Times New Roman"/>
              </w:rPr>
            </w:pPr>
          </w:p>
        </w:tc>
      </w:tr>
    </w:tbl>
    <w:p w:rsidR="00661397" w:rsidRDefault="00661397">
      <w:pPr>
        <w:spacing w:after="0"/>
        <w:ind w:firstLine="720"/>
        <w:rPr>
          <w:rFonts w:ascii="Times New Roman" w:hAnsi="Times New Roman" w:cs="Times New Roman"/>
        </w:rPr>
      </w:pPr>
    </w:p>
    <w:p w:rsidR="00661397" w:rsidRDefault="00090FCF">
      <w:pPr>
        <w:rPr>
          <w:rFonts w:ascii="Times New Roman" w:hAnsi="Times New Roman" w:cs="Times New Roman"/>
          <w:sz w:val="24"/>
          <w:szCs w:val="24"/>
        </w:rPr>
      </w:pPr>
      <w:r>
        <w:rPr>
          <w:rFonts w:ascii="Times New Roman" w:hAnsi="Times New Roman" w:cs="Times New Roman"/>
          <w:b/>
          <w:color w:val="162C40"/>
          <w:sz w:val="24"/>
          <w:szCs w:val="24"/>
        </w:rPr>
        <w:t>Definitions</w:t>
      </w:r>
      <w:r>
        <w:rPr>
          <w:rFonts w:ascii="Times New Roman" w:hAnsi="Times New Roman" w:cs="Times New Roman"/>
          <w:sz w:val="24"/>
          <w:szCs w:val="24"/>
        </w:rPr>
        <w:t>:</w:t>
      </w:r>
    </w:p>
    <w:p w:rsidR="000421EB" w:rsidRPr="00E32A7C" w:rsidRDefault="000421EB" w:rsidP="000421EB">
      <w:pPr>
        <w:spacing w:after="0" w:line="240" w:lineRule="auto"/>
        <w:rPr>
          <w:rFonts w:ascii="Times New Roman" w:hAnsi="Times New Roman" w:cs="Times New Roman"/>
          <w:bCs/>
          <w:sz w:val="24"/>
          <w:szCs w:val="24"/>
        </w:rPr>
      </w:pPr>
      <w:r w:rsidRPr="00E32A7C">
        <w:rPr>
          <w:rFonts w:ascii="Times New Roman" w:hAnsi="Times New Roman" w:cs="Times New Roman"/>
          <w:bCs/>
          <w:sz w:val="24"/>
          <w:szCs w:val="24"/>
        </w:rPr>
        <w:t>Community Eligibility Provision</w:t>
      </w:r>
      <w:r>
        <w:rPr>
          <w:rFonts w:ascii="Times New Roman" w:hAnsi="Times New Roman" w:cs="Times New Roman"/>
          <w:bCs/>
          <w:sz w:val="24"/>
          <w:szCs w:val="24"/>
        </w:rPr>
        <w:t xml:space="preserve"> (CEP)</w:t>
      </w:r>
      <w:r w:rsidRPr="00E32A7C">
        <w:rPr>
          <w:rFonts w:ascii="Source Sans Pro" w:hAnsi="Source Sans Pro"/>
          <w:bCs/>
          <w:color w:val="1B1B1B"/>
          <w:sz w:val="26"/>
          <w:szCs w:val="26"/>
          <w:shd w:val="clear" w:color="auto" w:fill="FFFFFF"/>
        </w:rPr>
        <w:t xml:space="preserve"> </w:t>
      </w:r>
      <w:r w:rsidRPr="00E32A7C">
        <w:rPr>
          <w:rFonts w:ascii="Times New Roman" w:hAnsi="Times New Roman" w:cs="Times New Roman"/>
          <w:bCs/>
          <w:color w:val="1B1B1B"/>
          <w:sz w:val="24"/>
          <w:szCs w:val="24"/>
          <w:shd w:val="clear" w:color="auto" w:fill="FFFFFF"/>
        </w:rPr>
        <w:t>is a non-pricing meal service option for schools and school districts in low-income areas.</w:t>
      </w:r>
      <w:r w:rsidRPr="00E32A7C">
        <w:rPr>
          <w:rFonts w:ascii="Source Sans Pro" w:hAnsi="Source Sans Pro"/>
          <w:bCs/>
          <w:color w:val="1B1B1B"/>
          <w:sz w:val="26"/>
          <w:szCs w:val="26"/>
          <w:shd w:val="clear" w:color="auto" w:fill="FFFFFF"/>
        </w:rPr>
        <w:t> </w:t>
      </w:r>
    </w:p>
    <w:p w:rsidR="000421EB" w:rsidRPr="00E32A7C" w:rsidRDefault="000421EB" w:rsidP="000421EB">
      <w:pPr>
        <w:spacing w:after="0" w:line="240" w:lineRule="auto"/>
        <w:rPr>
          <w:rFonts w:ascii="Times New Roman" w:hAnsi="Times New Roman" w:cs="Times New Roman"/>
          <w:bCs/>
          <w:sz w:val="24"/>
          <w:szCs w:val="24"/>
        </w:rPr>
      </w:pPr>
    </w:p>
    <w:p w:rsidR="000421EB" w:rsidRPr="00E32A7C" w:rsidRDefault="000421EB" w:rsidP="000421EB">
      <w:pPr>
        <w:spacing w:after="0" w:line="240" w:lineRule="auto"/>
        <w:rPr>
          <w:rFonts w:ascii="Times New Roman" w:eastAsiaTheme="minorEastAsia" w:hAnsi="Times New Roman" w:cs="Times New Roman"/>
          <w:bCs/>
          <w:sz w:val="24"/>
          <w:szCs w:val="24"/>
        </w:rPr>
      </w:pPr>
      <w:r w:rsidRPr="00E32A7C">
        <w:rPr>
          <w:rFonts w:ascii="Times New Roman" w:eastAsiaTheme="minorEastAsia" w:hAnsi="Times New Roman" w:cs="Times New Roman"/>
          <w:bCs/>
          <w:sz w:val="24"/>
          <w:szCs w:val="24"/>
        </w:rPr>
        <w:t xml:space="preserve">Direct </w:t>
      </w:r>
      <w:r>
        <w:rPr>
          <w:rFonts w:ascii="Times New Roman" w:eastAsiaTheme="minorEastAsia" w:hAnsi="Times New Roman" w:cs="Times New Roman"/>
          <w:bCs/>
          <w:sz w:val="24"/>
          <w:szCs w:val="24"/>
        </w:rPr>
        <w:t>C</w:t>
      </w:r>
      <w:r w:rsidRPr="00E32A7C">
        <w:rPr>
          <w:rFonts w:ascii="Times New Roman" w:eastAsiaTheme="minorEastAsia" w:hAnsi="Times New Roman" w:cs="Times New Roman"/>
          <w:bCs/>
          <w:sz w:val="24"/>
          <w:szCs w:val="24"/>
        </w:rPr>
        <w:t xml:space="preserve">ertification </w:t>
      </w:r>
      <w:r>
        <w:rPr>
          <w:rFonts w:ascii="Times New Roman" w:eastAsiaTheme="minorEastAsia" w:hAnsi="Times New Roman" w:cs="Times New Roman"/>
          <w:bCs/>
          <w:sz w:val="24"/>
          <w:szCs w:val="24"/>
        </w:rPr>
        <w:t>(DC)</w:t>
      </w:r>
      <w:r w:rsidRPr="00E32A7C">
        <w:rPr>
          <w:rFonts w:ascii="Times New Roman" w:eastAsiaTheme="minorEastAsia" w:hAnsi="Times New Roman" w:cs="Times New Roman"/>
          <w:bCs/>
          <w:sz w:val="24"/>
          <w:szCs w:val="24"/>
        </w:rPr>
        <w:t xml:space="preserve">means the process of establishing children's categorical eligibility for benefits by obtaining documentation directly from the State or local SNAP, TANF, or FDPIR office that the children are from households currently receiving SNAP, TANF, or FDPIR benefits. Households determined eligible for benefits through direct certifications are not required to submit a free and </w:t>
      </w:r>
      <w:proofErr w:type="gramStart"/>
      <w:r w:rsidRPr="00E32A7C">
        <w:rPr>
          <w:rFonts w:ascii="Times New Roman" w:eastAsiaTheme="minorEastAsia" w:hAnsi="Times New Roman" w:cs="Times New Roman"/>
          <w:bCs/>
          <w:sz w:val="24"/>
          <w:szCs w:val="24"/>
        </w:rPr>
        <w:t>reduced price</w:t>
      </w:r>
      <w:proofErr w:type="gramEnd"/>
      <w:r w:rsidRPr="00E32A7C">
        <w:rPr>
          <w:rFonts w:ascii="Times New Roman" w:eastAsiaTheme="minorEastAsia" w:hAnsi="Times New Roman" w:cs="Times New Roman"/>
          <w:bCs/>
          <w:sz w:val="24"/>
          <w:szCs w:val="24"/>
        </w:rPr>
        <w:t xml:space="preserve"> application to the school.</w:t>
      </w:r>
    </w:p>
    <w:p w:rsidR="000421EB" w:rsidRDefault="000421EB" w:rsidP="000421EB">
      <w:pPr>
        <w:spacing w:after="0"/>
        <w:rPr>
          <w:rFonts w:ascii="Times New Roman" w:hAnsi="Times New Roman" w:cs="Times New Roman"/>
          <w:bCs/>
          <w:sz w:val="24"/>
          <w:szCs w:val="24"/>
        </w:rPr>
      </w:pPr>
    </w:p>
    <w:p w:rsidR="000421EB" w:rsidRPr="00E32A7C" w:rsidRDefault="000421EB" w:rsidP="000421EB">
      <w:pPr>
        <w:spacing w:after="0"/>
        <w:rPr>
          <w:rFonts w:ascii="Times New Roman" w:hAnsi="Times New Roman" w:cs="Times New Roman"/>
          <w:bCs/>
          <w:sz w:val="24"/>
          <w:szCs w:val="24"/>
        </w:rPr>
      </w:pPr>
      <w:r w:rsidRPr="00E32A7C">
        <w:rPr>
          <w:rFonts w:ascii="Times New Roman" w:hAnsi="Times New Roman" w:cs="Times New Roman"/>
          <w:bCs/>
          <w:sz w:val="24"/>
          <w:szCs w:val="24"/>
        </w:rPr>
        <w:t xml:space="preserve">Food and Nutrition Service (FNS) </w:t>
      </w:r>
      <w:r w:rsidRPr="00E32A7C">
        <w:rPr>
          <w:rFonts w:ascii="Times New Roman" w:hAnsi="Times New Roman" w:cs="Times New Roman"/>
          <w:color w:val="202122"/>
          <w:sz w:val="24"/>
          <w:szCs w:val="24"/>
          <w:shd w:val="clear" w:color="auto" w:fill="FFFFFF"/>
        </w:rPr>
        <w:t> is an agency of the </w:t>
      </w:r>
      <w:hyperlink r:id="rId10" w:tooltip="United States Department of Agriculture" w:history="1">
        <w:r w:rsidRPr="00E32A7C">
          <w:rPr>
            <w:rStyle w:val="Hyperlink"/>
            <w:rFonts w:ascii="Times New Roman" w:hAnsi="Times New Roman" w:cs="Times New Roman"/>
            <w:color w:val="auto"/>
            <w:sz w:val="24"/>
            <w:szCs w:val="24"/>
            <w:u w:val="none"/>
            <w:shd w:val="clear" w:color="auto" w:fill="FFFFFF"/>
          </w:rPr>
          <w:t>United States Department of Agriculture</w:t>
        </w:r>
      </w:hyperlink>
      <w:r w:rsidRPr="00E32A7C">
        <w:rPr>
          <w:rFonts w:ascii="Times New Roman" w:hAnsi="Times New Roman" w:cs="Times New Roman"/>
          <w:sz w:val="24"/>
          <w:szCs w:val="24"/>
          <w:shd w:val="clear" w:color="auto" w:fill="FFFFFF"/>
        </w:rPr>
        <w:t> (USDA). The FNS is the federal agency responsible for administering the nation’s domestic nutrition assistance programs. The service helps to address the issue of </w:t>
      </w:r>
      <w:hyperlink r:id="rId11" w:tooltip="Hunger in the United States" w:history="1">
        <w:r w:rsidRPr="00E32A7C">
          <w:rPr>
            <w:rStyle w:val="Hyperlink"/>
            <w:rFonts w:ascii="Times New Roman" w:hAnsi="Times New Roman" w:cs="Times New Roman"/>
            <w:color w:val="auto"/>
            <w:sz w:val="24"/>
            <w:szCs w:val="24"/>
            <w:u w:val="none"/>
            <w:shd w:val="clear" w:color="auto" w:fill="FFFFFF"/>
          </w:rPr>
          <w:t>hunger in the United States</w:t>
        </w:r>
      </w:hyperlink>
      <w:r w:rsidRPr="00E32A7C">
        <w:rPr>
          <w:rFonts w:ascii="Arial" w:hAnsi="Arial" w:cs="Arial"/>
          <w:sz w:val="21"/>
          <w:szCs w:val="21"/>
          <w:shd w:val="clear" w:color="auto" w:fill="FFFFFF"/>
        </w:rPr>
        <w:t>.</w:t>
      </w:r>
    </w:p>
    <w:p w:rsidR="000421EB" w:rsidRPr="00E32A7C" w:rsidRDefault="000421EB" w:rsidP="000421EB">
      <w:pPr>
        <w:spacing w:after="0"/>
        <w:rPr>
          <w:rFonts w:ascii="Times New Roman" w:hAnsi="Times New Roman" w:cs="Times New Roman"/>
          <w:bCs/>
          <w:sz w:val="24"/>
          <w:szCs w:val="24"/>
        </w:rPr>
      </w:pPr>
    </w:p>
    <w:p w:rsidR="000421EB" w:rsidRPr="00E32A7C" w:rsidRDefault="000421EB" w:rsidP="000421EB">
      <w:pPr>
        <w:spacing w:after="0"/>
        <w:rPr>
          <w:rFonts w:ascii="Times New Roman" w:hAnsi="Times New Roman" w:cs="Times New Roman"/>
          <w:bCs/>
          <w:sz w:val="24"/>
          <w:szCs w:val="24"/>
        </w:rPr>
      </w:pPr>
      <w:r w:rsidRPr="00E32A7C">
        <w:rPr>
          <w:rFonts w:ascii="Times New Roman" w:hAnsi="Times New Roman" w:cs="Times New Roman"/>
          <w:bCs/>
          <w:sz w:val="24"/>
          <w:szCs w:val="24"/>
        </w:rPr>
        <w:t xml:space="preserve">Identified Student Percentage (ISP) is the percentage of enrolled students </w:t>
      </w:r>
      <w:r w:rsidRPr="00E32A7C">
        <w:rPr>
          <w:rFonts w:ascii="Times New Roman" w:hAnsi="Times New Roman" w:cs="Times New Roman"/>
          <w:bCs/>
          <w:sz w:val="24"/>
        </w:rPr>
        <w:t>who are categorically eligible for free meals based on participation in another, specific assistance program</w:t>
      </w:r>
      <w:r w:rsidRPr="00E32A7C">
        <w:rPr>
          <w:rFonts w:ascii="Times New Roman" w:hAnsi="Times New Roman" w:cs="Times New Roman"/>
          <w:bCs/>
          <w:sz w:val="24"/>
          <w:szCs w:val="24"/>
        </w:rPr>
        <w:t>.</w:t>
      </w:r>
    </w:p>
    <w:p w:rsidR="000421EB" w:rsidRPr="00E32A7C" w:rsidRDefault="000421EB" w:rsidP="000421EB">
      <w:pPr>
        <w:spacing w:after="0"/>
        <w:rPr>
          <w:rFonts w:ascii="Times New Roman" w:hAnsi="Times New Roman" w:cs="Times New Roman"/>
          <w:bCs/>
          <w:sz w:val="24"/>
          <w:szCs w:val="24"/>
        </w:rPr>
      </w:pPr>
    </w:p>
    <w:p w:rsidR="000421EB" w:rsidRDefault="000421EB" w:rsidP="000421EB">
      <w:pPr>
        <w:spacing w:after="0" w:line="240" w:lineRule="auto"/>
        <w:rPr>
          <w:rFonts w:ascii="Times New Roman" w:eastAsiaTheme="minorEastAsia" w:hAnsi="Times New Roman" w:cs="Times New Roman"/>
          <w:bCs/>
          <w:sz w:val="24"/>
          <w:szCs w:val="24"/>
        </w:rPr>
      </w:pPr>
      <w:r w:rsidRPr="00E32A7C">
        <w:rPr>
          <w:rFonts w:ascii="Times New Roman" w:eastAsiaTheme="minorEastAsia" w:hAnsi="Times New Roman" w:cs="Times New Roman"/>
          <w:bCs/>
          <w:sz w:val="24"/>
          <w:szCs w:val="24"/>
        </w:rPr>
        <w:t>Local educational agency (LEA) means a public board of education or other public or private nonprofit authority legally constituted within a state having administrative control of schools.</w:t>
      </w:r>
    </w:p>
    <w:p w:rsidR="000421EB" w:rsidRDefault="000421EB" w:rsidP="000421EB">
      <w:pPr>
        <w:spacing w:after="0" w:line="240" w:lineRule="auto"/>
        <w:rPr>
          <w:rFonts w:ascii="Times New Roman" w:eastAsiaTheme="minorEastAsia" w:hAnsi="Times New Roman" w:cs="Times New Roman"/>
          <w:bCs/>
          <w:sz w:val="24"/>
          <w:szCs w:val="24"/>
        </w:rPr>
      </w:pPr>
    </w:p>
    <w:p w:rsidR="000421EB" w:rsidRPr="00E32A7C" w:rsidRDefault="000421EB" w:rsidP="000421EB">
      <w:pPr>
        <w:spacing w:after="0" w:line="240" w:lineRule="auto"/>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State Agency (SA) State of Maine </w:t>
      </w:r>
    </w:p>
    <w:p w:rsidR="00661397" w:rsidRDefault="00661397" w:rsidP="000421EB">
      <w:pPr>
        <w:spacing w:after="0"/>
        <w:rPr>
          <w:rFonts w:ascii="Times New Roman" w:hAnsi="Times New Roman" w:cs="Times New Roman"/>
          <w:sz w:val="24"/>
          <w:szCs w:val="24"/>
        </w:rPr>
      </w:pPr>
    </w:p>
    <w:p w:rsidR="00661397" w:rsidRDefault="00661397">
      <w:pPr>
        <w:spacing w:after="0"/>
        <w:ind w:firstLine="720"/>
        <w:rPr>
          <w:rFonts w:ascii="Times New Roman" w:hAnsi="Times New Roman" w:cs="Times New Roman"/>
          <w:sz w:val="24"/>
          <w:szCs w:val="24"/>
        </w:rPr>
      </w:pPr>
    </w:p>
    <w:p w:rsidR="00661397" w:rsidRDefault="00090FCF">
      <w:pPr>
        <w:rPr>
          <w:rFonts w:ascii="Times New Roman" w:hAnsi="Times New Roman" w:cs="Times New Roman"/>
          <w:sz w:val="24"/>
          <w:szCs w:val="24"/>
        </w:rPr>
      </w:pPr>
      <w:r>
        <w:rPr>
          <w:rFonts w:ascii="Times New Roman" w:hAnsi="Times New Roman" w:cs="Times New Roman"/>
          <w:b/>
          <w:color w:val="162C40"/>
          <w:sz w:val="24"/>
          <w:szCs w:val="24"/>
        </w:rPr>
        <w:lastRenderedPageBreak/>
        <w:t>Statutes, Rules or References</w:t>
      </w:r>
      <w:r>
        <w:rPr>
          <w:rFonts w:ascii="Times New Roman" w:hAnsi="Times New Roman" w:cs="Times New Roman"/>
          <w:sz w:val="24"/>
          <w:szCs w:val="24"/>
        </w:rPr>
        <w:t>:</w:t>
      </w:r>
    </w:p>
    <w:p w:rsidR="000421EB" w:rsidRDefault="00090FCF">
      <w:pPr>
        <w:spacing w:after="0"/>
        <w:ind w:firstLine="720"/>
        <w:rPr>
          <w:rFonts w:ascii="Times New Roman" w:hAnsi="Times New Roman" w:cs="Times New Roman"/>
          <w:sz w:val="24"/>
          <w:szCs w:val="24"/>
        </w:rPr>
      </w:pPr>
      <w:r>
        <w:rPr>
          <w:rFonts w:ascii="Times New Roman" w:hAnsi="Times New Roman" w:cs="Times New Roman"/>
          <w:sz w:val="24"/>
          <w:szCs w:val="24"/>
        </w:rPr>
        <w:t>7CFR 245</w:t>
      </w:r>
    </w:p>
    <w:p w:rsidR="00661397" w:rsidRDefault="00090FCF">
      <w:pPr>
        <w:spacing w:after="0"/>
        <w:ind w:firstLine="720"/>
        <w:rPr>
          <w:rFonts w:ascii="Times New Roman" w:hAnsi="Times New Roman" w:cs="Times New Roman"/>
          <w:sz w:val="24"/>
          <w:szCs w:val="24"/>
        </w:rPr>
      </w:pPr>
      <w:r>
        <w:rPr>
          <w:rFonts w:ascii="Times New Roman" w:hAnsi="Times New Roman" w:cs="Times New Roman"/>
          <w:sz w:val="24"/>
          <w:szCs w:val="24"/>
        </w:rPr>
        <w:t>SP 11-2018</w:t>
      </w:r>
    </w:p>
    <w:p w:rsidR="00661397" w:rsidRDefault="00661397">
      <w:pPr>
        <w:spacing w:after="0"/>
        <w:ind w:firstLine="720"/>
        <w:rPr>
          <w:rFonts w:ascii="Times New Roman" w:hAnsi="Times New Roman" w:cs="Times New Roman"/>
          <w:sz w:val="24"/>
          <w:szCs w:val="24"/>
        </w:rPr>
      </w:pPr>
    </w:p>
    <w:p w:rsidR="00661397" w:rsidRDefault="00090FCF">
      <w:pPr>
        <w:rPr>
          <w:rFonts w:ascii="Times New Roman" w:hAnsi="Times New Roman" w:cs="Times New Roman"/>
          <w:sz w:val="24"/>
          <w:szCs w:val="24"/>
        </w:rPr>
      </w:pPr>
      <w:r>
        <w:rPr>
          <w:rFonts w:ascii="Times New Roman" w:hAnsi="Times New Roman" w:cs="Times New Roman"/>
          <w:b/>
          <w:color w:val="162C40"/>
          <w:sz w:val="24"/>
          <w:szCs w:val="24"/>
        </w:rPr>
        <w:t>Tasks, Responsibilities and Accountabilities</w:t>
      </w:r>
      <w:r>
        <w:rPr>
          <w:rFonts w:ascii="Times New Roman" w:hAnsi="Times New Roman" w:cs="Times New Roman"/>
          <w:sz w:val="24"/>
          <w:szCs w:val="24"/>
        </w:rPr>
        <w:t>:</w:t>
      </w:r>
    </w:p>
    <w:p w:rsidR="00661397" w:rsidRDefault="00661397">
      <w:pPr>
        <w:spacing w:after="0"/>
        <w:ind w:firstLine="720"/>
        <w:rPr>
          <w:rFonts w:ascii="Times New Roman" w:hAnsi="Times New Roman" w:cs="Times New Roman"/>
          <w:sz w:val="24"/>
          <w:szCs w:val="24"/>
        </w:rPr>
      </w:pPr>
    </w:p>
    <w:p w:rsidR="00661397" w:rsidRDefault="00661397">
      <w:pPr>
        <w:spacing w:after="0"/>
        <w:ind w:firstLine="720"/>
        <w:rPr>
          <w:rFonts w:ascii="Times New Roman" w:hAnsi="Times New Roman" w:cs="Times New Roman"/>
          <w:sz w:val="24"/>
          <w:szCs w:val="24"/>
        </w:rPr>
      </w:pPr>
    </w:p>
    <w:p w:rsidR="00661397" w:rsidRDefault="00090FCF">
      <w:pPr>
        <w:rPr>
          <w:rFonts w:ascii="Times New Roman" w:hAnsi="Times New Roman" w:cs="Times New Roman"/>
          <w:sz w:val="24"/>
          <w:szCs w:val="24"/>
        </w:rPr>
      </w:pPr>
      <w:r>
        <w:rPr>
          <w:rFonts w:ascii="Times New Roman" w:hAnsi="Times New Roman" w:cs="Times New Roman"/>
          <w:b/>
          <w:color w:val="162C40"/>
          <w:sz w:val="24"/>
          <w:szCs w:val="24"/>
        </w:rPr>
        <w:t>Procedure</w:t>
      </w:r>
      <w:r>
        <w:rPr>
          <w:rFonts w:ascii="Times New Roman" w:hAnsi="Times New Roman" w:cs="Times New Roman"/>
          <w:sz w:val="24"/>
          <w:szCs w:val="24"/>
        </w:rPr>
        <w:t>:</w:t>
      </w:r>
    </w:p>
    <w:p w:rsidR="00661397" w:rsidRDefault="00090F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Annually, on or around March 15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the SA Special Provision Specialist will create a list of LEAs and their percentage of directly certified students to enrollment. </w:t>
      </w:r>
    </w:p>
    <w:p w:rsidR="00CA1B23" w:rsidRDefault="00CA1B23">
      <w:pPr>
        <w:pStyle w:val="ListParagraph"/>
        <w:numPr>
          <w:ilvl w:val="0"/>
          <w:numId w:val="1"/>
        </w:numPr>
        <w:rPr>
          <w:rFonts w:ascii="Times New Roman" w:hAnsi="Times New Roman" w:cs="Times New Roman"/>
          <w:sz w:val="24"/>
          <w:szCs w:val="24"/>
        </w:rPr>
      </w:pPr>
      <w:r w:rsidRPr="00456952">
        <w:rPr>
          <w:rFonts w:ascii="Times New Roman" w:hAnsi="Times New Roman" w:cs="Times New Roman"/>
          <w:sz w:val="24"/>
          <w:szCs w:val="24"/>
        </w:rPr>
        <w:t xml:space="preserve">School-level eligibility data from the current school year will be provided from LEAs </w:t>
      </w:r>
      <w:r>
        <w:rPr>
          <w:rFonts w:ascii="Times New Roman" w:hAnsi="Times New Roman" w:cs="Times New Roman"/>
          <w:sz w:val="24"/>
          <w:szCs w:val="24"/>
        </w:rPr>
        <w:t xml:space="preserve">and Maine DOE data </w:t>
      </w:r>
      <w:r w:rsidRPr="00456952">
        <w:rPr>
          <w:rFonts w:ascii="Times New Roman" w:hAnsi="Times New Roman" w:cs="Times New Roman"/>
          <w:sz w:val="24"/>
          <w:szCs w:val="24"/>
        </w:rPr>
        <w:t>to generate this list</w:t>
      </w:r>
      <w:r>
        <w:rPr>
          <w:rFonts w:ascii="Times New Roman" w:hAnsi="Times New Roman" w:cs="Times New Roman"/>
          <w:sz w:val="24"/>
          <w:szCs w:val="24"/>
        </w:rPr>
        <w:t xml:space="preserve"> of schools with an Identified Student percentage (ISP) </w:t>
      </w:r>
    </w:p>
    <w:p w:rsidR="00661397" w:rsidRPr="000421EB" w:rsidRDefault="00090FCF">
      <w:pPr>
        <w:pStyle w:val="ListParagraph"/>
        <w:numPr>
          <w:ilvl w:val="0"/>
          <w:numId w:val="1"/>
        </w:numPr>
        <w:rPr>
          <w:rFonts w:ascii="Times New Roman" w:hAnsi="Times New Roman" w:cs="Times New Roman"/>
          <w:sz w:val="24"/>
          <w:szCs w:val="24"/>
        </w:rPr>
      </w:pPr>
      <w:r w:rsidRPr="000421EB">
        <w:rPr>
          <w:rFonts w:ascii="Times New Roman" w:hAnsi="Times New Roman" w:cs="Times New Roman"/>
          <w:sz w:val="24"/>
          <w:szCs w:val="24"/>
        </w:rPr>
        <w:t xml:space="preserve">The list will identify </w:t>
      </w:r>
      <w:r w:rsidRPr="000421EB">
        <w:rPr>
          <w:rFonts w:ascii="Times New Roman" w:hAnsi="Times New Roman" w:cs="Times New Roman"/>
          <w:color w:val="000000"/>
          <w:sz w:val="24"/>
          <w:szCs w:val="24"/>
        </w:rPr>
        <w:t>that meet the following requirements and MEDOE will notify each LEA of their Community Eligibility Status no later than April 15</w:t>
      </w:r>
      <w:r w:rsidRPr="000421EB">
        <w:rPr>
          <w:rFonts w:ascii="Times New Roman" w:hAnsi="Times New Roman" w:cs="Times New Roman"/>
          <w:color w:val="000000"/>
          <w:sz w:val="24"/>
          <w:szCs w:val="24"/>
          <w:vertAlign w:val="superscript"/>
        </w:rPr>
        <w:t xml:space="preserve">th   </w:t>
      </w:r>
      <w:r w:rsidRPr="000421EB">
        <w:rPr>
          <w:rFonts w:ascii="Times New Roman" w:hAnsi="Times New Roman" w:cs="Times New Roman"/>
          <w:color w:val="000000"/>
          <w:sz w:val="24"/>
          <w:szCs w:val="24"/>
        </w:rPr>
        <w:t>annually.  MEDOE must notify:</w:t>
      </w:r>
    </w:p>
    <w:p w:rsidR="00661397" w:rsidRDefault="00661397">
      <w:pPr>
        <w:pStyle w:val="ListParagraph"/>
        <w:rPr>
          <w:rFonts w:ascii="Times New Roman" w:hAnsi="Times New Roman" w:cs="Times New Roman"/>
          <w:sz w:val="24"/>
          <w:szCs w:val="24"/>
        </w:rPr>
      </w:pPr>
    </w:p>
    <w:p w:rsidR="00661397" w:rsidRDefault="00090FCF">
      <w:pPr>
        <w:pStyle w:val="NormalWeb"/>
        <w:numPr>
          <w:ilvl w:val="0"/>
          <w:numId w:val="2"/>
        </w:numPr>
        <w:rPr>
          <w:color w:val="000000"/>
          <w:sz w:val="21"/>
          <w:szCs w:val="21"/>
        </w:rPr>
      </w:pPr>
      <w:r>
        <w:rPr>
          <w:color w:val="000000"/>
          <w:sz w:val="21"/>
          <w:szCs w:val="21"/>
        </w:rPr>
        <w:t>LEAs with an identified student percentage of at least 40 percent district wide, of the potential to participate in community eligibility in the subsequent year; the estimated cash assistance the local educational agency would receive; and the procedures to participate in community eligibility.</w:t>
      </w:r>
    </w:p>
    <w:p w:rsidR="00661397" w:rsidRDefault="00090FCF">
      <w:pPr>
        <w:pStyle w:val="NormalWeb"/>
        <w:numPr>
          <w:ilvl w:val="0"/>
          <w:numId w:val="2"/>
        </w:numPr>
        <w:rPr>
          <w:color w:val="000000"/>
          <w:sz w:val="21"/>
          <w:szCs w:val="21"/>
        </w:rPr>
      </w:pPr>
      <w:r>
        <w:rPr>
          <w:color w:val="000000"/>
          <w:sz w:val="21"/>
          <w:szCs w:val="21"/>
        </w:rPr>
        <w:t>LEAs with an identified student percentage that is less than 40 percent district wide but greater than or equal to 30 percent, that they may be eligible to participate in community eligibility in the subsequent year if they meet the eligibility requirements set forth in paragraph (f)(3) of this section as of April 1.</w:t>
      </w:r>
    </w:p>
    <w:p w:rsidR="00661397" w:rsidRDefault="00090FCF">
      <w:pPr>
        <w:pStyle w:val="NormalWeb"/>
        <w:numPr>
          <w:ilvl w:val="0"/>
          <w:numId w:val="2"/>
        </w:numPr>
        <w:rPr>
          <w:color w:val="000000"/>
          <w:sz w:val="21"/>
          <w:szCs w:val="21"/>
        </w:rPr>
      </w:pPr>
      <w:r>
        <w:rPr>
          <w:color w:val="000000"/>
          <w:sz w:val="21"/>
          <w:szCs w:val="21"/>
        </w:rPr>
        <w:t>LEAs currently using community eligibility district wide, of the options available in establishing claiming percentages for next school year.</w:t>
      </w:r>
    </w:p>
    <w:p w:rsidR="00661397" w:rsidRDefault="00090FCF">
      <w:pPr>
        <w:pStyle w:val="NormalWeb"/>
        <w:numPr>
          <w:ilvl w:val="0"/>
          <w:numId w:val="2"/>
        </w:numPr>
        <w:rPr>
          <w:color w:val="000000"/>
          <w:sz w:val="21"/>
          <w:szCs w:val="21"/>
        </w:rPr>
      </w:pPr>
      <w:r>
        <w:rPr>
          <w:color w:val="000000"/>
          <w:sz w:val="21"/>
          <w:szCs w:val="21"/>
        </w:rPr>
        <w:t>LEAs currently in year 4 with an identified student percentage district wide that is less than 40 percent but greater than or equal to 30 percent, of the grace year eligibility.</w:t>
      </w:r>
    </w:p>
    <w:p w:rsidR="00661397" w:rsidRDefault="00661397">
      <w:pPr>
        <w:pStyle w:val="ListParagraph"/>
        <w:ind w:left="1080"/>
        <w:rPr>
          <w:rFonts w:ascii="Times New Roman" w:hAnsi="Times New Roman" w:cs="Times New Roman"/>
          <w:sz w:val="24"/>
          <w:szCs w:val="24"/>
        </w:rPr>
      </w:pPr>
    </w:p>
    <w:p w:rsidR="00661397" w:rsidRDefault="00090F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list will be posted on the SA website under Special Provisions and submitted to FNS</w:t>
      </w:r>
      <w:r w:rsidR="007B7C8D">
        <w:rPr>
          <w:rFonts w:ascii="Times New Roman" w:hAnsi="Times New Roman" w:cs="Times New Roman"/>
          <w:sz w:val="24"/>
          <w:szCs w:val="24"/>
        </w:rPr>
        <w:t>.</w:t>
      </w:r>
      <w:bookmarkStart w:id="0" w:name="_GoBack"/>
      <w:bookmarkEnd w:id="0"/>
      <w:r w:rsidR="007B7C8D">
        <w:rPr>
          <w:rFonts w:ascii="Times New Roman" w:hAnsi="Times New Roman" w:cs="Times New Roman"/>
          <w:sz w:val="24"/>
          <w:szCs w:val="24"/>
        </w:rPr>
        <w:t xml:space="preserve"> </w:t>
      </w:r>
      <w:r>
        <w:rPr>
          <w:rFonts w:ascii="Times New Roman" w:hAnsi="Times New Roman" w:cs="Times New Roman"/>
          <w:sz w:val="24"/>
          <w:szCs w:val="24"/>
        </w:rPr>
        <w:t>This will be done annually by April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to meet the April 15 deadline.</w:t>
      </w:r>
    </w:p>
    <w:p w:rsidR="00661397" w:rsidRDefault="00090F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Prior to May 1of each year, LEAs will be notified through the SA listserv of the CEP annual notification list on the SA website. </w:t>
      </w:r>
    </w:p>
    <w:p w:rsidR="00090FCF" w:rsidRDefault="00090FCF">
      <w:pPr>
        <w:pStyle w:val="ListParagraph"/>
        <w:numPr>
          <w:ilvl w:val="0"/>
          <w:numId w:val="1"/>
        </w:numPr>
        <w:rPr>
          <w:rFonts w:ascii="Times New Roman" w:hAnsi="Times New Roman" w:cs="Times New Roman"/>
          <w:sz w:val="24"/>
          <w:szCs w:val="24"/>
        </w:rPr>
      </w:pPr>
      <w:r w:rsidRPr="00404687">
        <w:rPr>
          <w:rFonts w:ascii="Times New Roman" w:hAnsi="Times New Roman" w:cs="Times New Roman"/>
        </w:rPr>
        <w:t xml:space="preserve">The web page address will be forwarded to USDA </w:t>
      </w:r>
      <w:hyperlink r:id="rId12" w:history="1">
        <w:r w:rsidRPr="00404687">
          <w:rPr>
            <w:rStyle w:val="Hyperlink"/>
            <w:rFonts w:ascii="Times New Roman" w:hAnsi="Times New Roman" w:cs="Times New Roman"/>
          </w:rPr>
          <w:t>cepnotification@fns.usda.gov</w:t>
        </w:r>
      </w:hyperlink>
    </w:p>
    <w:p w:rsidR="00661397" w:rsidRDefault="00661397">
      <w:pPr>
        <w:spacing w:after="0"/>
        <w:ind w:firstLine="720"/>
        <w:rPr>
          <w:rFonts w:ascii="Times New Roman" w:hAnsi="Times New Roman" w:cs="Times New Roman"/>
          <w:sz w:val="24"/>
          <w:szCs w:val="24"/>
        </w:rPr>
      </w:pPr>
    </w:p>
    <w:p w:rsidR="00661397" w:rsidRDefault="00661397">
      <w:pPr>
        <w:spacing w:after="0"/>
        <w:ind w:firstLine="720"/>
        <w:rPr>
          <w:rFonts w:ascii="Times New Roman" w:hAnsi="Times New Roman" w:cs="Times New Roman"/>
          <w:sz w:val="24"/>
          <w:szCs w:val="24"/>
        </w:rPr>
      </w:pPr>
    </w:p>
    <w:p w:rsidR="00661397" w:rsidRDefault="00090FCF">
      <w:pPr>
        <w:rPr>
          <w:rFonts w:ascii="Times New Roman" w:hAnsi="Times New Roman" w:cs="Times New Roman"/>
          <w:sz w:val="24"/>
          <w:szCs w:val="24"/>
        </w:rPr>
      </w:pPr>
      <w:r>
        <w:rPr>
          <w:rFonts w:ascii="Times New Roman" w:hAnsi="Times New Roman" w:cs="Times New Roman"/>
          <w:b/>
          <w:color w:val="162C40"/>
          <w:sz w:val="24"/>
          <w:szCs w:val="24"/>
        </w:rPr>
        <w:t>Roles</w:t>
      </w:r>
      <w:r>
        <w:rPr>
          <w:rFonts w:ascii="Times New Roman" w:hAnsi="Times New Roman" w:cs="Times New Roman"/>
          <w:sz w:val="24"/>
          <w:szCs w:val="24"/>
        </w:rPr>
        <w:t>:</w:t>
      </w:r>
    </w:p>
    <w:tbl>
      <w:tblPr>
        <w:tblStyle w:val="TableGrid"/>
        <w:tblW w:w="9355" w:type="dxa"/>
        <w:tblLook w:val="04A0" w:firstRow="1" w:lastRow="0" w:firstColumn="1" w:lastColumn="0" w:noHBand="0" w:noVBand="1"/>
      </w:tblPr>
      <w:tblGrid>
        <w:gridCol w:w="2335"/>
        <w:gridCol w:w="2790"/>
        <w:gridCol w:w="3060"/>
        <w:gridCol w:w="1170"/>
      </w:tblGrid>
      <w:tr w:rsidR="00661397">
        <w:tc>
          <w:tcPr>
            <w:tcW w:w="2335" w:type="dxa"/>
            <w:shd w:val="clear" w:color="auto" w:fill="6D8BA6"/>
          </w:tcPr>
          <w:p w:rsidR="00661397" w:rsidRDefault="00090FCF">
            <w:pPr>
              <w:rPr>
                <w:rFonts w:ascii="Times New Roman" w:hAnsi="Times New Roman" w:cs="Times New Roman"/>
                <w:color w:val="162C40"/>
                <w:sz w:val="24"/>
                <w:szCs w:val="24"/>
              </w:rPr>
            </w:pPr>
            <w:r>
              <w:rPr>
                <w:rFonts w:ascii="Times New Roman" w:hAnsi="Times New Roman" w:cs="Times New Roman"/>
                <w:color w:val="162C40"/>
                <w:sz w:val="24"/>
                <w:szCs w:val="24"/>
              </w:rPr>
              <w:t>Key Contact</w:t>
            </w:r>
          </w:p>
        </w:tc>
        <w:tc>
          <w:tcPr>
            <w:tcW w:w="2790" w:type="dxa"/>
            <w:shd w:val="clear" w:color="auto" w:fill="6D8BA6"/>
          </w:tcPr>
          <w:p w:rsidR="00661397" w:rsidRDefault="00090FCF">
            <w:pPr>
              <w:rPr>
                <w:rFonts w:ascii="Times New Roman" w:hAnsi="Times New Roman" w:cs="Times New Roman"/>
                <w:color w:val="162C40"/>
                <w:sz w:val="24"/>
                <w:szCs w:val="24"/>
              </w:rPr>
            </w:pPr>
            <w:r>
              <w:rPr>
                <w:rFonts w:ascii="Times New Roman" w:hAnsi="Times New Roman" w:cs="Times New Roman"/>
                <w:color w:val="162C40"/>
                <w:sz w:val="24"/>
                <w:szCs w:val="24"/>
              </w:rPr>
              <w:t>Position</w:t>
            </w:r>
          </w:p>
        </w:tc>
        <w:tc>
          <w:tcPr>
            <w:tcW w:w="3060" w:type="dxa"/>
            <w:shd w:val="clear" w:color="auto" w:fill="6D8BA6"/>
          </w:tcPr>
          <w:p w:rsidR="00661397" w:rsidRDefault="00090FCF">
            <w:pPr>
              <w:rPr>
                <w:rFonts w:ascii="Times New Roman" w:hAnsi="Times New Roman" w:cs="Times New Roman"/>
                <w:color w:val="162C40"/>
                <w:sz w:val="24"/>
                <w:szCs w:val="24"/>
              </w:rPr>
            </w:pPr>
            <w:r>
              <w:rPr>
                <w:rFonts w:ascii="Times New Roman" w:hAnsi="Times New Roman" w:cs="Times New Roman"/>
                <w:color w:val="162C40"/>
                <w:sz w:val="24"/>
                <w:szCs w:val="24"/>
              </w:rPr>
              <w:t>Email</w:t>
            </w:r>
          </w:p>
        </w:tc>
        <w:tc>
          <w:tcPr>
            <w:tcW w:w="1170" w:type="dxa"/>
            <w:shd w:val="clear" w:color="auto" w:fill="6D8BA6"/>
          </w:tcPr>
          <w:p w:rsidR="00661397" w:rsidRDefault="00090FCF">
            <w:pPr>
              <w:rPr>
                <w:rFonts w:ascii="Times New Roman" w:hAnsi="Times New Roman" w:cs="Times New Roman"/>
                <w:color w:val="162C40"/>
                <w:sz w:val="24"/>
                <w:szCs w:val="24"/>
              </w:rPr>
            </w:pPr>
            <w:r>
              <w:rPr>
                <w:rFonts w:ascii="Times New Roman" w:hAnsi="Times New Roman" w:cs="Times New Roman"/>
                <w:color w:val="162C40"/>
                <w:sz w:val="24"/>
                <w:szCs w:val="24"/>
              </w:rPr>
              <w:t>Phone Number</w:t>
            </w:r>
          </w:p>
        </w:tc>
      </w:tr>
      <w:tr w:rsidR="00661397">
        <w:tc>
          <w:tcPr>
            <w:tcW w:w="2335" w:type="dxa"/>
          </w:tcPr>
          <w:p w:rsidR="00661397" w:rsidRDefault="00090FCF">
            <w:pPr>
              <w:rPr>
                <w:rFonts w:ascii="Times New Roman" w:hAnsi="Times New Roman" w:cs="Times New Roman"/>
                <w:sz w:val="24"/>
                <w:szCs w:val="24"/>
              </w:rPr>
            </w:pPr>
            <w:r>
              <w:rPr>
                <w:rFonts w:ascii="Times New Roman" w:hAnsi="Times New Roman" w:cs="Times New Roman"/>
                <w:sz w:val="24"/>
                <w:szCs w:val="24"/>
              </w:rPr>
              <w:t>Walter Beesley</w:t>
            </w:r>
          </w:p>
        </w:tc>
        <w:tc>
          <w:tcPr>
            <w:tcW w:w="2790" w:type="dxa"/>
          </w:tcPr>
          <w:p w:rsidR="00661397" w:rsidRDefault="00090FCF">
            <w:pPr>
              <w:rPr>
                <w:rFonts w:ascii="Times New Roman" w:hAnsi="Times New Roman" w:cs="Times New Roman"/>
                <w:sz w:val="24"/>
                <w:szCs w:val="24"/>
              </w:rPr>
            </w:pPr>
            <w:r>
              <w:rPr>
                <w:rFonts w:ascii="Times New Roman" w:hAnsi="Times New Roman" w:cs="Times New Roman"/>
                <w:sz w:val="24"/>
                <w:szCs w:val="24"/>
              </w:rPr>
              <w:t>Child Nutrition Director</w:t>
            </w:r>
          </w:p>
        </w:tc>
        <w:tc>
          <w:tcPr>
            <w:tcW w:w="3060" w:type="dxa"/>
          </w:tcPr>
          <w:p w:rsidR="00661397" w:rsidRDefault="007B7C8D">
            <w:pPr>
              <w:rPr>
                <w:rFonts w:ascii="Times New Roman" w:hAnsi="Times New Roman" w:cs="Times New Roman"/>
                <w:sz w:val="24"/>
                <w:szCs w:val="24"/>
              </w:rPr>
            </w:pPr>
            <w:hyperlink r:id="rId13" w:history="1">
              <w:r w:rsidR="00090FCF">
                <w:rPr>
                  <w:rStyle w:val="Hyperlink"/>
                  <w:rFonts w:ascii="Times New Roman" w:hAnsi="Times New Roman" w:cs="Times New Roman"/>
                  <w:sz w:val="24"/>
                  <w:szCs w:val="24"/>
                </w:rPr>
                <w:t>Walter.beesley@maine.gov</w:t>
              </w:r>
            </w:hyperlink>
          </w:p>
        </w:tc>
        <w:tc>
          <w:tcPr>
            <w:tcW w:w="1170" w:type="dxa"/>
          </w:tcPr>
          <w:p w:rsidR="00661397" w:rsidRDefault="00090FCF">
            <w:pPr>
              <w:rPr>
                <w:rFonts w:ascii="Times New Roman" w:hAnsi="Times New Roman" w:cs="Times New Roman"/>
                <w:sz w:val="24"/>
                <w:szCs w:val="24"/>
              </w:rPr>
            </w:pPr>
            <w:r>
              <w:rPr>
                <w:rFonts w:ascii="Times New Roman" w:hAnsi="Times New Roman" w:cs="Times New Roman"/>
                <w:sz w:val="24"/>
                <w:szCs w:val="24"/>
              </w:rPr>
              <w:t>624-6875</w:t>
            </w:r>
          </w:p>
        </w:tc>
      </w:tr>
      <w:tr w:rsidR="00661397">
        <w:tc>
          <w:tcPr>
            <w:tcW w:w="2335" w:type="dxa"/>
          </w:tcPr>
          <w:p w:rsidR="00661397" w:rsidRDefault="000421EB">
            <w:pPr>
              <w:rPr>
                <w:rFonts w:ascii="Times New Roman" w:hAnsi="Times New Roman" w:cs="Times New Roman"/>
                <w:sz w:val="24"/>
                <w:szCs w:val="24"/>
              </w:rPr>
            </w:pPr>
            <w:r>
              <w:rPr>
                <w:rFonts w:ascii="Times New Roman" w:hAnsi="Times New Roman" w:cs="Times New Roman"/>
                <w:sz w:val="24"/>
                <w:szCs w:val="24"/>
              </w:rPr>
              <w:lastRenderedPageBreak/>
              <w:t>David Hartley</w:t>
            </w:r>
          </w:p>
        </w:tc>
        <w:tc>
          <w:tcPr>
            <w:tcW w:w="2790" w:type="dxa"/>
          </w:tcPr>
          <w:p w:rsidR="00661397" w:rsidRDefault="000421EB">
            <w:pPr>
              <w:rPr>
                <w:rFonts w:ascii="Times New Roman" w:hAnsi="Times New Roman" w:cs="Times New Roman"/>
                <w:sz w:val="24"/>
                <w:szCs w:val="24"/>
              </w:rPr>
            </w:pPr>
            <w:r>
              <w:rPr>
                <w:rFonts w:ascii="Times New Roman" w:hAnsi="Times New Roman" w:cs="Times New Roman"/>
                <w:sz w:val="24"/>
                <w:szCs w:val="24"/>
              </w:rPr>
              <w:t>Special Provision Specialist</w:t>
            </w:r>
          </w:p>
        </w:tc>
        <w:tc>
          <w:tcPr>
            <w:tcW w:w="3060" w:type="dxa"/>
          </w:tcPr>
          <w:p w:rsidR="00661397" w:rsidRDefault="000421EB">
            <w:pPr>
              <w:rPr>
                <w:rFonts w:ascii="Times New Roman" w:hAnsi="Times New Roman" w:cs="Times New Roman"/>
                <w:sz w:val="24"/>
                <w:szCs w:val="24"/>
              </w:rPr>
            </w:pPr>
            <w:hyperlink r:id="rId14" w:history="1">
              <w:r w:rsidRPr="00A034BC">
                <w:rPr>
                  <w:rStyle w:val="Hyperlink"/>
                  <w:rFonts w:ascii="Times New Roman" w:hAnsi="Times New Roman" w:cs="Times New Roman"/>
                  <w:sz w:val="24"/>
                  <w:szCs w:val="24"/>
                </w:rPr>
                <w:t>David.hartley@maine.gov</w:t>
              </w:r>
            </w:hyperlink>
          </w:p>
        </w:tc>
        <w:tc>
          <w:tcPr>
            <w:tcW w:w="1170" w:type="dxa"/>
          </w:tcPr>
          <w:p w:rsidR="00661397" w:rsidRDefault="000421EB">
            <w:pPr>
              <w:rPr>
                <w:rFonts w:ascii="Times New Roman" w:hAnsi="Times New Roman" w:cs="Times New Roman"/>
                <w:sz w:val="24"/>
                <w:szCs w:val="24"/>
              </w:rPr>
            </w:pPr>
            <w:r>
              <w:rPr>
                <w:rFonts w:ascii="Times New Roman" w:hAnsi="Times New Roman" w:cs="Times New Roman"/>
                <w:sz w:val="24"/>
                <w:szCs w:val="24"/>
              </w:rPr>
              <w:t>624-6878</w:t>
            </w:r>
          </w:p>
        </w:tc>
      </w:tr>
    </w:tbl>
    <w:p w:rsidR="00661397" w:rsidRDefault="00661397">
      <w:pPr>
        <w:rPr>
          <w:rFonts w:ascii="Times New Roman" w:hAnsi="Times New Roman" w:cs="Times New Roman"/>
          <w:b/>
          <w:color w:val="162C40"/>
          <w:sz w:val="24"/>
          <w:szCs w:val="24"/>
        </w:rPr>
      </w:pPr>
    </w:p>
    <w:p w:rsidR="00661397" w:rsidRDefault="00090FCF">
      <w:pPr>
        <w:rPr>
          <w:rFonts w:ascii="Times New Roman" w:hAnsi="Times New Roman" w:cs="Times New Roman"/>
          <w:sz w:val="24"/>
          <w:szCs w:val="24"/>
        </w:rPr>
      </w:pPr>
      <w:r>
        <w:rPr>
          <w:rFonts w:ascii="Times New Roman" w:hAnsi="Times New Roman" w:cs="Times New Roman"/>
          <w:b/>
          <w:color w:val="162C40"/>
          <w:sz w:val="24"/>
          <w:szCs w:val="24"/>
        </w:rPr>
        <w:t>Document History &amp; Distribution</w:t>
      </w:r>
      <w:r>
        <w:rPr>
          <w:rFonts w:ascii="Times New Roman" w:hAnsi="Times New Roman" w:cs="Times New Roman"/>
          <w:sz w:val="24"/>
          <w:szCs w:val="24"/>
        </w:rPr>
        <w:t>:</w:t>
      </w:r>
    </w:p>
    <w:p w:rsidR="00661397" w:rsidRDefault="00090FCF">
      <w:pPr>
        <w:ind w:firstLine="720"/>
        <w:rPr>
          <w:rFonts w:ascii="Times New Roman" w:hAnsi="Times New Roman" w:cs="Times New Roman"/>
          <w:sz w:val="24"/>
          <w:szCs w:val="24"/>
        </w:rPr>
      </w:pPr>
      <w:r>
        <w:rPr>
          <w:rFonts w:ascii="Times New Roman" w:hAnsi="Times New Roman" w:cs="Times New Roman"/>
          <w:sz w:val="24"/>
          <w:szCs w:val="24"/>
        </w:rPr>
        <w:t>This document will be distributed to Maine DOE staff and posted on the Maine Department of Education Intranet.</w:t>
      </w:r>
    </w:p>
    <w:tbl>
      <w:tblPr>
        <w:tblStyle w:val="TableGrid"/>
        <w:tblW w:w="0" w:type="auto"/>
        <w:tblLook w:val="04A0" w:firstRow="1" w:lastRow="0" w:firstColumn="1" w:lastColumn="0" w:noHBand="0" w:noVBand="1"/>
      </w:tblPr>
      <w:tblGrid>
        <w:gridCol w:w="3116"/>
        <w:gridCol w:w="3117"/>
        <w:gridCol w:w="3117"/>
      </w:tblGrid>
      <w:tr w:rsidR="00661397">
        <w:tc>
          <w:tcPr>
            <w:tcW w:w="3116" w:type="dxa"/>
            <w:shd w:val="clear" w:color="auto" w:fill="6D8BA6"/>
          </w:tcPr>
          <w:p w:rsidR="00661397" w:rsidRDefault="00090FCF">
            <w:pPr>
              <w:rPr>
                <w:rFonts w:ascii="Times New Roman" w:hAnsi="Times New Roman" w:cs="Times New Roman"/>
                <w:color w:val="162C40"/>
                <w:sz w:val="24"/>
                <w:szCs w:val="24"/>
              </w:rPr>
            </w:pPr>
            <w:r>
              <w:rPr>
                <w:rFonts w:ascii="Times New Roman" w:hAnsi="Times New Roman" w:cs="Times New Roman"/>
                <w:color w:val="162C40"/>
                <w:sz w:val="24"/>
                <w:szCs w:val="24"/>
              </w:rPr>
              <w:t>Version</w:t>
            </w:r>
          </w:p>
        </w:tc>
        <w:tc>
          <w:tcPr>
            <w:tcW w:w="3117" w:type="dxa"/>
            <w:shd w:val="clear" w:color="auto" w:fill="6D8BA6"/>
          </w:tcPr>
          <w:p w:rsidR="00661397" w:rsidRDefault="00090FCF">
            <w:pPr>
              <w:rPr>
                <w:rFonts w:ascii="Times New Roman" w:hAnsi="Times New Roman" w:cs="Times New Roman"/>
                <w:color w:val="162C40"/>
                <w:sz w:val="24"/>
                <w:szCs w:val="24"/>
              </w:rPr>
            </w:pPr>
            <w:r>
              <w:rPr>
                <w:rFonts w:ascii="Times New Roman" w:hAnsi="Times New Roman" w:cs="Times New Roman"/>
                <w:color w:val="162C40"/>
                <w:sz w:val="24"/>
                <w:szCs w:val="24"/>
              </w:rPr>
              <w:t>Revision Log</w:t>
            </w:r>
          </w:p>
        </w:tc>
        <w:tc>
          <w:tcPr>
            <w:tcW w:w="3117" w:type="dxa"/>
            <w:shd w:val="clear" w:color="auto" w:fill="6D8BA6"/>
          </w:tcPr>
          <w:p w:rsidR="00661397" w:rsidRDefault="00090FCF">
            <w:pPr>
              <w:rPr>
                <w:rFonts w:ascii="Times New Roman" w:hAnsi="Times New Roman" w:cs="Times New Roman"/>
                <w:color w:val="162C40"/>
                <w:sz w:val="24"/>
                <w:szCs w:val="24"/>
              </w:rPr>
            </w:pPr>
            <w:r>
              <w:rPr>
                <w:rFonts w:ascii="Times New Roman" w:hAnsi="Times New Roman" w:cs="Times New Roman"/>
                <w:color w:val="162C40"/>
                <w:sz w:val="24"/>
                <w:szCs w:val="24"/>
              </w:rPr>
              <w:t>Date</w:t>
            </w:r>
          </w:p>
        </w:tc>
      </w:tr>
      <w:tr w:rsidR="00661397">
        <w:tc>
          <w:tcPr>
            <w:tcW w:w="3116" w:type="dxa"/>
          </w:tcPr>
          <w:p w:rsidR="00661397" w:rsidRDefault="00090FCF">
            <w:pPr>
              <w:rPr>
                <w:rFonts w:ascii="Times New Roman" w:hAnsi="Times New Roman" w:cs="Times New Roman"/>
                <w:sz w:val="24"/>
                <w:szCs w:val="24"/>
              </w:rPr>
            </w:pPr>
            <w:r>
              <w:rPr>
                <w:rFonts w:ascii="Times New Roman" w:hAnsi="Times New Roman" w:cs="Times New Roman"/>
                <w:sz w:val="24"/>
                <w:szCs w:val="24"/>
              </w:rPr>
              <w:t>Version 1.0</w:t>
            </w:r>
          </w:p>
        </w:tc>
        <w:tc>
          <w:tcPr>
            <w:tcW w:w="3117" w:type="dxa"/>
          </w:tcPr>
          <w:p w:rsidR="00661397" w:rsidRDefault="00090FCF">
            <w:pPr>
              <w:rPr>
                <w:rFonts w:ascii="Times New Roman" w:hAnsi="Times New Roman" w:cs="Times New Roman"/>
                <w:sz w:val="24"/>
                <w:szCs w:val="24"/>
              </w:rPr>
            </w:pPr>
            <w:r>
              <w:rPr>
                <w:rFonts w:ascii="Times New Roman" w:hAnsi="Times New Roman" w:cs="Times New Roman"/>
                <w:sz w:val="24"/>
                <w:szCs w:val="24"/>
              </w:rPr>
              <w:t>Initial Publication</w:t>
            </w:r>
          </w:p>
        </w:tc>
        <w:tc>
          <w:tcPr>
            <w:tcW w:w="3117" w:type="dxa"/>
          </w:tcPr>
          <w:p w:rsidR="00661397" w:rsidRDefault="00090FCF">
            <w:pPr>
              <w:rPr>
                <w:rFonts w:ascii="Times New Roman" w:hAnsi="Times New Roman" w:cs="Times New Roman"/>
                <w:sz w:val="24"/>
                <w:szCs w:val="24"/>
              </w:rPr>
            </w:pPr>
            <w:r>
              <w:rPr>
                <w:rFonts w:ascii="Times New Roman" w:hAnsi="Times New Roman" w:cs="Times New Roman"/>
                <w:sz w:val="24"/>
                <w:szCs w:val="24"/>
              </w:rPr>
              <w:t>January 2019</w:t>
            </w:r>
          </w:p>
        </w:tc>
      </w:tr>
      <w:tr w:rsidR="00661397">
        <w:tc>
          <w:tcPr>
            <w:tcW w:w="3116" w:type="dxa"/>
          </w:tcPr>
          <w:p w:rsidR="00661397" w:rsidRDefault="000421EB">
            <w:pPr>
              <w:rPr>
                <w:rFonts w:ascii="Times New Roman" w:hAnsi="Times New Roman" w:cs="Times New Roman"/>
                <w:sz w:val="24"/>
                <w:szCs w:val="24"/>
              </w:rPr>
            </w:pPr>
            <w:r>
              <w:rPr>
                <w:rFonts w:ascii="Times New Roman" w:hAnsi="Times New Roman" w:cs="Times New Roman"/>
                <w:sz w:val="24"/>
                <w:szCs w:val="24"/>
              </w:rPr>
              <w:t>Version 1.</w:t>
            </w:r>
            <w:r>
              <w:rPr>
                <w:rFonts w:ascii="Times New Roman" w:hAnsi="Times New Roman" w:cs="Times New Roman"/>
                <w:sz w:val="24"/>
                <w:szCs w:val="24"/>
              </w:rPr>
              <w:t>1</w:t>
            </w:r>
          </w:p>
        </w:tc>
        <w:tc>
          <w:tcPr>
            <w:tcW w:w="3117" w:type="dxa"/>
          </w:tcPr>
          <w:p w:rsidR="00661397" w:rsidRDefault="00090FCF">
            <w:pPr>
              <w:rPr>
                <w:rFonts w:ascii="Times New Roman" w:hAnsi="Times New Roman" w:cs="Times New Roman"/>
                <w:sz w:val="24"/>
                <w:szCs w:val="24"/>
              </w:rPr>
            </w:pPr>
            <w:r>
              <w:rPr>
                <w:rFonts w:ascii="Times New Roman" w:hAnsi="Times New Roman" w:cs="Times New Roman"/>
                <w:sz w:val="24"/>
                <w:szCs w:val="24"/>
              </w:rPr>
              <w:t>Revision</w:t>
            </w:r>
          </w:p>
        </w:tc>
        <w:tc>
          <w:tcPr>
            <w:tcW w:w="3117" w:type="dxa"/>
          </w:tcPr>
          <w:p w:rsidR="00661397" w:rsidRDefault="00090FCF">
            <w:pPr>
              <w:rPr>
                <w:rFonts w:ascii="Times New Roman" w:hAnsi="Times New Roman" w:cs="Times New Roman"/>
                <w:sz w:val="24"/>
                <w:szCs w:val="24"/>
              </w:rPr>
            </w:pPr>
            <w:r>
              <w:rPr>
                <w:rFonts w:ascii="Times New Roman" w:hAnsi="Times New Roman" w:cs="Times New Roman"/>
                <w:sz w:val="24"/>
                <w:szCs w:val="24"/>
              </w:rPr>
              <w:t>June 2019</w:t>
            </w:r>
          </w:p>
        </w:tc>
      </w:tr>
      <w:tr w:rsidR="00661397">
        <w:tc>
          <w:tcPr>
            <w:tcW w:w="3116" w:type="dxa"/>
          </w:tcPr>
          <w:p w:rsidR="00661397" w:rsidRDefault="000421EB">
            <w:pPr>
              <w:rPr>
                <w:rFonts w:ascii="Times New Roman" w:hAnsi="Times New Roman" w:cs="Times New Roman"/>
                <w:sz w:val="24"/>
                <w:szCs w:val="24"/>
              </w:rPr>
            </w:pPr>
            <w:r>
              <w:rPr>
                <w:rFonts w:ascii="Times New Roman" w:hAnsi="Times New Roman" w:cs="Times New Roman"/>
                <w:sz w:val="24"/>
                <w:szCs w:val="24"/>
              </w:rPr>
              <w:t>Version 1.</w:t>
            </w:r>
            <w:r>
              <w:rPr>
                <w:rFonts w:ascii="Times New Roman" w:hAnsi="Times New Roman" w:cs="Times New Roman"/>
                <w:sz w:val="24"/>
                <w:szCs w:val="24"/>
              </w:rPr>
              <w:t>2</w:t>
            </w:r>
          </w:p>
        </w:tc>
        <w:tc>
          <w:tcPr>
            <w:tcW w:w="3117" w:type="dxa"/>
          </w:tcPr>
          <w:p w:rsidR="00661397" w:rsidRDefault="00090FCF">
            <w:pPr>
              <w:rPr>
                <w:rFonts w:ascii="Times New Roman" w:hAnsi="Times New Roman" w:cs="Times New Roman"/>
                <w:sz w:val="24"/>
                <w:szCs w:val="24"/>
              </w:rPr>
            </w:pPr>
            <w:r>
              <w:rPr>
                <w:rFonts w:ascii="Times New Roman" w:hAnsi="Times New Roman" w:cs="Times New Roman"/>
                <w:sz w:val="24"/>
                <w:szCs w:val="24"/>
              </w:rPr>
              <w:t>Revision</w:t>
            </w:r>
          </w:p>
        </w:tc>
        <w:tc>
          <w:tcPr>
            <w:tcW w:w="3117" w:type="dxa"/>
          </w:tcPr>
          <w:p w:rsidR="00661397" w:rsidRDefault="00090FCF">
            <w:pPr>
              <w:rPr>
                <w:rFonts w:ascii="Times New Roman" w:hAnsi="Times New Roman" w:cs="Times New Roman"/>
                <w:sz w:val="24"/>
                <w:szCs w:val="24"/>
              </w:rPr>
            </w:pPr>
            <w:r>
              <w:rPr>
                <w:rFonts w:ascii="Times New Roman" w:hAnsi="Times New Roman" w:cs="Times New Roman"/>
                <w:sz w:val="24"/>
                <w:szCs w:val="24"/>
              </w:rPr>
              <w:t>October 2019</w:t>
            </w:r>
          </w:p>
        </w:tc>
      </w:tr>
      <w:tr w:rsidR="00661397">
        <w:tc>
          <w:tcPr>
            <w:tcW w:w="3116" w:type="dxa"/>
          </w:tcPr>
          <w:p w:rsidR="00661397" w:rsidRDefault="000421EB">
            <w:pPr>
              <w:rPr>
                <w:rFonts w:ascii="Times New Roman" w:hAnsi="Times New Roman" w:cs="Times New Roman"/>
                <w:sz w:val="24"/>
                <w:szCs w:val="24"/>
              </w:rPr>
            </w:pPr>
            <w:r>
              <w:rPr>
                <w:rFonts w:ascii="Times New Roman" w:hAnsi="Times New Roman" w:cs="Times New Roman"/>
                <w:sz w:val="24"/>
                <w:szCs w:val="24"/>
              </w:rPr>
              <w:t>Version 1.</w:t>
            </w:r>
            <w:r>
              <w:rPr>
                <w:rFonts w:ascii="Times New Roman" w:hAnsi="Times New Roman" w:cs="Times New Roman"/>
                <w:sz w:val="24"/>
                <w:szCs w:val="24"/>
              </w:rPr>
              <w:t>3</w:t>
            </w:r>
          </w:p>
        </w:tc>
        <w:tc>
          <w:tcPr>
            <w:tcW w:w="3117" w:type="dxa"/>
          </w:tcPr>
          <w:p w:rsidR="00661397" w:rsidRDefault="00090FCF">
            <w:pPr>
              <w:rPr>
                <w:rFonts w:ascii="Times New Roman" w:hAnsi="Times New Roman" w:cs="Times New Roman"/>
                <w:sz w:val="24"/>
                <w:szCs w:val="24"/>
              </w:rPr>
            </w:pPr>
            <w:r>
              <w:rPr>
                <w:rFonts w:ascii="Times New Roman" w:hAnsi="Times New Roman" w:cs="Times New Roman"/>
                <w:sz w:val="24"/>
                <w:szCs w:val="24"/>
              </w:rPr>
              <w:t>Reformat</w:t>
            </w:r>
          </w:p>
        </w:tc>
        <w:tc>
          <w:tcPr>
            <w:tcW w:w="3117" w:type="dxa"/>
          </w:tcPr>
          <w:p w:rsidR="00661397" w:rsidRDefault="00090FCF">
            <w:pPr>
              <w:rPr>
                <w:rFonts w:ascii="Times New Roman" w:hAnsi="Times New Roman" w:cs="Times New Roman"/>
                <w:sz w:val="24"/>
                <w:szCs w:val="24"/>
              </w:rPr>
            </w:pPr>
            <w:r>
              <w:rPr>
                <w:rFonts w:ascii="Times New Roman" w:hAnsi="Times New Roman" w:cs="Times New Roman"/>
                <w:sz w:val="24"/>
                <w:szCs w:val="24"/>
              </w:rPr>
              <w:t>June 2020</w:t>
            </w:r>
          </w:p>
        </w:tc>
      </w:tr>
      <w:tr w:rsidR="00661397">
        <w:tc>
          <w:tcPr>
            <w:tcW w:w="3116" w:type="dxa"/>
          </w:tcPr>
          <w:p w:rsidR="00661397" w:rsidRDefault="000421EB">
            <w:pPr>
              <w:rPr>
                <w:rFonts w:ascii="Times New Roman" w:hAnsi="Times New Roman" w:cs="Times New Roman"/>
                <w:sz w:val="24"/>
                <w:szCs w:val="24"/>
              </w:rPr>
            </w:pPr>
            <w:r>
              <w:rPr>
                <w:rFonts w:ascii="Times New Roman" w:hAnsi="Times New Roman" w:cs="Times New Roman"/>
                <w:sz w:val="24"/>
                <w:szCs w:val="24"/>
              </w:rPr>
              <w:t>Version 1.</w:t>
            </w:r>
            <w:r>
              <w:rPr>
                <w:rFonts w:ascii="Times New Roman" w:hAnsi="Times New Roman" w:cs="Times New Roman"/>
                <w:sz w:val="24"/>
                <w:szCs w:val="24"/>
              </w:rPr>
              <w:t>4</w:t>
            </w:r>
          </w:p>
        </w:tc>
        <w:tc>
          <w:tcPr>
            <w:tcW w:w="3117" w:type="dxa"/>
          </w:tcPr>
          <w:p w:rsidR="00661397" w:rsidRDefault="000421EB">
            <w:pPr>
              <w:rPr>
                <w:rFonts w:ascii="Times New Roman" w:hAnsi="Times New Roman" w:cs="Times New Roman"/>
                <w:sz w:val="24"/>
                <w:szCs w:val="24"/>
              </w:rPr>
            </w:pPr>
            <w:r>
              <w:rPr>
                <w:rFonts w:ascii="Times New Roman" w:hAnsi="Times New Roman" w:cs="Times New Roman"/>
                <w:sz w:val="24"/>
                <w:szCs w:val="24"/>
              </w:rPr>
              <w:t>Revision</w:t>
            </w:r>
          </w:p>
        </w:tc>
        <w:tc>
          <w:tcPr>
            <w:tcW w:w="3117" w:type="dxa"/>
          </w:tcPr>
          <w:p w:rsidR="00661397" w:rsidRDefault="000421EB">
            <w:pPr>
              <w:rPr>
                <w:rFonts w:ascii="Times New Roman" w:hAnsi="Times New Roman" w:cs="Times New Roman"/>
                <w:sz w:val="24"/>
                <w:szCs w:val="24"/>
              </w:rPr>
            </w:pPr>
            <w:r>
              <w:rPr>
                <w:rFonts w:ascii="Times New Roman" w:hAnsi="Times New Roman" w:cs="Times New Roman"/>
                <w:sz w:val="24"/>
                <w:szCs w:val="24"/>
              </w:rPr>
              <w:t>December 2020</w:t>
            </w:r>
          </w:p>
        </w:tc>
      </w:tr>
    </w:tbl>
    <w:p w:rsidR="00661397" w:rsidRDefault="00661397">
      <w:pPr>
        <w:rPr>
          <w:rFonts w:ascii="Times New Roman" w:hAnsi="Times New Roman" w:cs="Times New Roman"/>
          <w:sz w:val="24"/>
          <w:szCs w:val="24"/>
        </w:rPr>
      </w:pPr>
    </w:p>
    <w:p w:rsidR="00661397" w:rsidRDefault="00090FCF">
      <w:pPr>
        <w:rPr>
          <w:rFonts w:ascii="Times New Roman" w:hAnsi="Times New Roman" w:cs="Times New Roman"/>
          <w:sz w:val="24"/>
          <w:szCs w:val="24"/>
          <w:u w:val="single"/>
        </w:rPr>
      </w:pPr>
      <w:r>
        <w:rPr>
          <w:rFonts w:ascii="Times New Roman" w:hAnsi="Times New Roman" w:cs="Times New Roman"/>
          <w:color w:val="162C40"/>
          <w:sz w:val="24"/>
          <w:szCs w:val="24"/>
        </w:rPr>
        <w:t>Date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Manager </w:t>
      </w:r>
      <w:r>
        <w:rPr>
          <w:rFonts w:ascii="Times New Roman" w:hAnsi="Times New Roman" w:cs="Times New Roman"/>
          <w:color w:val="162C40"/>
          <w:sz w:val="24"/>
          <w:szCs w:val="24"/>
        </w:rPr>
        <w:t>Signature</w:t>
      </w:r>
      <w:r>
        <w:rPr>
          <w:rFonts w:ascii="Times New Roman" w:hAnsi="Times New Roman" w:cs="Times New Roman"/>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61397" w:rsidRDefault="00661397">
      <w:pPr>
        <w:rPr>
          <w:rFonts w:ascii="Times New Roman" w:hAnsi="Times New Roman" w:cs="Times New Roman"/>
          <w:sz w:val="24"/>
          <w:szCs w:val="24"/>
        </w:rPr>
      </w:pPr>
    </w:p>
    <w:p w:rsidR="00661397" w:rsidRDefault="00090FCF">
      <w:pPr>
        <w:rPr>
          <w:rFonts w:ascii="Times New Roman" w:hAnsi="Times New Roman" w:cs="Times New Roman"/>
          <w:sz w:val="24"/>
          <w:szCs w:val="24"/>
        </w:rPr>
      </w:pPr>
      <w:r>
        <w:rPr>
          <w:rFonts w:ascii="Times New Roman" w:hAnsi="Times New Roman" w:cs="Times New Roman"/>
          <w:color w:val="162C40"/>
          <w:sz w:val="24"/>
          <w:szCs w:val="24"/>
        </w:rPr>
        <w:t>Date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Division Director </w:t>
      </w:r>
      <w:r>
        <w:rPr>
          <w:rFonts w:ascii="Times New Roman" w:hAnsi="Times New Roman" w:cs="Times New Roman"/>
          <w:color w:val="162C40"/>
          <w:sz w:val="24"/>
          <w:szCs w:val="24"/>
        </w:rPr>
        <w:t>Signature</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61397" w:rsidRDefault="00661397">
      <w:pPr>
        <w:rPr>
          <w:rFonts w:ascii="Times New Roman" w:hAnsi="Times New Roman" w:cs="Times New Roman"/>
          <w:sz w:val="24"/>
          <w:szCs w:val="24"/>
        </w:rPr>
      </w:pPr>
    </w:p>
    <w:sectPr w:rsidR="0066139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397" w:rsidRDefault="00090FCF">
      <w:pPr>
        <w:spacing w:after="0" w:line="240" w:lineRule="auto"/>
      </w:pPr>
      <w:r>
        <w:separator/>
      </w:r>
    </w:p>
  </w:endnote>
  <w:endnote w:type="continuationSeparator" w:id="0">
    <w:p w:rsidR="00661397" w:rsidRDefault="0009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97" w:rsidRDefault="00661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922401"/>
      <w:docPartObj>
        <w:docPartGallery w:val="Page Numbers (Bottom of Page)"/>
        <w:docPartUnique/>
      </w:docPartObj>
    </w:sdtPr>
    <w:sdtEndPr/>
    <w:sdtContent>
      <w:sdt>
        <w:sdtPr>
          <w:id w:val="1728636285"/>
          <w:docPartObj>
            <w:docPartGallery w:val="Page Numbers (Top of Page)"/>
            <w:docPartUnique/>
          </w:docPartObj>
        </w:sdtPr>
        <w:sdtEndPr/>
        <w:sdtContent>
          <w:p w:rsidR="00661397" w:rsidRDefault="00090FC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661397" w:rsidRDefault="00661397">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97" w:rsidRDefault="00661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397" w:rsidRDefault="00090FCF">
      <w:pPr>
        <w:spacing w:after="0" w:line="240" w:lineRule="auto"/>
      </w:pPr>
      <w:r>
        <w:separator/>
      </w:r>
    </w:p>
  </w:footnote>
  <w:footnote w:type="continuationSeparator" w:id="0">
    <w:p w:rsidR="00661397" w:rsidRDefault="00090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97" w:rsidRDefault="00661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97" w:rsidRDefault="00090FCF">
    <w:pPr>
      <w:pStyle w:val="Title"/>
      <w:rPr>
        <w:color w:val="162C40"/>
      </w:rPr>
    </w:pPr>
    <w:r>
      <w:rPr>
        <w:noProof/>
        <w:color w:val="162C40"/>
      </w:rPr>
      <w:drawing>
        <wp:inline distT="0" distB="0" distL="0" distR="0">
          <wp:extent cx="571500" cy="571500"/>
          <wp:effectExtent l="0" t="0" r="0" b="0"/>
          <wp:docPr id="1" name="Picture 1" descr="https://stateofmaine.sharepoint.com/sites/MaineDOE/Policy%20%20Procedures/Communication%20Policies%20and%20Procedures/Logos/informal02-72.jpg?csf=1&amp;e=d8RVTP&amp;cid=c9eefa91-491c-4c90-9e8c-d742ff7c1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eofmaine.sharepoint.com/sites/MaineDOE/Policy%20%20Procedures/Communication%20Policies%20and%20Procedures/Logos/informal02-72.jpg?csf=1&amp;e=d8RVTP&amp;cid=c9eefa91-491c-4c90-9e8c-d742ff7c1a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color w:val="162C40"/>
      </w:rPr>
      <w:t>Maine Department of Education</w:t>
    </w:r>
    <w:r>
      <w:rPr>
        <w:color w:val="162C4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97" w:rsidRDefault="00661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937B1"/>
    <w:multiLevelType w:val="hybridMultilevel"/>
    <w:tmpl w:val="78E20FC0"/>
    <w:lvl w:ilvl="0" w:tplc="04090001">
      <w:start w:val="1"/>
      <w:numFmt w:val="bullet"/>
      <w:lvlText w:val=""/>
      <w:lvlJc w:val="left"/>
      <w:pPr>
        <w:ind w:left="2004" w:hanging="360"/>
      </w:pPr>
      <w:rPr>
        <w:rFonts w:ascii="Symbol" w:hAnsi="Symbol" w:hint="default"/>
      </w:rPr>
    </w:lvl>
    <w:lvl w:ilvl="1" w:tplc="04090003" w:tentative="1">
      <w:start w:val="1"/>
      <w:numFmt w:val="bullet"/>
      <w:lvlText w:val="o"/>
      <w:lvlJc w:val="left"/>
      <w:pPr>
        <w:ind w:left="2724" w:hanging="360"/>
      </w:pPr>
      <w:rPr>
        <w:rFonts w:ascii="Courier New" w:hAnsi="Courier New" w:cs="Courier New" w:hint="default"/>
      </w:rPr>
    </w:lvl>
    <w:lvl w:ilvl="2" w:tplc="04090005" w:tentative="1">
      <w:start w:val="1"/>
      <w:numFmt w:val="bullet"/>
      <w:lvlText w:val=""/>
      <w:lvlJc w:val="left"/>
      <w:pPr>
        <w:ind w:left="3444" w:hanging="360"/>
      </w:pPr>
      <w:rPr>
        <w:rFonts w:ascii="Wingdings" w:hAnsi="Wingdings" w:hint="default"/>
      </w:rPr>
    </w:lvl>
    <w:lvl w:ilvl="3" w:tplc="04090001" w:tentative="1">
      <w:start w:val="1"/>
      <w:numFmt w:val="bullet"/>
      <w:lvlText w:val=""/>
      <w:lvlJc w:val="left"/>
      <w:pPr>
        <w:ind w:left="4164" w:hanging="360"/>
      </w:pPr>
      <w:rPr>
        <w:rFonts w:ascii="Symbol" w:hAnsi="Symbol" w:hint="default"/>
      </w:rPr>
    </w:lvl>
    <w:lvl w:ilvl="4" w:tplc="04090003" w:tentative="1">
      <w:start w:val="1"/>
      <w:numFmt w:val="bullet"/>
      <w:lvlText w:val="o"/>
      <w:lvlJc w:val="left"/>
      <w:pPr>
        <w:ind w:left="4884" w:hanging="360"/>
      </w:pPr>
      <w:rPr>
        <w:rFonts w:ascii="Courier New" w:hAnsi="Courier New" w:cs="Courier New" w:hint="default"/>
      </w:rPr>
    </w:lvl>
    <w:lvl w:ilvl="5" w:tplc="04090005" w:tentative="1">
      <w:start w:val="1"/>
      <w:numFmt w:val="bullet"/>
      <w:lvlText w:val=""/>
      <w:lvlJc w:val="left"/>
      <w:pPr>
        <w:ind w:left="5604" w:hanging="360"/>
      </w:pPr>
      <w:rPr>
        <w:rFonts w:ascii="Wingdings" w:hAnsi="Wingdings" w:hint="default"/>
      </w:rPr>
    </w:lvl>
    <w:lvl w:ilvl="6" w:tplc="04090001" w:tentative="1">
      <w:start w:val="1"/>
      <w:numFmt w:val="bullet"/>
      <w:lvlText w:val=""/>
      <w:lvlJc w:val="left"/>
      <w:pPr>
        <w:ind w:left="6324" w:hanging="360"/>
      </w:pPr>
      <w:rPr>
        <w:rFonts w:ascii="Symbol" w:hAnsi="Symbol" w:hint="default"/>
      </w:rPr>
    </w:lvl>
    <w:lvl w:ilvl="7" w:tplc="04090003" w:tentative="1">
      <w:start w:val="1"/>
      <w:numFmt w:val="bullet"/>
      <w:lvlText w:val="o"/>
      <w:lvlJc w:val="left"/>
      <w:pPr>
        <w:ind w:left="7044" w:hanging="360"/>
      </w:pPr>
      <w:rPr>
        <w:rFonts w:ascii="Courier New" w:hAnsi="Courier New" w:cs="Courier New" w:hint="default"/>
      </w:rPr>
    </w:lvl>
    <w:lvl w:ilvl="8" w:tplc="04090005" w:tentative="1">
      <w:start w:val="1"/>
      <w:numFmt w:val="bullet"/>
      <w:lvlText w:val=""/>
      <w:lvlJc w:val="left"/>
      <w:pPr>
        <w:ind w:left="7764" w:hanging="360"/>
      </w:pPr>
      <w:rPr>
        <w:rFonts w:ascii="Wingdings" w:hAnsi="Wingdings" w:hint="default"/>
      </w:rPr>
    </w:lvl>
  </w:abstractNum>
  <w:abstractNum w:abstractNumId="1" w15:restartNumberingAfterBreak="0">
    <w:nsid w:val="1F007F71"/>
    <w:multiLevelType w:val="hybridMultilevel"/>
    <w:tmpl w:val="B27E1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3C148D"/>
    <w:multiLevelType w:val="hybridMultilevel"/>
    <w:tmpl w:val="4B46390C"/>
    <w:lvl w:ilvl="0" w:tplc="FB105B64">
      <w:start w:val="1"/>
      <w:numFmt w:val="decimal"/>
      <w:lvlText w:val="%1."/>
      <w:lvlJc w:val="left"/>
      <w:pPr>
        <w:ind w:left="1649" w:hanging="365"/>
        <w:jc w:val="left"/>
      </w:pPr>
      <w:rPr>
        <w:rFonts w:ascii="Times New Roman" w:eastAsia="Times New Roman" w:hAnsi="Times New Roman" w:cs="Times New Roman" w:hint="default"/>
        <w:w w:val="109"/>
        <w:sz w:val="23"/>
        <w:szCs w:val="23"/>
      </w:rPr>
    </w:lvl>
    <w:lvl w:ilvl="1" w:tplc="93EA11E8">
      <w:numFmt w:val="bullet"/>
      <w:lvlText w:val="•"/>
      <w:lvlJc w:val="left"/>
      <w:pPr>
        <w:ind w:left="2004" w:hanging="355"/>
      </w:pPr>
      <w:rPr>
        <w:rFonts w:ascii="Times New Roman" w:eastAsia="Times New Roman" w:hAnsi="Times New Roman" w:cs="Times New Roman" w:hint="default"/>
        <w:w w:val="103"/>
        <w:sz w:val="23"/>
        <w:szCs w:val="23"/>
      </w:rPr>
    </w:lvl>
    <w:lvl w:ilvl="2" w:tplc="6578074A">
      <w:numFmt w:val="bullet"/>
      <w:lvlText w:val="•"/>
      <w:lvlJc w:val="left"/>
      <w:pPr>
        <w:ind w:left="2940" w:hanging="355"/>
      </w:pPr>
      <w:rPr>
        <w:rFonts w:hint="default"/>
      </w:rPr>
    </w:lvl>
    <w:lvl w:ilvl="3" w:tplc="028C353E">
      <w:numFmt w:val="bullet"/>
      <w:lvlText w:val="•"/>
      <w:lvlJc w:val="left"/>
      <w:pPr>
        <w:ind w:left="3880" w:hanging="355"/>
      </w:pPr>
      <w:rPr>
        <w:rFonts w:hint="default"/>
      </w:rPr>
    </w:lvl>
    <w:lvl w:ilvl="4" w:tplc="F8CE8B88">
      <w:numFmt w:val="bullet"/>
      <w:lvlText w:val="•"/>
      <w:lvlJc w:val="left"/>
      <w:pPr>
        <w:ind w:left="4820" w:hanging="355"/>
      </w:pPr>
      <w:rPr>
        <w:rFonts w:hint="default"/>
      </w:rPr>
    </w:lvl>
    <w:lvl w:ilvl="5" w:tplc="429CDA30">
      <w:numFmt w:val="bullet"/>
      <w:lvlText w:val="•"/>
      <w:lvlJc w:val="left"/>
      <w:pPr>
        <w:ind w:left="5760" w:hanging="355"/>
      </w:pPr>
      <w:rPr>
        <w:rFonts w:hint="default"/>
      </w:rPr>
    </w:lvl>
    <w:lvl w:ilvl="6" w:tplc="1D501036">
      <w:numFmt w:val="bullet"/>
      <w:lvlText w:val="•"/>
      <w:lvlJc w:val="left"/>
      <w:pPr>
        <w:ind w:left="6700" w:hanging="355"/>
      </w:pPr>
      <w:rPr>
        <w:rFonts w:hint="default"/>
      </w:rPr>
    </w:lvl>
    <w:lvl w:ilvl="7" w:tplc="261EA2EE">
      <w:numFmt w:val="bullet"/>
      <w:lvlText w:val="•"/>
      <w:lvlJc w:val="left"/>
      <w:pPr>
        <w:ind w:left="7640" w:hanging="355"/>
      </w:pPr>
      <w:rPr>
        <w:rFonts w:hint="default"/>
      </w:rPr>
    </w:lvl>
    <w:lvl w:ilvl="8" w:tplc="202EC8EE">
      <w:numFmt w:val="bullet"/>
      <w:lvlText w:val="•"/>
      <w:lvlJc w:val="left"/>
      <w:pPr>
        <w:ind w:left="8580" w:hanging="355"/>
      </w:pPr>
      <w:rPr>
        <w:rFonts w:hint="default"/>
      </w:rPr>
    </w:lvl>
  </w:abstractNum>
  <w:abstractNum w:abstractNumId="3" w15:restartNumberingAfterBreak="0">
    <w:nsid w:val="376A15AD"/>
    <w:multiLevelType w:val="hybridMultilevel"/>
    <w:tmpl w:val="807A5F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97"/>
    <w:rsid w:val="000421EB"/>
    <w:rsid w:val="00090FCF"/>
    <w:rsid w:val="00661397"/>
    <w:rsid w:val="007B7C8D"/>
    <w:rsid w:val="00CA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7FB070"/>
  <w15:chartTrackingRefBased/>
  <w15:docId w15:val="{84F54D28-D21E-4DCB-977F-85918C0D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alter.beesley@maine.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epnotification@fns.usd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Hunger_in_the_United_Stat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n.wikipedia.org/wiki/United_States_Department_of_Agriculture"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vid.hartley@maine.go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Created xmlns="67858028-d07e-4ecb-9581-c3863a9926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74EA9066DA84595025464B327ECFD" ma:contentTypeVersion="6" ma:contentTypeDescription="Create a new document." ma:contentTypeScope="" ma:versionID="598c67951885f46a0cb52cfbfd55f044">
  <xsd:schema xmlns:xsd="http://www.w3.org/2001/XMLSchema" xmlns:xs="http://www.w3.org/2001/XMLSchema" xmlns:p="http://schemas.microsoft.com/office/2006/metadata/properties" xmlns:ns2="8a3b8a8e-95df-420d-8e50-114f850bf3fd" xmlns:ns3="67858028-d07e-4ecb-9581-c3863a99266e" targetNamespace="http://schemas.microsoft.com/office/2006/metadata/properties" ma:root="true" ma:fieldsID="6386b853cf442a41b44643f598bf350c" ns2:_="" ns3:_="">
    <xsd:import namespace="8a3b8a8e-95df-420d-8e50-114f850bf3fd"/>
    <xsd:import namespace="67858028-d07e-4ecb-9581-c3863a9926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e_x0020_Created" minOccurs="0"/>
                <xsd:element ref="ns3:Date_x0020_Created_x003a_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b8a8e-95df-420d-8e50-114f850bf3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58028-d07e-4ecb-9581-c3863a9926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e_x0020_Created" ma:index="12" nillable="true" ma:displayName="Date Created" ma:list="{67858028-d07e-4ecb-9581-c3863a99266e}" ma:internalName="Date_x0020_Created" ma:showField="Created">
      <xsd:simpleType>
        <xsd:restriction base="dms:Lookup"/>
      </xsd:simpleType>
    </xsd:element>
    <xsd:element name="Date_x0020_Created_x003a_Created" ma:index="13" nillable="true" ma:displayName="Date Created:Created" ma:list="{67858028-d07e-4ecb-9581-c3863a99266e}" ma:internalName="Date_x0020_Created_x003a_Created" ma:readOnly="true" ma:showField="Created" ma:web="affe3e83-560c-454d-9b2e-960fc314b748">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F5C96-D0B1-41D3-8AC7-F90FA7FCA8C3}">
  <ds:schemaRefs>
    <ds:schemaRef ds:uri="http://purl.org/dc/terms/"/>
    <ds:schemaRef ds:uri="http://schemas.microsoft.com/office/2006/documentManagement/types"/>
    <ds:schemaRef ds:uri="http://schemas.microsoft.com/office/2006/metadata/properties"/>
    <ds:schemaRef ds:uri="8a3b8a8e-95df-420d-8e50-114f850bf3fd"/>
    <ds:schemaRef ds:uri="http://purl.org/dc/elements/1.1/"/>
    <ds:schemaRef ds:uri="http://schemas.openxmlformats.org/package/2006/metadata/core-properties"/>
    <ds:schemaRef ds:uri="67858028-d07e-4ecb-9581-c3863a99266e"/>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F2B81AE-59D2-4678-A0CA-5F9229555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b8a8e-95df-420d-8e50-114f850bf3fd"/>
    <ds:schemaRef ds:uri="67858028-d07e-4ecb-9581-c3863a992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DBF760-C7A6-4F34-8799-C8F1B2CAF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Piatt, Margaret L</dc:creator>
  <cp:keywords/>
  <dc:description/>
  <cp:lastModifiedBy>Hartley, David</cp:lastModifiedBy>
  <cp:revision>73</cp:revision>
  <dcterms:created xsi:type="dcterms:W3CDTF">2019-11-25T21:03:00Z</dcterms:created>
  <dcterms:modified xsi:type="dcterms:W3CDTF">2020-12-03T18:42:00Z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0x0101005DB74EA9066DA84595025464B327ECFD</vt:lpwstr>
  </property>
</Properties>
</file>