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4A6" w14:textId="77777777" w:rsidR="00147284" w:rsidRPr="00582751" w:rsidRDefault="00147284" w:rsidP="0018700E">
      <w:pPr>
        <w:spacing w:after="160" w:line="259" w:lineRule="auto"/>
        <w:jc w:val="center"/>
        <w:rPr>
          <w:rFonts w:ascii="Times New Roman" w:eastAsiaTheme="minorHAnsi" w:hAnsi="Times New Roman" w:cs="Times New Roman"/>
          <w:b/>
          <w:bCs/>
          <w:sz w:val="21"/>
          <w:szCs w:val="21"/>
          <w:lang w:val="en"/>
        </w:rPr>
      </w:pPr>
    </w:p>
    <w:p w14:paraId="6D90359F" w14:textId="6A12AE4D" w:rsidR="0018700E" w:rsidRPr="00582751" w:rsidRDefault="0018700E" w:rsidP="0018700E">
      <w:pPr>
        <w:spacing w:after="160" w:line="259" w:lineRule="auto"/>
        <w:jc w:val="center"/>
        <w:rPr>
          <w:rFonts w:ascii="Times New Roman" w:eastAsiaTheme="minorHAnsi" w:hAnsi="Times New Roman" w:cs="Times New Roman"/>
          <w:b/>
          <w:bCs/>
          <w:sz w:val="21"/>
          <w:szCs w:val="21"/>
        </w:rPr>
      </w:pPr>
      <w:r w:rsidRPr="00582751">
        <w:rPr>
          <w:rFonts w:ascii="Times New Roman" w:hAnsi="Times New Roman"/>
          <w:b/>
          <w:sz w:val="21"/>
          <w:szCs w:val="21"/>
        </w:rPr>
        <w:t>Préparation des élèves pour l'année scolaire 2021-2022</w:t>
      </w:r>
    </w:p>
    <w:p w14:paraId="77A694D2" w14:textId="3423B912" w:rsidR="0018700E" w:rsidRPr="00582751" w:rsidRDefault="0021767A" w:rsidP="0018700E">
      <w:pPr>
        <w:spacing w:after="160" w:line="259" w:lineRule="auto"/>
        <w:rPr>
          <w:rFonts w:ascii="Times New Roman" w:eastAsiaTheme="minorHAnsi" w:hAnsi="Times New Roman" w:cs="Times New Roman"/>
          <w:sz w:val="21"/>
          <w:szCs w:val="21"/>
        </w:rPr>
      </w:pPr>
      <w:r w:rsidRPr="00582751">
        <w:rPr>
          <w:rFonts w:ascii="Times New Roman" w:hAnsi="Times New Roman"/>
          <w:sz w:val="21"/>
          <w:szCs w:val="21"/>
        </w:rPr>
        <w:t>Bonjour,</w:t>
      </w:r>
    </w:p>
    <w:p w14:paraId="503A4147" w14:textId="1FB937D3" w:rsidR="00707C1A" w:rsidRPr="00582751" w:rsidRDefault="0018700E" w:rsidP="2E011C77">
      <w:pPr>
        <w:spacing w:after="160" w:line="259" w:lineRule="auto"/>
        <w:rPr>
          <w:rFonts w:ascii="Times New Roman" w:eastAsiaTheme="minorEastAsia" w:hAnsi="Times New Roman" w:cs="Times New Roman"/>
          <w:sz w:val="21"/>
          <w:szCs w:val="21"/>
        </w:rPr>
      </w:pPr>
      <w:r w:rsidRPr="00582751">
        <w:rPr>
          <w:rFonts w:ascii="Times New Roman" w:hAnsi="Times New Roman"/>
          <w:sz w:val="21"/>
          <w:szCs w:val="21"/>
        </w:rPr>
        <w:t xml:space="preserve">Vous recevez cette lettre parce que vous avez un ou plusieurs enfants inscrit(s) à </w:t>
      </w:r>
      <w:r w:rsidR="00503170" w:rsidRPr="00582751">
        <w:rPr>
          <w:rFonts w:ascii="Times New Roman" w:eastAsiaTheme="minorEastAsia" w:hAnsi="Times New Roman" w:cs="Times New Roman"/>
          <w:sz w:val="21"/>
          <w:szCs w:val="21"/>
        </w:rPr>
        <w:t>(i</w:t>
      </w:r>
      <w:r w:rsidR="00503170" w:rsidRPr="00582751">
        <w:rPr>
          <w:rFonts w:ascii="Times New Roman" w:eastAsiaTheme="minorEastAsia" w:hAnsi="Times New Roman" w:cs="Times New Roman"/>
          <w:sz w:val="21"/>
          <w:szCs w:val="21"/>
          <w:highlight w:val="yellow"/>
        </w:rPr>
        <w:t>nsert school administrative unit name)</w:t>
      </w:r>
      <w:r w:rsidR="00503170" w:rsidRPr="00582751">
        <w:rPr>
          <w:rFonts w:ascii="Times New Roman" w:eastAsiaTheme="minorEastAsia" w:hAnsi="Times New Roman" w:cs="Times New Roman"/>
          <w:sz w:val="21"/>
          <w:szCs w:val="21"/>
        </w:rPr>
        <w:t xml:space="preserve">. </w:t>
      </w:r>
      <w:r w:rsidRPr="00582751">
        <w:rPr>
          <w:rFonts w:ascii="Times New Roman" w:hAnsi="Times New Roman"/>
          <w:sz w:val="21"/>
          <w:szCs w:val="21"/>
        </w:rPr>
        <w:t>Nous voulions que vous sach</w:t>
      </w:r>
      <w:r w:rsidRPr="00582751">
        <w:rPr>
          <w:rFonts w:ascii="Times New Roman" w:hAnsi="Times New Roman"/>
          <w:color w:val="000000" w:themeColor="text1"/>
          <w:sz w:val="21"/>
          <w:szCs w:val="21"/>
        </w:rPr>
        <w:t>iez</w:t>
      </w:r>
      <w:r w:rsidRPr="00582751">
        <w:rPr>
          <w:rFonts w:ascii="Times New Roman" w:hAnsi="Times New Roman"/>
          <w:sz w:val="21"/>
          <w:szCs w:val="21"/>
        </w:rPr>
        <w:t xml:space="preserve"> qu'à partir du 1</w:t>
      </w:r>
      <w:r w:rsidRPr="00582751">
        <w:rPr>
          <w:rFonts w:ascii="Times New Roman" w:hAnsi="Times New Roman"/>
          <w:sz w:val="21"/>
          <w:szCs w:val="21"/>
          <w:vertAlign w:val="superscript"/>
        </w:rPr>
        <w:t>er</w:t>
      </w:r>
      <w:r w:rsidRPr="00582751">
        <w:rPr>
          <w:rFonts w:ascii="Times New Roman" w:hAnsi="Times New Roman"/>
          <w:sz w:val="21"/>
          <w:szCs w:val="21"/>
        </w:rPr>
        <w:t xml:space="preserve"> septembre 2021, des modifications relatives à la loi sur la vaccination entrent en vigueur pour les enfants d'âge scolaire du Maine. </w:t>
      </w:r>
    </w:p>
    <w:p w14:paraId="48CE7E3C" w14:textId="3F4766AD" w:rsidR="00707C1A" w:rsidRPr="00582751" w:rsidRDefault="006514E7" w:rsidP="00707C1A">
      <w:pPr>
        <w:spacing w:after="160" w:line="259" w:lineRule="auto"/>
        <w:rPr>
          <w:rFonts w:ascii="Times New Roman" w:eastAsia="Times New Roman" w:hAnsi="Times New Roman" w:cs="Times New Roman"/>
          <w:sz w:val="21"/>
          <w:szCs w:val="21"/>
        </w:rPr>
      </w:pPr>
      <w:r w:rsidRPr="00582751">
        <w:rPr>
          <w:rFonts w:ascii="Times New Roman" w:hAnsi="Times New Roman"/>
          <w:sz w:val="21"/>
          <w:szCs w:val="21"/>
        </w:rPr>
        <w:t xml:space="preserve">Aucun enfant ne sera autorisé à fréquenter l'école sans preuve de vaccination ou d'immunité contre </w:t>
      </w:r>
      <w:r w:rsidR="009E67F4" w:rsidRPr="00582751">
        <w:rPr>
          <w:rFonts w:ascii="Times New Roman" w:hAnsi="Times New Roman"/>
          <w:sz w:val="21"/>
          <w:szCs w:val="21"/>
        </w:rPr>
        <w:t xml:space="preserve">certaines </w:t>
      </w:r>
      <w:r w:rsidRPr="00582751">
        <w:rPr>
          <w:rFonts w:ascii="Times New Roman" w:hAnsi="Times New Roman"/>
          <w:sz w:val="21"/>
          <w:szCs w:val="21"/>
        </w:rPr>
        <w:t>maladie</w:t>
      </w:r>
      <w:r w:rsidR="009E67F4" w:rsidRPr="00582751">
        <w:rPr>
          <w:rFonts w:ascii="Times New Roman" w:hAnsi="Times New Roman"/>
          <w:sz w:val="21"/>
          <w:szCs w:val="21"/>
        </w:rPr>
        <w:t>s</w:t>
      </w:r>
      <w:r w:rsidRPr="00582751">
        <w:rPr>
          <w:rFonts w:ascii="Times New Roman" w:hAnsi="Times New Roman"/>
          <w:sz w:val="21"/>
          <w:szCs w:val="21"/>
        </w:rPr>
        <w:t xml:space="preserve">, à moins qu'il ne réponde aux exceptions admissibles définies par la loi. Les modifications apportées à la loi suppriment les exemptions philosophiques et religieuses des exceptions aux exigences en matière de vaccination. </w:t>
      </w:r>
      <w:r w:rsidRPr="00582751">
        <w:rPr>
          <w:rFonts w:ascii="Times New Roman" w:hAnsi="Times New Roman"/>
          <w:color w:val="000000" w:themeColor="text1"/>
          <w:sz w:val="21"/>
          <w:szCs w:val="21"/>
        </w:rPr>
        <w:t>Un élève couvert par un plan d'éducation individualisé (PEI) au 1</w:t>
      </w:r>
      <w:r w:rsidRPr="00582751">
        <w:rPr>
          <w:rFonts w:ascii="Times New Roman" w:hAnsi="Times New Roman"/>
          <w:color w:val="000000" w:themeColor="text1"/>
          <w:sz w:val="21"/>
          <w:szCs w:val="21"/>
          <w:vertAlign w:val="superscript"/>
        </w:rPr>
        <w:t>er</w:t>
      </w:r>
      <w:r w:rsidRPr="00582751">
        <w:rPr>
          <w:rFonts w:ascii="Times New Roman" w:hAnsi="Times New Roman"/>
          <w:color w:val="000000" w:themeColor="text1"/>
          <w:sz w:val="21"/>
          <w:szCs w:val="21"/>
        </w:rPr>
        <w:t xml:space="preserve"> septembre 2021 qui a choisi une exemption philosophique ou religieuse des exigences en matière de vaccination au plus tard le 1</w:t>
      </w:r>
      <w:r w:rsidRPr="00582751">
        <w:rPr>
          <w:rFonts w:ascii="Times New Roman" w:hAnsi="Times New Roman"/>
          <w:color w:val="000000" w:themeColor="text1"/>
          <w:sz w:val="21"/>
          <w:szCs w:val="21"/>
          <w:vertAlign w:val="superscript"/>
        </w:rPr>
        <w:t>er</w:t>
      </w:r>
      <w:r w:rsidRPr="00582751">
        <w:rPr>
          <w:rFonts w:ascii="Times New Roman" w:hAnsi="Times New Roman"/>
          <w:color w:val="000000" w:themeColor="text1"/>
          <w:sz w:val="21"/>
          <w:szCs w:val="21"/>
        </w:rPr>
        <w:t xml:space="preserve"> septembre 2021 conformément à la loi en vigueur avant cette date peut continuer à fréquenter l'école en vertu de l'exemption existante de cet élève, à condition que le parent ou le tuteur de l'élève fournisse une déclaration d'un médecin, d'une infirmière praticienne ou d'un médecin assistant agréé indiquant que le médecin, l'infirmière praticienne ou le médecin assistant a </w:t>
      </w:r>
      <w:r w:rsidR="009E67F4" w:rsidRPr="00582751">
        <w:rPr>
          <w:rFonts w:ascii="Times New Roman" w:hAnsi="Times New Roman"/>
          <w:color w:val="000000" w:themeColor="text1"/>
          <w:sz w:val="21"/>
          <w:szCs w:val="21"/>
        </w:rPr>
        <w:t xml:space="preserve">rencontré </w:t>
      </w:r>
      <w:r w:rsidRPr="00582751">
        <w:rPr>
          <w:rFonts w:ascii="Times New Roman" w:hAnsi="Times New Roman"/>
          <w:color w:val="000000" w:themeColor="text1"/>
          <w:sz w:val="21"/>
          <w:szCs w:val="21"/>
        </w:rPr>
        <w:t>ce parent ou ce tuteur et l'a informé des risques et des avantages associés au choix de la vaccination</w:t>
      </w:r>
      <w:r w:rsidRPr="00582751">
        <w:rPr>
          <w:rFonts w:ascii="Times New Roman" w:hAnsi="Times New Roman"/>
          <w:sz w:val="21"/>
          <w:szCs w:val="21"/>
        </w:rPr>
        <w:t>.</w:t>
      </w:r>
    </w:p>
    <w:p w14:paraId="391246E5" w14:textId="2DB0452F" w:rsidR="5D10BE50" w:rsidRPr="00582751" w:rsidRDefault="5D10BE50" w:rsidP="4DF8A7E4">
      <w:pPr>
        <w:spacing w:after="160" w:line="259" w:lineRule="auto"/>
        <w:rPr>
          <w:rFonts w:ascii="Times New Roman" w:eastAsia="Times New Roman" w:hAnsi="Times New Roman" w:cs="Times New Roman"/>
          <w:color w:val="000000" w:themeColor="text1"/>
          <w:sz w:val="21"/>
          <w:szCs w:val="21"/>
        </w:rPr>
      </w:pPr>
      <w:r w:rsidRPr="00582751">
        <w:rPr>
          <w:rFonts w:ascii="Times New Roman" w:hAnsi="Times New Roman"/>
          <w:b/>
          <w:color w:val="000000" w:themeColor="text1"/>
          <w:sz w:val="21"/>
          <w:szCs w:val="21"/>
        </w:rPr>
        <w:t xml:space="preserve"> Préalables pour l'entrée à la maternelle</w:t>
      </w:r>
      <w:r w:rsidR="009E67F4" w:rsidRPr="00582751">
        <w:rPr>
          <w:rFonts w:ascii="Times New Roman" w:hAnsi="Times New Roman"/>
          <w:b/>
          <w:color w:val="000000" w:themeColor="text1"/>
          <w:sz w:val="21"/>
          <w:szCs w:val="21"/>
        </w:rPr>
        <w:t> </w:t>
      </w:r>
      <w:r w:rsidRPr="00582751">
        <w:rPr>
          <w:rFonts w:ascii="Times New Roman" w:hAnsi="Times New Roman"/>
          <w:b/>
          <w:color w:val="000000" w:themeColor="text1"/>
          <w:sz w:val="21"/>
          <w:szCs w:val="21"/>
        </w:rPr>
        <w:t>:</w:t>
      </w:r>
    </w:p>
    <w:p w14:paraId="61201D03" w14:textId="6242A78F" w:rsidR="5D10BE50" w:rsidRPr="00582751" w:rsidRDefault="5D10BE50" w:rsidP="00B67FD9">
      <w:pPr>
        <w:pStyle w:val="ListParagraph"/>
        <w:numPr>
          <w:ilvl w:val="0"/>
          <w:numId w:val="3"/>
        </w:numPr>
        <w:spacing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 xml:space="preserve">5 </w:t>
      </w:r>
      <w:proofErr w:type="spellStart"/>
      <w:r w:rsidRPr="00582751">
        <w:rPr>
          <w:rFonts w:ascii="Times New Roman" w:hAnsi="Times New Roman"/>
          <w:color w:val="000000" w:themeColor="text1"/>
          <w:sz w:val="21"/>
          <w:szCs w:val="21"/>
        </w:rPr>
        <w:t>DTaP</w:t>
      </w:r>
      <w:proofErr w:type="spellEnd"/>
      <w:r w:rsidRPr="00582751">
        <w:rPr>
          <w:rFonts w:ascii="Times New Roman" w:hAnsi="Times New Roman"/>
          <w:color w:val="000000" w:themeColor="text1"/>
          <w:sz w:val="21"/>
          <w:szCs w:val="21"/>
        </w:rPr>
        <w:t xml:space="preserve"> (diphtérie, tétanos et coqueluche</w:t>
      </w:r>
      <w:r w:rsidR="009E67F4" w:rsidRPr="00582751">
        <w:rPr>
          <w:rFonts w:ascii="Times New Roman" w:hAnsi="Times New Roman"/>
          <w:color w:val="000000" w:themeColor="text1"/>
          <w:sz w:val="21"/>
          <w:szCs w:val="21"/>
        </w:rPr>
        <w:t> </w:t>
      </w:r>
      <w:r w:rsidRPr="00582751">
        <w:rPr>
          <w:rFonts w:ascii="Times New Roman" w:hAnsi="Times New Roman"/>
          <w:color w:val="000000" w:themeColor="text1"/>
          <w:sz w:val="21"/>
          <w:szCs w:val="21"/>
        </w:rPr>
        <w:t xml:space="preserve">; 4 </w:t>
      </w:r>
      <w:proofErr w:type="spellStart"/>
      <w:r w:rsidRPr="00582751">
        <w:rPr>
          <w:rFonts w:ascii="Times New Roman" w:hAnsi="Times New Roman"/>
          <w:color w:val="000000" w:themeColor="text1"/>
          <w:sz w:val="21"/>
          <w:szCs w:val="21"/>
        </w:rPr>
        <w:t>DTaP</w:t>
      </w:r>
      <w:proofErr w:type="spellEnd"/>
      <w:r w:rsidRPr="00582751">
        <w:rPr>
          <w:rFonts w:ascii="Times New Roman" w:hAnsi="Times New Roman"/>
          <w:color w:val="000000" w:themeColor="text1"/>
          <w:sz w:val="21"/>
          <w:szCs w:val="21"/>
        </w:rPr>
        <w:t xml:space="preserve"> si la 4</w:t>
      </w:r>
      <w:r w:rsidRPr="00582751">
        <w:rPr>
          <w:rFonts w:ascii="Times New Roman" w:hAnsi="Times New Roman"/>
          <w:color w:val="000000" w:themeColor="text1"/>
          <w:sz w:val="21"/>
          <w:szCs w:val="21"/>
          <w:vertAlign w:val="superscript"/>
        </w:rPr>
        <w:t>e</w:t>
      </w:r>
      <w:r w:rsidRPr="00582751">
        <w:rPr>
          <w:rFonts w:ascii="Times New Roman" w:hAnsi="Times New Roman"/>
          <w:color w:val="000000" w:themeColor="text1"/>
          <w:sz w:val="21"/>
          <w:szCs w:val="21"/>
        </w:rPr>
        <w:t xml:space="preserve"> dose est administrée le jour du 4</w:t>
      </w:r>
      <w:r w:rsidRPr="00582751">
        <w:rPr>
          <w:rFonts w:ascii="Times New Roman" w:hAnsi="Times New Roman"/>
          <w:color w:val="000000" w:themeColor="text1"/>
          <w:sz w:val="21"/>
          <w:szCs w:val="21"/>
          <w:vertAlign w:val="superscript"/>
        </w:rPr>
        <w:t>e</w:t>
      </w:r>
      <w:r w:rsidRPr="00582751">
        <w:rPr>
          <w:rFonts w:ascii="Times New Roman" w:hAnsi="Times New Roman"/>
          <w:color w:val="000000" w:themeColor="text1"/>
          <w:sz w:val="21"/>
          <w:szCs w:val="21"/>
        </w:rPr>
        <w:t xml:space="preserve"> anniversaire ou après)</w:t>
      </w:r>
      <w:r w:rsidR="009E67F4" w:rsidRPr="00582751">
        <w:rPr>
          <w:rFonts w:ascii="Times New Roman" w:hAnsi="Times New Roman"/>
          <w:color w:val="000000" w:themeColor="text1"/>
          <w:sz w:val="21"/>
          <w:szCs w:val="21"/>
        </w:rPr>
        <w:t>.</w:t>
      </w:r>
    </w:p>
    <w:p w14:paraId="3FF84268" w14:textId="01D106A8" w:rsidR="5D10BE50" w:rsidRPr="00582751" w:rsidRDefault="5D10BE50" w:rsidP="00B67FD9">
      <w:pPr>
        <w:pStyle w:val="ListParagraph"/>
        <w:numPr>
          <w:ilvl w:val="0"/>
          <w:numId w:val="3"/>
        </w:numPr>
        <w:spacing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 xml:space="preserve">4 </w:t>
      </w:r>
      <w:proofErr w:type="gramStart"/>
      <w:r w:rsidR="009E67F4" w:rsidRPr="00582751">
        <w:rPr>
          <w:rFonts w:ascii="Times New Roman" w:hAnsi="Times New Roman"/>
          <w:color w:val="000000" w:themeColor="text1"/>
          <w:sz w:val="21"/>
          <w:szCs w:val="21"/>
        </w:rPr>
        <w:t>p</w:t>
      </w:r>
      <w:r w:rsidRPr="00582751">
        <w:rPr>
          <w:rFonts w:ascii="Times New Roman" w:hAnsi="Times New Roman"/>
          <w:color w:val="000000" w:themeColor="text1"/>
          <w:sz w:val="21"/>
          <w:szCs w:val="21"/>
        </w:rPr>
        <w:t>olio</w:t>
      </w:r>
      <w:proofErr w:type="gramEnd"/>
      <w:r w:rsidRPr="00582751">
        <w:rPr>
          <w:rFonts w:ascii="Times New Roman" w:hAnsi="Times New Roman"/>
          <w:color w:val="000000" w:themeColor="text1"/>
          <w:sz w:val="21"/>
          <w:szCs w:val="21"/>
        </w:rPr>
        <w:t xml:space="preserve"> (si la 4</w:t>
      </w:r>
      <w:r w:rsidR="009E67F4" w:rsidRPr="00582751">
        <w:rPr>
          <w:rFonts w:ascii="Times New Roman" w:hAnsi="Times New Roman"/>
          <w:color w:val="000000" w:themeColor="text1"/>
          <w:sz w:val="21"/>
          <w:szCs w:val="21"/>
          <w:vertAlign w:val="superscript"/>
        </w:rPr>
        <w:t>e</w:t>
      </w:r>
      <w:r w:rsidRPr="00582751">
        <w:rPr>
          <w:rFonts w:ascii="Times New Roman" w:hAnsi="Times New Roman"/>
          <w:color w:val="000000" w:themeColor="text1"/>
          <w:sz w:val="21"/>
          <w:szCs w:val="21"/>
        </w:rPr>
        <w:t xml:space="preserve"> dose est administrée avant le 4</w:t>
      </w:r>
      <w:r w:rsidR="009E67F4" w:rsidRPr="00582751">
        <w:rPr>
          <w:rFonts w:ascii="Times New Roman" w:hAnsi="Times New Roman"/>
          <w:color w:val="000000" w:themeColor="text1"/>
          <w:sz w:val="21"/>
          <w:szCs w:val="21"/>
          <w:vertAlign w:val="superscript"/>
        </w:rPr>
        <w:t>e</w:t>
      </w:r>
      <w:r w:rsidRPr="00582751">
        <w:rPr>
          <w:rFonts w:ascii="Times New Roman" w:hAnsi="Times New Roman"/>
          <w:color w:val="000000" w:themeColor="text1"/>
          <w:sz w:val="21"/>
          <w:szCs w:val="21"/>
        </w:rPr>
        <w:t xml:space="preserve"> anniversaire, un VPI supplémentaire adapté à l'âge doit être administré le jour du 4</w:t>
      </w:r>
      <w:r w:rsidR="009E67F4" w:rsidRPr="00582751">
        <w:rPr>
          <w:rFonts w:ascii="Times New Roman" w:hAnsi="Times New Roman"/>
          <w:color w:val="000000" w:themeColor="text1"/>
          <w:sz w:val="21"/>
          <w:szCs w:val="21"/>
          <w:vertAlign w:val="superscript"/>
        </w:rPr>
        <w:t>e</w:t>
      </w:r>
      <w:r w:rsidRPr="00582751">
        <w:rPr>
          <w:rFonts w:ascii="Times New Roman" w:hAnsi="Times New Roman"/>
          <w:color w:val="000000" w:themeColor="text1"/>
          <w:sz w:val="21"/>
          <w:szCs w:val="21"/>
        </w:rPr>
        <w:t xml:space="preserve"> anniversaire ou après)</w:t>
      </w:r>
      <w:r w:rsidR="009E67F4" w:rsidRPr="00582751">
        <w:rPr>
          <w:rFonts w:ascii="Times New Roman" w:hAnsi="Times New Roman"/>
          <w:color w:val="000000" w:themeColor="text1"/>
          <w:sz w:val="21"/>
          <w:szCs w:val="21"/>
        </w:rPr>
        <w:t>.</w:t>
      </w:r>
    </w:p>
    <w:p w14:paraId="38C93F80" w14:textId="016688CF" w:rsidR="5D10BE50" w:rsidRPr="00582751" w:rsidRDefault="5D10BE50" w:rsidP="00B67FD9">
      <w:pPr>
        <w:pStyle w:val="ListParagraph"/>
        <w:numPr>
          <w:ilvl w:val="0"/>
          <w:numId w:val="3"/>
        </w:numPr>
        <w:spacing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2 ROR (rougeole, oreillons, rubéole)</w:t>
      </w:r>
      <w:r w:rsidR="009E67F4" w:rsidRPr="00582751">
        <w:rPr>
          <w:rFonts w:ascii="Times New Roman" w:hAnsi="Times New Roman"/>
          <w:color w:val="000000" w:themeColor="text1"/>
          <w:sz w:val="21"/>
          <w:szCs w:val="21"/>
        </w:rPr>
        <w:t>.</w:t>
      </w:r>
    </w:p>
    <w:p w14:paraId="3A02A670" w14:textId="4AF8FABA" w:rsidR="5D10BE50" w:rsidRPr="00582751" w:rsidRDefault="5D10BE50" w:rsidP="4DF8A7E4">
      <w:pPr>
        <w:pStyle w:val="ListParagraph"/>
        <w:numPr>
          <w:ilvl w:val="0"/>
          <w:numId w:val="3"/>
        </w:numPr>
        <w:spacing w:after="160"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 xml:space="preserve">1 </w:t>
      </w:r>
      <w:proofErr w:type="gramStart"/>
      <w:r w:rsidR="009E67F4" w:rsidRPr="00582751">
        <w:rPr>
          <w:rFonts w:ascii="Times New Roman" w:hAnsi="Times New Roman"/>
          <w:color w:val="000000" w:themeColor="text1"/>
          <w:sz w:val="21"/>
          <w:szCs w:val="21"/>
        </w:rPr>
        <w:t>v</w:t>
      </w:r>
      <w:r w:rsidRPr="00582751">
        <w:rPr>
          <w:rFonts w:ascii="Times New Roman" w:hAnsi="Times New Roman"/>
          <w:color w:val="000000" w:themeColor="text1"/>
          <w:sz w:val="21"/>
          <w:szCs w:val="21"/>
        </w:rPr>
        <w:t xml:space="preserve">aricelle </w:t>
      </w:r>
      <w:r w:rsidR="009E67F4" w:rsidRPr="00582751">
        <w:rPr>
          <w:rFonts w:ascii="Times New Roman" w:hAnsi="Times New Roman"/>
          <w:color w:val="000000" w:themeColor="text1"/>
          <w:sz w:val="21"/>
          <w:szCs w:val="21"/>
        </w:rPr>
        <w:t>,</w:t>
      </w:r>
      <w:r w:rsidRPr="00582751">
        <w:rPr>
          <w:rFonts w:ascii="Times New Roman" w:hAnsi="Times New Roman"/>
          <w:color w:val="000000" w:themeColor="text1"/>
          <w:sz w:val="21"/>
          <w:szCs w:val="21"/>
        </w:rPr>
        <w:t>ou</w:t>
      </w:r>
      <w:proofErr w:type="gramEnd"/>
      <w:r w:rsidRPr="00582751">
        <w:rPr>
          <w:rFonts w:ascii="Times New Roman" w:hAnsi="Times New Roman"/>
          <w:color w:val="000000" w:themeColor="text1"/>
          <w:sz w:val="21"/>
          <w:szCs w:val="21"/>
        </w:rPr>
        <w:t xml:space="preserve"> antécédents fiables de maladie</w:t>
      </w:r>
      <w:r w:rsidR="009E67F4" w:rsidRPr="00582751">
        <w:rPr>
          <w:rFonts w:ascii="Times New Roman" w:hAnsi="Times New Roman"/>
          <w:color w:val="000000" w:themeColor="text1"/>
          <w:sz w:val="21"/>
          <w:szCs w:val="21"/>
        </w:rPr>
        <w:t>.</w:t>
      </w:r>
    </w:p>
    <w:p w14:paraId="5C3EA604" w14:textId="4EBCA28C" w:rsidR="5D10BE50" w:rsidRPr="00582751" w:rsidRDefault="5D10BE50" w:rsidP="00B67FD9">
      <w:pPr>
        <w:spacing w:line="259" w:lineRule="auto"/>
        <w:rPr>
          <w:rFonts w:ascii="Times New Roman" w:eastAsia="Times New Roman" w:hAnsi="Times New Roman" w:cs="Times New Roman"/>
          <w:color w:val="000000" w:themeColor="text1"/>
          <w:sz w:val="21"/>
          <w:szCs w:val="21"/>
        </w:rPr>
      </w:pPr>
      <w:r w:rsidRPr="00582751">
        <w:rPr>
          <w:rFonts w:ascii="Times New Roman" w:hAnsi="Times New Roman"/>
          <w:b/>
          <w:color w:val="000000" w:themeColor="text1"/>
          <w:sz w:val="21"/>
          <w:szCs w:val="21"/>
        </w:rPr>
        <w:t>Préalables pour l'entrée en 5</w:t>
      </w:r>
      <w:r w:rsidRPr="00582751">
        <w:rPr>
          <w:rFonts w:ascii="Times New Roman" w:hAnsi="Times New Roman"/>
          <w:b/>
          <w:color w:val="000000" w:themeColor="text1"/>
          <w:sz w:val="21"/>
          <w:szCs w:val="21"/>
          <w:vertAlign w:val="superscript"/>
        </w:rPr>
        <w:t>ème</w:t>
      </w:r>
      <w:r w:rsidR="009E67F4" w:rsidRPr="00582751">
        <w:rPr>
          <w:rFonts w:ascii="Times New Roman" w:hAnsi="Times New Roman"/>
          <w:b/>
          <w:color w:val="000000" w:themeColor="text1"/>
          <w:sz w:val="21"/>
          <w:szCs w:val="21"/>
        </w:rPr>
        <w:t> </w:t>
      </w:r>
      <w:r w:rsidRPr="00582751">
        <w:rPr>
          <w:rFonts w:ascii="Times New Roman" w:hAnsi="Times New Roman"/>
          <w:b/>
          <w:color w:val="000000" w:themeColor="text1"/>
          <w:sz w:val="21"/>
          <w:szCs w:val="21"/>
        </w:rPr>
        <w:t>:</w:t>
      </w:r>
    </w:p>
    <w:p w14:paraId="49372747" w14:textId="5AEAD593" w:rsidR="5D10BE50" w:rsidRPr="00582751" w:rsidRDefault="00B67FD9" w:rsidP="00B67FD9">
      <w:pPr>
        <w:pStyle w:val="ListParagraph"/>
        <w:numPr>
          <w:ilvl w:val="0"/>
          <w:numId w:val="2"/>
        </w:numPr>
        <w:spacing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1Tdap (tétanos, diphtérie et coqueluche</w:t>
      </w:r>
      <w:r w:rsidR="00397E6D" w:rsidRPr="00582751">
        <w:rPr>
          <w:rFonts w:ascii="Times New Roman" w:hAnsi="Times New Roman"/>
          <w:color w:val="000000" w:themeColor="text1"/>
          <w:sz w:val="21"/>
          <w:szCs w:val="21"/>
        </w:rPr>
        <w:t xml:space="preserve"> – « MMR »</w:t>
      </w:r>
      <w:r w:rsidRPr="00582751">
        <w:rPr>
          <w:rFonts w:ascii="Times New Roman" w:hAnsi="Times New Roman"/>
          <w:color w:val="000000" w:themeColor="text1"/>
          <w:sz w:val="21"/>
          <w:szCs w:val="21"/>
        </w:rPr>
        <w:t>)</w:t>
      </w:r>
    </w:p>
    <w:p w14:paraId="4FD79CE0" w14:textId="4CB7850B" w:rsidR="5D10BE50" w:rsidRPr="00582751" w:rsidRDefault="5D10BE50" w:rsidP="4DF8A7E4">
      <w:pPr>
        <w:pStyle w:val="ListParagraph"/>
        <w:numPr>
          <w:ilvl w:val="0"/>
          <w:numId w:val="2"/>
        </w:numPr>
        <w:spacing w:after="160"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 xml:space="preserve">1 </w:t>
      </w:r>
      <w:r w:rsidR="00397E6D" w:rsidRPr="00582751">
        <w:rPr>
          <w:rFonts w:ascii="Times New Roman" w:hAnsi="Times New Roman"/>
          <w:color w:val="000000" w:themeColor="text1"/>
          <w:sz w:val="21"/>
          <w:szCs w:val="21"/>
        </w:rPr>
        <w:t>c</w:t>
      </w:r>
      <w:r w:rsidRPr="00582751">
        <w:rPr>
          <w:rFonts w:ascii="Times New Roman" w:hAnsi="Times New Roman"/>
          <w:color w:val="000000" w:themeColor="text1"/>
          <w:sz w:val="21"/>
          <w:szCs w:val="21"/>
        </w:rPr>
        <w:t>onjugué méningococcique (MCV4)</w:t>
      </w:r>
    </w:p>
    <w:p w14:paraId="478DF02B" w14:textId="3777CED0" w:rsidR="5D10BE50" w:rsidRPr="00582751" w:rsidRDefault="5D10BE50" w:rsidP="00B67FD9">
      <w:pPr>
        <w:spacing w:line="259" w:lineRule="auto"/>
        <w:rPr>
          <w:rFonts w:ascii="Times New Roman" w:eastAsia="Times New Roman" w:hAnsi="Times New Roman" w:cs="Times New Roman"/>
          <w:color w:val="000000" w:themeColor="text1"/>
          <w:sz w:val="21"/>
          <w:szCs w:val="21"/>
        </w:rPr>
      </w:pPr>
      <w:r w:rsidRPr="00582751">
        <w:rPr>
          <w:rFonts w:ascii="Times New Roman" w:hAnsi="Times New Roman"/>
          <w:b/>
          <w:color w:val="000000" w:themeColor="text1"/>
          <w:sz w:val="21"/>
          <w:szCs w:val="21"/>
        </w:rPr>
        <w:t>Préalable pour l'entrée en Terminale</w:t>
      </w:r>
      <w:r w:rsidR="009E67F4" w:rsidRPr="00582751">
        <w:rPr>
          <w:rFonts w:ascii="Times New Roman" w:hAnsi="Times New Roman"/>
          <w:b/>
          <w:color w:val="000000" w:themeColor="text1"/>
          <w:sz w:val="21"/>
          <w:szCs w:val="21"/>
        </w:rPr>
        <w:t> </w:t>
      </w:r>
      <w:r w:rsidRPr="00582751">
        <w:rPr>
          <w:rFonts w:ascii="Times New Roman" w:hAnsi="Times New Roman"/>
          <w:b/>
          <w:color w:val="000000" w:themeColor="text1"/>
          <w:sz w:val="21"/>
          <w:szCs w:val="21"/>
        </w:rPr>
        <w:t>:</w:t>
      </w:r>
    </w:p>
    <w:p w14:paraId="0E815E37" w14:textId="0E5A8B16" w:rsidR="5D10BE50" w:rsidRPr="00582751" w:rsidRDefault="5D10BE50" w:rsidP="4DF8A7E4">
      <w:pPr>
        <w:pStyle w:val="ListParagraph"/>
        <w:numPr>
          <w:ilvl w:val="0"/>
          <w:numId w:val="1"/>
        </w:numPr>
        <w:spacing w:after="160" w:line="259" w:lineRule="auto"/>
        <w:rPr>
          <w:rFonts w:ascii="Times New Roman" w:eastAsia="Times New Roman" w:hAnsi="Times New Roman" w:cs="Times New Roman"/>
          <w:color w:val="000000" w:themeColor="text1"/>
          <w:sz w:val="21"/>
          <w:szCs w:val="21"/>
        </w:rPr>
      </w:pPr>
      <w:r w:rsidRPr="00582751">
        <w:rPr>
          <w:rFonts w:ascii="Times New Roman" w:hAnsi="Times New Roman"/>
          <w:color w:val="000000" w:themeColor="text1"/>
          <w:sz w:val="21"/>
          <w:szCs w:val="21"/>
        </w:rPr>
        <w:t>2 MCV4, une seule dose est nécessaire si la première dose est administrée le jour du 16e anniversaire ou après</w:t>
      </w:r>
    </w:p>
    <w:p w14:paraId="7120E179" w14:textId="595064A6" w:rsidR="0018700E" w:rsidRPr="00582751" w:rsidRDefault="00707C1A" w:rsidP="2E011C77">
      <w:pPr>
        <w:spacing w:after="160" w:line="259" w:lineRule="auto"/>
        <w:rPr>
          <w:rFonts w:ascii="Times New Roman" w:eastAsiaTheme="minorEastAsia" w:hAnsi="Times New Roman" w:cs="Times New Roman"/>
          <w:sz w:val="21"/>
          <w:szCs w:val="21"/>
        </w:rPr>
      </w:pPr>
      <w:r w:rsidRPr="00582751">
        <w:rPr>
          <w:rFonts w:ascii="Times New Roman" w:hAnsi="Times New Roman"/>
          <w:sz w:val="21"/>
          <w:szCs w:val="21"/>
        </w:rPr>
        <w:t>Les vaccins contribuent à maintenir votre enfant en bonne santé</w:t>
      </w:r>
      <w:r w:rsidR="00397E6D" w:rsidRPr="00582751">
        <w:rPr>
          <w:rFonts w:ascii="Times New Roman" w:hAnsi="Times New Roman"/>
          <w:sz w:val="21"/>
          <w:szCs w:val="21"/>
        </w:rPr>
        <w:t>. De plus,</w:t>
      </w:r>
      <w:r w:rsidRPr="00582751">
        <w:rPr>
          <w:rFonts w:ascii="Times New Roman" w:hAnsi="Times New Roman"/>
          <w:sz w:val="21"/>
          <w:szCs w:val="21"/>
        </w:rPr>
        <w:t xml:space="preserve"> lorsqu'il est vacciné, cela contribue </w:t>
      </w:r>
      <w:r w:rsidR="00397E6D" w:rsidRPr="00582751">
        <w:rPr>
          <w:rFonts w:ascii="Times New Roman" w:hAnsi="Times New Roman"/>
          <w:sz w:val="21"/>
          <w:szCs w:val="21"/>
        </w:rPr>
        <w:t xml:space="preserve">également </w:t>
      </w:r>
      <w:r w:rsidRPr="00582751">
        <w:rPr>
          <w:rFonts w:ascii="Times New Roman" w:hAnsi="Times New Roman"/>
          <w:sz w:val="21"/>
          <w:szCs w:val="21"/>
        </w:rPr>
        <w:t xml:space="preserve">à </w:t>
      </w:r>
      <w:r w:rsidR="00397E6D" w:rsidRPr="00582751">
        <w:rPr>
          <w:rFonts w:ascii="Times New Roman" w:hAnsi="Times New Roman"/>
          <w:sz w:val="21"/>
          <w:szCs w:val="21"/>
        </w:rPr>
        <w:t xml:space="preserve">protéger la santé de </w:t>
      </w:r>
      <w:r w:rsidRPr="00582751">
        <w:rPr>
          <w:rFonts w:ascii="Times New Roman" w:hAnsi="Times New Roman"/>
          <w:sz w:val="21"/>
          <w:szCs w:val="21"/>
        </w:rPr>
        <w:t xml:space="preserve">ses camarades, </w:t>
      </w:r>
      <w:r w:rsidR="00397E6D" w:rsidRPr="00582751">
        <w:rPr>
          <w:rFonts w:ascii="Times New Roman" w:hAnsi="Times New Roman"/>
          <w:sz w:val="21"/>
          <w:szCs w:val="21"/>
        </w:rPr>
        <w:t xml:space="preserve">de </w:t>
      </w:r>
      <w:r w:rsidRPr="00582751">
        <w:rPr>
          <w:rFonts w:ascii="Times New Roman" w:hAnsi="Times New Roman"/>
          <w:sz w:val="21"/>
          <w:szCs w:val="21"/>
        </w:rPr>
        <w:t xml:space="preserve">ses enseignants et </w:t>
      </w:r>
      <w:r w:rsidR="00397E6D" w:rsidRPr="00582751">
        <w:rPr>
          <w:rFonts w:ascii="Times New Roman" w:hAnsi="Times New Roman"/>
          <w:sz w:val="21"/>
          <w:szCs w:val="21"/>
        </w:rPr>
        <w:t xml:space="preserve">du </w:t>
      </w:r>
      <w:r w:rsidRPr="00582751">
        <w:rPr>
          <w:rFonts w:ascii="Times New Roman" w:hAnsi="Times New Roman"/>
          <w:sz w:val="21"/>
          <w:szCs w:val="21"/>
        </w:rPr>
        <w:t xml:space="preserve">personnel de l'école. Outre les vaccins obligatoires mentionnés ci-dessus, le DHHS du Maine et les CDC vous encouragent vivement à profiter de cette occasion pour envisager les vaccins recommandés suivants, qui contribuent à assurer la santé et la sécurité de vos enfants, de leurs camarades et des personnes les plus vulnérables de la communauté.  </w:t>
      </w:r>
    </w:p>
    <w:p w14:paraId="1576E575" w14:textId="219A179D" w:rsidR="0018700E" w:rsidRPr="00582751" w:rsidRDefault="00503170" w:rsidP="0018700E">
      <w:pPr>
        <w:pStyle w:val="ListParagraph"/>
        <w:widowControl/>
        <w:numPr>
          <w:ilvl w:val="0"/>
          <w:numId w:val="8"/>
        </w:numPr>
        <w:autoSpaceDE/>
        <w:autoSpaceDN/>
        <w:spacing w:after="160" w:line="259" w:lineRule="auto"/>
        <w:contextualSpacing/>
        <w:rPr>
          <w:rFonts w:ascii="Times New Roman" w:eastAsiaTheme="minorHAnsi" w:hAnsi="Times New Roman" w:cs="Times New Roman"/>
          <w:color w:val="0563C1" w:themeColor="hyperlink"/>
          <w:sz w:val="21"/>
          <w:szCs w:val="21"/>
          <w:u w:val="single"/>
        </w:rPr>
      </w:pPr>
      <w:hyperlink r:id="rId8" w:history="1">
        <w:r w:rsidR="00CA161E" w:rsidRPr="00582751">
          <w:rPr>
            <w:rStyle w:val="Hyperlink"/>
            <w:rFonts w:ascii="Times New Roman" w:hAnsi="Times New Roman"/>
            <w:sz w:val="21"/>
            <w:szCs w:val="21"/>
          </w:rPr>
          <w:t>COVID-19 (pour les personnes âgées de 12 ans et plus)</w:t>
        </w:r>
      </w:hyperlink>
    </w:p>
    <w:p w14:paraId="0D4D6EC8" w14:textId="39969455" w:rsidR="0018700E" w:rsidRPr="00582751" w:rsidRDefault="00503170" w:rsidP="2E011C77">
      <w:pPr>
        <w:pStyle w:val="ListParagraph"/>
        <w:widowControl/>
        <w:numPr>
          <w:ilvl w:val="0"/>
          <w:numId w:val="8"/>
        </w:numPr>
        <w:autoSpaceDE/>
        <w:autoSpaceDN/>
        <w:spacing w:after="160" w:line="259" w:lineRule="auto"/>
        <w:contextualSpacing/>
        <w:rPr>
          <w:rFonts w:ascii="Times New Roman" w:eastAsiaTheme="minorEastAsia" w:hAnsi="Times New Roman" w:cs="Times New Roman"/>
          <w:color w:val="0563C1" w:themeColor="hyperlink"/>
          <w:sz w:val="21"/>
          <w:szCs w:val="21"/>
          <w:u w:val="single"/>
        </w:rPr>
      </w:pPr>
      <w:hyperlink r:id="rId9" w:history="1">
        <w:r w:rsidR="00397E6D" w:rsidRPr="00582751">
          <w:rPr>
            <w:rStyle w:val="Hyperlink"/>
            <w:rFonts w:ascii="Times New Roman" w:hAnsi="Times New Roman"/>
            <w:sz w:val="21"/>
            <w:szCs w:val="21"/>
          </w:rPr>
          <w:t>Virus du papillome humain (VPH)</w:t>
        </w:r>
      </w:hyperlink>
      <w:r w:rsidR="00397E6D" w:rsidRPr="00582751">
        <w:rPr>
          <w:rFonts w:ascii="Times New Roman" w:hAnsi="Times New Roman"/>
          <w:sz w:val="21"/>
          <w:szCs w:val="21"/>
        </w:rPr>
        <w:t xml:space="preserve"> </w:t>
      </w:r>
    </w:p>
    <w:p w14:paraId="6E9FA7C0" w14:textId="77777777" w:rsidR="0018700E" w:rsidRPr="00582751" w:rsidRDefault="0018700E" w:rsidP="0018700E">
      <w:pPr>
        <w:pStyle w:val="ListParagraph"/>
        <w:widowControl/>
        <w:numPr>
          <w:ilvl w:val="0"/>
          <w:numId w:val="8"/>
        </w:numPr>
        <w:autoSpaceDE/>
        <w:autoSpaceDN/>
        <w:spacing w:after="160" w:line="259" w:lineRule="auto"/>
        <w:contextualSpacing/>
        <w:rPr>
          <w:rStyle w:val="Hyperlink"/>
          <w:rFonts w:ascii="Times New Roman" w:eastAsiaTheme="minorHAnsi" w:hAnsi="Times New Roman" w:cs="Times New Roman"/>
          <w:sz w:val="21"/>
          <w:szCs w:val="21"/>
        </w:rPr>
      </w:pPr>
      <w:r w:rsidRPr="00582751">
        <w:rPr>
          <w:rFonts w:ascii="Times New Roman" w:eastAsiaTheme="minorHAnsi" w:hAnsi="Times New Roman" w:cs="Times New Roman"/>
          <w:color w:val="0563C1" w:themeColor="hyperlink"/>
          <w:sz w:val="21"/>
          <w:szCs w:val="21"/>
          <w:u w:val="single"/>
        </w:rPr>
        <w:fldChar w:fldCharType="begin"/>
      </w:r>
      <w:r w:rsidRPr="00582751">
        <w:rPr>
          <w:rFonts w:ascii="Times New Roman" w:eastAsiaTheme="minorHAnsi" w:hAnsi="Times New Roman" w:cs="Times New Roman"/>
          <w:color w:val="0563C1" w:themeColor="hyperlink"/>
          <w:sz w:val="21"/>
          <w:szCs w:val="21"/>
          <w:u w:val="single"/>
        </w:rPr>
        <w:instrText>HYPERLINK "https://www.cdc.gov/vaccines/vpd/mening/hcp/recommendations.html"</w:instrText>
      </w:r>
      <w:r w:rsidRPr="00582751">
        <w:rPr>
          <w:rFonts w:ascii="Times New Roman" w:eastAsiaTheme="minorHAnsi" w:hAnsi="Times New Roman" w:cs="Times New Roman"/>
          <w:color w:val="0563C1" w:themeColor="hyperlink"/>
          <w:sz w:val="21"/>
          <w:szCs w:val="21"/>
          <w:u w:val="single"/>
        </w:rPr>
        <w:fldChar w:fldCharType="separate"/>
      </w:r>
      <w:r w:rsidRPr="00582751">
        <w:rPr>
          <w:rStyle w:val="Hyperlink"/>
          <w:rFonts w:ascii="Times New Roman" w:hAnsi="Times New Roman"/>
          <w:sz w:val="21"/>
          <w:szCs w:val="21"/>
        </w:rPr>
        <w:t>Méningocoque B</w:t>
      </w:r>
    </w:p>
    <w:p w14:paraId="2AD3CA38" w14:textId="77BB1143" w:rsidR="00E5124A" w:rsidRPr="00582751" w:rsidRDefault="0018700E" w:rsidP="0018700E">
      <w:pPr>
        <w:pStyle w:val="ListParagraph"/>
        <w:widowControl/>
        <w:numPr>
          <w:ilvl w:val="0"/>
          <w:numId w:val="8"/>
        </w:numPr>
        <w:autoSpaceDE/>
        <w:autoSpaceDN/>
        <w:contextualSpacing/>
        <w:rPr>
          <w:rFonts w:ascii="Times New Roman" w:eastAsiaTheme="minorHAnsi" w:hAnsi="Times New Roman" w:cs="Times New Roman"/>
          <w:color w:val="0563C1" w:themeColor="hyperlink"/>
          <w:sz w:val="21"/>
          <w:szCs w:val="21"/>
          <w:u w:val="single"/>
        </w:rPr>
      </w:pPr>
      <w:r w:rsidRPr="00582751">
        <w:rPr>
          <w:rFonts w:ascii="Times New Roman" w:eastAsiaTheme="minorHAnsi" w:hAnsi="Times New Roman" w:cs="Times New Roman"/>
          <w:color w:val="0563C1" w:themeColor="hyperlink"/>
          <w:sz w:val="21"/>
          <w:szCs w:val="21"/>
          <w:u w:val="single"/>
        </w:rPr>
        <w:fldChar w:fldCharType="end"/>
      </w:r>
      <w:hyperlink r:id="rId10" w:history="1">
        <w:r w:rsidRPr="00582751">
          <w:rPr>
            <w:rStyle w:val="Hyperlink"/>
            <w:rFonts w:ascii="Times New Roman" w:hAnsi="Times New Roman"/>
            <w:sz w:val="21"/>
            <w:szCs w:val="21"/>
          </w:rPr>
          <w:t>Grippe</w:t>
        </w:r>
      </w:hyperlink>
      <w:r w:rsidRPr="00582751">
        <w:rPr>
          <w:rFonts w:ascii="Times New Roman" w:hAnsi="Times New Roman"/>
          <w:color w:val="0563C1" w:themeColor="hyperlink"/>
          <w:sz w:val="21"/>
          <w:szCs w:val="21"/>
        </w:rPr>
        <w:t xml:space="preserve"> </w:t>
      </w:r>
    </w:p>
    <w:p w14:paraId="04F8431B" w14:textId="77777777" w:rsidR="00503170" w:rsidRDefault="00503170" w:rsidP="0018700E">
      <w:pPr>
        <w:spacing w:after="160" w:line="259" w:lineRule="auto"/>
        <w:rPr>
          <w:rFonts w:ascii="Times New Roman" w:hAnsi="Times New Roman"/>
          <w:b/>
          <w:sz w:val="21"/>
          <w:szCs w:val="21"/>
        </w:rPr>
      </w:pPr>
    </w:p>
    <w:p w14:paraId="7BDCF971" w14:textId="71131ACE" w:rsidR="0018700E" w:rsidRPr="00582751" w:rsidRDefault="0018700E" w:rsidP="0018700E">
      <w:pPr>
        <w:spacing w:after="160" w:line="259" w:lineRule="auto"/>
        <w:rPr>
          <w:rFonts w:ascii="Times New Roman" w:eastAsiaTheme="minorEastAsia" w:hAnsi="Times New Roman" w:cs="Times New Roman"/>
          <w:b/>
          <w:bCs/>
          <w:sz w:val="21"/>
          <w:szCs w:val="21"/>
        </w:rPr>
      </w:pPr>
      <w:r w:rsidRPr="00582751">
        <w:rPr>
          <w:rFonts w:ascii="Times New Roman" w:hAnsi="Times New Roman"/>
          <w:b/>
          <w:sz w:val="21"/>
          <w:szCs w:val="21"/>
        </w:rPr>
        <w:t>Ressources sur les rattrapages de vaccinations du CDC américain (Centre pour le Contrôle et la prévention des maladies des États-Unis)</w:t>
      </w:r>
      <w:r w:rsidR="00397E6D" w:rsidRPr="00582751">
        <w:rPr>
          <w:rFonts w:ascii="Times New Roman" w:hAnsi="Times New Roman"/>
          <w:b/>
          <w:sz w:val="21"/>
          <w:szCs w:val="21"/>
        </w:rPr>
        <w:t> </w:t>
      </w:r>
      <w:r w:rsidRPr="00582751">
        <w:rPr>
          <w:rFonts w:ascii="Times New Roman" w:hAnsi="Times New Roman"/>
          <w:b/>
          <w:sz w:val="21"/>
          <w:szCs w:val="21"/>
        </w:rPr>
        <w:t>:</w:t>
      </w:r>
    </w:p>
    <w:p w14:paraId="3155DF61" w14:textId="77777777" w:rsidR="006514E7" w:rsidRPr="00582751" w:rsidRDefault="00503170" w:rsidP="006514E7">
      <w:pPr>
        <w:widowControl/>
        <w:numPr>
          <w:ilvl w:val="0"/>
          <w:numId w:val="7"/>
        </w:numPr>
        <w:autoSpaceDE/>
        <w:autoSpaceDN/>
        <w:rPr>
          <w:rFonts w:ascii="Times New Roman" w:eastAsiaTheme="minorHAnsi" w:hAnsi="Times New Roman" w:cs="Times New Roman"/>
          <w:color w:val="0000FF"/>
          <w:sz w:val="21"/>
          <w:szCs w:val="21"/>
          <w:u w:val="single"/>
        </w:rPr>
      </w:pPr>
      <w:hyperlink r:id="rId11" w:history="1">
        <w:r w:rsidR="00397E6D" w:rsidRPr="00582751">
          <w:rPr>
            <w:rStyle w:val="Hyperlink"/>
            <w:rFonts w:ascii="Times New Roman" w:hAnsi="Times New Roman"/>
            <w:sz w:val="21"/>
            <w:szCs w:val="21"/>
          </w:rPr>
          <w:t>Calendrier de rattrapage des vaccinations du CDC</w:t>
        </w:r>
      </w:hyperlink>
    </w:p>
    <w:p w14:paraId="0F8BBCF8" w14:textId="7C3208F9" w:rsidR="0018700E" w:rsidRPr="00582751" w:rsidRDefault="0018700E" w:rsidP="006514E7">
      <w:pPr>
        <w:widowControl/>
        <w:numPr>
          <w:ilvl w:val="0"/>
          <w:numId w:val="7"/>
        </w:numPr>
        <w:autoSpaceDE/>
        <w:autoSpaceDN/>
        <w:rPr>
          <w:rStyle w:val="Hyperlink"/>
          <w:rFonts w:ascii="Times New Roman" w:eastAsiaTheme="minorHAnsi" w:hAnsi="Times New Roman" w:cs="Times New Roman"/>
          <w:sz w:val="21"/>
          <w:szCs w:val="21"/>
        </w:rPr>
      </w:pPr>
      <w:r w:rsidRPr="00582751">
        <w:rPr>
          <w:rFonts w:ascii="Times New Roman" w:eastAsiaTheme="minorHAnsi" w:hAnsi="Times New Roman" w:cs="Times New Roman"/>
          <w:color w:val="0563C1" w:themeColor="hyperlink"/>
          <w:sz w:val="21"/>
          <w:szCs w:val="21"/>
          <w:u w:val="single"/>
        </w:rPr>
        <w:fldChar w:fldCharType="begin"/>
      </w:r>
      <w:r w:rsidRPr="00582751">
        <w:rPr>
          <w:rFonts w:ascii="Times New Roman" w:eastAsiaTheme="minorHAnsi" w:hAnsi="Times New Roman" w:cs="Times New Roman"/>
          <w:color w:val="0563C1" w:themeColor="hyperlink"/>
          <w:sz w:val="21"/>
          <w:szCs w:val="21"/>
          <w:u w:val="single"/>
        </w:rPr>
        <w:instrText xml:space="preserve"> HYPERLINK "https://www.cdc.gov/vaccines/schedules/downloads/child/job-aids/dtap.pdf" </w:instrText>
      </w:r>
      <w:r w:rsidRPr="00582751">
        <w:rPr>
          <w:rFonts w:ascii="Times New Roman" w:eastAsiaTheme="minorHAnsi" w:hAnsi="Times New Roman" w:cs="Times New Roman"/>
          <w:color w:val="0563C1" w:themeColor="hyperlink"/>
          <w:sz w:val="21"/>
          <w:szCs w:val="21"/>
          <w:u w:val="single"/>
        </w:rPr>
        <w:fldChar w:fldCharType="separate"/>
      </w:r>
      <w:r w:rsidRPr="00582751">
        <w:rPr>
          <w:rStyle w:val="Hyperlink"/>
          <w:rFonts w:ascii="Times New Roman" w:hAnsi="Times New Roman"/>
          <w:sz w:val="21"/>
          <w:szCs w:val="21"/>
        </w:rPr>
        <w:t xml:space="preserve">Guide de rattrapage des vaccins </w:t>
      </w:r>
      <w:r w:rsidR="00397E6D" w:rsidRPr="00582751">
        <w:rPr>
          <w:rStyle w:val="Hyperlink"/>
          <w:rFonts w:ascii="Times New Roman" w:hAnsi="Times New Roman"/>
          <w:sz w:val="21"/>
          <w:szCs w:val="21"/>
        </w:rPr>
        <w:t xml:space="preserve">contre </w:t>
      </w:r>
      <w:r w:rsidRPr="00582751">
        <w:rPr>
          <w:rStyle w:val="Hyperlink"/>
          <w:rFonts w:ascii="Times New Roman" w:hAnsi="Times New Roman"/>
          <w:sz w:val="21"/>
          <w:szCs w:val="21"/>
        </w:rPr>
        <w:t>la diphtérie, le tétanos et la coqueluche pour les enfants de 4 mois à 6 ans (PDF)</w:t>
      </w:r>
    </w:p>
    <w:p w14:paraId="7EDD3A6D" w14:textId="77777777" w:rsidR="0018700E" w:rsidRPr="00582751" w:rsidRDefault="0018700E" w:rsidP="006514E7">
      <w:pPr>
        <w:widowControl/>
        <w:numPr>
          <w:ilvl w:val="0"/>
          <w:numId w:val="7"/>
        </w:numPr>
        <w:autoSpaceDE/>
        <w:autoSpaceDN/>
        <w:rPr>
          <w:rStyle w:val="Hyperlink"/>
          <w:rFonts w:ascii="Times New Roman" w:eastAsiaTheme="minorHAnsi" w:hAnsi="Times New Roman" w:cs="Times New Roman"/>
          <w:sz w:val="21"/>
          <w:szCs w:val="21"/>
        </w:rPr>
      </w:pPr>
      <w:r w:rsidRPr="00582751">
        <w:rPr>
          <w:rFonts w:ascii="Times New Roman" w:eastAsiaTheme="minorHAnsi" w:hAnsi="Times New Roman" w:cs="Times New Roman"/>
          <w:color w:val="0563C1" w:themeColor="hyperlink"/>
          <w:sz w:val="21"/>
          <w:szCs w:val="21"/>
          <w:u w:val="single"/>
        </w:rPr>
        <w:fldChar w:fldCharType="end"/>
      </w:r>
      <w:r w:rsidRPr="00582751">
        <w:rPr>
          <w:rFonts w:ascii="Times New Roman" w:eastAsiaTheme="minorHAnsi" w:hAnsi="Times New Roman" w:cs="Times New Roman"/>
          <w:color w:val="0563C1" w:themeColor="hyperlink"/>
          <w:sz w:val="21"/>
          <w:szCs w:val="21"/>
          <w:u w:val="single"/>
        </w:rPr>
        <w:fldChar w:fldCharType="begin"/>
      </w:r>
      <w:r w:rsidRPr="00582751">
        <w:rPr>
          <w:rFonts w:ascii="Times New Roman" w:eastAsiaTheme="minorHAnsi" w:hAnsi="Times New Roman" w:cs="Times New Roman"/>
          <w:color w:val="0563C1" w:themeColor="hyperlink"/>
          <w:sz w:val="21"/>
          <w:szCs w:val="21"/>
          <w:u w:val="single"/>
        </w:rPr>
        <w:instrText xml:space="preserve"> HYPERLINK "https://www.cdc.gov/vaccines/schedules/downloads/child/job-aids/ipv.pdf" </w:instrText>
      </w:r>
      <w:r w:rsidRPr="00582751">
        <w:rPr>
          <w:rFonts w:ascii="Times New Roman" w:eastAsiaTheme="minorHAnsi" w:hAnsi="Times New Roman" w:cs="Times New Roman"/>
          <w:color w:val="0563C1" w:themeColor="hyperlink"/>
          <w:sz w:val="21"/>
          <w:szCs w:val="21"/>
          <w:u w:val="single"/>
        </w:rPr>
        <w:fldChar w:fldCharType="separate"/>
      </w:r>
      <w:r w:rsidRPr="00582751">
        <w:rPr>
          <w:rStyle w:val="Hyperlink"/>
          <w:rFonts w:ascii="Times New Roman" w:hAnsi="Times New Roman"/>
          <w:sz w:val="21"/>
          <w:szCs w:val="21"/>
        </w:rPr>
        <w:t>Vaccin antipoliomyélitique inactivé (VPI) (PDF)</w:t>
      </w:r>
    </w:p>
    <w:p w14:paraId="08175A9E" w14:textId="77777777" w:rsidR="0018700E" w:rsidRPr="00582751" w:rsidRDefault="0018700E" w:rsidP="006514E7">
      <w:pPr>
        <w:widowControl/>
        <w:numPr>
          <w:ilvl w:val="0"/>
          <w:numId w:val="7"/>
        </w:numPr>
        <w:autoSpaceDE/>
        <w:autoSpaceDN/>
        <w:rPr>
          <w:rStyle w:val="Hyperlink"/>
          <w:rFonts w:ascii="Times New Roman" w:eastAsiaTheme="minorHAnsi" w:hAnsi="Times New Roman" w:cs="Times New Roman"/>
          <w:sz w:val="21"/>
          <w:szCs w:val="21"/>
        </w:rPr>
      </w:pPr>
      <w:r w:rsidRPr="00582751">
        <w:rPr>
          <w:rFonts w:ascii="Times New Roman" w:eastAsiaTheme="minorHAnsi" w:hAnsi="Times New Roman" w:cs="Times New Roman"/>
          <w:color w:val="0563C1" w:themeColor="hyperlink"/>
          <w:sz w:val="21"/>
          <w:szCs w:val="21"/>
          <w:u w:val="single"/>
        </w:rPr>
        <w:fldChar w:fldCharType="end"/>
      </w:r>
      <w:r w:rsidRPr="00582751">
        <w:rPr>
          <w:rFonts w:ascii="Times New Roman" w:eastAsiaTheme="minorHAnsi" w:hAnsi="Times New Roman" w:cs="Times New Roman"/>
          <w:color w:val="0563C1" w:themeColor="hyperlink"/>
          <w:sz w:val="21"/>
          <w:szCs w:val="21"/>
          <w:u w:val="single"/>
        </w:rPr>
        <w:fldChar w:fldCharType="begin"/>
      </w:r>
      <w:r w:rsidRPr="00582751">
        <w:rPr>
          <w:rFonts w:ascii="Times New Roman" w:eastAsiaTheme="minorHAnsi" w:hAnsi="Times New Roman" w:cs="Times New Roman"/>
          <w:color w:val="0563C1" w:themeColor="hyperlink"/>
          <w:sz w:val="21"/>
          <w:szCs w:val="21"/>
          <w:u w:val="single"/>
        </w:rPr>
        <w:instrText xml:space="preserve"> HYPERLINK "https://www.cdc.gov/vaccines/schedules/downloads/child/job-aids/tdap-1.pdf" </w:instrText>
      </w:r>
      <w:r w:rsidRPr="00582751">
        <w:rPr>
          <w:rFonts w:ascii="Times New Roman" w:eastAsiaTheme="minorHAnsi" w:hAnsi="Times New Roman" w:cs="Times New Roman"/>
          <w:color w:val="0563C1" w:themeColor="hyperlink"/>
          <w:sz w:val="21"/>
          <w:szCs w:val="21"/>
          <w:u w:val="single"/>
        </w:rPr>
        <w:fldChar w:fldCharType="separate"/>
      </w:r>
      <w:r w:rsidRPr="00582751">
        <w:rPr>
          <w:rStyle w:val="Hyperlink"/>
          <w:rFonts w:ascii="Times New Roman" w:hAnsi="Times New Roman"/>
          <w:sz w:val="21"/>
          <w:szCs w:val="21"/>
        </w:rPr>
        <w:t>Guide de rattrapage des vaccins renfermant le tétanos, la diphtérie et la coqueluche pour les enfants âgés de 7 à 9 ans (PDF)</w:t>
      </w:r>
    </w:p>
    <w:p w14:paraId="02FC0BFC" w14:textId="77777777" w:rsidR="0018700E" w:rsidRPr="00582751" w:rsidRDefault="0018700E" w:rsidP="006514E7">
      <w:pPr>
        <w:widowControl/>
        <w:numPr>
          <w:ilvl w:val="0"/>
          <w:numId w:val="7"/>
        </w:numPr>
        <w:autoSpaceDE/>
        <w:autoSpaceDN/>
        <w:rPr>
          <w:rStyle w:val="Hyperlink"/>
          <w:rFonts w:ascii="Times New Roman" w:eastAsiaTheme="minorHAnsi" w:hAnsi="Times New Roman" w:cs="Times New Roman"/>
          <w:sz w:val="21"/>
          <w:szCs w:val="21"/>
        </w:rPr>
      </w:pPr>
      <w:r w:rsidRPr="00582751">
        <w:rPr>
          <w:rFonts w:ascii="Times New Roman" w:eastAsiaTheme="minorHAnsi" w:hAnsi="Times New Roman" w:cs="Times New Roman"/>
          <w:color w:val="0563C1" w:themeColor="hyperlink"/>
          <w:sz w:val="21"/>
          <w:szCs w:val="21"/>
          <w:u w:val="single"/>
        </w:rPr>
        <w:fldChar w:fldCharType="end"/>
      </w:r>
      <w:r w:rsidRPr="00582751">
        <w:rPr>
          <w:rFonts w:ascii="Times New Roman" w:eastAsiaTheme="minorHAnsi" w:hAnsi="Times New Roman" w:cs="Times New Roman"/>
          <w:color w:val="0563C1" w:themeColor="hyperlink"/>
          <w:sz w:val="21"/>
          <w:szCs w:val="21"/>
          <w:u w:val="single"/>
        </w:rPr>
        <w:fldChar w:fldCharType="begin"/>
      </w:r>
      <w:r w:rsidRPr="00582751">
        <w:rPr>
          <w:rFonts w:ascii="Times New Roman" w:eastAsiaTheme="minorHAnsi" w:hAnsi="Times New Roman" w:cs="Times New Roman"/>
          <w:color w:val="0563C1" w:themeColor="hyperlink"/>
          <w:sz w:val="21"/>
          <w:szCs w:val="21"/>
          <w:u w:val="single"/>
        </w:rPr>
        <w:instrText xml:space="preserve"> HYPERLINK "https://www.cdc.gov/vaccines/schedules/downloads/child/job-aids/tdap-2.pdf" </w:instrText>
      </w:r>
      <w:r w:rsidRPr="00582751">
        <w:rPr>
          <w:rFonts w:ascii="Times New Roman" w:eastAsiaTheme="minorHAnsi" w:hAnsi="Times New Roman" w:cs="Times New Roman"/>
          <w:color w:val="0563C1" w:themeColor="hyperlink"/>
          <w:sz w:val="21"/>
          <w:szCs w:val="21"/>
          <w:u w:val="single"/>
        </w:rPr>
        <w:fldChar w:fldCharType="separate"/>
      </w:r>
      <w:r w:rsidRPr="00582751">
        <w:rPr>
          <w:rStyle w:val="Hyperlink"/>
          <w:rFonts w:ascii="Times New Roman" w:hAnsi="Times New Roman"/>
          <w:sz w:val="21"/>
          <w:szCs w:val="21"/>
        </w:rPr>
        <w:t>Guide de rattrapage des vaccins renfermant le tétanos, la diphtérie et la coqueluche pour les enfants âgés de 10 à 18 ans (PDF)</w:t>
      </w:r>
    </w:p>
    <w:p w14:paraId="64715F63" w14:textId="77777777" w:rsidR="006514E7" w:rsidRPr="00582751" w:rsidRDefault="0018700E" w:rsidP="006514E7">
      <w:pPr>
        <w:rPr>
          <w:rFonts w:ascii="Times New Roman" w:eastAsiaTheme="minorEastAsia" w:hAnsi="Times New Roman" w:cs="Times New Roman"/>
          <w:color w:val="0563C1"/>
          <w:sz w:val="21"/>
          <w:szCs w:val="21"/>
          <w:u w:val="single"/>
        </w:rPr>
      </w:pPr>
      <w:r w:rsidRPr="00582751">
        <w:rPr>
          <w:rFonts w:ascii="Times New Roman" w:eastAsiaTheme="minorEastAsia" w:hAnsi="Times New Roman" w:cs="Times New Roman"/>
          <w:color w:val="0563C1"/>
          <w:sz w:val="21"/>
          <w:szCs w:val="21"/>
          <w:u w:val="single"/>
        </w:rPr>
        <w:fldChar w:fldCharType="end"/>
      </w:r>
    </w:p>
    <w:p w14:paraId="25F9B905" w14:textId="372917D8" w:rsidR="006514E7" w:rsidRPr="00582751" w:rsidRDefault="0018700E">
      <w:pPr>
        <w:rPr>
          <w:rFonts w:ascii="Times New Roman" w:eastAsiaTheme="minorEastAsia" w:hAnsi="Times New Roman" w:cs="Times New Roman"/>
          <w:sz w:val="21"/>
          <w:szCs w:val="21"/>
        </w:rPr>
      </w:pPr>
      <w:r w:rsidRPr="00582751">
        <w:rPr>
          <w:rFonts w:ascii="Times New Roman" w:hAnsi="Times New Roman"/>
          <w:sz w:val="21"/>
          <w:szCs w:val="21"/>
        </w:rPr>
        <w:t>Si vous avez des questions concernant le calendrier de vaccination ou les vaccins en général, veuillez contacter la ligne éducative du Programme de Vaccination de</w:t>
      </w:r>
      <w:r w:rsidR="00397E6D" w:rsidRPr="00582751">
        <w:rPr>
          <w:rFonts w:ascii="Times New Roman" w:hAnsi="Times New Roman"/>
          <w:sz w:val="21"/>
          <w:szCs w:val="21"/>
        </w:rPr>
        <w:t xml:space="preserve"> l’État du</w:t>
      </w:r>
      <w:r w:rsidRPr="00582751">
        <w:rPr>
          <w:rFonts w:ascii="Times New Roman" w:hAnsi="Times New Roman"/>
          <w:sz w:val="21"/>
          <w:szCs w:val="21"/>
        </w:rPr>
        <w:t xml:space="preserve"> Maine au 207-287-9972 ou parlez au médecin de votre enfant.</w:t>
      </w:r>
    </w:p>
    <w:p w14:paraId="29D76DA8" w14:textId="77777777" w:rsidR="006514E7" w:rsidRPr="00582751" w:rsidRDefault="006514E7">
      <w:pPr>
        <w:rPr>
          <w:rFonts w:ascii="Times New Roman" w:eastAsiaTheme="minorEastAsia" w:hAnsi="Times New Roman" w:cs="Times New Roman"/>
          <w:sz w:val="21"/>
          <w:szCs w:val="21"/>
        </w:rPr>
      </w:pPr>
    </w:p>
    <w:p w14:paraId="1F4D752B" w14:textId="3E849D80" w:rsidR="0018700E" w:rsidRPr="00582751" w:rsidRDefault="22F65D75">
      <w:pPr>
        <w:rPr>
          <w:rFonts w:ascii="Times New Roman" w:hAnsi="Times New Roman" w:cs="Times New Roman"/>
          <w:sz w:val="21"/>
          <w:szCs w:val="21"/>
        </w:rPr>
      </w:pPr>
      <w:r w:rsidRPr="00582751">
        <w:rPr>
          <w:rFonts w:ascii="Times New Roman" w:hAnsi="Times New Roman"/>
          <w:sz w:val="21"/>
          <w:szCs w:val="21"/>
        </w:rPr>
        <w:t>Les questions relatives à la loi sur l'immunisation et à son application dans les écoles du Maine doivent être adressées à</w:t>
      </w:r>
      <w:r w:rsidR="00397E6D" w:rsidRPr="00582751">
        <w:rPr>
          <w:rFonts w:ascii="Times New Roman" w:hAnsi="Times New Roman"/>
          <w:sz w:val="21"/>
          <w:szCs w:val="21"/>
        </w:rPr>
        <w:t> </w:t>
      </w:r>
      <w:r w:rsidRPr="00582751">
        <w:rPr>
          <w:rFonts w:ascii="Times New Roman" w:hAnsi="Times New Roman"/>
          <w:sz w:val="21"/>
          <w:szCs w:val="21"/>
        </w:rPr>
        <w:t xml:space="preserve">: </w:t>
      </w:r>
      <w:hyperlink r:id="rId12" w:history="1">
        <w:r w:rsidRPr="00582751">
          <w:rPr>
            <w:rStyle w:val="Hyperlink"/>
            <w:rFonts w:ascii="Times New Roman" w:hAnsi="Times New Roman"/>
            <w:sz w:val="21"/>
            <w:szCs w:val="21"/>
          </w:rPr>
          <w:t>DOESchoolandStudentSupports@maine.gov.</w:t>
        </w:r>
      </w:hyperlink>
    </w:p>
    <w:sectPr w:rsidR="0018700E" w:rsidRPr="00582751"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822C5"/>
    <w:rsid w:val="000D3F7D"/>
    <w:rsid w:val="00147284"/>
    <w:rsid w:val="0018700E"/>
    <w:rsid w:val="001A73A6"/>
    <w:rsid w:val="0021486F"/>
    <w:rsid w:val="0021767A"/>
    <w:rsid w:val="002B71E5"/>
    <w:rsid w:val="002C643C"/>
    <w:rsid w:val="0032234B"/>
    <w:rsid w:val="003606F0"/>
    <w:rsid w:val="003626E6"/>
    <w:rsid w:val="00383D83"/>
    <w:rsid w:val="0039779D"/>
    <w:rsid w:val="00397E6D"/>
    <w:rsid w:val="003C262B"/>
    <w:rsid w:val="004656FB"/>
    <w:rsid w:val="00503170"/>
    <w:rsid w:val="00582751"/>
    <w:rsid w:val="006514E7"/>
    <w:rsid w:val="00663DC1"/>
    <w:rsid w:val="00683B47"/>
    <w:rsid w:val="00707C1A"/>
    <w:rsid w:val="00711E1C"/>
    <w:rsid w:val="00712049"/>
    <w:rsid w:val="00713D15"/>
    <w:rsid w:val="00725085"/>
    <w:rsid w:val="00756E4F"/>
    <w:rsid w:val="0076699E"/>
    <w:rsid w:val="00766C09"/>
    <w:rsid w:val="007B2D53"/>
    <w:rsid w:val="00882D0C"/>
    <w:rsid w:val="009E67F4"/>
    <w:rsid w:val="00A37190"/>
    <w:rsid w:val="00A62AB7"/>
    <w:rsid w:val="00AC762E"/>
    <w:rsid w:val="00B41D81"/>
    <w:rsid w:val="00B67FD9"/>
    <w:rsid w:val="00B849B7"/>
    <w:rsid w:val="00C66613"/>
    <w:rsid w:val="00CA161E"/>
    <w:rsid w:val="00CE0AAF"/>
    <w:rsid w:val="00D37E84"/>
    <w:rsid w:val="00D87661"/>
    <w:rsid w:val="00E059F0"/>
    <w:rsid w:val="00E11CDF"/>
    <w:rsid w:val="00E17091"/>
    <w:rsid w:val="00E5124A"/>
    <w:rsid w:val="00E6736E"/>
    <w:rsid w:val="00ED5F54"/>
    <w:rsid w:val="00F076D0"/>
    <w:rsid w:val="00F72EE2"/>
    <w:rsid w:val="00F81743"/>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chartTrackingRefBased/>
  <w15:docId w15:val="{18A54E79-63C7-43E3-AA85-A5AF39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en-US"/>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adolescen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lli.Deveaux\AppData\Local\Microsoft\Windows\INetCache\Content.Outlook\PNTJLPQ5\DOESchoolandStudentSupports%40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child/job-aids/dtap.pdf" TargetMode="External"/><Relationship Id="rId5" Type="http://schemas.openxmlformats.org/officeDocument/2006/relationships/styles" Target="styles.xml"/><Relationship Id="rId10" Type="http://schemas.openxmlformats.org/officeDocument/2006/relationships/hyperlink" Target="https://www.cdc.gov/vaccines/vpd/flu/hcp/index.html" TargetMode="External"/><Relationship Id="rId4" Type="http://schemas.openxmlformats.org/officeDocument/2006/relationships/numbering" Target="numbering.xml"/><Relationship Id="rId9" Type="http://schemas.openxmlformats.org/officeDocument/2006/relationships/hyperlink" Target="https://www.cdc.gov/vaccines/vpd/hp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8A1D1-5CF3-4FCA-96C7-9776DC25D6D6}">
  <ds:schemaRefs>
    <ds:schemaRef ds:uri="http://schemas.microsoft.com/sharepoint/v3/contenttype/forms"/>
  </ds:schemaRefs>
</ds:datastoreItem>
</file>

<file path=customXml/itemProps2.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Hammes, Lindsay</dc:creator>
  <cp:keywords/>
  <dc:description/>
  <cp:lastModifiedBy>Janiene McCartney</cp:lastModifiedBy>
  <cp:revision>2</cp:revision>
  <dcterms:created xsi:type="dcterms:W3CDTF">2021-08-16T14:36:00Z</dcterms:created>
  <dcterms:modified xsi:type="dcterms:W3CDTF">2021-08-16T14:36:00Z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