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A642" w14:textId="0E5F3158" w:rsidR="001B025D" w:rsidRPr="001B025D" w:rsidRDefault="009D5B83" w:rsidP="001B025D">
      <w:pPr>
        <w:spacing w:after="0"/>
        <w:jc w:val="center"/>
        <w:rPr>
          <w:b/>
          <w:bCs/>
          <w:sz w:val="48"/>
          <w:szCs w:val="48"/>
        </w:rPr>
      </w:pPr>
      <w:r>
        <w:rPr>
          <w:b/>
          <w:bCs/>
          <w:sz w:val="48"/>
          <w:szCs w:val="48"/>
        </w:rPr>
        <w:t>Students Experiencing Homelessness Data Entry</w:t>
      </w:r>
    </w:p>
    <w:p w14:paraId="2A92FEA1" w14:textId="38137A89" w:rsidR="001B025D" w:rsidRPr="00481EC5" w:rsidRDefault="001B025D" w:rsidP="001B025D">
      <w:pPr>
        <w:spacing w:after="0"/>
        <w:jc w:val="center"/>
        <w:rPr>
          <w:b/>
          <w:bCs/>
          <w:sz w:val="24"/>
          <w:szCs w:val="24"/>
        </w:rPr>
      </w:pPr>
      <w:r w:rsidRPr="00481EC5">
        <w:rPr>
          <w:b/>
          <w:bCs/>
          <w:sz w:val="24"/>
          <w:szCs w:val="24"/>
        </w:rPr>
        <w:t xml:space="preserve">Webinar </w:t>
      </w:r>
      <w:r w:rsidR="009D5B83">
        <w:rPr>
          <w:b/>
          <w:bCs/>
          <w:sz w:val="24"/>
          <w:szCs w:val="24"/>
        </w:rPr>
        <w:t>4/25</w:t>
      </w:r>
      <w:r w:rsidRPr="00481EC5">
        <w:rPr>
          <w:b/>
          <w:bCs/>
          <w:sz w:val="24"/>
          <w:szCs w:val="24"/>
        </w:rPr>
        <w:t>/2023</w:t>
      </w:r>
    </w:p>
    <w:p w14:paraId="643F395B" w14:textId="77777777" w:rsidR="001B025D" w:rsidRPr="00481EC5" w:rsidRDefault="001B025D" w:rsidP="001B025D">
      <w:pPr>
        <w:spacing w:after="0"/>
        <w:jc w:val="center"/>
        <w:rPr>
          <w:b/>
          <w:bCs/>
          <w:sz w:val="24"/>
          <w:szCs w:val="24"/>
        </w:rPr>
      </w:pPr>
      <w:r w:rsidRPr="00481EC5">
        <w:rPr>
          <w:b/>
          <w:bCs/>
          <w:sz w:val="24"/>
          <w:szCs w:val="24"/>
        </w:rPr>
        <w:t>Q&amp;A</w:t>
      </w:r>
    </w:p>
    <w:p w14:paraId="68885436" w14:textId="77777777" w:rsidR="001B025D" w:rsidRPr="00481EC5" w:rsidRDefault="001B025D">
      <w:pPr>
        <w:rPr>
          <w:sz w:val="24"/>
          <w:szCs w:val="24"/>
        </w:rPr>
      </w:pPr>
    </w:p>
    <w:tbl>
      <w:tblPr>
        <w:tblStyle w:val="TableGrid"/>
        <w:tblW w:w="9360" w:type="dxa"/>
        <w:tblLook w:val="04A0" w:firstRow="1" w:lastRow="0" w:firstColumn="1" w:lastColumn="0" w:noHBand="0" w:noVBand="1"/>
      </w:tblPr>
      <w:tblGrid>
        <w:gridCol w:w="9360"/>
      </w:tblGrid>
      <w:tr w:rsidR="009D5B83" w:rsidRPr="009D5B83" w14:paraId="58DDCFAF"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7C36AED3" w14:textId="77777777" w:rsidR="009D5B83" w:rsidRPr="009D5B83" w:rsidRDefault="009D5B83" w:rsidP="009D5B83">
            <w:pPr>
              <w:rPr>
                <w:rFonts w:ascii="Calibri" w:eastAsia="Times New Roman" w:hAnsi="Calibri" w:cs="Calibri"/>
                <w:b/>
                <w:bCs/>
                <w:color w:val="000000"/>
              </w:rPr>
            </w:pPr>
            <w:r w:rsidRPr="009D5B83">
              <w:rPr>
                <w:rFonts w:ascii="Calibri" w:eastAsia="Times New Roman" w:hAnsi="Calibri" w:cs="Calibri"/>
                <w:b/>
                <w:bCs/>
                <w:color w:val="000000"/>
              </w:rPr>
              <w:t>Is there an example available of what an internal master list could look like? We use Infinite Campus</w:t>
            </w:r>
          </w:p>
        </w:tc>
      </w:tr>
      <w:tr w:rsidR="009D5B83" w:rsidRPr="009D5B83" w14:paraId="3F96911C"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04099AE8" w14:textId="1E92D099" w:rsidR="009D5B83" w:rsidRDefault="009D5B83" w:rsidP="009D5B83">
            <w:pPr>
              <w:rPr>
                <w:rFonts w:ascii="Calibri" w:eastAsia="Times New Roman" w:hAnsi="Calibri" w:cs="Calibri"/>
                <w:color w:val="000000"/>
              </w:rPr>
            </w:pPr>
            <w:r w:rsidRPr="009D5B83">
              <w:rPr>
                <w:rFonts w:ascii="Calibri" w:eastAsia="Times New Roman" w:hAnsi="Calibri" w:cs="Calibri"/>
                <w:color w:val="000000"/>
              </w:rPr>
              <w:t xml:space="preserve"> Hi Allison, Infinite Campus should be able to provide information about how to access this type of report. There should be someone in the district who would be able to contact them and help you find it. </w:t>
            </w:r>
          </w:p>
          <w:p w14:paraId="01594D3C" w14:textId="77777777" w:rsidR="009D5B83" w:rsidRDefault="009D5B83" w:rsidP="009D5B83">
            <w:pPr>
              <w:rPr>
                <w:rFonts w:ascii="Calibri" w:eastAsia="Times New Roman" w:hAnsi="Calibri" w:cs="Calibri"/>
                <w:color w:val="000000"/>
              </w:rPr>
            </w:pPr>
          </w:p>
          <w:p w14:paraId="5075504E" w14:textId="73C26780" w:rsidR="009D5B83" w:rsidRPr="009D5B83" w:rsidRDefault="009D5B83" w:rsidP="009D5B83">
            <w:pPr>
              <w:rPr>
                <w:rFonts w:ascii="Calibri" w:eastAsia="Times New Roman" w:hAnsi="Calibri" w:cs="Calibri"/>
                <w:color w:val="000000"/>
              </w:rPr>
            </w:pPr>
          </w:p>
        </w:tc>
      </w:tr>
      <w:tr w:rsidR="009D5B83" w:rsidRPr="009D5B83" w14:paraId="06941531"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5BF5FA66" w14:textId="77777777" w:rsidR="009D5B83" w:rsidRPr="009D5B83" w:rsidRDefault="009D5B83" w:rsidP="009D5B83">
            <w:pPr>
              <w:rPr>
                <w:rFonts w:ascii="Calibri" w:eastAsia="Times New Roman" w:hAnsi="Calibri" w:cs="Calibri"/>
                <w:b/>
                <w:bCs/>
                <w:color w:val="000000"/>
              </w:rPr>
            </w:pPr>
            <w:r w:rsidRPr="009D5B83">
              <w:rPr>
                <w:rFonts w:ascii="Calibri" w:eastAsia="Times New Roman" w:hAnsi="Calibri" w:cs="Calibri"/>
                <w:b/>
                <w:bCs/>
                <w:color w:val="000000"/>
              </w:rPr>
              <w:t xml:space="preserve"> Living with others - does that include relatives, such as grandparents, aunts etc.</w:t>
            </w:r>
          </w:p>
        </w:tc>
      </w:tr>
      <w:tr w:rsidR="009D5B83" w:rsidRPr="009D5B83" w14:paraId="14342C8E"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2CD94967" w14:textId="478A0E37" w:rsidR="009D5B83" w:rsidRDefault="009D5B83" w:rsidP="009D5B83">
            <w:pPr>
              <w:rPr>
                <w:rFonts w:ascii="Calibri" w:eastAsia="Times New Roman" w:hAnsi="Calibri" w:cs="Calibri"/>
                <w:color w:val="000000"/>
              </w:rPr>
            </w:pPr>
            <w:r w:rsidRPr="009D5B83">
              <w:rPr>
                <w:rFonts w:ascii="Calibri" w:eastAsia="Times New Roman" w:hAnsi="Calibri" w:cs="Calibri"/>
                <w:color w:val="000000"/>
              </w:rPr>
              <w:t xml:space="preserve"> Sharing housing due to a loss of housing, economic hardship, or similar reason. This is when one household joins another household due to a crisis. This would be eligible for McKinney-Vento services through the entire school </w:t>
            </w:r>
            <w:proofErr w:type="gramStart"/>
            <w:r w:rsidRPr="009D5B83">
              <w:rPr>
                <w:rFonts w:ascii="Calibri" w:eastAsia="Times New Roman" w:hAnsi="Calibri" w:cs="Calibri"/>
                <w:color w:val="000000"/>
              </w:rPr>
              <w:t>year, and</w:t>
            </w:r>
            <w:proofErr w:type="gramEnd"/>
            <w:r w:rsidRPr="009D5B83">
              <w:rPr>
                <w:rFonts w:ascii="Calibri" w:eastAsia="Times New Roman" w:hAnsi="Calibri" w:cs="Calibri"/>
                <w:color w:val="000000"/>
              </w:rPr>
              <w:t xml:space="preserve"> should be revisited at the start of the next school year. Has the situation changed? Is this now a permanent arrangement (not eligible) or are folks still looking for their own housing and this is a temporary arrangement (eligible)?</w:t>
            </w:r>
          </w:p>
          <w:p w14:paraId="16503876" w14:textId="77777777" w:rsidR="009D5B83" w:rsidRDefault="009D5B83" w:rsidP="009D5B83">
            <w:pPr>
              <w:rPr>
                <w:rFonts w:ascii="Calibri" w:eastAsia="Times New Roman" w:hAnsi="Calibri" w:cs="Calibri"/>
                <w:color w:val="000000"/>
              </w:rPr>
            </w:pPr>
          </w:p>
          <w:p w14:paraId="79FDAF1F" w14:textId="2D8D9D53" w:rsidR="009D5B83" w:rsidRPr="009D5B83" w:rsidRDefault="009D5B83" w:rsidP="009D5B83">
            <w:pPr>
              <w:rPr>
                <w:rFonts w:ascii="Calibri" w:eastAsia="Times New Roman" w:hAnsi="Calibri" w:cs="Calibri"/>
                <w:color w:val="000000"/>
              </w:rPr>
            </w:pPr>
          </w:p>
        </w:tc>
      </w:tr>
      <w:tr w:rsidR="009D5B83" w:rsidRPr="009D5B83" w14:paraId="3691F8B1"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309DF377" w14:textId="77777777" w:rsidR="009D5B83" w:rsidRPr="009D5B83" w:rsidRDefault="009D5B83" w:rsidP="009D5B83">
            <w:pPr>
              <w:rPr>
                <w:rFonts w:ascii="Calibri" w:eastAsia="Times New Roman" w:hAnsi="Calibri" w:cs="Calibri"/>
                <w:b/>
                <w:bCs/>
                <w:color w:val="000000"/>
              </w:rPr>
            </w:pPr>
            <w:r w:rsidRPr="009D5B83">
              <w:rPr>
                <w:rFonts w:ascii="Calibri" w:eastAsia="Times New Roman" w:hAnsi="Calibri" w:cs="Calibri"/>
                <w:b/>
                <w:bCs/>
                <w:color w:val="000000"/>
              </w:rPr>
              <w:t xml:space="preserve"> </w:t>
            </w:r>
            <w:proofErr w:type="gramStart"/>
            <w:r w:rsidRPr="009D5B83">
              <w:rPr>
                <w:rFonts w:ascii="Calibri" w:eastAsia="Times New Roman" w:hAnsi="Calibri" w:cs="Calibri"/>
                <w:b/>
                <w:bCs/>
                <w:color w:val="000000"/>
              </w:rPr>
              <w:t>So</w:t>
            </w:r>
            <w:proofErr w:type="gramEnd"/>
            <w:r w:rsidRPr="009D5B83">
              <w:rPr>
                <w:rFonts w:ascii="Calibri" w:eastAsia="Times New Roman" w:hAnsi="Calibri" w:cs="Calibri"/>
                <w:b/>
                <w:bCs/>
                <w:color w:val="000000"/>
              </w:rPr>
              <w:t xml:space="preserve"> we may want to keep, Student ID, Date Identified, Residency Code, and Date Residency changed?</w:t>
            </w:r>
          </w:p>
        </w:tc>
      </w:tr>
      <w:tr w:rsidR="009D5B83" w:rsidRPr="009D5B83" w14:paraId="7628852D"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18FE7DB0" w14:textId="77777777" w:rsidR="009D5B83" w:rsidRPr="009D5B83" w:rsidRDefault="009D5B83" w:rsidP="009D5B83">
            <w:pPr>
              <w:rPr>
                <w:rFonts w:ascii="Calibri" w:eastAsia="Times New Roman" w:hAnsi="Calibri" w:cs="Calibri"/>
                <w:b/>
                <w:bCs/>
                <w:color w:val="000000"/>
              </w:rPr>
            </w:pPr>
            <w:r w:rsidRPr="009D5B83">
              <w:rPr>
                <w:rFonts w:ascii="Calibri" w:eastAsia="Times New Roman" w:hAnsi="Calibri" w:cs="Calibri"/>
                <w:b/>
                <w:bCs/>
                <w:color w:val="000000"/>
              </w:rPr>
              <w:t xml:space="preserve"> For Fiscal Responsibility, does anything else need to be added for Charter Schools?</w:t>
            </w:r>
          </w:p>
        </w:tc>
      </w:tr>
      <w:tr w:rsidR="009D5B83" w:rsidRPr="009D5B83" w14:paraId="3DFB1F00"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3D094A4D" w14:textId="215B744C" w:rsidR="009D5B83" w:rsidRDefault="009D5B83" w:rsidP="005F643C">
            <w:pPr>
              <w:rPr>
                <w:rFonts w:ascii="Calibri" w:eastAsia="Times New Roman" w:hAnsi="Calibri" w:cs="Calibri"/>
                <w:color w:val="000000"/>
              </w:rPr>
            </w:pPr>
            <w:r w:rsidRPr="009D5B83">
              <w:rPr>
                <w:rFonts w:ascii="Calibri" w:eastAsia="Times New Roman" w:hAnsi="Calibri" w:cs="Calibri"/>
                <w:color w:val="000000"/>
              </w:rPr>
              <w:t>Keep Student ID, there does not need to be an effective date for these changes, and residency does not need to be updated after October 1</w:t>
            </w:r>
          </w:p>
          <w:p w14:paraId="4C893A2F" w14:textId="77777777" w:rsidR="009D5B83" w:rsidRDefault="009D5B83" w:rsidP="005F643C">
            <w:pPr>
              <w:rPr>
                <w:rFonts w:ascii="Calibri" w:eastAsia="Times New Roman" w:hAnsi="Calibri" w:cs="Calibri"/>
                <w:color w:val="000000"/>
              </w:rPr>
            </w:pPr>
          </w:p>
          <w:p w14:paraId="74961D9E" w14:textId="26E1BC80" w:rsidR="009D5B83" w:rsidRPr="009D5B83" w:rsidRDefault="009D5B83" w:rsidP="005F643C">
            <w:pPr>
              <w:rPr>
                <w:rFonts w:ascii="Calibri" w:eastAsia="Times New Roman" w:hAnsi="Calibri" w:cs="Calibri"/>
                <w:color w:val="000000"/>
              </w:rPr>
            </w:pPr>
          </w:p>
        </w:tc>
      </w:tr>
      <w:tr w:rsidR="009D5B83" w:rsidRPr="009D5B83" w14:paraId="0C57AC1F"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3FF3F054" w14:textId="77777777" w:rsidR="009D5B83" w:rsidRPr="009D5B83" w:rsidRDefault="009D5B83" w:rsidP="00174A2E">
            <w:pPr>
              <w:rPr>
                <w:rFonts w:ascii="Calibri" w:eastAsia="Times New Roman" w:hAnsi="Calibri" w:cs="Calibri"/>
                <w:b/>
                <w:bCs/>
                <w:color w:val="000000"/>
              </w:rPr>
            </w:pPr>
            <w:r w:rsidRPr="009D5B83">
              <w:rPr>
                <w:rFonts w:ascii="Calibri" w:eastAsia="Times New Roman" w:hAnsi="Calibri" w:cs="Calibri"/>
                <w:b/>
                <w:bCs/>
                <w:color w:val="000000"/>
              </w:rPr>
              <w:t xml:space="preserve">What if our data is updated now, but should have been updated months ago? </w:t>
            </w:r>
          </w:p>
        </w:tc>
      </w:tr>
      <w:tr w:rsidR="009D5B83" w:rsidRPr="009D5B83" w14:paraId="44189428"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0C7992D6" w14:textId="45307D28" w:rsidR="009D5B83" w:rsidRDefault="009D5B83" w:rsidP="00174A2E">
            <w:pPr>
              <w:rPr>
                <w:rFonts w:ascii="Calibri" w:eastAsia="Times New Roman" w:hAnsi="Calibri" w:cs="Calibri"/>
                <w:color w:val="000000"/>
              </w:rPr>
            </w:pPr>
            <w:r w:rsidRPr="009D5B83">
              <w:rPr>
                <w:rFonts w:ascii="Calibri" w:eastAsia="Times New Roman" w:hAnsi="Calibri" w:cs="Calibri"/>
                <w:color w:val="000000"/>
              </w:rPr>
              <w:t xml:space="preserve"> Better late than never! Unfortunately, if the data was included in reports there is no way to go back and add this to those submitted reports. It is still important to update the Primary Nighttime Residence codes and Unaccompanied Homeless Youth flags even if we are not in a reporting window. This allows Amelia to see the data accurately representing need.</w:t>
            </w:r>
          </w:p>
          <w:p w14:paraId="703E4EA1" w14:textId="77777777" w:rsidR="009D5B83" w:rsidRDefault="009D5B83" w:rsidP="00174A2E">
            <w:pPr>
              <w:rPr>
                <w:rFonts w:ascii="Calibri" w:eastAsia="Times New Roman" w:hAnsi="Calibri" w:cs="Calibri"/>
                <w:color w:val="000000"/>
              </w:rPr>
            </w:pPr>
          </w:p>
          <w:p w14:paraId="1A72E06E" w14:textId="2874309C" w:rsidR="009D5B83" w:rsidRPr="009D5B83" w:rsidRDefault="009D5B83" w:rsidP="00174A2E">
            <w:pPr>
              <w:rPr>
                <w:rFonts w:ascii="Calibri" w:eastAsia="Times New Roman" w:hAnsi="Calibri" w:cs="Calibri"/>
                <w:color w:val="000000"/>
              </w:rPr>
            </w:pPr>
          </w:p>
        </w:tc>
      </w:tr>
      <w:tr w:rsidR="009D5B83" w:rsidRPr="009D5B83" w14:paraId="3D89E816"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tcPr>
          <w:p w14:paraId="1C106F48" w14:textId="3DA87EE3" w:rsidR="009D5B83" w:rsidRPr="009D5B83" w:rsidRDefault="009D5B83" w:rsidP="009D5B83">
            <w:pPr>
              <w:jc w:val="center"/>
              <w:rPr>
                <w:rFonts w:ascii="Calibri" w:eastAsia="Times New Roman" w:hAnsi="Calibri" w:cs="Calibri"/>
                <w:b/>
                <w:bCs/>
                <w:color w:val="000000"/>
                <w:highlight w:val="yellow"/>
              </w:rPr>
            </w:pPr>
            <w:r w:rsidRPr="009D5B83">
              <w:rPr>
                <w:rFonts w:ascii="Calibri" w:eastAsia="Times New Roman" w:hAnsi="Calibri" w:cs="Calibri"/>
                <w:b/>
                <w:bCs/>
                <w:color w:val="000000"/>
                <w:highlight w:val="yellow"/>
              </w:rPr>
              <w:t>Additional Resources</w:t>
            </w:r>
          </w:p>
        </w:tc>
      </w:tr>
      <w:tr w:rsidR="009D5B83" w:rsidRPr="009D5B83" w14:paraId="56ABC2BE"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7345C537" w14:textId="77777777" w:rsidR="009D5B83" w:rsidRPr="009D5B83" w:rsidRDefault="009D5B83" w:rsidP="00AA2D11">
            <w:pPr>
              <w:rPr>
                <w:rFonts w:ascii="Calibri" w:eastAsia="Times New Roman" w:hAnsi="Calibri" w:cs="Calibri"/>
                <w:b/>
                <w:bCs/>
                <w:color w:val="000000"/>
              </w:rPr>
            </w:pPr>
            <w:r w:rsidRPr="009D5B83">
              <w:rPr>
                <w:rFonts w:ascii="Calibri" w:eastAsia="Times New Roman" w:hAnsi="Calibri" w:cs="Calibri"/>
                <w:b/>
                <w:bCs/>
                <w:color w:val="000000"/>
              </w:rPr>
              <w:t>ME DOE Webpage: https://www.maine.gov/doe/index.php/schools/safeschools/highmobility/homelessed</w:t>
            </w:r>
          </w:p>
        </w:tc>
      </w:tr>
      <w:tr w:rsidR="009D5B83" w:rsidRPr="009D5B83" w14:paraId="381B21CC" w14:textId="77777777" w:rsidTr="009D5B83">
        <w:trPr>
          <w:trHeight w:val="288"/>
        </w:trPr>
        <w:tc>
          <w:tcPr>
            <w:tcW w:w="9360" w:type="dxa"/>
            <w:tcBorders>
              <w:top w:val="single" w:sz="4" w:space="0" w:color="FFFFFF"/>
              <w:left w:val="single" w:sz="4" w:space="0" w:color="FFFFFF"/>
              <w:bottom w:val="single" w:sz="4" w:space="0" w:color="FFFFFF"/>
              <w:right w:val="single" w:sz="4" w:space="0" w:color="FFFFFF"/>
            </w:tcBorders>
            <w:noWrap/>
            <w:hideMark/>
          </w:tcPr>
          <w:p w14:paraId="165AE54B" w14:textId="77777777" w:rsidR="009D5B83" w:rsidRPr="009D5B83" w:rsidRDefault="009D5B83" w:rsidP="00AA2D11">
            <w:pPr>
              <w:rPr>
                <w:rFonts w:ascii="Calibri" w:eastAsia="Times New Roman" w:hAnsi="Calibri" w:cs="Calibri"/>
                <w:b/>
                <w:bCs/>
                <w:color w:val="000000"/>
              </w:rPr>
            </w:pPr>
            <w:r w:rsidRPr="009D5B83">
              <w:rPr>
                <w:rFonts w:ascii="Calibri" w:eastAsia="Times New Roman" w:hAnsi="Calibri" w:cs="Calibri"/>
                <w:b/>
                <w:bCs/>
                <w:color w:val="000000"/>
              </w:rPr>
              <w:t>NCHE Data Collection Guide: https://nche.ed.gov/wp-content/uploads/2019/05/Data-Collection-Guide-SY-18.19.pdf</w:t>
            </w:r>
          </w:p>
        </w:tc>
      </w:tr>
    </w:tbl>
    <w:p w14:paraId="44F8A84A" w14:textId="77777777" w:rsidR="00922448" w:rsidRPr="00481EC5" w:rsidRDefault="009D5B83">
      <w:pPr>
        <w:rPr>
          <w:sz w:val="24"/>
          <w:szCs w:val="24"/>
        </w:rPr>
      </w:pPr>
    </w:p>
    <w:sectPr w:rsidR="00922448" w:rsidRPr="00481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C854" w14:textId="77777777" w:rsidR="009D5B83" w:rsidRDefault="009D5B83" w:rsidP="001B025D">
      <w:pPr>
        <w:spacing w:after="0" w:line="240" w:lineRule="auto"/>
      </w:pPr>
      <w:r>
        <w:separator/>
      </w:r>
    </w:p>
  </w:endnote>
  <w:endnote w:type="continuationSeparator" w:id="0">
    <w:p w14:paraId="21B4BBAE" w14:textId="77777777" w:rsidR="009D5B83" w:rsidRDefault="009D5B83" w:rsidP="001B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F0B5" w14:textId="77777777" w:rsidR="009D5B83" w:rsidRDefault="009D5B83" w:rsidP="001B025D">
      <w:pPr>
        <w:spacing w:after="0" w:line="240" w:lineRule="auto"/>
      </w:pPr>
      <w:r>
        <w:separator/>
      </w:r>
    </w:p>
  </w:footnote>
  <w:footnote w:type="continuationSeparator" w:id="0">
    <w:p w14:paraId="7C0D28D3" w14:textId="77777777" w:rsidR="009D5B83" w:rsidRDefault="009D5B83" w:rsidP="001B0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ED"/>
    <w:rsid w:val="00056E27"/>
    <w:rsid w:val="0007267A"/>
    <w:rsid w:val="001B025D"/>
    <w:rsid w:val="003C4145"/>
    <w:rsid w:val="00481EC5"/>
    <w:rsid w:val="004E02DF"/>
    <w:rsid w:val="00686561"/>
    <w:rsid w:val="007D3800"/>
    <w:rsid w:val="008B1E55"/>
    <w:rsid w:val="009D5B83"/>
    <w:rsid w:val="00B220ED"/>
    <w:rsid w:val="00CB7A67"/>
    <w:rsid w:val="00E3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7637"/>
  <w15:chartTrackingRefBased/>
  <w15:docId w15:val="{58ECF362-524E-4FD1-AA1D-DDC34EFA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25D"/>
  </w:style>
  <w:style w:type="paragraph" w:styleId="Footer">
    <w:name w:val="footer"/>
    <w:basedOn w:val="Normal"/>
    <w:link w:val="FooterChar"/>
    <w:uiPriority w:val="99"/>
    <w:unhideWhenUsed/>
    <w:rsid w:val="001B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5D"/>
  </w:style>
  <w:style w:type="table" w:styleId="TableGrid">
    <w:name w:val="Table Grid"/>
    <w:basedOn w:val="TableNormal"/>
    <w:uiPriority w:val="39"/>
    <w:rsid w:val="009D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14685">
      <w:bodyDiv w:val="1"/>
      <w:marLeft w:val="0"/>
      <w:marRight w:val="0"/>
      <w:marTop w:val="0"/>
      <w:marBottom w:val="0"/>
      <w:divBdr>
        <w:top w:val="none" w:sz="0" w:space="0" w:color="auto"/>
        <w:left w:val="none" w:sz="0" w:space="0" w:color="auto"/>
        <w:bottom w:val="none" w:sz="0" w:space="0" w:color="auto"/>
        <w:right w:val="none" w:sz="0" w:space="0" w:color="auto"/>
      </w:divBdr>
    </w:div>
    <w:div w:id="1523276337">
      <w:bodyDiv w:val="1"/>
      <w:marLeft w:val="0"/>
      <w:marRight w:val="0"/>
      <w:marTop w:val="0"/>
      <w:marBottom w:val="0"/>
      <w:divBdr>
        <w:top w:val="none" w:sz="0" w:space="0" w:color="auto"/>
        <w:left w:val="none" w:sz="0" w:space="0" w:color="auto"/>
        <w:bottom w:val="none" w:sz="0" w:space="0" w:color="auto"/>
        <w:right w:val="none" w:sz="0" w:space="0" w:color="auto"/>
      </w:divBdr>
    </w:div>
    <w:div w:id="21186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4515-08C8-4654-8463-C9DB939C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Cookson, AlLee</dc:creator>
  <cp:keywords/>
  <dc:description/>
  <cp:lastModifiedBy>Cookson, Alexandra</cp:lastModifiedBy>
  <cp:revision>1</cp:revision>
  <dcterms:created xsi:type="dcterms:W3CDTF">2023-04-25T18:01:00Z</dcterms:created>
  <dcterms:modified xsi:type="dcterms:W3CDTF">2023-04-25T18:09:00Z</dcterms:modified>
</cp:coreProperties>
</file>