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Toc382082357"/>
      <w:bookmarkStart w:id="1" w:name="_Toc392159258"/>
      <w:r w:rsidRPr="00781112">
        <w:rPr>
          <w:rFonts w:cs="Arial"/>
          <w:b/>
          <w:bCs/>
          <w:smallCaps/>
          <w:color w:val="000000" w:themeColor="text1"/>
          <w:sz w:val="32"/>
          <w:szCs w:val="32"/>
        </w:rPr>
        <w:t>State Performance Plan / Annual Performance Report: Part B</w:t>
      </w:r>
    </w:p>
    <w:p w14:paraId="775F9C1C"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5578F2B"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E53761" w:rsidRPr="00781112">
        <w:rPr>
          <w:rFonts w:cs="Arial"/>
          <w:b/>
          <w:bCs/>
          <w:color w:val="000000" w:themeColor="text1"/>
          <w:sz w:val="28"/>
          <w:szCs w:val="28"/>
        </w:rPr>
        <w:t>2020</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Maine</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2B1C2D9A"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2022</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767D9111" w:rsidR="00AF5649" w:rsidRPr="00781112" w:rsidRDefault="00AF5649" w:rsidP="004369B2">
      <w:pPr>
        <w:rPr>
          <w:color w:val="000000" w:themeColor="text1"/>
        </w:rPr>
      </w:pPr>
      <w:r w:rsidRPr="00781112">
        <w:rPr>
          <w:b/>
          <w:color w:val="000000" w:themeColor="text1"/>
        </w:rPr>
        <w:t>Executive Summary</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 xml:space="preserve">The Maine Department of Education (Maine DOE) Office of Special Services and Child Development Services (CDS) implement the birth to twenty (B-20) General Supervision System to manage and oversee all aspects of effective implementation and integrated monitoring activities pursuant to the Individuals with Disabilities Education Act (IDEA). Maine has extended its General Supervision to include education through the 22nd birthday as rulemaking is established regarding the administrative letter found here: https://mainedoenews.net/2021/01/21/administrative-letter-change-in-the-ending-age-for-special-education-eligibility-effective-immediately/ . </w:t>
        <w:br/>
        <w:t xml:space="preserve">Evaluations and interventions of Local Education Agencies (LEAs) focus on improving infant, toddler and school-age student outcomes. The process is designed to enhance partnerships among the Maine DOE Office of Special Services, CDS, LEAs, other educational and community agencies, service providers, and parents in implementing Part C and Part B of the Individuals with Disabilities Education Act (IDEA). These partnerships focus on early intervention and special education services and systems that directly impact results for children and the development and implementation of improvement strategies to address identified needs. </w:t>
        <w:br/>
        <w:t>Maine DOE monitoring activities are dedicated to improving educational results and purposeful outcomes for all children with disabilities. The Department continues to ensure districts and regional CDS sites provide programs and services for children with disabilities as described and required under federal law Section 616 of the 2004 Amendments to the Individuals with Disabilities Education Act (IDEA). Multiple data sources and methods are used to monitor every LEA in the state. Integrated on-site and off-site monitoring activities ensure Maine's capacity to identify and correct noncompliance and facilitate improved performance. Additionally, Maine DOE provides technical assistance, professional development, and a variety of resources with the purpose of developing supports that are accessible to LEAs and stakeholders around the state. The Introduction sections below address Maine's General Supervision System, Technical Assistance, Professional Development, Stakeholder Involvement, and Public Reporting.</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r w:rsidRPr="00781112">
        <w:rPr>
          <w:color w:val="000000" w:themeColor="text1"/>
        </w:rPr>
        <w:t xml:space="preserve">In addition to data collected from each LEA through a statewide data system, APR data are also collected through monitoring activities. Based on data from both sources, all LEAs receive and review, on a yearly basis, a letter with their determination status, the rubric “Local Determination Levels Assistance and Enforcement”, and the LEA profile. The profiles provide indicator-specific data to the LEA and to the public for use in program improvement. The LEA profiles are used as the basis for determinations of LEA program performance. The indicators are evaluated for level of determination to provide the LEA with measurement-specific feedback on their implementation of IDEA.</w:t>
        <w:br/>
        <w:t xml:space="preserve">Maine DOE's data manager works collaboratively with the federal programs coordinator for the collection of State and LEA data and performance measures, corrections of noncompliance and activities supporting LEAs improving results for children with disabilities. The CDS Deputy Director and Quality Assurance Director are responsible for the collection of CDS data and performance measures, corrections of noncompliance and activities supporting CDS sites improving results for pre-school children with disabilities. Outcomes of the SPP inform monitoring activities (e.g., child find, transition from early intervention and postsecondary transition planning). </w:t>
      </w: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252</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B6CEAB0" w14:textId="77777777" w:rsidR="00AF5649" w:rsidRPr="00781112" w:rsidRDefault="00AF5649" w:rsidP="00AF5649">
      <w:pPr>
        <w:rPr>
          <w:rFonts w:cs="Arial"/>
          <w:b/>
          <w:color w:val="000000" w:themeColor="text1"/>
          <w:szCs w:val="16"/>
        </w:rPr>
      </w:pPr>
      <w:r w:rsidRPr="00781112">
        <w:rPr>
          <w:rFonts w:cs="Arial"/>
          <w:b/>
          <w:color w:val="000000" w:themeColor="text1"/>
          <w:szCs w:val="16"/>
        </w:rPr>
        <w:t>The systems that are in place to ensure that IDEA Part B requirements are met, e.g., monitoring, dispute resolution, etc.</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 xml:space="preserve">Schools in the State of Maine are organized into School Administrative Units (SAUs) as defined by Maine Statute, 20-A MRSA Section 1 (26). An SAU is a State-approved unit of school administration and includes only the following: </w:t>
        <w:br/>
        <w:t xml:space="preserve">1. A municipal school unit; </w:t>
        <w:br/>
        <w:t xml:space="preserve">2. A regional school unit formed pursuant to chapter 103-A; </w:t>
        <w:br/>
        <w:t xml:space="preserve">3. An alternative organizational structure as approved by the commissioner and approved by the voters; </w:t>
        <w:br/>
        <w:t xml:space="preserve">4. A school administrative district that does not provide public education for the entire span of kindergarten to grade 12 that has not reorganized as a regional school unit pursuant to Chapter 103-A; </w:t>
        <w:br/>
        <w:t xml:space="preserve">5. A community school district that has not reorganized as a regional school unit pursuant to chapter 103- A; </w:t>
        <w:br/>
        <w:t xml:space="preserve">6. A municipal or quasi-municipal district responsible for operating public schools that has not reorganized as a regional school unit pursuant to chapter 103-A; </w:t>
        <w:br/>
        <w:t xml:space="preserve">7. A municipal school unit, school administrative district, community school district, regional school unit or any other quasi-municipal district responsible for operating public schools that forms a part of an alternative organizational structure approved by the commissioner; and </w:t>
        <w:br/>
        <w:t xml:space="preserve">8. A public charter school authorized under chapter 112 by an entity other than a local school board. </w:t>
        <w:br/>
        <w:t xml:space="preserve">Throughout this APR, the terms SAU, LEA and district will be used interchangeably. </w:t>
        <w:br/>
        <w:t xml:space="preserve">Child Development Services (CDS) is the governmental entity that serves as an Intermediate Educational Unit (IEU) of the Maine Department of Education (Maine DOE). As described in state statute: The Maine DOE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MRSA 20- A §7209(3). </w:t>
        <w:br/>
        <w:t xml:space="preserve">The General Supervision System (GSS) manages and oversees the needs of children with disabilities ages birth through 21 as required by the Individuals with Disabilities Education Act (IDEA) and is overseen by the federal Office of Special Education Programs. </w:t>
        <w:br/>
        <w:t xml:space="preserve">GSS assumes the following responsibilities: </w:t>
        <w:br/>
        <w:t>State Performance Plan (SPP): The SPP is an accountability mechanism for the State and Maine SAUs. It provides measurable indication of Maine's performance in specific statutory priority areas of IDEA. Maine Department of Education (DOE) is responsible for the SPP.</w:t>
        <w:br/>
        <w:t/>
        <w:br/>
        <w:t xml:space="preserve">Special Education is governed by the Individuals with Disabilities Education Act (IDEA) and is defined as “specially designed instruction, at no cost to parents, to meet the unique needs of a child with a disability”. In Maine, the rule chapter that is specific to the education of children with disabilities is Maine Department of Education Regulations, Chapter 101, Maine Unified Special Education Regulation Birth to Age Twenty (MUSER). </w:t>
        <w:br/>
        <w:t xml:space="preserve">The MUSER Summary states the following: </w:t>
        <w:br/>
        <w:t>“SUMMARY: This rule governs the administration of the child find system for children age birth to twenty, the provision of early intervention services to eligible children birth to under age 3 (B-2) with disabilities and their families, and the provision of special education and related services to eligible children age three to twenty with disabilities and their families, implementing 20-A MRSA Chapters 301, and 303 and amendments thereto.”</w:t>
        <w:br/>
        <w:t>An Administrative Letter outlining a change in the ending age for special education eligibility was issued January 21, 2021 and stated that Maine will implement the “federal standard” and provide FAPE to eligible students until their 22nd birthday. The administrative letter is located at the following url: https://mainedoenews.net/2021/01/21/administrative-letter-change-in-the-ending-age-for-special-education-eligibility-effective-immediately/</w:t>
        <w:br/>
        <w:t>To address this change, as well as to streamline other components of MUSER, the Special Services Team at Maine DOE is working to review and rewrite MUSER. However, any amendments to MUSER have been put on pause until the next Legislative Session.</w:t>
        <w:br/>
        <w:t xml:space="preserve">Maine DOE's data manager works collaboratively with the federal programs coordinator for the collection of State and LEA data and performance measures, corrections of noncompliance and activities supporting LEAs improving results for children with disabilities. The CDS Deputy Director and Quality Assurance Director are responsible for the collection of CDS data and performance measures, corrections of noncompliance and activities supporting CDS sites improving results for pre-school children with disabilities. Outcomes of the SPP inform monitoring activities (e.g., child find, transition from early intervention and postsecondary transition planning). </w:t>
        <w:br/>
        <w:t xml:space="preserve">Integrated Monitoring Activities: Monitoring activities are dedicated to improving educational results and purposeful outcomes for all children with disabilities. The Department continues to ensure districts and regional CDS sites provide programs and services for children with disabilities as described and required under federal law Section 616 of the 2004 Amendments to the Individuals with Disabilities Education Act (IDEA). Multiple data sources and methods are used to monitor every SAU in the state. Integrated on-site and off-site monitoring activities ensure Maine's capacity to identify and correct noncompliance and facilitate improved performance. </w:t>
        <w:br/>
        <w:t xml:space="preserve">Policies, Procedures &amp; Effective Implementation: The State of Maine has policies, procedures and effective implementation of practices that are aligned with and support the implementation of IDEA. The policies and procedures include descriptions of methods the State will use to detect non-compliance and ensure correction of non-compliance when found. Effective implementation of policies, procedures and practices also addresses program improvement through planning, coordination, incentives and follow-up. Policies, procedures, and effective implementation or practices, aligned with IDEA, are designed to support program improvement and focus attention on specific areas of compliance and program performance as identified through an analysis of data. Resources are available on the following webpage: https://www.maine.gov/doe/learning/specialed. </w:t>
        <w:br/>
        <w:t xml:space="preserve">Effective Dispute Resolution: The timely resolution of complaints, mediations and due process actions is required for complaint dispute resolutions. Effective Dispute Resolution addresses matters related to due process procedures such as mediations, hearings and complaint investigations. The due process team provides training for mediators and hearing officials, school personnel, agency personnel and parents. Technical assistance is available to school districts and parents. Maine's State Complaint Investigation Reports contain findings of Maine's Education Commissioner as to whether violations of law under IDEA and/or State special education laws or regulations have occurred. Findings of violation typically result in a corrective action plan. </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2BA80156"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evidenced 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 xml:space="preserve">Maine Department of Education and Child Development Services (CDS) provide a range of technical assistance, from minimal assistance to substantial interventions, to improve performance. Technical assistance is implemented at varying levels and through multiple means such as websites, local, regional and/or state-wide meetings and conferences, virtual or direct training from state personnel and from other resources. </w:t>
        <w:br/>
        <w:t xml:space="preserve">Maine DOE and CDS have several mechanisms in place to ensure high quality, evidence-based practices and support to LEAs occurs in a timely manner. Structures that exist within the Office of Special Services and CDS connect technical assistance and professional development initiatives across the Department of Education and through National TA Centers to provide collaborative technical assistance.  </w:t>
        <w:br/>
        <w:t xml:space="preserve">Targeted technical assistance: As needs arise, Maine DOE is able to direct the quality of the effective implementation of policies and procedures through targeted technical assistance. The department is informed of needs directly by districts, regional CDS sites, contracted providers, community members, families or the Maine Administrators of Services for Children with Disabilities (MADSEC). Technical assistance is then designed to meet the needs of the LEA and can take any variety of forms, including on-line resources, documents, coaching, mentoring, and training of trainers or leader teams. In addition, Maine DOE regularly communicates with LEA's regarding current issues and offers guidance in a publication called the Maine DOE Update. </w:t>
        <w:br/>
        <w:t>In an effort to maintain support to the field, the Special Services team offered regularly scheduled Office Hours from 9/8/20 through 6/24/21. During each session, the team shared the following information:</w:t>
        <w:br/>
        <w:t>-	Corresponding PowerPoint</w:t>
        <w:br/>
        <w:t>-	Procedural Manual</w:t>
        <w:br/>
        <w:t>-	Maine Unified Special Education Regulations (MUSER)</w:t>
        <w:br/>
        <w:t xml:space="preserve">The second Wednesday of each month was dedicated to specific topics, which were designed and organized prior to September, and the schedule, with all the topics, was presented to the field prior to their start. The last Friday of each month was an open Q&amp;A session, where the Supervision and Monitoring Team were available to respond to questions from the field. </w:t>
        <w:br/>
        <w:t>Special Services also offered consistent technical assistance via daily phone duty with a team member. This occurred on a rotating schedule, and each member of the team was available to respond to questions, concerns etc. from any constituent, including, but not limited to, school staff, parents, special education directors, consultants, related service providers, community members and/or others.</w:t>
        <w:br/>
        <w:t xml:space="preserve">The topic-specific sessions lasted approximately 45-60 minutes and all participants were offered a certificate of attendance. Office hours were recorded and the link to these archived trainings is: https://www.maine.gov/doe/learning/specialed/covid19/Administrators/Virtual%20Meeting%20Archives </w:t>
        <w:br/>
        <w:t>ECETA Trainings have also been offered during 2020-21. Staff from the Early Childhood Education Technical Assistance Center provided a series of trainings for Child Development Services staff. The series was comprised of four monthly sessions targeting Extended School Year Services, Least Restrictive Environment and making sound placement decisions, and Developmental Delay as a Disability Category. Sessions were held virtually for two-hour intervals and contained sample scenarios which were then discussed among the group of State and Site Directors, Program Managers, Administrators and Case Managers. Attendees were offered the opportunity for questions, many of which led to robust conversations in the various topic areas.</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 xml:space="preserve">Professional development, as part of an effective system of general supervision, is directly linked to the SPP/APR and a number of initiatives and improvement activities. Maine DOE and Child Development Services State IEU (CDSSIEU) provides a variety of opportunities to impact performance, from statewide activities to regional trainings, all with a purpose of developing supports that are accessible to LEAs around the state. Maine DOE Office of Special Services and CDSSIEU contracts and enters into working relationships with technical assistance, professional development, and dissemination of resources regionally and nationally to provide evidence-based practice professional development to educators and educator leaders, parents, and interested parties. </w:t>
        <w:br/>
        <w:t xml:space="preserve">Maine DOE and CDS have several mechanisms in place to ensure high quality, evidence-based practices and support to LEAs occurs in a timely manner. Structures that exist within the Office of Special Services and CDS connect to professional development initiatives across the Department of Education and include the following: </w:t>
        <w:br/>
        <w:t xml:space="preserve">New Directors Academy: In collaboration with the Maine Administrators of Services for Children with Disabilities (MADSEC) Maine DOE presents a multi-day training for special education directors and CDS regional directors in the field for two years or less. Trainings typically follow an alternating year schedule. By working with MADSEC the department is able to respond to the training needs of the State. </w:t>
        <w:br/>
        <w:t xml:space="preserve">Office Hours: Maine DOE has offered topic specific remote sessions throughout 2020-21. These Office Hours sessions have lasted between 45-60 minutes, and all participants were offered a certificate of attendance. Office hours were recorded, and the link to these archived trainings is: https://www.maine.gov/doe/learning/specialed/covid19/Administrators/Virtual%20Meeting%20Archives </w:t>
        <w:br/>
        <w:t>Other cohort-specific Professional Development trainings included the following:</w:t>
        <w:br/>
        <w:t>-	Cohort Training</w:t>
        <w:br/>
        <w:t>-	CAP Specific Training</w:t>
        <w:br/>
        <w:t>-	CAP Workshops</w:t>
        <w:br/>
        <w:t>-	How to Choose IEPs for Your Self-Assessment</w:t>
        <w:br/>
        <w:t>-	B13 Transition Planning</w:t>
        <w:br/>
        <w:t>-	IEP Training</w:t>
        <w:br/>
        <w:t>-	Written Notice Training</w:t>
        <w:br/>
        <w:t>-	Eligibility Forms Training</w:t>
        <w:br/>
        <w:t>-	Summary of Performance Training</w:t>
        <w:br/>
        <w:t>-	How to Close Your CAP Training</w:t>
        <w:br/>
        <w:t>-	Endrew F. and it’s Impact on IEP Development and FAPE</w:t>
        <w:br/>
        <w:t>-	What’s Next in Monitoring Process</w:t>
        <w:br/>
        <w:t>More individualized and specific trainings were also provided as specific questions and/or concerns were raised, and specific feedback was requested by the LEAs themselves, and included the following:</w:t>
        <w:br/>
        <w:t>-	CDS Trainings</w:t>
        <w:br/>
        <w:t>-	Proposed Training for Upcoming Audit</w:t>
        <w:br/>
        <w:t>-	IRLP Training</w:t>
        <w:br/>
        <w:t>-	Regional Program Training</w:t>
        <w:br/>
        <w:t>-	Specific LEA Desk Audit Questions/Feedback</w:t>
        <w:br/>
        <w:t>-	Specific LEA Monitoring Review</w:t>
        <w:br/>
        <w:t xml:space="preserve">All contractors providing technical assistance to regional sites in the State are supported by national technical assistance centers in order to provide the most current practice available. All work done by contracted individuals must be consistent with Office of Special Education Programs (OSEP) SPP and APR indicators as well as Maine Unified Special Education Regulations (MUSER). </w:t>
        <w:br/>
        <w:t xml:space="preserve">State Systemic Improvement Plan (SSIP): Maine's SSIP, entitled Math4ME, provides professional development on math content and evidence-based teaching practices to instructors who teach math to students with disabilities. Trained teachers additionally receive coaching during the school year from a Teacher-Leader who has received advanced training on math content and pedagogy. Details of the Math4ME initiative are described in Indicator 17 of the Annual Performance Report. </w:t>
        <w:br/>
        <w:t>PBIS (Positive Behavior Interventions &amp; Supports): PBIS programming promotes school-wide systemic behavior change in elementary, middle, and high schools. Through a collaborative with the University of Maine, there is a new cohort of 15 schools who started training.</w:t>
        <w:br/>
        <w:t>Dyslexia: In partnership with EarlyBird Education, this initiative provides access to a gamified literacy/dyslexia screener application LEAs and is accompanied with data and literacy focused professional development.</w:t>
        <w:br/>
        <w:t>Maine Autism Institute for Education and Research (MAIER): MAIER is a collaborative with the department and the University of Maine to build statewide support for autistic students through training, professional development, technical assistance, collaborative consultation, technology, and research.</w:t>
        <w:br/>
        <w:t xml:space="preserve">Maine also continues to access support from the National Technical Assistance Center for Transition (NTACT) to improve indicator B-13 compliance. NTACT has also assisted in the dissemination of professional development addressing standards aligned IEP development. </w:t>
      </w:r>
    </w:p>
    <w:p w14:paraId="0D25C7E9" w14:textId="3ADA39B6" w:rsidR="00AF5649" w:rsidRPr="00781112" w:rsidRDefault="00F72E24" w:rsidP="004369B2">
      <w:pPr>
        <w:rPr>
          <w:color w:val="000000" w:themeColor="text1"/>
        </w:rPr>
      </w:pPr>
      <w:r w:rsidRPr="00781112">
        <w:rPr>
          <w:b/>
          <w:color w:val="000000" w:themeColor="text1"/>
        </w:rPr>
        <w:t>Broad Stakeholder Input:</w:t>
      </w:r>
    </w:p>
    <w:p w14:paraId="0EB1658A" w14:textId="77777777" w:rsidR="006457D1" w:rsidRPr="006457D1" w:rsidRDefault="006457D1" w:rsidP="006457D1">
      <w:pPr>
        <w:rPr>
          <w:rFonts w:cs="Arial"/>
          <w:b/>
          <w:color w:val="000000" w:themeColor="text1"/>
          <w:szCs w:val="16"/>
        </w:rPr>
      </w:pPr>
      <w:r w:rsidRPr="006457D1">
        <w:rPr>
          <w:rFonts w:cs="Arial"/>
          <w:b/>
          <w:color w:val="000000" w:themeColor="text1"/>
          <w:szCs w:val="16"/>
        </w:rPr>
        <w:t>The mechanisms for soliciting broad stakeholder input on the State’s targets in the SPP/APR and any subsequent revisions that the State has made to those targets, and the development and implementation of Indicator 17, the State’s Systemic Improvement Plan (SSIP).</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159721AE" w14:textId="7E456FC5" w:rsidR="00084FF1" w:rsidRPr="00781112" w:rsidRDefault="00084FF1" w:rsidP="000C24C2">
      <w:pPr>
        <w:rPr>
          <w:rFonts w:cs="Arial"/>
          <w:b/>
          <w:color w:val="000000" w:themeColor="text1"/>
          <w:szCs w:val="16"/>
        </w:rPr>
      </w:pPr>
      <w:r w:rsidRPr="00781112">
        <w:rPr>
          <w:rFonts w:cs="Arial"/>
          <w:b/>
          <w:color w:val="000000" w:themeColor="text1"/>
          <w:szCs w:val="16"/>
        </w:rPr>
        <w:t>Apply stakeholder involvement 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32</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 xml:space="preserve">Parent participation on the State Advisory Panel and other advisory committees is strong in Maine. The State Advisory Panel (SAP) has strong representation of community stakeholders, including 6 members who are either parents or individuals with disabilities. One fourth of members on Tthe State Dyslexia Stakeholder Group are either parents of children with a disability or individuals with a disability; the Positive Behavioral Interventions and Supports (PBIS) Stakeholder Group has 3 parents or individuals with a disability among its 20 members; and the Math4ME (SSIP) Stakeholder group has 12 members including 2 who are either parents of children with a disability or individuals with a disability. The state also invites parent participation through more informal meetings and communication with the Maine Parent Federation.  </w:t>
        <w:br/>
        <w:t xml:space="preserve">These stakeholder groups and the SAP play a direct role in analyzing data, setting targets, developing improvement strategies, and evaluating progress in activities reported in this SPP/APR. Additionally, to expand parent engagement in development of the new SPP/APR targets and long term strategies to improve student outcomes, throughout 2021, the MPF worked directly with Maine DOE staff in creating a series of recorded videos designed to present APR indicator content, historical data, analysis of trends/forecasts, and implementation strategies to parents and the public. The videos were produced by MPF staff, are presented in non-technical language, and include links to surveys for stakeholder and parent input and suggested target-setting. Maine DOE and MPF publications/announcements on official websites, social media, and announcements at live conference sessions helped to ensure wide dissemination of opportunities for participation. The MPF also conducted multiple live sessions that included the presentation of APR indicator content, historical data, analysis of trends/forecasts, and implementation strategies to parents and the public. These sessions were advertised by DOE and MPF via social media, email, list serves and the Maine DOE website. </w:t>
        <w:br/>
        <w:t xml:space="preserve">Additionally, the Maine DOE Dispute Resolution Team also continues to use established systems to engages parent members to provide opportunities for feedback on the dispute resolution process. Parent members present in the mediations and dispute resolution activities are provided with feedback forms for input on mediations and due process activities. This information is then reviewed by the team and is shared with the mediators and hearing officers. It continues to provide valuable data to improve dispute resolution practice. </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 xml:space="preserve">Supporting diversity of parent participation is a priority for Maine. The capacity for diverse groups of parents to participate in the development of implementation activities is supported in several ways. As noted above, stakeholder groups and the State Advisory Panel (SAP) have strong representation of diverse stakeholders, including parents and public members. The State Dyslexia Stakeholder Group has 20 members, including 5 members who are either parents of children with a disability or individuals with a disability. The Positive Behavioral Interventions and Supports (PBIS) Stakeholder Group has 3 parents or individuals with a disability among its 20 members. The Math4ME (SSIP) Stakeholder group has 12 members including 2 who are either parents of children with a disability or individuals with a disability. The State Advisory Panel has strong representation of community stakeholders, including 6 members who are either parents or individuals with disabilities. Additionally, Maine DOE continues to collaborate with the Maine Parent Federation to formulate strategies, including current ongoing outreach through social media and Maine DOE website postings, to recruit additional parent members and increase the diversity of parents to participate as members of stakeholder groups, the SAP, and recently-formed workgroups such as the Extended Eligibility workgroup, which seeks to improve transition planning for students with disabilities exiting high school.    </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The same methods and timelines were used to solicit public input as those used for parent input. As noted above, these included the collaboration of Maine DOE and the Maine Parent Federation in the creation of recorded videos to present APR indicator content, historical data, analysis of trends/forecasts, and implementation strategies for the parents and the public. The videos were presented in non-technical language and include links to surveys for stakeholder input and suggested target-setting. Maine DOE and Maine Parent Federation publications/announcements on official websites, social media, and announcements at live conference sessions helped to ensure wide dissemination of opportunities for participation. The SAP and state advisory groups have strong representation of stakeholders, including parents and public members. The State Advisory Panel met virtually every month throughout 2021. Discussions focused on data analysis, improvement strategies, evaluation of progress and target-setting, The State Advisory Panel includes public members and meetings are open to the public. Discussions included historical data analysis of APR targets, the presentation of forecasting/regression models to anticipate future performance, the development of improvement strategies, and target-setting.</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The results of the data analysis, evaluation, target setting, improvement strategies will be made available through several sources, including publication of the FFY2020 SPP/APR, public DOE Newsroom notices, and public SAP meetings in the Spring of 2022. Additionally, Maine DOE will collaborate with the Maine Parent Federation to provide informational sessions to parents and the public on the outcomes of stakeholder input in the development of APR targets and Improvement strategies.</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7621797C" w:rsidR="00AF5649" w:rsidRPr="00781112" w:rsidRDefault="00AF5649" w:rsidP="004369B2">
      <w:pPr>
        <w:rPr>
          <w:b/>
          <w:color w:val="000000" w:themeColor="text1"/>
        </w:rPr>
      </w:pPr>
      <w:r w:rsidRPr="00781112">
        <w:rPr>
          <w:b/>
          <w:color w:val="000000" w:themeColor="text1"/>
        </w:rPr>
        <w:t>How and where the State reported to the public on the FFY 2019 performance of each LEA located in the State on the targets in the SPP/APR as soon as practicable, but no later than 120 days following the State’s submission of its FFY 2019 APR, as required by 34 CFR §300.602(b)(1)(i)(A); and a description of where, on its Web site, a complete copy of the State’s SPP/APR, including any revision if the State has revised the targets that it submitted with its FFY 2019 APR in 2021,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Public reporting on LEA performance is a critical provision in ensuring accountability and focusing on improved results for children with disabilities. All LEAs receive and review, on a yearly basis, a letter with their determination status and LEA profile. The profiles provide indicator-specific data to the LEA and to the public for use in program improvement. The LEA profiles are used as the basis for determinations of LEA program performance. The indicators are evaluated for level of determination to provide the LEA with measurement-specific feedback on their implementation of IDEA. The individual determinations are then used to develop an overall determination with respect to the requirements of the SPP in one of the four required categories: Meets Requirements; Needs Assistance; Needs Intervention; or Needs Substantial Intervention. These determinations set the level of support and intervention provided and define areas of required action and follow-up. </w:t>
        <w:br/>
        <w:t>A complete copy of Maine’s FFY2019 APR, LEA determinations, and performance of LEAs on the SPP/APR targets are posted on the following webpage: https://www.maine.gov/doe/learning/specialed/data/public.</w:t>
        <w:br/>
        <w:t>Additionally, student assessment data are available on the following wepage: https://www.maine.gov/doe/Testing_Accountability/MECAS/results.</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lastRenderedPageBreak/>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None</w:t>
      </w:r>
    </w:p>
    <w:p w14:paraId="6ECA4985" w14:textId="77777777" w:rsidR="008C56EE" w:rsidRPr="00781112" w:rsidRDefault="008C56EE" w:rsidP="000B4AA4">
      <w:pPr>
        <w:rPr>
          <w:rFonts w:cs="Arial"/>
          <w:color w:val="000000" w:themeColor="text1"/>
          <w:szCs w:val="16"/>
        </w:rPr>
      </w:pPr>
    </w:p>
    <w:bookmarkEnd w:id="2"/>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2B7490" w:rsidP="001F692C">
      <w:pPr>
        <w:rPr>
          <w:rFonts w:cs="Arial"/>
          <w:color w:val="000000" w:themeColor="text1"/>
          <w:szCs w:val="16"/>
        </w:rPr>
      </w:pPr>
      <w:r w:rsidRPr="00781112">
        <w:rPr>
          <w:rFonts w:cs="Arial"/>
          <w:color w:val="000000" w:themeColor="text1"/>
          <w:szCs w:val="16"/>
        </w:rPr>
        <w:t/>
      </w: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2B7490" w:rsidP="001F692C">
      <w:pPr>
        <w:rPr>
          <w:rFonts w:cs="Arial"/>
          <w:color w:val="000000" w:themeColor="text1"/>
          <w:szCs w:val="16"/>
        </w:rPr>
      </w:pPr>
      <w:r w:rsidRPr="00781112">
        <w:rPr>
          <w:rFonts w:cs="Arial"/>
          <w:color w:val="000000" w:themeColor="text1"/>
          <w:szCs w:val="16"/>
        </w:rPr>
        <w:t/>
      </w: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0"/>
      <w:bookmarkEnd w:id="1"/>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3"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EDFacts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w:t>
      </w:r>
      <w:proofErr w:type="gramStart"/>
      <w:r w:rsidR="0084727C" w:rsidRPr="00781112">
        <w:rPr>
          <w:rFonts w:cs="Arial"/>
          <w:szCs w:val="16"/>
          <w:shd w:val="clear" w:color="auto" w:fill="FFFFFF"/>
        </w:rPr>
        <w:t>youth</w:t>
      </w:r>
      <w:proofErr w:type="gramEnd"/>
      <w:r w:rsidR="0084727C" w:rsidRPr="00781112">
        <w:rPr>
          <w:rFonts w:cs="Arial"/>
          <w:szCs w:val="16"/>
          <w:shd w:val="clear" w:color="auto" w:fill="FFFFFF"/>
        </w:rPr>
        <w:t xml:space="preserve">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B2E61CE"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Describe the results of the State’s examination of the data for the year before the reporting year (e.g., for the FFY 2020 SPP/APR, use data from 201</w:t>
      </w:r>
      <w:r w:rsidRPr="00781112">
        <w:rPr>
          <w:rFonts w:cs="Arial"/>
          <w:color w:val="000000" w:themeColor="text1"/>
          <w:szCs w:val="16"/>
        </w:rPr>
        <w:t>9</w:t>
      </w:r>
      <w:r w:rsidR="005F5514" w:rsidRPr="00781112">
        <w:rPr>
          <w:rFonts w:cs="Arial"/>
          <w:color w:val="000000" w:themeColor="text1"/>
          <w:szCs w:val="16"/>
        </w:rPr>
        <w:t>-</w:t>
      </w:r>
      <w:r w:rsidR="003522C0" w:rsidRPr="00781112">
        <w:rPr>
          <w:rFonts w:cs="Arial"/>
          <w:color w:val="000000" w:themeColor="text1"/>
          <w:szCs w:val="16"/>
        </w:rPr>
        <w:t>2020</w:t>
      </w:r>
      <w:r w:rsidR="005F5514" w:rsidRPr="00781112">
        <w:rPr>
          <w:rFonts w:cs="Arial"/>
          <w:color w:val="000000" w:themeColor="text1"/>
          <w:szCs w:val="16"/>
        </w:rPr>
        <w:t>), and compare the results to the target. Provide the actual numbers used in the calculation.</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3"/>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2011</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66.02%</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4369B2">
            <w:pP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4369B2">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73.88%</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72.37%</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72.46%</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73.55%</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72.94%</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6"/>
        <w:gridCol w:w="1610"/>
        <w:gridCol w:w="1610"/>
        <w:gridCol w:w="1610"/>
        <w:gridCol w:w="1610"/>
        <w:gridCol w:w="1609"/>
        <w:gridCol w:w="1609"/>
      </w:tblGrid>
      <w:tr w:rsidR="00373F78" w:rsidRPr="00781112" w14:paraId="2AA1A231" w14:textId="4E09135F" w:rsidTr="00087EB9">
        <w:trPr>
          <w:trHeight w:val="366"/>
        </w:trPr>
        <w:tc>
          <w:tcPr>
            <w:tcW w:w="534" w:type="pct"/>
            <w:tcBorders>
              <w:bottom w:val="single" w:sz="4" w:space="0" w:color="auto"/>
            </w:tcBorders>
            <w:shd w:val="clear" w:color="auto" w:fill="auto"/>
          </w:tcPr>
          <w:p w14:paraId="40B33FED" w14:textId="77777777" w:rsidR="00373F78" w:rsidRPr="00781112" w:rsidRDefault="00373F78" w:rsidP="00373F78">
            <w:pPr>
              <w:jc w:val="center"/>
              <w:rPr>
                <w:b/>
                <w:color w:val="000000" w:themeColor="text1"/>
              </w:rPr>
            </w:pPr>
            <w:r w:rsidRPr="00781112">
              <w:rPr>
                <w:b/>
                <w:color w:val="000000" w:themeColor="text1"/>
              </w:rPr>
              <w:t>FFY</w:t>
            </w:r>
          </w:p>
        </w:tc>
        <w:tc>
          <w:tcPr>
            <w:tcW w:w="744" w:type="pct"/>
            <w:shd w:val="clear" w:color="auto" w:fill="auto"/>
          </w:tcPr>
          <w:p w14:paraId="71086D9D" w14:textId="38ED494E" w:rsidR="00373F78" w:rsidRPr="00781112" w:rsidRDefault="00373F78" w:rsidP="00373F78">
            <w:pPr>
              <w:jc w:val="center"/>
              <w:rPr>
                <w:b/>
                <w:color w:val="000000" w:themeColor="text1"/>
              </w:rPr>
            </w:pPr>
            <w:r w:rsidRPr="00781112">
              <w:rPr>
                <w:b/>
                <w:color w:val="000000" w:themeColor="text1"/>
              </w:rPr>
              <w:t>2020</w:t>
            </w:r>
          </w:p>
        </w:tc>
        <w:tc>
          <w:tcPr>
            <w:tcW w:w="744" w:type="pct"/>
          </w:tcPr>
          <w:p w14:paraId="4D39066B" w14:textId="301F6A49" w:rsidR="00373F78" w:rsidRPr="00781112" w:rsidRDefault="00373F78" w:rsidP="00373F78">
            <w:pPr>
              <w:jc w:val="center"/>
              <w:rPr>
                <w:b/>
                <w:color w:val="000000" w:themeColor="text1"/>
              </w:rPr>
            </w:pPr>
            <w:r w:rsidRPr="00781112">
              <w:rPr>
                <w:rFonts w:cs="Arial"/>
                <w:b/>
                <w:color w:val="000000" w:themeColor="text1"/>
                <w:szCs w:val="16"/>
              </w:rPr>
              <w:t>2021</w:t>
            </w:r>
          </w:p>
        </w:tc>
        <w:tc>
          <w:tcPr>
            <w:tcW w:w="744" w:type="pct"/>
          </w:tcPr>
          <w:p w14:paraId="1FB807B9" w14:textId="403D43E4" w:rsidR="00373F78" w:rsidRPr="00781112" w:rsidRDefault="00373F78" w:rsidP="00373F78">
            <w:pPr>
              <w:jc w:val="center"/>
              <w:rPr>
                <w:b/>
                <w:color w:val="000000" w:themeColor="text1"/>
              </w:rPr>
            </w:pPr>
            <w:r w:rsidRPr="00781112">
              <w:rPr>
                <w:rFonts w:cs="Arial"/>
                <w:b/>
                <w:color w:val="000000" w:themeColor="text1"/>
                <w:szCs w:val="16"/>
              </w:rPr>
              <w:t>2022</w:t>
            </w:r>
          </w:p>
        </w:tc>
        <w:tc>
          <w:tcPr>
            <w:tcW w:w="744" w:type="pct"/>
          </w:tcPr>
          <w:p w14:paraId="720CF74E" w14:textId="096265B6" w:rsidR="00373F78" w:rsidRPr="00781112" w:rsidRDefault="00373F78" w:rsidP="00373F78">
            <w:pPr>
              <w:jc w:val="center"/>
              <w:rPr>
                <w:b/>
                <w:color w:val="000000" w:themeColor="text1"/>
              </w:rPr>
            </w:pPr>
            <w:r w:rsidRPr="00781112">
              <w:rPr>
                <w:rFonts w:cs="Arial"/>
                <w:b/>
                <w:color w:val="000000" w:themeColor="text1"/>
                <w:szCs w:val="16"/>
              </w:rPr>
              <w:t>2023</w:t>
            </w:r>
          </w:p>
        </w:tc>
        <w:tc>
          <w:tcPr>
            <w:tcW w:w="744" w:type="pct"/>
          </w:tcPr>
          <w:p w14:paraId="767866E4" w14:textId="1EE4AF77" w:rsidR="00373F78" w:rsidRPr="00781112" w:rsidRDefault="00373F78" w:rsidP="00373F78">
            <w:pPr>
              <w:jc w:val="center"/>
              <w:rPr>
                <w:b/>
                <w:color w:val="000000" w:themeColor="text1"/>
              </w:rPr>
            </w:pPr>
            <w:r w:rsidRPr="00781112">
              <w:rPr>
                <w:rFonts w:cs="Arial"/>
                <w:b/>
                <w:color w:val="000000" w:themeColor="text1"/>
                <w:szCs w:val="16"/>
              </w:rPr>
              <w:t>2024</w:t>
            </w:r>
          </w:p>
        </w:tc>
        <w:tc>
          <w:tcPr>
            <w:tcW w:w="744" w:type="pct"/>
          </w:tcPr>
          <w:p w14:paraId="041026E7" w14:textId="462C327C"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30C65E4A" w14:textId="7AB118F2" w:rsidTr="00373F78">
        <w:trPr>
          <w:trHeight w:val="374"/>
        </w:trPr>
        <w:tc>
          <w:tcPr>
            <w:tcW w:w="534" w:type="pct"/>
            <w:shd w:val="clear" w:color="auto" w:fill="auto"/>
            <w:vAlign w:val="center"/>
          </w:tcPr>
          <w:p w14:paraId="15D80559" w14:textId="5A8166E8" w:rsidR="00373F78" w:rsidRPr="00781112" w:rsidRDefault="00373F78" w:rsidP="00373F78">
            <w:pPr>
              <w:rPr>
                <w:rFonts w:cs="Arial"/>
                <w:color w:val="000000" w:themeColor="text1"/>
                <w:szCs w:val="16"/>
              </w:rPr>
            </w:pPr>
            <w:r w:rsidRPr="00781112">
              <w:rPr>
                <w:rFonts w:cs="Arial"/>
                <w:color w:val="000000" w:themeColor="text1"/>
                <w:szCs w:val="16"/>
              </w:rPr>
              <w:t>Target &gt;=</w:t>
            </w:r>
          </w:p>
        </w:tc>
        <w:tc>
          <w:tcPr>
            <w:tcW w:w="744" w:type="pct"/>
            <w:shd w:val="clear" w:color="auto" w:fill="auto"/>
            <w:vAlign w:val="center"/>
          </w:tcPr>
          <w:p w14:paraId="5C1E2097" w14:textId="7100F4DF" w:rsidR="00373F78" w:rsidRPr="00781112" w:rsidRDefault="00373F78" w:rsidP="00373F78">
            <w:pPr>
              <w:jc w:val="center"/>
              <w:rPr>
                <w:rFonts w:cs="Arial"/>
                <w:color w:val="000000" w:themeColor="text1"/>
                <w:szCs w:val="16"/>
              </w:rPr>
            </w:pPr>
            <w:r w:rsidRPr="00781112">
              <w:rPr>
                <w:rFonts w:cs="Arial"/>
                <w:color w:val="000000" w:themeColor="text1"/>
                <w:szCs w:val="16"/>
              </w:rPr>
              <w:t>90.00%</w:t>
            </w:r>
          </w:p>
        </w:tc>
        <w:tc>
          <w:tcPr>
            <w:tcW w:w="744" w:type="pct"/>
          </w:tcPr>
          <w:p w14:paraId="7717027B" w14:textId="1C4C1650" w:rsidR="00373F78" w:rsidRPr="00781112" w:rsidRDefault="00373F78" w:rsidP="00373F78">
            <w:pPr>
              <w:jc w:val="center"/>
              <w:rPr>
                <w:rFonts w:cs="Arial"/>
                <w:color w:val="000000" w:themeColor="text1"/>
                <w:szCs w:val="16"/>
              </w:rPr>
            </w:pPr>
            <w:r w:rsidRPr="00781112">
              <w:rPr>
                <w:color w:val="000000" w:themeColor="text1"/>
                <w:szCs w:val="16"/>
              </w:rPr>
              <w:t>90.00%</w:t>
            </w:r>
          </w:p>
        </w:tc>
        <w:tc>
          <w:tcPr>
            <w:tcW w:w="744" w:type="pct"/>
          </w:tcPr>
          <w:p w14:paraId="48C73194" w14:textId="78C93C75" w:rsidR="00373F78" w:rsidRPr="00781112" w:rsidRDefault="00373F78" w:rsidP="00373F78">
            <w:pPr>
              <w:jc w:val="center"/>
              <w:rPr>
                <w:rFonts w:cs="Arial"/>
                <w:color w:val="000000" w:themeColor="text1"/>
                <w:szCs w:val="16"/>
              </w:rPr>
            </w:pPr>
            <w:r w:rsidRPr="00781112">
              <w:rPr>
                <w:color w:val="000000" w:themeColor="text1"/>
                <w:szCs w:val="16"/>
              </w:rPr>
              <w:t>90.00%</w:t>
            </w:r>
          </w:p>
        </w:tc>
        <w:tc>
          <w:tcPr>
            <w:tcW w:w="744" w:type="pct"/>
          </w:tcPr>
          <w:p w14:paraId="1CC5CF36" w14:textId="47158C2B" w:rsidR="00373F78" w:rsidRPr="00781112" w:rsidRDefault="00373F78" w:rsidP="00373F78">
            <w:pPr>
              <w:jc w:val="center"/>
              <w:rPr>
                <w:rFonts w:cs="Arial"/>
                <w:color w:val="000000" w:themeColor="text1"/>
                <w:szCs w:val="16"/>
              </w:rPr>
            </w:pPr>
            <w:r w:rsidRPr="00781112">
              <w:rPr>
                <w:color w:val="000000" w:themeColor="text1"/>
                <w:szCs w:val="16"/>
              </w:rPr>
              <w:t>90.00%</w:t>
            </w:r>
          </w:p>
        </w:tc>
        <w:tc>
          <w:tcPr>
            <w:tcW w:w="744" w:type="pct"/>
          </w:tcPr>
          <w:p w14:paraId="6BAB194A" w14:textId="42E53978" w:rsidR="00373F78" w:rsidRPr="00781112" w:rsidRDefault="00373F78" w:rsidP="00373F78">
            <w:pPr>
              <w:jc w:val="center"/>
              <w:rPr>
                <w:rFonts w:cs="Arial"/>
                <w:color w:val="000000" w:themeColor="text1"/>
                <w:szCs w:val="16"/>
              </w:rPr>
            </w:pPr>
            <w:r w:rsidRPr="00781112">
              <w:rPr>
                <w:color w:val="000000" w:themeColor="text1"/>
                <w:szCs w:val="16"/>
              </w:rPr>
              <w:t>90.00%</w:t>
            </w:r>
          </w:p>
        </w:tc>
        <w:tc>
          <w:tcPr>
            <w:tcW w:w="744" w:type="pct"/>
          </w:tcPr>
          <w:p w14:paraId="1DF62173" w14:textId="4E964E44" w:rsidR="00373F78" w:rsidRPr="00781112" w:rsidRDefault="00373F78" w:rsidP="00373F78">
            <w:pPr>
              <w:jc w:val="center"/>
              <w:rPr>
                <w:rFonts w:cs="Arial"/>
                <w:color w:val="000000" w:themeColor="text1"/>
                <w:szCs w:val="16"/>
              </w:rPr>
            </w:pPr>
            <w:r w:rsidRPr="00781112">
              <w:rPr>
                <w:color w:val="000000" w:themeColor="text1"/>
                <w:szCs w:val="16"/>
              </w:rPr>
              <w:t>90.00%</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6F475956" w14:textId="6AAE3895" w:rsidR="000C24C2" w:rsidRPr="00781112" w:rsidRDefault="002B7490" w:rsidP="001011BB">
      <w:pPr>
        <w:rPr>
          <w:rFonts w:cs="Arial"/>
          <w:color w:val="000000" w:themeColor="text1"/>
          <w:szCs w:val="16"/>
        </w:rPr>
      </w:pPr>
      <w:r w:rsidRPr="00781112">
        <w:rPr>
          <w:rFonts w:cs="Arial"/>
          <w:color w:val="000000" w:themeColor="text1"/>
          <w:szCs w:val="16"/>
        </w:rPr>
        <w:t/>
      </w: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1,579</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r w:rsidRPr="00781112">
              <w:rPr>
                <w:rFonts w:cs="Arial"/>
                <w:color w:val="000000" w:themeColor="text1"/>
                <w:szCs w:val="16"/>
              </w:rPr>
              <w:t>0</w:t>
            </w: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0</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lastRenderedPageBreak/>
              <w:t>SY 2019-20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24</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268</w:t>
            </w:r>
          </w:p>
        </w:tc>
      </w:tr>
    </w:tbl>
    <w:p w14:paraId="0D2CDC7B" w14:textId="77777777" w:rsidR="00654A4B" w:rsidRPr="00781112" w:rsidRDefault="00654A4B" w:rsidP="00B65C2C">
      <w:pPr>
        <w:rPr>
          <w:color w:val="000000" w:themeColor="text1"/>
        </w:rPr>
      </w:pPr>
    </w:p>
    <w:p w14:paraId="7939D078" w14:textId="7D071B20" w:rsidR="00995737" w:rsidRPr="00781112" w:rsidRDefault="00F6415A" w:rsidP="00C74928">
      <w:pPr>
        <w:keepNext/>
        <w:rPr>
          <w:b/>
          <w:bCs/>
          <w:color w:val="000000" w:themeColor="text1"/>
        </w:rPr>
      </w:pPr>
      <w:r w:rsidRPr="00781112">
        <w:rPr>
          <w:b/>
          <w:bCs/>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1"/>
        <w:gridCol w:w="1687"/>
        <w:gridCol w:w="1345"/>
        <w:gridCol w:w="2022"/>
        <w:gridCol w:w="1209"/>
        <w:gridCol w:w="1538"/>
        <w:gridCol w:w="1488"/>
      </w:tblGrid>
      <w:tr w:rsidR="005C29F8" w:rsidRPr="00781112" w14:paraId="02722994" w14:textId="4BCF686A" w:rsidTr="004348BB">
        <w:trPr>
          <w:trHeight w:val="333"/>
          <w:tblHeader/>
        </w:trPr>
        <w:tc>
          <w:tcPr>
            <w:tcW w:w="828" w:type="pct"/>
            <w:shd w:val="clear" w:color="auto" w:fill="auto"/>
            <w:vAlign w:val="bottom"/>
          </w:tcPr>
          <w:p w14:paraId="272BBF68" w14:textId="161B6D1A" w:rsidR="0098478C" w:rsidRPr="00781112" w:rsidRDefault="0052187D" w:rsidP="00681BA6">
            <w:pPr>
              <w:spacing w:after="0"/>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graduating with a regular high school diploma</w:t>
            </w:r>
          </w:p>
        </w:tc>
        <w:tc>
          <w:tcPr>
            <w:tcW w:w="979" w:type="pct"/>
            <w:shd w:val="clear" w:color="auto" w:fill="auto"/>
            <w:vAlign w:val="bottom"/>
          </w:tcPr>
          <w:p w14:paraId="055EF61F" w14:textId="6ADAF307" w:rsidR="0098478C" w:rsidRPr="00781112" w:rsidRDefault="00CB505C" w:rsidP="00681BA6">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541" w:type="pct"/>
            <w:shd w:val="clear" w:color="auto" w:fill="auto"/>
            <w:vAlign w:val="bottom"/>
          </w:tcPr>
          <w:p w14:paraId="74998318" w14:textId="14A88853"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2019 Data</w:t>
            </w:r>
          </w:p>
        </w:tc>
        <w:tc>
          <w:tcPr>
            <w:tcW w:w="806" w:type="pct"/>
            <w:shd w:val="clear" w:color="auto" w:fill="auto"/>
            <w:vAlign w:val="bottom"/>
          </w:tcPr>
          <w:p w14:paraId="5A1C61A6" w14:textId="208288A2"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2020 Target</w:t>
            </w:r>
          </w:p>
        </w:tc>
        <w:tc>
          <w:tcPr>
            <w:tcW w:w="633" w:type="pct"/>
            <w:shd w:val="clear" w:color="auto" w:fill="auto"/>
            <w:vAlign w:val="bottom"/>
          </w:tcPr>
          <w:p w14:paraId="51DD5A1B" w14:textId="4AC07655"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2020 Data</w:t>
            </w:r>
          </w:p>
        </w:tc>
        <w:tc>
          <w:tcPr>
            <w:tcW w:w="616" w:type="pct"/>
            <w:shd w:val="clear" w:color="auto" w:fill="auto"/>
            <w:vAlign w:val="bottom"/>
          </w:tcPr>
          <w:p w14:paraId="23C86FAA" w14:textId="7FC8D54B" w:rsidR="0098478C" w:rsidRPr="00781112" w:rsidRDefault="0098478C" w:rsidP="00681BA6">
            <w:pPr>
              <w:spacing w:after="0"/>
              <w:jc w:val="center"/>
              <w:rPr>
                <w:rFonts w:cs="Arial"/>
                <w:b/>
                <w:color w:val="000000" w:themeColor="text1"/>
                <w:szCs w:val="16"/>
              </w:rPr>
            </w:pPr>
            <w:r w:rsidRPr="00781112">
              <w:rPr>
                <w:rFonts w:cs="Arial"/>
                <w:b/>
                <w:color w:val="000000" w:themeColor="text1"/>
                <w:szCs w:val="16"/>
              </w:rPr>
              <w:t>Status</w:t>
            </w:r>
          </w:p>
        </w:tc>
        <w:tc>
          <w:tcPr>
            <w:tcW w:w="597" w:type="pct"/>
            <w:shd w:val="clear" w:color="auto" w:fill="auto"/>
            <w:vAlign w:val="bottom"/>
          </w:tcPr>
          <w:p w14:paraId="6EE58552" w14:textId="4AA8F220" w:rsidR="0098478C" w:rsidRPr="00781112" w:rsidRDefault="0098478C" w:rsidP="00681BA6">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348BB">
        <w:trPr>
          <w:trHeight w:val="340"/>
        </w:trPr>
        <w:tc>
          <w:tcPr>
            <w:tcW w:w="828"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1,579</w:t>
            </w:r>
          </w:p>
        </w:tc>
        <w:tc>
          <w:tcPr>
            <w:tcW w:w="979"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1,871</w:t>
            </w:r>
          </w:p>
        </w:tc>
        <w:tc>
          <w:tcPr>
            <w:tcW w:w="541"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72.94%</w:t>
            </w:r>
          </w:p>
        </w:tc>
        <w:tc>
          <w:tcPr>
            <w:tcW w:w="806"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633"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84.39%</w:t>
            </w:r>
          </w:p>
        </w:tc>
        <w:tc>
          <w:tcPr>
            <w:tcW w:w="616"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97"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The standards for obtaining a high school diploma are outlined in Maine statute 20-A Section 4722, which can be found here: https://legislature.maine.gov/legis/statutes/20-A/title20-Asec4722.html. These standards include required numbers of courses in English, Social Studies, Mathematics, Science, and Fine Arts, and the availability of multiple pathways for demonstrating achievement of standards in these academic areas. Standards do not differ for students with IEPs; all students must meet the same requirements to graduate with a regular high school diploma.</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NO</w:t>
      </w:r>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B7490" w:rsidP="000E33D0">
      <w:pPr>
        <w:rPr>
          <w:rFonts w:cs="Arial"/>
          <w:color w:val="000000" w:themeColor="text1"/>
          <w:szCs w:val="16"/>
        </w:rPr>
      </w:pPr>
      <w:r w:rsidRPr="00781112">
        <w:rPr>
          <w:rFonts w:cs="Arial"/>
          <w:color w:val="000000" w:themeColor="text1"/>
          <w:szCs w:val="16"/>
        </w:rPr>
        <w:t/>
      </w:r>
    </w:p>
    <w:p w14:paraId="7D2A5658" w14:textId="39995CE7" w:rsidR="000C60E1" w:rsidRPr="00781112" w:rsidRDefault="00B0742B" w:rsidP="008645AD">
      <w:pPr>
        <w:pStyle w:val="Heading2"/>
      </w:pPr>
      <w:bookmarkStart w:id="6" w:name="_Toc382082358"/>
      <w:bookmarkEnd w:id="4"/>
      <w:bookmarkEnd w:id="5"/>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5F7376D0" w14:textId="1C114A8A" w:rsidR="004C462E" w:rsidRPr="00781112" w:rsidRDefault="00B0742B" w:rsidP="008645AD">
      <w:pPr>
        <w:pStyle w:val="Heading2"/>
      </w:pPr>
      <w:bookmarkStart w:id="7" w:name="_Hlk21352084"/>
      <w:r w:rsidRPr="00781112">
        <w:t xml:space="preserve">1 - </w:t>
      </w:r>
      <w:bookmarkEnd w:id="7"/>
      <w:r w:rsidR="004C462E" w:rsidRPr="00781112">
        <w:t>Required Actions</w:t>
      </w:r>
    </w:p>
    <w:p w14:paraId="1EB5204A" w14:textId="0BB66F29" w:rsidR="002D145D" w:rsidRPr="00781112" w:rsidRDefault="002B7490" w:rsidP="001F692C">
      <w:pPr>
        <w:rPr>
          <w:rFonts w:cs="Arial"/>
          <w:color w:val="000000" w:themeColor="text1"/>
          <w:szCs w:val="16"/>
        </w:rPr>
      </w:pPr>
      <w:r w:rsidRPr="00781112">
        <w:rPr>
          <w:rFonts w:cs="Arial"/>
          <w:color w:val="000000" w:themeColor="text1"/>
          <w:szCs w:val="16"/>
        </w:rPr>
        <w:t/>
      </w: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8"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6"/>
      <w:bookmarkEnd w:id="8"/>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608EBBFC" w14:textId="77777777" w:rsidR="004B782D" w:rsidRPr="00781112" w:rsidRDefault="004B782D" w:rsidP="004369B2">
      <w:pPr>
        <w:rPr>
          <w:color w:val="000000" w:themeColor="text1"/>
        </w:rPr>
      </w:pPr>
      <w:bookmarkStart w:id="9" w:name="_Toc392159263"/>
      <w:r w:rsidRPr="00781112">
        <w:rPr>
          <w:b/>
          <w:color w:val="000000" w:themeColor="text1"/>
        </w:rPr>
        <w:t>Monitoring Priority:</w:t>
      </w:r>
      <w:r w:rsidRPr="00781112">
        <w:rPr>
          <w:color w:val="000000" w:themeColor="text1"/>
        </w:rPr>
        <w:t xml:space="preserve"> FAPE in the LRE</w:t>
      </w:r>
    </w:p>
    <w:p w14:paraId="5ECEA58F" w14:textId="5A7B31F9" w:rsidR="004B782D" w:rsidRPr="00781112" w:rsidRDefault="004B782D" w:rsidP="009340E3">
      <w:pPr>
        <w:rPr>
          <w:color w:val="000000" w:themeColor="text1"/>
        </w:rPr>
      </w:pPr>
      <w:r w:rsidRPr="00781112">
        <w:rPr>
          <w:b/>
          <w:color w:val="000000" w:themeColor="text1"/>
        </w:rPr>
        <w:t>Results indicator:</w:t>
      </w:r>
      <w:r w:rsidR="00552927" w:rsidRPr="00781112">
        <w:rPr>
          <w:color w:val="000000" w:themeColor="text1"/>
        </w:rPr>
        <w:t xml:space="preserve"> </w:t>
      </w:r>
      <w:r w:rsidRPr="00781112">
        <w:rPr>
          <w:color w:val="000000" w:themeColor="text1"/>
        </w:rPr>
        <w:t xml:space="preserve">Percent of youth with IEPs </w:t>
      </w:r>
      <w:r w:rsidR="00CB505C" w:rsidRPr="00781112">
        <w:rPr>
          <w:rFonts w:cs="Arial"/>
          <w:szCs w:val="16"/>
        </w:rPr>
        <w:t xml:space="preserve">who exited special education due to </w:t>
      </w:r>
      <w:r w:rsidRPr="00781112">
        <w:rPr>
          <w:color w:val="000000" w:themeColor="text1"/>
        </w:rPr>
        <w:t>dropping out.</w:t>
      </w:r>
      <w:r w:rsidR="00552927" w:rsidRPr="00781112">
        <w:rPr>
          <w:color w:val="000000" w:themeColor="text1"/>
        </w:rPr>
        <w:t xml:space="preserve"> </w:t>
      </w:r>
      <w:r w:rsidRPr="00781112">
        <w:rPr>
          <w:color w:val="000000" w:themeColor="text1"/>
        </w:rPr>
        <w:t>(20 U.S.C. 1416 (a)(3)(A))</w:t>
      </w:r>
    </w:p>
    <w:p w14:paraId="0A0172CD" w14:textId="77777777" w:rsidR="00553544" w:rsidRPr="00781112" w:rsidRDefault="00553544" w:rsidP="004369B2">
      <w:pPr>
        <w:rPr>
          <w:color w:val="000000" w:themeColor="text1"/>
        </w:rPr>
      </w:pPr>
      <w:r w:rsidRPr="00781112">
        <w:rPr>
          <w:b/>
          <w:color w:val="000000" w:themeColor="text1"/>
        </w:rPr>
        <w:t>Data Source</w:t>
      </w:r>
    </w:p>
    <w:p w14:paraId="403134A2"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3ABD013F" w14:textId="6B60845D" w:rsidR="00553544" w:rsidRPr="00781112" w:rsidRDefault="00553544" w:rsidP="00296D74">
      <w:pPr>
        <w:rPr>
          <w:rFonts w:cs="Arial"/>
          <w:color w:val="000000" w:themeColor="text1"/>
          <w:szCs w:val="16"/>
        </w:rPr>
      </w:pPr>
      <w:r w:rsidRPr="00781112">
        <w:rPr>
          <w:rFonts w:cs="Arial"/>
          <w:color w:val="000000" w:themeColor="text1"/>
          <w:szCs w:val="16"/>
        </w:rPr>
        <w:t>Same data as used for reporting to the Department under section 618 of the Individuals with Disabilities Education Act (IDEA), using the definitions in EDFacts file specification FS009.</w:t>
      </w:r>
    </w:p>
    <w:p w14:paraId="7FE591EB" w14:textId="4339144B" w:rsidR="00553544" w:rsidRPr="00781112" w:rsidRDefault="00553544" w:rsidP="00296D74">
      <w:pPr>
        <w:rPr>
          <w:rFonts w:cs="Arial"/>
          <w:color w:val="000000" w:themeColor="text1"/>
          <w:szCs w:val="16"/>
        </w:rPr>
      </w:pPr>
      <w:r w:rsidRPr="00781112">
        <w:rPr>
          <w:rFonts w:cs="Arial"/>
          <w:color w:val="000000" w:themeColor="text1"/>
          <w:szCs w:val="16"/>
        </w:rPr>
        <w:t xml:space="preserve">OPTION 2 </w:t>
      </w:r>
      <w:r w:rsidR="003704E3" w:rsidRPr="00781112">
        <w:rPr>
          <w:rFonts w:cs="Arial"/>
          <w:szCs w:val="16"/>
        </w:rPr>
        <w:t>(For FFY 2020 ONLY):</w:t>
      </w:r>
    </w:p>
    <w:p w14:paraId="251BE1E1" w14:textId="77777777" w:rsidR="00553544" w:rsidRPr="00781112" w:rsidRDefault="00553544" w:rsidP="00296D74">
      <w:pPr>
        <w:rPr>
          <w:rFonts w:cs="Arial"/>
          <w:color w:val="000000" w:themeColor="text1"/>
          <w:szCs w:val="16"/>
        </w:rPr>
      </w:pPr>
      <w:r w:rsidRPr="00781112">
        <w:rPr>
          <w:rFonts w:cs="Arial"/>
          <w:color w:val="000000" w:themeColor="text1"/>
          <w:szCs w:val="16"/>
        </w:rPr>
        <w:t>Use same data source and measurement that the State used to report in its FFY 2010 SPP/APR that was submitted on February 1, 2012.</w:t>
      </w:r>
    </w:p>
    <w:p w14:paraId="660E9DFB" w14:textId="77777777" w:rsidR="00553544" w:rsidRPr="00781112" w:rsidRDefault="00553544" w:rsidP="004369B2">
      <w:pPr>
        <w:rPr>
          <w:color w:val="000000" w:themeColor="text1"/>
        </w:rPr>
      </w:pPr>
      <w:r w:rsidRPr="00781112">
        <w:rPr>
          <w:b/>
          <w:color w:val="000000" w:themeColor="text1"/>
        </w:rPr>
        <w:t>Measurement</w:t>
      </w:r>
    </w:p>
    <w:p w14:paraId="2DDFA00B"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770B9C89" w14:textId="7FCC5E3B" w:rsidR="00553544" w:rsidRPr="00781112" w:rsidRDefault="00553544" w:rsidP="00296D74">
      <w:pPr>
        <w:rPr>
          <w:rFonts w:cs="Arial"/>
          <w:color w:val="000000" w:themeColor="text1"/>
          <w:szCs w:val="16"/>
        </w:rPr>
      </w:pPr>
      <w:r w:rsidRPr="00781112">
        <w:rPr>
          <w:rFonts w:cs="Arial"/>
          <w:color w:val="000000" w:themeColor="text1"/>
          <w:szCs w:val="16"/>
        </w:rPr>
        <w:t xml:space="preserve">States must report a percentage using the 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due to dropping out in the numerator and the number of all youth with IEPs who </w:t>
      </w:r>
      <w:r w:rsidR="0053066F" w:rsidRPr="00781112">
        <w:rPr>
          <w:rFonts w:cs="Arial"/>
          <w:szCs w:val="16"/>
        </w:rPr>
        <w:t xml:space="preserve">exited special education </w:t>
      </w:r>
      <w:r w:rsidRPr="00781112">
        <w:rPr>
          <w:rFonts w:cs="Arial"/>
          <w:color w:val="000000" w:themeColor="text1"/>
          <w:szCs w:val="16"/>
        </w:rPr>
        <w:t>(ages 14-21) in the denominator.</w:t>
      </w:r>
    </w:p>
    <w:p w14:paraId="13812C1B" w14:textId="5E47E73B" w:rsidR="00553544" w:rsidRPr="00781112" w:rsidRDefault="00553544" w:rsidP="00296D74">
      <w:pPr>
        <w:rPr>
          <w:rFonts w:cs="Arial"/>
          <w:color w:val="000000" w:themeColor="text1"/>
          <w:szCs w:val="16"/>
        </w:rPr>
      </w:pPr>
      <w:r w:rsidRPr="00781112">
        <w:rPr>
          <w:rFonts w:cs="Arial"/>
          <w:color w:val="000000" w:themeColor="text1"/>
          <w:szCs w:val="16"/>
        </w:rPr>
        <w:t xml:space="preserve">OPTION 2 </w:t>
      </w:r>
      <w:r w:rsidR="003704E3" w:rsidRPr="00781112">
        <w:rPr>
          <w:rFonts w:cs="Arial"/>
          <w:szCs w:val="16"/>
        </w:rPr>
        <w:t>(For FFY 2020 ONLY):</w:t>
      </w:r>
    </w:p>
    <w:p w14:paraId="5D85D6DB" w14:textId="77777777" w:rsidR="00553544" w:rsidRPr="00781112" w:rsidRDefault="00553544" w:rsidP="00296D74">
      <w:pPr>
        <w:rPr>
          <w:rFonts w:cs="Arial"/>
          <w:color w:val="000000" w:themeColor="text1"/>
          <w:szCs w:val="16"/>
        </w:rPr>
      </w:pPr>
      <w:r w:rsidRPr="00781112">
        <w:rPr>
          <w:rFonts w:cs="Arial"/>
          <w:color w:val="000000" w:themeColor="text1"/>
          <w:szCs w:val="16"/>
        </w:rPr>
        <w:t>Use same data source and measurement that the State used to report in its FFY 2010 SPP/APR that was submitted on February 1, 2012.</w:t>
      </w:r>
    </w:p>
    <w:p w14:paraId="0D547F78" w14:textId="77777777" w:rsidR="00553544" w:rsidRPr="00781112" w:rsidRDefault="00553544" w:rsidP="004369B2">
      <w:pPr>
        <w:rPr>
          <w:color w:val="000000" w:themeColor="text1"/>
        </w:rPr>
      </w:pPr>
      <w:r w:rsidRPr="00781112">
        <w:rPr>
          <w:b/>
          <w:color w:val="000000" w:themeColor="text1"/>
        </w:rPr>
        <w:t>Instructions</w:t>
      </w:r>
    </w:p>
    <w:p w14:paraId="64E3DDA2" w14:textId="778C5D45" w:rsidR="00553544" w:rsidRPr="00781112" w:rsidRDefault="00553544" w:rsidP="00296D74">
      <w:pPr>
        <w:rPr>
          <w:rFonts w:cs="Arial"/>
          <w:i/>
          <w:iCs/>
          <w:color w:val="000000" w:themeColor="text1"/>
          <w:szCs w:val="16"/>
        </w:rPr>
      </w:pPr>
      <w:r w:rsidRPr="00781112">
        <w:rPr>
          <w:rFonts w:cs="Arial"/>
          <w:i/>
          <w:iCs/>
          <w:color w:val="000000" w:themeColor="text1"/>
          <w:szCs w:val="16"/>
        </w:rPr>
        <w:t>Sampling is not allowed.</w:t>
      </w:r>
    </w:p>
    <w:p w14:paraId="4BE0B739" w14:textId="21FB5B8C" w:rsidR="00CC6131" w:rsidRPr="00781112" w:rsidRDefault="00CC6131" w:rsidP="00CC6131">
      <w:pPr>
        <w:rPr>
          <w:rFonts w:cs="Arial"/>
          <w:szCs w:val="16"/>
        </w:rPr>
      </w:pPr>
      <w:r w:rsidRPr="00781112">
        <w:rPr>
          <w:rFonts w:cs="Arial"/>
          <w:szCs w:val="16"/>
        </w:rPr>
        <w:t>Data for this indicator are “lag” data. Describe the results of the State’s examination of the data for the year before the reporting year (e.g., for the FFY 2020 SPP/APR, use data from 2019-2020), and compare the results to the target.</w:t>
      </w:r>
    </w:p>
    <w:p w14:paraId="5EE32A75" w14:textId="33358C7E" w:rsidR="00CC6131" w:rsidRPr="00781112" w:rsidRDefault="00CC6131" w:rsidP="00296D74">
      <w:pPr>
        <w:rPr>
          <w:rFonts w:cs="Arial"/>
          <w:szCs w:val="16"/>
        </w:rPr>
      </w:pPr>
      <w:r w:rsidRPr="00781112">
        <w:rPr>
          <w:rFonts w:cs="Arial"/>
          <w:szCs w:val="16"/>
        </w:rPr>
        <w:t xml:space="preserve">With the FFY 2020 SPP/APR, due February 1, 2022, States may use either option 1 or 2. </w:t>
      </w:r>
      <w:r w:rsidR="0053066F" w:rsidRPr="00781112">
        <w:rPr>
          <w:rFonts w:cs="Arial"/>
        </w:rPr>
        <w:t>States using Option 2 must provide the actual numbers used in the calculation.</w:t>
      </w:r>
    </w:p>
    <w:p w14:paraId="14BA6A38"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4E899C11" w14:textId="3C9F53E2" w:rsidR="00553544" w:rsidRPr="00781112" w:rsidRDefault="00A14B5D" w:rsidP="00E706BB">
      <w:pPr>
        <w:rPr>
          <w:rFonts w:cs="Arial"/>
          <w:color w:val="000000" w:themeColor="text1"/>
          <w:szCs w:val="16"/>
        </w:rPr>
      </w:pPr>
      <w:r w:rsidRPr="00781112">
        <w:rPr>
          <w:rFonts w:cs="Arial"/>
          <w:b/>
          <w:bCs/>
          <w:color w:val="000000" w:themeColor="text1"/>
          <w:szCs w:val="16"/>
        </w:rPr>
        <w:t>Use 618 exiting data</w:t>
      </w:r>
      <w:r w:rsidRPr="00781112">
        <w:rPr>
          <w:rFonts w:cs="Arial"/>
          <w:color w:val="000000" w:themeColor="text1"/>
          <w:szCs w:val="16"/>
        </w:rPr>
        <w:t xml:space="preserve"> for the year before the reporting year (e.g., for the FFY 2020 SPP/APR, use data from 2019-2020). Include in the denominator the following exiting categories: (a) graduated with a regular high school diploma;</w:t>
      </w:r>
      <w:r w:rsidR="00E706BB" w:rsidRPr="00781112">
        <w:rPr>
          <w:rFonts w:cs="Arial"/>
          <w:color w:val="000000" w:themeColor="text1"/>
          <w:szCs w:val="16"/>
        </w:rPr>
        <w:t xml:space="preserve"> (b) graduated with a state-defined alternate diploma; (c) received a certificate; (d) reached maximum age; or (e) dropped out. </w:t>
      </w:r>
    </w:p>
    <w:p w14:paraId="10351B16" w14:textId="77777777" w:rsidR="00553544" w:rsidRPr="00781112" w:rsidRDefault="00553544" w:rsidP="00296D74">
      <w:pPr>
        <w:rPr>
          <w:rFonts w:cs="Arial"/>
          <w:color w:val="000000" w:themeColor="text1"/>
          <w:szCs w:val="16"/>
        </w:rPr>
      </w:pPr>
      <w:r w:rsidRPr="00781112">
        <w:rPr>
          <w:rFonts w:cs="Arial"/>
          <w:color w:val="000000" w:themeColor="text1"/>
          <w:szCs w:val="16"/>
        </w:rPr>
        <w:t xml:space="preserve">Do not include in the denominator the number of youths with IEPs who exited special education due to: (a) transferring to regular education; or (b) who </w:t>
      </w:r>
      <w:proofErr w:type="gramStart"/>
      <w:r w:rsidRPr="00781112">
        <w:rPr>
          <w:rFonts w:cs="Arial"/>
          <w:color w:val="000000" w:themeColor="text1"/>
          <w:szCs w:val="16"/>
        </w:rPr>
        <w:t>moved, but</w:t>
      </w:r>
      <w:proofErr w:type="gramEnd"/>
      <w:r w:rsidRPr="00781112">
        <w:rPr>
          <w:rFonts w:cs="Arial"/>
          <w:color w:val="000000" w:themeColor="text1"/>
          <w:szCs w:val="16"/>
        </w:rPr>
        <w:t xml:space="preserve"> are known to be continuing in an educational program.</w:t>
      </w:r>
    </w:p>
    <w:p w14:paraId="605CC57A" w14:textId="77777777" w:rsidR="00553544" w:rsidRPr="00781112" w:rsidRDefault="00553544" w:rsidP="00296D74">
      <w:pPr>
        <w:rPr>
          <w:rFonts w:cs="Arial"/>
          <w:color w:val="000000" w:themeColor="text1"/>
          <w:szCs w:val="16"/>
        </w:rPr>
      </w:pPr>
      <w:r w:rsidRPr="00781112">
        <w:rPr>
          <w:rFonts w:cs="Arial"/>
          <w:color w:val="000000" w:themeColor="text1"/>
          <w:szCs w:val="16"/>
        </w:rPr>
        <w:t>OPTION 2:</w:t>
      </w:r>
    </w:p>
    <w:p w14:paraId="6210B2C8" w14:textId="77777777" w:rsidR="00553544" w:rsidRPr="00781112" w:rsidRDefault="00553544" w:rsidP="00296D74">
      <w:pPr>
        <w:rPr>
          <w:rFonts w:cs="Arial"/>
          <w:color w:val="000000" w:themeColor="text1"/>
          <w:szCs w:val="16"/>
        </w:rPr>
      </w:pPr>
      <w:r w:rsidRPr="00781112">
        <w:rPr>
          <w:rFonts w:cs="Arial"/>
          <w:color w:val="000000" w:themeColor="text1"/>
          <w:szCs w:val="16"/>
        </w:rPr>
        <w:t>Use the annual event school dropout rate for students leaving a school in a single year determined in accordance with the National Center for Education Statistic's Common Core of Data.</w:t>
      </w:r>
    </w:p>
    <w:p w14:paraId="35A79E37" w14:textId="77777777" w:rsidR="00553544" w:rsidRPr="00781112" w:rsidRDefault="00553544" w:rsidP="00296D74">
      <w:pPr>
        <w:rPr>
          <w:rFonts w:cs="Arial"/>
          <w:color w:val="000000" w:themeColor="text1"/>
          <w:szCs w:val="16"/>
        </w:rPr>
      </w:pPr>
      <w:r w:rsidRPr="00781112">
        <w:rPr>
          <w:rFonts w:cs="Arial"/>
          <w:color w:val="000000" w:themeColor="text1"/>
          <w:szCs w:val="16"/>
        </w:rPr>
        <w:t>If the State has made or proposes to make changes to the data source or measurement under Option 2, when compared to the information reported in its FFY 2010 SPP/APR submitted on February 1, 2012, the State should include a justification as to why such changes are warranted.</w:t>
      </w:r>
    </w:p>
    <w:p w14:paraId="7A6D6B9C" w14:textId="2500B44D" w:rsidR="00553544" w:rsidRPr="00781112" w:rsidRDefault="00553544" w:rsidP="00296D74">
      <w:pPr>
        <w:rPr>
          <w:rFonts w:cs="Arial"/>
          <w:color w:val="000000" w:themeColor="text1"/>
          <w:szCs w:val="16"/>
        </w:rPr>
      </w:pPr>
      <w:r w:rsidRPr="00781112">
        <w:rPr>
          <w:rFonts w:cs="Arial"/>
          <w:color w:val="000000" w:themeColor="text1"/>
          <w:szCs w:val="16"/>
        </w:rPr>
        <w:t>Options 1 and 2:</w:t>
      </w:r>
    </w:p>
    <w:p w14:paraId="6B573FD8" w14:textId="77777777" w:rsidR="00573616" w:rsidRPr="00781112" w:rsidRDefault="00573616" w:rsidP="00573616">
      <w:pPr>
        <w:rPr>
          <w:rFonts w:cs="Arial"/>
          <w:szCs w:val="16"/>
        </w:rPr>
      </w:pPr>
      <w:r w:rsidRPr="00781112">
        <w:rPr>
          <w:rFonts w:cs="Arial"/>
          <w:szCs w:val="16"/>
        </w:rPr>
        <w:t>Provide a narrative that describes what counts as dropping out for all youth. Please explain if there is a difference between what counts as dropping out for all students and what counts as dropping out for students with IEPs.</w:t>
      </w:r>
    </w:p>
    <w:p w14:paraId="63E1EB8C" w14:textId="6D7D6A62" w:rsidR="00573616" w:rsidRPr="00781112" w:rsidRDefault="00573616" w:rsidP="00360DD6">
      <w:pPr>
        <w:rPr>
          <w:rFonts w:cs="Arial"/>
          <w:szCs w:val="16"/>
        </w:rPr>
      </w:pPr>
      <w:r w:rsidRPr="00781112">
        <w:rPr>
          <w:rFonts w:cs="Arial"/>
          <w:b/>
          <w:bCs/>
          <w:szCs w:val="16"/>
        </w:rPr>
        <w:t>Beginning with the FFY 2021 SPP/APR, due February 1, 2023</w:t>
      </w:r>
      <w:r w:rsidRPr="00781112">
        <w:rPr>
          <w:rFonts w:cs="Arial"/>
          <w:szCs w:val="16"/>
        </w:rPr>
        <w:t>, States must report data using</w:t>
      </w:r>
      <w:r w:rsidR="0053066F" w:rsidRPr="00781112">
        <w:rPr>
          <w:rFonts w:cs="Arial"/>
          <w:szCs w:val="16"/>
        </w:rPr>
        <w:t xml:space="preserve"> </w:t>
      </w:r>
      <w:r w:rsidR="0053066F" w:rsidRPr="00781112">
        <w:rPr>
          <w:rFonts w:cs="Arial"/>
        </w:rPr>
        <w:t>Option 1 (i.e., the same data as used for reporting to the Department under section 618 of the IDEA). Option 2 will not be available beginning with the FFY 2021 SPP/APR.</w:t>
      </w:r>
      <w:r w:rsidRPr="00781112">
        <w:rPr>
          <w:rFonts w:cs="Arial"/>
          <w:szCs w:val="16"/>
        </w:rPr>
        <w:t xml:space="preserve"> </w:t>
      </w:r>
    </w:p>
    <w:bookmarkEnd w:id="9"/>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2020</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14.32%</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2015</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2016</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2018</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2019</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1F692C">
            <w:pP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19.80%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19.80%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19.00%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19.00%</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19.00%</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16.15%</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17.23%</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14.35%</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16.39%</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17.91%</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2"/>
        <w:gridCol w:w="1676"/>
        <w:gridCol w:w="1676"/>
        <w:gridCol w:w="1676"/>
        <w:gridCol w:w="1676"/>
        <w:gridCol w:w="1676"/>
        <w:gridCol w:w="1672"/>
      </w:tblGrid>
      <w:tr w:rsidR="00373F78" w:rsidRPr="00781112" w14:paraId="029A4CCE" w14:textId="7CD6FC1B" w:rsidTr="00DF4C35">
        <w:trPr>
          <w:trHeight w:val="378"/>
        </w:trPr>
        <w:tc>
          <w:tcPr>
            <w:tcW w:w="339" w:type="pct"/>
            <w:tcBorders>
              <w:bottom w:val="single" w:sz="4" w:space="0" w:color="auto"/>
            </w:tcBorders>
            <w:shd w:val="clear" w:color="auto" w:fill="auto"/>
          </w:tcPr>
          <w:p w14:paraId="7E454C96" w14:textId="77777777" w:rsidR="00373F78" w:rsidRPr="00781112" w:rsidRDefault="00373F78" w:rsidP="00373F78">
            <w:pPr>
              <w:jc w:val="center"/>
              <w:rPr>
                <w:b/>
                <w:color w:val="000000" w:themeColor="text1"/>
              </w:rPr>
            </w:pPr>
            <w:r w:rsidRPr="00781112">
              <w:rPr>
                <w:b/>
                <w:color w:val="000000" w:themeColor="text1"/>
              </w:rPr>
              <w:t>FFY</w:t>
            </w:r>
          </w:p>
        </w:tc>
        <w:tc>
          <w:tcPr>
            <w:tcW w:w="777" w:type="pct"/>
            <w:shd w:val="clear" w:color="auto" w:fill="auto"/>
            <w:vAlign w:val="center"/>
          </w:tcPr>
          <w:p w14:paraId="43981BCA" w14:textId="46BADE94" w:rsidR="00373F78" w:rsidRPr="00781112" w:rsidRDefault="00373F78" w:rsidP="00373F78">
            <w:pPr>
              <w:jc w:val="center"/>
              <w:rPr>
                <w:b/>
                <w:color w:val="000000" w:themeColor="text1"/>
              </w:rPr>
            </w:pPr>
            <w:r w:rsidRPr="00781112">
              <w:rPr>
                <w:b/>
                <w:color w:val="000000" w:themeColor="text1"/>
              </w:rPr>
              <w:t>2020</w:t>
            </w:r>
          </w:p>
        </w:tc>
        <w:tc>
          <w:tcPr>
            <w:tcW w:w="777" w:type="pct"/>
          </w:tcPr>
          <w:p w14:paraId="5E92A3B3" w14:textId="014BC7EC" w:rsidR="00373F78" w:rsidRPr="00781112" w:rsidRDefault="00373F78" w:rsidP="00373F78">
            <w:pPr>
              <w:jc w:val="center"/>
              <w:rPr>
                <w:b/>
                <w:color w:val="000000" w:themeColor="text1"/>
              </w:rPr>
            </w:pPr>
            <w:r w:rsidRPr="00781112">
              <w:rPr>
                <w:rFonts w:cs="Arial"/>
                <w:b/>
                <w:color w:val="000000" w:themeColor="text1"/>
                <w:szCs w:val="16"/>
              </w:rPr>
              <w:t>2021</w:t>
            </w:r>
          </w:p>
        </w:tc>
        <w:tc>
          <w:tcPr>
            <w:tcW w:w="777" w:type="pct"/>
          </w:tcPr>
          <w:p w14:paraId="3A9EE8AA" w14:textId="53416CB2" w:rsidR="00373F78" w:rsidRPr="00781112" w:rsidRDefault="00373F78" w:rsidP="00373F78">
            <w:pPr>
              <w:jc w:val="center"/>
              <w:rPr>
                <w:b/>
                <w:color w:val="000000" w:themeColor="text1"/>
              </w:rPr>
            </w:pPr>
            <w:r w:rsidRPr="00781112">
              <w:rPr>
                <w:rFonts w:cs="Arial"/>
                <w:b/>
                <w:color w:val="000000" w:themeColor="text1"/>
                <w:szCs w:val="16"/>
              </w:rPr>
              <w:t>2022</w:t>
            </w:r>
          </w:p>
        </w:tc>
        <w:tc>
          <w:tcPr>
            <w:tcW w:w="777" w:type="pct"/>
          </w:tcPr>
          <w:p w14:paraId="7D50850A" w14:textId="0FF3B8D7" w:rsidR="00373F78" w:rsidRPr="00781112" w:rsidRDefault="00373F78" w:rsidP="00373F78">
            <w:pPr>
              <w:jc w:val="center"/>
              <w:rPr>
                <w:b/>
                <w:color w:val="000000" w:themeColor="text1"/>
              </w:rPr>
            </w:pPr>
            <w:r w:rsidRPr="00781112">
              <w:rPr>
                <w:rFonts w:cs="Arial"/>
                <w:b/>
                <w:color w:val="000000" w:themeColor="text1"/>
                <w:szCs w:val="16"/>
              </w:rPr>
              <w:t>2023</w:t>
            </w:r>
          </w:p>
        </w:tc>
        <w:tc>
          <w:tcPr>
            <w:tcW w:w="777" w:type="pct"/>
          </w:tcPr>
          <w:p w14:paraId="150CD52F" w14:textId="1406DCAF" w:rsidR="00373F78" w:rsidRPr="00781112" w:rsidRDefault="00373F78" w:rsidP="00373F78">
            <w:pPr>
              <w:jc w:val="center"/>
              <w:rPr>
                <w:b/>
                <w:color w:val="000000" w:themeColor="text1"/>
              </w:rPr>
            </w:pPr>
            <w:r w:rsidRPr="00781112">
              <w:rPr>
                <w:rFonts w:cs="Arial"/>
                <w:b/>
                <w:color w:val="000000" w:themeColor="text1"/>
                <w:szCs w:val="16"/>
              </w:rPr>
              <w:t>2024</w:t>
            </w:r>
          </w:p>
        </w:tc>
        <w:tc>
          <w:tcPr>
            <w:tcW w:w="775" w:type="pct"/>
          </w:tcPr>
          <w:p w14:paraId="285B2BFD" w14:textId="664CF179"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74AFE5A4" w14:textId="4CB3606D" w:rsidTr="00DF4C35">
        <w:trPr>
          <w:trHeight w:val="386"/>
        </w:trPr>
        <w:tc>
          <w:tcPr>
            <w:tcW w:w="339" w:type="pct"/>
            <w:shd w:val="clear" w:color="auto" w:fill="auto"/>
            <w:vAlign w:val="center"/>
          </w:tcPr>
          <w:p w14:paraId="74812D09" w14:textId="3A67082C" w:rsidR="00373F78" w:rsidRPr="00781112" w:rsidRDefault="00373F78" w:rsidP="00373F78">
            <w:pPr>
              <w:rPr>
                <w:rFonts w:cs="Arial"/>
                <w:color w:val="000000" w:themeColor="text1"/>
                <w:szCs w:val="16"/>
              </w:rPr>
            </w:pPr>
            <w:r w:rsidRPr="00781112">
              <w:rPr>
                <w:rFonts w:cs="Arial"/>
                <w:color w:val="000000" w:themeColor="text1"/>
                <w:szCs w:val="16"/>
              </w:rPr>
              <w:t>Target &lt;=</w:t>
            </w:r>
          </w:p>
        </w:tc>
        <w:tc>
          <w:tcPr>
            <w:tcW w:w="777" w:type="pct"/>
            <w:shd w:val="clear" w:color="auto" w:fill="auto"/>
            <w:vAlign w:val="center"/>
          </w:tcPr>
          <w:p w14:paraId="1AA9A6F0" w14:textId="23F8F955" w:rsidR="00373F78" w:rsidRPr="00781112" w:rsidRDefault="00373F78" w:rsidP="00373F78">
            <w:pPr>
              <w:jc w:val="center"/>
              <w:rPr>
                <w:rFonts w:cs="Arial"/>
                <w:color w:val="000000" w:themeColor="text1"/>
                <w:szCs w:val="16"/>
              </w:rPr>
            </w:pPr>
            <w:r w:rsidRPr="00781112">
              <w:rPr>
                <w:rFonts w:cs="Arial"/>
                <w:color w:val="000000" w:themeColor="text1"/>
                <w:szCs w:val="16"/>
              </w:rPr>
              <w:t>14.32%</w:t>
            </w:r>
          </w:p>
        </w:tc>
        <w:tc>
          <w:tcPr>
            <w:tcW w:w="777" w:type="pct"/>
          </w:tcPr>
          <w:p w14:paraId="1887156F" w14:textId="2A53DFD8" w:rsidR="00373F78" w:rsidRPr="00781112" w:rsidRDefault="00373F78" w:rsidP="00373F78">
            <w:pPr>
              <w:jc w:val="center"/>
              <w:rPr>
                <w:rFonts w:cs="Arial"/>
                <w:color w:val="000000" w:themeColor="text1"/>
                <w:szCs w:val="16"/>
              </w:rPr>
            </w:pPr>
            <w:r w:rsidRPr="00781112">
              <w:rPr>
                <w:color w:val="000000" w:themeColor="text1"/>
                <w:szCs w:val="16"/>
              </w:rPr>
              <w:t>14.32%</w:t>
            </w:r>
          </w:p>
        </w:tc>
        <w:tc>
          <w:tcPr>
            <w:tcW w:w="777" w:type="pct"/>
          </w:tcPr>
          <w:p w14:paraId="114E0304" w14:textId="3D4B66CA" w:rsidR="00373F78" w:rsidRPr="00781112" w:rsidRDefault="00373F78" w:rsidP="00373F78">
            <w:pPr>
              <w:jc w:val="center"/>
              <w:rPr>
                <w:rFonts w:cs="Arial"/>
                <w:color w:val="000000" w:themeColor="text1"/>
                <w:szCs w:val="16"/>
              </w:rPr>
            </w:pPr>
            <w:r w:rsidRPr="00781112">
              <w:rPr>
                <w:color w:val="000000" w:themeColor="text1"/>
                <w:szCs w:val="16"/>
              </w:rPr>
              <w:t>14.32%</w:t>
            </w:r>
          </w:p>
        </w:tc>
        <w:tc>
          <w:tcPr>
            <w:tcW w:w="777" w:type="pct"/>
          </w:tcPr>
          <w:p w14:paraId="78D67310" w14:textId="6B7563FE" w:rsidR="00373F78" w:rsidRPr="00781112" w:rsidRDefault="00373F78" w:rsidP="00373F78">
            <w:pPr>
              <w:jc w:val="center"/>
              <w:rPr>
                <w:rFonts w:cs="Arial"/>
                <w:color w:val="000000" w:themeColor="text1"/>
                <w:szCs w:val="16"/>
              </w:rPr>
            </w:pPr>
            <w:r w:rsidRPr="00781112">
              <w:rPr>
                <w:color w:val="000000" w:themeColor="text1"/>
                <w:szCs w:val="16"/>
              </w:rPr>
              <w:t>14.32%</w:t>
            </w:r>
          </w:p>
        </w:tc>
        <w:tc>
          <w:tcPr>
            <w:tcW w:w="777" w:type="pct"/>
          </w:tcPr>
          <w:p w14:paraId="56091902" w14:textId="764DD0A6" w:rsidR="00373F78" w:rsidRPr="00781112" w:rsidRDefault="00373F78" w:rsidP="00373F78">
            <w:pPr>
              <w:jc w:val="center"/>
              <w:rPr>
                <w:rFonts w:cs="Arial"/>
                <w:color w:val="000000" w:themeColor="text1"/>
                <w:szCs w:val="16"/>
              </w:rPr>
            </w:pPr>
            <w:r w:rsidRPr="00781112">
              <w:rPr>
                <w:color w:val="000000" w:themeColor="text1"/>
                <w:szCs w:val="16"/>
              </w:rPr>
              <w:t>14.32%</w:t>
            </w:r>
          </w:p>
        </w:tc>
        <w:tc>
          <w:tcPr>
            <w:tcW w:w="775" w:type="pct"/>
          </w:tcPr>
          <w:p w14:paraId="361146A8" w14:textId="1C49A2DF" w:rsidR="00373F78" w:rsidRPr="00781112" w:rsidRDefault="00373F78" w:rsidP="00373F78">
            <w:pPr>
              <w:jc w:val="center"/>
              <w:rPr>
                <w:rFonts w:cs="Arial"/>
                <w:color w:val="000000" w:themeColor="text1"/>
                <w:szCs w:val="16"/>
              </w:rPr>
            </w:pPr>
            <w:r w:rsidRPr="00781112">
              <w:rPr>
                <w:color w:val="000000" w:themeColor="text1"/>
                <w:szCs w:val="16"/>
              </w:rPr>
              <w:t>13.32%</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1646393A" w14:textId="2F9E8E4A" w:rsidR="002D145D" w:rsidRPr="00781112" w:rsidRDefault="002B7490" w:rsidP="002D145D">
      <w:pPr>
        <w:rPr>
          <w:rFonts w:cs="Arial"/>
          <w:color w:val="000000" w:themeColor="text1"/>
          <w:szCs w:val="16"/>
        </w:rPr>
      </w:pPr>
      <w:r w:rsidRPr="00781112">
        <w:rPr>
          <w:rFonts w:cs="Arial"/>
          <w:color w:val="000000" w:themeColor="text1"/>
          <w:szCs w:val="16"/>
        </w:rPr>
        <w:lastRenderedPageBreak/>
        <w:t/>
      </w:r>
    </w:p>
    <w:p w14:paraId="540DBFAE" w14:textId="34D983B2" w:rsidR="00A2794A" w:rsidRPr="00781112" w:rsidRDefault="00A87A9D" w:rsidP="00DF30F0">
      <w:pPr>
        <w:rPr>
          <w:rFonts w:cs="Arial"/>
          <w:b/>
          <w:color w:val="000000" w:themeColor="text1"/>
          <w:szCs w:val="16"/>
        </w:rPr>
      </w:pPr>
      <w:r w:rsidRPr="00781112">
        <w:rPr>
          <w:rFonts w:cs="Arial"/>
          <w:b/>
          <w:color w:val="000000" w:themeColor="text1"/>
          <w:szCs w:val="16"/>
        </w:rPr>
        <w:t xml:space="preserve">Please indicate the reporting option used on this indicator </w:t>
      </w:r>
    </w:p>
    <w:p w14:paraId="4B2134EC" w14:textId="312D44C1" w:rsidR="006E3F55" w:rsidRPr="00781112" w:rsidRDefault="003D7F56" w:rsidP="0087456C">
      <w:pPr>
        <w:rPr>
          <w:color w:val="000000" w:themeColor="text1"/>
        </w:rPr>
      </w:pPr>
      <w:r w:rsidRPr="00781112">
        <w:rPr>
          <w:color w:val="000000" w:themeColor="text1"/>
        </w:rPr>
        <w:t>Option 1</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1,579</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r w:rsidRPr="00781112">
              <w:rPr>
                <w:rFonts w:cs="Arial"/>
                <w:color w:val="000000" w:themeColor="text1"/>
                <w:szCs w:val="16"/>
              </w:rPr>
              <w:t>0</w:t>
            </w: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0</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24</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268</w:t>
            </w:r>
          </w:p>
        </w:tc>
      </w:tr>
    </w:tbl>
    <w:p w14:paraId="7CE42756" w14:textId="445D9372" w:rsidR="00654A4B" w:rsidRPr="00781112" w:rsidRDefault="00654A4B" w:rsidP="004369B2">
      <w:pPr>
        <w:rPr>
          <w:color w:val="000000" w:themeColor="text1"/>
        </w:rPr>
      </w:pPr>
    </w:p>
    <w:p w14:paraId="4463AFB2" w14:textId="3EDEBA57" w:rsidR="00C96339" w:rsidRPr="00781112" w:rsidRDefault="00F6415A" w:rsidP="004369B2">
      <w:pPr>
        <w:rPr>
          <w:color w:val="000000" w:themeColor="text1"/>
        </w:rPr>
      </w:pPr>
      <w:r w:rsidRPr="00781112">
        <w:rPr>
          <w:b/>
          <w:color w:val="000000" w:themeColor="text1"/>
        </w:rPr>
        <w:t xml:space="preserve">FFY 2020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6"/>
        <w:gridCol w:w="1367"/>
        <w:gridCol w:w="2088"/>
        <w:gridCol w:w="1229"/>
        <w:gridCol w:w="1564"/>
        <w:gridCol w:w="1513"/>
      </w:tblGrid>
      <w:tr w:rsidR="005C29F8" w:rsidRPr="00781112" w14:paraId="5C4D1C2F" w14:textId="77777777" w:rsidTr="004D0044">
        <w:trPr>
          <w:trHeight w:val="359"/>
          <w:tblHeader/>
        </w:trPr>
        <w:tc>
          <w:tcPr>
            <w:tcW w:w="708" w:type="pct"/>
            <w:shd w:val="clear" w:color="auto" w:fill="auto"/>
            <w:vAlign w:val="bottom"/>
          </w:tcPr>
          <w:p w14:paraId="3F5808F2" w14:textId="257E84C8" w:rsidR="00C96339" w:rsidRPr="00781112" w:rsidRDefault="00C96339" w:rsidP="00212954">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dropping out</w:t>
            </w:r>
          </w:p>
        </w:tc>
        <w:tc>
          <w:tcPr>
            <w:tcW w:w="698" w:type="pct"/>
            <w:shd w:val="clear" w:color="auto" w:fill="auto"/>
            <w:vAlign w:val="bottom"/>
          </w:tcPr>
          <w:p w14:paraId="2F5BF81E" w14:textId="25314F83" w:rsidR="00C96339" w:rsidRPr="00781112" w:rsidRDefault="008137CC" w:rsidP="00212954">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019F7C44" w:rsidR="00C96339" w:rsidRPr="00781112" w:rsidRDefault="00F6415A" w:rsidP="00212954">
            <w:pPr>
              <w:jc w:val="center"/>
              <w:rPr>
                <w:rFonts w:cs="Arial"/>
                <w:b/>
                <w:color w:val="000000" w:themeColor="text1"/>
                <w:szCs w:val="16"/>
              </w:rPr>
            </w:pPr>
            <w:r w:rsidRPr="00781112">
              <w:rPr>
                <w:rFonts w:cs="Arial"/>
                <w:b/>
                <w:color w:val="000000" w:themeColor="text1"/>
                <w:szCs w:val="16"/>
              </w:rPr>
              <w:t>FFY 2019 Data</w:t>
            </w:r>
          </w:p>
        </w:tc>
        <w:tc>
          <w:tcPr>
            <w:tcW w:w="967" w:type="pct"/>
            <w:shd w:val="clear" w:color="auto" w:fill="auto"/>
            <w:vAlign w:val="bottom"/>
          </w:tcPr>
          <w:p w14:paraId="1F444650" w14:textId="5E6EFC51" w:rsidR="00C96339" w:rsidRPr="00781112" w:rsidRDefault="00F6415A" w:rsidP="00212954">
            <w:pPr>
              <w:jc w:val="center"/>
              <w:rPr>
                <w:rFonts w:cs="Arial"/>
                <w:b/>
                <w:color w:val="000000" w:themeColor="text1"/>
                <w:szCs w:val="16"/>
              </w:rPr>
            </w:pPr>
            <w:r w:rsidRPr="00781112">
              <w:rPr>
                <w:rFonts w:cs="Arial"/>
                <w:b/>
                <w:color w:val="000000" w:themeColor="text1"/>
                <w:szCs w:val="16"/>
              </w:rPr>
              <w:t>FFY 2020 Target</w:t>
            </w:r>
          </w:p>
        </w:tc>
        <w:tc>
          <w:tcPr>
            <w:tcW w:w="569" w:type="pct"/>
            <w:shd w:val="clear" w:color="auto" w:fill="auto"/>
            <w:vAlign w:val="bottom"/>
          </w:tcPr>
          <w:p w14:paraId="194A1B8B" w14:textId="62D2916E" w:rsidR="00C96339" w:rsidRPr="00781112" w:rsidRDefault="00F6415A" w:rsidP="00212954">
            <w:pPr>
              <w:jc w:val="center"/>
              <w:rPr>
                <w:rFonts w:cs="Arial"/>
                <w:b/>
                <w:color w:val="000000" w:themeColor="text1"/>
                <w:szCs w:val="16"/>
              </w:rPr>
            </w:pPr>
            <w:r w:rsidRPr="00781112">
              <w:rPr>
                <w:rFonts w:cs="Arial"/>
                <w:b/>
                <w:color w:val="000000" w:themeColor="text1"/>
                <w:szCs w:val="16"/>
              </w:rPr>
              <w:t>FFY 2020 Data</w:t>
            </w:r>
          </w:p>
        </w:tc>
        <w:tc>
          <w:tcPr>
            <w:tcW w:w="724" w:type="pct"/>
            <w:shd w:val="clear" w:color="auto" w:fill="auto"/>
            <w:vAlign w:val="bottom"/>
          </w:tcPr>
          <w:p w14:paraId="4B0F6AFA" w14:textId="77777777" w:rsidR="00C96339" w:rsidRPr="00781112" w:rsidRDefault="00C96339" w:rsidP="00212954">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C96339" w:rsidRPr="00781112" w:rsidRDefault="00C96339" w:rsidP="00212954">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268</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1,871</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17.91%</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14.32%</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14.32%</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Maine uses the same calculation as that used in 618 IDEA reporting: [ (The number of youth with IEPs ages 14 through 20 who exited special education due to dropping out / The number of youth with IEPs ages 14 through 20 who left high school for the reasons listed below) * 100 ]. Maine has identified 2020 data as the new baseline, as the student exit status of 'died' has been removed from the denominator. Students are counted as dropping out when identified with one of the following exit reasons: dropped out, status unknown, and moved, not known to be continuing. The reasons for which students with IEPs may have left school are: graduating with a regular high school diploma, reaching maximum age, and dropping out.</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lastRenderedPageBreak/>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w:r>
    </w:p>
    <w:p w14:paraId="44F7B282" w14:textId="77777777" w:rsidR="00F56834" w:rsidRPr="00781112" w:rsidRDefault="00F56834" w:rsidP="004369B2">
      <w:pPr>
        <w:rPr>
          <w:b/>
          <w:color w:val="000000" w:themeColor="text1"/>
        </w:rPr>
      </w:pPr>
      <w:bookmarkStart w:id="12" w:name="_Toc382082362"/>
      <w:bookmarkStart w:id="13" w:name="_Toc392159270"/>
      <w:bookmarkStart w:id="14" w:name="_Toc365403651"/>
      <w:bookmarkEnd w:id="11"/>
      <w:r w:rsidRPr="00781112">
        <w:rPr>
          <w:b/>
          <w:color w:val="000000" w:themeColor="text1"/>
        </w:rPr>
        <w:t>Provide additional information about this indicator (optional)</w:t>
      </w:r>
    </w:p>
    <w:p w14:paraId="4492AB5A" w14:textId="63C5DA7E"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Maine has identified 2020 data as the new baseline as, consistent with IDEA 618 reporting, the student exit status of 'died' has been removed from the denominator. Students are counted as dropping out when identified with one of the following exit reasons: dropped out, status unknown, and moved, not known to be continuing. The reasons for which students with IEPs may have left school are: graduating with a regular high school diploma, reaching maximum age, and dropping out.</w:t>
      </w: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has revised the baseline for this indicator, using data from FFY 2020, and OSEP accepts that revision.</w:t>
        <w:br/>
        <w:t/>
        <w:br/>
        <w:t>The State provided targets for FFYs 2020 through 2025 for this indicator, and OSEP accepts those targets.</w:t>
      </w: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w: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EDFacts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91.78%</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85.85%</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60.61%</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91.79%</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85.84%</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60.65%</w:t>
            </w:r>
          </w:p>
        </w:tc>
      </w:tr>
    </w:tbl>
    <w:p w14:paraId="1049ED79" w14:textId="19F4A63B" w:rsidR="00E023E6" w:rsidRPr="00781112" w:rsidRDefault="00E023E6">
      <w:pPr>
        <w:spacing w:before="0" w:after="200" w:line="276" w:lineRule="auto"/>
        <w:rPr>
          <w:b/>
          <w:color w:val="000000" w:themeColor="text1"/>
        </w:rPr>
      </w:pPr>
    </w:p>
    <w:p w14:paraId="7F4B46FE" w14:textId="77777777" w:rsidR="0034094E" w:rsidRPr="00781112" w:rsidRDefault="0034094E" w:rsidP="0034094E">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5"/>
        <w:gridCol w:w="721"/>
        <w:gridCol w:w="1170"/>
        <w:gridCol w:w="1334"/>
        <w:gridCol w:w="1334"/>
        <w:gridCol w:w="1334"/>
        <w:gridCol w:w="1334"/>
        <w:gridCol w:w="1334"/>
        <w:gridCol w:w="1334"/>
      </w:tblGrid>
      <w:tr w:rsidR="001E2F3E" w:rsidRPr="00781112" w14:paraId="61B13027" w14:textId="7E8C0770" w:rsidTr="009E026B">
        <w:tc>
          <w:tcPr>
            <w:tcW w:w="415" w:type="pct"/>
            <w:tcBorders>
              <w:bottom w:val="single" w:sz="4" w:space="0" w:color="auto"/>
            </w:tcBorders>
            <w:shd w:val="clear" w:color="auto" w:fill="auto"/>
            <w:vAlign w:val="center"/>
          </w:tcPr>
          <w:p w14:paraId="41C1EDA8" w14:textId="77777777" w:rsidR="00FD5357" w:rsidRPr="00781112" w:rsidRDefault="00FD5357" w:rsidP="00FD5357">
            <w:pPr>
              <w:jc w:val="center"/>
              <w:rPr>
                <w:b/>
                <w:color w:val="000000" w:themeColor="text1"/>
              </w:rPr>
            </w:pPr>
            <w:r w:rsidRPr="00781112">
              <w:rPr>
                <w:b/>
                <w:color w:val="000000" w:themeColor="text1"/>
              </w:rPr>
              <w:t>Subject</w:t>
            </w:r>
          </w:p>
        </w:tc>
        <w:tc>
          <w:tcPr>
            <w:tcW w:w="334" w:type="pct"/>
            <w:tcBorders>
              <w:bottom w:val="single" w:sz="4" w:space="0" w:color="auto"/>
            </w:tcBorders>
            <w:shd w:val="clear" w:color="auto" w:fill="auto"/>
            <w:vAlign w:val="center"/>
          </w:tcPr>
          <w:p w14:paraId="47C72AA9" w14:textId="77777777" w:rsidR="00FD5357" w:rsidRPr="00781112" w:rsidRDefault="00FD5357" w:rsidP="00FD5357">
            <w:pPr>
              <w:jc w:val="center"/>
              <w:rPr>
                <w:b/>
                <w:color w:val="000000" w:themeColor="text1"/>
              </w:rPr>
            </w:pPr>
            <w:r w:rsidRPr="00781112">
              <w:rPr>
                <w:b/>
                <w:color w:val="000000" w:themeColor="text1"/>
              </w:rPr>
              <w:t>Group</w:t>
            </w:r>
          </w:p>
        </w:tc>
        <w:tc>
          <w:tcPr>
            <w:tcW w:w="542" w:type="pct"/>
            <w:shd w:val="clear" w:color="auto" w:fill="auto"/>
            <w:vAlign w:val="center"/>
          </w:tcPr>
          <w:p w14:paraId="3EBC6D10" w14:textId="77777777" w:rsidR="00FD5357" w:rsidRPr="00781112" w:rsidDel="008E7B87" w:rsidRDefault="00FD5357" w:rsidP="00FD5357">
            <w:pPr>
              <w:jc w:val="center"/>
              <w:rPr>
                <w:b/>
                <w:color w:val="000000" w:themeColor="text1"/>
              </w:rPr>
            </w:pPr>
            <w:r w:rsidRPr="00781112">
              <w:rPr>
                <w:b/>
                <w:color w:val="000000" w:themeColor="text1"/>
              </w:rPr>
              <w:t>Group Name</w:t>
            </w:r>
          </w:p>
        </w:tc>
        <w:tc>
          <w:tcPr>
            <w:tcW w:w="618" w:type="pct"/>
            <w:shd w:val="clear" w:color="auto" w:fill="auto"/>
            <w:vAlign w:val="center"/>
          </w:tcPr>
          <w:p w14:paraId="5DB0C638" w14:textId="77777777" w:rsidR="00FD5357" w:rsidRPr="00781112" w:rsidRDefault="00FD5357" w:rsidP="00FD5357">
            <w:pPr>
              <w:jc w:val="center"/>
              <w:rPr>
                <w:b/>
                <w:color w:val="000000" w:themeColor="text1"/>
              </w:rPr>
            </w:pPr>
            <w:r w:rsidRPr="00781112">
              <w:rPr>
                <w:b/>
                <w:color w:val="000000" w:themeColor="text1"/>
              </w:rPr>
              <w:t>2020</w:t>
            </w:r>
          </w:p>
        </w:tc>
        <w:tc>
          <w:tcPr>
            <w:tcW w:w="618" w:type="pct"/>
            <w:vAlign w:val="center"/>
          </w:tcPr>
          <w:p w14:paraId="2BCE0486" w14:textId="3C221AF8" w:rsidR="00FD5357" w:rsidRPr="00781112" w:rsidRDefault="00FD5357" w:rsidP="00FD5357">
            <w:pPr>
              <w:jc w:val="center"/>
              <w:rPr>
                <w:b/>
                <w:color w:val="000000" w:themeColor="text1"/>
              </w:rPr>
            </w:pPr>
            <w:r w:rsidRPr="00781112">
              <w:rPr>
                <w:rFonts w:cs="Arial"/>
                <w:b/>
                <w:color w:val="000000" w:themeColor="text1"/>
                <w:szCs w:val="16"/>
              </w:rPr>
              <w:t>2021</w:t>
            </w:r>
          </w:p>
        </w:tc>
        <w:tc>
          <w:tcPr>
            <w:tcW w:w="618" w:type="pct"/>
            <w:vAlign w:val="center"/>
          </w:tcPr>
          <w:p w14:paraId="1990502A" w14:textId="03716A79" w:rsidR="00FD5357" w:rsidRPr="00781112" w:rsidRDefault="00FD5357" w:rsidP="00FD5357">
            <w:pPr>
              <w:jc w:val="center"/>
              <w:rPr>
                <w:b/>
                <w:color w:val="000000" w:themeColor="text1"/>
              </w:rPr>
            </w:pPr>
            <w:r w:rsidRPr="00781112">
              <w:rPr>
                <w:rFonts w:cs="Arial"/>
                <w:b/>
                <w:color w:val="000000" w:themeColor="text1"/>
                <w:szCs w:val="16"/>
              </w:rPr>
              <w:t>2022</w:t>
            </w:r>
          </w:p>
        </w:tc>
        <w:tc>
          <w:tcPr>
            <w:tcW w:w="618" w:type="pct"/>
            <w:vAlign w:val="center"/>
          </w:tcPr>
          <w:p w14:paraId="72DB4D15" w14:textId="310E5749" w:rsidR="00FD5357" w:rsidRPr="00781112" w:rsidRDefault="00FD5357" w:rsidP="00FD5357">
            <w:pPr>
              <w:jc w:val="center"/>
              <w:rPr>
                <w:b/>
                <w:color w:val="000000" w:themeColor="text1"/>
              </w:rPr>
            </w:pPr>
            <w:r w:rsidRPr="00781112">
              <w:rPr>
                <w:rFonts w:cs="Arial"/>
                <w:b/>
                <w:color w:val="000000" w:themeColor="text1"/>
                <w:szCs w:val="16"/>
              </w:rPr>
              <w:t>2023</w:t>
            </w:r>
          </w:p>
        </w:tc>
        <w:tc>
          <w:tcPr>
            <w:tcW w:w="618" w:type="pct"/>
            <w:vAlign w:val="center"/>
          </w:tcPr>
          <w:p w14:paraId="62291C5B" w14:textId="0E374F42" w:rsidR="00FD5357" w:rsidRPr="00781112" w:rsidRDefault="00FD5357" w:rsidP="00FD5357">
            <w:pPr>
              <w:jc w:val="center"/>
              <w:rPr>
                <w:b/>
                <w:color w:val="000000" w:themeColor="text1"/>
              </w:rPr>
            </w:pPr>
            <w:r w:rsidRPr="00781112">
              <w:rPr>
                <w:rFonts w:cs="Arial"/>
                <w:b/>
                <w:color w:val="000000" w:themeColor="text1"/>
                <w:szCs w:val="16"/>
              </w:rPr>
              <w:t>2024</w:t>
            </w:r>
          </w:p>
        </w:tc>
        <w:tc>
          <w:tcPr>
            <w:tcW w:w="618" w:type="pct"/>
            <w:vAlign w:val="center"/>
          </w:tcPr>
          <w:p w14:paraId="5D064D25" w14:textId="7AE8523E" w:rsidR="00FD5357" w:rsidRPr="00781112" w:rsidRDefault="00FD5357" w:rsidP="00FD5357">
            <w:pPr>
              <w:jc w:val="center"/>
              <w:rPr>
                <w:b/>
                <w:color w:val="000000" w:themeColor="text1"/>
              </w:rPr>
            </w:pPr>
            <w:r w:rsidRPr="00781112">
              <w:rPr>
                <w:rFonts w:cs="Arial"/>
                <w:b/>
                <w:color w:val="000000" w:themeColor="text1"/>
                <w:szCs w:val="16"/>
              </w:rPr>
              <w:t>2025</w:t>
            </w:r>
          </w:p>
        </w:tc>
      </w:tr>
      <w:tr w:rsidR="001E2F3E" w:rsidRPr="00781112" w14:paraId="5EF23A8E" w14:textId="333536B2" w:rsidTr="009E026B">
        <w:tc>
          <w:tcPr>
            <w:tcW w:w="415" w:type="pct"/>
            <w:shd w:val="clear" w:color="auto" w:fill="auto"/>
            <w:vAlign w:val="center"/>
          </w:tcPr>
          <w:p w14:paraId="659131E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0E33DCFC"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A &gt;=</w:t>
            </w:r>
          </w:p>
        </w:tc>
        <w:tc>
          <w:tcPr>
            <w:tcW w:w="542" w:type="pct"/>
            <w:shd w:val="clear" w:color="auto" w:fill="auto"/>
            <w:vAlign w:val="center"/>
          </w:tcPr>
          <w:p w14:paraId="76B16B43" w14:textId="39FB8899"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0F6CE0A1" w14:textId="29A64BBD"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4A0A22E0" w14:textId="6BB46B0C" w:rsidR="00C362C0" w:rsidRPr="00781112" w:rsidRDefault="00C362C0" w:rsidP="00C362C0">
            <w:pPr>
              <w:jc w:val="center"/>
              <w:rPr>
                <w:rFonts w:cs="Arial"/>
                <w:color w:val="000000" w:themeColor="text1"/>
                <w:szCs w:val="16"/>
              </w:rPr>
            </w:pPr>
            <w:r w:rsidRPr="00781112">
              <w:rPr>
                <w:rFonts w:cs="Arial"/>
                <w:color w:val="000000" w:themeColor="text1"/>
                <w:szCs w:val="16"/>
              </w:rPr>
              <w:t>98.00%</w:t>
            </w:r>
            <w:r w:rsidRPr="00781112">
              <w:t xml:space="preserve"> </w:t>
            </w:r>
          </w:p>
        </w:tc>
        <w:tc>
          <w:tcPr>
            <w:tcW w:w="618" w:type="pct"/>
            <w:vAlign w:val="center"/>
          </w:tcPr>
          <w:p w14:paraId="01E8CE0F" w14:textId="037B9FF4"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384B0AD2" w14:textId="38B3F908"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31EAFB06" w14:textId="6B6573E2"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1B8020D6" w14:textId="2E1B85FC"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r>
      <w:tr w:rsidR="001E2F3E" w:rsidRPr="00781112" w14:paraId="0DC87485" w14:textId="7CEA602E" w:rsidTr="009E026B">
        <w:tc>
          <w:tcPr>
            <w:tcW w:w="415" w:type="pct"/>
            <w:shd w:val="clear" w:color="auto" w:fill="auto"/>
            <w:vAlign w:val="center"/>
          </w:tcPr>
          <w:p w14:paraId="0DBD5106"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32DA1B30"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B &gt;=</w:t>
            </w:r>
          </w:p>
        </w:tc>
        <w:tc>
          <w:tcPr>
            <w:tcW w:w="542" w:type="pct"/>
            <w:shd w:val="clear" w:color="auto" w:fill="auto"/>
            <w:vAlign w:val="center"/>
          </w:tcPr>
          <w:p w14:paraId="7451C944" w14:textId="48D1DB42"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00A324D3" w14:textId="7CE00F34"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52AC2F70" w14:textId="3AB4351A"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32A4C051" w14:textId="2E65FFFC"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77CC4A95" w14:textId="1A1A42B6"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73563EF2" w14:textId="7C7E03A0"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4678C9EF" w14:textId="095E0438"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r>
      <w:tr w:rsidR="001E2F3E" w:rsidRPr="00781112" w14:paraId="546837A9" w14:textId="0EC3B58A" w:rsidTr="009E026B">
        <w:tc>
          <w:tcPr>
            <w:tcW w:w="415" w:type="pct"/>
            <w:shd w:val="clear" w:color="auto" w:fill="auto"/>
            <w:vAlign w:val="center"/>
          </w:tcPr>
          <w:p w14:paraId="5E2AB8D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2801904B"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C &gt;=</w:t>
            </w:r>
          </w:p>
        </w:tc>
        <w:tc>
          <w:tcPr>
            <w:tcW w:w="542" w:type="pct"/>
            <w:shd w:val="clear" w:color="auto" w:fill="auto"/>
            <w:vAlign w:val="center"/>
          </w:tcPr>
          <w:p w14:paraId="5F09655C" w14:textId="799E5EE7"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06826BA4" w14:textId="5829FE90"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14B1D7EC" w14:textId="5E17D245"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05B53368" w14:textId="52EA99DA"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55D2A6D2" w14:textId="0D1D128C"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0D56BAE2" w14:textId="2F5D29E0"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051835DE" w14:textId="241C45E0"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r>
      <w:tr w:rsidR="001E2F3E" w:rsidRPr="00781112" w14:paraId="42FB4D55" w14:textId="70E04CC1" w:rsidTr="009E026B">
        <w:tc>
          <w:tcPr>
            <w:tcW w:w="415" w:type="pct"/>
            <w:shd w:val="clear" w:color="auto" w:fill="auto"/>
            <w:vAlign w:val="center"/>
          </w:tcPr>
          <w:p w14:paraId="5003C653"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3BDC476D"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A &gt;=</w:t>
            </w:r>
          </w:p>
        </w:tc>
        <w:tc>
          <w:tcPr>
            <w:tcW w:w="542" w:type="pct"/>
            <w:shd w:val="clear" w:color="auto" w:fill="auto"/>
            <w:vAlign w:val="center"/>
          </w:tcPr>
          <w:p w14:paraId="0CAD024F" w14:textId="139788C5"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643E3EC7" w14:textId="5E734881"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5C17E435" w14:textId="07B15AE7"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1B9AA205" w14:textId="39F901D2"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4966A75F" w14:textId="20C7AE15"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022FBD29" w14:textId="276E1879"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67ED89E3" w14:textId="45ADA051"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r>
      <w:tr w:rsidR="001E2F3E" w:rsidRPr="00781112" w14:paraId="36D735AC" w14:textId="5C55C170" w:rsidTr="009E026B">
        <w:tc>
          <w:tcPr>
            <w:tcW w:w="415" w:type="pct"/>
            <w:shd w:val="clear" w:color="auto" w:fill="auto"/>
            <w:vAlign w:val="center"/>
          </w:tcPr>
          <w:p w14:paraId="3DD2851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504829E1"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B &gt;=</w:t>
            </w:r>
          </w:p>
        </w:tc>
        <w:tc>
          <w:tcPr>
            <w:tcW w:w="542" w:type="pct"/>
            <w:shd w:val="clear" w:color="auto" w:fill="auto"/>
            <w:vAlign w:val="center"/>
          </w:tcPr>
          <w:p w14:paraId="7B7B7FDD" w14:textId="4EABA9DD"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4BE54D67" w14:textId="13C82F03"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1113A8B0" w14:textId="01C04123"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3A3B0FBA" w14:textId="478F9449"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789FBACE" w14:textId="6A3893AE"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22CE6700" w14:textId="17865EEB"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60EADA93" w14:textId="18F415A5"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r>
      <w:tr w:rsidR="001E2F3E" w:rsidRPr="00781112" w14:paraId="6D5345B6" w14:textId="77468A6F" w:rsidTr="009E026B">
        <w:tc>
          <w:tcPr>
            <w:tcW w:w="415" w:type="pct"/>
            <w:shd w:val="clear" w:color="auto" w:fill="auto"/>
            <w:vAlign w:val="center"/>
          </w:tcPr>
          <w:p w14:paraId="7932C55F"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2BCACF10"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C &gt;=</w:t>
            </w:r>
          </w:p>
        </w:tc>
        <w:tc>
          <w:tcPr>
            <w:tcW w:w="542" w:type="pct"/>
            <w:shd w:val="clear" w:color="auto" w:fill="auto"/>
            <w:vAlign w:val="center"/>
          </w:tcPr>
          <w:p w14:paraId="1E7674E7" w14:textId="620A24D0"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416F7E76" w14:textId="5B460752"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7ADA18AC" w14:textId="2893C149"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1BF168BC" w14:textId="476AE7F5"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3BB5329F" w14:textId="6B51850F"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3163C52B" w14:textId="316A6F3C"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c>
          <w:tcPr>
            <w:tcW w:w="618" w:type="pct"/>
            <w:vAlign w:val="center"/>
          </w:tcPr>
          <w:p w14:paraId="6839B11E" w14:textId="5B3A2218" w:rsidR="00C362C0" w:rsidRPr="00781112" w:rsidRDefault="00C362C0" w:rsidP="00C362C0">
            <w:pPr>
              <w:jc w:val="center"/>
              <w:rPr>
                <w:rFonts w:cs="Arial"/>
                <w:color w:val="000000" w:themeColor="text1"/>
                <w:szCs w:val="16"/>
              </w:rPr>
            </w:pPr>
            <w:r w:rsidRPr="00781112">
              <w:rPr>
                <w:rFonts w:cs="Arial"/>
                <w:color w:val="000000" w:themeColor="text1"/>
                <w:szCs w:val="16"/>
              </w:rPr>
              <w:t>98.00%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2DB4239B" w14:textId="2F83DC57" w:rsidR="00480083" w:rsidRPr="00781112" w:rsidRDefault="00480083" w:rsidP="00480083">
      <w:pPr>
        <w:rPr>
          <w:rFonts w:cs="Arial"/>
          <w:color w:val="000000" w:themeColor="text1"/>
          <w:szCs w:val="16"/>
        </w:rPr>
      </w:pPr>
      <w:r w:rsidRPr="00781112">
        <w:rPr>
          <w:rFonts w:cs="Arial"/>
          <w:color w:val="000000" w:themeColor="text1"/>
          <w:szCs w:val="16"/>
        </w:rPr>
        <w:t>Maine began using a new statewide assessment in FFY2020 (NWEA Measures of Academic Progress), yielding new baseline participation for this assessment.</w:t>
      </w:r>
    </w:p>
    <w:p w14:paraId="4B8B8032" w14:textId="4731FBE7" w:rsidR="0034094E" w:rsidRPr="00781112" w:rsidRDefault="0034094E">
      <w:pPr>
        <w:spacing w:before="0" w:after="200" w:line="276" w:lineRule="auto"/>
        <w:rPr>
          <w:b/>
          <w:color w:val="000000" w:themeColor="text1"/>
        </w:rPr>
      </w:pPr>
    </w:p>
    <w:p w14:paraId="185A3541" w14:textId="77777777" w:rsidR="004F4016" w:rsidRPr="00781112" w:rsidRDefault="004F4016" w:rsidP="004F4016">
      <w:pPr>
        <w:rPr>
          <w:b/>
          <w:color w:val="000000" w:themeColor="text1"/>
        </w:rPr>
      </w:pPr>
      <w:r w:rsidRPr="00781112">
        <w:rPr>
          <w:b/>
          <w:color w:val="000000" w:themeColor="text1"/>
        </w:rPr>
        <w:t>FFY 2020 Data Disaggregation from EDFacts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77777777" w:rsidR="004F4016" w:rsidRPr="00781112" w:rsidRDefault="004F4016" w:rsidP="004F4016">
      <w:pPr>
        <w:rPr>
          <w:rFonts w:cs="Arial"/>
          <w:color w:val="000000" w:themeColor="text1"/>
          <w:szCs w:val="16"/>
        </w:rPr>
      </w:pPr>
      <w:r w:rsidRPr="00781112">
        <w:rPr>
          <w:rFonts w:cs="Arial"/>
          <w:color w:val="000000" w:themeColor="text1"/>
          <w:szCs w:val="16"/>
        </w:rPr>
        <w:t>SY 2020-21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03/30/2022</w:t>
      </w:r>
    </w:p>
    <w:p w14:paraId="651CC948" w14:textId="77777777" w:rsidR="004F4016" w:rsidRPr="00781112" w:rsidRDefault="004F4016" w:rsidP="004F4016">
      <w:pPr>
        <w:rPr>
          <w:b/>
          <w:color w:val="000000" w:themeColor="text1"/>
        </w:rPr>
      </w:pPr>
      <w:r w:rsidRPr="00781112">
        <w:rPr>
          <w:b/>
          <w:color w:val="000000" w:themeColor="text1"/>
        </w:rPr>
        <w:t>Reading Assessment Participation Data by Grade</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22A2E91" w:rsidR="00DD7CEF" w:rsidRPr="00781112" w:rsidRDefault="00DD7CEF" w:rsidP="00827FF4">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2,590</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2,587</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2,087</w:t>
            </w:r>
          </w:p>
        </w:tc>
      </w:tr>
      <w:tr w:rsidR="00DD7CEF" w:rsidRPr="00781112" w14:paraId="7B6E221D" w14:textId="77777777" w:rsidTr="009E026B">
        <w:tc>
          <w:tcPr>
            <w:tcW w:w="1541" w:type="pct"/>
            <w:shd w:val="clear" w:color="auto" w:fill="auto"/>
            <w:vAlign w:val="center"/>
          </w:tcPr>
          <w:p w14:paraId="06F38372" w14:textId="7C3FDC42"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1,087</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1,530</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1,104</w:t>
            </w:r>
          </w:p>
        </w:tc>
      </w:tr>
      <w:tr w:rsidR="00DD7CEF" w:rsidRPr="00781112" w14:paraId="764B5297" w14:textId="77777777" w:rsidTr="009E026B">
        <w:tc>
          <w:tcPr>
            <w:tcW w:w="1541" w:type="pct"/>
            <w:shd w:val="clear" w:color="auto" w:fill="auto"/>
            <w:vAlign w:val="center"/>
          </w:tcPr>
          <w:p w14:paraId="4B1F9E5B" w14:textId="0565B8FB"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1,201</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604</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80</w:t>
            </w:r>
          </w:p>
        </w:tc>
      </w:tr>
      <w:tr w:rsidR="00DD7CEF" w:rsidRPr="00781112" w14:paraId="2174424F" w14:textId="77777777" w:rsidTr="009E026B">
        <w:tc>
          <w:tcPr>
            <w:tcW w:w="1541" w:type="pct"/>
            <w:shd w:val="clear" w:color="auto" w:fill="auto"/>
            <w:vAlign w:val="center"/>
          </w:tcPr>
          <w:p w14:paraId="42AC6AFC" w14:textId="5D9B93DA" w:rsidR="00DD7CEF" w:rsidRPr="00781112" w:rsidRDefault="00E67387" w:rsidP="00827FF4">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89</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87</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81</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77777777" w:rsidR="004F4016" w:rsidRPr="00781112" w:rsidRDefault="004F4016" w:rsidP="004F4016">
      <w:pPr>
        <w:rPr>
          <w:rFonts w:cs="Arial"/>
          <w:color w:val="000000" w:themeColor="text1"/>
          <w:szCs w:val="16"/>
        </w:rPr>
      </w:pPr>
      <w:r w:rsidRPr="00781112">
        <w:rPr>
          <w:rFonts w:cs="Arial"/>
          <w:color w:val="000000" w:themeColor="text1"/>
          <w:szCs w:val="16"/>
        </w:rPr>
        <w:t>SY 2020-21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03/30/2022</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46869901" w:rsidR="00BA0CFF" w:rsidRPr="00781112" w:rsidRDefault="00BA0CFF" w:rsidP="00BA0CFF">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2,593</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2,584</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2,084</w:t>
            </w:r>
          </w:p>
        </w:tc>
      </w:tr>
      <w:tr w:rsidR="003A67B1" w:rsidRPr="00781112" w14:paraId="1B3F669C" w14:textId="77777777" w:rsidTr="009E026B">
        <w:tc>
          <w:tcPr>
            <w:tcW w:w="1541" w:type="pct"/>
            <w:shd w:val="clear" w:color="auto" w:fill="auto"/>
            <w:vAlign w:val="center"/>
          </w:tcPr>
          <w:p w14:paraId="36B1CD39" w14:textId="08730EA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1,077</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1,520</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1,100</w:t>
            </w:r>
          </w:p>
        </w:tc>
      </w:tr>
      <w:tr w:rsidR="003A67B1" w:rsidRPr="00781112" w14:paraId="206D39D6" w14:textId="77777777" w:rsidTr="009E026B">
        <w:tc>
          <w:tcPr>
            <w:tcW w:w="1541" w:type="pct"/>
            <w:shd w:val="clear" w:color="auto" w:fill="auto"/>
            <w:vAlign w:val="center"/>
          </w:tcPr>
          <w:p w14:paraId="6A501FD3" w14:textId="6468B895"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1,215</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614</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84</w:t>
            </w:r>
          </w:p>
        </w:tc>
      </w:tr>
      <w:tr w:rsidR="003A67B1" w:rsidRPr="00781112" w14:paraId="7C657E3A" w14:textId="77777777" w:rsidTr="009E026B">
        <w:tc>
          <w:tcPr>
            <w:tcW w:w="1541" w:type="pct"/>
            <w:shd w:val="clear" w:color="auto" w:fill="auto"/>
            <w:vAlign w:val="center"/>
          </w:tcPr>
          <w:p w14:paraId="19508B28" w14:textId="23952C15" w:rsidR="003A67B1" w:rsidRPr="00781112" w:rsidRDefault="003A67B1" w:rsidP="003A67B1">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88</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84</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80</w:t>
            </w:r>
          </w:p>
        </w:tc>
      </w:tr>
    </w:tbl>
    <w:p w14:paraId="28134ACD" w14:textId="77777777" w:rsidR="004F2A22" w:rsidRDefault="004F2A22" w:rsidP="003E3AED"/>
    <w:p w14:paraId="1074FBF7" w14:textId="5A346BAA" w:rsidR="003E3AED" w:rsidRDefault="003C0975" w:rsidP="003E3AED">
      <w:r>
        <w:t xml:space="preserve">*The children with IEPs count </w:t>
      </w:r>
      <w:r w:rsidRPr="007905E7">
        <w:t xml:space="preserve">excludes </w:t>
      </w:r>
      <w:r>
        <w:t xml:space="preserve">children with disabilities </w:t>
      </w:r>
      <w:r w:rsidRPr="007905E7">
        <w:t>who were reported as exempt due to significant medical emergency</w:t>
      </w:r>
      <w:r w:rsidR="003E3AED">
        <w:t xml:space="preserve"> in row </w:t>
      </w:r>
      <w:proofErr w:type="gramStart"/>
      <w:r w:rsidR="003E3AED">
        <w:t>a for</w:t>
      </w:r>
      <w:proofErr w:type="gramEnd"/>
      <w:r w:rsidR="003E3AED">
        <w:t xml:space="preserve"> all the prefilled data in this indicator.</w:t>
      </w:r>
    </w:p>
    <w:p w14:paraId="20F9FF57" w14:textId="77777777" w:rsidR="003C0975" w:rsidRPr="00781112" w:rsidRDefault="003C0975" w:rsidP="004F4016">
      <w:pPr>
        <w:rPr>
          <w:color w:val="000000" w:themeColor="text1"/>
        </w:rPr>
      </w:pPr>
    </w:p>
    <w:p w14:paraId="44A15970" w14:textId="77777777" w:rsidR="004F4016" w:rsidRPr="00781112" w:rsidRDefault="004F4016" w:rsidP="004F4016">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396BA3" w:rsidRPr="00781112" w14:paraId="3BAF6B00" w14:textId="77777777" w:rsidTr="00396BA3">
        <w:trPr>
          <w:tblHeader/>
        </w:trPr>
        <w:tc>
          <w:tcPr>
            <w:tcW w:w="356" w:type="pct"/>
            <w:shd w:val="clear" w:color="auto" w:fill="auto"/>
            <w:vAlign w:val="bottom"/>
          </w:tcPr>
          <w:p w14:paraId="3F94C694" w14:textId="77777777" w:rsidR="00763F84" w:rsidRPr="00781112" w:rsidRDefault="00763F84" w:rsidP="00827FF4">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763F84" w:rsidRPr="00781112" w:rsidRDefault="00763F84" w:rsidP="00827FF4">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763F84" w:rsidRPr="00781112" w:rsidRDefault="00763F84" w:rsidP="00827FF4">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763F84" w:rsidRPr="00781112" w:rsidRDefault="00763F84" w:rsidP="00827FF4">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7777777" w:rsidR="00763F84" w:rsidRPr="00781112" w:rsidRDefault="00763F84" w:rsidP="00827FF4">
            <w:pPr>
              <w:jc w:val="center"/>
              <w:rPr>
                <w:b/>
                <w:color w:val="000000" w:themeColor="text1"/>
              </w:rPr>
            </w:pPr>
            <w:r w:rsidRPr="00781112">
              <w:rPr>
                <w:b/>
                <w:color w:val="000000" w:themeColor="text1"/>
              </w:rPr>
              <w:t>FFY 2019 Data</w:t>
            </w:r>
          </w:p>
        </w:tc>
        <w:tc>
          <w:tcPr>
            <w:tcW w:w="467" w:type="pct"/>
            <w:shd w:val="clear" w:color="auto" w:fill="auto"/>
            <w:vAlign w:val="bottom"/>
          </w:tcPr>
          <w:p w14:paraId="2D0B1710" w14:textId="77777777" w:rsidR="00763F84" w:rsidRPr="00781112" w:rsidRDefault="00763F84" w:rsidP="00827FF4">
            <w:pPr>
              <w:jc w:val="center"/>
              <w:rPr>
                <w:b/>
                <w:color w:val="000000" w:themeColor="text1"/>
              </w:rPr>
            </w:pPr>
            <w:r w:rsidRPr="00781112">
              <w:rPr>
                <w:b/>
                <w:color w:val="000000" w:themeColor="text1"/>
              </w:rPr>
              <w:t>FFY 2020 Target</w:t>
            </w:r>
          </w:p>
        </w:tc>
        <w:tc>
          <w:tcPr>
            <w:tcW w:w="467" w:type="pct"/>
            <w:shd w:val="clear" w:color="auto" w:fill="auto"/>
            <w:vAlign w:val="bottom"/>
          </w:tcPr>
          <w:p w14:paraId="1D807DE2" w14:textId="77777777" w:rsidR="00763F84" w:rsidRPr="00781112" w:rsidRDefault="00763F84" w:rsidP="00827FF4">
            <w:pPr>
              <w:jc w:val="center"/>
              <w:rPr>
                <w:b/>
                <w:color w:val="000000" w:themeColor="text1"/>
              </w:rPr>
            </w:pPr>
            <w:r w:rsidRPr="00781112">
              <w:rPr>
                <w:b/>
                <w:color w:val="000000" w:themeColor="text1"/>
              </w:rPr>
              <w:t>FFY 2020 Data</w:t>
            </w:r>
          </w:p>
        </w:tc>
        <w:tc>
          <w:tcPr>
            <w:tcW w:w="467" w:type="pct"/>
            <w:shd w:val="clear" w:color="auto" w:fill="auto"/>
            <w:vAlign w:val="bottom"/>
          </w:tcPr>
          <w:p w14:paraId="6569FC00" w14:textId="77777777" w:rsidR="00763F84" w:rsidRPr="00781112" w:rsidRDefault="00763F84" w:rsidP="00827FF4">
            <w:pPr>
              <w:jc w:val="center"/>
              <w:rPr>
                <w:b/>
                <w:color w:val="000000" w:themeColor="text1"/>
              </w:rPr>
            </w:pPr>
            <w:r w:rsidRPr="00781112">
              <w:rPr>
                <w:b/>
                <w:color w:val="000000" w:themeColor="text1"/>
              </w:rPr>
              <w:t>Status</w:t>
            </w:r>
          </w:p>
        </w:tc>
        <w:tc>
          <w:tcPr>
            <w:tcW w:w="467" w:type="pct"/>
            <w:shd w:val="clear" w:color="auto" w:fill="auto"/>
            <w:vAlign w:val="bottom"/>
          </w:tcPr>
          <w:p w14:paraId="2DF56EFB" w14:textId="77777777" w:rsidR="00763F84" w:rsidRPr="00781112" w:rsidRDefault="00763F84" w:rsidP="00827FF4">
            <w:pPr>
              <w:jc w:val="center"/>
              <w:rPr>
                <w:b/>
                <w:color w:val="000000" w:themeColor="text1"/>
              </w:rPr>
            </w:pPr>
            <w:r w:rsidRPr="00781112">
              <w:rPr>
                <w:b/>
                <w:color w:val="000000" w:themeColor="text1"/>
              </w:rPr>
              <w:t>Slippage</w:t>
            </w:r>
          </w:p>
        </w:tc>
      </w:tr>
      <w:tr w:rsidR="00396BA3" w:rsidRPr="00781112" w14:paraId="376FC28A" w14:textId="77777777" w:rsidTr="00396BA3">
        <w:tc>
          <w:tcPr>
            <w:tcW w:w="356"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2,377</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2,590</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98.00%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91.78%</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56F1A9B2" w14:textId="77777777" w:rsidTr="00396BA3">
        <w:tc>
          <w:tcPr>
            <w:tcW w:w="356"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2,221</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2,587</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98.00%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85.85%</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7455692E" w14:textId="77777777" w:rsidTr="00396BA3">
        <w:tc>
          <w:tcPr>
            <w:tcW w:w="356"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1,265</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2,087</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98.00%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60.61%</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34395E89" w:rsidR="00F17D5E" w:rsidRPr="00781112" w:rsidRDefault="00F17D5E" w:rsidP="00F17D5E">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830159" w:rsidRPr="00781112" w14:paraId="681A67CD" w14:textId="77777777" w:rsidTr="00360DD6">
        <w:trPr>
          <w:tblHeader/>
        </w:trPr>
        <w:tc>
          <w:tcPr>
            <w:tcW w:w="331" w:type="pct"/>
            <w:shd w:val="clear" w:color="auto" w:fill="auto"/>
            <w:vAlign w:val="bottom"/>
          </w:tcPr>
          <w:p w14:paraId="32EBDF09" w14:textId="77777777" w:rsidR="00F17D5E" w:rsidRPr="00781112" w:rsidRDefault="00F17D5E" w:rsidP="00827FF4">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F17D5E" w:rsidRPr="00781112" w:rsidRDefault="00F17D5E" w:rsidP="00827FF4">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F17D5E" w:rsidRPr="00781112" w:rsidRDefault="00F17D5E" w:rsidP="00827FF4">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F17D5E" w:rsidRPr="00781112" w:rsidRDefault="00F17D5E" w:rsidP="00827FF4">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77777777" w:rsidR="00F17D5E" w:rsidRPr="00781112" w:rsidRDefault="00F17D5E" w:rsidP="00827FF4">
            <w:pPr>
              <w:jc w:val="center"/>
              <w:rPr>
                <w:b/>
                <w:color w:val="000000" w:themeColor="text1"/>
              </w:rPr>
            </w:pPr>
            <w:r w:rsidRPr="00781112">
              <w:rPr>
                <w:b/>
                <w:color w:val="000000" w:themeColor="text1"/>
              </w:rPr>
              <w:t>FFY 2019 Data</w:t>
            </w:r>
          </w:p>
        </w:tc>
        <w:tc>
          <w:tcPr>
            <w:tcW w:w="468" w:type="pct"/>
            <w:shd w:val="clear" w:color="auto" w:fill="auto"/>
            <w:vAlign w:val="bottom"/>
          </w:tcPr>
          <w:p w14:paraId="681C20C6" w14:textId="77777777" w:rsidR="00F17D5E" w:rsidRPr="00781112" w:rsidRDefault="00F17D5E" w:rsidP="00827FF4">
            <w:pPr>
              <w:jc w:val="center"/>
              <w:rPr>
                <w:b/>
                <w:color w:val="000000" w:themeColor="text1"/>
              </w:rPr>
            </w:pPr>
            <w:r w:rsidRPr="00781112">
              <w:rPr>
                <w:b/>
                <w:color w:val="000000" w:themeColor="text1"/>
              </w:rPr>
              <w:t>FFY 2020 Target</w:t>
            </w:r>
          </w:p>
        </w:tc>
        <w:tc>
          <w:tcPr>
            <w:tcW w:w="468" w:type="pct"/>
            <w:shd w:val="clear" w:color="auto" w:fill="auto"/>
            <w:vAlign w:val="bottom"/>
          </w:tcPr>
          <w:p w14:paraId="1A223A3A" w14:textId="77777777" w:rsidR="00F17D5E" w:rsidRPr="00781112" w:rsidRDefault="00F17D5E" w:rsidP="00827FF4">
            <w:pPr>
              <w:jc w:val="center"/>
              <w:rPr>
                <w:b/>
                <w:color w:val="000000" w:themeColor="text1"/>
              </w:rPr>
            </w:pPr>
            <w:r w:rsidRPr="00781112">
              <w:rPr>
                <w:b/>
                <w:color w:val="000000" w:themeColor="text1"/>
              </w:rPr>
              <w:t>FFY 2020 Data</w:t>
            </w:r>
          </w:p>
        </w:tc>
        <w:tc>
          <w:tcPr>
            <w:tcW w:w="468" w:type="pct"/>
            <w:shd w:val="clear" w:color="auto" w:fill="auto"/>
            <w:vAlign w:val="bottom"/>
          </w:tcPr>
          <w:p w14:paraId="2E2084EF" w14:textId="77777777" w:rsidR="00F17D5E" w:rsidRPr="00781112" w:rsidRDefault="00F17D5E" w:rsidP="00827FF4">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F17D5E" w:rsidRPr="00781112" w:rsidRDefault="00F17D5E" w:rsidP="00827FF4">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2,380</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2,593</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98.00%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91.79%</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2,218</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2,584</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98.00%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85.84%</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1,264</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2,084</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98.00%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60.65%</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https://www.maine.gov/doe/Testing_Accountability/MECAS/results</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Maine began using a new statewide assessment in FFY2020 (NWEA Measures of Academic Progress), yielding new baseline participation for this assessment.</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The State did not provide data for this indicator. OESE gave the State the opportunity to submit data during the official EdFacts resubmission period for assessment data. The State's submitted data will be prefilled in the SPP/APR reporting platform when Part B Clarification period opens on April 14. OSEP will conduct its review of the State’s submitted data after the Clarification period closes.</w:t>
      </w: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
      </w: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2"/>
      <w:bookmarkEnd w:id="13"/>
    </w:p>
    <w:p w14:paraId="66C662B8" w14:textId="77777777" w:rsidR="007C3C89" w:rsidRPr="00781112" w:rsidRDefault="007C3C89" w:rsidP="00A018D4">
      <w:pPr>
        <w:rPr>
          <w:color w:val="000000" w:themeColor="text1"/>
          <w:szCs w:val="20"/>
        </w:rPr>
      </w:pPr>
      <w:bookmarkStart w:id="15"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EDFacts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5"/>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51.18%</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59.33%</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66.05%</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47.38%</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48.59%</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56.93%</w:t>
            </w:r>
          </w:p>
        </w:tc>
      </w:tr>
    </w:tbl>
    <w:p w14:paraId="59FDF599" w14:textId="77777777" w:rsidR="00E87854" w:rsidRPr="00781112" w:rsidRDefault="00E87854" w:rsidP="004369B2">
      <w:pPr>
        <w:rPr>
          <w:b/>
          <w:color w:val="000000" w:themeColor="text1"/>
        </w:rPr>
      </w:pPr>
    </w:p>
    <w:p w14:paraId="4E5C7995" w14:textId="77777777" w:rsidR="004D0044" w:rsidRPr="00781112" w:rsidRDefault="004D0044" w:rsidP="004369B2">
      <w:pPr>
        <w:rPr>
          <w:color w:val="000000" w:themeColor="text1"/>
        </w:rPr>
      </w:pPr>
    </w:p>
    <w:p w14:paraId="38F110A8" w14:textId="3014A321" w:rsidR="00E539AB" w:rsidRPr="00781112" w:rsidRDefault="00E539AB" w:rsidP="004369B2">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7"/>
        <w:gridCol w:w="1200"/>
        <w:gridCol w:w="1200"/>
        <w:gridCol w:w="1200"/>
        <w:gridCol w:w="1200"/>
        <w:gridCol w:w="1200"/>
        <w:gridCol w:w="1200"/>
        <w:gridCol w:w="1200"/>
        <w:gridCol w:w="1193"/>
      </w:tblGrid>
      <w:tr w:rsidR="00536B0B" w:rsidRPr="00781112" w14:paraId="241559C7" w14:textId="3976E689" w:rsidTr="009E026B">
        <w:tc>
          <w:tcPr>
            <w:tcW w:w="555" w:type="pct"/>
            <w:tcBorders>
              <w:bottom w:val="single" w:sz="4" w:space="0" w:color="auto"/>
            </w:tcBorders>
            <w:shd w:val="clear" w:color="auto" w:fill="auto"/>
            <w:vAlign w:val="center"/>
          </w:tcPr>
          <w:p w14:paraId="5F6C0247" w14:textId="02A2F5D1" w:rsidR="00536B0B" w:rsidRPr="00781112" w:rsidRDefault="00536B0B" w:rsidP="00536B0B">
            <w:pPr>
              <w:jc w:val="center"/>
              <w:rPr>
                <w:b/>
                <w:color w:val="000000" w:themeColor="text1"/>
              </w:rPr>
            </w:pPr>
            <w:r w:rsidRPr="00781112">
              <w:rPr>
                <w:b/>
                <w:color w:val="000000" w:themeColor="text1"/>
              </w:rPr>
              <w:t>Subject</w:t>
            </w:r>
          </w:p>
        </w:tc>
        <w:tc>
          <w:tcPr>
            <w:tcW w:w="556" w:type="pct"/>
            <w:tcBorders>
              <w:bottom w:val="single" w:sz="4" w:space="0" w:color="auto"/>
            </w:tcBorders>
            <w:shd w:val="clear" w:color="auto" w:fill="auto"/>
            <w:vAlign w:val="center"/>
          </w:tcPr>
          <w:p w14:paraId="1318C08B" w14:textId="57349DD9" w:rsidR="00536B0B" w:rsidRPr="00781112" w:rsidRDefault="00536B0B" w:rsidP="00536B0B">
            <w:pPr>
              <w:jc w:val="center"/>
              <w:rPr>
                <w:b/>
                <w:color w:val="000000" w:themeColor="text1"/>
              </w:rPr>
            </w:pPr>
            <w:r w:rsidRPr="00781112">
              <w:rPr>
                <w:b/>
                <w:color w:val="000000" w:themeColor="text1"/>
              </w:rPr>
              <w:t>Group</w:t>
            </w:r>
          </w:p>
        </w:tc>
        <w:tc>
          <w:tcPr>
            <w:tcW w:w="556" w:type="pct"/>
            <w:shd w:val="clear" w:color="auto" w:fill="auto"/>
            <w:vAlign w:val="center"/>
          </w:tcPr>
          <w:p w14:paraId="7EAB09FA" w14:textId="030EC418" w:rsidR="00536B0B" w:rsidRPr="00781112" w:rsidDel="008E7B87" w:rsidRDefault="00536B0B" w:rsidP="00536B0B">
            <w:pPr>
              <w:jc w:val="center"/>
              <w:rPr>
                <w:b/>
                <w:color w:val="000000" w:themeColor="text1"/>
              </w:rPr>
            </w:pPr>
            <w:r w:rsidRPr="00781112">
              <w:rPr>
                <w:b/>
                <w:color w:val="000000" w:themeColor="text1"/>
              </w:rPr>
              <w:t>Group Name</w:t>
            </w:r>
          </w:p>
        </w:tc>
        <w:tc>
          <w:tcPr>
            <w:tcW w:w="556" w:type="pct"/>
            <w:shd w:val="clear" w:color="auto" w:fill="auto"/>
            <w:vAlign w:val="center"/>
          </w:tcPr>
          <w:p w14:paraId="547F4988" w14:textId="1F981DE2" w:rsidR="00536B0B" w:rsidRPr="00781112" w:rsidRDefault="00536B0B" w:rsidP="00536B0B">
            <w:pPr>
              <w:jc w:val="center"/>
              <w:rPr>
                <w:b/>
                <w:color w:val="000000" w:themeColor="text1"/>
              </w:rPr>
            </w:pPr>
            <w:r w:rsidRPr="00781112">
              <w:rPr>
                <w:b/>
                <w:color w:val="000000" w:themeColor="text1"/>
              </w:rPr>
              <w:t>2020</w:t>
            </w:r>
          </w:p>
        </w:tc>
        <w:tc>
          <w:tcPr>
            <w:tcW w:w="556" w:type="pct"/>
            <w:vAlign w:val="center"/>
          </w:tcPr>
          <w:p w14:paraId="54E0670C" w14:textId="46A8862B" w:rsidR="00536B0B" w:rsidRPr="00781112" w:rsidRDefault="00536B0B" w:rsidP="00536B0B">
            <w:pPr>
              <w:jc w:val="center"/>
              <w:rPr>
                <w:b/>
                <w:color w:val="000000" w:themeColor="text1"/>
              </w:rPr>
            </w:pPr>
            <w:r w:rsidRPr="00781112">
              <w:rPr>
                <w:rFonts w:cs="Arial"/>
                <w:b/>
                <w:color w:val="000000" w:themeColor="text1"/>
                <w:szCs w:val="16"/>
              </w:rPr>
              <w:t>2021</w:t>
            </w:r>
          </w:p>
        </w:tc>
        <w:tc>
          <w:tcPr>
            <w:tcW w:w="556" w:type="pct"/>
            <w:vAlign w:val="center"/>
          </w:tcPr>
          <w:p w14:paraId="0317CAEF" w14:textId="4A2FF736" w:rsidR="00536B0B" w:rsidRPr="00781112" w:rsidRDefault="00536B0B" w:rsidP="00536B0B">
            <w:pPr>
              <w:jc w:val="center"/>
              <w:rPr>
                <w:b/>
                <w:color w:val="000000" w:themeColor="text1"/>
              </w:rPr>
            </w:pPr>
            <w:r w:rsidRPr="00781112">
              <w:rPr>
                <w:rFonts w:cs="Arial"/>
                <w:b/>
                <w:color w:val="000000" w:themeColor="text1"/>
                <w:szCs w:val="16"/>
              </w:rPr>
              <w:t>2022</w:t>
            </w:r>
          </w:p>
        </w:tc>
        <w:tc>
          <w:tcPr>
            <w:tcW w:w="556" w:type="pct"/>
            <w:vAlign w:val="center"/>
          </w:tcPr>
          <w:p w14:paraId="20B86A7A" w14:textId="2D2BB96C" w:rsidR="00536B0B" w:rsidRPr="00781112" w:rsidRDefault="00536B0B" w:rsidP="00536B0B">
            <w:pPr>
              <w:jc w:val="center"/>
              <w:rPr>
                <w:b/>
                <w:color w:val="000000" w:themeColor="text1"/>
              </w:rPr>
            </w:pPr>
            <w:r w:rsidRPr="00781112">
              <w:rPr>
                <w:rFonts w:cs="Arial"/>
                <w:b/>
                <w:color w:val="000000" w:themeColor="text1"/>
                <w:szCs w:val="16"/>
              </w:rPr>
              <w:t>2023</w:t>
            </w:r>
          </w:p>
        </w:tc>
        <w:tc>
          <w:tcPr>
            <w:tcW w:w="556" w:type="pct"/>
            <w:vAlign w:val="center"/>
          </w:tcPr>
          <w:p w14:paraId="076A0812" w14:textId="01751FCE" w:rsidR="00536B0B" w:rsidRPr="00781112" w:rsidRDefault="00536B0B" w:rsidP="00536B0B">
            <w:pPr>
              <w:jc w:val="center"/>
              <w:rPr>
                <w:b/>
                <w:color w:val="000000" w:themeColor="text1"/>
              </w:rPr>
            </w:pPr>
            <w:r w:rsidRPr="00781112">
              <w:rPr>
                <w:rFonts w:cs="Arial"/>
                <w:b/>
                <w:color w:val="000000" w:themeColor="text1"/>
                <w:szCs w:val="16"/>
              </w:rPr>
              <w:t>2024</w:t>
            </w:r>
          </w:p>
        </w:tc>
        <w:tc>
          <w:tcPr>
            <w:tcW w:w="553" w:type="pct"/>
            <w:vAlign w:val="center"/>
          </w:tcPr>
          <w:p w14:paraId="2176D829" w14:textId="0551E4D3" w:rsidR="00536B0B" w:rsidRPr="00781112" w:rsidRDefault="00536B0B" w:rsidP="00536B0B">
            <w:pPr>
              <w:jc w:val="center"/>
              <w:rPr>
                <w:b/>
                <w:color w:val="000000" w:themeColor="text1"/>
              </w:rPr>
            </w:pPr>
            <w:r w:rsidRPr="00781112">
              <w:rPr>
                <w:rFonts w:cs="Arial"/>
                <w:b/>
                <w:color w:val="000000" w:themeColor="text1"/>
                <w:szCs w:val="16"/>
              </w:rPr>
              <w:t>2025</w:t>
            </w:r>
          </w:p>
        </w:tc>
      </w:tr>
      <w:tr w:rsidR="004E5C74" w:rsidRPr="00781112" w14:paraId="6D8B6989" w14:textId="160D0375" w:rsidTr="009E026B">
        <w:tc>
          <w:tcPr>
            <w:tcW w:w="555" w:type="pct"/>
            <w:shd w:val="clear" w:color="auto" w:fill="auto"/>
            <w:vAlign w:val="center"/>
          </w:tcPr>
          <w:p w14:paraId="1B70FAC0" w14:textId="0849CE9C"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6221F405" w14:textId="189877A2"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A &gt;=</w:t>
            </w:r>
          </w:p>
        </w:tc>
        <w:tc>
          <w:tcPr>
            <w:tcW w:w="556" w:type="pct"/>
            <w:shd w:val="clear" w:color="auto" w:fill="auto"/>
            <w:vAlign w:val="center"/>
          </w:tcPr>
          <w:p w14:paraId="6D2C8AC8" w14:textId="0101FADC"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4</w:t>
            </w:r>
          </w:p>
        </w:tc>
        <w:tc>
          <w:tcPr>
            <w:tcW w:w="556" w:type="pct"/>
            <w:shd w:val="clear" w:color="auto" w:fill="auto"/>
            <w:vAlign w:val="center"/>
          </w:tcPr>
          <w:p w14:paraId="1794FDC8" w14:textId="2C32479D" w:rsidR="004E5C74" w:rsidRPr="00781112" w:rsidRDefault="004E5C74" w:rsidP="004E5C74">
            <w:pPr>
              <w:jc w:val="center"/>
              <w:rPr>
                <w:rFonts w:cs="Arial"/>
                <w:color w:val="000000" w:themeColor="text1"/>
                <w:szCs w:val="16"/>
              </w:rPr>
            </w:pPr>
            <w:r w:rsidRPr="00781112">
              <w:rPr>
                <w:rFonts w:cs="Arial"/>
                <w:color w:val="000000" w:themeColor="text1"/>
                <w:szCs w:val="16"/>
              </w:rPr>
              <w:t>51.18%</w:t>
            </w:r>
          </w:p>
        </w:tc>
        <w:tc>
          <w:tcPr>
            <w:tcW w:w="556" w:type="pct"/>
            <w:vAlign w:val="center"/>
          </w:tcPr>
          <w:p w14:paraId="609A7D0F" w14:textId="138D9671" w:rsidR="004E5C74" w:rsidRPr="00781112" w:rsidRDefault="004E5C74" w:rsidP="004E5C74">
            <w:pPr>
              <w:jc w:val="center"/>
              <w:rPr>
                <w:rFonts w:cs="Arial"/>
                <w:color w:val="000000" w:themeColor="text1"/>
                <w:szCs w:val="16"/>
              </w:rPr>
            </w:pPr>
            <w:r w:rsidRPr="00781112">
              <w:rPr>
                <w:rFonts w:cs="Arial"/>
                <w:color w:val="000000" w:themeColor="text1"/>
                <w:szCs w:val="16"/>
              </w:rPr>
              <w:t>53.18%</w:t>
            </w:r>
          </w:p>
        </w:tc>
        <w:tc>
          <w:tcPr>
            <w:tcW w:w="556" w:type="pct"/>
            <w:vAlign w:val="center"/>
          </w:tcPr>
          <w:p w14:paraId="3DF1FAFA" w14:textId="4C333171" w:rsidR="004E5C74" w:rsidRPr="00781112" w:rsidRDefault="004E5C74" w:rsidP="004E5C74">
            <w:pPr>
              <w:jc w:val="center"/>
              <w:rPr>
                <w:rFonts w:cs="Arial"/>
                <w:color w:val="000000" w:themeColor="text1"/>
                <w:szCs w:val="16"/>
              </w:rPr>
            </w:pPr>
            <w:r w:rsidRPr="00781112">
              <w:rPr>
                <w:rFonts w:cs="Arial"/>
                <w:color w:val="000000" w:themeColor="text1"/>
                <w:szCs w:val="16"/>
              </w:rPr>
              <w:t>55.18%</w:t>
            </w:r>
          </w:p>
        </w:tc>
        <w:tc>
          <w:tcPr>
            <w:tcW w:w="556" w:type="pct"/>
            <w:vAlign w:val="center"/>
          </w:tcPr>
          <w:p w14:paraId="77B3DA55" w14:textId="44F9C6DA" w:rsidR="004E5C74" w:rsidRPr="00781112" w:rsidRDefault="004E5C74" w:rsidP="004E5C74">
            <w:pPr>
              <w:jc w:val="center"/>
              <w:rPr>
                <w:rFonts w:cs="Arial"/>
                <w:color w:val="000000" w:themeColor="text1"/>
                <w:szCs w:val="16"/>
              </w:rPr>
            </w:pPr>
            <w:r w:rsidRPr="00781112">
              <w:rPr>
                <w:rFonts w:cs="Arial"/>
                <w:color w:val="000000" w:themeColor="text1"/>
                <w:szCs w:val="16"/>
              </w:rPr>
              <w:t>57.18%</w:t>
            </w:r>
          </w:p>
        </w:tc>
        <w:tc>
          <w:tcPr>
            <w:tcW w:w="556" w:type="pct"/>
            <w:vAlign w:val="center"/>
          </w:tcPr>
          <w:p w14:paraId="59DDD0B3" w14:textId="64292362" w:rsidR="004E5C74" w:rsidRPr="00781112" w:rsidRDefault="004E5C74" w:rsidP="004E5C74">
            <w:pPr>
              <w:jc w:val="center"/>
              <w:rPr>
                <w:rFonts w:cs="Arial"/>
                <w:color w:val="000000" w:themeColor="text1"/>
                <w:szCs w:val="16"/>
              </w:rPr>
            </w:pPr>
            <w:r w:rsidRPr="00781112">
              <w:rPr>
                <w:rFonts w:cs="Arial"/>
                <w:color w:val="000000" w:themeColor="text1"/>
                <w:szCs w:val="16"/>
              </w:rPr>
              <w:t>59.18%</w:t>
            </w:r>
          </w:p>
        </w:tc>
        <w:tc>
          <w:tcPr>
            <w:tcW w:w="553" w:type="pct"/>
            <w:vAlign w:val="center"/>
          </w:tcPr>
          <w:p w14:paraId="0C4A4D97" w14:textId="38824368" w:rsidR="004E5C74" w:rsidRPr="00781112" w:rsidRDefault="004E5C74" w:rsidP="004E5C74">
            <w:pPr>
              <w:jc w:val="center"/>
              <w:rPr>
                <w:rFonts w:cs="Arial"/>
                <w:color w:val="000000" w:themeColor="text1"/>
                <w:szCs w:val="16"/>
              </w:rPr>
            </w:pPr>
            <w:r w:rsidRPr="00781112">
              <w:rPr>
                <w:rFonts w:cs="Arial"/>
                <w:color w:val="000000" w:themeColor="text1"/>
                <w:szCs w:val="16"/>
              </w:rPr>
              <w:t>61.18%</w:t>
            </w:r>
          </w:p>
        </w:tc>
      </w:tr>
      <w:tr w:rsidR="004E5C74" w:rsidRPr="00781112" w14:paraId="6BD665D1" w14:textId="5FDF63E7" w:rsidTr="009E026B">
        <w:tc>
          <w:tcPr>
            <w:tcW w:w="555" w:type="pct"/>
            <w:shd w:val="clear" w:color="auto" w:fill="auto"/>
            <w:vAlign w:val="center"/>
          </w:tcPr>
          <w:p w14:paraId="2A84087F" w14:textId="4E8F4953"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2646C0D6" w14:textId="23685D27"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B &gt;=</w:t>
            </w:r>
          </w:p>
        </w:tc>
        <w:tc>
          <w:tcPr>
            <w:tcW w:w="556" w:type="pct"/>
            <w:shd w:val="clear" w:color="auto" w:fill="auto"/>
            <w:vAlign w:val="center"/>
          </w:tcPr>
          <w:p w14:paraId="67079A1D" w14:textId="08C9FD02"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8</w:t>
            </w:r>
          </w:p>
        </w:tc>
        <w:tc>
          <w:tcPr>
            <w:tcW w:w="556" w:type="pct"/>
            <w:shd w:val="clear" w:color="auto" w:fill="auto"/>
            <w:vAlign w:val="center"/>
          </w:tcPr>
          <w:p w14:paraId="03609D46" w14:textId="75CA57B6" w:rsidR="004E5C74" w:rsidRPr="00781112" w:rsidRDefault="004E5C74" w:rsidP="004E5C74">
            <w:pPr>
              <w:jc w:val="center"/>
              <w:rPr>
                <w:rFonts w:cs="Arial"/>
                <w:color w:val="000000" w:themeColor="text1"/>
                <w:szCs w:val="16"/>
              </w:rPr>
            </w:pPr>
            <w:r w:rsidRPr="00781112">
              <w:rPr>
                <w:rFonts w:cs="Arial"/>
                <w:color w:val="000000" w:themeColor="text1"/>
                <w:szCs w:val="16"/>
              </w:rPr>
              <w:t>59.33%</w:t>
            </w:r>
          </w:p>
        </w:tc>
        <w:tc>
          <w:tcPr>
            <w:tcW w:w="556" w:type="pct"/>
            <w:vAlign w:val="center"/>
          </w:tcPr>
          <w:p w14:paraId="08D72C36" w14:textId="2621CBFF" w:rsidR="004E5C74" w:rsidRPr="00781112" w:rsidRDefault="004E5C74" w:rsidP="004E5C74">
            <w:pPr>
              <w:jc w:val="center"/>
              <w:rPr>
                <w:rFonts w:cs="Arial"/>
                <w:color w:val="000000" w:themeColor="text1"/>
                <w:szCs w:val="16"/>
              </w:rPr>
            </w:pPr>
            <w:r w:rsidRPr="00781112">
              <w:rPr>
                <w:rFonts w:cs="Arial"/>
                <w:color w:val="000000" w:themeColor="text1"/>
                <w:szCs w:val="16"/>
              </w:rPr>
              <w:t>61.33%</w:t>
            </w:r>
          </w:p>
        </w:tc>
        <w:tc>
          <w:tcPr>
            <w:tcW w:w="556" w:type="pct"/>
            <w:vAlign w:val="center"/>
          </w:tcPr>
          <w:p w14:paraId="60E9FAA2" w14:textId="0E1508C1" w:rsidR="004E5C74" w:rsidRPr="00781112" w:rsidRDefault="004E5C74" w:rsidP="004E5C74">
            <w:pPr>
              <w:jc w:val="center"/>
              <w:rPr>
                <w:rFonts w:cs="Arial"/>
                <w:color w:val="000000" w:themeColor="text1"/>
                <w:szCs w:val="16"/>
              </w:rPr>
            </w:pPr>
            <w:r w:rsidRPr="00781112">
              <w:rPr>
                <w:rFonts w:cs="Arial"/>
                <w:color w:val="000000" w:themeColor="text1"/>
                <w:szCs w:val="16"/>
              </w:rPr>
              <w:t>63.33%</w:t>
            </w:r>
          </w:p>
        </w:tc>
        <w:tc>
          <w:tcPr>
            <w:tcW w:w="556" w:type="pct"/>
            <w:vAlign w:val="center"/>
          </w:tcPr>
          <w:p w14:paraId="55ED1028" w14:textId="05411637" w:rsidR="004E5C74" w:rsidRPr="00781112" w:rsidRDefault="004E5C74" w:rsidP="004E5C74">
            <w:pPr>
              <w:jc w:val="center"/>
              <w:rPr>
                <w:rFonts w:cs="Arial"/>
                <w:color w:val="000000" w:themeColor="text1"/>
                <w:szCs w:val="16"/>
              </w:rPr>
            </w:pPr>
            <w:r w:rsidRPr="00781112">
              <w:rPr>
                <w:rFonts w:cs="Arial"/>
                <w:color w:val="000000" w:themeColor="text1"/>
                <w:szCs w:val="16"/>
              </w:rPr>
              <w:t>65.33%</w:t>
            </w:r>
          </w:p>
        </w:tc>
        <w:tc>
          <w:tcPr>
            <w:tcW w:w="556" w:type="pct"/>
            <w:vAlign w:val="center"/>
          </w:tcPr>
          <w:p w14:paraId="3D7C28F8" w14:textId="2CE26657" w:rsidR="004E5C74" w:rsidRPr="00781112" w:rsidRDefault="004E5C74" w:rsidP="004E5C74">
            <w:pPr>
              <w:jc w:val="center"/>
              <w:rPr>
                <w:rFonts w:cs="Arial"/>
                <w:color w:val="000000" w:themeColor="text1"/>
                <w:szCs w:val="16"/>
              </w:rPr>
            </w:pPr>
            <w:r w:rsidRPr="00781112">
              <w:rPr>
                <w:rFonts w:cs="Arial"/>
                <w:color w:val="000000" w:themeColor="text1"/>
                <w:szCs w:val="16"/>
              </w:rPr>
              <w:t>67.33%</w:t>
            </w:r>
          </w:p>
        </w:tc>
        <w:tc>
          <w:tcPr>
            <w:tcW w:w="553" w:type="pct"/>
            <w:vAlign w:val="center"/>
          </w:tcPr>
          <w:p w14:paraId="1808780D" w14:textId="3285A0E2" w:rsidR="004E5C74" w:rsidRPr="00781112" w:rsidRDefault="004E5C74" w:rsidP="004E5C74">
            <w:pPr>
              <w:jc w:val="center"/>
              <w:rPr>
                <w:rFonts w:cs="Arial"/>
                <w:color w:val="000000" w:themeColor="text1"/>
                <w:szCs w:val="16"/>
              </w:rPr>
            </w:pPr>
            <w:r w:rsidRPr="00781112">
              <w:rPr>
                <w:rFonts w:cs="Arial"/>
                <w:color w:val="000000" w:themeColor="text1"/>
                <w:szCs w:val="16"/>
              </w:rPr>
              <w:t>69.33%</w:t>
            </w:r>
          </w:p>
        </w:tc>
      </w:tr>
      <w:tr w:rsidR="004E5C74" w:rsidRPr="00781112" w14:paraId="7A08D372" w14:textId="5FBBCE88" w:rsidTr="009E026B">
        <w:tc>
          <w:tcPr>
            <w:tcW w:w="555" w:type="pct"/>
            <w:shd w:val="clear" w:color="auto" w:fill="auto"/>
            <w:vAlign w:val="center"/>
          </w:tcPr>
          <w:p w14:paraId="3C8DF435" w14:textId="69FCCDF1"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2CDE7790" w14:textId="3B90C904"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C &gt;=</w:t>
            </w:r>
          </w:p>
        </w:tc>
        <w:tc>
          <w:tcPr>
            <w:tcW w:w="556" w:type="pct"/>
            <w:shd w:val="clear" w:color="auto" w:fill="auto"/>
            <w:vAlign w:val="center"/>
          </w:tcPr>
          <w:p w14:paraId="69727A60" w14:textId="2476755A"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HS</w:t>
            </w:r>
          </w:p>
        </w:tc>
        <w:tc>
          <w:tcPr>
            <w:tcW w:w="556" w:type="pct"/>
            <w:shd w:val="clear" w:color="auto" w:fill="auto"/>
            <w:vAlign w:val="center"/>
          </w:tcPr>
          <w:p w14:paraId="6D9D8EC6" w14:textId="3C7C8315" w:rsidR="004E5C74" w:rsidRPr="00781112" w:rsidRDefault="004E5C74" w:rsidP="004E5C74">
            <w:pPr>
              <w:jc w:val="center"/>
              <w:rPr>
                <w:rFonts w:cs="Arial"/>
                <w:color w:val="000000" w:themeColor="text1"/>
                <w:szCs w:val="16"/>
              </w:rPr>
            </w:pPr>
            <w:r w:rsidRPr="00781112">
              <w:rPr>
                <w:rFonts w:cs="Arial"/>
                <w:color w:val="000000" w:themeColor="text1"/>
                <w:szCs w:val="16"/>
              </w:rPr>
              <w:t>66.05%</w:t>
            </w:r>
          </w:p>
        </w:tc>
        <w:tc>
          <w:tcPr>
            <w:tcW w:w="556" w:type="pct"/>
            <w:vAlign w:val="center"/>
          </w:tcPr>
          <w:p w14:paraId="6F53672D" w14:textId="674E45B1" w:rsidR="004E5C74" w:rsidRPr="00781112" w:rsidRDefault="004E5C74" w:rsidP="004E5C74">
            <w:pPr>
              <w:jc w:val="center"/>
              <w:rPr>
                <w:rFonts w:cs="Arial"/>
                <w:color w:val="000000" w:themeColor="text1"/>
                <w:szCs w:val="16"/>
              </w:rPr>
            </w:pPr>
            <w:r w:rsidRPr="00781112">
              <w:rPr>
                <w:rFonts w:cs="Arial"/>
                <w:color w:val="000000" w:themeColor="text1"/>
                <w:szCs w:val="16"/>
              </w:rPr>
              <w:t>68.05%</w:t>
            </w:r>
          </w:p>
        </w:tc>
        <w:tc>
          <w:tcPr>
            <w:tcW w:w="556" w:type="pct"/>
            <w:vAlign w:val="center"/>
          </w:tcPr>
          <w:p w14:paraId="1E839895" w14:textId="3633076A" w:rsidR="004E5C74" w:rsidRPr="00781112" w:rsidRDefault="004E5C74" w:rsidP="004E5C74">
            <w:pPr>
              <w:jc w:val="center"/>
              <w:rPr>
                <w:rFonts w:cs="Arial"/>
                <w:color w:val="000000" w:themeColor="text1"/>
                <w:szCs w:val="16"/>
              </w:rPr>
            </w:pPr>
            <w:r w:rsidRPr="00781112">
              <w:rPr>
                <w:rFonts w:cs="Arial"/>
                <w:color w:val="000000" w:themeColor="text1"/>
                <w:szCs w:val="16"/>
              </w:rPr>
              <w:t>70.05%</w:t>
            </w:r>
          </w:p>
        </w:tc>
        <w:tc>
          <w:tcPr>
            <w:tcW w:w="556" w:type="pct"/>
            <w:vAlign w:val="center"/>
          </w:tcPr>
          <w:p w14:paraId="64501470" w14:textId="22292C16" w:rsidR="004E5C74" w:rsidRPr="00781112" w:rsidRDefault="004E5C74" w:rsidP="004E5C74">
            <w:pPr>
              <w:jc w:val="center"/>
              <w:rPr>
                <w:rFonts w:cs="Arial"/>
                <w:color w:val="000000" w:themeColor="text1"/>
                <w:szCs w:val="16"/>
              </w:rPr>
            </w:pPr>
            <w:r w:rsidRPr="00781112">
              <w:rPr>
                <w:rFonts w:cs="Arial"/>
                <w:color w:val="000000" w:themeColor="text1"/>
                <w:szCs w:val="16"/>
              </w:rPr>
              <w:t>72.05%</w:t>
            </w:r>
          </w:p>
        </w:tc>
        <w:tc>
          <w:tcPr>
            <w:tcW w:w="556" w:type="pct"/>
            <w:vAlign w:val="center"/>
          </w:tcPr>
          <w:p w14:paraId="0CF7FF79" w14:textId="48B4AF2C" w:rsidR="004E5C74" w:rsidRPr="00781112" w:rsidRDefault="004E5C74" w:rsidP="004E5C74">
            <w:pPr>
              <w:jc w:val="center"/>
              <w:rPr>
                <w:rFonts w:cs="Arial"/>
                <w:color w:val="000000" w:themeColor="text1"/>
                <w:szCs w:val="16"/>
              </w:rPr>
            </w:pPr>
            <w:r w:rsidRPr="00781112">
              <w:rPr>
                <w:rFonts w:cs="Arial"/>
                <w:color w:val="000000" w:themeColor="text1"/>
                <w:szCs w:val="16"/>
              </w:rPr>
              <w:t>74.05%</w:t>
            </w:r>
          </w:p>
        </w:tc>
        <w:tc>
          <w:tcPr>
            <w:tcW w:w="553" w:type="pct"/>
            <w:vAlign w:val="center"/>
          </w:tcPr>
          <w:p w14:paraId="42EF1AD6" w14:textId="1D4F7F5D" w:rsidR="004E5C74" w:rsidRPr="00781112" w:rsidRDefault="004E5C74" w:rsidP="004E5C74">
            <w:pPr>
              <w:jc w:val="center"/>
              <w:rPr>
                <w:rFonts w:cs="Arial"/>
                <w:color w:val="000000" w:themeColor="text1"/>
                <w:szCs w:val="16"/>
              </w:rPr>
            </w:pPr>
            <w:r w:rsidRPr="00781112">
              <w:rPr>
                <w:rFonts w:cs="Arial"/>
                <w:color w:val="000000" w:themeColor="text1"/>
                <w:szCs w:val="16"/>
              </w:rPr>
              <w:t>76.05%</w:t>
            </w:r>
          </w:p>
        </w:tc>
      </w:tr>
      <w:tr w:rsidR="004E5C74" w:rsidRPr="00781112" w14:paraId="734BCCC4" w14:textId="02B757A8" w:rsidTr="009E026B">
        <w:tc>
          <w:tcPr>
            <w:tcW w:w="555" w:type="pct"/>
            <w:shd w:val="clear" w:color="auto" w:fill="auto"/>
            <w:vAlign w:val="center"/>
          </w:tcPr>
          <w:p w14:paraId="20286AC8" w14:textId="018C9C4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185C8DA8" w14:textId="6254892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A &gt;=</w:t>
            </w:r>
          </w:p>
        </w:tc>
        <w:tc>
          <w:tcPr>
            <w:tcW w:w="556" w:type="pct"/>
            <w:shd w:val="clear" w:color="auto" w:fill="auto"/>
            <w:vAlign w:val="center"/>
          </w:tcPr>
          <w:p w14:paraId="16FD84A2" w14:textId="1BD2010B"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4</w:t>
            </w:r>
          </w:p>
        </w:tc>
        <w:tc>
          <w:tcPr>
            <w:tcW w:w="556" w:type="pct"/>
            <w:shd w:val="clear" w:color="auto" w:fill="auto"/>
            <w:vAlign w:val="center"/>
          </w:tcPr>
          <w:p w14:paraId="0005999A" w14:textId="601F796F" w:rsidR="004E5C74" w:rsidRPr="00781112" w:rsidRDefault="004E5C74" w:rsidP="004E5C74">
            <w:pPr>
              <w:jc w:val="center"/>
              <w:rPr>
                <w:rFonts w:cs="Arial"/>
                <w:color w:val="000000" w:themeColor="text1"/>
                <w:szCs w:val="16"/>
              </w:rPr>
            </w:pPr>
            <w:r w:rsidRPr="00781112">
              <w:rPr>
                <w:rFonts w:cs="Arial"/>
                <w:color w:val="000000" w:themeColor="text1"/>
                <w:szCs w:val="16"/>
              </w:rPr>
              <w:t>47.38%</w:t>
            </w:r>
          </w:p>
        </w:tc>
        <w:tc>
          <w:tcPr>
            <w:tcW w:w="556" w:type="pct"/>
            <w:vAlign w:val="center"/>
          </w:tcPr>
          <w:p w14:paraId="2ADA59C0" w14:textId="7F027C54" w:rsidR="004E5C74" w:rsidRPr="00781112" w:rsidRDefault="004E5C74" w:rsidP="004E5C74">
            <w:pPr>
              <w:jc w:val="center"/>
              <w:rPr>
                <w:rFonts w:cs="Arial"/>
                <w:color w:val="000000" w:themeColor="text1"/>
                <w:szCs w:val="16"/>
              </w:rPr>
            </w:pPr>
            <w:r w:rsidRPr="00781112">
              <w:rPr>
                <w:rFonts w:cs="Arial"/>
                <w:color w:val="000000" w:themeColor="text1"/>
                <w:szCs w:val="16"/>
              </w:rPr>
              <w:t>49.38%</w:t>
            </w:r>
          </w:p>
        </w:tc>
        <w:tc>
          <w:tcPr>
            <w:tcW w:w="556" w:type="pct"/>
            <w:vAlign w:val="center"/>
          </w:tcPr>
          <w:p w14:paraId="63258519" w14:textId="524B5DC2" w:rsidR="004E5C74" w:rsidRPr="00781112" w:rsidRDefault="004E5C74" w:rsidP="004E5C74">
            <w:pPr>
              <w:jc w:val="center"/>
              <w:rPr>
                <w:rFonts w:cs="Arial"/>
                <w:color w:val="000000" w:themeColor="text1"/>
                <w:szCs w:val="16"/>
              </w:rPr>
            </w:pPr>
            <w:r w:rsidRPr="00781112">
              <w:rPr>
                <w:rFonts w:cs="Arial"/>
                <w:color w:val="000000" w:themeColor="text1"/>
                <w:szCs w:val="16"/>
              </w:rPr>
              <w:t>51.38%</w:t>
            </w:r>
          </w:p>
        </w:tc>
        <w:tc>
          <w:tcPr>
            <w:tcW w:w="556" w:type="pct"/>
            <w:vAlign w:val="center"/>
          </w:tcPr>
          <w:p w14:paraId="4B2BD04F" w14:textId="59A32E65" w:rsidR="004E5C74" w:rsidRPr="00781112" w:rsidRDefault="004E5C74" w:rsidP="004E5C74">
            <w:pPr>
              <w:jc w:val="center"/>
              <w:rPr>
                <w:rFonts w:cs="Arial"/>
                <w:color w:val="000000" w:themeColor="text1"/>
                <w:szCs w:val="16"/>
              </w:rPr>
            </w:pPr>
            <w:r w:rsidRPr="00781112">
              <w:rPr>
                <w:rFonts w:cs="Arial"/>
                <w:color w:val="000000" w:themeColor="text1"/>
                <w:szCs w:val="16"/>
              </w:rPr>
              <w:t>53.38%</w:t>
            </w:r>
          </w:p>
        </w:tc>
        <w:tc>
          <w:tcPr>
            <w:tcW w:w="556" w:type="pct"/>
            <w:vAlign w:val="center"/>
          </w:tcPr>
          <w:p w14:paraId="2E366D74" w14:textId="47D73C6E" w:rsidR="004E5C74" w:rsidRPr="00781112" w:rsidRDefault="004E5C74" w:rsidP="004E5C74">
            <w:pPr>
              <w:jc w:val="center"/>
              <w:rPr>
                <w:rFonts w:cs="Arial"/>
                <w:color w:val="000000" w:themeColor="text1"/>
                <w:szCs w:val="16"/>
              </w:rPr>
            </w:pPr>
            <w:r w:rsidRPr="00781112">
              <w:rPr>
                <w:rFonts w:cs="Arial"/>
                <w:color w:val="000000" w:themeColor="text1"/>
                <w:szCs w:val="16"/>
              </w:rPr>
              <w:t>55.38%</w:t>
            </w:r>
          </w:p>
        </w:tc>
        <w:tc>
          <w:tcPr>
            <w:tcW w:w="553" w:type="pct"/>
            <w:vAlign w:val="center"/>
          </w:tcPr>
          <w:p w14:paraId="4EAA6E8B" w14:textId="65538945" w:rsidR="004E5C74" w:rsidRPr="00781112" w:rsidRDefault="004E5C74" w:rsidP="004E5C74">
            <w:pPr>
              <w:jc w:val="center"/>
              <w:rPr>
                <w:rFonts w:cs="Arial"/>
                <w:color w:val="000000" w:themeColor="text1"/>
                <w:szCs w:val="16"/>
              </w:rPr>
            </w:pPr>
            <w:r w:rsidRPr="00781112">
              <w:rPr>
                <w:rFonts w:cs="Arial"/>
                <w:color w:val="000000" w:themeColor="text1"/>
                <w:szCs w:val="16"/>
              </w:rPr>
              <w:t>57.38%</w:t>
            </w:r>
          </w:p>
        </w:tc>
      </w:tr>
      <w:tr w:rsidR="004E5C74" w:rsidRPr="00781112" w14:paraId="26043383" w14:textId="3D057A6F" w:rsidTr="009E026B">
        <w:tc>
          <w:tcPr>
            <w:tcW w:w="555" w:type="pct"/>
            <w:shd w:val="clear" w:color="auto" w:fill="auto"/>
            <w:vAlign w:val="center"/>
          </w:tcPr>
          <w:p w14:paraId="2BCD3006" w14:textId="785241B2"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79B80F0C" w14:textId="52C31857"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B &gt;=</w:t>
            </w:r>
          </w:p>
        </w:tc>
        <w:tc>
          <w:tcPr>
            <w:tcW w:w="556" w:type="pct"/>
            <w:shd w:val="clear" w:color="auto" w:fill="auto"/>
            <w:vAlign w:val="center"/>
          </w:tcPr>
          <w:p w14:paraId="27B1E35D" w14:textId="336183AA"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8</w:t>
            </w:r>
          </w:p>
        </w:tc>
        <w:tc>
          <w:tcPr>
            <w:tcW w:w="556" w:type="pct"/>
            <w:shd w:val="clear" w:color="auto" w:fill="auto"/>
            <w:vAlign w:val="center"/>
          </w:tcPr>
          <w:p w14:paraId="25263A65" w14:textId="2189A9FC" w:rsidR="004E5C74" w:rsidRPr="00781112" w:rsidRDefault="004E5C74" w:rsidP="004E5C74">
            <w:pPr>
              <w:jc w:val="center"/>
              <w:rPr>
                <w:rFonts w:cs="Arial"/>
                <w:color w:val="000000" w:themeColor="text1"/>
                <w:szCs w:val="16"/>
              </w:rPr>
            </w:pPr>
            <w:r w:rsidRPr="00781112">
              <w:rPr>
                <w:rFonts w:cs="Arial"/>
                <w:color w:val="000000" w:themeColor="text1"/>
                <w:szCs w:val="16"/>
              </w:rPr>
              <w:t>48.59%</w:t>
            </w:r>
          </w:p>
        </w:tc>
        <w:tc>
          <w:tcPr>
            <w:tcW w:w="556" w:type="pct"/>
            <w:vAlign w:val="center"/>
          </w:tcPr>
          <w:p w14:paraId="558D49D9" w14:textId="56776B71" w:rsidR="004E5C74" w:rsidRPr="00781112" w:rsidRDefault="004E5C74" w:rsidP="004E5C74">
            <w:pPr>
              <w:jc w:val="center"/>
              <w:rPr>
                <w:rFonts w:cs="Arial"/>
                <w:color w:val="000000" w:themeColor="text1"/>
                <w:szCs w:val="16"/>
              </w:rPr>
            </w:pPr>
            <w:r w:rsidRPr="00781112">
              <w:rPr>
                <w:rFonts w:cs="Arial"/>
                <w:color w:val="000000" w:themeColor="text1"/>
                <w:szCs w:val="16"/>
              </w:rPr>
              <w:t>50.59%</w:t>
            </w:r>
          </w:p>
        </w:tc>
        <w:tc>
          <w:tcPr>
            <w:tcW w:w="556" w:type="pct"/>
            <w:vAlign w:val="center"/>
          </w:tcPr>
          <w:p w14:paraId="529C7F25" w14:textId="45E82B2D" w:rsidR="004E5C74" w:rsidRPr="00781112" w:rsidRDefault="004E5C74" w:rsidP="004E5C74">
            <w:pPr>
              <w:jc w:val="center"/>
              <w:rPr>
                <w:rFonts w:cs="Arial"/>
                <w:color w:val="000000" w:themeColor="text1"/>
                <w:szCs w:val="16"/>
              </w:rPr>
            </w:pPr>
            <w:r w:rsidRPr="00781112">
              <w:rPr>
                <w:rFonts w:cs="Arial"/>
                <w:color w:val="000000" w:themeColor="text1"/>
                <w:szCs w:val="16"/>
              </w:rPr>
              <w:t>52.59%</w:t>
            </w:r>
          </w:p>
        </w:tc>
        <w:tc>
          <w:tcPr>
            <w:tcW w:w="556" w:type="pct"/>
            <w:vAlign w:val="center"/>
          </w:tcPr>
          <w:p w14:paraId="0CD7F429" w14:textId="3C743F76" w:rsidR="004E5C74" w:rsidRPr="00781112" w:rsidRDefault="004E5C74" w:rsidP="004E5C74">
            <w:pPr>
              <w:jc w:val="center"/>
              <w:rPr>
                <w:rFonts w:cs="Arial"/>
                <w:color w:val="000000" w:themeColor="text1"/>
                <w:szCs w:val="16"/>
              </w:rPr>
            </w:pPr>
            <w:r w:rsidRPr="00781112">
              <w:rPr>
                <w:rFonts w:cs="Arial"/>
                <w:color w:val="000000" w:themeColor="text1"/>
                <w:szCs w:val="16"/>
              </w:rPr>
              <w:t>54.59%</w:t>
            </w:r>
          </w:p>
        </w:tc>
        <w:tc>
          <w:tcPr>
            <w:tcW w:w="556" w:type="pct"/>
            <w:vAlign w:val="center"/>
          </w:tcPr>
          <w:p w14:paraId="32C7804D" w14:textId="4585EF77" w:rsidR="004E5C74" w:rsidRPr="00781112" w:rsidRDefault="004E5C74" w:rsidP="004E5C74">
            <w:pPr>
              <w:jc w:val="center"/>
              <w:rPr>
                <w:rFonts w:cs="Arial"/>
                <w:color w:val="000000" w:themeColor="text1"/>
                <w:szCs w:val="16"/>
              </w:rPr>
            </w:pPr>
            <w:r w:rsidRPr="00781112">
              <w:rPr>
                <w:rFonts w:cs="Arial"/>
                <w:color w:val="000000" w:themeColor="text1"/>
                <w:szCs w:val="16"/>
              </w:rPr>
              <w:t>56.59%</w:t>
            </w:r>
          </w:p>
        </w:tc>
        <w:tc>
          <w:tcPr>
            <w:tcW w:w="553" w:type="pct"/>
            <w:vAlign w:val="center"/>
          </w:tcPr>
          <w:p w14:paraId="1636C34D" w14:textId="4A778D79" w:rsidR="004E5C74" w:rsidRPr="00781112" w:rsidRDefault="004E5C74" w:rsidP="004E5C74">
            <w:pPr>
              <w:jc w:val="center"/>
              <w:rPr>
                <w:rFonts w:cs="Arial"/>
                <w:color w:val="000000" w:themeColor="text1"/>
                <w:szCs w:val="16"/>
              </w:rPr>
            </w:pPr>
            <w:r w:rsidRPr="00781112">
              <w:rPr>
                <w:rFonts w:cs="Arial"/>
                <w:color w:val="000000" w:themeColor="text1"/>
                <w:szCs w:val="16"/>
              </w:rPr>
              <w:t>58.59%</w:t>
            </w:r>
          </w:p>
        </w:tc>
      </w:tr>
      <w:tr w:rsidR="004E5C74" w:rsidRPr="00781112" w14:paraId="169D5323" w14:textId="1CB4A506" w:rsidTr="009E026B">
        <w:tc>
          <w:tcPr>
            <w:tcW w:w="555" w:type="pct"/>
            <w:shd w:val="clear" w:color="auto" w:fill="auto"/>
            <w:vAlign w:val="center"/>
          </w:tcPr>
          <w:p w14:paraId="21DAE194" w14:textId="06AF539C"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650CB8D7" w14:textId="080D022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C &gt;=</w:t>
            </w:r>
          </w:p>
        </w:tc>
        <w:tc>
          <w:tcPr>
            <w:tcW w:w="556" w:type="pct"/>
            <w:shd w:val="clear" w:color="auto" w:fill="auto"/>
            <w:vAlign w:val="center"/>
          </w:tcPr>
          <w:p w14:paraId="45DBFB21" w14:textId="372229DD"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HS</w:t>
            </w:r>
          </w:p>
        </w:tc>
        <w:tc>
          <w:tcPr>
            <w:tcW w:w="556" w:type="pct"/>
            <w:shd w:val="clear" w:color="auto" w:fill="auto"/>
            <w:vAlign w:val="center"/>
          </w:tcPr>
          <w:p w14:paraId="341BF449" w14:textId="76191C29" w:rsidR="004E5C74" w:rsidRPr="00781112" w:rsidRDefault="004E5C74" w:rsidP="004E5C74">
            <w:pPr>
              <w:jc w:val="center"/>
              <w:rPr>
                <w:rFonts w:cs="Arial"/>
                <w:color w:val="000000" w:themeColor="text1"/>
                <w:szCs w:val="16"/>
              </w:rPr>
            </w:pPr>
            <w:r w:rsidRPr="00781112">
              <w:rPr>
                <w:rFonts w:cs="Arial"/>
                <w:color w:val="000000" w:themeColor="text1"/>
                <w:szCs w:val="16"/>
              </w:rPr>
              <w:t>56.93%</w:t>
            </w:r>
          </w:p>
        </w:tc>
        <w:tc>
          <w:tcPr>
            <w:tcW w:w="556" w:type="pct"/>
            <w:vAlign w:val="center"/>
          </w:tcPr>
          <w:p w14:paraId="5424FF66" w14:textId="7AB6DE06" w:rsidR="004E5C74" w:rsidRPr="00781112" w:rsidRDefault="004E5C74" w:rsidP="004E5C74">
            <w:pPr>
              <w:jc w:val="center"/>
              <w:rPr>
                <w:rFonts w:cs="Arial"/>
                <w:color w:val="000000" w:themeColor="text1"/>
                <w:szCs w:val="16"/>
              </w:rPr>
            </w:pPr>
            <w:r w:rsidRPr="00781112">
              <w:rPr>
                <w:rFonts w:cs="Arial"/>
                <w:color w:val="000000" w:themeColor="text1"/>
                <w:szCs w:val="16"/>
              </w:rPr>
              <w:t>58.93%</w:t>
            </w:r>
          </w:p>
        </w:tc>
        <w:tc>
          <w:tcPr>
            <w:tcW w:w="556" w:type="pct"/>
            <w:vAlign w:val="center"/>
          </w:tcPr>
          <w:p w14:paraId="552DC3D3" w14:textId="79B2C0C8" w:rsidR="004E5C74" w:rsidRPr="00781112" w:rsidRDefault="004E5C74" w:rsidP="004E5C74">
            <w:pPr>
              <w:jc w:val="center"/>
              <w:rPr>
                <w:rFonts w:cs="Arial"/>
                <w:color w:val="000000" w:themeColor="text1"/>
                <w:szCs w:val="16"/>
              </w:rPr>
            </w:pPr>
            <w:r w:rsidRPr="00781112">
              <w:rPr>
                <w:rFonts w:cs="Arial"/>
                <w:color w:val="000000" w:themeColor="text1"/>
                <w:szCs w:val="16"/>
              </w:rPr>
              <w:t>60.93%</w:t>
            </w:r>
          </w:p>
        </w:tc>
        <w:tc>
          <w:tcPr>
            <w:tcW w:w="556" w:type="pct"/>
            <w:vAlign w:val="center"/>
          </w:tcPr>
          <w:p w14:paraId="4ECE9215" w14:textId="1D6B1BD9" w:rsidR="004E5C74" w:rsidRPr="00781112" w:rsidRDefault="004E5C74" w:rsidP="004E5C74">
            <w:pPr>
              <w:jc w:val="center"/>
              <w:rPr>
                <w:rFonts w:cs="Arial"/>
                <w:color w:val="000000" w:themeColor="text1"/>
                <w:szCs w:val="16"/>
              </w:rPr>
            </w:pPr>
            <w:r w:rsidRPr="00781112">
              <w:rPr>
                <w:rFonts w:cs="Arial"/>
                <w:color w:val="000000" w:themeColor="text1"/>
                <w:szCs w:val="16"/>
              </w:rPr>
              <w:t>62.93%</w:t>
            </w:r>
          </w:p>
        </w:tc>
        <w:tc>
          <w:tcPr>
            <w:tcW w:w="556" w:type="pct"/>
            <w:vAlign w:val="center"/>
          </w:tcPr>
          <w:p w14:paraId="6E3EC3AC" w14:textId="066F1EBD" w:rsidR="004E5C74" w:rsidRPr="00781112" w:rsidRDefault="004E5C74" w:rsidP="004E5C74">
            <w:pPr>
              <w:jc w:val="center"/>
              <w:rPr>
                <w:rFonts w:cs="Arial"/>
                <w:color w:val="000000" w:themeColor="text1"/>
                <w:szCs w:val="16"/>
              </w:rPr>
            </w:pPr>
            <w:r w:rsidRPr="00781112">
              <w:rPr>
                <w:rFonts w:cs="Arial"/>
                <w:color w:val="000000" w:themeColor="text1"/>
                <w:szCs w:val="16"/>
              </w:rPr>
              <w:t>64.93%</w:t>
            </w:r>
          </w:p>
        </w:tc>
        <w:tc>
          <w:tcPr>
            <w:tcW w:w="553" w:type="pct"/>
            <w:vAlign w:val="center"/>
          </w:tcPr>
          <w:p w14:paraId="592B887B" w14:textId="09CB9AAC" w:rsidR="004E5C74" w:rsidRPr="00781112" w:rsidRDefault="004E5C74" w:rsidP="004E5C74">
            <w:pPr>
              <w:jc w:val="center"/>
              <w:rPr>
                <w:rFonts w:cs="Arial"/>
                <w:color w:val="000000" w:themeColor="text1"/>
                <w:szCs w:val="16"/>
              </w:rPr>
            </w:pPr>
            <w:r w:rsidRPr="00781112">
              <w:rPr>
                <w:rFonts w:cs="Arial"/>
                <w:color w:val="000000" w:themeColor="text1"/>
                <w:szCs w:val="16"/>
              </w:rPr>
              <w:t>66.93%</w:t>
            </w:r>
          </w:p>
        </w:tc>
      </w:tr>
    </w:tbl>
    <w:p w14:paraId="102C9294" w14:textId="426FC0A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Maine began using a new statewide assessment in FFY2020 (NWEA Measures of Academic Progress), yielding new baseline proficiency rates for this assessment.</w:t>
      </w:r>
    </w:p>
    <w:p w14:paraId="2446B7C2" w14:textId="77777777" w:rsidR="00F20369" w:rsidRPr="00781112" w:rsidRDefault="00F20369" w:rsidP="004369B2">
      <w:pPr>
        <w:rPr>
          <w:color w:val="000000" w:themeColor="text1"/>
        </w:rPr>
      </w:pPr>
      <w:bookmarkStart w:id="16" w:name="_Toc392159273"/>
    </w:p>
    <w:p w14:paraId="2F64E7B3" w14:textId="68D4A963" w:rsidR="00344AE0" w:rsidRPr="00781112" w:rsidRDefault="00F6415A">
      <w:pPr>
        <w:rPr>
          <w:b/>
          <w:color w:val="000000" w:themeColor="text1"/>
        </w:rPr>
      </w:pPr>
      <w:r w:rsidRPr="00781112">
        <w:rPr>
          <w:b/>
          <w:color w:val="000000" w:themeColor="text1"/>
        </w:rPr>
        <w:t>FFY 2020 Data Disaggregation from EDFacts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4BF943DC" w:rsidR="00C470E8" w:rsidRPr="00781112" w:rsidRDefault="002B7490" w:rsidP="00552927">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03/03/2022</w:t>
      </w:r>
    </w:p>
    <w:p w14:paraId="59BC6B2E" w14:textId="718BB7D0" w:rsidR="009D0D68" w:rsidRPr="00781112" w:rsidRDefault="00FE2056">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2,288</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2,134</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1,184</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690</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1,006</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750</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481</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260</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32</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1892B5D3" w:rsidR="00C470E8" w:rsidRPr="00781112" w:rsidRDefault="002B7490" w:rsidP="00552927">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03/03/2022</w:t>
      </w:r>
    </w:p>
    <w:p w14:paraId="33DEC24F" w14:textId="77777777" w:rsidR="005D18BE" w:rsidRPr="00781112" w:rsidRDefault="005D18BE" w:rsidP="00552927">
      <w:pPr>
        <w:rPr>
          <w:rFonts w:cs="Arial"/>
          <w:color w:val="000000" w:themeColor="text1"/>
          <w:szCs w:val="16"/>
        </w:rPr>
      </w:pPr>
    </w:p>
    <w:p w14:paraId="5767F488" w14:textId="335F73B7" w:rsidR="00FE2056" w:rsidRPr="00781112" w:rsidRDefault="00FE2056">
      <w:pPr>
        <w:rPr>
          <w:b/>
          <w:color w:val="000000" w:themeColor="text1"/>
        </w:rPr>
      </w:pPr>
      <w:r w:rsidRPr="00781112">
        <w:rPr>
          <w:b/>
          <w:color w:val="000000" w:themeColor="text1"/>
        </w:rPr>
        <w:t>Math Assessment Proficiency Data by Grade</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2,292</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2,134</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1,184</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604</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815</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643</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482</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222</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31</w:t>
            </w:r>
          </w:p>
        </w:tc>
      </w:tr>
      <w:bookmarkEnd w:id="16"/>
    </w:tbl>
    <w:p w14:paraId="1A4F8ED6" w14:textId="77777777" w:rsidR="00966232" w:rsidRPr="00781112" w:rsidRDefault="00966232" w:rsidP="004369B2">
      <w:pPr>
        <w:rPr>
          <w:color w:val="000000" w:themeColor="text1"/>
        </w:rPr>
      </w:pPr>
    </w:p>
    <w:p w14:paraId="1E1876C6" w14:textId="417321D7" w:rsidR="00E539AB" w:rsidRPr="00781112" w:rsidRDefault="00F6415A" w:rsidP="004369B2">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0B0DE4" w:rsidRPr="00781112" w14:paraId="52CF9222" w14:textId="5C9FC6C2" w:rsidTr="004B3F40">
        <w:trPr>
          <w:tblHeader/>
        </w:trPr>
        <w:tc>
          <w:tcPr>
            <w:tcW w:w="198" w:type="pct"/>
            <w:shd w:val="clear" w:color="auto" w:fill="auto"/>
            <w:vAlign w:val="bottom"/>
          </w:tcPr>
          <w:p w14:paraId="5B0C0A4E" w14:textId="31160362" w:rsidR="000B0DE4" w:rsidRPr="00781112" w:rsidRDefault="000B0DE4" w:rsidP="000B0DE4">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0B0DE4" w:rsidRPr="00781112" w:rsidRDefault="000B0DE4" w:rsidP="000B0DE4">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0B0DE4" w:rsidRPr="00781112" w:rsidRDefault="000B0DE4" w:rsidP="000B0DE4">
            <w:pPr>
              <w:jc w:val="center"/>
              <w:rPr>
                <w:b/>
                <w:bCs/>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939" w:type="pct"/>
            <w:shd w:val="clear" w:color="auto" w:fill="auto"/>
          </w:tcPr>
          <w:p w14:paraId="43067EB5" w14:textId="1B6A6AEE" w:rsidR="000B0DE4" w:rsidRPr="00781112" w:rsidRDefault="000B0DE4" w:rsidP="000B0DE4">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78E61E00" w:rsidR="000B0DE4" w:rsidRPr="00781112" w:rsidRDefault="000B0DE4" w:rsidP="000B0DE4">
            <w:pPr>
              <w:jc w:val="center"/>
              <w:rPr>
                <w:b/>
                <w:color w:val="000000" w:themeColor="text1"/>
              </w:rPr>
            </w:pPr>
            <w:r w:rsidRPr="00781112">
              <w:rPr>
                <w:b/>
                <w:color w:val="000000" w:themeColor="text1"/>
              </w:rPr>
              <w:t>FFY 2019 Data</w:t>
            </w:r>
          </w:p>
        </w:tc>
        <w:tc>
          <w:tcPr>
            <w:tcW w:w="503" w:type="pct"/>
            <w:shd w:val="clear" w:color="auto" w:fill="auto"/>
            <w:vAlign w:val="bottom"/>
          </w:tcPr>
          <w:p w14:paraId="3E51680E" w14:textId="2F19F198" w:rsidR="000B0DE4" w:rsidRPr="00781112" w:rsidRDefault="000B0DE4" w:rsidP="000B0DE4">
            <w:pPr>
              <w:jc w:val="center"/>
              <w:rPr>
                <w:b/>
                <w:color w:val="000000" w:themeColor="text1"/>
              </w:rPr>
            </w:pPr>
            <w:r w:rsidRPr="00781112">
              <w:rPr>
                <w:b/>
                <w:color w:val="000000" w:themeColor="text1"/>
              </w:rPr>
              <w:t>FFY 2020 Target</w:t>
            </w:r>
          </w:p>
        </w:tc>
        <w:tc>
          <w:tcPr>
            <w:tcW w:w="503" w:type="pct"/>
            <w:shd w:val="clear" w:color="auto" w:fill="auto"/>
            <w:vAlign w:val="bottom"/>
          </w:tcPr>
          <w:p w14:paraId="29685ECA" w14:textId="115616FC" w:rsidR="000B0DE4" w:rsidRPr="00781112" w:rsidRDefault="000B0DE4" w:rsidP="000B0DE4">
            <w:pPr>
              <w:jc w:val="center"/>
              <w:rPr>
                <w:b/>
                <w:color w:val="000000" w:themeColor="text1"/>
              </w:rPr>
            </w:pPr>
            <w:r w:rsidRPr="00781112">
              <w:rPr>
                <w:b/>
                <w:color w:val="000000" w:themeColor="text1"/>
              </w:rPr>
              <w:t>FFY 2020 Data</w:t>
            </w:r>
          </w:p>
        </w:tc>
        <w:tc>
          <w:tcPr>
            <w:tcW w:w="503" w:type="pct"/>
            <w:shd w:val="clear" w:color="auto" w:fill="auto"/>
            <w:vAlign w:val="bottom"/>
          </w:tcPr>
          <w:p w14:paraId="5E9D6295" w14:textId="7F28EB50" w:rsidR="000B0DE4" w:rsidRPr="00781112" w:rsidRDefault="000B0DE4" w:rsidP="000B0DE4">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0B0DE4" w:rsidRPr="00781112" w:rsidRDefault="000B0DE4" w:rsidP="000B0DE4">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1,171</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2,288</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51.18%</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51.18%</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lastRenderedPageBreak/>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1,266</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2,134</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59.33%</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59.33%</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782</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1,184</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66.05%</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66.05%</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EBC6EF4" w:rsidR="00497DE4" w:rsidRPr="00781112" w:rsidRDefault="00F6415A" w:rsidP="004369B2">
      <w:pPr>
        <w:rPr>
          <w:b/>
          <w:color w:val="000000" w:themeColor="text1"/>
        </w:rPr>
      </w:pPr>
      <w:r w:rsidRPr="00781112">
        <w:rPr>
          <w:b/>
          <w:color w:val="000000" w:themeColor="text1"/>
        </w:rPr>
        <w:t>FFY 2020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A3100D" w:rsidRPr="00781112" w14:paraId="1ECD1184" w14:textId="77777777" w:rsidTr="00242D8A">
        <w:trPr>
          <w:tblHeader/>
          <w:jc w:val="center"/>
        </w:trPr>
        <w:tc>
          <w:tcPr>
            <w:tcW w:w="223" w:type="pct"/>
            <w:shd w:val="clear" w:color="auto" w:fill="auto"/>
            <w:vAlign w:val="bottom"/>
          </w:tcPr>
          <w:p w14:paraId="2B938423" w14:textId="01A79B33" w:rsidR="009E6C1A" w:rsidRPr="00781112" w:rsidRDefault="009E6C1A" w:rsidP="009E6C1A">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9E6C1A" w:rsidRPr="00781112" w:rsidRDefault="009E6C1A" w:rsidP="009E6C1A">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9E6C1A" w:rsidRPr="00781112" w:rsidRDefault="009E6C1A" w:rsidP="009E6C1A">
            <w:pPr>
              <w:jc w:val="center"/>
              <w:rPr>
                <w:b/>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896" w:type="pct"/>
            <w:shd w:val="clear" w:color="auto" w:fill="auto"/>
          </w:tcPr>
          <w:p w14:paraId="3ABF5E71" w14:textId="763F0C86" w:rsidR="009E6C1A" w:rsidRPr="00781112" w:rsidRDefault="009E6C1A" w:rsidP="009E6C1A">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0DF96355" w:rsidR="009E6C1A" w:rsidRPr="00781112" w:rsidRDefault="009E6C1A" w:rsidP="009E6C1A">
            <w:pPr>
              <w:jc w:val="center"/>
              <w:rPr>
                <w:b/>
                <w:color w:val="000000" w:themeColor="text1"/>
              </w:rPr>
            </w:pPr>
            <w:r w:rsidRPr="00781112">
              <w:rPr>
                <w:b/>
                <w:color w:val="000000" w:themeColor="text1"/>
              </w:rPr>
              <w:t>FFY 2019 Data</w:t>
            </w:r>
          </w:p>
        </w:tc>
        <w:tc>
          <w:tcPr>
            <w:tcW w:w="500" w:type="pct"/>
            <w:shd w:val="clear" w:color="auto" w:fill="auto"/>
            <w:vAlign w:val="bottom"/>
          </w:tcPr>
          <w:p w14:paraId="69212BFA" w14:textId="33645B71" w:rsidR="009E6C1A" w:rsidRPr="00781112" w:rsidRDefault="009E6C1A" w:rsidP="009E6C1A">
            <w:pPr>
              <w:jc w:val="center"/>
              <w:rPr>
                <w:b/>
                <w:color w:val="000000" w:themeColor="text1"/>
              </w:rPr>
            </w:pPr>
            <w:r w:rsidRPr="00781112">
              <w:rPr>
                <w:b/>
                <w:color w:val="000000" w:themeColor="text1"/>
              </w:rPr>
              <w:t>FFY 2020 Target</w:t>
            </w:r>
          </w:p>
        </w:tc>
        <w:tc>
          <w:tcPr>
            <w:tcW w:w="500" w:type="pct"/>
            <w:shd w:val="clear" w:color="auto" w:fill="auto"/>
            <w:vAlign w:val="bottom"/>
          </w:tcPr>
          <w:p w14:paraId="38A0F56E" w14:textId="2C14D44B" w:rsidR="009E6C1A" w:rsidRPr="00781112" w:rsidRDefault="009E6C1A" w:rsidP="009E6C1A">
            <w:pPr>
              <w:jc w:val="center"/>
              <w:rPr>
                <w:b/>
                <w:color w:val="000000" w:themeColor="text1"/>
              </w:rPr>
            </w:pPr>
            <w:r w:rsidRPr="00781112">
              <w:rPr>
                <w:b/>
                <w:color w:val="000000" w:themeColor="text1"/>
              </w:rPr>
              <w:t>FFY 2020 Data</w:t>
            </w:r>
          </w:p>
        </w:tc>
        <w:tc>
          <w:tcPr>
            <w:tcW w:w="500" w:type="pct"/>
            <w:shd w:val="clear" w:color="auto" w:fill="auto"/>
            <w:vAlign w:val="bottom"/>
          </w:tcPr>
          <w:p w14:paraId="11F44E1D" w14:textId="39A61F57" w:rsidR="009E6C1A" w:rsidRPr="00781112" w:rsidRDefault="009E6C1A" w:rsidP="009E6C1A">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9E6C1A" w:rsidRPr="00781112" w:rsidRDefault="009E6C1A" w:rsidP="009E6C1A">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1,086</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2,292</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47.38%</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47.38%</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1,037</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2,134</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48.59%</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48.59%</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674</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1,184</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56.93%</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56.93%</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bl>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https://www.maine.gov/doe/Testing_Accountability/MECAS/results</w:t>
      </w:r>
    </w:p>
    <w:p w14:paraId="2BE473B4" w14:textId="77777777" w:rsidR="00053391" w:rsidRPr="00781112" w:rsidRDefault="00053391" w:rsidP="004369B2">
      <w:pPr>
        <w:rPr>
          <w:b/>
          <w:color w:val="000000" w:themeColor="text1"/>
        </w:rPr>
      </w:pPr>
      <w:bookmarkStart w:id="17" w:name="_Toc382082367"/>
      <w:bookmarkStart w:id="18"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Maine began using a new statewide assessment in FFY2020 (NWEA Measures of Academic Progress), yielding new baseline proficiency rates for this assessment.</w:t>
      </w: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did not provide data for this indicator. OESE gave the State the opportunity to submit data during the official EdFacts resubmission period for assessment data. The State's submitted data will be prefilled in the SPP/APR reporting platform when Part B Clarification period opens on April 14. OSEP will conduct its review of the State’s submitted data after the Clarification period closes.</w:t>
      </w: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w: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7"/>
      <w:bookmarkEnd w:id="18"/>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9" w:name="_Toc384383330"/>
      <w:bookmarkStart w:id="20" w:name="_Toc392159282"/>
      <w:bookmarkStart w:id="21"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EDFacts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38.20%</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47.13%</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48.15%</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40.91%</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44.05%</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45.00%</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4"/>
        <w:gridCol w:w="697"/>
        <w:gridCol w:w="1737"/>
        <w:gridCol w:w="1256"/>
        <w:gridCol w:w="1256"/>
        <w:gridCol w:w="1256"/>
        <w:gridCol w:w="1256"/>
        <w:gridCol w:w="1256"/>
        <w:gridCol w:w="1262"/>
      </w:tblGrid>
      <w:tr w:rsidR="00561042" w:rsidRPr="00781112" w14:paraId="6FE97918" w14:textId="1BF8CF9D" w:rsidTr="00E95FBF">
        <w:tc>
          <w:tcPr>
            <w:tcW w:w="377" w:type="pct"/>
            <w:tcBorders>
              <w:bottom w:val="single" w:sz="4" w:space="0" w:color="auto"/>
            </w:tcBorders>
            <w:shd w:val="clear" w:color="auto" w:fill="auto"/>
          </w:tcPr>
          <w:p w14:paraId="5CDF6985" w14:textId="5342FC63" w:rsidR="00561042" w:rsidRPr="00781112" w:rsidRDefault="00561042" w:rsidP="00561042">
            <w:pPr>
              <w:jc w:val="center"/>
              <w:rPr>
                <w:b/>
                <w:color w:val="000000" w:themeColor="text1"/>
              </w:rPr>
            </w:pPr>
            <w:r w:rsidRPr="00781112">
              <w:rPr>
                <w:b/>
                <w:color w:val="000000" w:themeColor="text1"/>
              </w:rPr>
              <w:t>Subject</w:t>
            </w:r>
          </w:p>
        </w:tc>
        <w:tc>
          <w:tcPr>
            <w:tcW w:w="323" w:type="pct"/>
            <w:tcBorders>
              <w:bottom w:val="single" w:sz="4" w:space="0" w:color="auto"/>
            </w:tcBorders>
            <w:shd w:val="clear" w:color="auto" w:fill="auto"/>
          </w:tcPr>
          <w:p w14:paraId="01DFF2B4" w14:textId="2094C240" w:rsidR="00561042" w:rsidRPr="00781112" w:rsidRDefault="00561042" w:rsidP="00561042">
            <w:pPr>
              <w:jc w:val="center"/>
              <w:rPr>
                <w:b/>
                <w:color w:val="000000" w:themeColor="text1"/>
              </w:rPr>
            </w:pPr>
            <w:r w:rsidRPr="00781112">
              <w:rPr>
                <w:b/>
                <w:color w:val="000000" w:themeColor="text1"/>
              </w:rPr>
              <w:t>Group</w:t>
            </w:r>
          </w:p>
        </w:tc>
        <w:tc>
          <w:tcPr>
            <w:tcW w:w="805" w:type="pct"/>
            <w:shd w:val="clear" w:color="auto" w:fill="auto"/>
          </w:tcPr>
          <w:p w14:paraId="3976F221" w14:textId="32F28582" w:rsidR="00561042" w:rsidRPr="00781112" w:rsidDel="008E7B87" w:rsidRDefault="00561042" w:rsidP="00561042">
            <w:pPr>
              <w:jc w:val="center"/>
              <w:rPr>
                <w:b/>
                <w:color w:val="000000" w:themeColor="text1"/>
              </w:rPr>
            </w:pPr>
            <w:r w:rsidRPr="00781112">
              <w:rPr>
                <w:b/>
                <w:color w:val="000000" w:themeColor="text1"/>
              </w:rPr>
              <w:t>Group Name</w:t>
            </w:r>
          </w:p>
        </w:tc>
        <w:tc>
          <w:tcPr>
            <w:tcW w:w="582" w:type="pct"/>
            <w:shd w:val="clear" w:color="auto" w:fill="auto"/>
          </w:tcPr>
          <w:p w14:paraId="076E9FA3" w14:textId="2BDFEC53" w:rsidR="00561042" w:rsidRPr="00781112" w:rsidRDefault="00561042" w:rsidP="00561042">
            <w:pPr>
              <w:jc w:val="center"/>
              <w:rPr>
                <w:b/>
                <w:color w:val="000000" w:themeColor="text1"/>
              </w:rPr>
            </w:pPr>
            <w:r w:rsidRPr="00781112">
              <w:rPr>
                <w:b/>
                <w:color w:val="000000" w:themeColor="text1"/>
              </w:rPr>
              <w:t>2020</w:t>
            </w:r>
          </w:p>
        </w:tc>
        <w:tc>
          <w:tcPr>
            <w:tcW w:w="582" w:type="pct"/>
            <w:vAlign w:val="center"/>
          </w:tcPr>
          <w:p w14:paraId="2A95FA03" w14:textId="46828D1C" w:rsidR="00561042" w:rsidRPr="00781112" w:rsidRDefault="00561042" w:rsidP="00561042">
            <w:pPr>
              <w:jc w:val="center"/>
              <w:rPr>
                <w:b/>
                <w:color w:val="000000" w:themeColor="text1"/>
              </w:rPr>
            </w:pPr>
            <w:r w:rsidRPr="00781112">
              <w:rPr>
                <w:rFonts w:cs="Arial"/>
                <w:b/>
                <w:color w:val="000000" w:themeColor="text1"/>
                <w:szCs w:val="16"/>
              </w:rPr>
              <w:t>2021</w:t>
            </w:r>
          </w:p>
        </w:tc>
        <w:tc>
          <w:tcPr>
            <w:tcW w:w="582" w:type="pct"/>
            <w:vAlign w:val="center"/>
          </w:tcPr>
          <w:p w14:paraId="56A4FE1C" w14:textId="196C362E" w:rsidR="00561042" w:rsidRPr="00781112" w:rsidRDefault="00561042" w:rsidP="00561042">
            <w:pPr>
              <w:jc w:val="center"/>
              <w:rPr>
                <w:b/>
                <w:color w:val="000000" w:themeColor="text1"/>
              </w:rPr>
            </w:pPr>
            <w:r w:rsidRPr="00781112">
              <w:rPr>
                <w:rFonts w:cs="Arial"/>
                <w:b/>
                <w:color w:val="000000" w:themeColor="text1"/>
                <w:szCs w:val="16"/>
              </w:rPr>
              <w:t>2022</w:t>
            </w:r>
          </w:p>
        </w:tc>
        <w:tc>
          <w:tcPr>
            <w:tcW w:w="582" w:type="pct"/>
            <w:vAlign w:val="center"/>
          </w:tcPr>
          <w:p w14:paraId="6FCB9B7C" w14:textId="67672F5E" w:rsidR="00561042" w:rsidRPr="00781112" w:rsidRDefault="00561042" w:rsidP="00561042">
            <w:pPr>
              <w:jc w:val="center"/>
              <w:rPr>
                <w:b/>
                <w:color w:val="000000" w:themeColor="text1"/>
              </w:rPr>
            </w:pPr>
            <w:r w:rsidRPr="00781112">
              <w:rPr>
                <w:rFonts w:cs="Arial"/>
                <w:b/>
                <w:color w:val="000000" w:themeColor="text1"/>
                <w:szCs w:val="16"/>
              </w:rPr>
              <w:t>2023</w:t>
            </w:r>
          </w:p>
        </w:tc>
        <w:tc>
          <w:tcPr>
            <w:tcW w:w="582" w:type="pct"/>
            <w:vAlign w:val="center"/>
          </w:tcPr>
          <w:p w14:paraId="7118C826" w14:textId="7C910CE0" w:rsidR="00561042" w:rsidRPr="00781112" w:rsidRDefault="00561042" w:rsidP="00561042">
            <w:pPr>
              <w:jc w:val="center"/>
              <w:rPr>
                <w:b/>
                <w:color w:val="000000" w:themeColor="text1"/>
              </w:rPr>
            </w:pPr>
            <w:r w:rsidRPr="00781112">
              <w:rPr>
                <w:rFonts w:cs="Arial"/>
                <w:b/>
                <w:color w:val="000000" w:themeColor="text1"/>
                <w:szCs w:val="16"/>
              </w:rPr>
              <w:t>2024</w:t>
            </w:r>
          </w:p>
        </w:tc>
        <w:tc>
          <w:tcPr>
            <w:tcW w:w="585" w:type="pct"/>
            <w:vAlign w:val="center"/>
          </w:tcPr>
          <w:p w14:paraId="33416EB6" w14:textId="63A7E482" w:rsidR="00561042" w:rsidRPr="00781112" w:rsidRDefault="00561042" w:rsidP="00561042">
            <w:pPr>
              <w:jc w:val="center"/>
              <w:rPr>
                <w:b/>
                <w:color w:val="000000" w:themeColor="text1"/>
              </w:rPr>
            </w:pPr>
            <w:r w:rsidRPr="00781112">
              <w:rPr>
                <w:rFonts w:cs="Arial"/>
                <w:b/>
                <w:color w:val="000000" w:themeColor="text1"/>
                <w:szCs w:val="16"/>
              </w:rPr>
              <w:t>2025</w:t>
            </w:r>
          </w:p>
        </w:tc>
      </w:tr>
      <w:tr w:rsidR="00D13592" w:rsidRPr="00781112" w14:paraId="24016D03" w14:textId="0FC0BA7B" w:rsidTr="00E95FBF">
        <w:tc>
          <w:tcPr>
            <w:tcW w:w="377" w:type="pct"/>
            <w:shd w:val="clear" w:color="auto" w:fill="auto"/>
            <w:vAlign w:val="center"/>
          </w:tcPr>
          <w:p w14:paraId="6AD78348" w14:textId="77777777"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68D451C5" w14:textId="0D62DF33"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A &gt;=</w:t>
            </w:r>
          </w:p>
        </w:tc>
        <w:tc>
          <w:tcPr>
            <w:tcW w:w="805" w:type="pct"/>
            <w:shd w:val="clear" w:color="auto" w:fill="auto"/>
            <w:vAlign w:val="center"/>
          </w:tcPr>
          <w:p w14:paraId="10A86524" w14:textId="5A63BB47"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4</w:t>
            </w:r>
          </w:p>
        </w:tc>
        <w:tc>
          <w:tcPr>
            <w:tcW w:w="582" w:type="pct"/>
            <w:shd w:val="clear" w:color="auto" w:fill="auto"/>
            <w:vAlign w:val="center"/>
          </w:tcPr>
          <w:p w14:paraId="3451F312" w14:textId="2295E6F6" w:rsidR="00D13592" w:rsidRPr="00781112" w:rsidRDefault="00D13592" w:rsidP="00D13592">
            <w:pPr>
              <w:jc w:val="center"/>
              <w:rPr>
                <w:rFonts w:cs="Arial"/>
                <w:color w:val="000000" w:themeColor="text1"/>
                <w:szCs w:val="16"/>
              </w:rPr>
            </w:pPr>
            <w:r w:rsidRPr="00781112">
              <w:rPr>
                <w:rFonts w:cs="Arial"/>
                <w:color w:val="000000" w:themeColor="text1"/>
                <w:szCs w:val="16"/>
              </w:rPr>
              <w:t>38.20%</w:t>
            </w:r>
          </w:p>
        </w:tc>
        <w:tc>
          <w:tcPr>
            <w:tcW w:w="582" w:type="pct"/>
            <w:vAlign w:val="center"/>
          </w:tcPr>
          <w:p w14:paraId="1A23D563" w14:textId="56F68959" w:rsidR="00D13592" w:rsidRPr="00781112" w:rsidRDefault="00D13592" w:rsidP="00D13592">
            <w:pPr>
              <w:jc w:val="center"/>
              <w:rPr>
                <w:rFonts w:cs="Arial"/>
                <w:color w:val="000000" w:themeColor="text1"/>
                <w:szCs w:val="16"/>
              </w:rPr>
            </w:pPr>
            <w:r w:rsidRPr="00781112">
              <w:rPr>
                <w:rFonts w:cs="Arial"/>
                <w:color w:val="000000" w:themeColor="text1"/>
                <w:szCs w:val="16"/>
              </w:rPr>
              <w:t>40.20%</w:t>
            </w:r>
          </w:p>
        </w:tc>
        <w:tc>
          <w:tcPr>
            <w:tcW w:w="582" w:type="pct"/>
            <w:vAlign w:val="center"/>
          </w:tcPr>
          <w:p w14:paraId="6BBDE651" w14:textId="47B65FE0" w:rsidR="00D13592" w:rsidRPr="00781112" w:rsidRDefault="00D13592" w:rsidP="00D13592">
            <w:pPr>
              <w:jc w:val="center"/>
              <w:rPr>
                <w:rFonts w:cs="Arial"/>
                <w:color w:val="000000" w:themeColor="text1"/>
                <w:szCs w:val="16"/>
              </w:rPr>
            </w:pPr>
            <w:r w:rsidRPr="00781112">
              <w:rPr>
                <w:rFonts w:cs="Arial"/>
                <w:color w:val="000000" w:themeColor="text1"/>
                <w:szCs w:val="16"/>
              </w:rPr>
              <w:t>42.20%</w:t>
            </w:r>
          </w:p>
        </w:tc>
        <w:tc>
          <w:tcPr>
            <w:tcW w:w="582" w:type="pct"/>
            <w:vAlign w:val="center"/>
          </w:tcPr>
          <w:p w14:paraId="5A275577" w14:textId="6DCA94CB" w:rsidR="00D13592" w:rsidRPr="00781112" w:rsidRDefault="00D13592" w:rsidP="00D13592">
            <w:pPr>
              <w:jc w:val="center"/>
              <w:rPr>
                <w:rFonts w:cs="Arial"/>
                <w:color w:val="000000" w:themeColor="text1"/>
                <w:szCs w:val="16"/>
              </w:rPr>
            </w:pPr>
            <w:r w:rsidRPr="00781112">
              <w:rPr>
                <w:rFonts w:cs="Arial"/>
                <w:color w:val="000000" w:themeColor="text1"/>
                <w:szCs w:val="16"/>
              </w:rPr>
              <w:t>44.20%</w:t>
            </w:r>
          </w:p>
        </w:tc>
        <w:tc>
          <w:tcPr>
            <w:tcW w:w="582" w:type="pct"/>
            <w:vAlign w:val="center"/>
          </w:tcPr>
          <w:p w14:paraId="3206928B" w14:textId="11EAF098" w:rsidR="00D13592" w:rsidRPr="00781112" w:rsidRDefault="00D13592" w:rsidP="00D13592">
            <w:pPr>
              <w:jc w:val="center"/>
              <w:rPr>
                <w:rFonts w:cs="Arial"/>
                <w:color w:val="000000" w:themeColor="text1"/>
                <w:szCs w:val="16"/>
              </w:rPr>
            </w:pPr>
            <w:r w:rsidRPr="00781112">
              <w:rPr>
                <w:rFonts w:cs="Arial"/>
                <w:color w:val="000000" w:themeColor="text1"/>
                <w:szCs w:val="16"/>
              </w:rPr>
              <w:t>46.20%</w:t>
            </w:r>
          </w:p>
        </w:tc>
        <w:tc>
          <w:tcPr>
            <w:tcW w:w="585" w:type="pct"/>
            <w:vAlign w:val="center"/>
          </w:tcPr>
          <w:p w14:paraId="6FBEC16B" w14:textId="37B5556C" w:rsidR="00D13592" w:rsidRPr="00781112" w:rsidRDefault="00D13592" w:rsidP="00D13592">
            <w:pPr>
              <w:jc w:val="center"/>
              <w:rPr>
                <w:rFonts w:cs="Arial"/>
                <w:color w:val="000000" w:themeColor="text1"/>
                <w:szCs w:val="16"/>
              </w:rPr>
            </w:pPr>
            <w:r w:rsidRPr="00781112">
              <w:rPr>
                <w:rFonts w:cs="Arial"/>
                <w:color w:val="000000" w:themeColor="text1"/>
                <w:szCs w:val="16"/>
              </w:rPr>
              <w:t>48.20%</w:t>
            </w:r>
          </w:p>
        </w:tc>
      </w:tr>
      <w:tr w:rsidR="00D13592" w:rsidRPr="00781112" w14:paraId="4229AE62" w14:textId="33381C2A" w:rsidTr="00E95FBF">
        <w:tc>
          <w:tcPr>
            <w:tcW w:w="377" w:type="pct"/>
            <w:shd w:val="clear" w:color="auto" w:fill="auto"/>
            <w:vAlign w:val="center"/>
          </w:tcPr>
          <w:p w14:paraId="65BFCE1A" w14:textId="0D697A5F"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0A529643" w14:textId="25196352"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B &gt;=</w:t>
            </w:r>
          </w:p>
        </w:tc>
        <w:tc>
          <w:tcPr>
            <w:tcW w:w="805" w:type="pct"/>
            <w:shd w:val="clear" w:color="auto" w:fill="auto"/>
            <w:vAlign w:val="center"/>
          </w:tcPr>
          <w:p w14:paraId="62F8D3A7" w14:textId="0DE3112A"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8</w:t>
            </w:r>
          </w:p>
        </w:tc>
        <w:tc>
          <w:tcPr>
            <w:tcW w:w="582" w:type="pct"/>
            <w:shd w:val="clear" w:color="auto" w:fill="auto"/>
            <w:vAlign w:val="center"/>
          </w:tcPr>
          <w:p w14:paraId="1D5B4183" w14:textId="1238BC64" w:rsidR="00D13592" w:rsidRPr="00781112" w:rsidRDefault="00D13592" w:rsidP="00D13592">
            <w:pPr>
              <w:jc w:val="center"/>
              <w:rPr>
                <w:rFonts w:cs="Arial"/>
                <w:color w:val="000000" w:themeColor="text1"/>
                <w:szCs w:val="16"/>
              </w:rPr>
            </w:pPr>
            <w:r w:rsidRPr="00781112">
              <w:rPr>
                <w:rFonts w:cs="Arial"/>
                <w:color w:val="000000" w:themeColor="text1"/>
                <w:szCs w:val="16"/>
              </w:rPr>
              <w:t>47.13%</w:t>
            </w:r>
          </w:p>
        </w:tc>
        <w:tc>
          <w:tcPr>
            <w:tcW w:w="582" w:type="pct"/>
            <w:vAlign w:val="center"/>
          </w:tcPr>
          <w:p w14:paraId="200F306C" w14:textId="40F15380" w:rsidR="00D13592" w:rsidRPr="00781112" w:rsidRDefault="00D13592" w:rsidP="00D13592">
            <w:pPr>
              <w:jc w:val="center"/>
              <w:rPr>
                <w:rFonts w:cs="Arial"/>
                <w:color w:val="000000" w:themeColor="text1"/>
                <w:szCs w:val="16"/>
              </w:rPr>
            </w:pPr>
            <w:r w:rsidRPr="00781112">
              <w:rPr>
                <w:rFonts w:cs="Arial"/>
                <w:color w:val="000000" w:themeColor="text1"/>
                <w:szCs w:val="16"/>
              </w:rPr>
              <w:t>49.13%</w:t>
            </w:r>
          </w:p>
        </w:tc>
        <w:tc>
          <w:tcPr>
            <w:tcW w:w="582" w:type="pct"/>
            <w:vAlign w:val="center"/>
          </w:tcPr>
          <w:p w14:paraId="01C155DC" w14:textId="32FC3C15" w:rsidR="00D13592" w:rsidRPr="00781112" w:rsidRDefault="00D13592" w:rsidP="00D13592">
            <w:pPr>
              <w:jc w:val="center"/>
              <w:rPr>
                <w:rFonts w:cs="Arial"/>
                <w:color w:val="000000" w:themeColor="text1"/>
                <w:szCs w:val="16"/>
              </w:rPr>
            </w:pPr>
            <w:r w:rsidRPr="00781112">
              <w:rPr>
                <w:rFonts w:cs="Arial"/>
                <w:color w:val="000000" w:themeColor="text1"/>
                <w:szCs w:val="16"/>
              </w:rPr>
              <w:t>51.13%</w:t>
            </w:r>
          </w:p>
        </w:tc>
        <w:tc>
          <w:tcPr>
            <w:tcW w:w="582" w:type="pct"/>
            <w:vAlign w:val="center"/>
          </w:tcPr>
          <w:p w14:paraId="31A2EE92" w14:textId="183FF0A7" w:rsidR="00D13592" w:rsidRPr="00781112" w:rsidRDefault="00D13592" w:rsidP="00D13592">
            <w:pPr>
              <w:jc w:val="center"/>
              <w:rPr>
                <w:rFonts w:cs="Arial"/>
                <w:color w:val="000000" w:themeColor="text1"/>
                <w:szCs w:val="16"/>
              </w:rPr>
            </w:pPr>
            <w:r w:rsidRPr="00781112">
              <w:rPr>
                <w:rFonts w:cs="Arial"/>
                <w:color w:val="000000" w:themeColor="text1"/>
                <w:szCs w:val="16"/>
              </w:rPr>
              <w:t>53.13%</w:t>
            </w:r>
          </w:p>
        </w:tc>
        <w:tc>
          <w:tcPr>
            <w:tcW w:w="582" w:type="pct"/>
            <w:vAlign w:val="center"/>
          </w:tcPr>
          <w:p w14:paraId="52A72D95" w14:textId="51822CAD" w:rsidR="00D13592" w:rsidRPr="00781112" w:rsidRDefault="00D13592" w:rsidP="00D13592">
            <w:pPr>
              <w:jc w:val="center"/>
              <w:rPr>
                <w:rFonts w:cs="Arial"/>
                <w:color w:val="000000" w:themeColor="text1"/>
                <w:szCs w:val="16"/>
              </w:rPr>
            </w:pPr>
            <w:r w:rsidRPr="00781112">
              <w:rPr>
                <w:rFonts w:cs="Arial"/>
                <w:color w:val="000000" w:themeColor="text1"/>
                <w:szCs w:val="16"/>
              </w:rPr>
              <w:t>55.13%</w:t>
            </w:r>
          </w:p>
        </w:tc>
        <w:tc>
          <w:tcPr>
            <w:tcW w:w="585" w:type="pct"/>
            <w:vAlign w:val="center"/>
          </w:tcPr>
          <w:p w14:paraId="0A9D3561" w14:textId="4D0FA131" w:rsidR="00D13592" w:rsidRPr="00781112" w:rsidRDefault="00D13592" w:rsidP="00D13592">
            <w:pPr>
              <w:jc w:val="center"/>
              <w:rPr>
                <w:rFonts w:cs="Arial"/>
                <w:color w:val="000000" w:themeColor="text1"/>
                <w:szCs w:val="16"/>
              </w:rPr>
            </w:pPr>
            <w:r w:rsidRPr="00781112">
              <w:rPr>
                <w:rFonts w:cs="Arial"/>
                <w:color w:val="000000" w:themeColor="text1"/>
                <w:szCs w:val="16"/>
              </w:rPr>
              <w:t>57.13%</w:t>
            </w:r>
          </w:p>
        </w:tc>
      </w:tr>
      <w:tr w:rsidR="00D13592" w:rsidRPr="00781112" w14:paraId="53D446D4" w14:textId="31EA6E11" w:rsidTr="00E95FBF">
        <w:tc>
          <w:tcPr>
            <w:tcW w:w="377" w:type="pct"/>
            <w:shd w:val="clear" w:color="auto" w:fill="auto"/>
            <w:vAlign w:val="center"/>
          </w:tcPr>
          <w:p w14:paraId="5413BB65" w14:textId="22884284"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1408EAB6" w14:textId="5A0418AE"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C &gt;=</w:t>
            </w:r>
          </w:p>
        </w:tc>
        <w:tc>
          <w:tcPr>
            <w:tcW w:w="805" w:type="pct"/>
            <w:shd w:val="clear" w:color="auto" w:fill="auto"/>
            <w:vAlign w:val="center"/>
          </w:tcPr>
          <w:p w14:paraId="6E4FCBFF" w14:textId="158A4AA0"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HS</w:t>
            </w:r>
          </w:p>
        </w:tc>
        <w:tc>
          <w:tcPr>
            <w:tcW w:w="582" w:type="pct"/>
            <w:shd w:val="clear" w:color="auto" w:fill="auto"/>
            <w:vAlign w:val="center"/>
          </w:tcPr>
          <w:p w14:paraId="3520F380" w14:textId="38C36219" w:rsidR="00D13592" w:rsidRPr="00781112" w:rsidRDefault="00D13592" w:rsidP="00D13592">
            <w:pPr>
              <w:jc w:val="center"/>
              <w:rPr>
                <w:rFonts w:cs="Arial"/>
                <w:color w:val="000000" w:themeColor="text1"/>
                <w:szCs w:val="16"/>
              </w:rPr>
            </w:pPr>
            <w:r w:rsidRPr="00781112">
              <w:rPr>
                <w:rFonts w:cs="Arial"/>
                <w:color w:val="000000" w:themeColor="text1"/>
                <w:szCs w:val="16"/>
              </w:rPr>
              <w:t>48.15%</w:t>
            </w:r>
          </w:p>
        </w:tc>
        <w:tc>
          <w:tcPr>
            <w:tcW w:w="582" w:type="pct"/>
            <w:vAlign w:val="center"/>
          </w:tcPr>
          <w:p w14:paraId="3305DD14" w14:textId="4DBBF69C" w:rsidR="00D13592" w:rsidRPr="00781112" w:rsidRDefault="00D13592" w:rsidP="00D13592">
            <w:pPr>
              <w:jc w:val="center"/>
              <w:rPr>
                <w:rFonts w:cs="Arial"/>
                <w:color w:val="000000" w:themeColor="text1"/>
                <w:szCs w:val="16"/>
              </w:rPr>
            </w:pPr>
            <w:r w:rsidRPr="00781112">
              <w:rPr>
                <w:rFonts w:cs="Arial"/>
                <w:color w:val="000000" w:themeColor="text1"/>
                <w:szCs w:val="16"/>
              </w:rPr>
              <w:t>50.15%</w:t>
            </w:r>
          </w:p>
        </w:tc>
        <w:tc>
          <w:tcPr>
            <w:tcW w:w="582" w:type="pct"/>
            <w:vAlign w:val="center"/>
          </w:tcPr>
          <w:p w14:paraId="02FF2601" w14:textId="545909AE" w:rsidR="00D13592" w:rsidRPr="00781112" w:rsidRDefault="00D13592" w:rsidP="00D13592">
            <w:pPr>
              <w:jc w:val="center"/>
              <w:rPr>
                <w:rFonts w:cs="Arial"/>
                <w:color w:val="000000" w:themeColor="text1"/>
                <w:szCs w:val="16"/>
              </w:rPr>
            </w:pPr>
            <w:r w:rsidRPr="00781112">
              <w:rPr>
                <w:rFonts w:cs="Arial"/>
                <w:color w:val="000000" w:themeColor="text1"/>
                <w:szCs w:val="16"/>
              </w:rPr>
              <w:t>52.15%</w:t>
            </w:r>
          </w:p>
        </w:tc>
        <w:tc>
          <w:tcPr>
            <w:tcW w:w="582" w:type="pct"/>
            <w:vAlign w:val="center"/>
          </w:tcPr>
          <w:p w14:paraId="607B9906" w14:textId="6058F884" w:rsidR="00D13592" w:rsidRPr="00781112" w:rsidRDefault="00D13592" w:rsidP="00D13592">
            <w:pPr>
              <w:jc w:val="center"/>
              <w:rPr>
                <w:rFonts w:cs="Arial"/>
                <w:color w:val="000000" w:themeColor="text1"/>
                <w:szCs w:val="16"/>
              </w:rPr>
            </w:pPr>
            <w:r w:rsidRPr="00781112">
              <w:rPr>
                <w:rFonts w:cs="Arial"/>
                <w:color w:val="000000" w:themeColor="text1"/>
                <w:szCs w:val="16"/>
              </w:rPr>
              <w:t>54.15%</w:t>
            </w:r>
          </w:p>
        </w:tc>
        <w:tc>
          <w:tcPr>
            <w:tcW w:w="582" w:type="pct"/>
            <w:vAlign w:val="center"/>
          </w:tcPr>
          <w:p w14:paraId="00AA5B51" w14:textId="2B22FFA4" w:rsidR="00D13592" w:rsidRPr="00781112" w:rsidRDefault="00D13592" w:rsidP="00D13592">
            <w:pPr>
              <w:jc w:val="center"/>
              <w:rPr>
                <w:rFonts w:cs="Arial"/>
                <w:color w:val="000000" w:themeColor="text1"/>
                <w:szCs w:val="16"/>
              </w:rPr>
            </w:pPr>
            <w:r w:rsidRPr="00781112">
              <w:rPr>
                <w:rFonts w:cs="Arial"/>
                <w:color w:val="000000" w:themeColor="text1"/>
                <w:szCs w:val="16"/>
              </w:rPr>
              <w:t>56.15%</w:t>
            </w:r>
          </w:p>
        </w:tc>
        <w:tc>
          <w:tcPr>
            <w:tcW w:w="585" w:type="pct"/>
            <w:vAlign w:val="center"/>
          </w:tcPr>
          <w:p w14:paraId="098D4CBC" w14:textId="1DF737D1" w:rsidR="00D13592" w:rsidRPr="00781112" w:rsidRDefault="00D13592" w:rsidP="00D13592">
            <w:pPr>
              <w:jc w:val="center"/>
              <w:rPr>
                <w:rFonts w:cs="Arial"/>
                <w:color w:val="000000" w:themeColor="text1"/>
                <w:szCs w:val="16"/>
              </w:rPr>
            </w:pPr>
            <w:r w:rsidRPr="00781112">
              <w:rPr>
                <w:rFonts w:cs="Arial"/>
                <w:color w:val="000000" w:themeColor="text1"/>
                <w:szCs w:val="16"/>
              </w:rPr>
              <w:t>58.15%</w:t>
            </w:r>
          </w:p>
        </w:tc>
      </w:tr>
      <w:tr w:rsidR="00D13592" w:rsidRPr="00781112" w14:paraId="4D7E1CB4" w14:textId="31C0C80F" w:rsidTr="00E95FBF">
        <w:tc>
          <w:tcPr>
            <w:tcW w:w="377" w:type="pct"/>
            <w:shd w:val="clear" w:color="auto" w:fill="auto"/>
            <w:vAlign w:val="center"/>
          </w:tcPr>
          <w:p w14:paraId="3E17FC71" w14:textId="77777777"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393C59D6" w14:textId="4FA6AC82"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A &gt;=</w:t>
            </w:r>
          </w:p>
        </w:tc>
        <w:tc>
          <w:tcPr>
            <w:tcW w:w="805" w:type="pct"/>
            <w:shd w:val="clear" w:color="auto" w:fill="auto"/>
            <w:vAlign w:val="center"/>
          </w:tcPr>
          <w:p w14:paraId="06CBBAA1" w14:textId="25010E97"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4</w:t>
            </w:r>
          </w:p>
        </w:tc>
        <w:tc>
          <w:tcPr>
            <w:tcW w:w="582" w:type="pct"/>
            <w:shd w:val="clear" w:color="auto" w:fill="auto"/>
            <w:vAlign w:val="center"/>
          </w:tcPr>
          <w:p w14:paraId="5B4F37F7" w14:textId="0586B65B" w:rsidR="00D13592" w:rsidRPr="00781112" w:rsidRDefault="00D13592" w:rsidP="00D13592">
            <w:pPr>
              <w:jc w:val="center"/>
              <w:rPr>
                <w:rFonts w:cs="Arial"/>
                <w:color w:val="000000" w:themeColor="text1"/>
                <w:szCs w:val="16"/>
              </w:rPr>
            </w:pPr>
            <w:r w:rsidRPr="00781112">
              <w:rPr>
                <w:rFonts w:cs="Arial"/>
                <w:color w:val="000000" w:themeColor="text1"/>
                <w:szCs w:val="16"/>
              </w:rPr>
              <w:t>40.91%</w:t>
            </w:r>
          </w:p>
        </w:tc>
        <w:tc>
          <w:tcPr>
            <w:tcW w:w="582" w:type="pct"/>
            <w:vAlign w:val="center"/>
          </w:tcPr>
          <w:p w14:paraId="5BCC413B" w14:textId="09A05E02" w:rsidR="00D13592" w:rsidRPr="00781112" w:rsidRDefault="00D13592" w:rsidP="00D13592">
            <w:pPr>
              <w:jc w:val="center"/>
              <w:rPr>
                <w:rFonts w:cs="Arial"/>
                <w:color w:val="000000" w:themeColor="text1"/>
                <w:szCs w:val="16"/>
              </w:rPr>
            </w:pPr>
            <w:r w:rsidRPr="00781112">
              <w:rPr>
                <w:rFonts w:cs="Arial"/>
                <w:color w:val="000000" w:themeColor="text1"/>
                <w:szCs w:val="16"/>
              </w:rPr>
              <w:t>42.91%</w:t>
            </w:r>
          </w:p>
        </w:tc>
        <w:tc>
          <w:tcPr>
            <w:tcW w:w="582" w:type="pct"/>
            <w:vAlign w:val="center"/>
          </w:tcPr>
          <w:p w14:paraId="45EF5FCE" w14:textId="00D7D29B" w:rsidR="00D13592" w:rsidRPr="00781112" w:rsidRDefault="00D13592" w:rsidP="00D13592">
            <w:pPr>
              <w:jc w:val="center"/>
              <w:rPr>
                <w:rFonts w:cs="Arial"/>
                <w:color w:val="000000" w:themeColor="text1"/>
                <w:szCs w:val="16"/>
              </w:rPr>
            </w:pPr>
            <w:r w:rsidRPr="00781112">
              <w:rPr>
                <w:rFonts w:cs="Arial"/>
                <w:color w:val="000000" w:themeColor="text1"/>
                <w:szCs w:val="16"/>
              </w:rPr>
              <w:t>44.91%</w:t>
            </w:r>
          </w:p>
        </w:tc>
        <w:tc>
          <w:tcPr>
            <w:tcW w:w="582" w:type="pct"/>
            <w:vAlign w:val="center"/>
          </w:tcPr>
          <w:p w14:paraId="68AE213E" w14:textId="4ECF4085" w:rsidR="00D13592" w:rsidRPr="00781112" w:rsidRDefault="00D13592" w:rsidP="00D13592">
            <w:pPr>
              <w:jc w:val="center"/>
              <w:rPr>
                <w:rFonts w:cs="Arial"/>
                <w:color w:val="000000" w:themeColor="text1"/>
                <w:szCs w:val="16"/>
              </w:rPr>
            </w:pPr>
            <w:r w:rsidRPr="00781112">
              <w:rPr>
                <w:rFonts w:cs="Arial"/>
                <w:color w:val="000000" w:themeColor="text1"/>
                <w:szCs w:val="16"/>
              </w:rPr>
              <w:t>46.91%</w:t>
            </w:r>
          </w:p>
        </w:tc>
        <w:tc>
          <w:tcPr>
            <w:tcW w:w="582" w:type="pct"/>
            <w:vAlign w:val="center"/>
          </w:tcPr>
          <w:p w14:paraId="7B3E2D7F" w14:textId="73124E34" w:rsidR="00D13592" w:rsidRPr="00781112" w:rsidRDefault="00D13592" w:rsidP="00D13592">
            <w:pPr>
              <w:jc w:val="center"/>
              <w:rPr>
                <w:rFonts w:cs="Arial"/>
                <w:color w:val="000000" w:themeColor="text1"/>
                <w:szCs w:val="16"/>
              </w:rPr>
            </w:pPr>
            <w:r w:rsidRPr="00781112">
              <w:rPr>
                <w:rFonts w:cs="Arial"/>
                <w:color w:val="000000" w:themeColor="text1"/>
                <w:szCs w:val="16"/>
              </w:rPr>
              <w:t>48.91%</w:t>
            </w:r>
          </w:p>
        </w:tc>
        <w:tc>
          <w:tcPr>
            <w:tcW w:w="585" w:type="pct"/>
            <w:vAlign w:val="center"/>
          </w:tcPr>
          <w:p w14:paraId="4BC7B620" w14:textId="19BD9C5D" w:rsidR="00D13592" w:rsidRPr="00781112" w:rsidRDefault="00D13592" w:rsidP="00D13592">
            <w:pPr>
              <w:jc w:val="center"/>
              <w:rPr>
                <w:rFonts w:cs="Arial"/>
                <w:color w:val="000000" w:themeColor="text1"/>
                <w:szCs w:val="16"/>
              </w:rPr>
            </w:pPr>
            <w:r w:rsidRPr="00781112">
              <w:rPr>
                <w:rFonts w:cs="Arial"/>
                <w:color w:val="000000" w:themeColor="text1"/>
                <w:szCs w:val="16"/>
              </w:rPr>
              <w:t>50.91%</w:t>
            </w:r>
          </w:p>
        </w:tc>
      </w:tr>
      <w:tr w:rsidR="00D13592" w:rsidRPr="00781112" w14:paraId="6A0B25C6" w14:textId="3CA923D5" w:rsidTr="00E95FBF">
        <w:tc>
          <w:tcPr>
            <w:tcW w:w="377" w:type="pct"/>
            <w:shd w:val="clear" w:color="auto" w:fill="auto"/>
            <w:vAlign w:val="center"/>
          </w:tcPr>
          <w:p w14:paraId="7A201508" w14:textId="57E216ED"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3BD3C679" w14:textId="4834DDCE"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B &gt;=</w:t>
            </w:r>
          </w:p>
        </w:tc>
        <w:tc>
          <w:tcPr>
            <w:tcW w:w="805" w:type="pct"/>
            <w:shd w:val="clear" w:color="auto" w:fill="auto"/>
            <w:vAlign w:val="center"/>
          </w:tcPr>
          <w:p w14:paraId="75E8E6D8" w14:textId="7D040B60"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8</w:t>
            </w:r>
          </w:p>
        </w:tc>
        <w:tc>
          <w:tcPr>
            <w:tcW w:w="582" w:type="pct"/>
            <w:shd w:val="clear" w:color="auto" w:fill="auto"/>
            <w:vAlign w:val="center"/>
          </w:tcPr>
          <w:p w14:paraId="4671DF75" w14:textId="2CD78B1B" w:rsidR="00D13592" w:rsidRPr="00781112" w:rsidRDefault="00D13592" w:rsidP="00D13592">
            <w:pPr>
              <w:jc w:val="center"/>
              <w:rPr>
                <w:rFonts w:cs="Arial"/>
                <w:color w:val="000000" w:themeColor="text1"/>
                <w:szCs w:val="16"/>
              </w:rPr>
            </w:pPr>
            <w:r w:rsidRPr="00781112">
              <w:rPr>
                <w:rFonts w:cs="Arial"/>
                <w:color w:val="000000" w:themeColor="text1"/>
                <w:szCs w:val="16"/>
              </w:rPr>
              <w:t>44.05%</w:t>
            </w:r>
          </w:p>
        </w:tc>
        <w:tc>
          <w:tcPr>
            <w:tcW w:w="582" w:type="pct"/>
            <w:vAlign w:val="center"/>
          </w:tcPr>
          <w:p w14:paraId="0BF63C58" w14:textId="72F24C80" w:rsidR="00D13592" w:rsidRPr="00781112" w:rsidRDefault="00D13592" w:rsidP="00D13592">
            <w:pPr>
              <w:jc w:val="center"/>
              <w:rPr>
                <w:rFonts w:cs="Arial"/>
                <w:color w:val="000000" w:themeColor="text1"/>
                <w:szCs w:val="16"/>
              </w:rPr>
            </w:pPr>
            <w:r w:rsidRPr="00781112">
              <w:rPr>
                <w:rFonts w:cs="Arial"/>
                <w:color w:val="000000" w:themeColor="text1"/>
                <w:szCs w:val="16"/>
              </w:rPr>
              <w:t>46.05%</w:t>
            </w:r>
          </w:p>
        </w:tc>
        <w:tc>
          <w:tcPr>
            <w:tcW w:w="582" w:type="pct"/>
            <w:vAlign w:val="center"/>
          </w:tcPr>
          <w:p w14:paraId="0075BBBD" w14:textId="7AFABF25" w:rsidR="00D13592" w:rsidRPr="00781112" w:rsidRDefault="00D13592" w:rsidP="00D13592">
            <w:pPr>
              <w:jc w:val="center"/>
              <w:rPr>
                <w:rFonts w:cs="Arial"/>
                <w:color w:val="000000" w:themeColor="text1"/>
                <w:szCs w:val="16"/>
              </w:rPr>
            </w:pPr>
            <w:r w:rsidRPr="00781112">
              <w:rPr>
                <w:rFonts w:cs="Arial"/>
                <w:color w:val="000000" w:themeColor="text1"/>
                <w:szCs w:val="16"/>
              </w:rPr>
              <w:t>48.05%</w:t>
            </w:r>
          </w:p>
        </w:tc>
        <w:tc>
          <w:tcPr>
            <w:tcW w:w="582" w:type="pct"/>
            <w:vAlign w:val="center"/>
          </w:tcPr>
          <w:p w14:paraId="0162408E" w14:textId="763A5CFC" w:rsidR="00D13592" w:rsidRPr="00781112" w:rsidRDefault="00D13592" w:rsidP="00D13592">
            <w:pPr>
              <w:jc w:val="center"/>
              <w:rPr>
                <w:rFonts w:cs="Arial"/>
                <w:color w:val="000000" w:themeColor="text1"/>
                <w:szCs w:val="16"/>
              </w:rPr>
            </w:pPr>
            <w:r w:rsidRPr="00781112">
              <w:rPr>
                <w:rFonts w:cs="Arial"/>
                <w:color w:val="000000" w:themeColor="text1"/>
                <w:szCs w:val="16"/>
              </w:rPr>
              <w:t>50.05%</w:t>
            </w:r>
          </w:p>
        </w:tc>
        <w:tc>
          <w:tcPr>
            <w:tcW w:w="582" w:type="pct"/>
            <w:vAlign w:val="center"/>
          </w:tcPr>
          <w:p w14:paraId="31533AB0" w14:textId="168489BE" w:rsidR="00D13592" w:rsidRPr="00781112" w:rsidRDefault="00D13592" w:rsidP="00D13592">
            <w:pPr>
              <w:jc w:val="center"/>
              <w:rPr>
                <w:rFonts w:cs="Arial"/>
                <w:color w:val="000000" w:themeColor="text1"/>
                <w:szCs w:val="16"/>
              </w:rPr>
            </w:pPr>
            <w:r w:rsidRPr="00781112">
              <w:rPr>
                <w:rFonts w:cs="Arial"/>
                <w:color w:val="000000" w:themeColor="text1"/>
                <w:szCs w:val="16"/>
              </w:rPr>
              <w:t>52.05%</w:t>
            </w:r>
          </w:p>
        </w:tc>
        <w:tc>
          <w:tcPr>
            <w:tcW w:w="585" w:type="pct"/>
            <w:vAlign w:val="center"/>
          </w:tcPr>
          <w:p w14:paraId="3FD08822" w14:textId="00C4AF34" w:rsidR="00D13592" w:rsidRPr="00781112" w:rsidRDefault="00D13592" w:rsidP="00D13592">
            <w:pPr>
              <w:jc w:val="center"/>
              <w:rPr>
                <w:rFonts w:cs="Arial"/>
                <w:color w:val="000000" w:themeColor="text1"/>
                <w:szCs w:val="16"/>
              </w:rPr>
            </w:pPr>
            <w:r w:rsidRPr="00781112">
              <w:rPr>
                <w:rFonts w:cs="Arial"/>
                <w:color w:val="000000" w:themeColor="text1"/>
                <w:szCs w:val="16"/>
              </w:rPr>
              <w:t>54.05%</w:t>
            </w:r>
          </w:p>
        </w:tc>
      </w:tr>
      <w:tr w:rsidR="00D13592" w:rsidRPr="00781112" w14:paraId="72653908" w14:textId="04D938F0" w:rsidTr="00E95FBF">
        <w:tc>
          <w:tcPr>
            <w:tcW w:w="377" w:type="pct"/>
            <w:shd w:val="clear" w:color="auto" w:fill="auto"/>
            <w:vAlign w:val="center"/>
          </w:tcPr>
          <w:p w14:paraId="48B507DA" w14:textId="179672F1"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63FB17C0" w14:textId="2F2DF4DD"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C &gt;=</w:t>
            </w:r>
          </w:p>
        </w:tc>
        <w:tc>
          <w:tcPr>
            <w:tcW w:w="805" w:type="pct"/>
            <w:shd w:val="clear" w:color="auto" w:fill="auto"/>
            <w:vAlign w:val="center"/>
          </w:tcPr>
          <w:p w14:paraId="54F8A2F9" w14:textId="5C3A3F72"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HS</w:t>
            </w:r>
          </w:p>
        </w:tc>
        <w:tc>
          <w:tcPr>
            <w:tcW w:w="582" w:type="pct"/>
            <w:shd w:val="clear" w:color="auto" w:fill="auto"/>
            <w:vAlign w:val="center"/>
          </w:tcPr>
          <w:p w14:paraId="32CB0D9F" w14:textId="65605481" w:rsidR="00D13592" w:rsidRPr="00781112" w:rsidRDefault="00D13592" w:rsidP="00D13592">
            <w:pPr>
              <w:jc w:val="center"/>
              <w:rPr>
                <w:rFonts w:cs="Arial"/>
                <w:color w:val="000000" w:themeColor="text1"/>
                <w:szCs w:val="16"/>
              </w:rPr>
            </w:pPr>
            <w:r w:rsidRPr="00781112">
              <w:rPr>
                <w:rFonts w:cs="Arial"/>
                <w:color w:val="000000" w:themeColor="text1"/>
                <w:szCs w:val="16"/>
              </w:rPr>
              <w:t>45.00%</w:t>
            </w:r>
          </w:p>
        </w:tc>
        <w:tc>
          <w:tcPr>
            <w:tcW w:w="582" w:type="pct"/>
            <w:vAlign w:val="center"/>
          </w:tcPr>
          <w:p w14:paraId="72012D7E" w14:textId="10B8E7BA" w:rsidR="00D13592" w:rsidRPr="00781112" w:rsidRDefault="00D13592" w:rsidP="00D13592">
            <w:pPr>
              <w:jc w:val="center"/>
              <w:rPr>
                <w:rFonts w:cs="Arial"/>
                <w:color w:val="000000" w:themeColor="text1"/>
                <w:szCs w:val="16"/>
              </w:rPr>
            </w:pPr>
            <w:r w:rsidRPr="00781112">
              <w:rPr>
                <w:rFonts w:cs="Arial"/>
                <w:color w:val="000000" w:themeColor="text1"/>
                <w:szCs w:val="16"/>
              </w:rPr>
              <w:t>47.00%</w:t>
            </w:r>
          </w:p>
        </w:tc>
        <w:tc>
          <w:tcPr>
            <w:tcW w:w="582" w:type="pct"/>
            <w:vAlign w:val="center"/>
          </w:tcPr>
          <w:p w14:paraId="323B3F79" w14:textId="5FA94A39" w:rsidR="00D13592" w:rsidRPr="00781112" w:rsidRDefault="00D13592" w:rsidP="00D13592">
            <w:pPr>
              <w:jc w:val="center"/>
              <w:rPr>
                <w:rFonts w:cs="Arial"/>
                <w:color w:val="000000" w:themeColor="text1"/>
                <w:szCs w:val="16"/>
              </w:rPr>
            </w:pPr>
            <w:r w:rsidRPr="00781112">
              <w:rPr>
                <w:rFonts w:cs="Arial"/>
                <w:color w:val="000000" w:themeColor="text1"/>
                <w:szCs w:val="16"/>
              </w:rPr>
              <w:t>49.00%</w:t>
            </w:r>
          </w:p>
        </w:tc>
        <w:tc>
          <w:tcPr>
            <w:tcW w:w="582" w:type="pct"/>
            <w:vAlign w:val="center"/>
          </w:tcPr>
          <w:p w14:paraId="4A1DD032" w14:textId="1316ECD4" w:rsidR="00D13592" w:rsidRPr="00781112" w:rsidRDefault="00D13592" w:rsidP="00D13592">
            <w:pPr>
              <w:jc w:val="center"/>
              <w:rPr>
                <w:rFonts w:cs="Arial"/>
                <w:color w:val="000000" w:themeColor="text1"/>
                <w:szCs w:val="16"/>
              </w:rPr>
            </w:pPr>
            <w:r w:rsidRPr="00781112">
              <w:rPr>
                <w:rFonts w:cs="Arial"/>
                <w:color w:val="000000" w:themeColor="text1"/>
                <w:szCs w:val="16"/>
              </w:rPr>
              <w:t>51.00%</w:t>
            </w:r>
          </w:p>
        </w:tc>
        <w:tc>
          <w:tcPr>
            <w:tcW w:w="582" w:type="pct"/>
            <w:vAlign w:val="center"/>
          </w:tcPr>
          <w:p w14:paraId="74C8F676" w14:textId="54D72167" w:rsidR="00D13592" w:rsidRPr="00781112" w:rsidRDefault="00D13592" w:rsidP="00D13592">
            <w:pPr>
              <w:jc w:val="center"/>
              <w:rPr>
                <w:rFonts w:cs="Arial"/>
                <w:color w:val="000000" w:themeColor="text1"/>
                <w:szCs w:val="16"/>
              </w:rPr>
            </w:pPr>
            <w:r w:rsidRPr="00781112">
              <w:rPr>
                <w:rFonts w:cs="Arial"/>
                <w:color w:val="000000" w:themeColor="text1"/>
                <w:szCs w:val="16"/>
              </w:rPr>
              <w:t>53.00%</w:t>
            </w:r>
          </w:p>
        </w:tc>
        <w:tc>
          <w:tcPr>
            <w:tcW w:w="585" w:type="pct"/>
            <w:vAlign w:val="center"/>
          </w:tcPr>
          <w:p w14:paraId="1C6A0417" w14:textId="5A5D31CA" w:rsidR="00D13592" w:rsidRPr="00781112" w:rsidRDefault="00D13592" w:rsidP="00D13592">
            <w:pPr>
              <w:jc w:val="center"/>
              <w:rPr>
                <w:rFonts w:cs="Arial"/>
                <w:color w:val="000000" w:themeColor="text1"/>
                <w:szCs w:val="16"/>
              </w:rPr>
            </w:pPr>
            <w:r w:rsidRPr="00781112">
              <w:rPr>
                <w:rFonts w:cs="Arial"/>
                <w:color w:val="000000" w:themeColor="text1"/>
                <w:szCs w:val="16"/>
              </w:rPr>
              <w:t>55.00%</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
      </w:r>
    </w:p>
    <w:p w14:paraId="4A15E54A" w14:textId="77777777" w:rsidR="00B8751C" w:rsidRPr="00781112" w:rsidRDefault="00B8751C">
      <w:pPr>
        <w:rPr>
          <w:b/>
          <w:color w:val="000000" w:themeColor="text1"/>
        </w:rPr>
      </w:pPr>
    </w:p>
    <w:p w14:paraId="01651096" w14:textId="2F7D8824" w:rsidR="000A5A2E" w:rsidRPr="00781112" w:rsidRDefault="00F6415A">
      <w:pPr>
        <w:rPr>
          <w:b/>
          <w:color w:val="000000" w:themeColor="text1"/>
        </w:rPr>
      </w:pPr>
      <w:r w:rsidRPr="00781112">
        <w:rPr>
          <w:b/>
          <w:color w:val="000000" w:themeColor="text1"/>
        </w:rPr>
        <w:t>FFY 2020 Data Disaggregation from EDFacts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03/03/2022</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89</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87</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81</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34</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41</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39</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03/03/2022</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88</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84</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80</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36</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37</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36</w:t>
            </w:r>
          </w:p>
        </w:tc>
      </w:tr>
    </w:tbl>
    <w:p w14:paraId="56C37F05" w14:textId="77777777" w:rsidR="00241BD0" w:rsidRPr="00781112" w:rsidRDefault="00241BD0" w:rsidP="004369B2">
      <w:pPr>
        <w:rPr>
          <w:color w:val="000000" w:themeColor="text1"/>
        </w:rPr>
      </w:pPr>
    </w:p>
    <w:p w14:paraId="0E0A129D" w14:textId="7DDC8951" w:rsidR="00BD7229" w:rsidRPr="00781112" w:rsidRDefault="00F6415A" w:rsidP="004369B2">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476"/>
        <w:gridCol w:w="1207"/>
        <w:gridCol w:w="1274"/>
        <w:gridCol w:w="1400"/>
        <w:gridCol w:w="1168"/>
        <w:gridCol w:w="1627"/>
        <w:gridCol w:w="1076"/>
        <w:gridCol w:w="1298"/>
        <w:gridCol w:w="1264"/>
      </w:tblGrid>
      <w:tr w:rsidR="00C5757B" w:rsidRPr="00781112" w14:paraId="73241F59" w14:textId="77777777" w:rsidTr="00140972">
        <w:trPr>
          <w:tblHeader/>
        </w:trPr>
        <w:tc>
          <w:tcPr>
            <w:tcW w:w="221" w:type="pct"/>
            <w:shd w:val="clear" w:color="auto" w:fill="auto"/>
            <w:vAlign w:val="bottom"/>
          </w:tcPr>
          <w:p w14:paraId="3378C689" w14:textId="77777777" w:rsidR="00C5757B" w:rsidRPr="00781112" w:rsidRDefault="00C5757B" w:rsidP="00C5757B">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C5757B" w:rsidRPr="00781112" w:rsidRDefault="00C5757B" w:rsidP="00C5757B">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C5757B" w:rsidRPr="00781112" w:rsidRDefault="00C5757B" w:rsidP="00C5757B">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9" w:type="pct"/>
            <w:shd w:val="clear" w:color="auto" w:fill="auto"/>
            <w:vAlign w:val="bottom"/>
          </w:tcPr>
          <w:p w14:paraId="36E5B9C7" w14:textId="23CF68D2" w:rsidR="00C5757B" w:rsidRPr="00781112" w:rsidRDefault="00C5757B" w:rsidP="00C5757B">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108CEA21" w:rsidR="00C5757B" w:rsidRPr="00781112" w:rsidRDefault="00C5757B" w:rsidP="00C5757B">
            <w:pPr>
              <w:jc w:val="center"/>
              <w:rPr>
                <w:b/>
                <w:color w:val="000000" w:themeColor="text1"/>
              </w:rPr>
            </w:pPr>
            <w:r w:rsidRPr="00781112">
              <w:rPr>
                <w:b/>
                <w:color w:val="000000" w:themeColor="text1"/>
              </w:rPr>
              <w:t>FFY 2019 Data</w:t>
            </w:r>
          </w:p>
        </w:tc>
        <w:tc>
          <w:tcPr>
            <w:tcW w:w="754" w:type="pct"/>
            <w:shd w:val="clear" w:color="auto" w:fill="auto"/>
            <w:vAlign w:val="bottom"/>
          </w:tcPr>
          <w:p w14:paraId="09D4299D" w14:textId="08FEB7A7" w:rsidR="00C5757B" w:rsidRPr="00781112" w:rsidRDefault="00C5757B" w:rsidP="00C5757B">
            <w:pPr>
              <w:jc w:val="center"/>
              <w:rPr>
                <w:b/>
                <w:color w:val="000000" w:themeColor="text1"/>
              </w:rPr>
            </w:pPr>
            <w:r w:rsidRPr="00781112">
              <w:rPr>
                <w:b/>
                <w:color w:val="000000" w:themeColor="text1"/>
              </w:rPr>
              <w:t>FFY 2020 Target</w:t>
            </w:r>
          </w:p>
        </w:tc>
        <w:tc>
          <w:tcPr>
            <w:tcW w:w="499" w:type="pct"/>
            <w:shd w:val="clear" w:color="auto" w:fill="auto"/>
            <w:vAlign w:val="bottom"/>
          </w:tcPr>
          <w:p w14:paraId="2B4D24C2" w14:textId="2ED835F8" w:rsidR="00C5757B" w:rsidRPr="00781112" w:rsidRDefault="00C5757B" w:rsidP="00C5757B">
            <w:pPr>
              <w:jc w:val="center"/>
              <w:rPr>
                <w:b/>
                <w:color w:val="000000" w:themeColor="text1"/>
              </w:rPr>
            </w:pPr>
            <w:r w:rsidRPr="00781112">
              <w:rPr>
                <w:b/>
                <w:color w:val="000000" w:themeColor="text1"/>
              </w:rPr>
              <w:t>FFY 2020 Data</w:t>
            </w:r>
          </w:p>
        </w:tc>
        <w:tc>
          <w:tcPr>
            <w:tcW w:w="601" w:type="pct"/>
            <w:shd w:val="clear" w:color="auto" w:fill="auto"/>
            <w:vAlign w:val="bottom"/>
          </w:tcPr>
          <w:p w14:paraId="4987ED35" w14:textId="77777777" w:rsidR="00C5757B" w:rsidRPr="00781112" w:rsidRDefault="00C5757B" w:rsidP="00C5757B">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C5757B" w:rsidRPr="00781112" w:rsidRDefault="00C5757B" w:rsidP="00C5757B">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34</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89</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38.20%</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38.20%</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41</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87</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47.13%</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47.13%</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39</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81</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48.15%</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48.15%</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bl>
    <w:p w14:paraId="493A373E" w14:textId="77777777" w:rsidR="00445640" w:rsidRPr="00781112" w:rsidRDefault="00445640" w:rsidP="000C3A20">
      <w:pPr>
        <w:rPr>
          <w:color w:val="000000" w:themeColor="text1"/>
        </w:rPr>
      </w:pPr>
    </w:p>
    <w:p w14:paraId="73E73F7F" w14:textId="379B3CB1" w:rsidR="00BD7229" w:rsidRPr="00781112" w:rsidRDefault="00F6415A" w:rsidP="004369B2">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474"/>
        <w:gridCol w:w="1216"/>
        <w:gridCol w:w="1273"/>
        <w:gridCol w:w="1398"/>
        <w:gridCol w:w="1168"/>
        <w:gridCol w:w="1623"/>
        <w:gridCol w:w="1077"/>
        <w:gridCol w:w="1297"/>
        <w:gridCol w:w="1264"/>
      </w:tblGrid>
      <w:tr w:rsidR="007D755C" w:rsidRPr="00781112" w14:paraId="2361B602" w14:textId="77777777" w:rsidTr="00140972">
        <w:trPr>
          <w:tblHeader/>
        </w:trPr>
        <w:tc>
          <w:tcPr>
            <w:tcW w:w="220" w:type="pct"/>
            <w:shd w:val="clear" w:color="auto" w:fill="auto"/>
            <w:vAlign w:val="bottom"/>
          </w:tcPr>
          <w:p w14:paraId="097BD4DD" w14:textId="77777777" w:rsidR="007D755C" w:rsidRPr="00781112" w:rsidRDefault="007D755C" w:rsidP="007D755C">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7D755C" w:rsidRPr="00781112" w:rsidRDefault="007D755C" w:rsidP="007D755C">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7D755C" w:rsidRPr="00781112" w:rsidRDefault="007D755C" w:rsidP="007D755C">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8" w:type="pct"/>
            <w:shd w:val="clear" w:color="auto" w:fill="auto"/>
            <w:vAlign w:val="bottom"/>
          </w:tcPr>
          <w:p w14:paraId="534757DA" w14:textId="5F85E8DF" w:rsidR="007D755C" w:rsidRPr="00781112" w:rsidRDefault="007D755C" w:rsidP="007D755C">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97424B8" w:rsidR="007D755C" w:rsidRPr="00781112" w:rsidRDefault="007D755C" w:rsidP="007D755C">
            <w:pPr>
              <w:jc w:val="center"/>
              <w:rPr>
                <w:b/>
                <w:color w:val="000000" w:themeColor="text1"/>
              </w:rPr>
            </w:pPr>
            <w:r w:rsidRPr="00781112">
              <w:rPr>
                <w:b/>
                <w:color w:val="000000" w:themeColor="text1"/>
              </w:rPr>
              <w:t>FFY 2019 Data</w:t>
            </w:r>
          </w:p>
        </w:tc>
        <w:tc>
          <w:tcPr>
            <w:tcW w:w="752" w:type="pct"/>
            <w:shd w:val="clear" w:color="auto" w:fill="auto"/>
            <w:vAlign w:val="bottom"/>
          </w:tcPr>
          <w:p w14:paraId="37651EF9" w14:textId="57B19F8D" w:rsidR="007D755C" w:rsidRPr="00781112" w:rsidRDefault="007D755C" w:rsidP="007D755C">
            <w:pPr>
              <w:jc w:val="center"/>
              <w:rPr>
                <w:b/>
                <w:color w:val="000000" w:themeColor="text1"/>
              </w:rPr>
            </w:pPr>
            <w:r w:rsidRPr="00781112">
              <w:rPr>
                <w:b/>
                <w:color w:val="000000" w:themeColor="text1"/>
              </w:rPr>
              <w:t>FFY 2020 Target</w:t>
            </w:r>
          </w:p>
        </w:tc>
        <w:tc>
          <w:tcPr>
            <w:tcW w:w="499" w:type="pct"/>
            <w:shd w:val="clear" w:color="auto" w:fill="auto"/>
            <w:vAlign w:val="bottom"/>
          </w:tcPr>
          <w:p w14:paraId="3D61FBEB" w14:textId="5442D5F6" w:rsidR="007D755C" w:rsidRPr="00781112" w:rsidRDefault="007D755C" w:rsidP="007D755C">
            <w:pPr>
              <w:jc w:val="center"/>
              <w:rPr>
                <w:b/>
                <w:color w:val="000000" w:themeColor="text1"/>
              </w:rPr>
            </w:pPr>
            <w:r w:rsidRPr="00781112">
              <w:rPr>
                <w:b/>
                <w:color w:val="000000" w:themeColor="text1"/>
              </w:rPr>
              <w:t>FFY 2020 Data</w:t>
            </w:r>
          </w:p>
        </w:tc>
        <w:tc>
          <w:tcPr>
            <w:tcW w:w="601" w:type="pct"/>
            <w:shd w:val="clear" w:color="auto" w:fill="auto"/>
            <w:vAlign w:val="bottom"/>
          </w:tcPr>
          <w:p w14:paraId="730A2874" w14:textId="77777777" w:rsidR="007D755C" w:rsidRPr="00781112" w:rsidRDefault="007D755C" w:rsidP="007D755C">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7D755C" w:rsidRPr="00781112" w:rsidRDefault="007D755C" w:rsidP="007D755C">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36</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88</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40.91%</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40.91%</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37</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84</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44.05%</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44.05%</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36</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80</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45.00%</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45.00%</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https://www.maine.gov/doe/Testing_Accountability/MECAS/results</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
      </w: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The State did not provide data for this indicator. OESE gave the State the opportunity to submit data during the official EdFacts resubmission period for assessment data. The State's submitted data will be prefilled in the SPP/APR reporting platform when Part B Clarification period opens on April 14. OSEP will conduct its review of the State’s submitted data after the Clarification period closes.</w:t>
      </w:r>
    </w:p>
    <w:p w14:paraId="0774F476" w14:textId="1E34BC77" w:rsidR="00796DC0" w:rsidRPr="00781112" w:rsidRDefault="00573F6C" w:rsidP="008645AD">
      <w:pPr>
        <w:pStyle w:val="Heading2"/>
      </w:pPr>
      <w:r w:rsidRPr="00781112">
        <w:lastRenderedPageBreak/>
        <w:t>3C - Required Actions</w:t>
      </w:r>
    </w:p>
    <w:p w14:paraId="5E46A453" w14:textId="5260AC47"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
      </w: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EDFacts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77777777"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2020-2021 school year) subtracted from the (proficiency rate for all students scoring at or above proficient against grade level academic achievement standards for the 2020-2021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6D783CD1" w14:textId="77777777"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2020-2021 school year compared to the proficiency rate for all students who were proficient against grade level academic achievement standards for the 2020-2021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32.35</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28.35</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23.88</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32.07</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36.88</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33.33</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5"/>
        <w:gridCol w:w="721"/>
        <w:gridCol w:w="1170"/>
        <w:gridCol w:w="1334"/>
        <w:gridCol w:w="1334"/>
        <w:gridCol w:w="1334"/>
        <w:gridCol w:w="1334"/>
        <w:gridCol w:w="1334"/>
        <w:gridCol w:w="1334"/>
      </w:tblGrid>
      <w:tr w:rsidR="00DD5B7A" w:rsidRPr="00781112" w14:paraId="32AE1F59" w14:textId="77777777" w:rsidTr="00E95FBF">
        <w:tc>
          <w:tcPr>
            <w:tcW w:w="415" w:type="pct"/>
            <w:tcBorders>
              <w:bottom w:val="single" w:sz="4" w:space="0" w:color="auto"/>
            </w:tcBorders>
            <w:shd w:val="clear" w:color="auto" w:fill="auto"/>
            <w:vAlign w:val="center"/>
          </w:tcPr>
          <w:p w14:paraId="6A9E2F19" w14:textId="77777777" w:rsidR="00DD5B7A" w:rsidRPr="00781112" w:rsidRDefault="00DD5B7A" w:rsidP="00827FF4">
            <w:pPr>
              <w:jc w:val="center"/>
              <w:rPr>
                <w:b/>
                <w:color w:val="000000" w:themeColor="text1"/>
              </w:rPr>
            </w:pPr>
            <w:r w:rsidRPr="00781112">
              <w:rPr>
                <w:b/>
                <w:color w:val="000000" w:themeColor="text1"/>
              </w:rPr>
              <w:t>Subject</w:t>
            </w:r>
          </w:p>
        </w:tc>
        <w:tc>
          <w:tcPr>
            <w:tcW w:w="334" w:type="pct"/>
            <w:tcBorders>
              <w:bottom w:val="single" w:sz="4" w:space="0" w:color="auto"/>
            </w:tcBorders>
            <w:shd w:val="clear" w:color="auto" w:fill="auto"/>
            <w:vAlign w:val="center"/>
          </w:tcPr>
          <w:p w14:paraId="5181D1E9" w14:textId="77777777" w:rsidR="00DD5B7A" w:rsidRPr="00781112" w:rsidRDefault="00DD5B7A" w:rsidP="00827FF4">
            <w:pPr>
              <w:jc w:val="center"/>
              <w:rPr>
                <w:b/>
                <w:color w:val="000000" w:themeColor="text1"/>
              </w:rPr>
            </w:pPr>
            <w:r w:rsidRPr="00781112">
              <w:rPr>
                <w:b/>
                <w:color w:val="000000" w:themeColor="text1"/>
              </w:rPr>
              <w:t>Group</w:t>
            </w:r>
          </w:p>
        </w:tc>
        <w:tc>
          <w:tcPr>
            <w:tcW w:w="542" w:type="pct"/>
            <w:shd w:val="clear" w:color="auto" w:fill="auto"/>
            <w:vAlign w:val="center"/>
          </w:tcPr>
          <w:p w14:paraId="7C5EACD6" w14:textId="77777777" w:rsidR="00DD5B7A" w:rsidRPr="00781112" w:rsidDel="008E7B87" w:rsidRDefault="00DD5B7A" w:rsidP="00827FF4">
            <w:pPr>
              <w:jc w:val="center"/>
              <w:rPr>
                <w:b/>
                <w:color w:val="000000" w:themeColor="text1"/>
              </w:rPr>
            </w:pPr>
            <w:r w:rsidRPr="00781112">
              <w:rPr>
                <w:b/>
                <w:color w:val="000000" w:themeColor="text1"/>
              </w:rPr>
              <w:t>Group Name</w:t>
            </w:r>
          </w:p>
        </w:tc>
        <w:tc>
          <w:tcPr>
            <w:tcW w:w="618" w:type="pct"/>
            <w:shd w:val="clear" w:color="auto" w:fill="auto"/>
            <w:vAlign w:val="center"/>
          </w:tcPr>
          <w:p w14:paraId="57197BBC" w14:textId="77777777" w:rsidR="00DD5B7A" w:rsidRPr="00781112" w:rsidRDefault="00DD5B7A" w:rsidP="00827FF4">
            <w:pPr>
              <w:jc w:val="center"/>
              <w:rPr>
                <w:b/>
                <w:color w:val="000000" w:themeColor="text1"/>
              </w:rPr>
            </w:pPr>
            <w:r w:rsidRPr="00781112">
              <w:rPr>
                <w:b/>
                <w:color w:val="000000" w:themeColor="text1"/>
              </w:rPr>
              <w:t>2020</w:t>
            </w:r>
          </w:p>
        </w:tc>
        <w:tc>
          <w:tcPr>
            <w:tcW w:w="618" w:type="pct"/>
            <w:vAlign w:val="center"/>
          </w:tcPr>
          <w:p w14:paraId="07ACCE04" w14:textId="77777777" w:rsidR="00DD5B7A" w:rsidRPr="00781112" w:rsidRDefault="00DD5B7A" w:rsidP="00827FF4">
            <w:pPr>
              <w:jc w:val="center"/>
              <w:rPr>
                <w:b/>
                <w:color w:val="000000" w:themeColor="text1"/>
              </w:rPr>
            </w:pPr>
            <w:r w:rsidRPr="00781112">
              <w:rPr>
                <w:rFonts w:cs="Arial"/>
                <w:b/>
                <w:color w:val="000000" w:themeColor="text1"/>
                <w:szCs w:val="16"/>
              </w:rPr>
              <w:t>2021</w:t>
            </w:r>
          </w:p>
        </w:tc>
        <w:tc>
          <w:tcPr>
            <w:tcW w:w="618" w:type="pct"/>
            <w:vAlign w:val="center"/>
          </w:tcPr>
          <w:p w14:paraId="0B682674" w14:textId="77777777" w:rsidR="00DD5B7A" w:rsidRPr="00781112" w:rsidRDefault="00DD5B7A" w:rsidP="00827FF4">
            <w:pPr>
              <w:jc w:val="center"/>
              <w:rPr>
                <w:b/>
                <w:color w:val="000000" w:themeColor="text1"/>
              </w:rPr>
            </w:pPr>
            <w:r w:rsidRPr="00781112">
              <w:rPr>
                <w:rFonts w:cs="Arial"/>
                <w:b/>
                <w:color w:val="000000" w:themeColor="text1"/>
                <w:szCs w:val="16"/>
              </w:rPr>
              <w:t>2022</w:t>
            </w:r>
          </w:p>
        </w:tc>
        <w:tc>
          <w:tcPr>
            <w:tcW w:w="618" w:type="pct"/>
            <w:vAlign w:val="center"/>
          </w:tcPr>
          <w:p w14:paraId="3597F00E" w14:textId="77777777" w:rsidR="00DD5B7A" w:rsidRPr="00781112" w:rsidRDefault="00DD5B7A" w:rsidP="00827FF4">
            <w:pPr>
              <w:jc w:val="center"/>
              <w:rPr>
                <w:b/>
                <w:color w:val="000000" w:themeColor="text1"/>
              </w:rPr>
            </w:pPr>
            <w:r w:rsidRPr="00781112">
              <w:rPr>
                <w:rFonts w:cs="Arial"/>
                <w:b/>
                <w:color w:val="000000" w:themeColor="text1"/>
                <w:szCs w:val="16"/>
              </w:rPr>
              <w:t>2023</w:t>
            </w:r>
          </w:p>
        </w:tc>
        <w:tc>
          <w:tcPr>
            <w:tcW w:w="618" w:type="pct"/>
            <w:vAlign w:val="center"/>
          </w:tcPr>
          <w:p w14:paraId="20E1209B" w14:textId="77777777" w:rsidR="00DD5B7A" w:rsidRPr="00781112" w:rsidRDefault="00DD5B7A" w:rsidP="00827FF4">
            <w:pPr>
              <w:jc w:val="center"/>
              <w:rPr>
                <w:b/>
                <w:color w:val="000000" w:themeColor="text1"/>
              </w:rPr>
            </w:pPr>
            <w:r w:rsidRPr="00781112">
              <w:rPr>
                <w:rFonts w:cs="Arial"/>
                <w:b/>
                <w:color w:val="000000" w:themeColor="text1"/>
                <w:szCs w:val="16"/>
              </w:rPr>
              <w:t>2024</w:t>
            </w:r>
          </w:p>
        </w:tc>
        <w:tc>
          <w:tcPr>
            <w:tcW w:w="618" w:type="pct"/>
            <w:vAlign w:val="center"/>
          </w:tcPr>
          <w:p w14:paraId="77AC93C7" w14:textId="77777777" w:rsidR="00DD5B7A" w:rsidRPr="00781112" w:rsidRDefault="00DD5B7A" w:rsidP="00827FF4">
            <w:pPr>
              <w:jc w:val="center"/>
              <w:rPr>
                <w:b/>
                <w:color w:val="000000" w:themeColor="text1"/>
              </w:rPr>
            </w:pPr>
            <w:r w:rsidRPr="00781112">
              <w:rPr>
                <w:rFonts w:cs="Arial"/>
                <w:b/>
                <w:color w:val="000000" w:themeColor="text1"/>
                <w:szCs w:val="16"/>
              </w:rPr>
              <w:t>2025</w:t>
            </w:r>
          </w:p>
        </w:tc>
      </w:tr>
      <w:tr w:rsidR="00DD5B7A" w:rsidRPr="00781112" w14:paraId="506F660C" w14:textId="77777777" w:rsidTr="00E95FBF">
        <w:tc>
          <w:tcPr>
            <w:tcW w:w="415" w:type="pct"/>
            <w:shd w:val="clear" w:color="auto" w:fill="auto"/>
            <w:vAlign w:val="center"/>
          </w:tcPr>
          <w:p w14:paraId="5CF55C17"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4BDAD87D"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 &lt;=</w:t>
            </w:r>
          </w:p>
        </w:tc>
        <w:tc>
          <w:tcPr>
            <w:tcW w:w="542" w:type="pct"/>
            <w:shd w:val="clear" w:color="auto" w:fill="auto"/>
            <w:vAlign w:val="center"/>
          </w:tcPr>
          <w:p w14:paraId="25B01019" w14:textId="68614C3D"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6E665D01" w14:textId="380A2C73" w:rsidR="00DD5B7A" w:rsidRPr="00781112" w:rsidRDefault="00DD5B7A" w:rsidP="00827FF4">
            <w:pPr>
              <w:jc w:val="center"/>
              <w:rPr>
                <w:rFonts w:cs="Arial"/>
                <w:color w:val="000000" w:themeColor="text1"/>
                <w:szCs w:val="16"/>
              </w:rPr>
            </w:pPr>
            <w:r w:rsidRPr="00781112">
              <w:rPr>
                <w:rFonts w:cs="Arial"/>
                <w:color w:val="000000" w:themeColor="text1"/>
                <w:szCs w:val="16"/>
              </w:rPr>
              <w:t>32.35</w:t>
            </w:r>
          </w:p>
        </w:tc>
        <w:tc>
          <w:tcPr>
            <w:tcW w:w="618" w:type="pct"/>
            <w:vAlign w:val="center"/>
          </w:tcPr>
          <w:p w14:paraId="680AEBF8" w14:textId="435AE40D" w:rsidR="00DD5B7A" w:rsidRPr="00781112" w:rsidRDefault="00DD5B7A" w:rsidP="00827FF4">
            <w:pPr>
              <w:jc w:val="center"/>
              <w:rPr>
                <w:rFonts w:cs="Arial"/>
                <w:color w:val="000000" w:themeColor="text1"/>
                <w:szCs w:val="16"/>
              </w:rPr>
            </w:pPr>
            <w:r w:rsidRPr="00781112">
              <w:rPr>
                <w:rFonts w:cs="Arial"/>
                <w:color w:val="000000" w:themeColor="text1"/>
                <w:szCs w:val="16"/>
              </w:rPr>
              <w:t>31.35</w:t>
            </w:r>
            <w:r w:rsidRPr="00781112">
              <w:t xml:space="preserve"> </w:t>
            </w:r>
          </w:p>
        </w:tc>
        <w:tc>
          <w:tcPr>
            <w:tcW w:w="618" w:type="pct"/>
            <w:vAlign w:val="center"/>
          </w:tcPr>
          <w:p w14:paraId="060B65A2" w14:textId="3C5E7042" w:rsidR="00DD5B7A" w:rsidRPr="00781112" w:rsidRDefault="00DD5B7A" w:rsidP="00827FF4">
            <w:pPr>
              <w:jc w:val="center"/>
              <w:rPr>
                <w:rFonts w:cs="Arial"/>
                <w:color w:val="000000" w:themeColor="text1"/>
                <w:szCs w:val="16"/>
              </w:rPr>
            </w:pPr>
            <w:r w:rsidRPr="00781112">
              <w:rPr>
                <w:rFonts w:cs="Arial"/>
                <w:color w:val="000000" w:themeColor="text1"/>
                <w:szCs w:val="16"/>
              </w:rPr>
              <w:t>30.35</w:t>
            </w:r>
          </w:p>
        </w:tc>
        <w:tc>
          <w:tcPr>
            <w:tcW w:w="618" w:type="pct"/>
            <w:vAlign w:val="center"/>
          </w:tcPr>
          <w:p w14:paraId="7E46B7D6" w14:textId="00FC807B" w:rsidR="00DD5B7A" w:rsidRPr="00781112" w:rsidRDefault="00DD5B7A" w:rsidP="00827FF4">
            <w:pPr>
              <w:jc w:val="center"/>
              <w:rPr>
                <w:rFonts w:cs="Arial"/>
                <w:color w:val="000000" w:themeColor="text1"/>
                <w:szCs w:val="16"/>
              </w:rPr>
            </w:pPr>
            <w:r w:rsidRPr="00781112">
              <w:rPr>
                <w:rFonts w:cs="Arial"/>
                <w:color w:val="000000" w:themeColor="text1"/>
                <w:szCs w:val="16"/>
              </w:rPr>
              <w:t>29.35</w:t>
            </w:r>
          </w:p>
        </w:tc>
        <w:tc>
          <w:tcPr>
            <w:tcW w:w="618" w:type="pct"/>
            <w:vAlign w:val="center"/>
          </w:tcPr>
          <w:p w14:paraId="7A079196" w14:textId="4665429A" w:rsidR="00DD5B7A" w:rsidRPr="00781112" w:rsidRDefault="00DD5B7A" w:rsidP="00827FF4">
            <w:pPr>
              <w:jc w:val="center"/>
              <w:rPr>
                <w:rFonts w:cs="Arial"/>
                <w:color w:val="000000" w:themeColor="text1"/>
                <w:szCs w:val="16"/>
              </w:rPr>
            </w:pPr>
            <w:r w:rsidRPr="00781112">
              <w:rPr>
                <w:rFonts w:cs="Arial"/>
                <w:color w:val="000000" w:themeColor="text1"/>
                <w:szCs w:val="16"/>
              </w:rPr>
              <w:t>28.35</w:t>
            </w:r>
          </w:p>
        </w:tc>
        <w:tc>
          <w:tcPr>
            <w:tcW w:w="618" w:type="pct"/>
            <w:vAlign w:val="center"/>
          </w:tcPr>
          <w:p w14:paraId="0F6929A5" w14:textId="0FD4F063" w:rsidR="00DD5B7A" w:rsidRPr="00781112" w:rsidRDefault="00DD5B7A" w:rsidP="00827FF4">
            <w:pPr>
              <w:jc w:val="center"/>
              <w:rPr>
                <w:rFonts w:cs="Arial"/>
                <w:color w:val="000000" w:themeColor="text1"/>
                <w:szCs w:val="16"/>
              </w:rPr>
            </w:pPr>
            <w:r w:rsidRPr="00781112">
              <w:rPr>
                <w:rFonts w:cs="Arial"/>
                <w:color w:val="000000" w:themeColor="text1"/>
                <w:szCs w:val="16"/>
              </w:rPr>
              <w:t>27.35</w:t>
            </w:r>
          </w:p>
        </w:tc>
      </w:tr>
      <w:tr w:rsidR="00DD5B7A" w:rsidRPr="00781112" w14:paraId="109FA148" w14:textId="77777777" w:rsidTr="00E95FBF">
        <w:tc>
          <w:tcPr>
            <w:tcW w:w="415" w:type="pct"/>
            <w:shd w:val="clear" w:color="auto" w:fill="auto"/>
            <w:vAlign w:val="center"/>
          </w:tcPr>
          <w:p w14:paraId="5CAAC2A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1DFAA13E"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 &lt;=</w:t>
            </w:r>
          </w:p>
        </w:tc>
        <w:tc>
          <w:tcPr>
            <w:tcW w:w="542" w:type="pct"/>
            <w:shd w:val="clear" w:color="auto" w:fill="auto"/>
            <w:vAlign w:val="center"/>
          </w:tcPr>
          <w:p w14:paraId="330884D1" w14:textId="3ED7AA15"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68DC0FBA" w14:textId="3776550F" w:rsidR="00DD5B7A" w:rsidRPr="00781112" w:rsidRDefault="00DD5B7A" w:rsidP="00827FF4">
            <w:pPr>
              <w:jc w:val="center"/>
              <w:rPr>
                <w:rFonts w:cs="Arial"/>
                <w:color w:val="000000" w:themeColor="text1"/>
                <w:szCs w:val="16"/>
              </w:rPr>
            </w:pPr>
            <w:r w:rsidRPr="00781112">
              <w:rPr>
                <w:rFonts w:cs="Arial"/>
                <w:color w:val="000000" w:themeColor="text1"/>
                <w:szCs w:val="16"/>
              </w:rPr>
              <w:t>28.35</w:t>
            </w:r>
          </w:p>
        </w:tc>
        <w:tc>
          <w:tcPr>
            <w:tcW w:w="618" w:type="pct"/>
            <w:vAlign w:val="center"/>
          </w:tcPr>
          <w:p w14:paraId="5D544F8D" w14:textId="7D5BE3EF" w:rsidR="00DD5B7A" w:rsidRPr="00781112" w:rsidRDefault="00DD5B7A" w:rsidP="00827FF4">
            <w:pPr>
              <w:jc w:val="center"/>
              <w:rPr>
                <w:rFonts w:cs="Arial"/>
                <w:color w:val="000000" w:themeColor="text1"/>
                <w:szCs w:val="16"/>
              </w:rPr>
            </w:pPr>
            <w:r w:rsidRPr="00781112">
              <w:rPr>
                <w:rFonts w:cs="Arial"/>
                <w:color w:val="000000" w:themeColor="text1"/>
                <w:szCs w:val="16"/>
              </w:rPr>
              <w:t>27.35</w:t>
            </w:r>
          </w:p>
        </w:tc>
        <w:tc>
          <w:tcPr>
            <w:tcW w:w="618" w:type="pct"/>
            <w:vAlign w:val="center"/>
          </w:tcPr>
          <w:p w14:paraId="067CAD2B" w14:textId="5DA2AE3C" w:rsidR="00DD5B7A" w:rsidRPr="00781112" w:rsidRDefault="00DD5B7A" w:rsidP="00827FF4">
            <w:pPr>
              <w:jc w:val="center"/>
              <w:rPr>
                <w:rFonts w:cs="Arial"/>
                <w:color w:val="000000" w:themeColor="text1"/>
                <w:szCs w:val="16"/>
              </w:rPr>
            </w:pPr>
            <w:r w:rsidRPr="00781112">
              <w:rPr>
                <w:rFonts w:cs="Arial"/>
                <w:color w:val="000000" w:themeColor="text1"/>
                <w:szCs w:val="16"/>
              </w:rPr>
              <w:t>26.35</w:t>
            </w:r>
          </w:p>
        </w:tc>
        <w:tc>
          <w:tcPr>
            <w:tcW w:w="618" w:type="pct"/>
            <w:vAlign w:val="center"/>
          </w:tcPr>
          <w:p w14:paraId="780BEF08" w14:textId="2245CB58" w:rsidR="00DD5B7A" w:rsidRPr="00781112" w:rsidRDefault="00DD5B7A" w:rsidP="00827FF4">
            <w:pPr>
              <w:jc w:val="center"/>
              <w:rPr>
                <w:rFonts w:cs="Arial"/>
                <w:color w:val="000000" w:themeColor="text1"/>
                <w:szCs w:val="16"/>
              </w:rPr>
            </w:pPr>
            <w:r w:rsidRPr="00781112">
              <w:rPr>
                <w:rFonts w:cs="Arial"/>
                <w:color w:val="000000" w:themeColor="text1"/>
                <w:szCs w:val="16"/>
              </w:rPr>
              <w:t>25.35</w:t>
            </w:r>
          </w:p>
        </w:tc>
        <w:tc>
          <w:tcPr>
            <w:tcW w:w="618" w:type="pct"/>
            <w:vAlign w:val="center"/>
          </w:tcPr>
          <w:p w14:paraId="7CDE10BF" w14:textId="33273B74" w:rsidR="00DD5B7A" w:rsidRPr="00781112" w:rsidRDefault="00DD5B7A" w:rsidP="00827FF4">
            <w:pPr>
              <w:jc w:val="center"/>
              <w:rPr>
                <w:rFonts w:cs="Arial"/>
                <w:color w:val="000000" w:themeColor="text1"/>
                <w:szCs w:val="16"/>
              </w:rPr>
            </w:pPr>
            <w:r w:rsidRPr="00781112">
              <w:rPr>
                <w:rFonts w:cs="Arial"/>
                <w:color w:val="000000" w:themeColor="text1"/>
                <w:szCs w:val="16"/>
              </w:rPr>
              <w:t>24.35</w:t>
            </w:r>
          </w:p>
        </w:tc>
        <w:tc>
          <w:tcPr>
            <w:tcW w:w="618" w:type="pct"/>
            <w:vAlign w:val="center"/>
          </w:tcPr>
          <w:p w14:paraId="6E355F8D" w14:textId="15BCA2D6" w:rsidR="00DD5B7A" w:rsidRPr="00781112" w:rsidRDefault="00DD5B7A" w:rsidP="00827FF4">
            <w:pPr>
              <w:jc w:val="center"/>
              <w:rPr>
                <w:rFonts w:cs="Arial"/>
                <w:color w:val="000000" w:themeColor="text1"/>
                <w:szCs w:val="16"/>
              </w:rPr>
            </w:pPr>
            <w:r w:rsidRPr="00781112">
              <w:rPr>
                <w:rFonts w:cs="Arial"/>
                <w:color w:val="000000" w:themeColor="text1"/>
                <w:szCs w:val="16"/>
              </w:rPr>
              <w:t>23.35</w:t>
            </w:r>
          </w:p>
        </w:tc>
      </w:tr>
      <w:tr w:rsidR="00DD5B7A" w:rsidRPr="00781112" w14:paraId="736D24EA" w14:textId="77777777" w:rsidTr="00E95FBF">
        <w:tc>
          <w:tcPr>
            <w:tcW w:w="415" w:type="pct"/>
            <w:shd w:val="clear" w:color="auto" w:fill="auto"/>
            <w:vAlign w:val="center"/>
          </w:tcPr>
          <w:p w14:paraId="56FB00C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76599FEA"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 &lt;=</w:t>
            </w:r>
          </w:p>
        </w:tc>
        <w:tc>
          <w:tcPr>
            <w:tcW w:w="542" w:type="pct"/>
            <w:shd w:val="clear" w:color="auto" w:fill="auto"/>
            <w:vAlign w:val="center"/>
          </w:tcPr>
          <w:p w14:paraId="6758DB1A" w14:textId="51D63552"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56DA6177" w14:textId="20AF4748" w:rsidR="00DD5B7A" w:rsidRPr="00781112" w:rsidRDefault="00DD5B7A" w:rsidP="00827FF4">
            <w:pPr>
              <w:jc w:val="center"/>
              <w:rPr>
                <w:rFonts w:cs="Arial"/>
                <w:color w:val="000000" w:themeColor="text1"/>
                <w:szCs w:val="16"/>
              </w:rPr>
            </w:pPr>
            <w:r w:rsidRPr="00781112">
              <w:rPr>
                <w:rFonts w:cs="Arial"/>
                <w:color w:val="000000" w:themeColor="text1"/>
                <w:szCs w:val="16"/>
              </w:rPr>
              <w:t>23.88</w:t>
            </w:r>
          </w:p>
        </w:tc>
        <w:tc>
          <w:tcPr>
            <w:tcW w:w="618" w:type="pct"/>
            <w:vAlign w:val="center"/>
          </w:tcPr>
          <w:p w14:paraId="12D9F716" w14:textId="7A56543C" w:rsidR="00DD5B7A" w:rsidRPr="00781112" w:rsidRDefault="00DD5B7A" w:rsidP="00827FF4">
            <w:pPr>
              <w:jc w:val="center"/>
              <w:rPr>
                <w:rFonts w:cs="Arial"/>
                <w:color w:val="000000" w:themeColor="text1"/>
                <w:szCs w:val="16"/>
              </w:rPr>
            </w:pPr>
            <w:r w:rsidRPr="00781112">
              <w:rPr>
                <w:rFonts w:cs="Arial"/>
                <w:color w:val="000000" w:themeColor="text1"/>
                <w:szCs w:val="16"/>
              </w:rPr>
              <w:t>22.88</w:t>
            </w:r>
          </w:p>
        </w:tc>
        <w:tc>
          <w:tcPr>
            <w:tcW w:w="618" w:type="pct"/>
            <w:vAlign w:val="center"/>
          </w:tcPr>
          <w:p w14:paraId="4EE8CD33" w14:textId="2A4DD9F9" w:rsidR="00DD5B7A" w:rsidRPr="00781112" w:rsidRDefault="00DD5B7A" w:rsidP="00827FF4">
            <w:pPr>
              <w:jc w:val="center"/>
              <w:rPr>
                <w:rFonts w:cs="Arial"/>
                <w:color w:val="000000" w:themeColor="text1"/>
                <w:szCs w:val="16"/>
              </w:rPr>
            </w:pPr>
            <w:r w:rsidRPr="00781112">
              <w:rPr>
                <w:rFonts w:cs="Arial"/>
                <w:color w:val="000000" w:themeColor="text1"/>
                <w:szCs w:val="16"/>
              </w:rPr>
              <w:t>21.88</w:t>
            </w:r>
          </w:p>
        </w:tc>
        <w:tc>
          <w:tcPr>
            <w:tcW w:w="618" w:type="pct"/>
            <w:vAlign w:val="center"/>
          </w:tcPr>
          <w:p w14:paraId="5414FEEF" w14:textId="05CDB931" w:rsidR="00DD5B7A" w:rsidRPr="00781112" w:rsidRDefault="00DD5B7A" w:rsidP="00827FF4">
            <w:pPr>
              <w:jc w:val="center"/>
              <w:rPr>
                <w:rFonts w:cs="Arial"/>
                <w:color w:val="000000" w:themeColor="text1"/>
                <w:szCs w:val="16"/>
              </w:rPr>
            </w:pPr>
            <w:r w:rsidRPr="00781112">
              <w:rPr>
                <w:rFonts w:cs="Arial"/>
                <w:color w:val="000000" w:themeColor="text1"/>
                <w:szCs w:val="16"/>
              </w:rPr>
              <w:t>20.88</w:t>
            </w:r>
          </w:p>
        </w:tc>
        <w:tc>
          <w:tcPr>
            <w:tcW w:w="618" w:type="pct"/>
            <w:vAlign w:val="center"/>
          </w:tcPr>
          <w:p w14:paraId="4484F5C2" w14:textId="609E66AA" w:rsidR="00DD5B7A" w:rsidRPr="00781112" w:rsidRDefault="00DD5B7A" w:rsidP="00827FF4">
            <w:pPr>
              <w:jc w:val="center"/>
              <w:rPr>
                <w:rFonts w:cs="Arial"/>
                <w:color w:val="000000" w:themeColor="text1"/>
                <w:szCs w:val="16"/>
              </w:rPr>
            </w:pPr>
            <w:r w:rsidRPr="00781112">
              <w:rPr>
                <w:rFonts w:cs="Arial"/>
                <w:color w:val="000000" w:themeColor="text1"/>
                <w:szCs w:val="16"/>
              </w:rPr>
              <w:t>19.88</w:t>
            </w:r>
          </w:p>
        </w:tc>
        <w:tc>
          <w:tcPr>
            <w:tcW w:w="618" w:type="pct"/>
            <w:vAlign w:val="center"/>
          </w:tcPr>
          <w:p w14:paraId="3BD4F2A3" w14:textId="11A34A06" w:rsidR="00DD5B7A" w:rsidRPr="00781112" w:rsidRDefault="00DD5B7A" w:rsidP="00827FF4">
            <w:pPr>
              <w:jc w:val="center"/>
              <w:rPr>
                <w:rFonts w:cs="Arial"/>
                <w:color w:val="000000" w:themeColor="text1"/>
                <w:szCs w:val="16"/>
              </w:rPr>
            </w:pPr>
            <w:r w:rsidRPr="00781112">
              <w:rPr>
                <w:rFonts w:cs="Arial"/>
                <w:color w:val="000000" w:themeColor="text1"/>
                <w:szCs w:val="16"/>
              </w:rPr>
              <w:t>18.88</w:t>
            </w:r>
          </w:p>
        </w:tc>
      </w:tr>
      <w:tr w:rsidR="00DD5B7A" w:rsidRPr="00781112" w14:paraId="311AB0DD" w14:textId="77777777" w:rsidTr="00E95FBF">
        <w:tc>
          <w:tcPr>
            <w:tcW w:w="415" w:type="pct"/>
            <w:shd w:val="clear" w:color="auto" w:fill="auto"/>
            <w:vAlign w:val="center"/>
          </w:tcPr>
          <w:p w14:paraId="3D2E0CB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2AAA6495"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 &lt;=</w:t>
            </w:r>
          </w:p>
        </w:tc>
        <w:tc>
          <w:tcPr>
            <w:tcW w:w="542" w:type="pct"/>
            <w:shd w:val="clear" w:color="auto" w:fill="auto"/>
            <w:vAlign w:val="center"/>
          </w:tcPr>
          <w:p w14:paraId="65E16006" w14:textId="0FBAD82F"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122DB35A" w14:textId="50E48575" w:rsidR="00DD5B7A" w:rsidRPr="00781112" w:rsidRDefault="00DD5B7A" w:rsidP="00827FF4">
            <w:pPr>
              <w:jc w:val="center"/>
              <w:rPr>
                <w:rFonts w:cs="Arial"/>
                <w:color w:val="000000" w:themeColor="text1"/>
                <w:szCs w:val="16"/>
              </w:rPr>
            </w:pPr>
            <w:r w:rsidRPr="00781112">
              <w:rPr>
                <w:rFonts w:cs="Arial"/>
                <w:color w:val="000000" w:themeColor="text1"/>
                <w:szCs w:val="16"/>
              </w:rPr>
              <w:t>32.07</w:t>
            </w:r>
          </w:p>
        </w:tc>
        <w:tc>
          <w:tcPr>
            <w:tcW w:w="618" w:type="pct"/>
            <w:vAlign w:val="center"/>
          </w:tcPr>
          <w:p w14:paraId="7E46501E" w14:textId="6CB1A41D" w:rsidR="00DD5B7A" w:rsidRPr="00781112" w:rsidRDefault="00DD5B7A" w:rsidP="00827FF4">
            <w:pPr>
              <w:jc w:val="center"/>
              <w:rPr>
                <w:rFonts w:cs="Arial"/>
                <w:color w:val="000000" w:themeColor="text1"/>
                <w:szCs w:val="16"/>
              </w:rPr>
            </w:pPr>
            <w:r w:rsidRPr="00781112">
              <w:rPr>
                <w:rFonts w:cs="Arial"/>
                <w:color w:val="000000" w:themeColor="text1"/>
                <w:szCs w:val="16"/>
              </w:rPr>
              <w:t>31.07</w:t>
            </w:r>
          </w:p>
        </w:tc>
        <w:tc>
          <w:tcPr>
            <w:tcW w:w="618" w:type="pct"/>
            <w:vAlign w:val="center"/>
          </w:tcPr>
          <w:p w14:paraId="6A7C9997" w14:textId="58A4736A" w:rsidR="00DD5B7A" w:rsidRPr="00781112" w:rsidRDefault="00DD5B7A" w:rsidP="00827FF4">
            <w:pPr>
              <w:jc w:val="center"/>
              <w:rPr>
                <w:rFonts w:cs="Arial"/>
                <w:color w:val="000000" w:themeColor="text1"/>
                <w:szCs w:val="16"/>
              </w:rPr>
            </w:pPr>
            <w:r w:rsidRPr="00781112">
              <w:rPr>
                <w:rFonts w:cs="Arial"/>
                <w:color w:val="000000" w:themeColor="text1"/>
                <w:szCs w:val="16"/>
              </w:rPr>
              <w:t>30.07</w:t>
            </w:r>
          </w:p>
        </w:tc>
        <w:tc>
          <w:tcPr>
            <w:tcW w:w="618" w:type="pct"/>
            <w:vAlign w:val="center"/>
          </w:tcPr>
          <w:p w14:paraId="491D1816" w14:textId="09E4A313" w:rsidR="00DD5B7A" w:rsidRPr="00781112" w:rsidRDefault="00DD5B7A" w:rsidP="00827FF4">
            <w:pPr>
              <w:jc w:val="center"/>
              <w:rPr>
                <w:rFonts w:cs="Arial"/>
                <w:color w:val="000000" w:themeColor="text1"/>
                <w:szCs w:val="16"/>
              </w:rPr>
            </w:pPr>
            <w:r w:rsidRPr="00781112">
              <w:rPr>
                <w:rFonts w:cs="Arial"/>
                <w:color w:val="000000" w:themeColor="text1"/>
                <w:szCs w:val="16"/>
              </w:rPr>
              <w:t>29.07</w:t>
            </w:r>
          </w:p>
        </w:tc>
        <w:tc>
          <w:tcPr>
            <w:tcW w:w="618" w:type="pct"/>
            <w:vAlign w:val="center"/>
          </w:tcPr>
          <w:p w14:paraId="7C31E2D9" w14:textId="6B280022" w:rsidR="00DD5B7A" w:rsidRPr="00781112" w:rsidRDefault="00DD5B7A" w:rsidP="00827FF4">
            <w:pPr>
              <w:jc w:val="center"/>
              <w:rPr>
                <w:rFonts w:cs="Arial"/>
                <w:color w:val="000000" w:themeColor="text1"/>
                <w:szCs w:val="16"/>
              </w:rPr>
            </w:pPr>
            <w:r w:rsidRPr="00781112">
              <w:rPr>
                <w:rFonts w:cs="Arial"/>
                <w:color w:val="000000" w:themeColor="text1"/>
                <w:szCs w:val="16"/>
              </w:rPr>
              <w:t>28.07</w:t>
            </w:r>
          </w:p>
        </w:tc>
        <w:tc>
          <w:tcPr>
            <w:tcW w:w="618" w:type="pct"/>
            <w:vAlign w:val="center"/>
          </w:tcPr>
          <w:p w14:paraId="20D89D63" w14:textId="498D5E44" w:rsidR="00DD5B7A" w:rsidRPr="00781112" w:rsidRDefault="00DD5B7A" w:rsidP="00827FF4">
            <w:pPr>
              <w:jc w:val="center"/>
              <w:rPr>
                <w:rFonts w:cs="Arial"/>
                <w:color w:val="000000" w:themeColor="text1"/>
                <w:szCs w:val="16"/>
              </w:rPr>
            </w:pPr>
            <w:r w:rsidRPr="00781112">
              <w:rPr>
                <w:rFonts w:cs="Arial"/>
                <w:color w:val="000000" w:themeColor="text1"/>
                <w:szCs w:val="16"/>
              </w:rPr>
              <w:t>27.07</w:t>
            </w:r>
          </w:p>
        </w:tc>
      </w:tr>
      <w:tr w:rsidR="00DD5B7A" w:rsidRPr="00781112" w14:paraId="1F14A6A0" w14:textId="77777777" w:rsidTr="00E95FBF">
        <w:tc>
          <w:tcPr>
            <w:tcW w:w="415" w:type="pct"/>
            <w:shd w:val="clear" w:color="auto" w:fill="auto"/>
            <w:vAlign w:val="center"/>
          </w:tcPr>
          <w:p w14:paraId="67FFD637"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5CC9E43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 &lt;=</w:t>
            </w:r>
          </w:p>
        </w:tc>
        <w:tc>
          <w:tcPr>
            <w:tcW w:w="542" w:type="pct"/>
            <w:shd w:val="clear" w:color="auto" w:fill="auto"/>
            <w:vAlign w:val="center"/>
          </w:tcPr>
          <w:p w14:paraId="48449221" w14:textId="1DE29BDC"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09A6E3C5" w14:textId="2E8BFD65" w:rsidR="00DD5B7A" w:rsidRPr="00781112" w:rsidRDefault="00DD5B7A" w:rsidP="00827FF4">
            <w:pPr>
              <w:jc w:val="center"/>
              <w:rPr>
                <w:rFonts w:cs="Arial"/>
                <w:color w:val="000000" w:themeColor="text1"/>
                <w:szCs w:val="16"/>
              </w:rPr>
            </w:pPr>
            <w:r w:rsidRPr="00781112">
              <w:rPr>
                <w:rFonts w:cs="Arial"/>
                <w:color w:val="000000" w:themeColor="text1"/>
                <w:szCs w:val="16"/>
              </w:rPr>
              <w:t>36.88</w:t>
            </w:r>
          </w:p>
        </w:tc>
        <w:tc>
          <w:tcPr>
            <w:tcW w:w="618" w:type="pct"/>
            <w:vAlign w:val="center"/>
          </w:tcPr>
          <w:p w14:paraId="627C9FA2" w14:textId="428379CE" w:rsidR="00DD5B7A" w:rsidRPr="00781112" w:rsidRDefault="00DD5B7A" w:rsidP="00827FF4">
            <w:pPr>
              <w:jc w:val="center"/>
              <w:rPr>
                <w:rFonts w:cs="Arial"/>
                <w:color w:val="000000" w:themeColor="text1"/>
                <w:szCs w:val="16"/>
              </w:rPr>
            </w:pPr>
            <w:r w:rsidRPr="00781112">
              <w:rPr>
                <w:rFonts w:cs="Arial"/>
                <w:color w:val="000000" w:themeColor="text1"/>
                <w:szCs w:val="16"/>
              </w:rPr>
              <w:t>35.88</w:t>
            </w:r>
          </w:p>
        </w:tc>
        <w:tc>
          <w:tcPr>
            <w:tcW w:w="618" w:type="pct"/>
            <w:vAlign w:val="center"/>
          </w:tcPr>
          <w:p w14:paraId="6204E3FD" w14:textId="081B5532" w:rsidR="00DD5B7A" w:rsidRPr="00781112" w:rsidRDefault="00DD5B7A" w:rsidP="00827FF4">
            <w:pPr>
              <w:jc w:val="center"/>
              <w:rPr>
                <w:rFonts w:cs="Arial"/>
                <w:color w:val="000000" w:themeColor="text1"/>
                <w:szCs w:val="16"/>
              </w:rPr>
            </w:pPr>
            <w:r w:rsidRPr="00781112">
              <w:rPr>
                <w:rFonts w:cs="Arial"/>
                <w:color w:val="000000" w:themeColor="text1"/>
                <w:szCs w:val="16"/>
              </w:rPr>
              <w:t>34.88</w:t>
            </w:r>
          </w:p>
        </w:tc>
        <w:tc>
          <w:tcPr>
            <w:tcW w:w="618" w:type="pct"/>
            <w:vAlign w:val="center"/>
          </w:tcPr>
          <w:p w14:paraId="70AB4E74" w14:textId="67486BA0" w:rsidR="00DD5B7A" w:rsidRPr="00781112" w:rsidRDefault="00DD5B7A" w:rsidP="00827FF4">
            <w:pPr>
              <w:jc w:val="center"/>
              <w:rPr>
                <w:rFonts w:cs="Arial"/>
                <w:color w:val="000000" w:themeColor="text1"/>
                <w:szCs w:val="16"/>
              </w:rPr>
            </w:pPr>
            <w:r w:rsidRPr="00781112">
              <w:rPr>
                <w:rFonts w:cs="Arial"/>
                <w:color w:val="000000" w:themeColor="text1"/>
                <w:szCs w:val="16"/>
              </w:rPr>
              <w:t>33.88</w:t>
            </w:r>
          </w:p>
        </w:tc>
        <w:tc>
          <w:tcPr>
            <w:tcW w:w="618" w:type="pct"/>
            <w:vAlign w:val="center"/>
          </w:tcPr>
          <w:p w14:paraId="76EDA768" w14:textId="58627E7B" w:rsidR="00DD5B7A" w:rsidRPr="00781112" w:rsidRDefault="00DD5B7A" w:rsidP="00827FF4">
            <w:pPr>
              <w:jc w:val="center"/>
              <w:rPr>
                <w:rFonts w:cs="Arial"/>
                <w:color w:val="000000" w:themeColor="text1"/>
                <w:szCs w:val="16"/>
              </w:rPr>
            </w:pPr>
            <w:r w:rsidRPr="00781112">
              <w:rPr>
                <w:rFonts w:cs="Arial"/>
                <w:color w:val="000000" w:themeColor="text1"/>
                <w:szCs w:val="16"/>
              </w:rPr>
              <w:t>32.88</w:t>
            </w:r>
          </w:p>
        </w:tc>
        <w:tc>
          <w:tcPr>
            <w:tcW w:w="618" w:type="pct"/>
            <w:vAlign w:val="center"/>
          </w:tcPr>
          <w:p w14:paraId="163C36F2" w14:textId="38E4F837" w:rsidR="00DD5B7A" w:rsidRPr="00781112" w:rsidRDefault="00DD5B7A" w:rsidP="00827FF4">
            <w:pPr>
              <w:jc w:val="center"/>
              <w:rPr>
                <w:rFonts w:cs="Arial"/>
                <w:color w:val="000000" w:themeColor="text1"/>
                <w:szCs w:val="16"/>
              </w:rPr>
            </w:pPr>
            <w:r w:rsidRPr="00781112">
              <w:rPr>
                <w:rFonts w:cs="Arial"/>
                <w:color w:val="000000" w:themeColor="text1"/>
                <w:szCs w:val="16"/>
              </w:rPr>
              <w:t>31.88</w:t>
            </w:r>
          </w:p>
        </w:tc>
      </w:tr>
      <w:tr w:rsidR="00DD5B7A" w:rsidRPr="00781112" w14:paraId="60CD7006" w14:textId="77777777" w:rsidTr="00E95FBF">
        <w:tc>
          <w:tcPr>
            <w:tcW w:w="415" w:type="pct"/>
            <w:shd w:val="clear" w:color="auto" w:fill="auto"/>
            <w:vAlign w:val="center"/>
          </w:tcPr>
          <w:p w14:paraId="76491141"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lastRenderedPageBreak/>
              <w:t>Math</w:t>
            </w:r>
          </w:p>
        </w:tc>
        <w:tc>
          <w:tcPr>
            <w:tcW w:w="334" w:type="pct"/>
            <w:shd w:val="clear" w:color="auto" w:fill="auto"/>
            <w:vAlign w:val="center"/>
          </w:tcPr>
          <w:p w14:paraId="6C27CF3D"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 &lt;=</w:t>
            </w:r>
          </w:p>
        </w:tc>
        <w:tc>
          <w:tcPr>
            <w:tcW w:w="542" w:type="pct"/>
            <w:shd w:val="clear" w:color="auto" w:fill="auto"/>
            <w:vAlign w:val="center"/>
          </w:tcPr>
          <w:p w14:paraId="4E465544" w14:textId="4F893AB5"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7B41E026" w14:textId="6E6F2C10" w:rsidR="00DD5B7A" w:rsidRPr="00781112" w:rsidRDefault="00DD5B7A" w:rsidP="00827FF4">
            <w:pPr>
              <w:jc w:val="center"/>
              <w:rPr>
                <w:rFonts w:cs="Arial"/>
                <w:color w:val="000000" w:themeColor="text1"/>
                <w:szCs w:val="16"/>
              </w:rPr>
            </w:pPr>
            <w:r w:rsidRPr="00781112">
              <w:rPr>
                <w:rFonts w:cs="Arial"/>
                <w:color w:val="000000" w:themeColor="text1"/>
                <w:szCs w:val="16"/>
              </w:rPr>
              <w:t>33.33</w:t>
            </w:r>
          </w:p>
        </w:tc>
        <w:tc>
          <w:tcPr>
            <w:tcW w:w="618" w:type="pct"/>
            <w:vAlign w:val="center"/>
          </w:tcPr>
          <w:p w14:paraId="294118D4" w14:textId="54195603" w:rsidR="00DD5B7A" w:rsidRPr="00781112" w:rsidRDefault="00DD5B7A" w:rsidP="00827FF4">
            <w:pPr>
              <w:jc w:val="center"/>
              <w:rPr>
                <w:rFonts w:cs="Arial"/>
                <w:color w:val="000000" w:themeColor="text1"/>
                <w:szCs w:val="16"/>
              </w:rPr>
            </w:pPr>
            <w:r w:rsidRPr="00781112">
              <w:rPr>
                <w:rFonts w:cs="Arial"/>
                <w:color w:val="000000" w:themeColor="text1"/>
                <w:szCs w:val="16"/>
              </w:rPr>
              <w:t>32.33</w:t>
            </w:r>
          </w:p>
        </w:tc>
        <w:tc>
          <w:tcPr>
            <w:tcW w:w="618" w:type="pct"/>
            <w:vAlign w:val="center"/>
          </w:tcPr>
          <w:p w14:paraId="41623CC8" w14:textId="4F75F535" w:rsidR="00DD5B7A" w:rsidRPr="00781112" w:rsidRDefault="00DD5B7A" w:rsidP="00827FF4">
            <w:pPr>
              <w:jc w:val="center"/>
              <w:rPr>
                <w:rFonts w:cs="Arial"/>
                <w:color w:val="000000" w:themeColor="text1"/>
                <w:szCs w:val="16"/>
              </w:rPr>
            </w:pPr>
            <w:r w:rsidRPr="00781112">
              <w:rPr>
                <w:rFonts w:cs="Arial"/>
                <w:color w:val="000000" w:themeColor="text1"/>
                <w:szCs w:val="16"/>
              </w:rPr>
              <w:t>31.33</w:t>
            </w:r>
          </w:p>
        </w:tc>
        <w:tc>
          <w:tcPr>
            <w:tcW w:w="618" w:type="pct"/>
            <w:vAlign w:val="center"/>
          </w:tcPr>
          <w:p w14:paraId="70C28E3C" w14:textId="4F91601C" w:rsidR="00DD5B7A" w:rsidRPr="00781112" w:rsidRDefault="00DD5B7A" w:rsidP="00827FF4">
            <w:pPr>
              <w:jc w:val="center"/>
              <w:rPr>
                <w:rFonts w:cs="Arial"/>
                <w:color w:val="000000" w:themeColor="text1"/>
                <w:szCs w:val="16"/>
              </w:rPr>
            </w:pPr>
            <w:r w:rsidRPr="00781112">
              <w:rPr>
                <w:rFonts w:cs="Arial"/>
                <w:color w:val="000000" w:themeColor="text1"/>
                <w:szCs w:val="16"/>
              </w:rPr>
              <w:t>30.33</w:t>
            </w:r>
          </w:p>
        </w:tc>
        <w:tc>
          <w:tcPr>
            <w:tcW w:w="618" w:type="pct"/>
            <w:vAlign w:val="center"/>
          </w:tcPr>
          <w:p w14:paraId="72D77BDF" w14:textId="662A73D4" w:rsidR="00DD5B7A" w:rsidRPr="00781112" w:rsidRDefault="00DD5B7A" w:rsidP="00827FF4">
            <w:pPr>
              <w:jc w:val="center"/>
              <w:rPr>
                <w:rFonts w:cs="Arial"/>
                <w:color w:val="000000" w:themeColor="text1"/>
                <w:szCs w:val="16"/>
              </w:rPr>
            </w:pPr>
            <w:r w:rsidRPr="00781112">
              <w:rPr>
                <w:rFonts w:cs="Arial"/>
                <w:color w:val="000000" w:themeColor="text1"/>
                <w:szCs w:val="16"/>
              </w:rPr>
              <w:t>29.33</w:t>
            </w:r>
          </w:p>
        </w:tc>
        <w:tc>
          <w:tcPr>
            <w:tcW w:w="618" w:type="pct"/>
            <w:vAlign w:val="center"/>
          </w:tcPr>
          <w:p w14:paraId="4FB7FF64" w14:textId="767C83EF" w:rsidR="00DD5B7A" w:rsidRPr="00781112" w:rsidRDefault="00DD5B7A" w:rsidP="00827FF4">
            <w:pPr>
              <w:jc w:val="center"/>
              <w:rPr>
                <w:rFonts w:cs="Arial"/>
                <w:color w:val="000000" w:themeColor="text1"/>
                <w:szCs w:val="16"/>
              </w:rPr>
            </w:pPr>
            <w:r w:rsidRPr="00781112">
              <w:rPr>
                <w:rFonts w:cs="Arial"/>
                <w:color w:val="000000" w:themeColor="text1"/>
                <w:szCs w:val="16"/>
              </w:rPr>
              <w:t>28.33</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
      </w:r>
    </w:p>
    <w:p w14:paraId="5EB19DE7" w14:textId="77777777" w:rsidR="00DD5B7A" w:rsidRPr="00781112" w:rsidRDefault="00DD5B7A" w:rsidP="00DD5B7A">
      <w:pPr>
        <w:spacing w:before="0" w:after="200" w:line="276" w:lineRule="auto"/>
        <w:rPr>
          <w:b/>
          <w:color w:val="000000" w:themeColor="text1"/>
        </w:rPr>
      </w:pPr>
    </w:p>
    <w:p w14:paraId="5F03961C" w14:textId="77777777" w:rsidR="00DD5B7A" w:rsidRPr="00781112" w:rsidRDefault="00DD5B7A" w:rsidP="00DD5B7A">
      <w:pPr>
        <w:rPr>
          <w:b/>
          <w:color w:val="000000" w:themeColor="text1"/>
        </w:rPr>
      </w:pPr>
      <w:r w:rsidRPr="00781112">
        <w:rPr>
          <w:b/>
          <w:color w:val="000000" w:themeColor="text1"/>
        </w:rPr>
        <w:t>FFY 2020 Data Disaggregation from EDFacts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7C8C8769" w:rsidR="00DD5B7A" w:rsidRPr="00781112" w:rsidRDefault="00DD5B7A" w:rsidP="00DD5B7A">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03/03/2022</w:t>
      </w:r>
    </w:p>
    <w:p w14:paraId="45DD1CF1" w14:textId="21DE530C" w:rsidR="00DD5B7A" w:rsidRPr="00781112" w:rsidRDefault="00DD5B7A" w:rsidP="00DD5B7A">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11,539</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12,016</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8,644</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2,288</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2,134</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1,184</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8,612</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10,183</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7,708</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1,027</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352</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65</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690</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1,006</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750</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481</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260</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32</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22529744" w:rsidR="00DD5B7A" w:rsidRPr="00781112" w:rsidRDefault="00DD5B7A" w:rsidP="00DD5B7A">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03/03/2022</w:t>
      </w:r>
    </w:p>
    <w:p w14:paraId="0AB0EBE2" w14:textId="23F7C8D8" w:rsidR="00DD5B7A" w:rsidRPr="00781112" w:rsidRDefault="00DD5B7A" w:rsidP="00DD5B7A">
      <w:pPr>
        <w:rPr>
          <w:b/>
          <w:color w:val="000000" w:themeColor="text1"/>
        </w:rPr>
      </w:pPr>
      <w:r w:rsidRPr="00781112">
        <w:rPr>
          <w:b/>
          <w:color w:val="000000" w:themeColor="text1"/>
        </w:rPr>
        <w:t>Math Assessment Proficiency Data by Grade</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11,562</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12,052</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8,843</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2,292</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2,134</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1,184</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8,182</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9,992</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7,904</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1,004</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309</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77</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604</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815</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643</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lastRenderedPageBreak/>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482</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222</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31</w:t>
            </w:r>
          </w:p>
        </w:tc>
      </w:tr>
    </w:tbl>
    <w:p w14:paraId="1EA160DB" w14:textId="77777777" w:rsidR="00DD5B7A" w:rsidRPr="00781112" w:rsidRDefault="00DD5B7A" w:rsidP="00DD5B7A">
      <w:pPr>
        <w:rPr>
          <w:color w:val="000000" w:themeColor="text1"/>
        </w:rPr>
      </w:pPr>
    </w:p>
    <w:p w14:paraId="300D6CD4" w14:textId="77777777" w:rsidR="00DD5B7A" w:rsidRPr="00781112" w:rsidRDefault="00DD5B7A" w:rsidP="00DD5B7A">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C95D2E" w:rsidRPr="00781112" w14:paraId="2F7F1DE8" w14:textId="77777777" w:rsidTr="00360DD6">
        <w:trPr>
          <w:tblHeader/>
        </w:trPr>
        <w:tc>
          <w:tcPr>
            <w:tcW w:w="331" w:type="pct"/>
            <w:shd w:val="clear" w:color="auto" w:fill="auto"/>
            <w:vAlign w:val="bottom"/>
          </w:tcPr>
          <w:p w14:paraId="0E14CE7F" w14:textId="77777777" w:rsidR="00C95D2E" w:rsidRPr="00781112" w:rsidRDefault="00C95D2E" w:rsidP="00C95D2E">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C95D2E" w:rsidRPr="00781112" w:rsidRDefault="00C95D2E" w:rsidP="00C95D2E">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C95D2E" w:rsidRPr="00781112" w:rsidRDefault="00C95D2E" w:rsidP="00C95D2E">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C95D2E" w:rsidRPr="00781112" w:rsidRDefault="00C95D2E" w:rsidP="00C95D2E">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77777777" w:rsidR="00C95D2E" w:rsidRPr="00781112" w:rsidRDefault="00C95D2E" w:rsidP="00C95D2E">
            <w:pPr>
              <w:jc w:val="center"/>
              <w:rPr>
                <w:b/>
                <w:color w:val="000000" w:themeColor="text1"/>
              </w:rPr>
            </w:pPr>
            <w:r w:rsidRPr="00781112">
              <w:rPr>
                <w:b/>
                <w:color w:val="000000" w:themeColor="text1"/>
              </w:rPr>
              <w:t>FFY 2019 Data</w:t>
            </w:r>
          </w:p>
        </w:tc>
        <w:tc>
          <w:tcPr>
            <w:tcW w:w="517" w:type="pct"/>
            <w:shd w:val="clear" w:color="auto" w:fill="auto"/>
            <w:vAlign w:val="bottom"/>
          </w:tcPr>
          <w:p w14:paraId="69544656" w14:textId="77777777" w:rsidR="00C95D2E" w:rsidRPr="00781112" w:rsidRDefault="00C95D2E" w:rsidP="00C95D2E">
            <w:pPr>
              <w:jc w:val="center"/>
              <w:rPr>
                <w:b/>
                <w:color w:val="000000" w:themeColor="text1"/>
              </w:rPr>
            </w:pPr>
            <w:r w:rsidRPr="00781112">
              <w:rPr>
                <w:b/>
                <w:color w:val="000000" w:themeColor="text1"/>
              </w:rPr>
              <w:t>FFY 2020 Target</w:t>
            </w:r>
          </w:p>
        </w:tc>
        <w:tc>
          <w:tcPr>
            <w:tcW w:w="517" w:type="pct"/>
            <w:shd w:val="clear" w:color="auto" w:fill="auto"/>
            <w:vAlign w:val="bottom"/>
          </w:tcPr>
          <w:p w14:paraId="611B3DE3" w14:textId="77777777" w:rsidR="00C95D2E" w:rsidRPr="00781112" w:rsidRDefault="00C95D2E" w:rsidP="00C95D2E">
            <w:pPr>
              <w:jc w:val="center"/>
              <w:rPr>
                <w:b/>
                <w:color w:val="000000" w:themeColor="text1"/>
              </w:rPr>
            </w:pPr>
            <w:r w:rsidRPr="00781112">
              <w:rPr>
                <w:b/>
                <w:color w:val="000000" w:themeColor="text1"/>
              </w:rPr>
              <w:t>FFY 2020 Data</w:t>
            </w:r>
          </w:p>
        </w:tc>
        <w:tc>
          <w:tcPr>
            <w:tcW w:w="517" w:type="pct"/>
            <w:shd w:val="clear" w:color="auto" w:fill="auto"/>
            <w:vAlign w:val="bottom"/>
          </w:tcPr>
          <w:p w14:paraId="6D2215D6" w14:textId="77777777" w:rsidR="00C95D2E" w:rsidRPr="00781112" w:rsidRDefault="00C95D2E" w:rsidP="00C95D2E">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C95D2E" w:rsidRPr="00781112" w:rsidRDefault="00C95D2E" w:rsidP="00C95D2E">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51.18%</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83.53%</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32.35</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32.35</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59.33%</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87.67%</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28.35</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28.35</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66.05%</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89.92%</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23.88</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23.88</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bl>
    <w:p w14:paraId="006E999D" w14:textId="77777777" w:rsidR="00DD5B7A" w:rsidRPr="00781112" w:rsidRDefault="00DD5B7A" w:rsidP="00DD5B7A">
      <w:pPr>
        <w:spacing w:before="0" w:after="200" w:line="276" w:lineRule="auto"/>
        <w:rPr>
          <w:b/>
          <w:color w:val="000000" w:themeColor="text1"/>
        </w:rPr>
      </w:pPr>
    </w:p>
    <w:p w14:paraId="2E07CCBD" w14:textId="77777777" w:rsidR="00DD5B7A" w:rsidRPr="00781112" w:rsidRDefault="00DD5B7A" w:rsidP="00DD5B7A">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C95D2E" w:rsidRPr="00781112" w14:paraId="6355AB57" w14:textId="77777777" w:rsidTr="001B7E95">
        <w:trPr>
          <w:tblHeader/>
        </w:trPr>
        <w:tc>
          <w:tcPr>
            <w:tcW w:w="331" w:type="pct"/>
            <w:shd w:val="clear" w:color="auto" w:fill="auto"/>
            <w:vAlign w:val="bottom"/>
          </w:tcPr>
          <w:p w14:paraId="7C464B0B" w14:textId="77777777" w:rsidR="00C95D2E" w:rsidRPr="00781112" w:rsidRDefault="00C95D2E" w:rsidP="00C95D2E">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C95D2E" w:rsidRPr="00781112" w:rsidRDefault="00C95D2E" w:rsidP="00C95D2E">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C95D2E" w:rsidRPr="00781112" w:rsidRDefault="00C95D2E" w:rsidP="00C95D2E">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C95D2E" w:rsidRPr="00781112" w:rsidRDefault="00C95D2E" w:rsidP="00C95D2E">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77777777" w:rsidR="00C95D2E" w:rsidRPr="00781112" w:rsidRDefault="00C95D2E" w:rsidP="00C95D2E">
            <w:pPr>
              <w:jc w:val="center"/>
              <w:rPr>
                <w:b/>
                <w:color w:val="000000" w:themeColor="text1"/>
              </w:rPr>
            </w:pPr>
            <w:r w:rsidRPr="00781112">
              <w:rPr>
                <w:b/>
                <w:color w:val="000000" w:themeColor="text1"/>
              </w:rPr>
              <w:t>FFY 2019 Data</w:t>
            </w:r>
          </w:p>
        </w:tc>
        <w:tc>
          <w:tcPr>
            <w:tcW w:w="508" w:type="pct"/>
            <w:shd w:val="clear" w:color="auto" w:fill="auto"/>
            <w:vAlign w:val="bottom"/>
          </w:tcPr>
          <w:p w14:paraId="275741A5" w14:textId="77777777" w:rsidR="00C95D2E" w:rsidRPr="00781112" w:rsidRDefault="00C95D2E" w:rsidP="00C95D2E">
            <w:pPr>
              <w:jc w:val="center"/>
              <w:rPr>
                <w:b/>
                <w:color w:val="000000" w:themeColor="text1"/>
              </w:rPr>
            </w:pPr>
            <w:r w:rsidRPr="00781112">
              <w:rPr>
                <w:b/>
                <w:color w:val="000000" w:themeColor="text1"/>
              </w:rPr>
              <w:t>FFY 2020 Target</w:t>
            </w:r>
          </w:p>
        </w:tc>
        <w:tc>
          <w:tcPr>
            <w:tcW w:w="508" w:type="pct"/>
            <w:shd w:val="clear" w:color="auto" w:fill="auto"/>
            <w:vAlign w:val="bottom"/>
          </w:tcPr>
          <w:p w14:paraId="597E0BC4" w14:textId="77777777" w:rsidR="00C95D2E" w:rsidRPr="00781112" w:rsidRDefault="00C95D2E" w:rsidP="00C95D2E">
            <w:pPr>
              <w:jc w:val="center"/>
              <w:rPr>
                <w:b/>
                <w:color w:val="000000" w:themeColor="text1"/>
              </w:rPr>
            </w:pPr>
            <w:r w:rsidRPr="00781112">
              <w:rPr>
                <w:b/>
                <w:color w:val="000000" w:themeColor="text1"/>
              </w:rPr>
              <w:t>FFY 2020 Data</w:t>
            </w:r>
          </w:p>
        </w:tc>
        <w:tc>
          <w:tcPr>
            <w:tcW w:w="508" w:type="pct"/>
            <w:shd w:val="clear" w:color="auto" w:fill="auto"/>
            <w:vAlign w:val="bottom"/>
          </w:tcPr>
          <w:p w14:paraId="53963A37" w14:textId="77777777" w:rsidR="00C95D2E" w:rsidRPr="00781112" w:rsidRDefault="00C95D2E" w:rsidP="00C95D2E">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C95D2E" w:rsidRPr="00781112" w:rsidRDefault="00C95D2E" w:rsidP="00C95D2E">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47.38%</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79.45%</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32.07</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32.07</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48.59%</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85.47%</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36.88</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36.88</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56.93%</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90.25%</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33.33</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33.33</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r w:rsidRPr="00781112">
        <w:rPr>
          <w:rFonts w:cs="Arial"/>
          <w:color w:val="000000" w:themeColor="text1"/>
          <w:szCs w:val="16"/>
        </w:rPr>
        <w:t/>
      </w: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The State did not provide data for this indicator. OESE gave the State the opportunity to submit data during the official EdFacts resubmission period for assessment data. The State's submitted data will be prefilled in the SPP/APR reporting platform when Part B Clarification period opens on April 14. OSEP will conduct its review of the State’s submitted data after the Clarification period closes.</w:t>
      </w: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
      </w: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9"/>
      <w:bookmarkEnd w:id="20"/>
    </w:p>
    <w:p w14:paraId="6B24B370" w14:textId="77777777" w:rsidR="006E5AE4" w:rsidRPr="00781112" w:rsidRDefault="006E5AE4" w:rsidP="00A018D4">
      <w:pPr>
        <w:rPr>
          <w:color w:val="000000" w:themeColor="text1"/>
          <w:szCs w:val="20"/>
        </w:rPr>
      </w:pPr>
      <w:bookmarkStart w:id="22" w:name="_Toc384383331"/>
      <w:bookmarkStart w:id="23"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 xml:space="preserve">year for children with </w:t>
      </w:r>
      <w:proofErr w:type="gramStart"/>
      <w:r w:rsidR="00DD1D55" w:rsidRPr="00781112">
        <w:rPr>
          <w:color w:val="000000" w:themeColor="text1"/>
        </w:rPr>
        <w:t>IEPs</w:t>
      </w:r>
      <w:r w:rsidR="00E97863" w:rsidRPr="00781112">
        <w:rPr>
          <w:color w:val="000000" w:themeColor="text1"/>
        </w:rPr>
        <w:t>;</w:t>
      </w:r>
      <w:proofErr w:type="gramEnd"/>
      <w:r w:rsidR="00E97863" w:rsidRPr="00781112">
        <w:rPr>
          <w:color w:val="000000" w:themeColor="text1"/>
        </w:rPr>
        <w:t xml:space="preserve">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7AEB24A" w:rsidR="000A5A2E" w:rsidRPr="00781112" w:rsidRDefault="00636061"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excluded from the calculation as a result of this requirement.</w:t>
      </w:r>
    </w:p>
    <w:p w14:paraId="3AD8FD7E" w14:textId="63FA952D"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2020 SPP/APR, use data from 2019-2020),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71D1B673"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77777777" w:rsidR="004F019B" w:rsidRPr="00781112" w:rsidRDefault="004F019B" w:rsidP="004F019B">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2CD8E267" w14:textId="0424A1C2" w:rsidR="00636061" w:rsidRPr="00781112" w:rsidRDefault="00636061" w:rsidP="00BB7BC9">
      <w:pPr>
        <w:rPr>
          <w:rFonts w:cs="Arial"/>
          <w:color w:val="000000" w:themeColor="text1"/>
          <w:szCs w:val="16"/>
        </w:rPr>
      </w:pPr>
      <w:r w:rsidRPr="00781112">
        <w:rPr>
          <w:rFonts w:cs="Arial"/>
          <w:color w:val="000000" w:themeColor="text1"/>
          <w:szCs w:val="16"/>
        </w:rPr>
        <w:t>Indicator 4A: Provide the actual numbers used in the calculation (based upon districts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067F0139" w:rsidR="00636061" w:rsidRPr="00781112" w:rsidRDefault="00636061" w:rsidP="00BB7BC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6D645554" w14:textId="0206229C"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406A7CC3" w14:textId="7DF00914"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4" w:name="_Toc384383332"/>
      <w:bookmarkStart w:id="25" w:name="_Toc392159284"/>
      <w:bookmarkEnd w:id="22"/>
      <w:bookmarkEnd w:id="23"/>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2016</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0.00%</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2015</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2018</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2019</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B7BC9">
            <w:pP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B7BC9">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1.57%</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1.52%</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1.52%</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lastRenderedPageBreak/>
        <w:t>Targets</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491"/>
        <w:gridCol w:w="1629"/>
        <w:gridCol w:w="1734"/>
        <w:gridCol w:w="1734"/>
        <w:gridCol w:w="1734"/>
        <w:gridCol w:w="1734"/>
        <w:gridCol w:w="1734"/>
      </w:tblGrid>
      <w:tr w:rsidR="00373F78" w:rsidRPr="00781112" w14:paraId="00255703" w14:textId="57B86D35" w:rsidTr="00E95FBF">
        <w:trPr>
          <w:trHeight w:val="350"/>
        </w:trPr>
        <w:tc>
          <w:tcPr>
            <w:tcW w:w="203" w:type="pct"/>
            <w:tcBorders>
              <w:bottom w:val="single" w:sz="4" w:space="0" w:color="auto"/>
            </w:tcBorders>
            <w:shd w:val="clear" w:color="auto" w:fill="auto"/>
          </w:tcPr>
          <w:p w14:paraId="12833EEC" w14:textId="77777777" w:rsidR="00373F78" w:rsidRPr="00781112" w:rsidRDefault="00373F78" w:rsidP="00373F78">
            <w:pPr>
              <w:jc w:val="center"/>
              <w:rPr>
                <w:b/>
                <w:color w:val="000000" w:themeColor="text1"/>
              </w:rPr>
            </w:pPr>
            <w:r w:rsidRPr="00781112">
              <w:rPr>
                <w:b/>
                <w:color w:val="000000" w:themeColor="text1"/>
              </w:rPr>
              <w:t>FFY</w:t>
            </w:r>
          </w:p>
        </w:tc>
        <w:tc>
          <w:tcPr>
            <w:tcW w:w="781" w:type="pct"/>
            <w:shd w:val="clear" w:color="auto" w:fill="auto"/>
          </w:tcPr>
          <w:p w14:paraId="50119DBA" w14:textId="04DC2A77" w:rsidR="00373F78" w:rsidRPr="00781112" w:rsidRDefault="00373F78" w:rsidP="00373F78">
            <w:pPr>
              <w:jc w:val="center"/>
              <w:rPr>
                <w:b/>
                <w:color w:val="000000" w:themeColor="text1"/>
              </w:rPr>
            </w:pPr>
            <w:r w:rsidRPr="00781112">
              <w:rPr>
                <w:b/>
                <w:color w:val="000000" w:themeColor="text1"/>
              </w:rPr>
              <w:t>2020</w:t>
            </w:r>
          </w:p>
        </w:tc>
        <w:tc>
          <w:tcPr>
            <w:tcW w:w="803" w:type="pct"/>
          </w:tcPr>
          <w:p w14:paraId="59425E52" w14:textId="30A73A95" w:rsidR="00373F78" w:rsidRPr="00781112" w:rsidRDefault="00373F78" w:rsidP="00373F78">
            <w:pPr>
              <w:jc w:val="center"/>
              <w:rPr>
                <w:b/>
                <w:color w:val="000000" w:themeColor="text1"/>
              </w:rPr>
            </w:pPr>
            <w:r w:rsidRPr="00781112">
              <w:rPr>
                <w:rFonts w:cs="Arial"/>
                <w:b/>
                <w:color w:val="000000" w:themeColor="text1"/>
                <w:szCs w:val="16"/>
              </w:rPr>
              <w:t>2021</w:t>
            </w:r>
          </w:p>
        </w:tc>
        <w:tc>
          <w:tcPr>
            <w:tcW w:w="803" w:type="pct"/>
          </w:tcPr>
          <w:p w14:paraId="62296859" w14:textId="1A7F3D46" w:rsidR="00373F78" w:rsidRPr="00781112" w:rsidRDefault="00373F78" w:rsidP="00373F78">
            <w:pPr>
              <w:jc w:val="center"/>
              <w:rPr>
                <w:b/>
                <w:color w:val="000000" w:themeColor="text1"/>
              </w:rPr>
            </w:pPr>
            <w:r w:rsidRPr="00781112">
              <w:rPr>
                <w:rFonts w:cs="Arial"/>
                <w:b/>
                <w:color w:val="000000" w:themeColor="text1"/>
                <w:szCs w:val="16"/>
              </w:rPr>
              <w:t>2022</w:t>
            </w:r>
          </w:p>
        </w:tc>
        <w:tc>
          <w:tcPr>
            <w:tcW w:w="803" w:type="pct"/>
          </w:tcPr>
          <w:p w14:paraId="69950222" w14:textId="1E5E636C" w:rsidR="00373F78" w:rsidRPr="00781112" w:rsidRDefault="00373F78" w:rsidP="00373F78">
            <w:pPr>
              <w:jc w:val="center"/>
              <w:rPr>
                <w:b/>
                <w:color w:val="000000" w:themeColor="text1"/>
              </w:rPr>
            </w:pPr>
            <w:r w:rsidRPr="00781112">
              <w:rPr>
                <w:rFonts w:cs="Arial"/>
                <w:b/>
                <w:color w:val="000000" w:themeColor="text1"/>
                <w:szCs w:val="16"/>
              </w:rPr>
              <w:t>2023</w:t>
            </w:r>
          </w:p>
        </w:tc>
        <w:tc>
          <w:tcPr>
            <w:tcW w:w="803" w:type="pct"/>
          </w:tcPr>
          <w:p w14:paraId="147FD075" w14:textId="2618FA88" w:rsidR="00373F78" w:rsidRPr="00781112" w:rsidRDefault="00373F78" w:rsidP="00373F78">
            <w:pPr>
              <w:jc w:val="center"/>
              <w:rPr>
                <w:b/>
                <w:color w:val="000000" w:themeColor="text1"/>
              </w:rPr>
            </w:pPr>
            <w:r w:rsidRPr="00781112">
              <w:rPr>
                <w:rFonts w:cs="Arial"/>
                <w:b/>
                <w:color w:val="000000" w:themeColor="text1"/>
                <w:szCs w:val="16"/>
              </w:rPr>
              <w:t>2024</w:t>
            </w:r>
          </w:p>
        </w:tc>
        <w:tc>
          <w:tcPr>
            <w:tcW w:w="803" w:type="pct"/>
          </w:tcPr>
          <w:p w14:paraId="066CE6E2" w14:textId="274FF425"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1ACE760A" w14:textId="1AE21F6E" w:rsidTr="00E95FBF">
        <w:trPr>
          <w:trHeight w:val="357"/>
        </w:trPr>
        <w:tc>
          <w:tcPr>
            <w:tcW w:w="203" w:type="pct"/>
            <w:shd w:val="clear" w:color="auto" w:fill="auto"/>
            <w:vAlign w:val="center"/>
          </w:tcPr>
          <w:p w14:paraId="3387B9B3" w14:textId="0ED5756F" w:rsidR="00373F78" w:rsidRPr="00781112" w:rsidRDefault="00373F78" w:rsidP="00373F78">
            <w:pP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781" w:type="pct"/>
            <w:shd w:val="clear" w:color="auto" w:fill="auto"/>
            <w:vAlign w:val="center"/>
          </w:tcPr>
          <w:p w14:paraId="78EBD6ED" w14:textId="4FA09BBD" w:rsidR="00373F78" w:rsidRPr="00781112" w:rsidRDefault="00373F78" w:rsidP="00373F78">
            <w:pPr>
              <w:jc w:val="center"/>
              <w:rPr>
                <w:rFonts w:cs="Arial"/>
                <w:color w:val="000000" w:themeColor="text1"/>
                <w:szCs w:val="16"/>
              </w:rPr>
            </w:pPr>
            <w:r w:rsidRPr="00781112">
              <w:rPr>
                <w:rFonts w:cs="Arial"/>
                <w:color w:val="000000" w:themeColor="text1"/>
                <w:szCs w:val="16"/>
              </w:rPr>
              <w:t>0.00%</w:t>
            </w:r>
          </w:p>
        </w:tc>
        <w:tc>
          <w:tcPr>
            <w:tcW w:w="803" w:type="pct"/>
          </w:tcPr>
          <w:p w14:paraId="6FDC82B2" w14:textId="0C85D604" w:rsidR="00373F78" w:rsidRPr="00781112" w:rsidRDefault="00373F78" w:rsidP="00373F78">
            <w:pPr>
              <w:jc w:val="center"/>
              <w:rPr>
                <w:rFonts w:cs="Arial"/>
                <w:color w:val="000000" w:themeColor="text1"/>
                <w:szCs w:val="16"/>
              </w:rPr>
            </w:pPr>
            <w:r w:rsidRPr="00781112">
              <w:rPr>
                <w:color w:val="000000" w:themeColor="text1"/>
                <w:szCs w:val="16"/>
              </w:rPr>
              <w:t>0.00%</w:t>
            </w:r>
          </w:p>
        </w:tc>
        <w:tc>
          <w:tcPr>
            <w:tcW w:w="803" w:type="pct"/>
          </w:tcPr>
          <w:p w14:paraId="798EC84B" w14:textId="0E47DBF4" w:rsidR="00373F78" w:rsidRPr="00781112" w:rsidRDefault="00373F78" w:rsidP="00373F78">
            <w:pPr>
              <w:jc w:val="center"/>
              <w:rPr>
                <w:rFonts w:cs="Arial"/>
                <w:color w:val="000000" w:themeColor="text1"/>
                <w:szCs w:val="16"/>
              </w:rPr>
            </w:pPr>
            <w:r w:rsidRPr="00781112">
              <w:rPr>
                <w:color w:val="000000" w:themeColor="text1"/>
                <w:szCs w:val="16"/>
              </w:rPr>
              <w:t>0.00%</w:t>
            </w:r>
          </w:p>
        </w:tc>
        <w:tc>
          <w:tcPr>
            <w:tcW w:w="803" w:type="pct"/>
          </w:tcPr>
          <w:p w14:paraId="75A6D928" w14:textId="791A7001" w:rsidR="00373F78" w:rsidRPr="00781112" w:rsidRDefault="00373F78" w:rsidP="00373F78">
            <w:pPr>
              <w:jc w:val="center"/>
              <w:rPr>
                <w:rFonts w:cs="Arial"/>
                <w:color w:val="000000" w:themeColor="text1"/>
                <w:szCs w:val="16"/>
              </w:rPr>
            </w:pPr>
            <w:r w:rsidRPr="00781112">
              <w:rPr>
                <w:color w:val="000000" w:themeColor="text1"/>
                <w:szCs w:val="16"/>
              </w:rPr>
              <w:t>0.00%</w:t>
            </w:r>
          </w:p>
        </w:tc>
        <w:tc>
          <w:tcPr>
            <w:tcW w:w="803" w:type="pct"/>
          </w:tcPr>
          <w:p w14:paraId="1CE5D3BC" w14:textId="661D574C" w:rsidR="00373F78" w:rsidRPr="00781112" w:rsidRDefault="00373F78" w:rsidP="00373F78">
            <w:pPr>
              <w:jc w:val="center"/>
              <w:rPr>
                <w:rFonts w:cs="Arial"/>
                <w:color w:val="000000" w:themeColor="text1"/>
                <w:szCs w:val="16"/>
              </w:rPr>
            </w:pPr>
            <w:r w:rsidRPr="00781112">
              <w:rPr>
                <w:color w:val="000000" w:themeColor="text1"/>
                <w:szCs w:val="16"/>
              </w:rPr>
              <w:t>0.00%</w:t>
            </w:r>
          </w:p>
        </w:tc>
        <w:tc>
          <w:tcPr>
            <w:tcW w:w="803" w:type="pct"/>
          </w:tcPr>
          <w:p w14:paraId="37F8A50B" w14:textId="6CD51BE5" w:rsidR="00373F78" w:rsidRPr="00781112" w:rsidRDefault="00373F78" w:rsidP="00373F78">
            <w:pPr>
              <w:jc w:val="center"/>
              <w:rPr>
                <w:rFonts w:cs="Arial"/>
                <w:color w:val="000000" w:themeColor="text1"/>
                <w:szCs w:val="16"/>
              </w:rPr>
            </w:pPr>
            <w:r w:rsidRPr="00781112">
              <w:rPr>
                <w:color w:val="000000" w:themeColor="text1"/>
                <w:szCs w:val="16"/>
              </w:rPr>
              <w:t>0.00%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3FD5337B" w14:textId="54E74935" w:rsidR="002D145D" w:rsidRPr="00781112" w:rsidRDefault="002B7490" w:rsidP="002D145D">
      <w:pPr>
        <w:rPr>
          <w:rFonts w:cs="Arial"/>
          <w:color w:val="000000" w:themeColor="text1"/>
          <w:szCs w:val="16"/>
        </w:rPr>
      </w:pPr>
      <w:r w:rsidRPr="00781112">
        <w:rPr>
          <w:rFonts w:cs="Arial"/>
          <w:color w:val="000000" w:themeColor="text1"/>
          <w:szCs w:val="16"/>
        </w:rPr>
        <w:t/>
      </w:r>
    </w:p>
    <w:p w14:paraId="2AE297AB" w14:textId="77777777" w:rsidR="007E6F97" w:rsidRPr="00781112" w:rsidRDefault="007E6F97" w:rsidP="004369B2">
      <w:pPr>
        <w:rPr>
          <w:color w:val="000000" w:themeColor="text1"/>
        </w:rPr>
      </w:pPr>
    </w:p>
    <w:p w14:paraId="2E616696" w14:textId="7C992F2F" w:rsidR="00D03701" w:rsidRPr="00781112" w:rsidRDefault="00F6415A">
      <w:pPr>
        <w:rPr>
          <w:b/>
          <w:color w:val="000000" w:themeColor="text1"/>
        </w:rPr>
      </w:pPr>
      <w:r w:rsidRPr="00781112">
        <w:rPr>
          <w:b/>
          <w:color w:val="000000" w:themeColor="text1"/>
        </w:rPr>
        <w:t>FFY 2020 SPP/APR Data</w:t>
      </w:r>
      <w:bookmarkEnd w:id="24"/>
      <w:bookmarkEnd w:id="25"/>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69</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5C29F8" w:rsidRPr="00781112" w14:paraId="25961F2E" w14:textId="5D241BED" w:rsidTr="00E95FBF">
        <w:trPr>
          <w:trHeight w:val="994"/>
          <w:jc w:val="center"/>
        </w:trPr>
        <w:tc>
          <w:tcPr>
            <w:tcW w:w="653" w:type="pct"/>
            <w:shd w:val="clear" w:color="auto" w:fill="auto"/>
            <w:vAlign w:val="bottom"/>
          </w:tcPr>
          <w:p w14:paraId="1D711F21" w14:textId="471FE8E2" w:rsidR="001D6A0A" w:rsidRPr="00781112" w:rsidRDefault="001D6A0A" w:rsidP="00681BA6">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1D6A0A" w:rsidRPr="00781112" w:rsidRDefault="00C9488E" w:rsidP="00681BA6">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634" w:type="pct"/>
            <w:shd w:val="clear" w:color="auto" w:fill="auto"/>
            <w:vAlign w:val="bottom"/>
          </w:tcPr>
          <w:p w14:paraId="20C8255F" w14:textId="1BB42612" w:rsidR="001D6A0A"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876" w:type="pct"/>
            <w:shd w:val="clear" w:color="auto" w:fill="auto"/>
            <w:vAlign w:val="bottom"/>
          </w:tcPr>
          <w:p w14:paraId="2298BC2C" w14:textId="69254E16" w:rsidR="001D6A0A"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84" w:type="pct"/>
            <w:shd w:val="clear" w:color="auto" w:fill="auto"/>
            <w:vAlign w:val="bottom"/>
          </w:tcPr>
          <w:p w14:paraId="3E9B682A" w14:textId="5731A21E" w:rsidR="001D6A0A"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667" w:type="pct"/>
            <w:shd w:val="clear" w:color="auto" w:fill="auto"/>
            <w:vAlign w:val="bottom"/>
          </w:tcPr>
          <w:p w14:paraId="7B5A071B" w14:textId="6C45C0BB" w:rsidR="001D6A0A" w:rsidRPr="00781112" w:rsidRDefault="001D6A0A" w:rsidP="00681BA6">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1D6A0A" w:rsidRPr="00781112" w:rsidRDefault="001D6A0A"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196</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1.52%</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1.53%</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The following decision rules are used to determine if there is a significant discrepancy in the rates of suspensions/expulsions greater than 10 days for children with disabilities: The district must have a minimum of 10 students with IEPs enrolled. For districts meeting the n size threshold of 10, the number of students suspended or expelled over 10 days must be greater than 1 and the rate of suspension/expulsion over 10 days must be more than 3 standard deviations above the State's rate of suspensions/expulsions greater than 10 days for students with disabilities.</w:t>
      </w:r>
    </w:p>
    <w:p w14:paraId="47F07052" w14:textId="77777777" w:rsidR="00BB504D" w:rsidRPr="00781112" w:rsidRDefault="00BB504D" w:rsidP="004369B2">
      <w:pPr>
        <w:rPr>
          <w:b/>
          <w:color w:val="000000" w:themeColor="text1"/>
        </w:rPr>
      </w:pPr>
      <w:bookmarkStart w:id="26" w:name="_Toc384383334"/>
      <w:bookmarkStart w:id="27"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
      </w:r>
    </w:p>
    <w:bookmarkEnd w:id="26"/>
    <w:bookmarkEnd w:id="27"/>
    <w:p w14:paraId="227CCB46" w14:textId="77777777" w:rsidR="007E6F97" w:rsidRPr="00781112" w:rsidRDefault="007E6F97" w:rsidP="004369B2">
      <w:pPr>
        <w:rPr>
          <w:color w:val="000000" w:themeColor="text1"/>
        </w:rPr>
      </w:pPr>
    </w:p>
    <w:p w14:paraId="3F63E777" w14:textId="54C6265F" w:rsidR="00082667" w:rsidRPr="00781112" w:rsidRDefault="00082667" w:rsidP="004369B2">
      <w:pPr>
        <w:rPr>
          <w:color w:val="000000" w:themeColor="text1"/>
        </w:rPr>
      </w:pPr>
      <w:r w:rsidRPr="00781112">
        <w:rPr>
          <w:b/>
          <w:color w:val="000000" w:themeColor="text1"/>
        </w:rPr>
        <w:t>Review of Policies, Procedures, and Practices (completed in FFY 2020 using 2019-2020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Data from the 2019-2020 report of children with disabilities subject to disciplinary removal were examined to determine if significant discrepancies were occurring in the rates of suspensions/expulsions greater than 10 days. For districts identified with significant discrepancies, Maine DOE reviews specific files from each district with a compliance instrument to test compliance of each student file or policy document for 36 items. The purpose of this review is to ensure that districts are properly developing and implementing IEPs, use positive behavioral interventions and supports, and include procedural safeguards as outlined in 34 C.F.R. 300.170 (b). Each instance of noncompliance is required to be corrected and the Maine DOE requires the district to revise their policies and procedures to comply with IDEA and Maine Unified Special Education Regulations. Maine did not identify noncompliance with the Part B requirements as a result of the reviews.</w:t>
        <w:br/>
        <w:t/>
        <w:br/>
        <w:t>The State DID NOT identify noncompliance with Part B requirements as a result of the review required by 34 CFR §300.170(b)</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28" w:name="_Toc381956335"/>
      <w:bookmarkStart w:id="29" w:name="_Toc384383336"/>
      <w:bookmarkStart w:id="30" w:name="_Toc392159288"/>
    </w:p>
    <w:p w14:paraId="0496594E" w14:textId="50BB0039" w:rsidR="00B9048A" w:rsidRPr="00781112" w:rsidRDefault="00B9048A"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254C8CCA" w:rsidR="00B9048A" w:rsidRPr="00781112" w:rsidRDefault="00B9048A"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04C1E772"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38361EB5" w14:textId="479B3693"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0F44D03C" w14:textId="3887F715"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5DF55667" w14:textId="0913E6B4" w:rsidR="000C7B90"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3BB76F7F" w14:textId="77777777" w:rsidTr="00AB0D6A">
        <w:tc>
          <w:tcPr>
            <w:tcW w:w="1027" w:type="pct"/>
            <w:shd w:val="clear" w:color="auto" w:fill="auto"/>
          </w:tcPr>
          <w:p w14:paraId="3E53BDFC" w14:textId="49B50F7D" w:rsidR="000C7B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2DAC4ACF" w14:textId="6DFB36C9"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45BEAE02" w14:textId="10E4F499"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3F264F27" w14:textId="46B36D97" w:rsidR="000C7B90"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1B66B81" w14:textId="77777777" w:rsidTr="00AB0D6A">
        <w:tc>
          <w:tcPr>
            <w:tcW w:w="1027" w:type="pct"/>
            <w:shd w:val="clear" w:color="auto" w:fill="auto"/>
          </w:tcPr>
          <w:p w14:paraId="65918C5C" w14:textId="6650DAE7" w:rsidR="000C7B90" w:rsidRPr="00781112" w:rsidRDefault="00505F18"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1BC28F5F" w14:textId="383929AE"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12030336" w14:textId="25AE5462"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189EDDF9" w14:textId="00F3EE08" w:rsidR="000C7B90" w:rsidRPr="00781112" w:rsidRDefault="002B7490">
            <w:pPr>
              <w:jc w:val="center"/>
              <w:rPr>
                <w:rFonts w:cs="Arial"/>
                <w:noProof/>
                <w:color w:val="000000" w:themeColor="text1"/>
                <w:szCs w:val="16"/>
              </w:rPr>
            </w:pPr>
            <w:r w:rsidRPr="00781112">
              <w:rPr>
                <w:rFonts w:cs="Arial"/>
                <w:color w:val="000000" w:themeColor="text1"/>
                <w:szCs w:val="16"/>
              </w:rPr>
              <w:t/>
            </w:r>
          </w:p>
        </w:tc>
      </w:tr>
    </w:tbl>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None</w:t>
      </w:r>
    </w:p>
    <w:p w14:paraId="54E863CC" w14:textId="77777777" w:rsidR="009B02BC" w:rsidRPr="00781112" w:rsidRDefault="009B02BC" w:rsidP="004E2151">
      <w:pPr>
        <w:rPr>
          <w:rFonts w:cs="Arial"/>
          <w:color w:val="000000" w:themeColor="text1"/>
          <w:szCs w:val="16"/>
        </w:rPr>
      </w:pP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B7490" w:rsidP="00212954">
      <w:pPr>
        <w:rPr>
          <w:rFonts w:cs="Arial"/>
          <w:color w:val="000000" w:themeColor="text1"/>
          <w:szCs w:val="16"/>
        </w:rPr>
      </w:pPr>
      <w:r w:rsidRPr="00781112">
        <w:rPr>
          <w:rFonts w:cs="Arial"/>
          <w:color w:val="000000" w:themeColor="text1"/>
          <w:szCs w:val="16"/>
        </w:rPr>
        <w:t/>
      </w: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8"/>
      <w:bookmarkEnd w:id="29"/>
      <w:bookmarkEnd w:id="30"/>
    </w:p>
    <w:p w14:paraId="1BA30D93" w14:textId="77777777" w:rsidR="008637F8" w:rsidRPr="00781112" w:rsidRDefault="008637F8" w:rsidP="00A018D4">
      <w:pPr>
        <w:rPr>
          <w:color w:val="000000" w:themeColor="text1"/>
          <w:szCs w:val="20"/>
        </w:rPr>
      </w:pPr>
      <w:bookmarkStart w:id="31" w:name="_Toc384383338"/>
      <w:bookmarkStart w:id="32"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 xml:space="preserve">expulsions of greater than 10 days in a school year for children with </w:t>
      </w:r>
      <w:proofErr w:type="gramStart"/>
      <w:r w:rsidRPr="00781112">
        <w:rPr>
          <w:rFonts w:cs="Arial"/>
          <w:szCs w:val="16"/>
        </w:rPr>
        <w:t>IEPs;</w:t>
      </w:r>
      <w:proofErr w:type="gramEnd"/>
      <w:r w:rsidRPr="00781112">
        <w:rPr>
          <w:rFonts w:cs="Arial"/>
          <w:szCs w:val="16"/>
        </w:rPr>
        <w:t xml:space="preserve">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2FF91624"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2020 SPP/APR, use data from 2019-2020),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04050159"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77777777" w:rsidR="00474DB4" w:rsidRPr="00781112" w:rsidRDefault="00474DB4" w:rsidP="00474DB4">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42FA82A8" w14:textId="776B256B"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and do not comply with requirements relating to the development and implementation of IEPs, the use of positive behavioral interventions and supports, and procedural safeguards.</w:t>
      </w:r>
    </w:p>
    <w:p w14:paraId="1F7345F8" w14:textId="014486D4"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244FF3E4" w14:textId="77777777"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2A4C3F88" w14:textId="4219B809"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2016</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2015</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2018</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2019</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1F692C">
            <w:pP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493"/>
        <w:gridCol w:w="1627"/>
        <w:gridCol w:w="1734"/>
        <w:gridCol w:w="1734"/>
        <w:gridCol w:w="1734"/>
        <w:gridCol w:w="1734"/>
        <w:gridCol w:w="1734"/>
      </w:tblGrid>
      <w:tr w:rsidR="00D62058" w:rsidRPr="00781112" w14:paraId="1019C6DC" w14:textId="17898954" w:rsidTr="00F90636">
        <w:trPr>
          <w:trHeight w:val="325"/>
        </w:trPr>
        <w:tc>
          <w:tcPr>
            <w:tcW w:w="198" w:type="pct"/>
            <w:tcBorders>
              <w:bottom w:val="single" w:sz="4" w:space="0" w:color="auto"/>
            </w:tcBorders>
            <w:shd w:val="clear" w:color="auto" w:fill="auto"/>
          </w:tcPr>
          <w:p w14:paraId="049B323A" w14:textId="77777777" w:rsidR="00D62058" w:rsidRPr="00781112" w:rsidRDefault="00D62058" w:rsidP="00D62058">
            <w:pPr>
              <w:jc w:val="center"/>
              <w:rPr>
                <w:b/>
                <w:color w:val="000000" w:themeColor="text1"/>
              </w:rPr>
            </w:pPr>
            <w:r w:rsidRPr="00781112">
              <w:rPr>
                <w:b/>
                <w:color w:val="000000" w:themeColor="text1"/>
              </w:rPr>
              <w:t>FFY</w:t>
            </w:r>
          </w:p>
        </w:tc>
        <w:tc>
          <w:tcPr>
            <w:tcW w:w="749" w:type="pct"/>
            <w:shd w:val="clear" w:color="auto" w:fill="auto"/>
          </w:tcPr>
          <w:p w14:paraId="50E287A7" w14:textId="77777777" w:rsidR="00D62058" w:rsidRPr="00781112" w:rsidRDefault="00D62058" w:rsidP="00D62058">
            <w:pPr>
              <w:jc w:val="center"/>
              <w:rPr>
                <w:b/>
                <w:color w:val="000000" w:themeColor="text1"/>
              </w:rPr>
            </w:pPr>
            <w:r w:rsidRPr="00781112">
              <w:rPr>
                <w:b/>
                <w:color w:val="000000" w:themeColor="text1"/>
              </w:rPr>
              <w:t>2020</w:t>
            </w:r>
          </w:p>
        </w:tc>
        <w:tc>
          <w:tcPr>
            <w:tcW w:w="811" w:type="pct"/>
          </w:tcPr>
          <w:p w14:paraId="126623D3" w14:textId="402F1C62" w:rsidR="00D62058" w:rsidRPr="00781112" w:rsidRDefault="00D62058" w:rsidP="00D62058">
            <w:pPr>
              <w:jc w:val="center"/>
              <w:rPr>
                <w:b/>
                <w:color w:val="000000" w:themeColor="text1"/>
              </w:rPr>
            </w:pPr>
            <w:r w:rsidRPr="00781112">
              <w:rPr>
                <w:rFonts w:cs="Arial"/>
                <w:b/>
                <w:color w:val="000000" w:themeColor="text1"/>
                <w:szCs w:val="16"/>
              </w:rPr>
              <w:t>2021</w:t>
            </w:r>
          </w:p>
        </w:tc>
        <w:tc>
          <w:tcPr>
            <w:tcW w:w="811" w:type="pct"/>
          </w:tcPr>
          <w:p w14:paraId="737913FD" w14:textId="6A609FDC" w:rsidR="00D62058" w:rsidRPr="00781112" w:rsidRDefault="00D62058" w:rsidP="00D62058">
            <w:pPr>
              <w:jc w:val="center"/>
              <w:rPr>
                <w:b/>
                <w:color w:val="000000" w:themeColor="text1"/>
              </w:rPr>
            </w:pPr>
            <w:r w:rsidRPr="00781112">
              <w:rPr>
                <w:rFonts w:cs="Arial"/>
                <w:b/>
                <w:color w:val="000000" w:themeColor="text1"/>
                <w:szCs w:val="16"/>
              </w:rPr>
              <w:t>2022</w:t>
            </w:r>
          </w:p>
        </w:tc>
        <w:tc>
          <w:tcPr>
            <w:tcW w:w="811" w:type="pct"/>
          </w:tcPr>
          <w:p w14:paraId="0700D5E9" w14:textId="17E1A6F9" w:rsidR="00D62058" w:rsidRPr="00781112" w:rsidRDefault="00D62058" w:rsidP="00D62058">
            <w:pPr>
              <w:jc w:val="center"/>
              <w:rPr>
                <w:b/>
                <w:color w:val="000000" w:themeColor="text1"/>
              </w:rPr>
            </w:pPr>
            <w:r w:rsidRPr="00781112">
              <w:rPr>
                <w:rFonts w:cs="Arial"/>
                <w:b/>
                <w:color w:val="000000" w:themeColor="text1"/>
                <w:szCs w:val="16"/>
              </w:rPr>
              <w:t>2023</w:t>
            </w:r>
          </w:p>
        </w:tc>
        <w:tc>
          <w:tcPr>
            <w:tcW w:w="811" w:type="pct"/>
          </w:tcPr>
          <w:p w14:paraId="461B0F01" w14:textId="46CF4F16" w:rsidR="00D62058" w:rsidRPr="00781112" w:rsidRDefault="00D62058" w:rsidP="00D62058">
            <w:pPr>
              <w:jc w:val="center"/>
              <w:rPr>
                <w:b/>
                <w:color w:val="000000" w:themeColor="text1"/>
              </w:rPr>
            </w:pPr>
            <w:r w:rsidRPr="00781112">
              <w:rPr>
                <w:rFonts w:cs="Arial"/>
                <w:b/>
                <w:color w:val="000000" w:themeColor="text1"/>
                <w:szCs w:val="16"/>
              </w:rPr>
              <w:t>2024</w:t>
            </w:r>
          </w:p>
        </w:tc>
        <w:tc>
          <w:tcPr>
            <w:tcW w:w="811" w:type="pct"/>
          </w:tcPr>
          <w:p w14:paraId="171B7E85" w14:textId="1A19D46A"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090BA5B6" w14:textId="14D1700A" w:rsidTr="00F90636">
        <w:trPr>
          <w:trHeight w:val="332"/>
        </w:trPr>
        <w:tc>
          <w:tcPr>
            <w:tcW w:w="198" w:type="pct"/>
            <w:shd w:val="clear" w:color="auto" w:fill="auto"/>
            <w:vAlign w:val="center"/>
          </w:tcPr>
          <w:p w14:paraId="47EE91AE" w14:textId="1203380B" w:rsidR="00D62058" w:rsidRPr="00781112" w:rsidRDefault="00D62058" w:rsidP="00D62058">
            <w:pPr>
              <w:rPr>
                <w:rFonts w:cs="Arial"/>
                <w:color w:val="000000" w:themeColor="text1"/>
                <w:szCs w:val="16"/>
              </w:rPr>
            </w:pPr>
            <w:r w:rsidRPr="00781112">
              <w:rPr>
                <w:rFonts w:cs="Arial"/>
                <w:color w:val="000000" w:themeColor="text1"/>
                <w:szCs w:val="16"/>
              </w:rPr>
              <w:t xml:space="preserve">Target </w:t>
            </w:r>
          </w:p>
        </w:tc>
        <w:tc>
          <w:tcPr>
            <w:tcW w:w="749" w:type="pct"/>
            <w:shd w:val="clear" w:color="auto" w:fill="auto"/>
            <w:vAlign w:val="center"/>
          </w:tcPr>
          <w:p w14:paraId="26579D0D" w14:textId="55868DD1" w:rsidR="00D62058" w:rsidRPr="00781112" w:rsidRDefault="00D62058" w:rsidP="00D62058">
            <w:pPr>
              <w:jc w:val="center"/>
              <w:rPr>
                <w:rFonts w:cs="Arial"/>
                <w:color w:val="000000" w:themeColor="text1"/>
                <w:szCs w:val="16"/>
              </w:rPr>
            </w:pPr>
            <w:r w:rsidRPr="00781112">
              <w:rPr>
                <w:rFonts w:cs="Arial"/>
                <w:color w:val="000000" w:themeColor="text1"/>
                <w:szCs w:val="16"/>
              </w:rPr>
              <w:t>0%</w:t>
            </w:r>
          </w:p>
        </w:tc>
        <w:tc>
          <w:tcPr>
            <w:tcW w:w="811" w:type="pct"/>
          </w:tcPr>
          <w:p w14:paraId="41C3DA31" w14:textId="175676CA"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11966A3D" w14:textId="65AB7EFF"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527650DE" w14:textId="33C5B6E9"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20094305" w14:textId="5B15EE13"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1E5CDFA6" w14:textId="4D1CE5C4" w:rsidR="00D62058" w:rsidRPr="00781112" w:rsidRDefault="00D62058"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p w14:paraId="6C217ADA" w14:textId="6FB60C61" w:rsidR="00D03701" w:rsidRPr="00781112" w:rsidRDefault="00F6415A">
      <w:pPr>
        <w:rPr>
          <w:b/>
          <w:color w:val="000000" w:themeColor="text1"/>
        </w:rPr>
      </w:pPr>
      <w:r w:rsidRPr="00781112">
        <w:rPr>
          <w:b/>
          <w:color w:val="000000" w:themeColor="text1"/>
        </w:rPr>
        <w:t>FFY 2020 SPP/APR Data</w:t>
      </w:r>
      <w:bookmarkEnd w:id="31"/>
      <w:bookmarkEnd w:id="32"/>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71</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6"/>
        <w:gridCol w:w="1152"/>
        <w:gridCol w:w="1674"/>
        <w:gridCol w:w="1047"/>
        <w:gridCol w:w="1300"/>
        <w:gridCol w:w="1261"/>
      </w:tblGrid>
      <w:tr w:rsidR="005C29F8" w:rsidRPr="00781112" w14:paraId="38B0A91A" w14:textId="77777777" w:rsidTr="00EC0EDB">
        <w:trPr>
          <w:trHeight w:val="994"/>
          <w:jc w:val="center"/>
        </w:trPr>
        <w:tc>
          <w:tcPr>
            <w:tcW w:w="615" w:type="pct"/>
            <w:shd w:val="clear" w:color="auto" w:fill="auto"/>
            <w:vAlign w:val="bottom"/>
          </w:tcPr>
          <w:p w14:paraId="7B29D1BD" w14:textId="32EC5502" w:rsidR="00DE45AB" w:rsidRPr="00781112" w:rsidRDefault="00DE45AB" w:rsidP="00631963">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DE45AB" w:rsidRPr="00781112" w:rsidRDefault="00DE45AB" w:rsidP="00631963">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DE45AB" w:rsidRPr="00781112" w:rsidRDefault="004B2A77" w:rsidP="00631963">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534" w:type="pct"/>
            <w:shd w:val="clear" w:color="auto" w:fill="auto"/>
            <w:vAlign w:val="bottom"/>
          </w:tcPr>
          <w:p w14:paraId="45990D98" w14:textId="3605E0A5" w:rsidR="00DE45AB" w:rsidRPr="00781112" w:rsidRDefault="00F6415A" w:rsidP="00631963">
            <w:pPr>
              <w:jc w:val="center"/>
              <w:rPr>
                <w:rFonts w:cs="Arial"/>
                <w:b/>
                <w:color w:val="000000" w:themeColor="text1"/>
                <w:szCs w:val="16"/>
              </w:rPr>
            </w:pPr>
            <w:r w:rsidRPr="00781112">
              <w:rPr>
                <w:rFonts w:cs="Arial"/>
                <w:b/>
                <w:color w:val="000000" w:themeColor="text1"/>
                <w:szCs w:val="16"/>
              </w:rPr>
              <w:t>FFY 2019 Data</w:t>
            </w:r>
          </w:p>
        </w:tc>
        <w:tc>
          <w:tcPr>
            <w:tcW w:w="776" w:type="pct"/>
            <w:shd w:val="clear" w:color="auto" w:fill="auto"/>
            <w:vAlign w:val="bottom"/>
          </w:tcPr>
          <w:p w14:paraId="1BAB59B0" w14:textId="1A87FA14" w:rsidR="00DE45AB" w:rsidRPr="00781112" w:rsidRDefault="00F6415A" w:rsidP="00631963">
            <w:pPr>
              <w:jc w:val="center"/>
              <w:rPr>
                <w:rFonts w:cs="Arial"/>
                <w:b/>
                <w:color w:val="000000" w:themeColor="text1"/>
                <w:szCs w:val="16"/>
              </w:rPr>
            </w:pPr>
            <w:r w:rsidRPr="00781112">
              <w:rPr>
                <w:rFonts w:cs="Arial"/>
                <w:b/>
                <w:color w:val="000000" w:themeColor="text1"/>
                <w:szCs w:val="16"/>
              </w:rPr>
              <w:t>FFY 2020 Target</w:t>
            </w:r>
          </w:p>
        </w:tc>
        <w:tc>
          <w:tcPr>
            <w:tcW w:w="485" w:type="pct"/>
            <w:shd w:val="clear" w:color="auto" w:fill="auto"/>
            <w:vAlign w:val="bottom"/>
          </w:tcPr>
          <w:p w14:paraId="179C63C5" w14:textId="6D918676" w:rsidR="00DE45AB" w:rsidRPr="00781112" w:rsidRDefault="00F6415A" w:rsidP="00631963">
            <w:pPr>
              <w:jc w:val="center"/>
              <w:rPr>
                <w:rFonts w:cs="Arial"/>
                <w:b/>
                <w:color w:val="000000" w:themeColor="text1"/>
                <w:szCs w:val="16"/>
              </w:rPr>
            </w:pPr>
            <w:r w:rsidRPr="00781112">
              <w:rPr>
                <w:rFonts w:cs="Arial"/>
                <w:b/>
                <w:color w:val="000000" w:themeColor="text1"/>
                <w:szCs w:val="16"/>
              </w:rPr>
              <w:t>FFY 2020 Data</w:t>
            </w:r>
          </w:p>
        </w:tc>
        <w:tc>
          <w:tcPr>
            <w:tcW w:w="602" w:type="pct"/>
            <w:shd w:val="clear" w:color="auto" w:fill="auto"/>
            <w:vAlign w:val="bottom"/>
          </w:tcPr>
          <w:p w14:paraId="65AC4432" w14:textId="77777777" w:rsidR="00DE45AB" w:rsidRPr="00781112" w:rsidRDefault="00DE45AB" w:rsidP="00631963">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DE45AB" w:rsidRPr="00781112" w:rsidRDefault="00DE45AB" w:rsidP="00631963">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194</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5" w:name="_Toc392159294"/>
      <w:bookmarkEnd w:id="33"/>
      <w:bookmarkEnd w:id="3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The following decision rules are used to determine if there is a significant discrepancy in the rates of suspensions/expulsions greater than 10 days by race/ethnicity among children with disabilities: The district must have a minimum of 10 students of any race/ethnicity with IEPs enrolled. For districts meeting the n size threshold of 10, the number of students of any race/ethnicity suspended or expelled over 10 days must be greater than 1, and the rate of suspensions/expulsions over 10 days must be more than 3 standard deviations above the State's rate of suspensions/expulsions greater than 10 days for students with disabilities.</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
      </w:r>
    </w:p>
    <w:p w14:paraId="4B905245" w14:textId="77777777" w:rsidR="005E2440" w:rsidRPr="00781112" w:rsidRDefault="005E2440" w:rsidP="004369B2">
      <w:pPr>
        <w:rPr>
          <w:color w:val="000000" w:themeColor="text1"/>
        </w:rPr>
      </w:pPr>
    </w:p>
    <w:p w14:paraId="248087F7" w14:textId="463157D9" w:rsidR="001F6A28" w:rsidRPr="00781112" w:rsidRDefault="001F6A28" w:rsidP="004369B2">
      <w:pPr>
        <w:rPr>
          <w:color w:val="000000" w:themeColor="text1"/>
        </w:rPr>
      </w:pPr>
      <w:r w:rsidRPr="00781112">
        <w:rPr>
          <w:b/>
          <w:color w:val="000000" w:themeColor="text1"/>
        </w:rPr>
        <w:t>Review of Policies, Procedures, and Practices (completed in FFY 2020 using 2019-2020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 xml:space="preserve">For Indicator 4B, the data were disaggregated by race/ethnicity. For LEAs exhibiting a significant discrepancy by race/ethnicity in the rate of suspensions/expulsions greater than 10 days, Maine reviews specific files from each district with a compliance instrument to test compliance of each student file or policy document for 36 items. The purpose of this review is to ensure that districts are properly developing and implementing IEPs, use positive behavioral interventions and supports, and include procedural safeguards as outlined in 34 C.F.R. 300.170 (b). Each instance of noncompliance is required to be corrected and the Maine DOE requires the district to revise their policies and procedures to comply with IDEA and Maine Unified Special Education Regulations. </w:t>
        <w:br/>
        <w:t/>
        <w:br/>
        <w:t>The State DID NOT identify noncompliance with Part B requirements as a result of the review required by 34 CFR §300.170(b)</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lastRenderedPageBreak/>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6E03FA45"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481AE6DA"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C570AA">
        <w:trPr>
          <w:tblHeader/>
        </w:trPr>
        <w:tc>
          <w:tcPr>
            <w:tcW w:w="924"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4B1720E5"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C570AA">
        <w:tc>
          <w:tcPr>
            <w:tcW w:w="924" w:type="pct"/>
            <w:shd w:val="clear" w:color="auto" w:fill="auto"/>
          </w:tcPr>
          <w:p w14:paraId="24BDFB83" w14:textId="477472C3"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27669B26" w14:textId="57CAFD92"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265AB867" w14:textId="6DD4A6E4"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016118B8" w14:textId="60E0958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06C2E448" w14:textId="77777777" w:rsidTr="00C570AA">
        <w:tc>
          <w:tcPr>
            <w:tcW w:w="924" w:type="pct"/>
            <w:shd w:val="clear" w:color="auto" w:fill="auto"/>
          </w:tcPr>
          <w:p w14:paraId="1F883C29" w14:textId="16901E48"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4878C645" w14:textId="6B8E2DD3"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5C5B29A8" w14:textId="4F84734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3059F96F" w14:textId="54D2C196"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70D86DF" w14:textId="77777777" w:rsidTr="00C570AA">
        <w:tc>
          <w:tcPr>
            <w:tcW w:w="924" w:type="pct"/>
            <w:shd w:val="clear" w:color="auto" w:fill="auto"/>
          </w:tcPr>
          <w:p w14:paraId="7DBC402C" w14:textId="659D043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39F6C3A8" w14:textId="6AFAAA5E"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4ABCDE9F" w14:textId="61A85266"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4AB54464" w14:textId="0D8F01A9" w:rsidR="009A755E" w:rsidRPr="00781112" w:rsidRDefault="002B7490">
            <w:pPr>
              <w:jc w:val="center"/>
              <w:rPr>
                <w:rFonts w:cs="Arial"/>
                <w:noProof/>
                <w:color w:val="000000" w:themeColor="text1"/>
                <w:szCs w:val="16"/>
              </w:rPr>
            </w:pPr>
            <w:r w:rsidRPr="00781112">
              <w:rPr>
                <w:rFonts w:cs="Arial"/>
                <w:color w:val="000000" w:themeColor="text1"/>
                <w:szCs w:val="16"/>
              </w:rPr>
              <w:t/>
            </w:r>
          </w:p>
        </w:tc>
      </w:tr>
    </w:tbl>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None</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2B7490" w:rsidP="00212954">
      <w:pPr>
        <w:rPr>
          <w:rFonts w:cs="Arial"/>
          <w:color w:val="000000" w:themeColor="text1"/>
          <w:szCs w:val="16"/>
        </w:rPr>
      </w:pPr>
      <w:r w:rsidRPr="00781112">
        <w:rPr>
          <w:rFonts w:cs="Arial"/>
          <w:color w:val="000000" w:themeColor="text1"/>
          <w:szCs w:val="16"/>
        </w:rPr>
        <w:t/>
      </w: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42E5E278"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4"/>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21"/>
      <w:bookmarkEnd w:id="35"/>
    </w:p>
    <w:p w14:paraId="52AD89A1" w14:textId="77777777" w:rsidR="00775845" w:rsidRPr="00781112" w:rsidRDefault="00775845" w:rsidP="00A018D4">
      <w:pPr>
        <w:rPr>
          <w:color w:val="000000" w:themeColor="text1"/>
          <w:szCs w:val="20"/>
        </w:rPr>
      </w:pPr>
      <w:bookmarkStart w:id="36"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 xml:space="preserve">A. Inside the regular class 80% or more of the </w:t>
      </w:r>
      <w:proofErr w:type="gramStart"/>
      <w:r w:rsidRPr="00781112">
        <w:rPr>
          <w:rFonts w:cs="Arial"/>
          <w:color w:val="000000" w:themeColor="text1"/>
          <w:szCs w:val="16"/>
        </w:rPr>
        <w:t>day;</w:t>
      </w:r>
      <w:proofErr w:type="gramEnd"/>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707ABAC1" w14:textId="68EE8BDF" w:rsidR="001F6A28" w:rsidRPr="00781112" w:rsidRDefault="007072DC" w:rsidP="00BB7BC9">
      <w:pPr>
        <w:rPr>
          <w:rFonts w:cs="Arial"/>
          <w:color w:val="000000" w:themeColor="text1"/>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r w:rsidR="001F6A28"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6"/>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2015</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2016</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67.00%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68.00%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69.00%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70.00%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70.00%</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56.11%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56.69%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56.58%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56.41%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55.52%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56.11%</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9.00%</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10.78%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10.78%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10.88%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10.33%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10.39%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10.78%</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3.10%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3.10%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3.10%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3.10%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3.10%</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3.46%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3.13%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3.24%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3.07%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3.46%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3.46%</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4"/>
        <w:gridCol w:w="1691"/>
        <w:gridCol w:w="1691"/>
        <w:gridCol w:w="1691"/>
        <w:gridCol w:w="1691"/>
        <w:gridCol w:w="1691"/>
        <w:gridCol w:w="1691"/>
      </w:tblGrid>
      <w:tr w:rsidR="00D62058" w:rsidRPr="00781112" w14:paraId="67121B7A" w14:textId="6B1EA8E0" w:rsidTr="005F5FE9">
        <w:trPr>
          <w:trHeight w:val="264"/>
        </w:trPr>
        <w:tc>
          <w:tcPr>
            <w:tcW w:w="311" w:type="pct"/>
            <w:tcBorders>
              <w:bottom w:val="single" w:sz="4" w:space="0" w:color="auto"/>
            </w:tcBorders>
            <w:shd w:val="clear" w:color="auto" w:fill="auto"/>
          </w:tcPr>
          <w:p w14:paraId="417BC1C4" w14:textId="77777777" w:rsidR="00D62058" w:rsidRPr="00781112" w:rsidRDefault="00D62058" w:rsidP="00D62058">
            <w:pPr>
              <w:jc w:val="center"/>
              <w:rPr>
                <w:b/>
                <w:color w:val="000000" w:themeColor="text1"/>
              </w:rPr>
            </w:pPr>
            <w:r w:rsidRPr="00781112">
              <w:rPr>
                <w:b/>
                <w:color w:val="000000" w:themeColor="text1"/>
              </w:rPr>
              <w:t>FFY</w:t>
            </w:r>
          </w:p>
        </w:tc>
        <w:tc>
          <w:tcPr>
            <w:tcW w:w="781" w:type="pct"/>
            <w:shd w:val="clear" w:color="auto" w:fill="auto"/>
          </w:tcPr>
          <w:p w14:paraId="43C546D5" w14:textId="7A1B1AB1" w:rsidR="00D62058" w:rsidRPr="00781112" w:rsidRDefault="00D62058" w:rsidP="00D62058">
            <w:pPr>
              <w:jc w:val="center"/>
              <w:rPr>
                <w:b/>
                <w:color w:val="000000" w:themeColor="text1"/>
              </w:rPr>
            </w:pPr>
            <w:r w:rsidRPr="00781112">
              <w:rPr>
                <w:b/>
                <w:color w:val="000000" w:themeColor="text1"/>
              </w:rPr>
              <w:t>2020</w:t>
            </w:r>
          </w:p>
        </w:tc>
        <w:tc>
          <w:tcPr>
            <w:tcW w:w="781" w:type="pct"/>
          </w:tcPr>
          <w:p w14:paraId="12417F21" w14:textId="04859FD1" w:rsidR="00D62058" w:rsidRPr="00781112" w:rsidRDefault="00D62058" w:rsidP="00D62058">
            <w:pPr>
              <w:jc w:val="center"/>
              <w:rPr>
                <w:b/>
                <w:color w:val="000000" w:themeColor="text1"/>
              </w:rPr>
            </w:pPr>
            <w:r w:rsidRPr="00781112">
              <w:rPr>
                <w:rFonts w:cs="Arial"/>
                <w:b/>
                <w:color w:val="000000" w:themeColor="text1"/>
                <w:szCs w:val="16"/>
              </w:rPr>
              <w:t>2021</w:t>
            </w:r>
          </w:p>
        </w:tc>
        <w:tc>
          <w:tcPr>
            <w:tcW w:w="781" w:type="pct"/>
          </w:tcPr>
          <w:p w14:paraId="75B6E23D" w14:textId="1550C183" w:rsidR="00D62058" w:rsidRPr="00781112" w:rsidRDefault="00D62058" w:rsidP="00D62058">
            <w:pPr>
              <w:jc w:val="center"/>
              <w:rPr>
                <w:b/>
                <w:color w:val="000000" w:themeColor="text1"/>
              </w:rPr>
            </w:pPr>
            <w:r w:rsidRPr="00781112">
              <w:rPr>
                <w:rFonts w:cs="Arial"/>
                <w:b/>
                <w:color w:val="000000" w:themeColor="text1"/>
                <w:szCs w:val="16"/>
              </w:rPr>
              <w:t>2022</w:t>
            </w:r>
          </w:p>
        </w:tc>
        <w:tc>
          <w:tcPr>
            <w:tcW w:w="781" w:type="pct"/>
          </w:tcPr>
          <w:p w14:paraId="0412226B" w14:textId="561C74FD" w:rsidR="00D62058" w:rsidRPr="00781112" w:rsidRDefault="00D62058" w:rsidP="00D62058">
            <w:pPr>
              <w:jc w:val="center"/>
              <w:rPr>
                <w:b/>
                <w:color w:val="000000" w:themeColor="text1"/>
              </w:rPr>
            </w:pPr>
            <w:r w:rsidRPr="00781112">
              <w:rPr>
                <w:rFonts w:cs="Arial"/>
                <w:b/>
                <w:color w:val="000000" w:themeColor="text1"/>
                <w:szCs w:val="16"/>
              </w:rPr>
              <w:t>2023</w:t>
            </w:r>
          </w:p>
        </w:tc>
        <w:tc>
          <w:tcPr>
            <w:tcW w:w="781" w:type="pct"/>
          </w:tcPr>
          <w:p w14:paraId="46BF17D8" w14:textId="1CC0E2CE" w:rsidR="00D62058" w:rsidRPr="00781112" w:rsidRDefault="00D62058" w:rsidP="00D62058">
            <w:pPr>
              <w:jc w:val="center"/>
              <w:rPr>
                <w:b/>
                <w:color w:val="000000" w:themeColor="text1"/>
              </w:rPr>
            </w:pPr>
            <w:r w:rsidRPr="00781112">
              <w:rPr>
                <w:rFonts w:cs="Arial"/>
                <w:b/>
                <w:color w:val="000000" w:themeColor="text1"/>
                <w:szCs w:val="16"/>
              </w:rPr>
              <w:t>2024</w:t>
            </w:r>
          </w:p>
        </w:tc>
        <w:tc>
          <w:tcPr>
            <w:tcW w:w="781" w:type="pct"/>
          </w:tcPr>
          <w:p w14:paraId="2C02A36B" w14:textId="2EC9CAF5"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0E725BBE" w14:textId="7C441390" w:rsidTr="005F5FE9">
        <w:trPr>
          <w:trHeight w:val="270"/>
        </w:trPr>
        <w:tc>
          <w:tcPr>
            <w:tcW w:w="311" w:type="pct"/>
            <w:shd w:val="clear" w:color="auto" w:fill="auto"/>
            <w:vAlign w:val="center"/>
          </w:tcPr>
          <w:p w14:paraId="3CB4FC66" w14:textId="21A33A6B" w:rsidR="00D62058" w:rsidRPr="00781112" w:rsidRDefault="00D62058" w:rsidP="00D62058">
            <w:pPr>
              <w:rPr>
                <w:rFonts w:cs="Arial"/>
                <w:color w:val="000000" w:themeColor="text1"/>
                <w:szCs w:val="16"/>
              </w:rPr>
            </w:pPr>
            <w:r w:rsidRPr="00781112">
              <w:rPr>
                <w:rFonts w:cs="Arial"/>
                <w:color w:val="000000" w:themeColor="text1"/>
                <w:szCs w:val="16"/>
              </w:rPr>
              <w:t>Target A &gt;=</w:t>
            </w:r>
          </w:p>
        </w:tc>
        <w:tc>
          <w:tcPr>
            <w:tcW w:w="781" w:type="pct"/>
            <w:shd w:val="clear" w:color="auto" w:fill="auto"/>
            <w:vAlign w:val="center"/>
          </w:tcPr>
          <w:p w14:paraId="0643B02C" w14:textId="7613B373" w:rsidR="00D62058" w:rsidRPr="00781112" w:rsidRDefault="00D62058" w:rsidP="00D62058">
            <w:pPr>
              <w:jc w:val="center"/>
              <w:rPr>
                <w:rFonts w:cs="Arial"/>
                <w:color w:val="000000" w:themeColor="text1"/>
                <w:szCs w:val="16"/>
              </w:rPr>
            </w:pPr>
            <w:r w:rsidRPr="00781112">
              <w:rPr>
                <w:rFonts w:cs="Arial"/>
                <w:color w:val="000000" w:themeColor="text1"/>
                <w:szCs w:val="16"/>
              </w:rPr>
              <w:t>56.11%</w:t>
            </w:r>
          </w:p>
        </w:tc>
        <w:tc>
          <w:tcPr>
            <w:tcW w:w="781" w:type="pct"/>
          </w:tcPr>
          <w:p w14:paraId="5AAF7764" w14:textId="6CE24C23" w:rsidR="00D62058" w:rsidRPr="00781112" w:rsidRDefault="00D62058" w:rsidP="00D62058">
            <w:pPr>
              <w:jc w:val="center"/>
              <w:rPr>
                <w:rFonts w:cs="Arial"/>
                <w:color w:val="000000" w:themeColor="text1"/>
                <w:szCs w:val="16"/>
              </w:rPr>
            </w:pPr>
            <w:r w:rsidRPr="00781112">
              <w:rPr>
                <w:color w:val="000000" w:themeColor="text1"/>
                <w:szCs w:val="16"/>
              </w:rPr>
              <w:t>56.11%</w:t>
            </w:r>
          </w:p>
        </w:tc>
        <w:tc>
          <w:tcPr>
            <w:tcW w:w="781" w:type="pct"/>
          </w:tcPr>
          <w:p w14:paraId="18842FBE" w14:textId="34C8AABC" w:rsidR="00D62058" w:rsidRPr="00781112" w:rsidRDefault="00D62058" w:rsidP="00D62058">
            <w:pPr>
              <w:jc w:val="center"/>
              <w:rPr>
                <w:rFonts w:cs="Arial"/>
                <w:color w:val="000000" w:themeColor="text1"/>
                <w:szCs w:val="16"/>
              </w:rPr>
            </w:pPr>
            <w:r w:rsidRPr="00781112">
              <w:rPr>
                <w:color w:val="000000" w:themeColor="text1"/>
                <w:szCs w:val="16"/>
              </w:rPr>
              <w:t>56.33%</w:t>
            </w:r>
          </w:p>
        </w:tc>
        <w:tc>
          <w:tcPr>
            <w:tcW w:w="781" w:type="pct"/>
          </w:tcPr>
          <w:p w14:paraId="22283B88" w14:textId="78C8081B" w:rsidR="00D62058" w:rsidRPr="00781112" w:rsidRDefault="00D62058" w:rsidP="00D62058">
            <w:pPr>
              <w:jc w:val="center"/>
              <w:rPr>
                <w:rFonts w:cs="Arial"/>
                <w:color w:val="000000" w:themeColor="text1"/>
                <w:szCs w:val="16"/>
              </w:rPr>
            </w:pPr>
            <w:r w:rsidRPr="00781112">
              <w:rPr>
                <w:color w:val="000000" w:themeColor="text1"/>
                <w:szCs w:val="16"/>
              </w:rPr>
              <w:t>56.33%</w:t>
            </w:r>
          </w:p>
        </w:tc>
        <w:tc>
          <w:tcPr>
            <w:tcW w:w="781" w:type="pct"/>
          </w:tcPr>
          <w:p w14:paraId="7C808A06" w14:textId="70D7E176" w:rsidR="00D62058" w:rsidRPr="00781112" w:rsidRDefault="00D62058" w:rsidP="00D62058">
            <w:pPr>
              <w:jc w:val="center"/>
              <w:rPr>
                <w:rFonts w:cs="Arial"/>
                <w:color w:val="000000" w:themeColor="text1"/>
                <w:szCs w:val="16"/>
              </w:rPr>
            </w:pPr>
            <w:r w:rsidRPr="00781112">
              <w:rPr>
                <w:color w:val="000000" w:themeColor="text1"/>
                <w:szCs w:val="16"/>
              </w:rPr>
              <w:t>56.66%</w:t>
            </w:r>
          </w:p>
        </w:tc>
        <w:tc>
          <w:tcPr>
            <w:tcW w:w="781" w:type="pct"/>
          </w:tcPr>
          <w:p w14:paraId="6A3BFC2B" w14:textId="59F48114" w:rsidR="00D62058" w:rsidRPr="00781112" w:rsidRDefault="00D62058" w:rsidP="00D62058">
            <w:pPr>
              <w:jc w:val="center"/>
              <w:rPr>
                <w:rFonts w:cs="Arial"/>
                <w:color w:val="000000" w:themeColor="text1"/>
                <w:szCs w:val="16"/>
              </w:rPr>
            </w:pPr>
            <w:r w:rsidRPr="00781112">
              <w:rPr>
                <w:color w:val="000000" w:themeColor="text1"/>
                <w:szCs w:val="16"/>
              </w:rPr>
              <w:t>57.00%</w:t>
            </w:r>
          </w:p>
        </w:tc>
      </w:tr>
      <w:tr w:rsidR="00D62058" w:rsidRPr="00781112" w14:paraId="17C12050" w14:textId="1A45DE5B" w:rsidTr="005F5FE9">
        <w:trPr>
          <w:trHeight w:val="270"/>
        </w:trPr>
        <w:tc>
          <w:tcPr>
            <w:tcW w:w="311" w:type="pct"/>
            <w:shd w:val="clear" w:color="auto" w:fill="auto"/>
            <w:vAlign w:val="center"/>
          </w:tcPr>
          <w:p w14:paraId="5FF4BE45" w14:textId="3D057CF2" w:rsidR="00D62058" w:rsidRPr="00781112" w:rsidRDefault="00D62058" w:rsidP="00D62058">
            <w:pPr>
              <w:rPr>
                <w:rFonts w:cs="Arial"/>
                <w:color w:val="000000" w:themeColor="text1"/>
                <w:szCs w:val="16"/>
              </w:rPr>
            </w:pPr>
            <w:r w:rsidRPr="00781112">
              <w:rPr>
                <w:rFonts w:cs="Arial"/>
                <w:color w:val="000000" w:themeColor="text1"/>
                <w:szCs w:val="16"/>
              </w:rPr>
              <w:t>Target B &lt;=</w:t>
            </w:r>
          </w:p>
        </w:tc>
        <w:tc>
          <w:tcPr>
            <w:tcW w:w="781" w:type="pct"/>
            <w:shd w:val="clear" w:color="auto" w:fill="auto"/>
            <w:vAlign w:val="center"/>
          </w:tcPr>
          <w:p w14:paraId="4B344C1C" w14:textId="2108066A" w:rsidR="00D62058" w:rsidRPr="00781112" w:rsidRDefault="00D62058" w:rsidP="00D62058">
            <w:pPr>
              <w:jc w:val="center"/>
              <w:rPr>
                <w:rFonts w:cs="Arial"/>
                <w:color w:val="000000" w:themeColor="text1"/>
                <w:szCs w:val="16"/>
              </w:rPr>
            </w:pPr>
            <w:r w:rsidRPr="00781112">
              <w:rPr>
                <w:rFonts w:cs="Arial"/>
                <w:color w:val="000000" w:themeColor="text1"/>
                <w:szCs w:val="16"/>
              </w:rPr>
              <w:t>10.78%</w:t>
            </w:r>
          </w:p>
        </w:tc>
        <w:tc>
          <w:tcPr>
            <w:tcW w:w="781" w:type="pct"/>
          </w:tcPr>
          <w:p w14:paraId="05700FA5" w14:textId="5CCD345F" w:rsidR="00D62058" w:rsidRPr="00781112" w:rsidRDefault="00D62058" w:rsidP="00D62058">
            <w:pPr>
              <w:jc w:val="center"/>
              <w:rPr>
                <w:rFonts w:cs="Arial"/>
                <w:color w:val="000000" w:themeColor="text1"/>
                <w:szCs w:val="16"/>
              </w:rPr>
            </w:pPr>
            <w:r w:rsidRPr="00781112">
              <w:rPr>
                <w:color w:val="000000" w:themeColor="text1"/>
                <w:szCs w:val="16"/>
              </w:rPr>
              <w:t>10.42%</w:t>
            </w:r>
          </w:p>
        </w:tc>
        <w:tc>
          <w:tcPr>
            <w:tcW w:w="781" w:type="pct"/>
          </w:tcPr>
          <w:p w14:paraId="3714E477" w14:textId="7A435890" w:rsidR="00D62058" w:rsidRPr="00781112" w:rsidRDefault="00D62058" w:rsidP="00D62058">
            <w:pPr>
              <w:jc w:val="center"/>
              <w:rPr>
                <w:rFonts w:cs="Arial"/>
                <w:color w:val="000000" w:themeColor="text1"/>
                <w:szCs w:val="16"/>
              </w:rPr>
            </w:pPr>
            <w:r w:rsidRPr="00781112">
              <w:rPr>
                <w:color w:val="000000" w:themeColor="text1"/>
                <w:szCs w:val="16"/>
              </w:rPr>
              <w:t>10.07%</w:t>
            </w:r>
          </w:p>
        </w:tc>
        <w:tc>
          <w:tcPr>
            <w:tcW w:w="781" w:type="pct"/>
          </w:tcPr>
          <w:p w14:paraId="378D738F" w14:textId="779494DE" w:rsidR="00D62058" w:rsidRPr="00781112" w:rsidRDefault="00D62058" w:rsidP="00D62058">
            <w:pPr>
              <w:jc w:val="center"/>
              <w:rPr>
                <w:rFonts w:cs="Arial"/>
                <w:color w:val="000000" w:themeColor="text1"/>
                <w:szCs w:val="16"/>
              </w:rPr>
            </w:pPr>
            <w:r w:rsidRPr="00781112">
              <w:rPr>
                <w:color w:val="000000" w:themeColor="text1"/>
                <w:szCs w:val="16"/>
              </w:rPr>
              <w:t>9.71%</w:t>
            </w:r>
          </w:p>
        </w:tc>
        <w:tc>
          <w:tcPr>
            <w:tcW w:w="781" w:type="pct"/>
          </w:tcPr>
          <w:p w14:paraId="489715FB" w14:textId="57B31F87" w:rsidR="00D62058" w:rsidRPr="00781112" w:rsidRDefault="00D62058" w:rsidP="00D62058">
            <w:pPr>
              <w:jc w:val="center"/>
              <w:rPr>
                <w:rFonts w:cs="Arial"/>
                <w:color w:val="000000" w:themeColor="text1"/>
                <w:szCs w:val="16"/>
              </w:rPr>
            </w:pPr>
            <w:r w:rsidRPr="00781112">
              <w:rPr>
                <w:color w:val="000000" w:themeColor="text1"/>
                <w:szCs w:val="16"/>
              </w:rPr>
              <w:t>9.36%</w:t>
            </w:r>
          </w:p>
        </w:tc>
        <w:tc>
          <w:tcPr>
            <w:tcW w:w="781" w:type="pct"/>
          </w:tcPr>
          <w:p w14:paraId="673320A3" w14:textId="050E59BF" w:rsidR="00D62058" w:rsidRPr="00781112" w:rsidRDefault="00D62058" w:rsidP="00D62058">
            <w:pPr>
              <w:jc w:val="center"/>
              <w:rPr>
                <w:rFonts w:cs="Arial"/>
                <w:color w:val="000000" w:themeColor="text1"/>
                <w:szCs w:val="16"/>
              </w:rPr>
            </w:pPr>
            <w:r w:rsidRPr="00781112">
              <w:rPr>
                <w:color w:val="000000" w:themeColor="text1"/>
                <w:szCs w:val="16"/>
              </w:rPr>
              <w:t>9.00%</w:t>
            </w:r>
          </w:p>
        </w:tc>
      </w:tr>
      <w:tr w:rsidR="00D62058" w:rsidRPr="00781112" w14:paraId="1C671552" w14:textId="2F7800FB" w:rsidTr="005F5FE9">
        <w:trPr>
          <w:trHeight w:val="270"/>
        </w:trPr>
        <w:tc>
          <w:tcPr>
            <w:tcW w:w="311" w:type="pct"/>
            <w:shd w:val="clear" w:color="auto" w:fill="auto"/>
            <w:vAlign w:val="center"/>
          </w:tcPr>
          <w:p w14:paraId="5D979A7F" w14:textId="57DEB4C1" w:rsidR="00D62058" w:rsidRPr="00781112" w:rsidRDefault="00D62058" w:rsidP="00D62058">
            <w:pPr>
              <w:rPr>
                <w:rFonts w:cs="Arial"/>
                <w:color w:val="000000" w:themeColor="text1"/>
                <w:szCs w:val="16"/>
              </w:rPr>
            </w:pPr>
            <w:r w:rsidRPr="00781112">
              <w:rPr>
                <w:rFonts w:cs="Arial"/>
                <w:color w:val="000000" w:themeColor="text1"/>
                <w:szCs w:val="16"/>
              </w:rPr>
              <w:t>Target C &lt;=</w:t>
            </w:r>
          </w:p>
        </w:tc>
        <w:tc>
          <w:tcPr>
            <w:tcW w:w="781" w:type="pct"/>
            <w:shd w:val="clear" w:color="auto" w:fill="auto"/>
            <w:vAlign w:val="center"/>
          </w:tcPr>
          <w:p w14:paraId="1C0EF441" w14:textId="373B29D8" w:rsidR="00D62058" w:rsidRPr="00781112" w:rsidRDefault="00D62058" w:rsidP="00D62058">
            <w:pPr>
              <w:jc w:val="center"/>
              <w:rPr>
                <w:rFonts w:cs="Arial"/>
                <w:color w:val="000000" w:themeColor="text1"/>
                <w:szCs w:val="16"/>
              </w:rPr>
            </w:pPr>
            <w:r w:rsidRPr="00781112">
              <w:rPr>
                <w:rFonts w:cs="Arial"/>
                <w:color w:val="000000" w:themeColor="text1"/>
                <w:szCs w:val="16"/>
              </w:rPr>
              <w:t>3.46%</w:t>
            </w:r>
          </w:p>
        </w:tc>
        <w:tc>
          <w:tcPr>
            <w:tcW w:w="781" w:type="pct"/>
          </w:tcPr>
          <w:p w14:paraId="29CA6903" w14:textId="7D992541" w:rsidR="00D62058" w:rsidRPr="00781112" w:rsidRDefault="00D62058" w:rsidP="00D62058">
            <w:pPr>
              <w:jc w:val="center"/>
              <w:rPr>
                <w:rFonts w:cs="Arial"/>
                <w:color w:val="000000" w:themeColor="text1"/>
                <w:szCs w:val="16"/>
              </w:rPr>
            </w:pPr>
            <w:r w:rsidRPr="00781112">
              <w:rPr>
                <w:color w:val="000000" w:themeColor="text1"/>
                <w:szCs w:val="16"/>
              </w:rPr>
              <w:t>3.46%</w:t>
            </w:r>
          </w:p>
        </w:tc>
        <w:tc>
          <w:tcPr>
            <w:tcW w:w="781" w:type="pct"/>
          </w:tcPr>
          <w:p w14:paraId="552B6B09" w14:textId="511FB8CF" w:rsidR="00D62058" w:rsidRPr="00781112" w:rsidRDefault="00D62058" w:rsidP="00D62058">
            <w:pPr>
              <w:jc w:val="center"/>
              <w:rPr>
                <w:rFonts w:cs="Arial"/>
                <w:color w:val="000000" w:themeColor="text1"/>
                <w:szCs w:val="16"/>
              </w:rPr>
            </w:pPr>
            <w:r w:rsidRPr="00781112">
              <w:rPr>
                <w:color w:val="000000" w:themeColor="text1"/>
                <w:szCs w:val="16"/>
              </w:rPr>
              <w:t>3.46%</w:t>
            </w:r>
          </w:p>
        </w:tc>
        <w:tc>
          <w:tcPr>
            <w:tcW w:w="781" w:type="pct"/>
          </w:tcPr>
          <w:p w14:paraId="7DB61507" w14:textId="60C3D8B8" w:rsidR="00D62058" w:rsidRPr="00781112" w:rsidRDefault="00D62058" w:rsidP="00D62058">
            <w:pPr>
              <w:jc w:val="center"/>
              <w:rPr>
                <w:rFonts w:cs="Arial"/>
                <w:color w:val="000000" w:themeColor="text1"/>
                <w:szCs w:val="16"/>
              </w:rPr>
            </w:pPr>
            <w:r w:rsidRPr="00781112">
              <w:rPr>
                <w:color w:val="000000" w:themeColor="text1"/>
                <w:szCs w:val="16"/>
              </w:rPr>
              <w:t>3.34%</w:t>
            </w:r>
          </w:p>
        </w:tc>
        <w:tc>
          <w:tcPr>
            <w:tcW w:w="781" w:type="pct"/>
          </w:tcPr>
          <w:p w14:paraId="4D51A8CD" w14:textId="32D58B55" w:rsidR="00D62058" w:rsidRPr="00781112" w:rsidRDefault="00D62058" w:rsidP="00D62058">
            <w:pPr>
              <w:jc w:val="center"/>
              <w:rPr>
                <w:rFonts w:cs="Arial"/>
                <w:color w:val="000000" w:themeColor="text1"/>
                <w:szCs w:val="16"/>
              </w:rPr>
            </w:pPr>
            <w:r w:rsidRPr="00781112">
              <w:rPr>
                <w:color w:val="000000" w:themeColor="text1"/>
                <w:szCs w:val="16"/>
              </w:rPr>
              <w:t>3.22%</w:t>
            </w:r>
          </w:p>
        </w:tc>
        <w:tc>
          <w:tcPr>
            <w:tcW w:w="781" w:type="pct"/>
          </w:tcPr>
          <w:p w14:paraId="50C592AB" w14:textId="02D0AA40" w:rsidR="00D62058" w:rsidRPr="00781112" w:rsidRDefault="00D62058" w:rsidP="00D62058">
            <w:pPr>
              <w:jc w:val="center"/>
              <w:rPr>
                <w:rFonts w:cs="Arial"/>
                <w:color w:val="000000" w:themeColor="text1"/>
                <w:szCs w:val="16"/>
              </w:rPr>
            </w:pPr>
            <w:r w:rsidRPr="00781112">
              <w:rPr>
                <w:color w:val="000000" w:themeColor="text1"/>
                <w:szCs w:val="16"/>
              </w:rPr>
              <w:t>3.10%</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lastRenderedPageBreak/>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31,989</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17,567</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3,537</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923</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168</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24</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423710B3" w:rsidR="00805DD3" w:rsidRPr="00781112" w:rsidRDefault="00F6415A">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5C29F8" w:rsidRPr="00781112" w14:paraId="0324DF77" w14:textId="01438934" w:rsidTr="00360DD6">
        <w:trPr>
          <w:trHeight w:val="440"/>
          <w:tblHeader/>
        </w:trPr>
        <w:tc>
          <w:tcPr>
            <w:tcW w:w="1040" w:type="pct"/>
            <w:shd w:val="clear" w:color="auto" w:fill="auto"/>
            <w:vAlign w:val="bottom"/>
          </w:tcPr>
          <w:p w14:paraId="0D668D1B" w14:textId="6BB38C6B" w:rsidR="00931A25" w:rsidRPr="00781112" w:rsidRDefault="001F64DB" w:rsidP="004369B2">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931A25" w:rsidRPr="00781112" w:rsidRDefault="00931A25" w:rsidP="004369B2">
            <w:pPr>
              <w:jc w:val="center"/>
              <w:rPr>
                <w:b/>
                <w:color w:val="000000" w:themeColor="text1"/>
              </w:rPr>
            </w:pPr>
            <w:r w:rsidRPr="00781112">
              <w:rPr>
                <w:b/>
                <w:color w:val="000000" w:themeColor="text1"/>
              </w:rPr>
              <w:t xml:space="preserve">Number of children with IEPs aged </w:t>
            </w:r>
            <w:r w:rsidR="00134567"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931A25" w:rsidRPr="00781112" w:rsidRDefault="00931A25" w:rsidP="004369B2">
            <w:pPr>
              <w:jc w:val="center"/>
              <w:rPr>
                <w:b/>
                <w:color w:val="000000" w:themeColor="text1"/>
              </w:rPr>
            </w:pPr>
            <w:r w:rsidRPr="00781112">
              <w:rPr>
                <w:b/>
                <w:color w:val="000000" w:themeColor="text1"/>
              </w:rPr>
              <w:t xml:space="preserve">Total number of children with IEPs aged </w:t>
            </w:r>
            <w:r w:rsidR="00134567"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55887AEB" w:rsidR="00931A25" w:rsidRPr="00781112" w:rsidRDefault="00F6415A" w:rsidP="004369B2">
            <w:pPr>
              <w:jc w:val="center"/>
              <w:rPr>
                <w:b/>
                <w:color w:val="000000" w:themeColor="text1"/>
              </w:rPr>
            </w:pPr>
            <w:r w:rsidRPr="00781112">
              <w:rPr>
                <w:b/>
                <w:color w:val="000000" w:themeColor="text1"/>
              </w:rPr>
              <w:t>FFY 2019 Data</w:t>
            </w:r>
          </w:p>
        </w:tc>
        <w:tc>
          <w:tcPr>
            <w:tcW w:w="533" w:type="pct"/>
            <w:shd w:val="clear" w:color="auto" w:fill="auto"/>
            <w:vAlign w:val="bottom"/>
          </w:tcPr>
          <w:p w14:paraId="320127EA" w14:textId="6FE065AE" w:rsidR="00931A25" w:rsidRPr="00781112" w:rsidRDefault="00F6415A" w:rsidP="004369B2">
            <w:pPr>
              <w:jc w:val="center"/>
              <w:rPr>
                <w:b/>
                <w:color w:val="000000" w:themeColor="text1"/>
              </w:rPr>
            </w:pPr>
            <w:r w:rsidRPr="00781112">
              <w:rPr>
                <w:b/>
                <w:color w:val="000000" w:themeColor="text1"/>
              </w:rPr>
              <w:t>FFY 2020 Target</w:t>
            </w:r>
          </w:p>
        </w:tc>
        <w:tc>
          <w:tcPr>
            <w:tcW w:w="533" w:type="pct"/>
            <w:shd w:val="clear" w:color="auto" w:fill="auto"/>
            <w:vAlign w:val="bottom"/>
          </w:tcPr>
          <w:p w14:paraId="150C2675" w14:textId="0EA9BC06" w:rsidR="00931A25" w:rsidRPr="00781112" w:rsidRDefault="00F6415A" w:rsidP="004369B2">
            <w:pPr>
              <w:jc w:val="center"/>
              <w:rPr>
                <w:b/>
                <w:color w:val="000000" w:themeColor="text1"/>
              </w:rPr>
            </w:pPr>
            <w:r w:rsidRPr="00781112">
              <w:rPr>
                <w:b/>
                <w:color w:val="000000" w:themeColor="text1"/>
              </w:rPr>
              <w:t>FFY 2020 Data</w:t>
            </w:r>
          </w:p>
        </w:tc>
        <w:tc>
          <w:tcPr>
            <w:tcW w:w="533" w:type="pct"/>
            <w:shd w:val="clear" w:color="auto" w:fill="auto"/>
            <w:vAlign w:val="bottom"/>
          </w:tcPr>
          <w:p w14:paraId="08F715E4" w14:textId="7BB096AF" w:rsidR="00931A25" w:rsidRPr="00781112" w:rsidRDefault="00931A25" w:rsidP="004369B2">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931A25" w:rsidRPr="00781112" w:rsidRDefault="00931A25" w:rsidP="004369B2">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17,567</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31,989</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56.11%</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56.11%</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54.92%</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3,537</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31,989</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10.78%</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10.78%</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11.06%</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1,115</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31,989</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3.46%</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3.46%</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3.49%</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tbl>
      <w:tblPr>
        <w:tblStyle w:val="TableGrid"/>
        <w:tblW w:w="10795" w:type="dxa"/>
        <w:shd w:val="clear" w:color="auto" w:fill="FBD4B4" w:themeFill="accent6" w:themeFillTint="66"/>
        <w:tblLook w:val="04A0" w:firstRow="1" w:lastRow="0" w:firstColumn="1" w:lastColumn="0" w:noHBand="0" w:noVBand="1"/>
        <w:tblCaption w:val="B05SLIPEXPLN"/>
      </w:tblPr>
      <w:tblGrid>
        <w:gridCol w:w="715"/>
        <w:gridCol w:w="10080"/>
      </w:tblGrid>
      <w:tr w:rsidR="005C29F8" w:rsidRPr="00781112" w14:paraId="3FDCF912" w14:textId="77777777" w:rsidTr="0033429D">
        <w:trPr>
          <w:tblHeader/>
        </w:trPr>
        <w:tc>
          <w:tcPr>
            <w:tcW w:w="715" w:type="dxa"/>
          </w:tcPr>
          <w:p w14:paraId="383E6F3C" w14:textId="77777777" w:rsidR="009569B8" w:rsidRPr="00781112" w:rsidRDefault="009569B8" w:rsidP="004369B2">
            <w:pPr>
              <w:jc w:val="center"/>
              <w:rPr>
                <w:color w:val="000000" w:themeColor="text1"/>
              </w:rPr>
            </w:pPr>
            <w:r w:rsidRPr="00781112">
              <w:rPr>
                <w:b/>
                <w:color w:val="000000" w:themeColor="text1"/>
              </w:rPr>
              <w:t>Part</w:t>
            </w:r>
          </w:p>
        </w:tc>
        <w:tc>
          <w:tcPr>
            <w:tcW w:w="10080" w:type="dxa"/>
            <w:shd w:val="clear" w:color="auto" w:fill="auto"/>
          </w:tcPr>
          <w:p w14:paraId="4E3E1CA0" w14:textId="77777777" w:rsidR="009569B8" w:rsidRPr="00781112" w:rsidRDefault="009569B8" w:rsidP="004369B2">
            <w:pPr>
              <w:jc w:val="center"/>
              <w:rPr>
                <w:color w:val="000000" w:themeColor="text1"/>
              </w:rPr>
            </w:pPr>
            <w:r w:rsidRPr="00781112">
              <w:rPr>
                <w:b/>
                <w:color w:val="000000" w:themeColor="text1"/>
              </w:rPr>
              <w:t>Reasons for slippage, if applicable</w:t>
            </w:r>
          </w:p>
        </w:tc>
      </w:tr>
      <w:tr w:rsidR="005C29F8" w:rsidRPr="00781112" w14:paraId="1A9F60C6" w14:textId="77777777" w:rsidTr="00E21107">
        <w:tc>
          <w:tcPr>
            <w:tcW w:w="715" w:type="dxa"/>
            <w:vAlign w:val="center"/>
          </w:tcPr>
          <w:p w14:paraId="1B4C044E" w14:textId="77777777" w:rsidR="009569B8" w:rsidRPr="00781112" w:rsidRDefault="009569B8" w:rsidP="004369B2">
            <w:pPr>
              <w:jc w:val="center"/>
              <w:rPr>
                <w:b/>
                <w:color w:val="000000" w:themeColor="text1"/>
              </w:rPr>
            </w:pPr>
            <w:r w:rsidRPr="00781112">
              <w:rPr>
                <w:b/>
                <w:color w:val="000000" w:themeColor="text1"/>
              </w:rPr>
              <w:t>A</w:t>
            </w:r>
          </w:p>
        </w:tc>
        <w:tc>
          <w:tcPr>
            <w:tcW w:w="10080" w:type="dxa"/>
            <w:shd w:val="clear" w:color="auto" w:fill="auto"/>
          </w:tcPr>
          <w:p w14:paraId="4E4DD2DE" w14:textId="752834A8" w:rsidR="009569B8" w:rsidRPr="00781112" w:rsidRDefault="003D7F56" w:rsidP="004369B2">
            <w:pPr>
              <w:rPr>
                <w:color w:val="000000" w:themeColor="text1"/>
              </w:rPr>
            </w:pPr>
            <w:r w:rsidRPr="00781112">
              <w:rPr>
                <w:color w:val="000000" w:themeColor="text1"/>
              </w:rPr>
              <w:t>The reason for slippage is unclear. However, the FFY2020 percentage is within the typical historical year-to-year variability for this indicator. Maine will continue to monitor this indicator to determine the overall trend.</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2B7490" w:rsidP="007D435F">
      <w:pPr>
        <w:rPr>
          <w:rFonts w:cs="Arial"/>
          <w:color w:val="000000" w:themeColor="text1"/>
          <w:szCs w:val="16"/>
        </w:rPr>
      </w:pPr>
      <w:r w:rsidRPr="00781112">
        <w:rPr>
          <w:rFonts w:cs="Arial"/>
          <w:color w:val="000000" w:themeColor="text1"/>
          <w:szCs w:val="16"/>
        </w:rPr>
        <w:t/>
      </w: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2B7490" w:rsidP="001F692C">
      <w:pPr>
        <w:rPr>
          <w:rFonts w:cs="Arial"/>
          <w:color w:val="000000" w:themeColor="text1"/>
          <w:szCs w:val="16"/>
        </w:rPr>
      </w:pPr>
      <w:r w:rsidRPr="00781112">
        <w:rPr>
          <w:rFonts w:cs="Arial"/>
          <w:color w:val="000000" w:themeColor="text1"/>
          <w:szCs w:val="16"/>
        </w:rPr>
        <w:t/>
      </w: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2D7C47BF"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bookmarkEnd w:id="37"/>
      <w:bookmarkEnd w:id="38"/>
    </w:p>
    <w:p w14:paraId="0EEB38B7" w14:textId="59C9FCA0" w:rsidR="00897094" w:rsidRPr="00781112" w:rsidRDefault="00897094" w:rsidP="00A018D4">
      <w:pPr>
        <w:rPr>
          <w:color w:val="000000" w:themeColor="text1"/>
          <w:szCs w:val="20"/>
        </w:rPr>
      </w:pPr>
      <w:bookmarkStart w:id="39"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594A7ED4" w14:textId="41F6D87D" w:rsidR="005322B8" w:rsidRPr="00781112" w:rsidRDefault="00633044" w:rsidP="00BB7BC9">
      <w:pPr>
        <w:rPr>
          <w:rFonts w:cs="Arial"/>
          <w:color w:val="000000" w:themeColor="text1"/>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r w:rsidR="005322B8"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9"/>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6D4C5D02" w14:textId="77777777" w:rsidR="002441FF" w:rsidRPr="00781112" w:rsidRDefault="002441FF" w:rsidP="002441FF">
      <w:pPr>
        <w:rPr>
          <w:color w:val="000000" w:themeColor="text1"/>
        </w:rPr>
      </w:pPr>
    </w:p>
    <w:p w14:paraId="2DFC3658" w14:textId="20467DA4" w:rsidR="006309D0" w:rsidRPr="00781112" w:rsidRDefault="006309D0" w:rsidP="006309D0">
      <w:pPr>
        <w:rPr>
          <w:b/>
          <w:color w:val="000000" w:themeColor="text1"/>
        </w:rPr>
      </w:pPr>
      <w:r w:rsidRPr="00781112">
        <w:rPr>
          <w:b/>
          <w:color w:val="000000" w:themeColor="text1"/>
        </w:rPr>
        <w:t>Historical Data – 6A, 6B</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2015</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2016</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pPr>
              <w:spacing w:line="276" w:lineRule="auto"/>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75.20%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74.69%</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68.32%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46.07%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39.92%</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pPr>
              <w:spacing w:line="276" w:lineRule="auto"/>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0.74%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12.87%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14.98%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23.50%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24.24%</w:t>
            </w:r>
          </w:p>
        </w:tc>
      </w:tr>
    </w:tbl>
    <w:p w14:paraId="1E340B65" w14:textId="749176D6" w:rsidR="001C2B29" w:rsidRPr="00781112" w:rsidRDefault="001C2B29" w:rsidP="004369B2">
      <w:pPr>
        <w:rPr>
          <w:color w:val="000000" w:themeColor="text1"/>
        </w:rPr>
      </w:pPr>
    </w:p>
    <w:p w14:paraId="34B0E047" w14:textId="77777777"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lastRenderedPageBreak/>
        <w:t>Targets</w:t>
      </w:r>
    </w:p>
    <w:p w14:paraId="1C259A9C" w14:textId="233315C1" w:rsidR="001C2B29" w:rsidRPr="001C443D" w:rsidRDefault="007F67C7" w:rsidP="001C443D">
      <w:pPr>
        <w:rPr>
          <w:b/>
          <w:bCs/>
        </w:rPr>
      </w:pPr>
      <w:r w:rsidRPr="001C443D">
        <w:rPr>
          <w:b/>
          <w:bCs/>
        </w:rPr>
        <w:t>Please select if the State wants to set baseline and targets based on individual age ranges (</w:t>
      </w:r>
      <w:proofErr w:type="gramStart"/>
      <w:r w:rsidRPr="001C443D">
        <w:rPr>
          <w:b/>
          <w:bCs/>
        </w:rPr>
        <w:t>i.e.</w:t>
      </w:r>
      <w:proofErr w:type="gramEnd"/>
      <w:r w:rsidRPr="001C443D">
        <w:rPr>
          <w:b/>
          <w:bCs/>
        </w:rPr>
        <w:t xml:space="preserv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2019</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39.92%</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2019</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24.24%</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0.36%</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4"/>
        <w:gridCol w:w="1618"/>
        <w:gridCol w:w="1618"/>
        <w:gridCol w:w="1621"/>
        <w:gridCol w:w="1619"/>
        <w:gridCol w:w="1619"/>
        <w:gridCol w:w="1621"/>
      </w:tblGrid>
      <w:tr w:rsidR="00D62058" w:rsidRPr="00781112" w14:paraId="502A05CF" w14:textId="31F34C5E" w:rsidTr="005F5FE9">
        <w:trPr>
          <w:trHeight w:val="297"/>
        </w:trPr>
        <w:tc>
          <w:tcPr>
            <w:tcW w:w="498" w:type="pct"/>
            <w:tcBorders>
              <w:bottom w:val="single" w:sz="4" w:space="0" w:color="auto"/>
            </w:tcBorders>
            <w:shd w:val="clear" w:color="auto" w:fill="auto"/>
          </w:tcPr>
          <w:p w14:paraId="24938C30" w14:textId="77777777" w:rsidR="00D62058" w:rsidRPr="00781112" w:rsidRDefault="00D62058" w:rsidP="00D62058">
            <w:pPr>
              <w:jc w:val="center"/>
              <w:rPr>
                <w:b/>
                <w:color w:val="000000" w:themeColor="text1"/>
              </w:rPr>
            </w:pPr>
            <w:r w:rsidRPr="00781112">
              <w:rPr>
                <w:b/>
                <w:color w:val="000000" w:themeColor="text1"/>
              </w:rPr>
              <w:t>FFY</w:t>
            </w:r>
          </w:p>
        </w:tc>
        <w:tc>
          <w:tcPr>
            <w:tcW w:w="750" w:type="pct"/>
            <w:shd w:val="clear" w:color="auto" w:fill="auto"/>
          </w:tcPr>
          <w:p w14:paraId="4B75D90A" w14:textId="04FBCB48" w:rsidR="00D62058" w:rsidRPr="00781112" w:rsidRDefault="00D62058" w:rsidP="00D62058">
            <w:pPr>
              <w:jc w:val="center"/>
              <w:rPr>
                <w:b/>
                <w:color w:val="000000" w:themeColor="text1"/>
              </w:rPr>
            </w:pPr>
            <w:r w:rsidRPr="00781112">
              <w:rPr>
                <w:b/>
                <w:color w:val="000000" w:themeColor="text1"/>
              </w:rPr>
              <w:t>2020</w:t>
            </w:r>
          </w:p>
        </w:tc>
        <w:tc>
          <w:tcPr>
            <w:tcW w:w="750" w:type="pct"/>
          </w:tcPr>
          <w:p w14:paraId="5DC58FF5" w14:textId="7CBB0832" w:rsidR="00D62058" w:rsidRPr="00781112" w:rsidRDefault="00D62058" w:rsidP="00360DD6">
            <w:pPr>
              <w:jc w:val="center"/>
              <w:rPr>
                <w:b/>
                <w:color w:val="000000" w:themeColor="text1"/>
              </w:rPr>
            </w:pPr>
            <w:r w:rsidRPr="00781112">
              <w:rPr>
                <w:b/>
                <w:color w:val="000000" w:themeColor="text1"/>
              </w:rPr>
              <w:t>2021</w:t>
            </w:r>
          </w:p>
        </w:tc>
        <w:tc>
          <w:tcPr>
            <w:tcW w:w="751" w:type="pct"/>
          </w:tcPr>
          <w:p w14:paraId="7F3093B9" w14:textId="2E366C4A" w:rsidR="00D62058" w:rsidRPr="00781112" w:rsidRDefault="00D62058" w:rsidP="00360DD6">
            <w:pPr>
              <w:jc w:val="center"/>
              <w:rPr>
                <w:b/>
                <w:color w:val="000000" w:themeColor="text1"/>
              </w:rPr>
            </w:pPr>
            <w:r w:rsidRPr="00781112">
              <w:rPr>
                <w:b/>
                <w:color w:val="000000" w:themeColor="text1"/>
              </w:rPr>
              <w:t>2022</w:t>
            </w:r>
          </w:p>
        </w:tc>
        <w:tc>
          <w:tcPr>
            <w:tcW w:w="750" w:type="pct"/>
          </w:tcPr>
          <w:p w14:paraId="05A02BBA" w14:textId="78E50BC0" w:rsidR="00D62058" w:rsidRPr="00781112" w:rsidRDefault="00D62058" w:rsidP="00360DD6">
            <w:pPr>
              <w:jc w:val="center"/>
              <w:rPr>
                <w:b/>
                <w:color w:val="000000" w:themeColor="text1"/>
              </w:rPr>
            </w:pPr>
            <w:r w:rsidRPr="00781112">
              <w:rPr>
                <w:b/>
                <w:color w:val="000000" w:themeColor="text1"/>
              </w:rPr>
              <w:t>2023</w:t>
            </w:r>
          </w:p>
        </w:tc>
        <w:tc>
          <w:tcPr>
            <w:tcW w:w="750" w:type="pct"/>
          </w:tcPr>
          <w:p w14:paraId="6CBA3A70" w14:textId="0600BFC9" w:rsidR="00D62058" w:rsidRPr="00781112" w:rsidRDefault="00D62058" w:rsidP="00360DD6">
            <w:pPr>
              <w:jc w:val="center"/>
              <w:rPr>
                <w:b/>
                <w:color w:val="000000" w:themeColor="text1"/>
              </w:rPr>
            </w:pPr>
            <w:r w:rsidRPr="00781112">
              <w:rPr>
                <w:b/>
                <w:color w:val="000000" w:themeColor="text1"/>
              </w:rPr>
              <w:t>2024</w:t>
            </w:r>
          </w:p>
        </w:tc>
        <w:tc>
          <w:tcPr>
            <w:tcW w:w="751" w:type="pct"/>
          </w:tcPr>
          <w:p w14:paraId="3F60B98C" w14:textId="65CA3F62" w:rsidR="00D62058" w:rsidRPr="00781112" w:rsidRDefault="00D62058" w:rsidP="00360DD6">
            <w:pPr>
              <w:jc w:val="center"/>
              <w:rPr>
                <w:b/>
                <w:color w:val="000000" w:themeColor="text1"/>
              </w:rPr>
            </w:pPr>
            <w:r w:rsidRPr="00781112">
              <w:rPr>
                <w:b/>
                <w:color w:val="000000" w:themeColor="text1"/>
              </w:rPr>
              <w:t>2025</w:t>
            </w:r>
          </w:p>
        </w:tc>
      </w:tr>
      <w:tr w:rsidR="00D62058" w:rsidRPr="00781112" w14:paraId="19DCE246" w14:textId="1AEE89BD" w:rsidTr="005F5FE9">
        <w:trPr>
          <w:trHeight w:val="303"/>
        </w:trPr>
        <w:tc>
          <w:tcPr>
            <w:tcW w:w="498" w:type="pct"/>
            <w:shd w:val="clear" w:color="auto" w:fill="auto"/>
            <w:vAlign w:val="center"/>
          </w:tcPr>
          <w:p w14:paraId="772DAD56" w14:textId="1540F97B" w:rsidR="00D62058" w:rsidRPr="00781112" w:rsidRDefault="00D62058" w:rsidP="00D62058">
            <w:pPr>
              <w:rPr>
                <w:rFonts w:cs="Arial"/>
                <w:color w:val="000000" w:themeColor="text1"/>
                <w:szCs w:val="16"/>
              </w:rPr>
            </w:pPr>
            <w:r w:rsidRPr="00781112">
              <w:rPr>
                <w:rFonts w:cs="Arial"/>
                <w:color w:val="000000" w:themeColor="text1"/>
                <w:szCs w:val="16"/>
              </w:rPr>
              <w:t>Target A &gt;=</w:t>
            </w:r>
          </w:p>
        </w:tc>
        <w:tc>
          <w:tcPr>
            <w:tcW w:w="750" w:type="pct"/>
            <w:shd w:val="clear" w:color="auto" w:fill="auto"/>
            <w:vAlign w:val="center"/>
          </w:tcPr>
          <w:p w14:paraId="2E5FC5F6" w14:textId="4C6B8E64" w:rsidR="00D62058" w:rsidRPr="00781112" w:rsidRDefault="00D62058" w:rsidP="00D62058">
            <w:pPr>
              <w:jc w:val="center"/>
              <w:rPr>
                <w:rFonts w:cs="Arial"/>
                <w:color w:val="000000" w:themeColor="text1"/>
                <w:szCs w:val="16"/>
              </w:rPr>
            </w:pPr>
            <w:r w:rsidRPr="00781112">
              <w:rPr>
                <w:rFonts w:cs="Arial"/>
                <w:color w:val="000000" w:themeColor="text1"/>
                <w:szCs w:val="16"/>
              </w:rPr>
              <w:t>39.92%</w:t>
            </w:r>
          </w:p>
        </w:tc>
        <w:tc>
          <w:tcPr>
            <w:tcW w:w="750" w:type="pct"/>
          </w:tcPr>
          <w:p w14:paraId="4C26EA28" w14:textId="691A218F" w:rsidR="00D62058" w:rsidRPr="00781112" w:rsidRDefault="00D62058" w:rsidP="00360DD6">
            <w:pPr>
              <w:jc w:val="center"/>
              <w:rPr>
                <w:rFonts w:cs="Arial"/>
                <w:color w:val="000000" w:themeColor="text1"/>
                <w:szCs w:val="16"/>
              </w:rPr>
            </w:pPr>
            <w:r w:rsidRPr="00781112">
              <w:rPr>
                <w:rFonts w:cs="Arial"/>
                <w:color w:val="000000" w:themeColor="text1"/>
                <w:szCs w:val="16"/>
              </w:rPr>
              <w:t>42.54%</w:t>
            </w:r>
          </w:p>
        </w:tc>
        <w:tc>
          <w:tcPr>
            <w:tcW w:w="751" w:type="pct"/>
          </w:tcPr>
          <w:p w14:paraId="0BF1D9D9" w14:textId="482D9F05" w:rsidR="00D62058" w:rsidRPr="00781112" w:rsidRDefault="00D62058" w:rsidP="00360DD6">
            <w:pPr>
              <w:jc w:val="center"/>
              <w:rPr>
                <w:rFonts w:cs="Arial"/>
                <w:color w:val="000000" w:themeColor="text1"/>
                <w:szCs w:val="16"/>
              </w:rPr>
            </w:pPr>
            <w:r w:rsidRPr="00781112">
              <w:rPr>
                <w:rFonts w:cs="Arial"/>
                <w:color w:val="000000" w:themeColor="text1"/>
                <w:szCs w:val="16"/>
              </w:rPr>
              <w:t>45.15%</w:t>
            </w:r>
          </w:p>
        </w:tc>
        <w:tc>
          <w:tcPr>
            <w:tcW w:w="750" w:type="pct"/>
          </w:tcPr>
          <w:p w14:paraId="583F2116" w14:textId="7106D36C" w:rsidR="00D62058" w:rsidRPr="00781112" w:rsidRDefault="00D62058" w:rsidP="00360DD6">
            <w:pPr>
              <w:jc w:val="center"/>
              <w:rPr>
                <w:rFonts w:cs="Arial"/>
                <w:color w:val="000000" w:themeColor="text1"/>
                <w:szCs w:val="16"/>
              </w:rPr>
            </w:pPr>
            <w:r w:rsidRPr="00781112">
              <w:rPr>
                <w:rFonts w:cs="Arial"/>
                <w:color w:val="000000" w:themeColor="text1"/>
                <w:szCs w:val="16"/>
              </w:rPr>
              <w:t>47.78%</w:t>
            </w:r>
          </w:p>
        </w:tc>
        <w:tc>
          <w:tcPr>
            <w:tcW w:w="750" w:type="pct"/>
          </w:tcPr>
          <w:p w14:paraId="08E53F3C" w14:textId="7CD4AF73" w:rsidR="00D62058" w:rsidRPr="00781112" w:rsidRDefault="00D62058" w:rsidP="00360DD6">
            <w:pPr>
              <w:jc w:val="center"/>
              <w:rPr>
                <w:rFonts w:cs="Arial"/>
                <w:color w:val="000000" w:themeColor="text1"/>
                <w:szCs w:val="16"/>
              </w:rPr>
            </w:pPr>
            <w:r w:rsidRPr="00781112">
              <w:rPr>
                <w:rFonts w:cs="Arial"/>
                <w:color w:val="000000" w:themeColor="text1"/>
                <w:szCs w:val="16"/>
              </w:rPr>
              <w:t>50.38%</w:t>
            </w:r>
          </w:p>
        </w:tc>
        <w:tc>
          <w:tcPr>
            <w:tcW w:w="751" w:type="pct"/>
          </w:tcPr>
          <w:p w14:paraId="5DB78609" w14:textId="0CCC9197" w:rsidR="00D62058" w:rsidRPr="00781112" w:rsidRDefault="00D62058" w:rsidP="00360DD6">
            <w:pPr>
              <w:jc w:val="center"/>
              <w:rPr>
                <w:rFonts w:cs="Arial"/>
                <w:color w:val="000000" w:themeColor="text1"/>
                <w:szCs w:val="16"/>
              </w:rPr>
            </w:pPr>
            <w:r w:rsidRPr="00781112">
              <w:rPr>
                <w:rFonts w:cs="Arial"/>
                <w:color w:val="000000" w:themeColor="text1"/>
                <w:szCs w:val="16"/>
              </w:rPr>
              <w:t>53.00%</w:t>
            </w:r>
          </w:p>
        </w:tc>
      </w:tr>
      <w:tr w:rsidR="00D62058" w:rsidRPr="00781112" w14:paraId="3AA5E8F7" w14:textId="085D0F95" w:rsidTr="005F5FE9">
        <w:trPr>
          <w:trHeight w:val="303"/>
        </w:trPr>
        <w:tc>
          <w:tcPr>
            <w:tcW w:w="498" w:type="pct"/>
            <w:shd w:val="clear" w:color="auto" w:fill="auto"/>
            <w:vAlign w:val="center"/>
          </w:tcPr>
          <w:p w14:paraId="49E152B3" w14:textId="4DC08CD2" w:rsidR="00D62058" w:rsidRPr="00781112" w:rsidRDefault="00D62058" w:rsidP="00D62058">
            <w:pPr>
              <w:rPr>
                <w:rFonts w:cs="Arial"/>
                <w:color w:val="000000" w:themeColor="text1"/>
                <w:szCs w:val="16"/>
              </w:rPr>
            </w:pPr>
            <w:r w:rsidRPr="00781112">
              <w:rPr>
                <w:rFonts w:cs="Arial"/>
                <w:color w:val="000000" w:themeColor="text1"/>
                <w:szCs w:val="16"/>
              </w:rPr>
              <w:t>Target B &lt;=</w:t>
            </w:r>
          </w:p>
        </w:tc>
        <w:tc>
          <w:tcPr>
            <w:tcW w:w="750" w:type="pct"/>
            <w:shd w:val="clear" w:color="auto" w:fill="auto"/>
            <w:vAlign w:val="center"/>
          </w:tcPr>
          <w:p w14:paraId="642E6A80" w14:textId="7A6AF652" w:rsidR="00D62058" w:rsidRPr="00781112" w:rsidRDefault="00D62058" w:rsidP="00D62058">
            <w:pPr>
              <w:jc w:val="center"/>
              <w:rPr>
                <w:rFonts w:cs="Arial"/>
                <w:color w:val="000000" w:themeColor="text1"/>
                <w:szCs w:val="16"/>
              </w:rPr>
            </w:pPr>
            <w:r w:rsidRPr="00781112">
              <w:rPr>
                <w:rFonts w:cs="Arial"/>
                <w:color w:val="000000" w:themeColor="text1"/>
                <w:szCs w:val="16"/>
              </w:rPr>
              <w:t>24.24%</w:t>
            </w:r>
          </w:p>
        </w:tc>
        <w:tc>
          <w:tcPr>
            <w:tcW w:w="750" w:type="pct"/>
          </w:tcPr>
          <w:p w14:paraId="752B6B9E" w14:textId="3979D870" w:rsidR="00D62058" w:rsidRPr="00781112" w:rsidRDefault="00D62058" w:rsidP="00360DD6">
            <w:pPr>
              <w:jc w:val="center"/>
              <w:rPr>
                <w:rFonts w:cs="Arial"/>
                <w:color w:val="000000" w:themeColor="text1"/>
                <w:szCs w:val="16"/>
              </w:rPr>
            </w:pPr>
            <w:r w:rsidRPr="00781112">
              <w:rPr>
                <w:rFonts w:cs="Arial"/>
                <w:color w:val="000000" w:themeColor="text1"/>
                <w:szCs w:val="16"/>
              </w:rPr>
              <w:t>21.89%</w:t>
            </w:r>
          </w:p>
        </w:tc>
        <w:tc>
          <w:tcPr>
            <w:tcW w:w="751" w:type="pct"/>
          </w:tcPr>
          <w:p w14:paraId="1DCC77D9" w14:textId="4B30FDBE" w:rsidR="00D62058" w:rsidRPr="00781112" w:rsidRDefault="00D62058" w:rsidP="00360DD6">
            <w:pPr>
              <w:jc w:val="center"/>
              <w:rPr>
                <w:rFonts w:cs="Arial"/>
                <w:color w:val="000000" w:themeColor="text1"/>
                <w:szCs w:val="16"/>
              </w:rPr>
            </w:pPr>
            <w:r w:rsidRPr="00781112">
              <w:rPr>
                <w:rFonts w:cs="Arial"/>
                <w:color w:val="000000" w:themeColor="text1"/>
                <w:szCs w:val="16"/>
              </w:rPr>
              <w:t>19.54%</w:t>
            </w:r>
          </w:p>
        </w:tc>
        <w:tc>
          <w:tcPr>
            <w:tcW w:w="750" w:type="pct"/>
          </w:tcPr>
          <w:p w14:paraId="481E8597" w14:textId="10A83577" w:rsidR="00D62058" w:rsidRPr="00781112" w:rsidRDefault="00D62058" w:rsidP="00360DD6">
            <w:pPr>
              <w:jc w:val="center"/>
              <w:rPr>
                <w:rFonts w:cs="Arial"/>
                <w:color w:val="000000" w:themeColor="text1"/>
                <w:szCs w:val="16"/>
              </w:rPr>
            </w:pPr>
            <w:r w:rsidRPr="00781112">
              <w:rPr>
                <w:rFonts w:cs="Arial"/>
                <w:color w:val="000000" w:themeColor="text1"/>
                <w:szCs w:val="16"/>
              </w:rPr>
              <w:t>17.20%</w:t>
            </w:r>
          </w:p>
        </w:tc>
        <w:tc>
          <w:tcPr>
            <w:tcW w:w="750" w:type="pct"/>
          </w:tcPr>
          <w:p w14:paraId="55F7CFD1" w14:textId="49CA8BA3" w:rsidR="00D62058" w:rsidRPr="00781112" w:rsidRDefault="00D62058" w:rsidP="00360DD6">
            <w:pPr>
              <w:jc w:val="center"/>
              <w:rPr>
                <w:rFonts w:cs="Arial"/>
                <w:color w:val="000000" w:themeColor="text1"/>
                <w:szCs w:val="16"/>
              </w:rPr>
            </w:pPr>
            <w:r w:rsidRPr="00781112">
              <w:rPr>
                <w:rFonts w:cs="Arial"/>
                <w:color w:val="000000" w:themeColor="text1"/>
                <w:szCs w:val="16"/>
              </w:rPr>
              <w:t>14.85%</w:t>
            </w:r>
          </w:p>
        </w:tc>
        <w:tc>
          <w:tcPr>
            <w:tcW w:w="751" w:type="pct"/>
          </w:tcPr>
          <w:p w14:paraId="1EEC563A" w14:textId="2B8532E2" w:rsidR="00D62058" w:rsidRPr="00781112" w:rsidRDefault="00D62058" w:rsidP="00360DD6">
            <w:pPr>
              <w:jc w:val="center"/>
              <w:rPr>
                <w:rFonts w:cs="Arial"/>
                <w:color w:val="000000" w:themeColor="text1"/>
                <w:szCs w:val="16"/>
              </w:rPr>
            </w:pPr>
            <w:r w:rsidRPr="00781112">
              <w:rPr>
                <w:rFonts w:cs="Arial"/>
                <w:color w:val="000000" w:themeColor="text1"/>
                <w:szCs w:val="16"/>
              </w:rPr>
              <w:t>12.50%</w:t>
            </w:r>
          </w:p>
        </w:tc>
      </w:tr>
    </w:tbl>
    <w:p w14:paraId="27170CED" w14:textId="772C81FC" w:rsidR="00E428BD" w:rsidRDefault="00E428BD" w:rsidP="004369B2">
      <w:pPr>
        <w:rPr>
          <w:color w:val="000000" w:themeColor="text1"/>
        </w:rPr>
      </w:pPr>
      <w:bookmarkStart w:id="41" w:name="_Toc382082378"/>
      <w:bookmarkStart w:id="42"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4"/>
        <w:gridCol w:w="1618"/>
        <w:gridCol w:w="1618"/>
        <w:gridCol w:w="1621"/>
        <w:gridCol w:w="1619"/>
        <w:gridCol w:w="1619"/>
        <w:gridCol w:w="1621"/>
      </w:tblGrid>
      <w:tr w:rsidR="0040181B" w:rsidRPr="00781112" w14:paraId="6B43903F" w14:textId="77777777" w:rsidTr="00992ACE">
        <w:trPr>
          <w:trHeight w:val="297"/>
        </w:trPr>
        <w:tc>
          <w:tcPr>
            <w:tcW w:w="498" w:type="pct"/>
            <w:tcBorders>
              <w:bottom w:val="single" w:sz="4" w:space="0" w:color="auto"/>
            </w:tcBorders>
            <w:shd w:val="clear" w:color="auto" w:fill="auto"/>
          </w:tcPr>
          <w:p w14:paraId="454FDD0F" w14:textId="77777777" w:rsidR="0040181B" w:rsidRPr="00781112" w:rsidRDefault="0040181B" w:rsidP="00992ACE">
            <w:pPr>
              <w:jc w:val="center"/>
              <w:rPr>
                <w:b/>
                <w:color w:val="000000" w:themeColor="text1"/>
              </w:rPr>
            </w:pPr>
            <w:r w:rsidRPr="00781112">
              <w:rPr>
                <w:b/>
                <w:color w:val="000000" w:themeColor="text1"/>
              </w:rPr>
              <w:t>FFY</w:t>
            </w:r>
          </w:p>
        </w:tc>
        <w:tc>
          <w:tcPr>
            <w:tcW w:w="750" w:type="pct"/>
            <w:shd w:val="clear" w:color="auto" w:fill="auto"/>
          </w:tcPr>
          <w:p w14:paraId="23E06477" w14:textId="77777777" w:rsidR="0040181B" w:rsidRPr="00781112" w:rsidRDefault="0040181B" w:rsidP="00992ACE">
            <w:pPr>
              <w:jc w:val="center"/>
              <w:rPr>
                <w:b/>
                <w:color w:val="000000" w:themeColor="text1"/>
              </w:rPr>
            </w:pPr>
            <w:r w:rsidRPr="00781112">
              <w:rPr>
                <w:b/>
                <w:color w:val="000000" w:themeColor="text1"/>
              </w:rPr>
              <w:t>2020</w:t>
            </w:r>
          </w:p>
        </w:tc>
        <w:tc>
          <w:tcPr>
            <w:tcW w:w="750" w:type="pct"/>
          </w:tcPr>
          <w:p w14:paraId="727ADECD" w14:textId="77777777" w:rsidR="0040181B" w:rsidRPr="00781112" w:rsidRDefault="0040181B" w:rsidP="00992ACE">
            <w:pPr>
              <w:jc w:val="center"/>
              <w:rPr>
                <w:b/>
                <w:color w:val="000000" w:themeColor="text1"/>
              </w:rPr>
            </w:pPr>
            <w:r w:rsidRPr="00781112">
              <w:rPr>
                <w:b/>
                <w:color w:val="000000" w:themeColor="text1"/>
              </w:rPr>
              <w:t>2021</w:t>
            </w:r>
          </w:p>
        </w:tc>
        <w:tc>
          <w:tcPr>
            <w:tcW w:w="751" w:type="pct"/>
          </w:tcPr>
          <w:p w14:paraId="6EC259CD" w14:textId="77777777" w:rsidR="0040181B" w:rsidRPr="00781112" w:rsidRDefault="0040181B" w:rsidP="00992ACE">
            <w:pPr>
              <w:jc w:val="center"/>
              <w:rPr>
                <w:b/>
                <w:color w:val="000000" w:themeColor="text1"/>
              </w:rPr>
            </w:pPr>
            <w:r w:rsidRPr="00781112">
              <w:rPr>
                <w:b/>
                <w:color w:val="000000" w:themeColor="text1"/>
              </w:rPr>
              <w:t>2022</w:t>
            </w:r>
          </w:p>
        </w:tc>
        <w:tc>
          <w:tcPr>
            <w:tcW w:w="750" w:type="pct"/>
          </w:tcPr>
          <w:p w14:paraId="30FC0D14" w14:textId="77777777" w:rsidR="0040181B" w:rsidRPr="00781112" w:rsidRDefault="0040181B" w:rsidP="00992ACE">
            <w:pPr>
              <w:jc w:val="center"/>
              <w:rPr>
                <w:b/>
                <w:color w:val="000000" w:themeColor="text1"/>
              </w:rPr>
            </w:pPr>
            <w:r w:rsidRPr="00781112">
              <w:rPr>
                <w:b/>
                <w:color w:val="000000" w:themeColor="text1"/>
              </w:rPr>
              <w:t>2023</w:t>
            </w:r>
          </w:p>
        </w:tc>
        <w:tc>
          <w:tcPr>
            <w:tcW w:w="750" w:type="pct"/>
          </w:tcPr>
          <w:p w14:paraId="508E78A1" w14:textId="77777777" w:rsidR="0040181B" w:rsidRPr="00781112" w:rsidRDefault="0040181B" w:rsidP="00992ACE">
            <w:pPr>
              <w:jc w:val="center"/>
              <w:rPr>
                <w:b/>
                <w:color w:val="000000" w:themeColor="text1"/>
              </w:rPr>
            </w:pPr>
            <w:r w:rsidRPr="00781112">
              <w:rPr>
                <w:b/>
                <w:color w:val="000000" w:themeColor="text1"/>
              </w:rPr>
              <w:t>2024</w:t>
            </w:r>
          </w:p>
        </w:tc>
        <w:tc>
          <w:tcPr>
            <w:tcW w:w="751" w:type="pct"/>
          </w:tcPr>
          <w:p w14:paraId="04B69375" w14:textId="77777777" w:rsidR="0040181B" w:rsidRPr="00781112" w:rsidRDefault="0040181B" w:rsidP="00992ACE">
            <w:pPr>
              <w:jc w:val="center"/>
              <w:rPr>
                <w:b/>
                <w:color w:val="000000" w:themeColor="text1"/>
              </w:rPr>
            </w:pPr>
            <w:r w:rsidRPr="00781112">
              <w:rPr>
                <w:b/>
                <w:color w:val="000000" w:themeColor="text1"/>
              </w:rPr>
              <w:t>2025</w:t>
            </w:r>
          </w:p>
        </w:tc>
      </w:tr>
      <w:tr w:rsidR="0040181B" w:rsidRPr="00781112" w14:paraId="38A2A2D3" w14:textId="77777777" w:rsidTr="00992ACE">
        <w:trPr>
          <w:trHeight w:val="303"/>
        </w:trPr>
        <w:tc>
          <w:tcPr>
            <w:tcW w:w="498" w:type="pct"/>
            <w:shd w:val="clear" w:color="auto" w:fill="auto"/>
            <w:vAlign w:val="center"/>
          </w:tcPr>
          <w:p w14:paraId="1A01A931" w14:textId="77777777" w:rsidR="0040181B" w:rsidRPr="00781112" w:rsidRDefault="0040181B" w:rsidP="00992ACE">
            <w:pPr>
              <w:rPr>
                <w:rFonts w:cs="Arial"/>
                <w:color w:val="000000" w:themeColor="text1"/>
                <w:szCs w:val="16"/>
              </w:rPr>
            </w:pPr>
            <w:r w:rsidRPr="00781112">
              <w:rPr>
                <w:rFonts w:cs="Arial"/>
                <w:color w:val="000000" w:themeColor="text1"/>
                <w:szCs w:val="16"/>
              </w:rPr>
              <w:t>Target C &lt;=</w:t>
            </w:r>
          </w:p>
        </w:tc>
        <w:tc>
          <w:tcPr>
            <w:tcW w:w="750" w:type="pct"/>
            <w:shd w:val="clear" w:color="auto" w:fill="auto"/>
            <w:vAlign w:val="center"/>
          </w:tcPr>
          <w:p w14:paraId="4CC46A48"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0.36%</w:t>
            </w:r>
          </w:p>
        </w:tc>
        <w:tc>
          <w:tcPr>
            <w:tcW w:w="750" w:type="pct"/>
          </w:tcPr>
          <w:p w14:paraId="262E2FD0"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0.36%</w:t>
            </w:r>
          </w:p>
        </w:tc>
        <w:tc>
          <w:tcPr>
            <w:tcW w:w="751" w:type="pct"/>
          </w:tcPr>
          <w:p w14:paraId="54ED085E"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0.36%</w:t>
            </w:r>
          </w:p>
        </w:tc>
        <w:tc>
          <w:tcPr>
            <w:tcW w:w="750" w:type="pct"/>
          </w:tcPr>
          <w:p w14:paraId="2466D4C4"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0.36%</w:t>
            </w:r>
          </w:p>
        </w:tc>
        <w:tc>
          <w:tcPr>
            <w:tcW w:w="750" w:type="pct"/>
          </w:tcPr>
          <w:p w14:paraId="17FD3C25"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0.36%</w:t>
            </w:r>
          </w:p>
        </w:tc>
        <w:tc>
          <w:tcPr>
            <w:tcW w:w="751" w:type="pct"/>
          </w:tcPr>
          <w:p w14:paraId="68F92238"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0.30%</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2020-21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07/07/2021</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lastRenderedPageBreak/>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826</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1,476</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191</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2,493</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197</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544</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93</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834</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120</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137</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23</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280</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168</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168</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30</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366</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4</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3</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2</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9</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6414F3A0" w:rsidR="00E60622" w:rsidRPr="00781112" w:rsidRDefault="007F7063" w:rsidP="004369B2">
      <w:pPr>
        <w:rPr>
          <w:b/>
          <w:bCs/>
          <w:color w:val="000000" w:themeColor="text1"/>
        </w:rPr>
      </w:pPr>
      <w:r w:rsidRPr="00781112">
        <w:rPr>
          <w:b/>
          <w:bCs/>
          <w:color w:val="000000" w:themeColor="text1"/>
        </w:rPr>
        <w:t xml:space="preserve">FFY 2020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5C29F8" w:rsidRPr="00781112" w14:paraId="38300B51" w14:textId="77777777" w:rsidTr="007239EC">
        <w:trPr>
          <w:trHeight w:val="354"/>
          <w:tblHeader/>
        </w:trPr>
        <w:tc>
          <w:tcPr>
            <w:tcW w:w="1373" w:type="pct"/>
            <w:shd w:val="clear" w:color="auto" w:fill="auto"/>
            <w:vAlign w:val="bottom"/>
          </w:tcPr>
          <w:p w14:paraId="0F38A3C5" w14:textId="3D46820E" w:rsidR="008751D3" w:rsidRPr="00781112" w:rsidRDefault="00E104F3" w:rsidP="00681BA6">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8751D3" w:rsidRPr="00781112" w:rsidRDefault="008751D3" w:rsidP="00681BA6">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8751D3" w:rsidRPr="00781112" w:rsidRDefault="008751D3" w:rsidP="00681BA6">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5650BDFE" w:rsidR="008751D3"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18" w:type="pct"/>
            <w:shd w:val="clear" w:color="auto" w:fill="auto"/>
            <w:vAlign w:val="bottom"/>
          </w:tcPr>
          <w:p w14:paraId="525540A0" w14:textId="72958A58" w:rsidR="008751D3"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18" w:type="pct"/>
            <w:shd w:val="clear" w:color="auto" w:fill="auto"/>
            <w:vAlign w:val="bottom"/>
          </w:tcPr>
          <w:p w14:paraId="2B9D213A" w14:textId="28561283" w:rsidR="008751D3"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518" w:type="pct"/>
            <w:shd w:val="clear" w:color="auto" w:fill="auto"/>
            <w:vAlign w:val="bottom"/>
          </w:tcPr>
          <w:p w14:paraId="46108583" w14:textId="77777777" w:rsidR="008751D3" w:rsidRPr="00781112" w:rsidRDefault="008751D3" w:rsidP="00681BA6">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8751D3" w:rsidRPr="00781112" w:rsidRDefault="008751D3"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834</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2,493</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39.92%</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39.92%</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33.45%</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646</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2,493</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24.24%</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24.24%</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25.91%</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9</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2,493</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0.36%</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0.36%</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N/A</w:t>
            </w:r>
          </w:p>
        </w:tc>
      </w:tr>
    </w:tbl>
    <w:p w14:paraId="21FD52FD" w14:textId="53DF3EF1" w:rsidR="002441FF" w:rsidRDefault="002441FF" w:rsidP="004369B2">
      <w:pPr>
        <w:rPr>
          <w:b/>
          <w:color w:val="000000" w:themeColor="text1"/>
        </w:rPr>
      </w:pPr>
    </w:p>
    <w:p w14:paraId="0BB4A3E2" w14:textId="656306A8" w:rsidR="006B39BD" w:rsidRPr="00781112" w:rsidRDefault="006B39BD" w:rsidP="006B39BD">
      <w:pPr>
        <w:rPr>
          <w:b/>
          <w:color w:val="000000" w:themeColor="text1"/>
        </w:rPr>
      </w:pPr>
      <w:r w:rsidRPr="00781112">
        <w:rPr>
          <w:b/>
          <w:color w:val="000000" w:themeColor="text1"/>
        </w:rPr>
        <w:t>Provide reasons for slippage for Group A aged 3 through 5, if applicable</w:t>
      </w:r>
    </w:p>
    <w:p w14:paraId="2BFFD53E" w14:textId="192B3D60" w:rsidR="006B39BD" w:rsidRPr="00781112" w:rsidRDefault="006B39BD" w:rsidP="006B39BD">
      <w:pPr>
        <w:rPr>
          <w:rFonts w:cs="Arial"/>
          <w:color w:val="000000" w:themeColor="text1"/>
          <w:szCs w:val="16"/>
        </w:rPr>
      </w:pPr>
      <w:r w:rsidRPr="00781112">
        <w:rPr>
          <w:rFonts w:cs="Arial"/>
          <w:color w:val="000000" w:themeColor="text1"/>
          <w:szCs w:val="16"/>
        </w:rPr>
        <w:t xml:space="preserve">While the exact cause for slippage is unclear, contributing factors could include Maine’s continued technical assistance on preschool educational environments, combined with the full implementation of a new data system producing data that more accurately reflect the different educational environments in which children receive special education services. In addition, Maine continues to see a trend of a high percentage of children eligible under speech or language impairment and require only speech and language services. Due to the individual needs of the child, that service may happen in a service provider location, which is often outside of a classroom. Additionally, due to the COVID-19 pandemic, many of Maine’s families continue to request remote or telehealth services primarily for speech and language services, but also for other related services including services for social emotional and behavioral supports.  </w:t>
      </w:r>
    </w:p>
    <w:p w14:paraId="10A47196" w14:textId="24AB3FD2" w:rsidR="006B39BD" w:rsidRPr="00781112" w:rsidRDefault="006B39BD" w:rsidP="006B39BD">
      <w:pPr>
        <w:rPr>
          <w:b/>
          <w:color w:val="000000" w:themeColor="text1"/>
        </w:rPr>
      </w:pPr>
      <w:r w:rsidRPr="00781112">
        <w:rPr>
          <w:b/>
          <w:color w:val="000000" w:themeColor="text1"/>
        </w:rPr>
        <w:t>Provide reasons for slippage for Group B aged 3 through 5, if applicable</w:t>
      </w:r>
    </w:p>
    <w:p w14:paraId="0FA6349A" w14:textId="2ADE5DA0" w:rsidR="006B39BD" w:rsidRPr="00781112" w:rsidRDefault="006B39BD" w:rsidP="006B39BD">
      <w:pPr>
        <w:rPr>
          <w:rFonts w:cs="Arial"/>
          <w:color w:val="000000" w:themeColor="text1"/>
          <w:szCs w:val="16"/>
        </w:rPr>
      </w:pPr>
      <w:r w:rsidRPr="00781112">
        <w:rPr>
          <w:rFonts w:cs="Arial"/>
          <w:color w:val="000000" w:themeColor="text1"/>
          <w:szCs w:val="16"/>
        </w:rPr>
        <w:t xml:space="preserve">The Child Development Services system is dependent on the availability of public and private providers for the least restrictive environment for children with IEP’s. Given the pandemic, Maine has witnessed a many program closures, limiting the number of inclusionary opportunities.  Although the reason for slippage is unclear, the percentage is within the historical year to year variability for this indicator. Maine will continue to monitor the availability of programming to determine if this is the reason for slippage. </w:t>
      </w: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2B7490" w:rsidP="007D435F">
      <w:pPr>
        <w:rPr>
          <w:rFonts w:cs="Arial"/>
          <w:color w:val="000000" w:themeColor="text1"/>
          <w:szCs w:val="16"/>
        </w:rPr>
      </w:pPr>
      <w:r w:rsidRPr="00781112">
        <w:rPr>
          <w:rFonts w:cs="Arial"/>
          <w:color w:val="000000" w:themeColor="text1"/>
          <w:szCs w:val="16"/>
        </w:rPr>
        <w:t/>
      </w: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In its FFY 2020 SPP/APR, the State must revise the baseline for this indicator, using data from FFY 2019.</w:t>
      </w:r>
    </w:p>
    <w:p w14:paraId="1E26A8C7" w14:textId="37784BA7" w:rsidR="000A2C83" w:rsidRPr="00781112" w:rsidRDefault="000A2C83" w:rsidP="004369B2">
      <w:pPr>
        <w:rPr>
          <w:b/>
          <w:color w:val="000000" w:themeColor="text1"/>
        </w:rPr>
      </w:pPr>
      <w:r w:rsidRPr="00781112">
        <w:rPr>
          <w:b/>
          <w:color w:val="000000" w:themeColor="text1"/>
        </w:rPr>
        <w:t>Response to actions required in FFY 2019 SPP/APR</w:t>
      </w:r>
    </w:p>
    <w:p w14:paraId="4C259B08" w14:textId="2849EACA" w:rsidR="000A2C83" w:rsidRPr="00781112" w:rsidRDefault="002B7490" w:rsidP="000A2C83">
      <w:pPr>
        <w:rPr>
          <w:rFonts w:cs="Arial"/>
          <w:color w:val="000000" w:themeColor="text1"/>
          <w:szCs w:val="16"/>
        </w:rPr>
      </w:pPr>
      <w:r w:rsidRPr="00781112">
        <w:rPr>
          <w:rFonts w:cs="Arial"/>
          <w:color w:val="000000" w:themeColor="text1"/>
          <w:szCs w:val="16"/>
        </w:rPr>
        <w:t xml:space="preserve">Maine has revised the baseline for 6A and 6B to reflect FFY 2019 data. The baseline for 6C is FFY 2020 data. </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2B7490" w:rsidP="001F692C">
      <w:pPr>
        <w:rPr>
          <w:rFonts w:cs="Arial"/>
          <w:color w:val="000000" w:themeColor="text1"/>
          <w:szCs w:val="16"/>
        </w:rPr>
      </w:pPr>
      <w:r w:rsidRPr="00781112">
        <w:rPr>
          <w:rFonts w:cs="Arial"/>
          <w:color w:val="000000" w:themeColor="text1"/>
          <w:szCs w:val="16"/>
        </w:rPr>
        <w:t>The State has established baseline for indicator 6C, using data from FFY 2020, and OSEP accepts the baseline.</w:t>
        <w:br/>
        <w:t/>
        <w:br/>
        <w:t>The State provided targets for FFYs 2020 through 2025 for this indicator, and OSEP accepts those targets.</w:t>
      </w: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2B7490" w:rsidP="001F692C">
      <w:pPr>
        <w:rPr>
          <w:rFonts w:cs="Arial"/>
          <w:color w:val="000000" w:themeColor="text1"/>
          <w:szCs w:val="16"/>
        </w:rPr>
      </w:pPr>
      <w:r w:rsidRPr="00781112">
        <w:rPr>
          <w:rFonts w:cs="Arial"/>
          <w:color w:val="000000" w:themeColor="text1"/>
          <w:szCs w:val="16"/>
        </w:rPr>
        <w:t/>
      </w: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9C391BC"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41"/>
      <w:bookmarkEnd w:id="42"/>
    </w:p>
    <w:p w14:paraId="1404DCF9" w14:textId="77777777" w:rsidR="00531E54" w:rsidRPr="00781112" w:rsidRDefault="00531E54" w:rsidP="00A018D4">
      <w:pPr>
        <w:rPr>
          <w:color w:val="000000" w:themeColor="text1"/>
          <w:szCs w:val="20"/>
        </w:rPr>
      </w:pPr>
      <w:bookmarkStart w:id="43"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roofErr w:type="gramStart"/>
      <w:r w:rsidRPr="00781112">
        <w:rPr>
          <w:rFonts w:cs="Arial"/>
          <w:color w:val="000000" w:themeColor="text1"/>
          <w:szCs w:val="16"/>
        </w:rPr>
        <w:t>);</w:t>
      </w:r>
      <w:proofErr w:type="gramEnd"/>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roofErr w:type="gramStart"/>
      <w:r w:rsidRPr="00781112">
        <w:rPr>
          <w:rFonts w:eastAsia="Times New Roman" w:cs="Arial"/>
          <w:color w:val="000000" w:themeColor="text1"/>
          <w:szCs w:val="16"/>
        </w:rPr>
        <w:t>);</w:t>
      </w:r>
      <w:proofErr w:type="gramEnd"/>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77777777"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on page 2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77777777" w:rsidR="008751D3" w:rsidRPr="00781112" w:rsidRDefault="008751D3" w:rsidP="00286BDF">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3"/>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lastRenderedPageBreak/>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2015</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2016</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64.00%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64.00%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64.00%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65.00%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65.00%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63.10%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69.42%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72.36%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67.54%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69.79%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73.05%</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39.00%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39.00%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37.00%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49.21%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43.24%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40.91%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38.53%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35.55%</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67.00%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67.00%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67.00%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68.00%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65.50%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75.37%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75.30%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69.16%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73.34%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73.12%</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36.00%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36.00%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36.00%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37.00%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37.00%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35.40%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51.04%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42.31%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40.46%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40.90%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38.98%</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59.00%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59.00%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59.00%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60.00%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58.30%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66.88%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68.74%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64.53%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68.48%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71.93%</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53.00%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51.00%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67.48%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60.57%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55.46%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55.95%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53.74%</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483"/>
        <w:gridCol w:w="1632"/>
        <w:gridCol w:w="1735"/>
        <w:gridCol w:w="1735"/>
        <w:gridCol w:w="1735"/>
        <w:gridCol w:w="1735"/>
        <w:gridCol w:w="1735"/>
      </w:tblGrid>
      <w:tr w:rsidR="00D62058" w:rsidRPr="00781112" w14:paraId="7154778B" w14:textId="326343BD" w:rsidTr="009023AD">
        <w:trPr>
          <w:trHeight w:val="333"/>
        </w:trPr>
        <w:tc>
          <w:tcPr>
            <w:tcW w:w="224" w:type="pct"/>
            <w:tcBorders>
              <w:bottom w:val="single" w:sz="4" w:space="0" w:color="auto"/>
            </w:tcBorders>
            <w:shd w:val="clear" w:color="auto" w:fill="auto"/>
            <w:vAlign w:val="center"/>
          </w:tcPr>
          <w:p w14:paraId="4C772A88" w14:textId="77777777" w:rsidR="00D62058" w:rsidRPr="00781112" w:rsidRDefault="00D62058" w:rsidP="00D62058">
            <w:pPr>
              <w:jc w:val="center"/>
              <w:rPr>
                <w:b/>
                <w:color w:val="000000" w:themeColor="text1"/>
              </w:rPr>
            </w:pPr>
            <w:r w:rsidRPr="00781112">
              <w:rPr>
                <w:b/>
                <w:color w:val="000000" w:themeColor="text1"/>
              </w:rPr>
              <w:t>FFY</w:t>
            </w:r>
          </w:p>
        </w:tc>
        <w:tc>
          <w:tcPr>
            <w:tcW w:w="756" w:type="pct"/>
            <w:shd w:val="clear" w:color="auto" w:fill="auto"/>
            <w:vAlign w:val="center"/>
          </w:tcPr>
          <w:p w14:paraId="12A78916" w14:textId="4FE79E21" w:rsidR="00D62058" w:rsidRPr="00781112" w:rsidRDefault="00D62058" w:rsidP="00D62058">
            <w:pPr>
              <w:jc w:val="center"/>
              <w:rPr>
                <w:b/>
                <w:color w:val="000000" w:themeColor="text1"/>
              </w:rPr>
            </w:pPr>
            <w:r w:rsidRPr="00781112">
              <w:rPr>
                <w:b/>
                <w:color w:val="000000" w:themeColor="text1"/>
              </w:rPr>
              <w:t>2020</w:t>
            </w:r>
          </w:p>
        </w:tc>
        <w:tc>
          <w:tcPr>
            <w:tcW w:w="804" w:type="pct"/>
            <w:vAlign w:val="center"/>
          </w:tcPr>
          <w:p w14:paraId="252A750A" w14:textId="25138A81" w:rsidR="00D62058" w:rsidRPr="00781112" w:rsidRDefault="00D62058" w:rsidP="00D62058">
            <w:pPr>
              <w:jc w:val="center"/>
              <w:rPr>
                <w:b/>
                <w:color w:val="000000" w:themeColor="text1"/>
              </w:rPr>
            </w:pPr>
            <w:r w:rsidRPr="00781112">
              <w:rPr>
                <w:rFonts w:cs="Arial"/>
                <w:b/>
                <w:color w:val="000000" w:themeColor="text1"/>
                <w:szCs w:val="16"/>
              </w:rPr>
              <w:t>2021</w:t>
            </w:r>
          </w:p>
        </w:tc>
        <w:tc>
          <w:tcPr>
            <w:tcW w:w="804" w:type="pct"/>
            <w:vAlign w:val="center"/>
          </w:tcPr>
          <w:p w14:paraId="68D8D021" w14:textId="79B543D0" w:rsidR="00D62058" w:rsidRPr="00781112" w:rsidRDefault="00D62058" w:rsidP="00D62058">
            <w:pPr>
              <w:jc w:val="center"/>
              <w:rPr>
                <w:b/>
                <w:color w:val="000000" w:themeColor="text1"/>
              </w:rPr>
            </w:pPr>
            <w:r w:rsidRPr="00781112">
              <w:rPr>
                <w:rFonts w:cs="Arial"/>
                <w:b/>
                <w:color w:val="000000" w:themeColor="text1"/>
                <w:szCs w:val="16"/>
              </w:rPr>
              <w:t>2022</w:t>
            </w:r>
          </w:p>
        </w:tc>
        <w:tc>
          <w:tcPr>
            <w:tcW w:w="804" w:type="pct"/>
            <w:vAlign w:val="center"/>
          </w:tcPr>
          <w:p w14:paraId="60B57779" w14:textId="39F7714F" w:rsidR="00D62058" w:rsidRPr="00781112" w:rsidRDefault="00D62058" w:rsidP="00D62058">
            <w:pPr>
              <w:jc w:val="center"/>
              <w:rPr>
                <w:b/>
                <w:color w:val="000000" w:themeColor="text1"/>
              </w:rPr>
            </w:pPr>
            <w:r w:rsidRPr="00781112">
              <w:rPr>
                <w:rFonts w:cs="Arial"/>
                <w:b/>
                <w:color w:val="000000" w:themeColor="text1"/>
                <w:szCs w:val="16"/>
              </w:rPr>
              <w:t>2023</w:t>
            </w:r>
          </w:p>
        </w:tc>
        <w:tc>
          <w:tcPr>
            <w:tcW w:w="804" w:type="pct"/>
            <w:vAlign w:val="center"/>
          </w:tcPr>
          <w:p w14:paraId="2CB555F8" w14:textId="64C2A928" w:rsidR="00D62058" w:rsidRPr="00781112" w:rsidRDefault="00D62058" w:rsidP="00D62058">
            <w:pPr>
              <w:jc w:val="center"/>
              <w:rPr>
                <w:b/>
                <w:color w:val="000000" w:themeColor="text1"/>
              </w:rPr>
            </w:pPr>
            <w:r w:rsidRPr="00781112">
              <w:rPr>
                <w:rFonts w:cs="Arial"/>
                <w:b/>
                <w:color w:val="000000" w:themeColor="text1"/>
                <w:szCs w:val="16"/>
              </w:rPr>
              <w:t>2024</w:t>
            </w:r>
          </w:p>
        </w:tc>
        <w:tc>
          <w:tcPr>
            <w:tcW w:w="804" w:type="pct"/>
            <w:vAlign w:val="center"/>
          </w:tcPr>
          <w:p w14:paraId="43AFCBFB" w14:textId="1AE04BFC"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18C73B9A" w14:textId="4A314190" w:rsidTr="00C40E4D">
        <w:trPr>
          <w:trHeight w:val="340"/>
        </w:trPr>
        <w:tc>
          <w:tcPr>
            <w:tcW w:w="224" w:type="pct"/>
            <w:shd w:val="clear" w:color="auto" w:fill="auto"/>
            <w:vAlign w:val="center"/>
          </w:tcPr>
          <w:p w14:paraId="507B0BCD" w14:textId="415A5723" w:rsidR="00D62058" w:rsidRPr="00781112" w:rsidRDefault="00D62058" w:rsidP="00D62058">
            <w:pPr>
              <w:rPr>
                <w:rFonts w:cs="Arial"/>
                <w:color w:val="000000" w:themeColor="text1"/>
                <w:szCs w:val="16"/>
              </w:rPr>
            </w:pPr>
            <w:r w:rsidRPr="00781112">
              <w:rPr>
                <w:rFonts w:cs="Arial"/>
                <w:color w:val="000000" w:themeColor="text1"/>
                <w:szCs w:val="16"/>
              </w:rPr>
              <w:t>Target A1 &gt;=</w:t>
            </w:r>
          </w:p>
        </w:tc>
        <w:tc>
          <w:tcPr>
            <w:tcW w:w="756" w:type="pct"/>
            <w:shd w:val="clear" w:color="auto" w:fill="auto"/>
            <w:vAlign w:val="center"/>
          </w:tcPr>
          <w:p w14:paraId="1B809E80" w14:textId="23651174" w:rsidR="00D62058" w:rsidRPr="00781112" w:rsidRDefault="00D62058" w:rsidP="00D62058">
            <w:pPr>
              <w:jc w:val="center"/>
              <w:rPr>
                <w:color w:val="000000" w:themeColor="text1"/>
              </w:rPr>
            </w:pPr>
            <w:r w:rsidRPr="00781112">
              <w:rPr>
                <w:color w:val="000000" w:themeColor="text1"/>
              </w:rPr>
              <w:t>66.50%</w:t>
            </w:r>
          </w:p>
        </w:tc>
        <w:tc>
          <w:tcPr>
            <w:tcW w:w="804" w:type="pct"/>
            <w:vAlign w:val="center"/>
          </w:tcPr>
          <w:p w14:paraId="5EAD01EF" w14:textId="12066A13" w:rsidR="00D62058" w:rsidRPr="00781112" w:rsidRDefault="00D62058" w:rsidP="00D62058">
            <w:pPr>
              <w:jc w:val="center"/>
              <w:rPr>
                <w:color w:val="000000" w:themeColor="text1"/>
              </w:rPr>
            </w:pPr>
            <w:r w:rsidRPr="00781112">
              <w:rPr>
                <w:color w:val="000000" w:themeColor="text1"/>
                <w:szCs w:val="16"/>
              </w:rPr>
              <w:t>66.00%</w:t>
            </w:r>
          </w:p>
        </w:tc>
        <w:tc>
          <w:tcPr>
            <w:tcW w:w="804" w:type="pct"/>
            <w:vAlign w:val="center"/>
          </w:tcPr>
          <w:p w14:paraId="2E3018C0" w14:textId="3758E6A1" w:rsidR="00D62058" w:rsidRPr="00781112" w:rsidRDefault="00D62058" w:rsidP="00D62058">
            <w:pPr>
              <w:jc w:val="center"/>
              <w:rPr>
                <w:color w:val="000000" w:themeColor="text1"/>
              </w:rPr>
            </w:pPr>
            <w:r w:rsidRPr="00781112">
              <w:rPr>
                <w:color w:val="000000" w:themeColor="text1"/>
                <w:szCs w:val="16"/>
              </w:rPr>
              <w:t>66.50%</w:t>
            </w:r>
          </w:p>
        </w:tc>
        <w:tc>
          <w:tcPr>
            <w:tcW w:w="804" w:type="pct"/>
            <w:vAlign w:val="center"/>
          </w:tcPr>
          <w:p w14:paraId="063238F2" w14:textId="239B2312" w:rsidR="00D62058" w:rsidRPr="00781112" w:rsidRDefault="00D62058" w:rsidP="00D62058">
            <w:pPr>
              <w:jc w:val="center"/>
              <w:rPr>
                <w:color w:val="000000" w:themeColor="text1"/>
              </w:rPr>
            </w:pPr>
            <w:r w:rsidRPr="00781112">
              <w:rPr>
                <w:color w:val="000000" w:themeColor="text1"/>
                <w:szCs w:val="16"/>
              </w:rPr>
              <w:t>67.00%</w:t>
            </w:r>
          </w:p>
        </w:tc>
        <w:tc>
          <w:tcPr>
            <w:tcW w:w="804" w:type="pct"/>
            <w:vAlign w:val="center"/>
          </w:tcPr>
          <w:p w14:paraId="4FBF626C" w14:textId="574BC7A3" w:rsidR="00D62058" w:rsidRPr="00781112" w:rsidRDefault="00D62058" w:rsidP="00D62058">
            <w:pPr>
              <w:jc w:val="center"/>
              <w:rPr>
                <w:color w:val="000000" w:themeColor="text1"/>
              </w:rPr>
            </w:pPr>
            <w:r w:rsidRPr="00781112">
              <w:rPr>
                <w:color w:val="000000" w:themeColor="text1"/>
                <w:szCs w:val="16"/>
              </w:rPr>
              <w:t>67.50%</w:t>
            </w:r>
          </w:p>
        </w:tc>
        <w:tc>
          <w:tcPr>
            <w:tcW w:w="804" w:type="pct"/>
            <w:vAlign w:val="center"/>
          </w:tcPr>
          <w:p w14:paraId="7C2FA026" w14:textId="291E11FA" w:rsidR="00D62058" w:rsidRPr="00781112" w:rsidRDefault="00D62058" w:rsidP="00D62058">
            <w:pPr>
              <w:jc w:val="center"/>
              <w:rPr>
                <w:color w:val="000000" w:themeColor="text1"/>
              </w:rPr>
            </w:pPr>
            <w:r w:rsidRPr="00781112">
              <w:rPr>
                <w:color w:val="000000" w:themeColor="text1"/>
                <w:szCs w:val="16"/>
              </w:rPr>
              <w:t>68.00%</w:t>
            </w:r>
          </w:p>
        </w:tc>
      </w:tr>
      <w:tr w:rsidR="00D62058" w:rsidRPr="00781112" w14:paraId="7C704220" w14:textId="4A1FC69E" w:rsidTr="00C40E4D">
        <w:trPr>
          <w:trHeight w:val="340"/>
        </w:trPr>
        <w:tc>
          <w:tcPr>
            <w:tcW w:w="224" w:type="pct"/>
            <w:shd w:val="clear" w:color="auto" w:fill="auto"/>
            <w:vAlign w:val="center"/>
          </w:tcPr>
          <w:p w14:paraId="253AADF0" w14:textId="721E9C65" w:rsidR="00D62058" w:rsidRPr="00781112" w:rsidRDefault="00D62058" w:rsidP="00D62058">
            <w:pPr>
              <w:rPr>
                <w:rFonts w:cs="Arial"/>
                <w:color w:val="000000" w:themeColor="text1"/>
                <w:szCs w:val="16"/>
              </w:rPr>
            </w:pPr>
            <w:r w:rsidRPr="00781112">
              <w:rPr>
                <w:rFonts w:cs="Arial"/>
                <w:color w:val="000000" w:themeColor="text1"/>
                <w:szCs w:val="16"/>
              </w:rPr>
              <w:t>Target A2 &gt;=</w:t>
            </w:r>
          </w:p>
        </w:tc>
        <w:tc>
          <w:tcPr>
            <w:tcW w:w="756" w:type="pct"/>
            <w:shd w:val="clear" w:color="auto" w:fill="auto"/>
            <w:vAlign w:val="center"/>
          </w:tcPr>
          <w:p w14:paraId="572F97E5" w14:textId="71E20118" w:rsidR="00D62058" w:rsidRPr="00781112" w:rsidRDefault="00D62058" w:rsidP="00D62058">
            <w:pPr>
              <w:jc w:val="center"/>
              <w:rPr>
                <w:rFonts w:cs="Arial"/>
                <w:color w:val="000000" w:themeColor="text1"/>
                <w:szCs w:val="16"/>
              </w:rPr>
            </w:pPr>
            <w:r w:rsidRPr="00781112">
              <w:rPr>
                <w:rFonts w:cs="Arial"/>
                <w:color w:val="000000" w:themeColor="text1"/>
                <w:szCs w:val="16"/>
              </w:rPr>
              <w:t>39.00%</w:t>
            </w:r>
          </w:p>
        </w:tc>
        <w:tc>
          <w:tcPr>
            <w:tcW w:w="804" w:type="pct"/>
            <w:vAlign w:val="center"/>
          </w:tcPr>
          <w:p w14:paraId="40137C22" w14:textId="775C9D4C" w:rsidR="00D62058" w:rsidRPr="00781112" w:rsidRDefault="00D62058" w:rsidP="00D62058">
            <w:pPr>
              <w:jc w:val="center"/>
              <w:rPr>
                <w:rFonts w:cs="Arial"/>
                <w:color w:val="000000" w:themeColor="text1"/>
                <w:szCs w:val="16"/>
              </w:rPr>
            </w:pPr>
            <w:r w:rsidRPr="00781112">
              <w:rPr>
                <w:color w:val="000000" w:themeColor="text1"/>
                <w:szCs w:val="16"/>
              </w:rPr>
              <w:t>39.00%</w:t>
            </w:r>
          </w:p>
        </w:tc>
        <w:tc>
          <w:tcPr>
            <w:tcW w:w="804" w:type="pct"/>
            <w:vAlign w:val="center"/>
          </w:tcPr>
          <w:p w14:paraId="468DEAEF" w14:textId="0B21BE62" w:rsidR="00D62058" w:rsidRPr="00781112" w:rsidRDefault="00D62058" w:rsidP="00D62058">
            <w:pPr>
              <w:jc w:val="center"/>
              <w:rPr>
                <w:rFonts w:cs="Arial"/>
                <w:color w:val="000000" w:themeColor="text1"/>
                <w:szCs w:val="16"/>
              </w:rPr>
            </w:pPr>
            <w:r w:rsidRPr="00781112">
              <w:rPr>
                <w:color w:val="000000" w:themeColor="text1"/>
                <w:szCs w:val="16"/>
              </w:rPr>
              <w:t>39.00%</w:t>
            </w:r>
          </w:p>
        </w:tc>
        <w:tc>
          <w:tcPr>
            <w:tcW w:w="804" w:type="pct"/>
            <w:vAlign w:val="center"/>
          </w:tcPr>
          <w:p w14:paraId="4D7AB0B5" w14:textId="5F153351" w:rsidR="00D62058" w:rsidRPr="00781112" w:rsidRDefault="00D62058" w:rsidP="00D62058">
            <w:pPr>
              <w:jc w:val="center"/>
              <w:rPr>
                <w:rFonts w:cs="Arial"/>
                <w:color w:val="000000" w:themeColor="text1"/>
                <w:szCs w:val="16"/>
              </w:rPr>
            </w:pPr>
            <w:r w:rsidRPr="00781112">
              <w:rPr>
                <w:color w:val="000000" w:themeColor="text1"/>
                <w:szCs w:val="16"/>
              </w:rPr>
              <w:t>39.00%</w:t>
            </w:r>
          </w:p>
        </w:tc>
        <w:tc>
          <w:tcPr>
            <w:tcW w:w="804" w:type="pct"/>
            <w:vAlign w:val="center"/>
          </w:tcPr>
          <w:p w14:paraId="76DA0071" w14:textId="5377DF32" w:rsidR="00D62058" w:rsidRPr="00781112" w:rsidRDefault="00D62058" w:rsidP="00D62058">
            <w:pPr>
              <w:jc w:val="center"/>
              <w:rPr>
                <w:rFonts w:cs="Arial"/>
                <w:color w:val="000000" w:themeColor="text1"/>
                <w:szCs w:val="16"/>
              </w:rPr>
            </w:pPr>
            <w:r w:rsidRPr="00781112">
              <w:rPr>
                <w:color w:val="000000" w:themeColor="text1"/>
                <w:szCs w:val="16"/>
              </w:rPr>
              <w:t>39.00%</w:t>
            </w:r>
          </w:p>
        </w:tc>
        <w:tc>
          <w:tcPr>
            <w:tcW w:w="804" w:type="pct"/>
            <w:vAlign w:val="center"/>
          </w:tcPr>
          <w:p w14:paraId="244FF673" w14:textId="616739D8" w:rsidR="00D62058" w:rsidRPr="00781112" w:rsidRDefault="00D62058" w:rsidP="00D62058">
            <w:pPr>
              <w:jc w:val="center"/>
              <w:rPr>
                <w:rFonts w:cs="Arial"/>
                <w:color w:val="000000" w:themeColor="text1"/>
                <w:szCs w:val="16"/>
              </w:rPr>
            </w:pPr>
            <w:r w:rsidRPr="00781112">
              <w:rPr>
                <w:color w:val="000000" w:themeColor="text1"/>
                <w:szCs w:val="16"/>
              </w:rPr>
              <w:t>39.00%</w:t>
            </w:r>
          </w:p>
        </w:tc>
      </w:tr>
      <w:tr w:rsidR="00D62058" w:rsidRPr="00781112" w14:paraId="6D44D644" w14:textId="2AAE55F2" w:rsidTr="00C40E4D">
        <w:trPr>
          <w:trHeight w:val="340"/>
        </w:trPr>
        <w:tc>
          <w:tcPr>
            <w:tcW w:w="224" w:type="pct"/>
            <w:shd w:val="clear" w:color="auto" w:fill="auto"/>
            <w:vAlign w:val="center"/>
          </w:tcPr>
          <w:p w14:paraId="2E46543E" w14:textId="484E799D" w:rsidR="00D62058" w:rsidRPr="00781112" w:rsidRDefault="00D62058" w:rsidP="00D62058">
            <w:pPr>
              <w:rPr>
                <w:rFonts w:cs="Arial"/>
                <w:color w:val="000000" w:themeColor="text1"/>
                <w:szCs w:val="16"/>
              </w:rPr>
            </w:pPr>
            <w:r w:rsidRPr="00781112">
              <w:rPr>
                <w:rFonts w:cs="Arial"/>
                <w:color w:val="000000" w:themeColor="text1"/>
                <w:szCs w:val="16"/>
              </w:rPr>
              <w:t>Target B1 &gt;=</w:t>
            </w:r>
          </w:p>
        </w:tc>
        <w:tc>
          <w:tcPr>
            <w:tcW w:w="756" w:type="pct"/>
            <w:shd w:val="clear" w:color="auto" w:fill="auto"/>
            <w:vAlign w:val="center"/>
          </w:tcPr>
          <w:p w14:paraId="5B1AAB6F" w14:textId="09987858" w:rsidR="00D62058" w:rsidRPr="00781112" w:rsidRDefault="00D62058" w:rsidP="00D62058">
            <w:pPr>
              <w:jc w:val="center"/>
              <w:rPr>
                <w:rFonts w:cs="Arial"/>
                <w:color w:val="000000" w:themeColor="text1"/>
                <w:szCs w:val="16"/>
              </w:rPr>
            </w:pPr>
            <w:r w:rsidRPr="00781112">
              <w:rPr>
                <w:rFonts w:cs="Arial"/>
                <w:color w:val="000000" w:themeColor="text1"/>
                <w:szCs w:val="16"/>
              </w:rPr>
              <w:t>68.33%</w:t>
            </w:r>
          </w:p>
        </w:tc>
        <w:tc>
          <w:tcPr>
            <w:tcW w:w="804" w:type="pct"/>
            <w:vAlign w:val="center"/>
          </w:tcPr>
          <w:p w14:paraId="7D23F948" w14:textId="1533C8CE" w:rsidR="00D62058" w:rsidRPr="00781112" w:rsidRDefault="00D62058" w:rsidP="00D62058">
            <w:pPr>
              <w:jc w:val="center"/>
              <w:rPr>
                <w:rFonts w:cs="Arial"/>
                <w:color w:val="000000" w:themeColor="text1"/>
                <w:szCs w:val="16"/>
              </w:rPr>
            </w:pPr>
            <w:r w:rsidRPr="00781112">
              <w:rPr>
                <w:color w:val="000000" w:themeColor="text1"/>
                <w:szCs w:val="16"/>
              </w:rPr>
              <w:t>68.66%</w:t>
            </w:r>
          </w:p>
        </w:tc>
        <w:tc>
          <w:tcPr>
            <w:tcW w:w="804" w:type="pct"/>
            <w:vAlign w:val="center"/>
          </w:tcPr>
          <w:p w14:paraId="681F2D39" w14:textId="3BA1761B" w:rsidR="00D62058" w:rsidRPr="00781112" w:rsidRDefault="00D62058" w:rsidP="00D62058">
            <w:pPr>
              <w:jc w:val="center"/>
              <w:rPr>
                <w:rFonts w:cs="Arial"/>
                <w:color w:val="000000" w:themeColor="text1"/>
                <w:szCs w:val="16"/>
              </w:rPr>
            </w:pPr>
            <w:r w:rsidRPr="00781112">
              <w:rPr>
                <w:color w:val="000000" w:themeColor="text1"/>
                <w:szCs w:val="16"/>
              </w:rPr>
              <w:t>68.99%</w:t>
            </w:r>
          </w:p>
        </w:tc>
        <w:tc>
          <w:tcPr>
            <w:tcW w:w="804" w:type="pct"/>
            <w:vAlign w:val="center"/>
          </w:tcPr>
          <w:p w14:paraId="0F16DD78" w14:textId="0278257D" w:rsidR="00D62058" w:rsidRPr="00781112" w:rsidRDefault="00D62058" w:rsidP="00D62058">
            <w:pPr>
              <w:jc w:val="center"/>
              <w:rPr>
                <w:rFonts w:cs="Arial"/>
                <w:color w:val="000000" w:themeColor="text1"/>
                <w:szCs w:val="16"/>
              </w:rPr>
            </w:pPr>
            <w:r w:rsidRPr="00781112">
              <w:rPr>
                <w:color w:val="000000" w:themeColor="text1"/>
                <w:szCs w:val="16"/>
              </w:rPr>
              <w:t>69.33%</w:t>
            </w:r>
          </w:p>
        </w:tc>
        <w:tc>
          <w:tcPr>
            <w:tcW w:w="804" w:type="pct"/>
            <w:vAlign w:val="center"/>
          </w:tcPr>
          <w:p w14:paraId="7B3AFE6F" w14:textId="6724BF4D" w:rsidR="00D62058" w:rsidRPr="00781112" w:rsidRDefault="00D62058" w:rsidP="00D62058">
            <w:pPr>
              <w:jc w:val="center"/>
              <w:rPr>
                <w:rFonts w:cs="Arial"/>
                <w:color w:val="000000" w:themeColor="text1"/>
                <w:szCs w:val="16"/>
              </w:rPr>
            </w:pPr>
            <w:r w:rsidRPr="00781112">
              <w:rPr>
                <w:color w:val="000000" w:themeColor="text1"/>
                <w:szCs w:val="16"/>
              </w:rPr>
              <w:t>69.66%</w:t>
            </w:r>
          </w:p>
        </w:tc>
        <w:tc>
          <w:tcPr>
            <w:tcW w:w="804" w:type="pct"/>
            <w:vAlign w:val="center"/>
          </w:tcPr>
          <w:p w14:paraId="213FF138" w14:textId="31239963" w:rsidR="00D62058" w:rsidRPr="00781112" w:rsidRDefault="00D62058" w:rsidP="00D62058">
            <w:pPr>
              <w:jc w:val="center"/>
              <w:rPr>
                <w:rFonts w:cs="Arial"/>
                <w:color w:val="000000" w:themeColor="text1"/>
                <w:szCs w:val="16"/>
              </w:rPr>
            </w:pPr>
            <w:r w:rsidRPr="00781112">
              <w:rPr>
                <w:color w:val="000000" w:themeColor="text1"/>
                <w:szCs w:val="16"/>
              </w:rPr>
              <w:t>70.00%</w:t>
            </w:r>
          </w:p>
        </w:tc>
      </w:tr>
      <w:tr w:rsidR="00D62058" w:rsidRPr="00781112" w14:paraId="23425CD0" w14:textId="2D15C5CA" w:rsidTr="00C40E4D">
        <w:trPr>
          <w:trHeight w:val="340"/>
        </w:trPr>
        <w:tc>
          <w:tcPr>
            <w:tcW w:w="224" w:type="pct"/>
            <w:shd w:val="clear" w:color="auto" w:fill="auto"/>
            <w:vAlign w:val="center"/>
          </w:tcPr>
          <w:p w14:paraId="7DAA620C" w14:textId="6D6F79FD" w:rsidR="00D62058" w:rsidRPr="00781112" w:rsidRDefault="00D62058" w:rsidP="00D62058">
            <w:pPr>
              <w:rPr>
                <w:rFonts w:cs="Arial"/>
                <w:color w:val="000000" w:themeColor="text1"/>
                <w:szCs w:val="16"/>
              </w:rPr>
            </w:pPr>
            <w:r w:rsidRPr="00781112">
              <w:rPr>
                <w:rFonts w:cs="Arial"/>
                <w:color w:val="000000" w:themeColor="text1"/>
                <w:szCs w:val="16"/>
              </w:rPr>
              <w:t>Target B2 &gt;=</w:t>
            </w:r>
          </w:p>
        </w:tc>
        <w:tc>
          <w:tcPr>
            <w:tcW w:w="756" w:type="pct"/>
            <w:shd w:val="clear" w:color="auto" w:fill="auto"/>
            <w:vAlign w:val="center"/>
          </w:tcPr>
          <w:p w14:paraId="0C8065AA" w14:textId="2AC4B20C" w:rsidR="00D62058" w:rsidRPr="00781112" w:rsidRDefault="00D62058" w:rsidP="00D62058">
            <w:pPr>
              <w:jc w:val="center"/>
              <w:rPr>
                <w:rFonts w:cs="Arial"/>
                <w:color w:val="000000" w:themeColor="text1"/>
                <w:szCs w:val="16"/>
              </w:rPr>
            </w:pPr>
            <w:r w:rsidRPr="00781112">
              <w:rPr>
                <w:rFonts w:cs="Arial"/>
                <w:color w:val="000000" w:themeColor="text1"/>
                <w:szCs w:val="16"/>
              </w:rPr>
              <w:t>37.00%</w:t>
            </w:r>
          </w:p>
        </w:tc>
        <w:tc>
          <w:tcPr>
            <w:tcW w:w="804" w:type="pct"/>
            <w:vAlign w:val="center"/>
          </w:tcPr>
          <w:p w14:paraId="3751A50F" w14:textId="3383D4A8" w:rsidR="00D62058" w:rsidRPr="00781112" w:rsidRDefault="00D62058" w:rsidP="00D62058">
            <w:pPr>
              <w:jc w:val="center"/>
              <w:rPr>
                <w:rFonts w:cs="Arial"/>
                <w:color w:val="000000" w:themeColor="text1"/>
                <w:szCs w:val="16"/>
              </w:rPr>
            </w:pPr>
            <w:r w:rsidRPr="00781112">
              <w:rPr>
                <w:color w:val="000000" w:themeColor="text1"/>
                <w:szCs w:val="16"/>
              </w:rPr>
              <w:t>37.00%</w:t>
            </w:r>
          </w:p>
        </w:tc>
        <w:tc>
          <w:tcPr>
            <w:tcW w:w="804" w:type="pct"/>
            <w:vAlign w:val="center"/>
          </w:tcPr>
          <w:p w14:paraId="5235FFA6" w14:textId="4138DEB0" w:rsidR="00D62058" w:rsidRPr="00781112" w:rsidRDefault="00D62058" w:rsidP="00D62058">
            <w:pPr>
              <w:jc w:val="center"/>
              <w:rPr>
                <w:rFonts w:cs="Arial"/>
                <w:color w:val="000000" w:themeColor="text1"/>
                <w:szCs w:val="16"/>
              </w:rPr>
            </w:pPr>
            <w:r w:rsidRPr="00781112">
              <w:rPr>
                <w:color w:val="000000" w:themeColor="text1"/>
                <w:szCs w:val="16"/>
              </w:rPr>
              <w:t>37.00%</w:t>
            </w:r>
          </w:p>
        </w:tc>
        <w:tc>
          <w:tcPr>
            <w:tcW w:w="804" w:type="pct"/>
            <w:vAlign w:val="center"/>
          </w:tcPr>
          <w:p w14:paraId="7C9D5CEA" w14:textId="1B842876" w:rsidR="00D62058" w:rsidRPr="00781112" w:rsidRDefault="00D62058" w:rsidP="00D62058">
            <w:pPr>
              <w:jc w:val="center"/>
              <w:rPr>
                <w:rFonts w:cs="Arial"/>
                <w:color w:val="000000" w:themeColor="text1"/>
                <w:szCs w:val="16"/>
              </w:rPr>
            </w:pPr>
            <w:r w:rsidRPr="00781112">
              <w:rPr>
                <w:color w:val="000000" w:themeColor="text1"/>
                <w:szCs w:val="16"/>
              </w:rPr>
              <w:t>37.00%</w:t>
            </w:r>
          </w:p>
        </w:tc>
        <w:tc>
          <w:tcPr>
            <w:tcW w:w="804" w:type="pct"/>
            <w:vAlign w:val="center"/>
          </w:tcPr>
          <w:p w14:paraId="3C028680" w14:textId="00A3EDF9" w:rsidR="00D62058" w:rsidRPr="00781112" w:rsidRDefault="00D62058" w:rsidP="00D62058">
            <w:pPr>
              <w:jc w:val="center"/>
              <w:rPr>
                <w:rFonts w:cs="Arial"/>
                <w:color w:val="000000" w:themeColor="text1"/>
                <w:szCs w:val="16"/>
              </w:rPr>
            </w:pPr>
            <w:r w:rsidRPr="00781112">
              <w:rPr>
                <w:color w:val="000000" w:themeColor="text1"/>
                <w:szCs w:val="16"/>
              </w:rPr>
              <w:t>37.00%</w:t>
            </w:r>
          </w:p>
        </w:tc>
        <w:tc>
          <w:tcPr>
            <w:tcW w:w="804" w:type="pct"/>
            <w:vAlign w:val="center"/>
          </w:tcPr>
          <w:p w14:paraId="47EEC254" w14:textId="44D49378" w:rsidR="00D62058" w:rsidRPr="00781112" w:rsidRDefault="00D62058" w:rsidP="00D62058">
            <w:pPr>
              <w:jc w:val="center"/>
              <w:rPr>
                <w:rFonts w:cs="Arial"/>
                <w:color w:val="000000" w:themeColor="text1"/>
                <w:szCs w:val="16"/>
              </w:rPr>
            </w:pPr>
            <w:r w:rsidRPr="00781112">
              <w:rPr>
                <w:color w:val="000000" w:themeColor="text1"/>
                <w:szCs w:val="16"/>
              </w:rPr>
              <w:t>37.00%</w:t>
            </w:r>
          </w:p>
        </w:tc>
      </w:tr>
      <w:tr w:rsidR="00D62058" w:rsidRPr="00781112" w14:paraId="3A0A624F" w14:textId="2DA1E496" w:rsidTr="00C40E4D">
        <w:trPr>
          <w:trHeight w:val="340"/>
        </w:trPr>
        <w:tc>
          <w:tcPr>
            <w:tcW w:w="224" w:type="pct"/>
            <w:shd w:val="clear" w:color="auto" w:fill="auto"/>
            <w:vAlign w:val="center"/>
          </w:tcPr>
          <w:p w14:paraId="04DCCFAA" w14:textId="5591B965" w:rsidR="00D62058" w:rsidRPr="00781112" w:rsidRDefault="00D62058" w:rsidP="00D62058">
            <w:pPr>
              <w:rPr>
                <w:rFonts w:cs="Arial"/>
                <w:color w:val="000000" w:themeColor="text1"/>
                <w:szCs w:val="16"/>
              </w:rPr>
            </w:pPr>
            <w:r w:rsidRPr="00781112">
              <w:rPr>
                <w:rFonts w:cs="Arial"/>
                <w:color w:val="000000" w:themeColor="text1"/>
                <w:szCs w:val="16"/>
              </w:rPr>
              <w:t>Target C1 &gt;=</w:t>
            </w:r>
          </w:p>
        </w:tc>
        <w:tc>
          <w:tcPr>
            <w:tcW w:w="756" w:type="pct"/>
            <w:shd w:val="clear" w:color="auto" w:fill="auto"/>
            <w:vAlign w:val="center"/>
          </w:tcPr>
          <w:p w14:paraId="26176209" w14:textId="03FEA13C" w:rsidR="00D62058" w:rsidRPr="00781112" w:rsidRDefault="00D62058" w:rsidP="00D62058">
            <w:pPr>
              <w:jc w:val="center"/>
              <w:rPr>
                <w:rFonts w:cs="Arial"/>
                <w:color w:val="000000" w:themeColor="text1"/>
                <w:szCs w:val="16"/>
              </w:rPr>
            </w:pPr>
            <w:r w:rsidRPr="00781112">
              <w:rPr>
                <w:rFonts w:cs="Arial"/>
                <w:color w:val="000000" w:themeColor="text1"/>
                <w:szCs w:val="16"/>
              </w:rPr>
              <w:t>61.33%</w:t>
            </w:r>
          </w:p>
        </w:tc>
        <w:tc>
          <w:tcPr>
            <w:tcW w:w="804" w:type="pct"/>
            <w:vAlign w:val="center"/>
          </w:tcPr>
          <w:p w14:paraId="36CB20B0" w14:textId="212CC3E5" w:rsidR="00D62058" w:rsidRPr="00781112" w:rsidRDefault="00D62058" w:rsidP="00D62058">
            <w:pPr>
              <w:jc w:val="center"/>
              <w:rPr>
                <w:rFonts w:cs="Arial"/>
                <w:color w:val="000000" w:themeColor="text1"/>
                <w:szCs w:val="16"/>
              </w:rPr>
            </w:pPr>
            <w:r w:rsidRPr="00781112">
              <w:rPr>
                <w:color w:val="000000" w:themeColor="text1"/>
                <w:szCs w:val="16"/>
              </w:rPr>
              <w:t>62.66%</w:t>
            </w:r>
          </w:p>
        </w:tc>
        <w:tc>
          <w:tcPr>
            <w:tcW w:w="804" w:type="pct"/>
            <w:vAlign w:val="center"/>
          </w:tcPr>
          <w:p w14:paraId="29B1E3BE" w14:textId="0FFFD561" w:rsidR="00D62058" w:rsidRPr="00781112" w:rsidRDefault="00D62058" w:rsidP="00D62058">
            <w:pPr>
              <w:jc w:val="center"/>
              <w:rPr>
                <w:rFonts w:cs="Arial"/>
                <w:color w:val="000000" w:themeColor="text1"/>
                <w:szCs w:val="16"/>
              </w:rPr>
            </w:pPr>
            <w:r w:rsidRPr="00781112">
              <w:rPr>
                <w:color w:val="000000" w:themeColor="text1"/>
                <w:szCs w:val="16"/>
              </w:rPr>
              <w:t>64.00%</w:t>
            </w:r>
          </w:p>
        </w:tc>
        <w:tc>
          <w:tcPr>
            <w:tcW w:w="804" w:type="pct"/>
            <w:vAlign w:val="center"/>
          </w:tcPr>
          <w:p w14:paraId="287AC7C4" w14:textId="5C0E3064" w:rsidR="00D62058" w:rsidRPr="00781112" w:rsidRDefault="00D62058" w:rsidP="00D62058">
            <w:pPr>
              <w:jc w:val="center"/>
              <w:rPr>
                <w:rFonts w:cs="Arial"/>
                <w:color w:val="000000" w:themeColor="text1"/>
                <w:szCs w:val="16"/>
              </w:rPr>
            </w:pPr>
            <w:r w:rsidRPr="00781112">
              <w:rPr>
                <w:color w:val="000000" w:themeColor="text1"/>
                <w:szCs w:val="16"/>
              </w:rPr>
              <w:t>65.33%</w:t>
            </w:r>
          </w:p>
        </w:tc>
        <w:tc>
          <w:tcPr>
            <w:tcW w:w="804" w:type="pct"/>
            <w:vAlign w:val="center"/>
          </w:tcPr>
          <w:p w14:paraId="094E7895" w14:textId="27006BDD" w:rsidR="00D62058" w:rsidRPr="00781112" w:rsidRDefault="00D62058" w:rsidP="00D62058">
            <w:pPr>
              <w:jc w:val="center"/>
              <w:rPr>
                <w:rFonts w:cs="Arial"/>
                <w:color w:val="000000" w:themeColor="text1"/>
                <w:szCs w:val="16"/>
              </w:rPr>
            </w:pPr>
            <w:r w:rsidRPr="00781112">
              <w:rPr>
                <w:color w:val="000000" w:themeColor="text1"/>
                <w:szCs w:val="16"/>
              </w:rPr>
              <w:t>66.66%</w:t>
            </w:r>
          </w:p>
        </w:tc>
        <w:tc>
          <w:tcPr>
            <w:tcW w:w="804" w:type="pct"/>
            <w:vAlign w:val="center"/>
          </w:tcPr>
          <w:p w14:paraId="22749F75" w14:textId="0DE55AF6" w:rsidR="00D62058" w:rsidRPr="00781112" w:rsidRDefault="00D62058" w:rsidP="00D62058">
            <w:pPr>
              <w:jc w:val="center"/>
              <w:rPr>
                <w:rFonts w:cs="Arial"/>
                <w:color w:val="000000" w:themeColor="text1"/>
                <w:szCs w:val="16"/>
              </w:rPr>
            </w:pPr>
            <w:r w:rsidRPr="00781112">
              <w:rPr>
                <w:color w:val="000000" w:themeColor="text1"/>
                <w:szCs w:val="16"/>
              </w:rPr>
              <w:t>68.00%</w:t>
            </w:r>
          </w:p>
        </w:tc>
      </w:tr>
      <w:tr w:rsidR="00AD5583" w:rsidRPr="00781112" w14:paraId="7FD0F8D0" w14:textId="6F160F3D" w:rsidTr="00C40E4D">
        <w:trPr>
          <w:trHeight w:val="340"/>
        </w:trPr>
        <w:tc>
          <w:tcPr>
            <w:tcW w:w="224" w:type="pct"/>
            <w:shd w:val="clear" w:color="auto" w:fill="auto"/>
            <w:vAlign w:val="center"/>
          </w:tcPr>
          <w:p w14:paraId="16DEC104" w14:textId="6A28B34F" w:rsidR="00AD5583" w:rsidRPr="00781112" w:rsidRDefault="00AD5583" w:rsidP="00AD5583">
            <w:pPr>
              <w:rPr>
                <w:rFonts w:cs="Arial"/>
                <w:color w:val="000000" w:themeColor="text1"/>
                <w:szCs w:val="16"/>
              </w:rPr>
            </w:pPr>
            <w:r w:rsidRPr="00781112">
              <w:rPr>
                <w:rFonts w:cs="Arial"/>
                <w:color w:val="000000" w:themeColor="text1"/>
                <w:szCs w:val="16"/>
              </w:rPr>
              <w:lastRenderedPageBreak/>
              <w:t>Target C2 &gt;=</w:t>
            </w:r>
          </w:p>
        </w:tc>
        <w:tc>
          <w:tcPr>
            <w:tcW w:w="756" w:type="pct"/>
            <w:shd w:val="clear" w:color="auto" w:fill="auto"/>
            <w:vAlign w:val="center"/>
          </w:tcPr>
          <w:p w14:paraId="7A9F674E" w14:textId="54CCEACA" w:rsidR="00AD5583" w:rsidRPr="00781112" w:rsidRDefault="00AD5583" w:rsidP="00AD5583">
            <w:pPr>
              <w:jc w:val="center"/>
              <w:rPr>
                <w:rFonts w:cs="Arial"/>
                <w:color w:val="000000" w:themeColor="text1"/>
                <w:szCs w:val="16"/>
              </w:rPr>
            </w:pPr>
            <w:r w:rsidRPr="00781112">
              <w:rPr>
                <w:rFonts w:cs="Arial"/>
                <w:color w:val="000000" w:themeColor="text1"/>
                <w:szCs w:val="16"/>
              </w:rPr>
              <w:t>53.00%</w:t>
            </w:r>
          </w:p>
        </w:tc>
        <w:tc>
          <w:tcPr>
            <w:tcW w:w="804" w:type="pct"/>
            <w:vAlign w:val="center"/>
          </w:tcPr>
          <w:p w14:paraId="1A528F77" w14:textId="13F14B9B" w:rsidR="00AD5583" w:rsidRPr="00781112" w:rsidRDefault="00AD5583" w:rsidP="00AD5583">
            <w:pPr>
              <w:jc w:val="center"/>
              <w:rPr>
                <w:rFonts w:cs="Arial"/>
                <w:color w:val="000000" w:themeColor="text1"/>
                <w:szCs w:val="16"/>
              </w:rPr>
            </w:pPr>
            <w:r w:rsidRPr="00781112">
              <w:rPr>
                <w:color w:val="000000" w:themeColor="text1"/>
                <w:szCs w:val="16"/>
              </w:rPr>
              <w:t>53.00%</w:t>
            </w:r>
          </w:p>
          <w:p w14:paraId="3C5378CB" w14:textId="5A59E833" w:rsidR="00AD5583" w:rsidRPr="00781112" w:rsidRDefault="00AD5583" w:rsidP="00AD5583">
            <w:pPr>
              <w:jc w:val="center"/>
              <w:rPr>
                <w:rFonts w:cs="Arial"/>
                <w:color w:val="000000" w:themeColor="text1"/>
                <w:szCs w:val="16"/>
              </w:rPr>
            </w:pPr>
          </w:p>
        </w:tc>
        <w:tc>
          <w:tcPr>
            <w:tcW w:w="804" w:type="pct"/>
            <w:vAlign w:val="center"/>
          </w:tcPr>
          <w:p w14:paraId="694DD14B" w14:textId="0FC2BAFA" w:rsidR="00AD5583" w:rsidRPr="00781112" w:rsidRDefault="00AD5583" w:rsidP="00AD5583">
            <w:pPr>
              <w:jc w:val="center"/>
              <w:rPr>
                <w:rFonts w:cs="Arial"/>
                <w:color w:val="000000" w:themeColor="text1"/>
                <w:szCs w:val="16"/>
              </w:rPr>
            </w:pPr>
            <w:r w:rsidRPr="00781112">
              <w:rPr>
                <w:color w:val="000000" w:themeColor="text1"/>
                <w:szCs w:val="16"/>
              </w:rPr>
              <w:t>53.00%</w:t>
            </w:r>
          </w:p>
        </w:tc>
        <w:tc>
          <w:tcPr>
            <w:tcW w:w="804" w:type="pct"/>
            <w:vAlign w:val="center"/>
          </w:tcPr>
          <w:p w14:paraId="69632A5F" w14:textId="59530F4E" w:rsidR="00AD5583" w:rsidRPr="00781112" w:rsidRDefault="00AD5583" w:rsidP="00AD5583">
            <w:pPr>
              <w:jc w:val="center"/>
              <w:rPr>
                <w:rFonts w:cs="Arial"/>
                <w:color w:val="000000" w:themeColor="text1"/>
                <w:szCs w:val="16"/>
              </w:rPr>
            </w:pPr>
            <w:r w:rsidRPr="00781112">
              <w:rPr>
                <w:color w:val="000000" w:themeColor="text1"/>
                <w:szCs w:val="16"/>
              </w:rPr>
              <w:t>53.00%</w:t>
            </w:r>
          </w:p>
        </w:tc>
        <w:tc>
          <w:tcPr>
            <w:tcW w:w="804" w:type="pct"/>
            <w:vAlign w:val="center"/>
          </w:tcPr>
          <w:p w14:paraId="1C5D6F95" w14:textId="3D16D545" w:rsidR="00AD5583" w:rsidRPr="00781112" w:rsidRDefault="00AD5583" w:rsidP="00AD5583">
            <w:pPr>
              <w:jc w:val="center"/>
              <w:rPr>
                <w:rFonts w:cs="Arial"/>
                <w:color w:val="000000" w:themeColor="text1"/>
                <w:szCs w:val="16"/>
              </w:rPr>
            </w:pPr>
            <w:r w:rsidRPr="00781112">
              <w:rPr>
                <w:color w:val="000000" w:themeColor="text1"/>
                <w:szCs w:val="16"/>
              </w:rPr>
              <w:t>53.00%</w:t>
            </w:r>
          </w:p>
        </w:tc>
        <w:tc>
          <w:tcPr>
            <w:tcW w:w="804" w:type="pct"/>
            <w:vAlign w:val="center"/>
          </w:tcPr>
          <w:p w14:paraId="478E5E47" w14:textId="202F6B5D" w:rsidR="00AD5583" w:rsidRPr="00781112" w:rsidRDefault="00AD5583" w:rsidP="00AD5583">
            <w:pPr>
              <w:jc w:val="center"/>
              <w:rPr>
                <w:rFonts w:cs="Arial"/>
                <w:color w:val="000000" w:themeColor="text1"/>
                <w:szCs w:val="16"/>
              </w:rPr>
            </w:pPr>
            <w:r w:rsidRPr="00781112">
              <w:rPr>
                <w:color w:val="000000" w:themeColor="text1"/>
                <w:szCs w:val="16"/>
              </w:rPr>
              <w:t>53.00%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
      </w:r>
    </w:p>
    <w:p w14:paraId="1512BEE4" w14:textId="77777777" w:rsidR="007870F8" w:rsidRPr="00781112" w:rsidRDefault="007870F8" w:rsidP="004369B2">
      <w:pPr>
        <w:rPr>
          <w:color w:val="000000" w:themeColor="text1"/>
        </w:rPr>
      </w:pPr>
    </w:p>
    <w:p w14:paraId="4D0201C3" w14:textId="41F8CFF8" w:rsidR="008751D3" w:rsidRPr="00781112" w:rsidRDefault="00F6415A">
      <w:pPr>
        <w:rPr>
          <w:b/>
          <w:color w:val="000000" w:themeColor="text1"/>
        </w:rPr>
      </w:pPr>
      <w:r w:rsidRPr="00781112">
        <w:rPr>
          <w:b/>
          <w:color w:val="000000" w:themeColor="text1"/>
        </w:rPr>
        <w:t>FFY 2020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1,749</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111"/>
        <w:gridCol w:w="1675"/>
        <w:gridCol w:w="2004"/>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15</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0.86%</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454</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25.96%</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663</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37.91%</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331</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18.93%</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286</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16.35%</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7"/>
        <w:gridCol w:w="1234"/>
        <w:gridCol w:w="1232"/>
        <w:gridCol w:w="1234"/>
        <w:gridCol w:w="1232"/>
        <w:gridCol w:w="1234"/>
        <w:gridCol w:w="1232"/>
      </w:tblGrid>
      <w:tr w:rsidR="005C29F8" w:rsidRPr="00781112" w14:paraId="3D9EEDAD" w14:textId="30B2445F" w:rsidTr="00AB0D6A">
        <w:trPr>
          <w:trHeight w:val="354"/>
          <w:tblHeader/>
        </w:trPr>
        <w:tc>
          <w:tcPr>
            <w:tcW w:w="1040" w:type="pct"/>
            <w:shd w:val="clear" w:color="auto" w:fill="auto"/>
            <w:vAlign w:val="bottom"/>
          </w:tcPr>
          <w:p w14:paraId="12D11B46" w14:textId="1FAAAC6F" w:rsidR="00E13B95" w:rsidRPr="00781112" w:rsidRDefault="003E11AE" w:rsidP="0033429D">
            <w:pPr>
              <w:rPr>
                <w:rFonts w:cs="Arial"/>
                <w:color w:val="000000" w:themeColor="text1"/>
                <w:szCs w:val="16"/>
              </w:rPr>
            </w:pPr>
            <w:r w:rsidRPr="00781112">
              <w:rPr>
                <w:rFonts w:cs="Arial"/>
                <w:b/>
                <w:color w:val="000000" w:themeColor="text1"/>
                <w:szCs w:val="16"/>
              </w:rPr>
              <w:t>Outcome A</w:t>
            </w:r>
          </w:p>
        </w:tc>
        <w:tc>
          <w:tcPr>
            <w:tcW w:w="531" w:type="pct"/>
            <w:shd w:val="clear" w:color="auto" w:fill="auto"/>
            <w:vAlign w:val="bottom"/>
          </w:tcPr>
          <w:p w14:paraId="7B100CB7" w14:textId="77777777" w:rsidR="00E13B95" w:rsidRPr="00781112" w:rsidRDefault="00E13B95" w:rsidP="00681BA6">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E13B95" w:rsidRPr="00781112" w:rsidRDefault="00E13B95" w:rsidP="00681BA6">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014F46D2" w:rsidR="00E13B95"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72" w:type="pct"/>
            <w:shd w:val="clear" w:color="auto" w:fill="auto"/>
            <w:vAlign w:val="bottom"/>
          </w:tcPr>
          <w:p w14:paraId="41DCEE89" w14:textId="595CA514" w:rsidR="00E13B95"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71" w:type="pct"/>
            <w:shd w:val="clear" w:color="auto" w:fill="auto"/>
            <w:vAlign w:val="bottom"/>
          </w:tcPr>
          <w:p w14:paraId="64737D68" w14:textId="5235D259" w:rsidR="00E13B95"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572" w:type="pct"/>
            <w:shd w:val="clear" w:color="auto" w:fill="auto"/>
            <w:vAlign w:val="bottom"/>
          </w:tcPr>
          <w:p w14:paraId="4592E227" w14:textId="424684DB" w:rsidR="00E13B95" w:rsidRPr="00781112" w:rsidRDefault="00E13B95" w:rsidP="00681BA6">
            <w:pPr>
              <w:jc w:val="center"/>
              <w:rPr>
                <w:rFonts w:cs="Arial"/>
                <w:b/>
                <w:color w:val="000000" w:themeColor="text1"/>
                <w:szCs w:val="16"/>
              </w:rPr>
            </w:pPr>
            <w:r w:rsidRPr="00781112">
              <w:rPr>
                <w:rFonts w:cs="Arial"/>
                <w:b/>
                <w:color w:val="000000" w:themeColor="text1"/>
                <w:szCs w:val="16"/>
              </w:rPr>
              <w:t>Status</w:t>
            </w:r>
          </w:p>
        </w:tc>
        <w:tc>
          <w:tcPr>
            <w:tcW w:w="572" w:type="pct"/>
            <w:shd w:val="clear" w:color="auto" w:fill="auto"/>
            <w:vAlign w:val="bottom"/>
          </w:tcPr>
          <w:p w14:paraId="41F5B2E6" w14:textId="7085A5D7" w:rsidR="00E13B95" w:rsidRPr="00781112" w:rsidRDefault="00E13B95"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B0D6A">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1"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994</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1,463</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73.05%</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66.50%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67.94%</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2"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r w:rsidR="005C29F8" w:rsidRPr="00781112" w14:paraId="79C043DE" w14:textId="1DF06FE5" w:rsidTr="00AB0D6A">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1"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617</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1,749</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35.55%</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39.00%</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35.28%</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2"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111"/>
        <w:gridCol w:w="1675"/>
        <w:gridCol w:w="2004"/>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7</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0.40%</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441</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25.21%</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674</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38.54%</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344</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19.67%</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283</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16.18%</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5C29F8" w:rsidRPr="00781112" w14:paraId="29447607" w14:textId="4B3B706C" w:rsidTr="00AB0D6A">
        <w:trPr>
          <w:tblHeader/>
        </w:trPr>
        <w:tc>
          <w:tcPr>
            <w:tcW w:w="1000" w:type="pct"/>
            <w:shd w:val="clear" w:color="auto" w:fill="auto"/>
            <w:vAlign w:val="bottom"/>
          </w:tcPr>
          <w:p w14:paraId="58D567A9" w14:textId="7BD30860" w:rsidR="00E13B95" w:rsidRPr="00781112" w:rsidRDefault="009028CA" w:rsidP="004369B2">
            <w:pPr>
              <w:rPr>
                <w:b/>
                <w:color w:val="000000" w:themeColor="text1"/>
              </w:rPr>
            </w:pPr>
            <w:r w:rsidRPr="00781112">
              <w:rPr>
                <w:b/>
                <w:color w:val="000000" w:themeColor="text1"/>
              </w:rPr>
              <w:lastRenderedPageBreak/>
              <w:t>Outcome B</w:t>
            </w:r>
          </w:p>
        </w:tc>
        <w:tc>
          <w:tcPr>
            <w:tcW w:w="584" w:type="pct"/>
            <w:shd w:val="clear" w:color="auto" w:fill="auto"/>
            <w:vAlign w:val="bottom"/>
          </w:tcPr>
          <w:p w14:paraId="0DF6A486" w14:textId="77777777" w:rsidR="00E13B95" w:rsidRPr="00781112" w:rsidRDefault="00E13B95" w:rsidP="004369B2">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E13B95" w:rsidRPr="00781112" w:rsidRDefault="00E13B95" w:rsidP="004369B2">
            <w:pPr>
              <w:rPr>
                <w:b/>
                <w:color w:val="000000" w:themeColor="text1"/>
              </w:rPr>
            </w:pPr>
            <w:r w:rsidRPr="00781112">
              <w:rPr>
                <w:b/>
                <w:color w:val="000000" w:themeColor="text1"/>
              </w:rPr>
              <w:t>Denominator</w:t>
            </w:r>
          </w:p>
        </w:tc>
        <w:tc>
          <w:tcPr>
            <w:tcW w:w="543" w:type="pct"/>
            <w:shd w:val="clear" w:color="auto" w:fill="auto"/>
            <w:vAlign w:val="bottom"/>
          </w:tcPr>
          <w:p w14:paraId="03649132" w14:textId="75D37CB7" w:rsidR="00E13B95" w:rsidRPr="00781112" w:rsidRDefault="00B954DC" w:rsidP="004369B2">
            <w:pPr>
              <w:rPr>
                <w:b/>
                <w:color w:val="000000" w:themeColor="text1"/>
              </w:rPr>
            </w:pPr>
            <w:r w:rsidRPr="00781112">
              <w:rPr>
                <w:b/>
                <w:color w:val="000000" w:themeColor="text1"/>
              </w:rPr>
              <w:t>FFY  2019 Data</w:t>
            </w:r>
          </w:p>
        </w:tc>
        <w:tc>
          <w:tcPr>
            <w:tcW w:w="584" w:type="pct"/>
            <w:shd w:val="clear" w:color="auto" w:fill="auto"/>
            <w:vAlign w:val="bottom"/>
          </w:tcPr>
          <w:p w14:paraId="3AFAEBC5" w14:textId="4D647742" w:rsidR="00E13B95" w:rsidRPr="00781112" w:rsidRDefault="00F6415A" w:rsidP="004369B2">
            <w:pPr>
              <w:rPr>
                <w:b/>
                <w:color w:val="000000" w:themeColor="text1"/>
              </w:rPr>
            </w:pPr>
            <w:r w:rsidRPr="00781112">
              <w:rPr>
                <w:b/>
                <w:color w:val="000000" w:themeColor="text1"/>
              </w:rPr>
              <w:t>FFY 2020 Target</w:t>
            </w:r>
          </w:p>
        </w:tc>
        <w:tc>
          <w:tcPr>
            <w:tcW w:w="584" w:type="pct"/>
            <w:shd w:val="clear" w:color="auto" w:fill="auto"/>
            <w:vAlign w:val="bottom"/>
          </w:tcPr>
          <w:p w14:paraId="40B6360D" w14:textId="224005B5" w:rsidR="00E13B95" w:rsidRPr="00781112" w:rsidRDefault="00E13B95" w:rsidP="004369B2">
            <w:pPr>
              <w:rPr>
                <w:b/>
                <w:color w:val="000000" w:themeColor="text1"/>
              </w:rPr>
            </w:pPr>
            <w:r w:rsidRPr="00781112">
              <w:rPr>
                <w:b/>
                <w:color w:val="000000" w:themeColor="text1"/>
              </w:rPr>
              <w:t>FFY 2020 Data</w:t>
            </w:r>
          </w:p>
        </w:tc>
        <w:tc>
          <w:tcPr>
            <w:tcW w:w="486" w:type="pct"/>
            <w:shd w:val="clear" w:color="auto" w:fill="auto"/>
            <w:vAlign w:val="bottom"/>
          </w:tcPr>
          <w:p w14:paraId="17C85F8A" w14:textId="625B06E9" w:rsidR="00E13B95" w:rsidRPr="00781112" w:rsidRDefault="00E13B95" w:rsidP="004369B2">
            <w:pPr>
              <w:rPr>
                <w:b/>
                <w:color w:val="000000" w:themeColor="text1"/>
              </w:rPr>
            </w:pPr>
            <w:r w:rsidRPr="00781112">
              <w:rPr>
                <w:b/>
                <w:color w:val="000000" w:themeColor="text1"/>
              </w:rPr>
              <w:t>Status</w:t>
            </w:r>
          </w:p>
        </w:tc>
        <w:tc>
          <w:tcPr>
            <w:tcW w:w="635" w:type="pct"/>
            <w:shd w:val="clear" w:color="auto" w:fill="auto"/>
            <w:vAlign w:val="bottom"/>
          </w:tcPr>
          <w:p w14:paraId="4254BB19" w14:textId="15C403FF" w:rsidR="00E13B95" w:rsidRPr="00781112" w:rsidRDefault="00E13B95" w:rsidP="004369B2">
            <w:pPr>
              <w:rPr>
                <w:b/>
                <w:color w:val="000000" w:themeColor="text1"/>
              </w:rPr>
            </w:pPr>
            <w:r w:rsidRPr="00781112">
              <w:rPr>
                <w:b/>
                <w:color w:val="000000" w:themeColor="text1"/>
              </w:rPr>
              <w:t>Slippage</w:t>
            </w:r>
          </w:p>
        </w:tc>
      </w:tr>
      <w:tr w:rsidR="005C29F8" w:rsidRPr="00781112" w14:paraId="6493B1D4" w14:textId="479A7C15" w:rsidTr="00AB0D6A">
        <w:tc>
          <w:tcPr>
            <w:tcW w:w="999"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1,018</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1,466</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73.12%</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68.33%</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69.44%</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35"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AB0D6A">
        <w:tc>
          <w:tcPr>
            <w:tcW w:w="999"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627</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1,749</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38.98%</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37.00%</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35.85%</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5"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093"/>
        <w:gridCol w:w="1684"/>
        <w:gridCol w:w="2013"/>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13</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0.74%</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343</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19.61%</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488</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27.90%</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287</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16.41%</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618</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35.33%</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5C29F8" w:rsidRPr="00781112" w14:paraId="6D854191" w14:textId="189CF04C" w:rsidTr="00AB0D6A">
        <w:trPr>
          <w:trHeight w:val="354"/>
          <w:tblHeader/>
        </w:trPr>
        <w:tc>
          <w:tcPr>
            <w:tcW w:w="999" w:type="pct"/>
            <w:shd w:val="clear" w:color="auto" w:fill="auto"/>
            <w:vAlign w:val="bottom"/>
          </w:tcPr>
          <w:p w14:paraId="2713B90C" w14:textId="70596E6D" w:rsidR="002F2379" w:rsidRPr="00781112" w:rsidRDefault="009028CA" w:rsidP="0033429D">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2F2379" w:rsidRPr="00781112" w:rsidRDefault="002F2379" w:rsidP="00681BA6">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2F2379" w:rsidRPr="00781112" w:rsidRDefault="002F2379" w:rsidP="00681BA6">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1B140509" w:rsidR="002F2379" w:rsidRPr="00781112" w:rsidRDefault="00B954DC" w:rsidP="00681BA6">
            <w:pPr>
              <w:jc w:val="center"/>
              <w:rPr>
                <w:rFonts w:cs="Arial"/>
                <w:b/>
                <w:color w:val="000000" w:themeColor="text1"/>
                <w:szCs w:val="16"/>
              </w:rPr>
            </w:pPr>
            <w:r w:rsidRPr="00781112">
              <w:rPr>
                <w:rFonts w:cs="Arial"/>
                <w:b/>
                <w:color w:val="000000" w:themeColor="text1"/>
                <w:szCs w:val="16"/>
              </w:rPr>
              <w:t>FFY 201</w:t>
            </w:r>
            <w:r w:rsidR="009B0EF0">
              <w:rPr>
                <w:rFonts w:cs="Arial"/>
                <w:b/>
                <w:color w:val="000000" w:themeColor="text1"/>
                <w:szCs w:val="16"/>
              </w:rPr>
              <w:t>9</w:t>
            </w:r>
            <w:r w:rsidRPr="00781112">
              <w:rPr>
                <w:rFonts w:cs="Arial"/>
                <w:b/>
                <w:color w:val="000000" w:themeColor="text1"/>
                <w:szCs w:val="16"/>
              </w:rPr>
              <w:t xml:space="preserve"> Data</w:t>
            </w:r>
          </w:p>
        </w:tc>
        <w:tc>
          <w:tcPr>
            <w:tcW w:w="584" w:type="pct"/>
            <w:shd w:val="clear" w:color="auto" w:fill="auto"/>
            <w:vAlign w:val="bottom"/>
          </w:tcPr>
          <w:p w14:paraId="7E59D447" w14:textId="0D27A55B" w:rsidR="002F2379"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625" w:type="pct"/>
            <w:shd w:val="clear" w:color="auto" w:fill="auto"/>
            <w:vAlign w:val="bottom"/>
          </w:tcPr>
          <w:p w14:paraId="48E0A776" w14:textId="44FF5B2A" w:rsidR="002F2379"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459" w:type="pct"/>
            <w:shd w:val="clear" w:color="auto" w:fill="auto"/>
            <w:vAlign w:val="bottom"/>
          </w:tcPr>
          <w:p w14:paraId="1271E5C2" w14:textId="7C29A2B3" w:rsidR="002F2379" w:rsidRPr="00781112" w:rsidRDefault="002F2379" w:rsidP="00681BA6">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2F2379" w:rsidRPr="00781112" w:rsidRDefault="002F2379"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775</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1,131</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71.93%</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61.33%</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68.52%</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w:t>
            </w:r>
            <w:proofErr w:type="gramStart"/>
            <w:r w:rsidRPr="0075451F">
              <w:rPr>
                <w:rFonts w:cs="Arial"/>
                <w:i/>
                <w:iCs/>
                <w:color w:val="C00000"/>
                <w:szCs w:val="16"/>
                <w:lang w:val="es-ES"/>
              </w:rPr>
              <w:t>e</w:t>
            </w:r>
            <w:proofErr w:type="spellEnd"/>
            <w:r w:rsidRPr="0075451F">
              <w:rPr>
                <w:rFonts w:cs="Arial"/>
                <w:i/>
                <w:iCs/>
                <w:color w:val="C00000"/>
                <w:szCs w:val="16"/>
                <w:lang w:val="es-ES"/>
              </w:rPr>
              <w:t>)/</w:t>
            </w:r>
            <w:proofErr w:type="gram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905</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1,749</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53.74%</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51.74%</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lastRenderedPageBreak/>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24215C17" w14:textId="77777777" w:rsidTr="003138F9">
        <w:tc>
          <w:tcPr>
            <w:tcW w:w="375" w:type="pct"/>
            <w:vAlign w:val="center"/>
          </w:tcPr>
          <w:p w14:paraId="3D5C0F58" w14:textId="77777777" w:rsidR="005033CE" w:rsidRPr="00781112" w:rsidRDefault="005033CE" w:rsidP="004369B2">
            <w:pPr>
              <w:jc w:val="center"/>
              <w:rPr>
                <w:b/>
                <w:color w:val="000000" w:themeColor="text1"/>
              </w:rPr>
            </w:pPr>
            <w:r w:rsidRPr="00781112">
              <w:rPr>
                <w:b/>
                <w:color w:val="000000" w:themeColor="text1"/>
              </w:rPr>
              <w:t>B2</w:t>
            </w:r>
          </w:p>
        </w:tc>
        <w:tc>
          <w:tcPr>
            <w:tcW w:w="4625" w:type="pct"/>
            <w:shd w:val="clear" w:color="auto" w:fill="auto"/>
          </w:tcPr>
          <w:p w14:paraId="0FC56E33" w14:textId="577E037B" w:rsidR="005033CE" w:rsidRPr="00781112" w:rsidRDefault="008C5922" w:rsidP="00E21107">
            <w:pPr>
              <w:rPr>
                <w:rFonts w:cs="Arial"/>
                <w:i/>
                <w:color w:val="000000" w:themeColor="text1"/>
                <w:szCs w:val="16"/>
              </w:rPr>
            </w:pPr>
            <w:r w:rsidRPr="00781112">
              <w:rPr>
                <w:rFonts w:cs="Arial"/>
                <w:color w:val="000000" w:themeColor="text1"/>
                <w:szCs w:val="16"/>
              </w:rPr>
              <w:t>More significant child needs may have contributed to slippage in the percentage of children who are functioning within age expectations in their acquisition and use of knowledge and skills. This is reflected in the increase in children eligible under Developmental Delay and decrease in children eligible under Speech and Language Impairment. Childcare / preschool program closures in response to the COVID-19 pandemic resulted in disruption of routine and inconsistency in children receiving services. Additionally, disruptions in service provision resulted from voluntary parent withdrawal from services and educational environments.</w:t>
            </w:r>
          </w:p>
        </w:tc>
      </w:tr>
      <w:tr w:rsidR="005C29F8" w:rsidRPr="00781112" w14:paraId="78369361" w14:textId="77777777" w:rsidTr="003138F9">
        <w:tc>
          <w:tcPr>
            <w:tcW w:w="375" w:type="pct"/>
            <w:vAlign w:val="center"/>
          </w:tcPr>
          <w:p w14:paraId="3CA58DE3" w14:textId="77777777" w:rsidR="005033CE" w:rsidRPr="00781112" w:rsidRDefault="005033CE" w:rsidP="004369B2">
            <w:pPr>
              <w:jc w:val="center"/>
              <w:rPr>
                <w:b/>
                <w:color w:val="000000" w:themeColor="text1"/>
              </w:rPr>
            </w:pPr>
            <w:r w:rsidRPr="00781112">
              <w:rPr>
                <w:b/>
                <w:color w:val="000000" w:themeColor="text1"/>
              </w:rPr>
              <w:t>C2</w:t>
            </w:r>
          </w:p>
        </w:tc>
        <w:tc>
          <w:tcPr>
            <w:tcW w:w="4625" w:type="pct"/>
            <w:shd w:val="clear" w:color="auto" w:fill="auto"/>
          </w:tcPr>
          <w:p w14:paraId="36410A58" w14:textId="082DFC3E" w:rsidR="005033CE" w:rsidRPr="00781112" w:rsidRDefault="005033CE" w:rsidP="00E21107">
            <w:pPr>
              <w:rPr>
                <w:rFonts w:cs="Arial"/>
                <w:color w:val="000000" w:themeColor="text1"/>
                <w:szCs w:val="16"/>
              </w:rPr>
            </w:pPr>
            <w:r w:rsidRPr="00781112">
              <w:rPr>
                <w:rFonts w:cs="Arial"/>
                <w:color w:val="000000" w:themeColor="text1"/>
                <w:szCs w:val="16"/>
              </w:rPr>
              <w:t>Factors that may have resulted in slippage in the percentage of children who function within age expectations in their use of appropriate behavior to meet needs include the increase from FFY 2019 to FFY 2020 in children eligible in the category of Developmental Delay and decrease in children eligible under Speech and Language Impairment. Impacts related to the COVID-19 pandemic include a shift to remote therapy sessions, families either choosing not to send their children into programs for safety reasons or illness, provider shortage and staffing challenges, and family dynamics shifting to meeting basic needs and protecting health and safety. Additionally, inconsistency in children attending programs and potential substitutions in their regular providers due to staffing and illness may disrupt routines that foster children’s use of appropriate behavior. Maine will continue to develop and disseminate guidance to inform statewide consistent completion of the Child Outcomes Summary Form.</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8"/>
        <w:gridCol w:w="2472"/>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5EE5725F"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Form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44" w:name="_Toc382082381"/>
      <w:bookmarkStart w:id="45"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Maine uses the ECO process for COS. The Child Outcome Summary form has been built into the statewide system with validations to ensure every child has a COS form on file at entry and at exit from EI services if they have been in services for more than six months.</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t/>
      </w: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50C7CF43" w14:textId="32A5B19E" w:rsidR="00221EC9" w:rsidRPr="00781112" w:rsidRDefault="00C96236" w:rsidP="008645AD">
      <w:pPr>
        <w:pStyle w:val="Heading2"/>
      </w:pPr>
      <w:r w:rsidRPr="00781112">
        <w:lastRenderedPageBreak/>
        <w:t>7 - Required Actions</w:t>
      </w:r>
    </w:p>
    <w:p w14:paraId="44281A32" w14:textId="371D4770" w:rsidR="009B37A2" w:rsidRPr="00781112" w:rsidRDefault="002B7490" w:rsidP="001F692C">
      <w:pPr>
        <w:rPr>
          <w:rFonts w:cs="Arial"/>
          <w:color w:val="000000" w:themeColor="text1"/>
          <w:szCs w:val="16"/>
        </w:rPr>
      </w:pPr>
      <w:r w:rsidRPr="00781112">
        <w:rPr>
          <w:rFonts w:cs="Arial"/>
          <w:color w:val="000000" w:themeColor="text1"/>
          <w:szCs w:val="16"/>
        </w:rPr>
        <w:t/>
      </w:r>
    </w:p>
    <w:p w14:paraId="4FFE0FC1"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BCCFF07" w14:textId="34122B32"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44"/>
      <w:bookmarkEnd w:id="45"/>
    </w:p>
    <w:p w14:paraId="66FBCA03" w14:textId="77777777" w:rsidR="00B654C1" w:rsidRPr="00781112" w:rsidRDefault="00B654C1" w:rsidP="00A018D4">
      <w:pPr>
        <w:rPr>
          <w:color w:val="000000" w:themeColor="text1"/>
          <w:szCs w:val="20"/>
        </w:rPr>
      </w:pPr>
      <w:bookmarkStart w:id="46"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77777777"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on page 2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77777777" w:rsidR="009C74BD" w:rsidRPr="00781112" w:rsidRDefault="009C74BD" w:rsidP="009C74BD">
      <w:pPr>
        <w:rPr>
          <w:rFonts w:cs="Arial"/>
          <w:szCs w:val="16"/>
        </w:rPr>
      </w:pPr>
      <w:r w:rsidRPr="00781112">
        <w:rPr>
          <w:rFonts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particularly for those groups that are underrepresented.</w:t>
      </w:r>
    </w:p>
    <w:p w14:paraId="1179A7AC" w14:textId="0C70F11F" w:rsidR="009C74BD" w:rsidRPr="00781112" w:rsidRDefault="009C74BD" w:rsidP="009C74BD">
      <w:pPr>
        <w:rPr>
          <w:rFonts w:cs="Arial"/>
          <w:szCs w:val="16"/>
        </w:rPr>
      </w:pPr>
      <w:r w:rsidRPr="00781112">
        <w:rPr>
          <w:rFonts w:cs="Arial"/>
          <w:szCs w:val="16"/>
        </w:rPr>
        <w:t xml:space="preserve">The State must also analyze the response rate to identify potential nonresponse bias and take steps to reduce any identified bias and promote response from a broad cross section of </w:t>
      </w:r>
      <w:r w:rsidR="009620B1">
        <w:rPr>
          <w:rFonts w:cs="Arial"/>
          <w:szCs w:val="16"/>
        </w:rPr>
        <w:t>parents of children with disabilities.</w:t>
      </w:r>
    </w:p>
    <w:p w14:paraId="7CC85D28" w14:textId="7928F4F1" w:rsidR="00F4021E" w:rsidRDefault="00F4021E" w:rsidP="001F448F">
      <w:pPr>
        <w:spacing w:before="0" w:after="160" w:line="259" w:lineRule="auto"/>
      </w:pPr>
      <w:bookmarkStart w:id="47" w:name="_Hlk90757179"/>
      <w:r>
        <w:t xml:space="preserve">Include in the State’s analysis the extent to which the demographics of the children for whom parents responded are representative of the demographics of children receiving special education services. </w:t>
      </w:r>
      <w:r w:rsidR="009620B1">
        <w:t>States should consider categories such as race/ethnicity, age of student, disability category, and geographic location in the State.</w:t>
      </w:r>
    </w:p>
    <w:bookmarkEnd w:id="47"/>
    <w:p w14:paraId="3C4DAE99" w14:textId="77777777" w:rsidR="00944E51" w:rsidRPr="00781112" w:rsidRDefault="00944E51" w:rsidP="00944E51">
      <w:pPr>
        <w:rPr>
          <w:rFonts w:cs="Arial"/>
          <w:szCs w:val="16"/>
        </w:rPr>
      </w:pPr>
      <w:r w:rsidRPr="00781112">
        <w:rPr>
          <w:rFonts w:cs="Arial"/>
          <w:szCs w:val="16"/>
        </w:rPr>
        <w:t>States must describe the metric used to determine representativeness (e.g., +/- 3% discrepancy in the proportion of responders compared to target group).</w:t>
      </w:r>
    </w:p>
    <w:p w14:paraId="697B09AA" w14:textId="77777777" w:rsidR="00390746" w:rsidRPr="004F491A" w:rsidRDefault="00390746" w:rsidP="00390746">
      <w:bookmarkStart w:id="48" w:name="_Hlk90757133"/>
      <w:r w:rsidRPr="004F491A">
        <w:t>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w:t>
      </w:r>
    </w:p>
    <w:bookmarkEnd w:id="48"/>
    <w:p w14:paraId="18909B69" w14:textId="771CA1F4" w:rsidR="00256FF8" w:rsidRPr="00781112" w:rsidRDefault="00256FF8" w:rsidP="00256FF8">
      <w:pPr>
        <w:rPr>
          <w:rFonts w:cs="Arial"/>
          <w:szCs w:val="16"/>
        </w:rPr>
      </w:pPr>
      <w:r w:rsidRPr="00781112">
        <w:rPr>
          <w:rFonts w:cs="Arial"/>
          <w:b/>
          <w:szCs w:val="16"/>
        </w:rPr>
        <w:t xml:space="preserve">Beginning with the FFY 2021 SPP/APR, due February 1, 2023, </w:t>
      </w:r>
      <w:r w:rsidRPr="00781112">
        <w:rPr>
          <w:rFonts w:cs="Arial"/>
          <w:szCs w:val="16"/>
        </w:rPr>
        <w:t>when reporting the extent to which the demographics of the children for whom parents responded are representative of the demographics of children receiving special education services, States must include race</w:t>
      </w:r>
      <w:r w:rsidR="00071D42" w:rsidRPr="00781112">
        <w:rPr>
          <w:rFonts w:cs="Arial"/>
          <w:szCs w:val="16"/>
        </w:rPr>
        <w:t>/</w:t>
      </w:r>
      <w:r w:rsidRPr="00781112">
        <w:rPr>
          <w:rFonts w:cs="Arial"/>
          <w:szCs w:val="16"/>
        </w:rPr>
        <w:t>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38028E97" w14:textId="3CEA9087" w:rsidR="009C613A" w:rsidRPr="00781112" w:rsidRDefault="002D7AD6" w:rsidP="00286BDF">
      <w:pPr>
        <w:rPr>
          <w:rFonts w:cs="Arial"/>
          <w:color w:val="000000" w:themeColor="text1"/>
          <w:szCs w:val="16"/>
        </w:rPr>
      </w:pPr>
      <w:r w:rsidRPr="00781112">
        <w:rPr>
          <w:rFonts w:cs="Arial"/>
          <w:color w:val="000000" w:themeColor="text1"/>
          <w:szCs w:val="16"/>
        </w:rPr>
        <w:t>States are encouraged to work in collaboration with their OSEP-funded parent centers in collecting data.</w:t>
      </w:r>
    </w:p>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382D466C" w14:textId="23B61DDF" w:rsidTr="00487CBD">
        <w:tc>
          <w:tcPr>
            <w:tcW w:w="8324" w:type="dxa"/>
          </w:tcPr>
          <w:p w14:paraId="3ABB22A7" w14:textId="34110540" w:rsidR="000B547A" w:rsidRPr="00781112" w:rsidRDefault="006603CA" w:rsidP="00286BDF">
            <w:pPr>
              <w:rPr>
                <w:rFonts w:cs="Arial"/>
                <w:color w:val="000000" w:themeColor="text1"/>
                <w:szCs w:val="16"/>
              </w:rPr>
            </w:pPr>
            <w:r w:rsidRPr="00781112">
              <w:rPr>
                <w:rFonts w:cs="Arial"/>
                <w:color w:val="000000" w:themeColor="text1"/>
                <w:szCs w:val="16"/>
              </w:rPr>
              <w:t>If yes, will you be providing the data for preschool children separately?</w:t>
            </w:r>
          </w:p>
        </w:tc>
        <w:tc>
          <w:tcPr>
            <w:tcW w:w="2476" w:type="dxa"/>
          </w:tcPr>
          <w:p w14:paraId="2D03EBC9" w14:textId="5CCCA5EA"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46"/>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2006</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87.40%</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lastRenderedPageBreak/>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5A338D">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5A338D">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93.95%</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91.61%</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92.94%</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89.41%</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91.89%</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9"/>
        <w:gridCol w:w="1650"/>
        <w:gridCol w:w="1650"/>
        <w:gridCol w:w="1650"/>
        <w:gridCol w:w="1650"/>
        <w:gridCol w:w="1650"/>
        <w:gridCol w:w="1647"/>
      </w:tblGrid>
      <w:tr w:rsidR="00AD5583" w:rsidRPr="00781112" w14:paraId="77450D85" w14:textId="217C23D8" w:rsidTr="00730C62">
        <w:trPr>
          <w:trHeight w:val="242"/>
        </w:trPr>
        <w:tc>
          <w:tcPr>
            <w:tcW w:w="416" w:type="pct"/>
            <w:tcBorders>
              <w:bottom w:val="single" w:sz="4" w:space="0" w:color="auto"/>
            </w:tcBorders>
            <w:shd w:val="clear" w:color="auto" w:fill="auto"/>
            <w:vAlign w:val="center"/>
          </w:tcPr>
          <w:p w14:paraId="5A82FAC4" w14:textId="77777777" w:rsidR="00AD5583" w:rsidRPr="003F088A" w:rsidRDefault="00AD5583" w:rsidP="00AD5583">
            <w:pPr>
              <w:jc w:val="center"/>
              <w:rPr>
                <w:rFonts w:cs="Arial"/>
                <w:b/>
                <w:color w:val="000000" w:themeColor="text1"/>
                <w:szCs w:val="16"/>
              </w:rPr>
            </w:pPr>
            <w:r w:rsidRPr="003F088A">
              <w:rPr>
                <w:rFonts w:cs="Arial"/>
                <w:b/>
                <w:color w:val="000000" w:themeColor="text1"/>
                <w:szCs w:val="16"/>
              </w:rPr>
              <w:t>FFY</w:t>
            </w:r>
          </w:p>
        </w:tc>
        <w:tc>
          <w:tcPr>
            <w:tcW w:w="764" w:type="pct"/>
            <w:shd w:val="clear" w:color="auto" w:fill="auto"/>
            <w:vAlign w:val="center"/>
          </w:tcPr>
          <w:p w14:paraId="6DDB1395" w14:textId="489E70A4" w:rsidR="00AD5583" w:rsidRPr="003F088A" w:rsidRDefault="00AD5583" w:rsidP="00AD5583">
            <w:pPr>
              <w:jc w:val="center"/>
              <w:rPr>
                <w:rFonts w:cs="Arial"/>
                <w:b/>
                <w:color w:val="000000" w:themeColor="text1"/>
                <w:szCs w:val="16"/>
              </w:rPr>
            </w:pPr>
            <w:r w:rsidRPr="003F088A">
              <w:rPr>
                <w:rFonts w:cs="Arial"/>
                <w:b/>
                <w:color w:val="000000" w:themeColor="text1"/>
                <w:szCs w:val="16"/>
              </w:rPr>
              <w:t>2020</w:t>
            </w:r>
          </w:p>
        </w:tc>
        <w:tc>
          <w:tcPr>
            <w:tcW w:w="764" w:type="pct"/>
            <w:vAlign w:val="center"/>
          </w:tcPr>
          <w:p w14:paraId="3277D8E8" w14:textId="4A05E6F6" w:rsidR="00AD5583" w:rsidRPr="003F088A" w:rsidRDefault="00AD5583" w:rsidP="00730C62">
            <w:pPr>
              <w:jc w:val="center"/>
              <w:rPr>
                <w:rFonts w:cs="Arial"/>
                <w:b/>
                <w:color w:val="000000" w:themeColor="text1"/>
                <w:szCs w:val="16"/>
              </w:rPr>
            </w:pPr>
            <w:r w:rsidRPr="00781112">
              <w:rPr>
                <w:rFonts w:cs="Arial"/>
                <w:b/>
                <w:color w:val="000000" w:themeColor="text1"/>
                <w:szCs w:val="16"/>
              </w:rPr>
              <w:t>2021</w:t>
            </w:r>
          </w:p>
        </w:tc>
        <w:tc>
          <w:tcPr>
            <w:tcW w:w="764" w:type="pct"/>
            <w:vAlign w:val="center"/>
          </w:tcPr>
          <w:p w14:paraId="3AC9106D" w14:textId="5F7A56D0" w:rsidR="00AD5583" w:rsidRPr="003F088A" w:rsidRDefault="00AD5583" w:rsidP="00730C62">
            <w:pPr>
              <w:jc w:val="center"/>
              <w:rPr>
                <w:rFonts w:cs="Arial"/>
                <w:b/>
                <w:color w:val="000000" w:themeColor="text1"/>
                <w:szCs w:val="16"/>
              </w:rPr>
            </w:pPr>
            <w:r w:rsidRPr="00781112">
              <w:rPr>
                <w:rFonts w:cs="Arial"/>
                <w:b/>
                <w:color w:val="000000" w:themeColor="text1"/>
                <w:szCs w:val="16"/>
              </w:rPr>
              <w:t>2022</w:t>
            </w:r>
          </w:p>
        </w:tc>
        <w:tc>
          <w:tcPr>
            <w:tcW w:w="764" w:type="pct"/>
            <w:vAlign w:val="center"/>
          </w:tcPr>
          <w:p w14:paraId="4E87FEC3" w14:textId="73615588" w:rsidR="00AD5583" w:rsidRPr="003F088A" w:rsidRDefault="00AD5583" w:rsidP="00730C62">
            <w:pPr>
              <w:jc w:val="center"/>
              <w:rPr>
                <w:rFonts w:cs="Arial"/>
                <w:b/>
                <w:color w:val="000000" w:themeColor="text1"/>
                <w:szCs w:val="16"/>
              </w:rPr>
            </w:pPr>
            <w:r w:rsidRPr="00781112">
              <w:rPr>
                <w:rFonts w:cs="Arial"/>
                <w:b/>
                <w:color w:val="000000" w:themeColor="text1"/>
                <w:szCs w:val="16"/>
              </w:rPr>
              <w:t>2023</w:t>
            </w:r>
          </w:p>
        </w:tc>
        <w:tc>
          <w:tcPr>
            <w:tcW w:w="764" w:type="pct"/>
            <w:vAlign w:val="center"/>
          </w:tcPr>
          <w:p w14:paraId="52455E86" w14:textId="781B38CA" w:rsidR="00AD5583" w:rsidRPr="003F088A" w:rsidRDefault="00AD5583" w:rsidP="00730C62">
            <w:pPr>
              <w:jc w:val="center"/>
              <w:rPr>
                <w:rFonts w:cs="Arial"/>
                <w:b/>
                <w:color w:val="000000" w:themeColor="text1"/>
                <w:szCs w:val="16"/>
              </w:rPr>
            </w:pPr>
            <w:r w:rsidRPr="00781112">
              <w:rPr>
                <w:rFonts w:cs="Arial"/>
                <w:b/>
                <w:color w:val="000000" w:themeColor="text1"/>
                <w:szCs w:val="16"/>
              </w:rPr>
              <w:t>2024</w:t>
            </w:r>
          </w:p>
        </w:tc>
        <w:tc>
          <w:tcPr>
            <w:tcW w:w="763" w:type="pct"/>
            <w:vAlign w:val="center"/>
          </w:tcPr>
          <w:p w14:paraId="4A4812CC" w14:textId="475E9D49" w:rsidR="00AD5583" w:rsidRPr="003F088A" w:rsidRDefault="00AD5583" w:rsidP="00730C62">
            <w:pPr>
              <w:jc w:val="center"/>
              <w:rPr>
                <w:rFonts w:cs="Arial"/>
                <w:b/>
                <w:color w:val="000000" w:themeColor="text1"/>
                <w:szCs w:val="16"/>
              </w:rPr>
            </w:pPr>
            <w:r w:rsidRPr="00781112">
              <w:rPr>
                <w:rFonts w:cs="Arial"/>
                <w:b/>
                <w:color w:val="000000" w:themeColor="text1"/>
                <w:szCs w:val="16"/>
              </w:rPr>
              <w:t>2025</w:t>
            </w:r>
          </w:p>
        </w:tc>
      </w:tr>
      <w:tr w:rsidR="00AD5583" w:rsidRPr="00781112" w14:paraId="50A2A35E" w14:textId="13C4D5C2" w:rsidTr="003F088A">
        <w:trPr>
          <w:trHeight w:val="370"/>
        </w:trPr>
        <w:tc>
          <w:tcPr>
            <w:tcW w:w="416" w:type="pct"/>
            <w:shd w:val="clear" w:color="auto" w:fill="auto"/>
          </w:tcPr>
          <w:p w14:paraId="2F249DEE" w14:textId="4AA3473F" w:rsidR="00AD5583" w:rsidRPr="00781112" w:rsidRDefault="00AD5583" w:rsidP="00AD5583">
            <w:pPr>
              <w:rPr>
                <w:rFonts w:cs="Arial"/>
                <w:color w:val="000000" w:themeColor="text1"/>
                <w:szCs w:val="16"/>
              </w:rPr>
            </w:pPr>
            <w:r w:rsidRPr="00781112">
              <w:rPr>
                <w:rFonts w:cs="Arial"/>
                <w:color w:val="000000" w:themeColor="text1"/>
                <w:szCs w:val="16"/>
              </w:rPr>
              <w:t>Target &gt;=</w:t>
            </w:r>
          </w:p>
        </w:tc>
        <w:tc>
          <w:tcPr>
            <w:tcW w:w="764" w:type="pct"/>
            <w:shd w:val="clear" w:color="auto" w:fill="auto"/>
            <w:vAlign w:val="center"/>
          </w:tcPr>
          <w:p w14:paraId="2ACB7B9E" w14:textId="427B5E78" w:rsidR="00AD5583" w:rsidRPr="00781112" w:rsidRDefault="00AD5583" w:rsidP="00AD5583">
            <w:pPr>
              <w:jc w:val="center"/>
              <w:rPr>
                <w:rFonts w:cs="Arial"/>
                <w:color w:val="000000" w:themeColor="text1"/>
                <w:szCs w:val="16"/>
              </w:rPr>
            </w:pPr>
            <w:r w:rsidRPr="00781112">
              <w:rPr>
                <w:rFonts w:cs="Arial"/>
                <w:color w:val="000000" w:themeColor="text1"/>
                <w:szCs w:val="16"/>
              </w:rPr>
              <w:t>91.00%</w:t>
            </w:r>
          </w:p>
        </w:tc>
        <w:tc>
          <w:tcPr>
            <w:tcW w:w="764" w:type="pct"/>
          </w:tcPr>
          <w:p w14:paraId="01493DF6" w14:textId="39FAD961" w:rsidR="00AD5583" w:rsidRPr="00781112" w:rsidRDefault="00AD5583" w:rsidP="00AD5583">
            <w:pPr>
              <w:spacing w:before="0" w:after="200" w:line="276" w:lineRule="auto"/>
            </w:pPr>
            <w:r w:rsidRPr="00781112">
              <w:rPr>
                <w:color w:val="000000" w:themeColor="text1"/>
                <w:szCs w:val="16"/>
              </w:rPr>
              <w:t>91.00%</w:t>
            </w:r>
          </w:p>
        </w:tc>
        <w:tc>
          <w:tcPr>
            <w:tcW w:w="764" w:type="pct"/>
          </w:tcPr>
          <w:p w14:paraId="71DAA89B" w14:textId="5FDD553A" w:rsidR="00AD5583" w:rsidRPr="00781112" w:rsidRDefault="00AD5583" w:rsidP="00AD5583">
            <w:pPr>
              <w:spacing w:before="0" w:after="200" w:line="276" w:lineRule="auto"/>
            </w:pPr>
            <w:r w:rsidRPr="00781112">
              <w:rPr>
                <w:color w:val="000000" w:themeColor="text1"/>
                <w:szCs w:val="16"/>
              </w:rPr>
              <w:t>91.00%</w:t>
            </w:r>
          </w:p>
        </w:tc>
        <w:tc>
          <w:tcPr>
            <w:tcW w:w="764" w:type="pct"/>
          </w:tcPr>
          <w:p w14:paraId="6C8342E2" w14:textId="3FBC30A4" w:rsidR="00AD5583" w:rsidRPr="00781112" w:rsidRDefault="00AD5583" w:rsidP="00AD5583">
            <w:pPr>
              <w:spacing w:before="0" w:after="200" w:line="276" w:lineRule="auto"/>
            </w:pPr>
            <w:r w:rsidRPr="00781112">
              <w:rPr>
                <w:color w:val="000000" w:themeColor="text1"/>
                <w:szCs w:val="16"/>
              </w:rPr>
              <w:t>91.00%</w:t>
            </w:r>
          </w:p>
        </w:tc>
        <w:tc>
          <w:tcPr>
            <w:tcW w:w="764" w:type="pct"/>
          </w:tcPr>
          <w:p w14:paraId="02A9D828" w14:textId="4D6EC210" w:rsidR="00AD5583" w:rsidRPr="00781112" w:rsidRDefault="00AD5583" w:rsidP="00AD5583">
            <w:pPr>
              <w:spacing w:before="0" w:after="200" w:line="276" w:lineRule="auto"/>
            </w:pPr>
            <w:r w:rsidRPr="00781112">
              <w:rPr>
                <w:color w:val="000000" w:themeColor="text1"/>
                <w:szCs w:val="16"/>
              </w:rPr>
              <w:t>91.00%</w:t>
            </w:r>
          </w:p>
        </w:tc>
        <w:tc>
          <w:tcPr>
            <w:tcW w:w="763" w:type="pct"/>
          </w:tcPr>
          <w:p w14:paraId="48D63A57" w14:textId="042E36D7" w:rsidR="00AD5583" w:rsidRPr="00781112" w:rsidRDefault="00AD5583" w:rsidP="00AD5583">
            <w:pPr>
              <w:spacing w:before="0" w:after="200" w:line="276" w:lineRule="auto"/>
            </w:pPr>
            <w:r w:rsidRPr="00781112">
              <w:rPr>
                <w:color w:val="000000" w:themeColor="text1"/>
                <w:szCs w:val="16"/>
              </w:rPr>
              <w:t>91.00%</w:t>
            </w:r>
          </w:p>
        </w:tc>
      </w:tr>
    </w:tbl>
    <w:p w14:paraId="68BCE5ED" w14:textId="77777777" w:rsidR="007E2779" w:rsidRPr="00781112" w:rsidRDefault="007E2779" w:rsidP="000A2C83">
      <w:pPr>
        <w:rPr>
          <w:rFonts w:cs="Arial"/>
          <w:color w:val="000000" w:themeColor="text1"/>
          <w:szCs w:val="16"/>
        </w:rPr>
      </w:pPr>
    </w:p>
    <w:p w14:paraId="15954908" w14:textId="2049FD18" w:rsidR="00FB6462" w:rsidRPr="00781112" w:rsidRDefault="00F6415A" w:rsidP="004369B2">
      <w:pPr>
        <w:rPr>
          <w:color w:val="000000" w:themeColor="text1"/>
        </w:rPr>
      </w:pPr>
      <w:r w:rsidRPr="00781112">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686"/>
        <w:gridCol w:w="15"/>
        <w:gridCol w:w="1440"/>
        <w:gridCol w:w="1170"/>
        <w:gridCol w:w="1440"/>
        <w:gridCol w:w="1170"/>
        <w:gridCol w:w="1349"/>
        <w:gridCol w:w="1524"/>
      </w:tblGrid>
      <w:tr w:rsidR="005C29F8" w:rsidRPr="00781112" w14:paraId="2A3467FD" w14:textId="77777777" w:rsidTr="00AB0D6A">
        <w:trPr>
          <w:trHeight w:val="368"/>
          <w:tblHeader/>
        </w:trPr>
        <w:tc>
          <w:tcPr>
            <w:tcW w:w="1244" w:type="pct"/>
            <w:shd w:val="clear" w:color="auto" w:fill="auto"/>
            <w:vAlign w:val="bottom"/>
          </w:tcPr>
          <w:p w14:paraId="1B1F6FBB" w14:textId="77777777" w:rsidR="00FB6462" w:rsidRPr="00781112" w:rsidRDefault="00FB6462" w:rsidP="004369B2">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gridSpan w:val="2"/>
            <w:shd w:val="clear" w:color="auto" w:fill="auto"/>
            <w:vAlign w:val="bottom"/>
          </w:tcPr>
          <w:p w14:paraId="200E18C6" w14:textId="77777777" w:rsidR="00FB6462" w:rsidRPr="00781112" w:rsidRDefault="00FB6462" w:rsidP="004369B2">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517F57F6" w:rsidR="00FB6462" w:rsidRPr="00781112" w:rsidRDefault="00F6415A" w:rsidP="004369B2">
            <w:pPr>
              <w:jc w:val="center"/>
              <w:rPr>
                <w:b/>
                <w:color w:val="000000" w:themeColor="text1"/>
              </w:rPr>
            </w:pPr>
            <w:r w:rsidRPr="00781112">
              <w:rPr>
                <w:b/>
                <w:color w:val="000000" w:themeColor="text1"/>
              </w:rPr>
              <w:t>FFY 2019 Data</w:t>
            </w:r>
          </w:p>
        </w:tc>
        <w:tc>
          <w:tcPr>
            <w:tcW w:w="667" w:type="pct"/>
            <w:shd w:val="clear" w:color="auto" w:fill="auto"/>
            <w:vAlign w:val="bottom"/>
          </w:tcPr>
          <w:p w14:paraId="42BF1046" w14:textId="1D5E54D5" w:rsidR="00FB6462" w:rsidRPr="00781112" w:rsidRDefault="00F6415A" w:rsidP="004369B2">
            <w:pPr>
              <w:jc w:val="center"/>
              <w:rPr>
                <w:b/>
                <w:color w:val="000000" w:themeColor="text1"/>
              </w:rPr>
            </w:pPr>
            <w:r w:rsidRPr="00781112">
              <w:rPr>
                <w:b/>
                <w:color w:val="000000" w:themeColor="text1"/>
              </w:rPr>
              <w:t>FFY 2020 Target</w:t>
            </w:r>
          </w:p>
        </w:tc>
        <w:tc>
          <w:tcPr>
            <w:tcW w:w="542" w:type="pct"/>
            <w:shd w:val="clear" w:color="auto" w:fill="auto"/>
            <w:vAlign w:val="bottom"/>
          </w:tcPr>
          <w:p w14:paraId="36E0331C" w14:textId="46E92866" w:rsidR="00FB6462" w:rsidRPr="00781112" w:rsidRDefault="00F6415A" w:rsidP="004369B2">
            <w:pPr>
              <w:jc w:val="center"/>
              <w:rPr>
                <w:b/>
                <w:color w:val="000000" w:themeColor="text1"/>
              </w:rPr>
            </w:pPr>
            <w:r w:rsidRPr="00781112">
              <w:rPr>
                <w:b/>
                <w:color w:val="000000" w:themeColor="text1"/>
              </w:rPr>
              <w:t>FFY 2020 Data</w:t>
            </w:r>
          </w:p>
        </w:tc>
        <w:tc>
          <w:tcPr>
            <w:tcW w:w="625" w:type="pct"/>
            <w:shd w:val="clear" w:color="auto" w:fill="auto"/>
            <w:vAlign w:val="bottom"/>
          </w:tcPr>
          <w:p w14:paraId="52157F4E" w14:textId="77777777" w:rsidR="00FB6462" w:rsidRPr="00781112" w:rsidRDefault="00FB6462" w:rsidP="004369B2">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FB6462" w:rsidRPr="00781112" w:rsidRDefault="00FB6462" w:rsidP="004369B2">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gridSpan w:val="2"/>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822</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889</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91.89%</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92.46%</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For the combined (school-age and preschool) percentage, the number of school-age and preschool respondents who indicated that schools facilitated parent involvement were summed and then divided by the sum of all school-age and preschool respondents. Preschool data (age 3-5) were gathered from a sample of Child Development Services (CDS) sites. School-aged data were collected through monitoring activities; LEAs are assigned to cohorts that are monitored on a four year rotation, ensuring that each LEA is monitored once every four years. The data for CDS (pre-school) and DOE are reported jointly for this indicator because the targets have been set for combined CDS and DOE data.</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5,928</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15.00%</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805"/>
        <w:gridCol w:w="2635"/>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9"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2019</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2020</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5.71%</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15.00%</w:t>
            </w:r>
          </w:p>
        </w:tc>
      </w:tr>
      <w:bookmarkEnd w:id="49"/>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4BDEC798" w14:textId="77777777"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Maine DOE attempts to reach all parents within the monitored cohort. Maine DOE provides an electronic link to the parent survey to all monitored LEAs, and LEAs provided the link to all parents of students with IEPs in the LEAs. For Child Development Services (preschool), a systematic random sample of parents whose children received special education services during the reporting period were sent a survey link via email. Responses for the parent satisfaction survey resulted in a response rate of 15.00%, which is a significant improvement from FFY2019 (5.71%). Maine will strive for continuous improvement in communication with LEAs in soliciting parent input (e.g., provide email reminders for input and sharing parent survey results with LEAs) and in the analysis of underrepresented groups (e.g., potential redesign of random sample methodology based on analyses indicating underrepresented groups).</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50" w:name="_Hlk81486999"/>
      <w:r w:rsidRPr="0061205F">
        <w:rPr>
          <w:rFonts w:cs="Arial"/>
          <w:b/>
          <w:color w:val="000000" w:themeColor="text1"/>
          <w:szCs w:val="16"/>
        </w:rPr>
        <w:t>of the response rate including any nonresponse bias that was identified,</w:t>
      </w:r>
      <w:bookmarkEnd w:id="50"/>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Analyses of the sample's representativeness of the population of monitored districts were conducted for race/ethnicity to uncover potential non-response bias for this demographic. Respondent data were found to be representative of the population of students with disabilities within the LEA population percentages for race/ethnicity (within 5% of the population values). Based on stakeholder input and future APR requirements, Maine will include additional demographic analyses of respondents to include age of student, disability category, and/or geographic location in the State. New demographic data will be used for identification of potential non-response bias. When discovered, modifications may be made to the sampling method to better target underrepresented groups.</w:t>
      </w:r>
    </w:p>
    <w:p w14:paraId="78A83A27" w14:textId="50D5E24D" w:rsidR="001F448F" w:rsidRDefault="001F448F" w:rsidP="00A12797">
      <w:pPr>
        <w:rPr>
          <w:b/>
          <w:bCs/>
        </w:rPr>
      </w:pPr>
    </w:p>
    <w:p w14:paraId="48E34616" w14:textId="5E499A8D" w:rsidR="00F4021E" w:rsidRPr="00A12797" w:rsidRDefault="00F4021E" w:rsidP="00A12797">
      <w:pPr>
        <w:rPr>
          <w:b/>
          <w:bCs/>
        </w:rPr>
      </w:pPr>
      <w:r w:rsidRPr="00F4021E">
        <w:rPr>
          <w:b/>
          <w:bCs/>
        </w:rPr>
        <w:t xml:space="preserve">Include in the State’s analysis the extent to which the demographics of the children for whom parents responded are representative of the demographics of children receiving special education services. </w:t>
      </w:r>
      <w:r w:rsidR="009B0EF0" w:rsidRPr="009B0EF0">
        <w:rPr>
          <w:b/>
          <w:bCs/>
        </w:rPr>
        <w:t>States should consider categories such as race/ethnicity, age of student, disability category, and geographic location in the State.</w:t>
      </w:r>
    </w:p>
    <w:p w14:paraId="513A1FE6" w14:textId="77777777" w:rsidR="00090132" w:rsidRDefault="00090132" w:rsidP="00090132">
      <w:pPr>
        <w:pStyle w:val="Subhed"/>
        <w:rPr>
          <w:b w:val="0"/>
          <w:bCs/>
        </w:rPr>
      </w:pPr>
      <w:r w:rsidRPr="000A2B9F">
        <w:rPr>
          <w:b w:val="0"/>
          <w:bCs/>
          <w:color w:val="000000" w:themeColor="text1"/>
        </w:rPr>
        <w:t>Analyses of the sample's representativeness of the population of monitored districts were conducted for race/ethnicity. Respondent data were found to be representative of the population of students with disabilities within the LEA population percentages for race/ethnicity (within 5% of the population values). Based on stakeholder input and future APR requirements, Maine will include additional demographic analysis of respondents to include age of student, disability category, and/or geographic location in the State.</w:t>
      </w:r>
    </w:p>
    <w:p w14:paraId="3DE6A601" w14:textId="77777777" w:rsidR="00090132" w:rsidRPr="00A12797" w:rsidRDefault="00090132" w:rsidP="00A12797">
      <w:pPr>
        <w:rPr>
          <w:b/>
          <w:bCs/>
        </w:rPr>
      </w:pPr>
      <w:r w:rsidRPr="00A12797">
        <w:rPr>
          <w:b/>
          <w:bCs/>
        </w:rPr>
        <w:t>The demographics of the parents responding are representative of the demographics of children receiving special education services. (yes/no)</w:t>
      </w:r>
    </w:p>
    <w:p w14:paraId="547B39F9" w14:textId="77777777" w:rsidR="00090132" w:rsidRPr="000A2B9F" w:rsidRDefault="00090132" w:rsidP="00090132">
      <w:pPr>
        <w:pStyle w:val="Subhed"/>
        <w:rPr>
          <w:b w:val="0"/>
          <w:bCs/>
        </w:rPr>
      </w:pPr>
      <w:r w:rsidRPr="000A2B9F">
        <w:rPr>
          <w:b w:val="0"/>
          <w:bCs/>
          <w:color w:val="000000" w:themeColor="text1"/>
        </w:rPr>
        <w:t>YES</w:t>
      </w:r>
    </w:p>
    <w:p w14:paraId="166BD57C" w14:textId="77777777" w:rsidR="00090132" w:rsidRPr="00A12797" w:rsidRDefault="00090132" w:rsidP="00A12797">
      <w:pPr>
        <w:rPr>
          <w:b/>
          <w:bCs/>
        </w:rPr>
      </w:pPr>
      <w:r w:rsidRPr="00A12797">
        <w:rPr>
          <w:b/>
          <w:bCs/>
        </w:rPr>
        <w:t>If no, describe the strategies that the State will use to ensure that in the future the response data are representative of those demographics.</w:t>
      </w:r>
    </w:p>
    <w:p w14:paraId="41E9A939" w14:textId="77777777" w:rsidR="00090132" w:rsidRPr="000A2B9F" w:rsidRDefault="00090132" w:rsidP="00090132">
      <w:pPr>
        <w:pStyle w:val="Subhed"/>
        <w:rPr>
          <w:b w:val="0"/>
          <w:bCs/>
        </w:rPr>
      </w:pPr>
      <w:r w:rsidRPr="000A2B9F">
        <w:rPr>
          <w:b w:val="0"/>
          <w:bCs/>
          <w:color w:val="000000" w:themeColor="text1"/>
        </w:rPr>
        <w:t/>
      </w:r>
    </w:p>
    <w:p w14:paraId="3C0DCBDF" w14:textId="77777777" w:rsidR="00090132" w:rsidRPr="00F737BA" w:rsidRDefault="00090132" w:rsidP="00090132">
      <w:pPr>
        <w:pStyle w:val="Subhed"/>
        <w:rPr>
          <w:b w:val="0"/>
        </w:rPr>
      </w:pPr>
    </w:p>
    <w:p w14:paraId="7852ED85" w14:textId="77777777" w:rsidR="00090132" w:rsidRPr="000B29F8" w:rsidRDefault="00090132" w:rsidP="000B29F8">
      <w:pPr>
        <w:rPr>
          <w:b/>
          <w:bCs/>
        </w:rPr>
      </w:pPr>
      <w:r w:rsidRPr="000B29F8">
        <w:rPr>
          <w:b/>
          <w:bCs/>
        </w:rPr>
        <w:t>Describe the metric used to determine representativeness (e.g., +/- 3% discrepancy in the proportion of responders compared to target group).</w:t>
      </w:r>
    </w:p>
    <w:p w14:paraId="206EFA69" w14:textId="77777777" w:rsidR="00090132" w:rsidRPr="000A2B9F" w:rsidRDefault="00090132" w:rsidP="00090132">
      <w:pPr>
        <w:pStyle w:val="Subhed"/>
        <w:rPr>
          <w:b w:val="0"/>
          <w:bCs/>
        </w:rPr>
      </w:pPr>
      <w:r w:rsidRPr="000A2B9F">
        <w:rPr>
          <w:b w:val="0"/>
          <w:bCs/>
        </w:rPr>
        <w:t>The respondent representativeness was assessed for race/ethnicity using the representativeness metric of +/- 5% of the population values. The analyses indicated that these groups were represented within 5% of the population percentages. Based on stakeholder input and future APR requirements, Maine will include additional demographic analysis of respondents, to include age of student, disability category, and/or geographic location in the State.</w:t>
      </w:r>
    </w:p>
    <w:p w14:paraId="68A1CF22" w14:textId="77777777" w:rsidR="00090132" w:rsidRPr="00781112" w:rsidRDefault="00090132" w:rsidP="00AF550B">
      <w:pPr>
        <w:rPr>
          <w:rFonts w:cs="Arial"/>
          <w:iCs/>
          <w:color w:val="000000" w:themeColor="text1"/>
          <w:szCs w:val="16"/>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6DC40A6" w14:textId="574FECB7" w:rsidTr="002B4D97">
        <w:tc>
          <w:tcPr>
            <w:tcW w:w="8550" w:type="dxa"/>
            <w:shd w:val="clear" w:color="auto" w:fill="auto"/>
          </w:tcPr>
          <w:p w14:paraId="78F47FEB" w14:textId="5057C7B2" w:rsidR="00212954" w:rsidRPr="00781112" w:rsidRDefault="00EF1C23" w:rsidP="00B6413B">
            <w:pPr>
              <w:rPr>
                <w:rFonts w:cs="Arial"/>
                <w:color w:val="000000" w:themeColor="text1"/>
                <w:szCs w:val="16"/>
              </w:rPr>
            </w:pPr>
            <w:r w:rsidRPr="00781112">
              <w:rPr>
                <w:rFonts w:cs="Arial"/>
                <w:color w:val="000000" w:themeColor="text1"/>
                <w:szCs w:val="16"/>
              </w:rPr>
              <w:lastRenderedPageBreak/>
              <w:t>If yes, provide sampling plan.</w:t>
            </w:r>
          </w:p>
        </w:tc>
        <w:tc>
          <w:tcPr>
            <w:tcW w:w="2245" w:type="dxa"/>
            <w:shd w:val="clear" w:color="auto" w:fill="auto"/>
          </w:tcPr>
          <w:p w14:paraId="30391E7E" w14:textId="6D3E25C2" w:rsidR="00212954" w:rsidRPr="00781112" w:rsidRDefault="002B7490">
            <w:pPr>
              <w:jc w:val="center"/>
              <w:rPr>
                <w:rFonts w:cs="Arial"/>
                <w:color w:val="000000" w:themeColor="text1"/>
                <w:szCs w:val="16"/>
              </w:rPr>
            </w:pPr>
            <w:r w:rsidRPr="00781112">
              <w:rPr>
                <w:rFonts w:cs="Arial"/>
                <w:color w:val="000000" w:themeColor="text1"/>
                <w:szCs w:val="16"/>
              </w:rPr>
              <w:t>Indicator B8 Sampling Method</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Maine DOE's sampling methodology has not changed from the previously approved sampling plan. Child Development Services' (CDS) sampling methodology differed in FFY2020 but CDS will again utilize the previously approved sampling methodology in the future. DOE provided an electronic link to a parent survey to all monitored LEAs, and LEAs provided the link to all parents of students with IEPs in the LEAs. The Child Development Services (preschool) sampling method differed from that used in previous years out of temporary necessity due to staff turnover. Time constraints necessitated the implementation of this method for this reporting year only. For FFY2020, CDS utilized a random sampling strategy that involved the directors at each of the 9 regional CDS sites sending the parent satisfaction survey via email to the parents of 20 randomly selected children that received early childhood special education services from each CDS site during FFY2020. For CDS, 180 surveys were sent to families via an electronic link; 23 parents responded to the survey. Data for CDS and DOE are reported jointly for this indicator because the targets have been set for combined CDS and DOE data. The data are analyzed for nonresponse bias and representativeness of race/ethnicity using a metric of +/- 5%. Respondent data were found to be representative of the population of students with disabilities within the population percentages for race/ethnicity (within 5% of the population values).</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2B4010" w:rsidP="00A018D4">
            <w:pPr>
              <w:jc w:val="center"/>
              <w:rPr>
                <w:rFonts w:cs="Arial"/>
                <w:color w:val="000000" w:themeColor="text1"/>
                <w:szCs w:val="16"/>
              </w:rPr>
            </w:pPr>
            <w:r w:rsidRPr="00781112">
              <w:rPr>
                <w:rFonts w:cs="Arial"/>
                <w:color w:val="000000" w:themeColor="text1"/>
                <w:szCs w:val="16"/>
              </w:rPr>
              <w:t/>
            </w: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2B7490" w:rsidP="007D435F">
      <w:pPr>
        <w:rPr>
          <w:rFonts w:cs="Arial"/>
          <w:color w:val="000000" w:themeColor="text1"/>
          <w:szCs w:val="16"/>
        </w:rPr>
      </w:pPr>
      <w:r w:rsidRPr="00781112">
        <w:rPr>
          <w:rFonts w:cs="Arial"/>
          <w:color w:val="000000" w:themeColor="text1"/>
          <w:szCs w:val="16"/>
        </w:rPr>
        <w:t/>
      </w: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None</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br/>
        <w:t/>
        <w:br/>
        <w:t>The State did not describe the metric used to determine representativeness, as required.</w:t>
        <w:br/>
        <w:t/>
        <w:br/>
        <w:t>The State reported that sampling was used to collect data for this indicator and that the previously approved sampling plan had not changed. In order to report data for this indicator using sampling for the FFY 2020-2025 SPP/APR, the State must submit its sampling plan to OSEP and provide data consistent with the approved sampling plan.</w:t>
      </w: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bookmarkEnd w:id="51"/>
      <w:bookmarkEnd w:id="52"/>
      <w:bookmarkEnd w:id="53"/>
    </w:p>
    <w:p w14:paraId="30C4375D" w14:textId="77777777" w:rsidR="00AF5AFB" w:rsidRPr="00781112" w:rsidRDefault="00AF5AFB" w:rsidP="00A018D4">
      <w:pPr>
        <w:rPr>
          <w:color w:val="000000" w:themeColor="text1"/>
          <w:szCs w:val="20"/>
        </w:rPr>
      </w:pPr>
      <w:bookmarkStart w:id="55" w:name="_Toc384383343"/>
      <w:bookmarkStart w:id="56"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3276281A"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2020 reporting period (i.e., after June 30, 2021).</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257F2E4C"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1D47DF0A" w:rsidR="00A66715" w:rsidRPr="00781112" w:rsidRDefault="0016730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57" w:name="_Toc384383344"/>
      <w:bookmarkStart w:id="58" w:name="_Toc392159312"/>
      <w:bookmarkEnd w:id="55"/>
      <w:bookmarkEnd w:id="56"/>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r>
      <w:tr w:rsidR="005C29F8" w:rsidRPr="00781112" w14:paraId="2B1048CB" w14:textId="77777777" w:rsidTr="002B4D97">
        <w:trPr>
          <w:trHeight w:val="357"/>
        </w:trPr>
        <w:tc>
          <w:tcPr>
            <w:tcW w:w="833" w:type="pct"/>
            <w:shd w:val="clear" w:color="auto" w:fill="auto"/>
          </w:tcPr>
          <w:p w14:paraId="1E5C921D" w14:textId="10B75CEC" w:rsidR="006357C5" w:rsidRPr="00781112" w:rsidRDefault="006357C5" w:rsidP="006357C5">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lastRenderedPageBreak/>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504"/>
        <w:gridCol w:w="1621"/>
        <w:gridCol w:w="1733"/>
        <w:gridCol w:w="1733"/>
        <w:gridCol w:w="1733"/>
        <w:gridCol w:w="1733"/>
        <w:gridCol w:w="1733"/>
      </w:tblGrid>
      <w:tr w:rsidR="00AD5583" w:rsidRPr="00781112" w14:paraId="3B5E697E" w14:textId="22491944" w:rsidTr="002B4D97">
        <w:trPr>
          <w:trHeight w:val="307"/>
        </w:trPr>
        <w:tc>
          <w:tcPr>
            <w:tcW w:w="234" w:type="pct"/>
            <w:tcBorders>
              <w:bottom w:val="single" w:sz="4" w:space="0" w:color="auto"/>
            </w:tcBorders>
            <w:shd w:val="clear" w:color="auto" w:fill="auto"/>
          </w:tcPr>
          <w:p w14:paraId="6847FBDE" w14:textId="77777777" w:rsidR="00AD5583" w:rsidRPr="00781112" w:rsidRDefault="00AD5583" w:rsidP="00AD5583">
            <w:pPr>
              <w:jc w:val="center"/>
              <w:rPr>
                <w:b/>
                <w:color w:val="000000" w:themeColor="text1"/>
              </w:rPr>
            </w:pPr>
            <w:r w:rsidRPr="00781112">
              <w:rPr>
                <w:b/>
                <w:color w:val="000000" w:themeColor="text1"/>
              </w:rPr>
              <w:t>FFY</w:t>
            </w:r>
          </w:p>
        </w:tc>
        <w:tc>
          <w:tcPr>
            <w:tcW w:w="751" w:type="pct"/>
            <w:shd w:val="clear" w:color="auto" w:fill="auto"/>
          </w:tcPr>
          <w:p w14:paraId="2C965821" w14:textId="77777777" w:rsidR="00AD5583" w:rsidRPr="00781112" w:rsidRDefault="00AD5583" w:rsidP="00AD5583">
            <w:pPr>
              <w:jc w:val="center"/>
              <w:rPr>
                <w:b/>
                <w:color w:val="000000" w:themeColor="text1"/>
              </w:rPr>
            </w:pPr>
            <w:r w:rsidRPr="00781112">
              <w:rPr>
                <w:b/>
                <w:color w:val="000000" w:themeColor="text1"/>
              </w:rPr>
              <w:t>2020</w:t>
            </w:r>
          </w:p>
        </w:tc>
        <w:tc>
          <w:tcPr>
            <w:tcW w:w="803" w:type="pct"/>
          </w:tcPr>
          <w:p w14:paraId="695B1CC5" w14:textId="0A8E7C74" w:rsidR="00AD5583" w:rsidRPr="00781112" w:rsidRDefault="00AD5583" w:rsidP="00AD5583">
            <w:pPr>
              <w:jc w:val="center"/>
              <w:rPr>
                <w:b/>
                <w:color w:val="000000" w:themeColor="text1"/>
              </w:rPr>
            </w:pPr>
            <w:r w:rsidRPr="00781112">
              <w:rPr>
                <w:rFonts w:cs="Arial"/>
                <w:b/>
                <w:color w:val="000000" w:themeColor="text1"/>
                <w:szCs w:val="16"/>
              </w:rPr>
              <w:t>2021</w:t>
            </w:r>
          </w:p>
        </w:tc>
        <w:tc>
          <w:tcPr>
            <w:tcW w:w="803" w:type="pct"/>
          </w:tcPr>
          <w:p w14:paraId="676B8DF3" w14:textId="1749272A" w:rsidR="00AD5583" w:rsidRPr="00781112" w:rsidRDefault="00AD5583" w:rsidP="00AD5583">
            <w:pPr>
              <w:jc w:val="center"/>
              <w:rPr>
                <w:b/>
                <w:color w:val="000000" w:themeColor="text1"/>
              </w:rPr>
            </w:pPr>
            <w:r w:rsidRPr="00781112">
              <w:rPr>
                <w:rFonts w:cs="Arial"/>
                <w:b/>
                <w:color w:val="000000" w:themeColor="text1"/>
                <w:szCs w:val="16"/>
              </w:rPr>
              <w:t>2022</w:t>
            </w:r>
          </w:p>
        </w:tc>
        <w:tc>
          <w:tcPr>
            <w:tcW w:w="803" w:type="pct"/>
          </w:tcPr>
          <w:p w14:paraId="2431A20F" w14:textId="6C70327F" w:rsidR="00AD5583" w:rsidRPr="00781112" w:rsidRDefault="00AD5583" w:rsidP="00AD5583">
            <w:pPr>
              <w:jc w:val="center"/>
              <w:rPr>
                <w:b/>
                <w:color w:val="000000" w:themeColor="text1"/>
              </w:rPr>
            </w:pPr>
            <w:r w:rsidRPr="00781112">
              <w:rPr>
                <w:rFonts w:cs="Arial"/>
                <w:b/>
                <w:color w:val="000000" w:themeColor="text1"/>
                <w:szCs w:val="16"/>
              </w:rPr>
              <w:t>2023</w:t>
            </w:r>
          </w:p>
        </w:tc>
        <w:tc>
          <w:tcPr>
            <w:tcW w:w="803" w:type="pct"/>
          </w:tcPr>
          <w:p w14:paraId="1F22D9D1" w14:textId="274E33D7" w:rsidR="00AD5583" w:rsidRPr="00781112" w:rsidRDefault="00AD5583" w:rsidP="00AD5583">
            <w:pPr>
              <w:jc w:val="center"/>
              <w:rPr>
                <w:b/>
                <w:color w:val="000000" w:themeColor="text1"/>
              </w:rPr>
            </w:pPr>
            <w:r w:rsidRPr="00781112">
              <w:rPr>
                <w:rFonts w:cs="Arial"/>
                <w:b/>
                <w:color w:val="000000" w:themeColor="text1"/>
                <w:szCs w:val="16"/>
              </w:rPr>
              <w:t>2024</w:t>
            </w:r>
          </w:p>
        </w:tc>
        <w:tc>
          <w:tcPr>
            <w:tcW w:w="803" w:type="pct"/>
          </w:tcPr>
          <w:p w14:paraId="170ADB87" w14:textId="7E2782C3" w:rsidR="00AD5583" w:rsidRPr="00781112" w:rsidRDefault="00AD5583" w:rsidP="00AD5583">
            <w:pPr>
              <w:jc w:val="center"/>
              <w:rPr>
                <w:b/>
                <w:color w:val="000000" w:themeColor="text1"/>
              </w:rPr>
            </w:pPr>
            <w:r w:rsidRPr="00781112">
              <w:rPr>
                <w:rFonts w:cs="Arial"/>
                <w:b/>
                <w:color w:val="000000" w:themeColor="text1"/>
                <w:szCs w:val="16"/>
              </w:rPr>
              <w:t>2025</w:t>
            </w:r>
          </w:p>
        </w:tc>
      </w:tr>
      <w:tr w:rsidR="00AD5583" w:rsidRPr="00781112" w14:paraId="48E9BF63" w14:textId="16949127" w:rsidTr="002B4D97">
        <w:trPr>
          <w:trHeight w:val="313"/>
        </w:trPr>
        <w:tc>
          <w:tcPr>
            <w:tcW w:w="234" w:type="pct"/>
            <w:shd w:val="clear" w:color="auto" w:fill="auto"/>
            <w:vAlign w:val="center"/>
          </w:tcPr>
          <w:p w14:paraId="3001E3D6" w14:textId="77777777" w:rsidR="00AD5583" w:rsidRPr="00781112" w:rsidRDefault="00AD5583" w:rsidP="00AD5583">
            <w:pPr>
              <w:rPr>
                <w:rFonts w:cs="Arial"/>
                <w:color w:val="000000" w:themeColor="text1"/>
                <w:szCs w:val="16"/>
              </w:rPr>
            </w:pPr>
            <w:r w:rsidRPr="00781112">
              <w:rPr>
                <w:rFonts w:cs="Arial"/>
                <w:color w:val="000000" w:themeColor="text1"/>
                <w:szCs w:val="16"/>
              </w:rPr>
              <w:t xml:space="preserve">Target </w:t>
            </w:r>
          </w:p>
        </w:tc>
        <w:tc>
          <w:tcPr>
            <w:tcW w:w="751" w:type="pct"/>
            <w:shd w:val="clear" w:color="auto" w:fill="auto"/>
            <w:vAlign w:val="center"/>
          </w:tcPr>
          <w:p w14:paraId="538E5325" w14:textId="0C17771E" w:rsidR="00AD5583" w:rsidRPr="00781112" w:rsidRDefault="00AD5583" w:rsidP="00AD5583">
            <w:pPr>
              <w:jc w:val="center"/>
              <w:rPr>
                <w:rFonts w:cs="Arial"/>
                <w:color w:val="000000" w:themeColor="text1"/>
                <w:szCs w:val="16"/>
              </w:rPr>
            </w:pPr>
            <w:r w:rsidRPr="00781112">
              <w:rPr>
                <w:rFonts w:cs="Arial"/>
                <w:color w:val="000000" w:themeColor="text1"/>
                <w:szCs w:val="16"/>
              </w:rPr>
              <w:t>0%</w:t>
            </w:r>
          </w:p>
        </w:tc>
        <w:tc>
          <w:tcPr>
            <w:tcW w:w="803" w:type="pct"/>
          </w:tcPr>
          <w:p w14:paraId="5C91471A" w14:textId="351E6F13"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4C61AAA7" w14:textId="75046312"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59DCAC52" w14:textId="3AB87F0D"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01CBB5F6" w14:textId="30E27615"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7F104E9E" w14:textId="6D9DEBCA" w:rsidR="00AD5583" w:rsidRPr="00781112" w:rsidRDefault="00AD5583" w:rsidP="00AD5583">
            <w:pPr>
              <w:jc w:val="center"/>
              <w:rPr>
                <w:rFonts w:cs="Arial"/>
                <w:color w:val="000000" w:themeColor="text1"/>
                <w:szCs w:val="16"/>
              </w:rPr>
            </w:pPr>
            <w:r w:rsidRPr="00781112">
              <w:rPr>
                <w:color w:val="000000" w:themeColor="text1"/>
                <w:szCs w:val="16"/>
              </w:rPr>
              <w:t>0%</w:t>
            </w:r>
          </w:p>
        </w:tc>
      </w:tr>
    </w:tbl>
    <w:p w14:paraId="77101B89" w14:textId="69445547" w:rsidR="00D03701" w:rsidRPr="00781112" w:rsidRDefault="00F6415A">
      <w:pPr>
        <w:rPr>
          <w:b/>
          <w:color w:val="000000" w:themeColor="text1"/>
        </w:rPr>
      </w:pPr>
      <w:r w:rsidRPr="00781112">
        <w:rPr>
          <w:b/>
          <w:color w:val="000000" w:themeColor="text1"/>
        </w:rPr>
        <w:t>FFY 2020 SPP/APR Data</w:t>
      </w:r>
      <w:bookmarkEnd w:id="57"/>
      <w:bookmarkEnd w:id="58"/>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109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07"/>
        <w:gridCol w:w="1258"/>
        <w:gridCol w:w="1760"/>
        <w:gridCol w:w="1131"/>
        <w:gridCol w:w="1680"/>
        <w:gridCol w:w="1021"/>
        <w:gridCol w:w="1287"/>
        <w:gridCol w:w="1246"/>
      </w:tblGrid>
      <w:tr w:rsidR="005C29F8" w:rsidRPr="00781112" w14:paraId="53F272CD" w14:textId="23013B7B" w:rsidTr="002B4D97">
        <w:trPr>
          <w:trHeight w:val="354"/>
          <w:jc w:val="center"/>
        </w:trPr>
        <w:tc>
          <w:tcPr>
            <w:tcW w:w="652" w:type="pct"/>
            <w:shd w:val="clear" w:color="auto" w:fill="auto"/>
            <w:vAlign w:val="bottom"/>
          </w:tcPr>
          <w:p w14:paraId="18E013DB" w14:textId="1E730C58" w:rsidR="004B2A77" w:rsidRPr="00781112" w:rsidRDefault="004B2A77" w:rsidP="004369B2">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4B2A77" w:rsidRPr="00781112" w:rsidRDefault="004B2A77" w:rsidP="004369B2">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4B2A77" w:rsidRPr="00781112" w:rsidRDefault="003D7F56" w:rsidP="004369B2">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7D886C0A" w:rsidR="004B2A77" w:rsidRPr="00781112" w:rsidRDefault="00F6415A" w:rsidP="004369B2">
            <w:pPr>
              <w:jc w:val="center"/>
              <w:rPr>
                <w:b/>
                <w:color w:val="000000" w:themeColor="text1"/>
              </w:rPr>
            </w:pPr>
            <w:r w:rsidRPr="00781112">
              <w:rPr>
                <w:b/>
                <w:color w:val="000000" w:themeColor="text1"/>
              </w:rPr>
              <w:t>FFY 2019 Data</w:t>
            </w:r>
          </w:p>
        </w:tc>
        <w:tc>
          <w:tcPr>
            <w:tcW w:w="778" w:type="pct"/>
            <w:shd w:val="clear" w:color="auto" w:fill="auto"/>
            <w:vAlign w:val="bottom"/>
          </w:tcPr>
          <w:p w14:paraId="1B6D5875" w14:textId="75A5C75F" w:rsidR="004B2A77" w:rsidRPr="00781112" w:rsidRDefault="00F6415A" w:rsidP="004369B2">
            <w:pPr>
              <w:jc w:val="center"/>
              <w:rPr>
                <w:b/>
                <w:color w:val="000000" w:themeColor="text1"/>
              </w:rPr>
            </w:pPr>
            <w:r w:rsidRPr="00781112">
              <w:rPr>
                <w:b/>
                <w:color w:val="000000" w:themeColor="text1"/>
              </w:rPr>
              <w:t>FFY 2020 Target</w:t>
            </w:r>
          </w:p>
        </w:tc>
        <w:tc>
          <w:tcPr>
            <w:tcW w:w="473" w:type="pct"/>
            <w:shd w:val="clear" w:color="auto" w:fill="auto"/>
            <w:vAlign w:val="bottom"/>
          </w:tcPr>
          <w:p w14:paraId="33B20FA6" w14:textId="73DE7E92" w:rsidR="004B2A77" w:rsidRPr="00781112" w:rsidRDefault="00F6415A" w:rsidP="004369B2">
            <w:pPr>
              <w:jc w:val="center"/>
              <w:rPr>
                <w:b/>
                <w:color w:val="000000" w:themeColor="text1"/>
              </w:rPr>
            </w:pPr>
            <w:r w:rsidRPr="00781112">
              <w:rPr>
                <w:b/>
                <w:color w:val="000000" w:themeColor="text1"/>
              </w:rPr>
              <w:t>FFY 2020 Data</w:t>
            </w:r>
          </w:p>
        </w:tc>
        <w:tc>
          <w:tcPr>
            <w:tcW w:w="596" w:type="pct"/>
            <w:shd w:val="clear" w:color="auto" w:fill="auto"/>
            <w:vAlign w:val="bottom"/>
          </w:tcPr>
          <w:p w14:paraId="7561FBFF" w14:textId="5BCCF9DB" w:rsidR="004B2A77" w:rsidRPr="00781112" w:rsidRDefault="004B2A77" w:rsidP="004369B2">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4B2A77" w:rsidRPr="00781112" w:rsidRDefault="004B2A77" w:rsidP="004369B2">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143</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N/A</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N/A</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59" w:name="_Hlk494459610"/>
      <w:r w:rsidRPr="00781112">
        <w:rPr>
          <w:rFonts w:cs="Arial"/>
          <w:color w:val="000000" w:themeColor="text1"/>
          <w:szCs w:val="16"/>
        </w:rPr>
        <w:t>Disproportionate representation is defined as a significant difference between the identification rates of students with disabilities by race/ethnic proportion and the proportionate representation of the race/ethnicity overall within the district. A significant difference is defined as a risk ratio and an alternate risk ratio greater than or equal to 3 when comparing the risk of special education identification of students of a given race/ethnicity to the risk of special education identification of students of all other races/ethnicities. One year of data is used in the calculations. Multiple risk ratio measures and cell and n size criteria are used because the counts of students belonging to various racial/ethnic groups in Maine’s districts often are very small. The cell size and n size of an assessed racial/ethnic group in special education must be at least 10 and 30, respectively, and a comparison group of any other racial/ethnic group in the district must be at least 10.</w:t>
      </w:r>
    </w:p>
    <w:bookmarkEnd w:id="59"/>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No districts exhibited disproportionate representation of racial/ethnic groups in special education. Therefore, there was no review to determine if disproportionate representation was the result of inappropriate identification.</w:t>
      </w:r>
    </w:p>
    <w:p w14:paraId="3B71A72A" w14:textId="77777777" w:rsidR="00DF1529" w:rsidRPr="00781112" w:rsidRDefault="00DF1529" w:rsidP="00DF1529">
      <w:pPr>
        <w:rPr>
          <w:rFonts w:cs="Arial"/>
          <w:b/>
          <w:color w:val="000000" w:themeColor="text1"/>
          <w:szCs w:val="16"/>
        </w:rPr>
      </w:pPr>
      <w:bookmarkStart w:id="60" w:name="_Toc381956337"/>
      <w:bookmarkStart w:id="61" w:name="_Toc384383347"/>
      <w:bookmarkStart w:id="62" w:name="_Toc392159315"/>
      <w:r w:rsidRPr="00781112">
        <w:rPr>
          <w:rFonts w:cs="Arial"/>
          <w:b/>
          <w:color w:val="000000" w:themeColor="text1"/>
          <w:szCs w:val="16"/>
        </w:rPr>
        <w:t>Provide additional information about this indicator (optional)</w:t>
      </w:r>
    </w:p>
    <w:p w14:paraId="0CC85C5C" w14:textId="196142DC" w:rsidR="009B37A2" w:rsidRPr="00781112" w:rsidRDefault="002B7490" w:rsidP="007D435F">
      <w:pPr>
        <w:rPr>
          <w:rFonts w:cs="Arial"/>
          <w:color w:val="000000" w:themeColor="text1"/>
          <w:szCs w:val="16"/>
        </w:rPr>
      </w:pPr>
      <w:r w:rsidRPr="00781112">
        <w:rPr>
          <w:rFonts w:cs="Arial"/>
          <w:color w:val="000000" w:themeColor="text1"/>
          <w:szCs w:val="16"/>
        </w:rPr>
        <w:t>Baseline for this indicator is 2020, as states are now required to provide racial/ethnic disproportionality data for all children aged 5 who are enrolled in kindergarten in addition to those aged 6 through 21 served under IDEA.</w:t>
      </w:r>
    </w:p>
    <w:p w14:paraId="1FEDA55E" w14:textId="77777777" w:rsidR="00F14FC6" w:rsidRPr="00781112" w:rsidRDefault="00F14FC6" w:rsidP="004369B2">
      <w:pPr>
        <w:rPr>
          <w:color w:val="000000" w:themeColor="text1"/>
        </w:rPr>
      </w:pPr>
    </w:p>
    <w:p w14:paraId="69DF7E10" w14:textId="39AA9901"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09PFFYNCFINDINGS"/>
      </w:tblPr>
      <w:tblGrid>
        <w:gridCol w:w="2649"/>
        <w:gridCol w:w="2779"/>
        <w:gridCol w:w="2656"/>
        <w:gridCol w:w="2706"/>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04E7D32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09PPFFYNCFINDINGS"/>
      </w:tblPr>
      <w:tblGrid>
        <w:gridCol w:w="1889"/>
        <w:gridCol w:w="3132"/>
        <w:gridCol w:w="3123"/>
        <w:gridCol w:w="2646"/>
      </w:tblGrid>
      <w:tr w:rsidR="005C29F8" w:rsidRPr="00781112" w14:paraId="45BB80A1" w14:textId="77777777" w:rsidTr="000E4061">
        <w:trPr>
          <w:tblHeader/>
        </w:trPr>
        <w:tc>
          <w:tcPr>
            <w:tcW w:w="875"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2" w:type="pct"/>
            <w:shd w:val="clear" w:color="auto" w:fill="auto"/>
            <w:vAlign w:val="bottom"/>
          </w:tcPr>
          <w:p w14:paraId="37A08A62" w14:textId="4C9D4268"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E4061">
        <w:tc>
          <w:tcPr>
            <w:tcW w:w="875" w:type="pct"/>
            <w:shd w:val="clear" w:color="auto" w:fill="auto"/>
          </w:tcPr>
          <w:p w14:paraId="45428D6F" w14:textId="7D4EAEAA"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2" w:type="pct"/>
            <w:shd w:val="clear" w:color="auto" w:fill="auto"/>
          </w:tcPr>
          <w:p w14:paraId="2538B936" w14:textId="1E5EBCEA"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0C2616F3" w14:textId="51C19A6F"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2C4B22F3" w14:textId="328F69B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64C29D12" w14:textId="77777777" w:rsidTr="000E4061">
        <w:tc>
          <w:tcPr>
            <w:tcW w:w="875" w:type="pct"/>
            <w:shd w:val="clear" w:color="auto" w:fill="auto"/>
          </w:tcPr>
          <w:p w14:paraId="64B189E9" w14:textId="0AFBAB9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2" w:type="pct"/>
            <w:shd w:val="clear" w:color="auto" w:fill="auto"/>
          </w:tcPr>
          <w:p w14:paraId="0A04A1D7" w14:textId="686FEC4A"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6EC161AF" w14:textId="6E0D3C99"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0BCD79B4" w14:textId="02E3B9EE"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5DBE1D84" w14:textId="77777777" w:rsidTr="000E4061">
        <w:tc>
          <w:tcPr>
            <w:tcW w:w="875" w:type="pct"/>
            <w:shd w:val="clear" w:color="auto" w:fill="auto"/>
          </w:tcPr>
          <w:p w14:paraId="19109B9A" w14:textId="16CEFD65"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2" w:type="pct"/>
            <w:shd w:val="clear" w:color="auto" w:fill="auto"/>
          </w:tcPr>
          <w:p w14:paraId="2D2E112D" w14:textId="794C18F8"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5B55C7F5" w14:textId="3406276E"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04E4EF54" w14:textId="064E0A7A" w:rsidR="009A755E" w:rsidRPr="00781112" w:rsidRDefault="002B7490">
            <w:pPr>
              <w:jc w:val="center"/>
              <w:rPr>
                <w:rFonts w:cs="Arial"/>
                <w:noProof/>
                <w:color w:val="000000" w:themeColor="text1"/>
                <w:szCs w:val="16"/>
              </w:rPr>
            </w:pPr>
            <w:r w:rsidRPr="00781112">
              <w:rPr>
                <w:rFonts w:cs="Arial"/>
                <w:color w:val="000000" w:themeColor="text1"/>
                <w:szCs w:val="16"/>
              </w:rPr>
              <w:t/>
            </w: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2B7490" w:rsidP="00212954">
      <w:pPr>
        <w:rPr>
          <w:rFonts w:cs="Arial"/>
          <w:color w:val="000000" w:themeColor="text1"/>
          <w:szCs w:val="16"/>
        </w:rPr>
      </w:pPr>
      <w:r w:rsidRPr="00781112">
        <w:rPr>
          <w:rFonts w:cs="Arial"/>
          <w:color w:val="000000" w:themeColor="text1"/>
          <w:szCs w:val="16"/>
        </w:rPr>
        <w:t>The State reported its baseline for this indicator using data from FFY 2016; however, OSEP cannot accept this baseline because of revisions to the Measurement Table. Specifically, with the FFY 2020 SPP/APR submission, all States are now required to provide racial/ethnic disproportionality data for all children aged 5 who are enrolled in kindergarten in addition to those aged 6 through 21 served under IDEA, aggregated across all disability categories. Therefore, the State must revise its baseline using FFY 2020 data.</w:t>
      </w: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2B7490" w:rsidP="00212954">
      <w:pPr>
        <w:rPr>
          <w:rFonts w:cs="Arial"/>
          <w:color w:val="000000" w:themeColor="text1"/>
          <w:szCs w:val="16"/>
        </w:rPr>
      </w:pPr>
      <w:r w:rsidRPr="00781112">
        <w:rPr>
          <w:rFonts w:cs="Arial"/>
          <w:color w:val="000000" w:themeColor="text1"/>
          <w:szCs w:val="16"/>
        </w:rPr>
        <w:t/>
      </w: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60"/>
      <w:bookmarkEnd w:id="61"/>
      <w:bookmarkEnd w:id="62"/>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63" w:name="_Toc384383348"/>
      <w:bookmarkStart w:id="64"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8CF256D"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618 data for FFY 2020,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is the result of inappropriate identification, even if the determination of inappropriate identification was made after the end of the FFY 2020 reporting period (i.e., after June 30, 2021).</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0E1ED80A"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77777777" w:rsidR="001D677D" w:rsidRPr="00781112" w:rsidRDefault="001D677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367E089E" w14:textId="2AF17A94"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65" w:name="_Toc384383349"/>
      <w:bookmarkStart w:id="66" w:name="_Toc392159317"/>
      <w:bookmarkEnd w:id="63"/>
      <w:bookmarkEnd w:id="64"/>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2015</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2016</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2018</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2019</w:t>
            </w:r>
          </w:p>
        </w:tc>
      </w:tr>
      <w:tr w:rsidR="005C29F8" w:rsidRPr="00781112" w14:paraId="070DB2EE" w14:textId="77777777" w:rsidTr="002B4D97">
        <w:trPr>
          <w:trHeight w:val="357"/>
        </w:trPr>
        <w:tc>
          <w:tcPr>
            <w:tcW w:w="833" w:type="pct"/>
            <w:shd w:val="clear" w:color="auto" w:fill="auto"/>
          </w:tcPr>
          <w:p w14:paraId="0009CFCE" w14:textId="3FC698CF" w:rsidR="005A3C12" w:rsidRPr="00781112" w:rsidRDefault="005A3C12" w:rsidP="00B6413B">
            <w:pPr>
              <w:rPr>
                <w:rFonts w:cs="Arial"/>
                <w:color w:val="000000" w:themeColor="text1"/>
                <w:szCs w:val="16"/>
              </w:rPr>
            </w:pPr>
            <w:r w:rsidRPr="00781112">
              <w:rPr>
                <w:rFonts w:cs="Arial"/>
                <w:color w:val="000000" w:themeColor="text1"/>
                <w:szCs w:val="16"/>
              </w:rPr>
              <w:lastRenderedPageBreak/>
              <w:t xml:space="preserve">Target </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65"/>
      <w:bookmarkEnd w:id="66"/>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40"/>
        <w:gridCol w:w="1541"/>
        <w:gridCol w:w="1543"/>
        <w:gridCol w:w="1541"/>
        <w:gridCol w:w="1543"/>
        <w:gridCol w:w="1541"/>
        <w:gridCol w:w="1541"/>
      </w:tblGrid>
      <w:tr w:rsidR="00D0796B" w:rsidRPr="00781112" w14:paraId="66B5B2AB" w14:textId="77A1A8F1" w:rsidTr="002B4D97">
        <w:trPr>
          <w:trHeight w:val="424"/>
        </w:trPr>
        <w:tc>
          <w:tcPr>
            <w:tcW w:w="714" w:type="pct"/>
            <w:tcBorders>
              <w:bottom w:val="single" w:sz="4" w:space="0" w:color="auto"/>
            </w:tcBorders>
            <w:shd w:val="clear" w:color="auto" w:fill="auto"/>
          </w:tcPr>
          <w:p w14:paraId="6C572A94" w14:textId="77777777" w:rsidR="00D0796B" w:rsidRPr="00781112" w:rsidRDefault="00D0796B" w:rsidP="00D0796B">
            <w:pPr>
              <w:jc w:val="center"/>
              <w:rPr>
                <w:b/>
                <w:color w:val="000000" w:themeColor="text1"/>
              </w:rPr>
            </w:pPr>
            <w:r w:rsidRPr="00781112">
              <w:rPr>
                <w:b/>
                <w:color w:val="000000" w:themeColor="text1"/>
              </w:rPr>
              <w:t>FFY</w:t>
            </w:r>
          </w:p>
        </w:tc>
        <w:tc>
          <w:tcPr>
            <w:tcW w:w="714" w:type="pct"/>
            <w:shd w:val="clear" w:color="auto" w:fill="auto"/>
          </w:tcPr>
          <w:p w14:paraId="67096E8B" w14:textId="77777777" w:rsidR="00D0796B" w:rsidRPr="00781112" w:rsidRDefault="00D0796B" w:rsidP="00D0796B">
            <w:pPr>
              <w:jc w:val="center"/>
              <w:rPr>
                <w:b/>
                <w:color w:val="000000" w:themeColor="text1"/>
              </w:rPr>
            </w:pPr>
            <w:r w:rsidRPr="00781112">
              <w:rPr>
                <w:b/>
                <w:color w:val="000000" w:themeColor="text1"/>
              </w:rPr>
              <w:t>2020</w:t>
            </w:r>
          </w:p>
        </w:tc>
        <w:tc>
          <w:tcPr>
            <w:tcW w:w="715" w:type="pct"/>
          </w:tcPr>
          <w:p w14:paraId="0FDB27DB" w14:textId="2A7CA3D5" w:rsidR="00D0796B" w:rsidRPr="00781112" w:rsidRDefault="00D0796B" w:rsidP="00D0796B">
            <w:pPr>
              <w:jc w:val="center"/>
              <w:rPr>
                <w:b/>
                <w:color w:val="000000" w:themeColor="text1"/>
              </w:rPr>
            </w:pPr>
            <w:r w:rsidRPr="00781112">
              <w:rPr>
                <w:rFonts w:cs="Arial"/>
                <w:b/>
                <w:color w:val="000000" w:themeColor="text1"/>
                <w:szCs w:val="16"/>
              </w:rPr>
              <w:t>2021</w:t>
            </w:r>
          </w:p>
        </w:tc>
        <w:tc>
          <w:tcPr>
            <w:tcW w:w="714" w:type="pct"/>
          </w:tcPr>
          <w:p w14:paraId="6594AB3D" w14:textId="0AA5EB84" w:rsidR="00D0796B" w:rsidRPr="00781112" w:rsidRDefault="00D0796B" w:rsidP="00D0796B">
            <w:pPr>
              <w:jc w:val="center"/>
              <w:rPr>
                <w:b/>
                <w:color w:val="000000" w:themeColor="text1"/>
              </w:rPr>
            </w:pPr>
            <w:r w:rsidRPr="00781112">
              <w:rPr>
                <w:rFonts w:cs="Arial"/>
                <w:b/>
                <w:color w:val="000000" w:themeColor="text1"/>
                <w:szCs w:val="16"/>
              </w:rPr>
              <w:t>2022</w:t>
            </w:r>
          </w:p>
        </w:tc>
        <w:tc>
          <w:tcPr>
            <w:tcW w:w="715" w:type="pct"/>
          </w:tcPr>
          <w:p w14:paraId="137A2339" w14:textId="1A48CA5C" w:rsidR="00D0796B" w:rsidRPr="00781112" w:rsidRDefault="00D0796B" w:rsidP="00D0796B">
            <w:pPr>
              <w:jc w:val="center"/>
              <w:rPr>
                <w:b/>
                <w:color w:val="000000" w:themeColor="text1"/>
              </w:rPr>
            </w:pPr>
            <w:r w:rsidRPr="00781112">
              <w:rPr>
                <w:rFonts w:cs="Arial"/>
                <w:b/>
                <w:color w:val="000000" w:themeColor="text1"/>
                <w:szCs w:val="16"/>
              </w:rPr>
              <w:t>2023</w:t>
            </w:r>
          </w:p>
        </w:tc>
        <w:tc>
          <w:tcPr>
            <w:tcW w:w="714" w:type="pct"/>
          </w:tcPr>
          <w:p w14:paraId="4FA5EFF0" w14:textId="7587EB5F" w:rsidR="00D0796B" w:rsidRPr="00781112" w:rsidRDefault="00D0796B" w:rsidP="00D0796B">
            <w:pPr>
              <w:jc w:val="center"/>
              <w:rPr>
                <w:b/>
                <w:color w:val="000000" w:themeColor="text1"/>
              </w:rPr>
            </w:pPr>
            <w:r w:rsidRPr="00781112">
              <w:rPr>
                <w:rFonts w:cs="Arial"/>
                <w:b/>
                <w:color w:val="000000" w:themeColor="text1"/>
                <w:szCs w:val="16"/>
              </w:rPr>
              <w:t>2024</w:t>
            </w:r>
          </w:p>
        </w:tc>
        <w:tc>
          <w:tcPr>
            <w:tcW w:w="714" w:type="pct"/>
          </w:tcPr>
          <w:p w14:paraId="2BF2A6CD" w14:textId="7A5D89B1" w:rsidR="00D0796B" w:rsidRPr="00781112" w:rsidRDefault="00D0796B" w:rsidP="00D0796B">
            <w:pPr>
              <w:jc w:val="center"/>
              <w:rPr>
                <w:b/>
                <w:color w:val="000000" w:themeColor="text1"/>
              </w:rPr>
            </w:pPr>
            <w:r w:rsidRPr="00781112">
              <w:rPr>
                <w:rFonts w:cs="Arial"/>
                <w:b/>
                <w:color w:val="000000" w:themeColor="text1"/>
                <w:szCs w:val="16"/>
              </w:rPr>
              <w:t>2025</w:t>
            </w:r>
          </w:p>
        </w:tc>
      </w:tr>
      <w:tr w:rsidR="00D0796B" w:rsidRPr="00781112" w14:paraId="169ED4F0" w14:textId="16F5CD6F" w:rsidTr="002B4D97">
        <w:trPr>
          <w:trHeight w:val="432"/>
        </w:trPr>
        <w:tc>
          <w:tcPr>
            <w:tcW w:w="714" w:type="pct"/>
            <w:shd w:val="clear" w:color="auto" w:fill="auto"/>
            <w:vAlign w:val="center"/>
          </w:tcPr>
          <w:p w14:paraId="639437BD" w14:textId="77777777" w:rsidR="00D0796B" w:rsidRPr="00781112" w:rsidRDefault="00D0796B" w:rsidP="00D0796B">
            <w:pPr>
              <w:rPr>
                <w:rFonts w:cs="Arial"/>
                <w:color w:val="000000" w:themeColor="text1"/>
                <w:szCs w:val="16"/>
              </w:rPr>
            </w:pPr>
            <w:r w:rsidRPr="00781112">
              <w:rPr>
                <w:rFonts w:cs="Arial"/>
                <w:color w:val="000000" w:themeColor="text1"/>
                <w:szCs w:val="16"/>
              </w:rPr>
              <w:t xml:space="preserve">Target </w:t>
            </w:r>
          </w:p>
        </w:tc>
        <w:tc>
          <w:tcPr>
            <w:tcW w:w="714" w:type="pct"/>
            <w:shd w:val="clear" w:color="auto" w:fill="auto"/>
            <w:vAlign w:val="center"/>
          </w:tcPr>
          <w:p w14:paraId="482B43E6" w14:textId="62FCF10C" w:rsidR="00D0796B" w:rsidRPr="00781112" w:rsidRDefault="00D0796B" w:rsidP="00D0796B">
            <w:pPr>
              <w:jc w:val="center"/>
              <w:rPr>
                <w:rFonts w:cs="Arial"/>
                <w:color w:val="000000" w:themeColor="text1"/>
                <w:szCs w:val="16"/>
              </w:rPr>
            </w:pPr>
            <w:r w:rsidRPr="00781112">
              <w:rPr>
                <w:rFonts w:cs="Arial"/>
                <w:color w:val="000000" w:themeColor="text1"/>
                <w:szCs w:val="16"/>
              </w:rPr>
              <w:t>0%</w:t>
            </w:r>
          </w:p>
        </w:tc>
        <w:tc>
          <w:tcPr>
            <w:tcW w:w="715" w:type="pct"/>
          </w:tcPr>
          <w:p w14:paraId="6ED6CF52" w14:textId="07C8F82B"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41DC7F3D" w14:textId="129F7B75"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5" w:type="pct"/>
          </w:tcPr>
          <w:p w14:paraId="430A2A24" w14:textId="13021BDA"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77FF7EE4" w14:textId="56DB4944"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1FB3EC89" w14:textId="6E8E9C53" w:rsidR="00D0796B" w:rsidRPr="00781112" w:rsidRDefault="00D0796B"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0CF8380A" w:rsidR="005A3C12" w:rsidRPr="00781112" w:rsidRDefault="00F6415A">
      <w:pPr>
        <w:rPr>
          <w:b/>
          <w:color w:val="000000" w:themeColor="text1"/>
        </w:rPr>
      </w:pPr>
      <w:r w:rsidRPr="00781112">
        <w:rPr>
          <w:b/>
          <w:color w:val="000000" w:themeColor="text1"/>
        </w:rPr>
        <w:t>FFY 2020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67" w:name="_Hlk20258880"/>
      <w:r w:rsidRPr="00781112">
        <w:rPr>
          <w:rFonts w:cs="Arial"/>
          <w:color w:val="000000" w:themeColor="text1"/>
          <w:szCs w:val="16"/>
        </w:rPr>
        <w:t>YES</w:t>
      </w:r>
    </w:p>
    <w:bookmarkEnd w:id="67"/>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118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200"/>
        <w:gridCol w:w="1259"/>
        <w:gridCol w:w="1807"/>
        <w:gridCol w:w="1158"/>
        <w:gridCol w:w="1724"/>
        <w:gridCol w:w="1045"/>
        <w:gridCol w:w="1319"/>
        <w:gridCol w:w="1278"/>
      </w:tblGrid>
      <w:tr w:rsidR="005C29F8" w:rsidRPr="00781112" w14:paraId="46B7EEE9" w14:textId="299BDFCD" w:rsidTr="002B4D97">
        <w:trPr>
          <w:trHeight w:val="354"/>
        </w:trPr>
        <w:tc>
          <w:tcPr>
            <w:tcW w:w="556" w:type="pct"/>
            <w:shd w:val="clear" w:color="auto" w:fill="auto"/>
            <w:vAlign w:val="bottom"/>
          </w:tcPr>
          <w:p w14:paraId="0E28349C" w14:textId="44D96017" w:rsidR="006A4596" w:rsidRPr="00781112" w:rsidRDefault="006A4596" w:rsidP="004369B2">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6A4596" w:rsidRPr="00781112" w:rsidRDefault="006A4596" w:rsidP="004369B2">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6A4596" w:rsidRPr="00781112" w:rsidRDefault="003D7F56" w:rsidP="004369B2">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298A9AEC" w:rsidR="006A4596" w:rsidRPr="00781112" w:rsidRDefault="00F6415A" w:rsidP="004369B2">
            <w:pPr>
              <w:jc w:val="center"/>
              <w:rPr>
                <w:b/>
                <w:color w:val="000000" w:themeColor="text1"/>
              </w:rPr>
            </w:pPr>
            <w:r w:rsidRPr="00781112">
              <w:rPr>
                <w:b/>
                <w:color w:val="000000" w:themeColor="text1"/>
              </w:rPr>
              <w:t>FFY 2019 Data</w:t>
            </w:r>
          </w:p>
        </w:tc>
        <w:tc>
          <w:tcPr>
            <w:tcW w:w="799" w:type="pct"/>
            <w:shd w:val="clear" w:color="auto" w:fill="auto"/>
            <w:vAlign w:val="bottom"/>
          </w:tcPr>
          <w:p w14:paraId="72475F3B" w14:textId="4566078E" w:rsidR="006A4596" w:rsidRPr="00781112" w:rsidRDefault="00F6415A" w:rsidP="004369B2">
            <w:pPr>
              <w:jc w:val="center"/>
              <w:rPr>
                <w:b/>
                <w:color w:val="000000" w:themeColor="text1"/>
              </w:rPr>
            </w:pPr>
            <w:r w:rsidRPr="00781112">
              <w:rPr>
                <w:b/>
                <w:color w:val="000000" w:themeColor="text1"/>
              </w:rPr>
              <w:t>FFY 2020 Target</w:t>
            </w:r>
          </w:p>
        </w:tc>
        <w:tc>
          <w:tcPr>
            <w:tcW w:w="484" w:type="pct"/>
            <w:shd w:val="clear" w:color="auto" w:fill="auto"/>
            <w:vAlign w:val="bottom"/>
          </w:tcPr>
          <w:p w14:paraId="71FC938A" w14:textId="763CB8C9" w:rsidR="006A4596" w:rsidRPr="00781112" w:rsidRDefault="00F6415A" w:rsidP="004369B2">
            <w:pPr>
              <w:jc w:val="center"/>
              <w:rPr>
                <w:b/>
                <w:color w:val="000000" w:themeColor="text1"/>
              </w:rPr>
            </w:pPr>
            <w:r w:rsidRPr="00781112">
              <w:rPr>
                <w:b/>
                <w:color w:val="000000" w:themeColor="text1"/>
              </w:rPr>
              <w:t>FFY 2020 Data</w:t>
            </w:r>
          </w:p>
        </w:tc>
        <w:tc>
          <w:tcPr>
            <w:tcW w:w="611" w:type="pct"/>
            <w:shd w:val="clear" w:color="auto" w:fill="auto"/>
            <w:vAlign w:val="bottom"/>
          </w:tcPr>
          <w:p w14:paraId="3412B11F" w14:textId="60F985B5" w:rsidR="006A4596" w:rsidRPr="00781112" w:rsidRDefault="006A4596" w:rsidP="004369B2">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6A4596" w:rsidRPr="00781112" w:rsidRDefault="006A4596" w:rsidP="004369B2">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134</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N/A</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N/A</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Disproportionate representation is defined as a significant difference between the rates of students identified for specific disability categories by race/ethnic proportion and the proportionate representation of the race/ethnicity overall within the district. A significant difference is defined as a risk ratio and an alternate risk ratio greater than or equal to 3 when comparing the risk of the identification of students of a given race/ethnicity in a disability category to the risk of identification of students of all other races/ethnicities. One year of data is used in the calculations. Multiple risk ratio measures and cell and n size criteria are used because the counts of students belonging to various racial/ethnic groups in Maine’s districts often are very small. The cell size and n size of an assessed racial/ethnic group in a disability category must be at least 10 and 30, respectively, and a comparison group of any other racial/ethnic group in the district must be at least 10.</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For districts exhibiting disproportionate representation, Maine DOE reviews the districts' policies, procedures, and practices with a compliance instrument to test compliance for 36 items. This document includes a component that identifies students who are English Language Learners, in a effort to ensure all eligibility/re-eligibility decisions are based on appropriate referral and re-evaluation protocols specific to IDEA requirements. The purpose of this review is to ensure appropriate eligibility considerations, proper development and implementation of IEPs, and the inclusion of procedural safeguards.</w:t>
      </w:r>
    </w:p>
    <w:p w14:paraId="1FCF1BF3" w14:textId="77777777" w:rsidR="00DF1529" w:rsidRPr="00781112" w:rsidRDefault="00DF1529" w:rsidP="00DF1529">
      <w:pPr>
        <w:rPr>
          <w:rFonts w:cs="Arial"/>
          <w:b/>
          <w:color w:val="000000" w:themeColor="text1"/>
          <w:szCs w:val="16"/>
        </w:rPr>
      </w:pPr>
      <w:bookmarkStart w:id="68" w:name="_Toc381956338"/>
      <w:bookmarkStart w:id="69" w:name="_Toc384383352"/>
      <w:bookmarkStart w:id="70" w:name="_Toc392159320"/>
      <w:r w:rsidRPr="00781112">
        <w:rPr>
          <w:rFonts w:cs="Arial"/>
          <w:b/>
          <w:color w:val="000000" w:themeColor="text1"/>
          <w:szCs w:val="16"/>
        </w:rPr>
        <w:t>Provide additional information about this indicator (optional)</w:t>
      </w:r>
    </w:p>
    <w:p w14:paraId="6A3194C2" w14:textId="40939986" w:rsidR="00481536" w:rsidRPr="00781112" w:rsidRDefault="002B7490" w:rsidP="007D435F">
      <w:pPr>
        <w:rPr>
          <w:rFonts w:cs="Arial"/>
          <w:color w:val="000000" w:themeColor="text1"/>
          <w:szCs w:val="16"/>
        </w:rPr>
      </w:pPr>
      <w:r w:rsidRPr="00781112">
        <w:rPr>
          <w:rFonts w:cs="Arial"/>
          <w:color w:val="000000" w:themeColor="text1"/>
          <w:szCs w:val="16"/>
        </w:rPr>
        <w:t>Baseline for this indicator is 2020, as states are now required to provide racial/ethnic disproportionality data for all children aged 5 who are enrolled in kindergarten in addition to those aged 6 through 21 served under IDEA.</w:t>
      </w:r>
    </w:p>
    <w:p w14:paraId="4638F78F" w14:textId="77777777" w:rsidR="00BA687C" w:rsidRPr="00781112" w:rsidRDefault="00BA687C" w:rsidP="004369B2">
      <w:pPr>
        <w:rPr>
          <w:color w:val="000000" w:themeColor="text1"/>
        </w:rPr>
      </w:pPr>
    </w:p>
    <w:p w14:paraId="6268B372" w14:textId="1289EDEF"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0PFFYNCFINDINGS"/>
      </w:tblPr>
      <w:tblGrid>
        <w:gridCol w:w="2649"/>
        <w:gridCol w:w="2779"/>
        <w:gridCol w:w="2656"/>
        <w:gridCol w:w="2706"/>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6E7311A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0BPPFFYNCFINDINGS"/>
      </w:tblPr>
      <w:tblGrid>
        <w:gridCol w:w="1889"/>
        <w:gridCol w:w="3333"/>
        <w:gridCol w:w="2743"/>
        <w:gridCol w:w="2825"/>
      </w:tblGrid>
      <w:tr w:rsidR="005C29F8" w:rsidRPr="00781112" w14:paraId="730926F0" w14:textId="77777777" w:rsidTr="00690A61">
        <w:trPr>
          <w:tblHeader/>
        </w:trPr>
        <w:tc>
          <w:tcPr>
            <w:tcW w:w="875"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5" w:type="pct"/>
            <w:shd w:val="clear" w:color="auto" w:fill="auto"/>
            <w:vAlign w:val="bottom"/>
          </w:tcPr>
          <w:p w14:paraId="759DE84F" w14:textId="4F7A1FBE"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690A61">
        <w:tc>
          <w:tcPr>
            <w:tcW w:w="875" w:type="pct"/>
            <w:shd w:val="clear" w:color="auto" w:fill="auto"/>
          </w:tcPr>
          <w:p w14:paraId="4127AE76" w14:textId="36C06893"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5" w:type="pct"/>
            <w:shd w:val="clear" w:color="auto" w:fill="auto"/>
          </w:tcPr>
          <w:p w14:paraId="2A5CC6A6" w14:textId="3962DD5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443DA9B8" w14:textId="5BA02353"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0CA4C267" w14:textId="5E5F97F2"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1AB92FA" w14:textId="77777777" w:rsidTr="00690A61">
        <w:tc>
          <w:tcPr>
            <w:tcW w:w="875" w:type="pct"/>
            <w:shd w:val="clear" w:color="auto" w:fill="auto"/>
          </w:tcPr>
          <w:p w14:paraId="6E800094" w14:textId="1F782081"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5" w:type="pct"/>
            <w:shd w:val="clear" w:color="auto" w:fill="auto"/>
          </w:tcPr>
          <w:p w14:paraId="3FA322A7" w14:textId="2543A74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7075484B" w14:textId="56719905"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5E63471A" w14:textId="5230E0A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57ACE7BC" w14:textId="77777777" w:rsidTr="00690A61">
        <w:tc>
          <w:tcPr>
            <w:tcW w:w="875" w:type="pct"/>
            <w:shd w:val="clear" w:color="auto" w:fill="auto"/>
          </w:tcPr>
          <w:p w14:paraId="4E325530" w14:textId="03DA8FEF"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5" w:type="pct"/>
            <w:shd w:val="clear" w:color="auto" w:fill="auto"/>
          </w:tcPr>
          <w:p w14:paraId="7BFB0081" w14:textId="12B35F6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674F4E8B" w14:textId="257F6F9E"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68852A19" w14:textId="65403F00" w:rsidR="009A755E" w:rsidRPr="00781112" w:rsidRDefault="002B7490">
            <w:pPr>
              <w:jc w:val="center"/>
              <w:rPr>
                <w:rFonts w:cs="Arial"/>
                <w:noProof/>
                <w:color w:val="000000" w:themeColor="text1"/>
                <w:szCs w:val="16"/>
              </w:rPr>
            </w:pPr>
            <w:r w:rsidRPr="00781112">
              <w:rPr>
                <w:rFonts w:cs="Arial"/>
                <w:color w:val="000000" w:themeColor="text1"/>
                <w:szCs w:val="16"/>
              </w:rPr>
              <w:t/>
            </w:r>
          </w:p>
        </w:tc>
      </w:tr>
    </w:tbl>
    <w:p w14:paraId="53A11FEB" w14:textId="6CFF8254" w:rsidR="004E2151" w:rsidRPr="00781112" w:rsidRDefault="009F64D5" w:rsidP="008645AD">
      <w:pPr>
        <w:pStyle w:val="Heading2"/>
      </w:pPr>
      <w:r w:rsidRPr="00781112">
        <w:lastRenderedPageBreak/>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2B7490" w:rsidP="00212954">
      <w:pPr>
        <w:rPr>
          <w:rFonts w:cs="Arial"/>
          <w:color w:val="000000" w:themeColor="text1"/>
          <w:szCs w:val="16"/>
        </w:rPr>
      </w:pPr>
      <w:r w:rsidRPr="00781112">
        <w:rPr>
          <w:rFonts w:cs="Arial"/>
          <w:color w:val="000000" w:themeColor="text1"/>
          <w:szCs w:val="16"/>
        </w:rPr>
        <w:t>The State reported its baseline for this indicator using data from FFY 2016; however, OSEP cannot accept this baseline because of revisions to the Measurement Table. Specifically, with the FFY 2020 SPP/APR submission, all States are now required to provide racial/ethnic disproportionality data for all children aged 5 who are enrolled in kindergarten in addition to those aged 6 through 21 served under IDEA, aggregated across all disability categories. Therefore, the State must revise its baseline using FFY 2020 data.</w:t>
      </w: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2B7490" w:rsidP="00212954">
      <w:pPr>
        <w:rPr>
          <w:rFonts w:cs="Arial"/>
          <w:color w:val="000000" w:themeColor="text1"/>
          <w:szCs w:val="16"/>
        </w:rPr>
      </w:pPr>
      <w:r w:rsidRPr="00781112">
        <w:rPr>
          <w:rFonts w:cs="Arial"/>
          <w:color w:val="000000" w:themeColor="text1"/>
          <w:szCs w:val="16"/>
        </w:rPr>
        <w:t/>
      </w: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68"/>
      <w:bookmarkEnd w:id="69"/>
      <w:bookmarkEnd w:id="70"/>
    </w:p>
    <w:p w14:paraId="4F5D642D" w14:textId="77777777" w:rsidR="00E119B0" w:rsidRPr="00781112" w:rsidRDefault="00E119B0" w:rsidP="00A018D4">
      <w:pPr>
        <w:rPr>
          <w:color w:val="000000" w:themeColor="text1"/>
          <w:szCs w:val="20"/>
        </w:rPr>
      </w:pPr>
      <w:bookmarkStart w:id="71" w:name="_Toc384383353"/>
      <w:bookmarkStart w:id="72"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77777777" w:rsidR="003356F1" w:rsidRPr="00781112" w:rsidRDefault="003356F1"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53468DF8" w14:textId="458F1F28"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73" w:name="_Toc384383354"/>
      <w:bookmarkStart w:id="74" w:name="_Toc392159322"/>
      <w:bookmarkEnd w:id="71"/>
      <w:bookmarkEnd w:id="72"/>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2012</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86.00%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r>
      <w:tr w:rsidR="005C29F8" w:rsidRPr="00781112" w14:paraId="1D8C5E85" w14:textId="77777777" w:rsidTr="005F2FF9">
        <w:trPr>
          <w:trHeight w:val="357"/>
        </w:trPr>
        <w:tc>
          <w:tcPr>
            <w:tcW w:w="833" w:type="pct"/>
            <w:shd w:val="clear" w:color="auto" w:fill="auto"/>
          </w:tcPr>
          <w:p w14:paraId="64B52232" w14:textId="6E60704D" w:rsidR="00B6413B" w:rsidRPr="00781112" w:rsidRDefault="00B6413B"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83.02%</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91.24%</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92.65%</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93.23%</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92.52%</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504"/>
        <w:gridCol w:w="1621"/>
        <w:gridCol w:w="1733"/>
        <w:gridCol w:w="1733"/>
        <w:gridCol w:w="1733"/>
        <w:gridCol w:w="1733"/>
        <w:gridCol w:w="1733"/>
      </w:tblGrid>
      <w:tr w:rsidR="00487DD1" w:rsidRPr="00781112" w14:paraId="76DFECC2" w14:textId="07DDD47D" w:rsidTr="005F2FF9">
        <w:trPr>
          <w:trHeight w:val="460"/>
        </w:trPr>
        <w:tc>
          <w:tcPr>
            <w:tcW w:w="234" w:type="pct"/>
            <w:tcBorders>
              <w:bottom w:val="single" w:sz="4" w:space="0" w:color="auto"/>
            </w:tcBorders>
            <w:shd w:val="clear" w:color="auto" w:fill="auto"/>
          </w:tcPr>
          <w:p w14:paraId="6892E70C" w14:textId="77777777" w:rsidR="00487DD1" w:rsidRPr="00781112" w:rsidRDefault="00487DD1" w:rsidP="00487DD1">
            <w:pPr>
              <w:jc w:val="center"/>
              <w:rPr>
                <w:b/>
                <w:color w:val="000000" w:themeColor="text1"/>
              </w:rPr>
            </w:pPr>
            <w:r w:rsidRPr="00781112">
              <w:rPr>
                <w:b/>
                <w:color w:val="000000" w:themeColor="text1"/>
              </w:rPr>
              <w:t>FFY</w:t>
            </w:r>
          </w:p>
        </w:tc>
        <w:tc>
          <w:tcPr>
            <w:tcW w:w="751" w:type="pct"/>
            <w:shd w:val="clear" w:color="auto" w:fill="auto"/>
          </w:tcPr>
          <w:p w14:paraId="66B6940B" w14:textId="77777777" w:rsidR="00487DD1" w:rsidRPr="00781112" w:rsidRDefault="00487DD1" w:rsidP="00487DD1">
            <w:pPr>
              <w:jc w:val="center"/>
              <w:rPr>
                <w:b/>
                <w:color w:val="000000" w:themeColor="text1"/>
              </w:rPr>
            </w:pPr>
            <w:r w:rsidRPr="00781112">
              <w:rPr>
                <w:b/>
                <w:color w:val="000000" w:themeColor="text1"/>
              </w:rPr>
              <w:t>2020</w:t>
            </w:r>
          </w:p>
        </w:tc>
        <w:tc>
          <w:tcPr>
            <w:tcW w:w="803" w:type="pct"/>
          </w:tcPr>
          <w:p w14:paraId="642D6D44" w14:textId="2A5BD9E4" w:rsidR="00487DD1" w:rsidRPr="00781112" w:rsidRDefault="00487DD1" w:rsidP="00487DD1">
            <w:pPr>
              <w:jc w:val="center"/>
              <w:rPr>
                <w:b/>
                <w:color w:val="000000" w:themeColor="text1"/>
              </w:rPr>
            </w:pPr>
            <w:r w:rsidRPr="00781112">
              <w:rPr>
                <w:rFonts w:cs="Arial"/>
                <w:b/>
                <w:color w:val="000000" w:themeColor="text1"/>
                <w:szCs w:val="16"/>
              </w:rPr>
              <w:t>2021</w:t>
            </w:r>
          </w:p>
        </w:tc>
        <w:tc>
          <w:tcPr>
            <w:tcW w:w="803" w:type="pct"/>
          </w:tcPr>
          <w:p w14:paraId="3DC5C0D5" w14:textId="20C2B807" w:rsidR="00487DD1" w:rsidRPr="00781112" w:rsidRDefault="00487DD1" w:rsidP="00487DD1">
            <w:pPr>
              <w:jc w:val="center"/>
              <w:rPr>
                <w:b/>
                <w:color w:val="000000" w:themeColor="text1"/>
              </w:rPr>
            </w:pPr>
            <w:r w:rsidRPr="00781112">
              <w:rPr>
                <w:rFonts w:cs="Arial"/>
                <w:b/>
                <w:color w:val="000000" w:themeColor="text1"/>
                <w:szCs w:val="16"/>
              </w:rPr>
              <w:t>2022</w:t>
            </w:r>
          </w:p>
        </w:tc>
        <w:tc>
          <w:tcPr>
            <w:tcW w:w="803" w:type="pct"/>
          </w:tcPr>
          <w:p w14:paraId="66836E96" w14:textId="691AA0DC" w:rsidR="00487DD1" w:rsidRPr="00781112" w:rsidRDefault="00487DD1" w:rsidP="00487DD1">
            <w:pPr>
              <w:jc w:val="center"/>
              <w:rPr>
                <w:b/>
                <w:color w:val="000000" w:themeColor="text1"/>
              </w:rPr>
            </w:pPr>
            <w:r w:rsidRPr="00781112">
              <w:rPr>
                <w:rFonts w:cs="Arial"/>
                <w:b/>
                <w:color w:val="000000" w:themeColor="text1"/>
                <w:szCs w:val="16"/>
              </w:rPr>
              <w:t>2023</w:t>
            </w:r>
          </w:p>
        </w:tc>
        <w:tc>
          <w:tcPr>
            <w:tcW w:w="803" w:type="pct"/>
          </w:tcPr>
          <w:p w14:paraId="5B366E12" w14:textId="3D99FA3A" w:rsidR="00487DD1" w:rsidRPr="00781112" w:rsidRDefault="00487DD1" w:rsidP="00487DD1">
            <w:pPr>
              <w:jc w:val="center"/>
              <w:rPr>
                <w:b/>
                <w:color w:val="000000" w:themeColor="text1"/>
              </w:rPr>
            </w:pPr>
            <w:r w:rsidRPr="00781112">
              <w:rPr>
                <w:rFonts w:cs="Arial"/>
                <w:b/>
                <w:color w:val="000000" w:themeColor="text1"/>
                <w:szCs w:val="16"/>
              </w:rPr>
              <w:t>2024</w:t>
            </w:r>
          </w:p>
        </w:tc>
        <w:tc>
          <w:tcPr>
            <w:tcW w:w="803" w:type="pct"/>
          </w:tcPr>
          <w:p w14:paraId="522992DD" w14:textId="572168E6" w:rsidR="00487DD1" w:rsidRPr="00781112" w:rsidRDefault="00487DD1" w:rsidP="00487DD1">
            <w:pPr>
              <w:jc w:val="center"/>
              <w:rPr>
                <w:b/>
                <w:color w:val="000000" w:themeColor="text1"/>
              </w:rPr>
            </w:pPr>
            <w:r w:rsidRPr="00781112">
              <w:rPr>
                <w:rFonts w:cs="Arial"/>
                <w:b/>
                <w:color w:val="000000" w:themeColor="text1"/>
                <w:szCs w:val="16"/>
              </w:rPr>
              <w:t>2025</w:t>
            </w:r>
          </w:p>
        </w:tc>
      </w:tr>
      <w:tr w:rsidR="00487DD1" w:rsidRPr="00781112" w14:paraId="3EC10007" w14:textId="1FF3F876" w:rsidTr="005F2FF9">
        <w:trPr>
          <w:trHeight w:val="469"/>
        </w:trPr>
        <w:tc>
          <w:tcPr>
            <w:tcW w:w="234" w:type="pct"/>
            <w:shd w:val="clear" w:color="auto" w:fill="auto"/>
            <w:vAlign w:val="center"/>
          </w:tcPr>
          <w:p w14:paraId="078AD14E" w14:textId="77777777" w:rsidR="00487DD1" w:rsidRPr="00781112" w:rsidRDefault="00487DD1" w:rsidP="00487DD1">
            <w:pPr>
              <w:rPr>
                <w:rFonts w:cs="Arial"/>
                <w:color w:val="000000" w:themeColor="text1"/>
                <w:szCs w:val="16"/>
              </w:rPr>
            </w:pPr>
            <w:r w:rsidRPr="00781112">
              <w:rPr>
                <w:rFonts w:cs="Arial"/>
                <w:color w:val="000000" w:themeColor="text1"/>
                <w:szCs w:val="16"/>
              </w:rPr>
              <w:t xml:space="preserve">Target </w:t>
            </w:r>
          </w:p>
        </w:tc>
        <w:tc>
          <w:tcPr>
            <w:tcW w:w="751" w:type="pct"/>
            <w:shd w:val="clear" w:color="auto" w:fill="auto"/>
            <w:vAlign w:val="center"/>
          </w:tcPr>
          <w:p w14:paraId="738C5681" w14:textId="308364FD" w:rsidR="00487DD1" w:rsidRPr="00781112" w:rsidRDefault="00487DD1" w:rsidP="00487DD1">
            <w:pPr>
              <w:jc w:val="center"/>
              <w:rPr>
                <w:rFonts w:cs="Arial"/>
                <w:color w:val="000000" w:themeColor="text1"/>
                <w:szCs w:val="16"/>
              </w:rPr>
            </w:pPr>
            <w:r w:rsidRPr="00781112">
              <w:rPr>
                <w:rFonts w:cs="Arial"/>
                <w:color w:val="000000" w:themeColor="text1"/>
                <w:szCs w:val="16"/>
              </w:rPr>
              <w:t>100%</w:t>
            </w:r>
          </w:p>
        </w:tc>
        <w:tc>
          <w:tcPr>
            <w:tcW w:w="803" w:type="pct"/>
          </w:tcPr>
          <w:p w14:paraId="6D8F87FA" w14:textId="469699AF"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36607C1B" w14:textId="54CF66D1"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2E85DC12" w14:textId="59499407"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60586439" w14:textId="48E3304A"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3A09B5B3" w14:textId="439C3E47" w:rsidR="00487DD1" w:rsidRPr="00781112" w:rsidRDefault="00487DD1"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p w14:paraId="3FAEB3AB" w14:textId="1EAB0E8F" w:rsidR="00D03701" w:rsidRPr="00781112" w:rsidRDefault="00F6415A" w:rsidP="004369B2">
      <w:pPr>
        <w:rPr>
          <w:color w:val="000000" w:themeColor="text1"/>
        </w:rPr>
      </w:pPr>
      <w:r w:rsidRPr="00781112">
        <w:rPr>
          <w:b/>
          <w:color w:val="000000" w:themeColor="text1"/>
        </w:rPr>
        <w:t>FFY 2020 SPP/APR Data</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0"/>
        <w:gridCol w:w="1362"/>
        <w:gridCol w:w="1408"/>
        <w:gridCol w:w="2124"/>
        <w:gridCol w:w="1265"/>
        <w:gridCol w:w="1612"/>
        <w:gridCol w:w="1559"/>
      </w:tblGrid>
      <w:tr w:rsidR="005C29F8" w:rsidRPr="00781112" w14:paraId="4D51CA61" w14:textId="77777777" w:rsidTr="008227D4">
        <w:trPr>
          <w:trHeight w:val="357"/>
          <w:tblHeader/>
        </w:trPr>
        <w:tc>
          <w:tcPr>
            <w:tcW w:w="677" w:type="pct"/>
            <w:shd w:val="clear" w:color="auto" w:fill="auto"/>
            <w:vAlign w:val="bottom"/>
          </w:tcPr>
          <w:p w14:paraId="2C2F9079" w14:textId="77777777" w:rsidR="003356F1" w:rsidRPr="00781112" w:rsidRDefault="003356F1" w:rsidP="00681BA6">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3356F1" w:rsidRPr="00781112" w:rsidRDefault="003356F1" w:rsidP="00681BA6">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235A534D" w:rsidR="003356F1"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984" w:type="pct"/>
            <w:shd w:val="clear" w:color="auto" w:fill="auto"/>
            <w:vAlign w:val="bottom"/>
          </w:tcPr>
          <w:p w14:paraId="46349806" w14:textId="5B3A7229" w:rsidR="003356F1"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86" w:type="pct"/>
            <w:shd w:val="clear" w:color="auto" w:fill="auto"/>
            <w:vAlign w:val="bottom"/>
          </w:tcPr>
          <w:p w14:paraId="789B0350" w14:textId="6C3A69C8" w:rsidR="003356F1"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747" w:type="pct"/>
            <w:shd w:val="clear" w:color="auto" w:fill="auto"/>
            <w:vAlign w:val="bottom"/>
          </w:tcPr>
          <w:p w14:paraId="1F8A5D0B" w14:textId="1CA25A33" w:rsidR="003356F1" w:rsidRPr="00781112" w:rsidRDefault="003356F1" w:rsidP="00681BA6">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3356F1" w:rsidRPr="00781112" w:rsidRDefault="003356F1"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820</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627</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92.52%</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76.46%</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5D46E0B7" w14:textId="17C9BC91" w:rsidR="00BC682D" w:rsidRPr="00781112" w:rsidRDefault="00481536" w:rsidP="00BC682D">
      <w:pPr>
        <w:rPr>
          <w:rFonts w:cs="Arial"/>
          <w:b/>
          <w:i/>
          <w:color w:val="000000" w:themeColor="text1"/>
          <w:szCs w:val="16"/>
        </w:rPr>
      </w:pPr>
      <w:r w:rsidRPr="00781112">
        <w:rPr>
          <w:rFonts w:cs="Arial"/>
          <w:b/>
          <w:color w:val="000000" w:themeColor="text1"/>
          <w:szCs w:val="16"/>
        </w:rPr>
        <w:t>Provide reasons for slippage</w:t>
      </w:r>
    </w:p>
    <w:p w14:paraId="1CA4022B" w14:textId="73E50EE0" w:rsidR="00481536" w:rsidRPr="00781112" w:rsidRDefault="002B7490" w:rsidP="007D435F">
      <w:pPr>
        <w:rPr>
          <w:rFonts w:cs="Arial"/>
          <w:color w:val="000000" w:themeColor="text1"/>
          <w:szCs w:val="16"/>
        </w:rPr>
      </w:pPr>
      <w:r w:rsidRPr="00781112">
        <w:rPr>
          <w:rFonts w:cs="Arial"/>
          <w:color w:val="000000" w:themeColor="text1"/>
          <w:szCs w:val="16"/>
        </w:rPr>
        <w:t xml:space="preserve">In Maine, children ages 3 through 5 are educated in two separate systems (Child Development Services (CDS) and Maine Department of Education (Maine DOE)). Children ages 3 through 5 served by CDS must be evaluated within 60 days, while school aged children ages 5 - 21 must be evaluated within 45 days. Therefore, the child find counts and analyses are reported separately (see text boxes below) and reasons for slippage are reported separately: </w:t>
        <w:br/>
        <w:t>CDS: Potential reasons for slippage include cancellations due to provider illness, including COVID infections and quarantines and related program closures. This prevented evaluations or observations from taking place either in the clinical or childcare settings. In addition, delays were caused by evaluators’ capacity to accommodate both new children coming into the system and rescheduling missed evaluations. Some regions of the state experienced consistently high level of COVID infection and community spread, which could be related to the shortage of evaluators in regions with high populations. Inclement weather also resulted in cancellations of evaluations, impacting the timeline in which children underwent evaluations following their parent providing consent. Additionally, there is a statewide shortage of professionals that complete psychological evaluations.</w:t>
        <w:br/>
        <w:t>DOE: Slippage may be due to the ongoing COVID pandemic, which resulted in a variety of challenges, including, but not limited to:</w:t>
        <w:br/>
        <w:t>-	ongoing and significant staff shortages in all areas</w:t>
        <w:br/>
        <w:t>-	Increased numbers of Emergency Certified teachers responsible for the completion of referrals and all related eligibility forms etc.</w:t>
        <w:br/>
        <w:t>-	Increased numbers of Emergency Certified teachers responsible for all programming components on the IEPs, as well as the provision of FAPE</w:t>
        <w:br/>
        <w:t>-	Change in Professional Development opportunities from in person to Zoom</w:t>
        <w:br/>
        <w:t>-	Administrative turnover</w:t>
        <w:br/>
        <w:t>-	Special Education staff turnover</w:t>
        <w:br/>
        <w:t>-	Related service provider turnover</w:t>
      </w:r>
    </w:p>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193</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 xml:space="preserve">In Maine, children ages 3 through 5 are educated in two separate systems (Child Development Services (CDS) and Maine Department of Education (Maine DOE)). Children ages 3 through 5 served by CDS must be evaluated within 60 days, while school aged children ages 5 - 21 must be evaluated within 45 days. Therefore, the child find counts and analyses are reported separately below. </w:t>
        <w:br/>
        <w:t/>
        <w:br/>
        <w:t>Child Development Services (CDS):</w:t>
        <w:br/>
        <w:t>(a) Number of children for whom parental consent to evaluate was received = 537</w:t>
        <w:br/>
        <w:t>(b) Number of children whose evaluations were completed within 60 days = 370</w:t>
        <w:br/>
        <w:t>Percent of children with parental consent to evaluate who were evaluated within 60 days = [ (370 / 537) * 100 ] = 68.90%</w:t>
        <w:br/>
        <w:t/>
        <w:br/>
        <w:t>Reason for Delay</w:t>
        <w:br/>
        <w:t>CDS (no delay reason was given and/or delay was caused by regional site/staff) = 60</w:t>
        <w:br/>
        <w:t>Provider = 107</w:t>
        <w:br/>
        <w:t/>
        <w:br/>
        <w:t>Days Beyond Timeline</w:t>
        <w:br/>
        <w:t>61-75 = 46</w:t>
        <w:br/>
        <w:t>Over 75 = 121</w:t>
        <w:br/>
        <w:t/>
        <w:br/>
        <w:t>Potential reasons for slippage include cancellations due to provider illness, including COVID infections and quarantines and related program closures. This prevented evaluations or observations from taking place either in the clinical or childcare settings. In addition, delays were caused by evaluators’ capacity to accommodate both new children coming into the system and rescheduling missed evaluations. Some regions of the state experienced consistently high level of COVID infection and community spread, which could be related to the shortage of evaluators in regions with high populations. Inclement weather also resulted in cancellations of evaluations, impacting the timeline in which children underwent evaluations following their parent providing consent.  Additionally, there is a statewide shortage of professionals that complete psychological evaluations.</w:t>
        <w:br/>
        <w:t/>
        <w:br/>
        <w:t>Maine DOE:</w:t>
        <w:br/>
        <w:t>(a) Number of children for whom parental consent to evaluate was received = 283</w:t>
        <w:br/>
        <w:t>(b) Number of children whose evaluations were completed within 45 school days = 257</w:t>
        <w:br/>
        <w:t>Percent of children with parental consent to evaluate who were evaluated within 60 days = [ (257 / 283) * 100 ] = 90.81%</w:t>
        <w:br/>
        <w:t/>
        <w:br/>
        <w:t xml:space="preserve">The 52 LEAs monitored received 283 parental consents for evaluation with the number of educational files reviewed as outlined below: </w:t>
        <w:br/>
        <w:t>Child; Count Number of Files</w:t>
        <w:br/>
        <w:t>0 - 49; 15</w:t>
        <w:br/>
        <w:t>50 - 199; 20</w:t>
        <w:br/>
        <w:t>200 - 400; 30</w:t>
        <w:br/>
        <w:t>More than 400; 50</w:t>
        <w:br/>
        <w:t/>
        <w:br/>
        <w:t xml:space="preserve">As indicated above, 257 evaluations were completed within the 45 school-day timeline or within an allowable extension of time pursuant to Federal Regulations and Maine Unified Special Education Regulations (MUSER). Acceptable reasons for exceptions to the timeline are those that are beyond the LEA's control, including repeated parent failure or refusal to produce the child for evaluation, excessive child absences, documented delays in making contact with a parent to schedule the evaluation, documented parent request for a delay, or the child enrolled in the LEA after parental consent was received in another LEA but before the evaluation could be completed. </w:t>
        <w:br/>
        <w:t/>
        <w:br/>
        <w:t>All students included in (a) but not included in (b) have completed initial evaluations, but they were not within the state-established timeline. The delays for these students ranged from 2 to 54 days. Reasons for these delays included lack of personnel resources to schedule and/or complete evaluation, the external evaluator failed to meet evaluation timelines, or the child was not available due to school activities.</w:t>
        <w:br/>
        <w:t/>
        <w:br/>
        <w:t>Slippage may be due to the ongoing COVID pandemic, which resulted in a variety of challenges, including, but not limited to:</w:t>
        <w:br/>
        <w:t>-	ongoing and significant staff shortages in all areas</w:t>
        <w:br/>
        <w:t>-	Increased numbers of Emergency Certified teachers responsible for the completion of referrals and all related eligibility forms etc.</w:t>
        <w:br/>
        <w:t>-	Increased numbers of Emergency Certified teachers responsible for all programming components on the IEPs, as well as the provision of FAPE</w:t>
        <w:br/>
        <w:t>-	Change in Professional Development opportunities from in person to Zoom</w:t>
        <w:br/>
        <w:t>-	Administrative turnover</w:t>
        <w:br/>
        <w:t>-	Special Education staff turnover</w:t>
        <w:br/>
        <w:t>-	Related service provider turnover</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Maine DOE used a 45 day timeframe and Child Development Services used a 60 day timeframe within which the evaluation must be conducted.</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monitoring</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Data-collection methods differ between students served under Child Development Services (CDS, which serves children ages 3-5) and school-aged students (age 5 and above).</w:t>
        <w:br/>
        <w:t/>
        <w:br/>
        <w:t xml:space="preserve">Early Childhood (ages 3-5): Data were collected for all of the 9 regional CDS sites. Data were collected for this indicator from the statewide database, Child Information Network Connection (CINC), and include all child records in the system over the entire reporting year. </w:t>
        <w:br/>
        <w:t/>
        <w:br/>
        <w:t>School Aged (ages 5-21): The data for this indicator are monitoring data. LEAs are assigned to cohorts that are monitored on a four year rotation ensuring that each LEA is monitored once every four years. Initial evaluation data were collected from the 52 LEAs that were monitored during FFY2020. B11 submissions include the following materials:</w:t>
        <w:br/>
        <w:t>-	first 10 parental consents (initial referrals only)</w:t>
        <w:br/>
        <w:t>-	date stamped, or otherwise noted, when received in SAU</w:t>
        <w:br/>
        <w:t>-	cover page of each evaluation documented on the consent forms</w:t>
        <w:br/>
        <w:t>-	each eval date stamped, or otherwise noted, when received in SAU</w:t>
        <w:br/>
        <w:t>-	school calendars which clearly outline “student” days versus “non-student” days, including snow days or alternate learning day related to COVID, etc.</w:t>
        <w:br/>
        <w:t>-	evaluation tracking tool</w:t>
        <w:br/>
        <w:t>-	eligibility forms used to determine disability category</w:t>
        <w:br/>
        <w:t>-	corresponding written notices</w:t>
        <w:br/>
        <w:t/>
        <w:br/>
        <w:t>The monitoring period is selected to ensure there are at least 45 school days between the date parental consent was received and the date evaluations were completed prior to submission due date. Data collected on students whose files are randomly selected for on site review and received initial evaluation during the 2020-21 school year are identical to that submitted for desk audit; signed parental consent received by the LEA, completed evaluations and school calendar. Data are reviewed by the public school program monitoring team and checked for accuracy and inter-observer reliability.</w:t>
        <w:br/>
        <w:t/>
        <w:br/>
        <w:t xml:space="preserve">As follow up to Desk Audit, all LEAs in cohort participated in a review with representatives from the Supervision and Monitoring Team. Due to COVID restrictions, many of these meetings were done virtually. The goal of this follow up meeting was to review and verify information on the LEAs self-assessment and to generate their Corrective Action Plan. </w:t>
      </w:r>
    </w:p>
    <w:p w14:paraId="4F981BFF" w14:textId="77777777" w:rsidR="00C86164" w:rsidRPr="00781112" w:rsidRDefault="00C86164" w:rsidP="00C86164">
      <w:pPr>
        <w:rPr>
          <w:rFonts w:cs="Arial"/>
          <w:b/>
          <w:color w:val="000000" w:themeColor="text1"/>
          <w:szCs w:val="16"/>
        </w:rPr>
      </w:pPr>
      <w:bookmarkStart w:id="75" w:name="_Toc381956339"/>
      <w:bookmarkStart w:id="76" w:name="_Toc384383357"/>
      <w:bookmarkStart w:id="77" w:name="_Toc392159325"/>
      <w:r w:rsidRPr="00781112">
        <w:rPr>
          <w:rFonts w:cs="Arial"/>
          <w:b/>
          <w:color w:val="000000" w:themeColor="text1"/>
          <w:szCs w:val="16"/>
        </w:rPr>
        <w:t>Provide additional information about this indicator (optional)</w:t>
      </w:r>
    </w:p>
    <w:p w14:paraId="4D7330D9" w14:textId="5E39C58C" w:rsidR="00326C0B" w:rsidRPr="00781112" w:rsidRDefault="002B7490" w:rsidP="007D435F">
      <w:pPr>
        <w:rPr>
          <w:rFonts w:cs="Arial"/>
          <w:color w:val="000000" w:themeColor="text1"/>
          <w:szCs w:val="16"/>
        </w:rPr>
      </w:pPr>
      <w:r w:rsidRPr="00781112">
        <w:rPr>
          <w:rFonts w:cs="Arial"/>
          <w:color w:val="000000" w:themeColor="text1"/>
          <w:szCs w:val="16"/>
        </w:rPr>
        <w:t/>
      </w:r>
    </w:p>
    <w:p w14:paraId="53B75C36" w14:textId="77777777" w:rsidR="00DE2E22" w:rsidRPr="00781112" w:rsidRDefault="00DE2E22" w:rsidP="004369B2">
      <w:pPr>
        <w:rPr>
          <w:color w:val="000000" w:themeColor="text1"/>
        </w:rPr>
      </w:pPr>
    </w:p>
    <w:p w14:paraId="3221D503" w14:textId="17F90429"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1PFFYNCFINDINGS"/>
      </w:tblPr>
      <w:tblGrid>
        <w:gridCol w:w="2649"/>
        <w:gridCol w:w="2779"/>
        <w:gridCol w:w="2656"/>
        <w:gridCol w:w="2706"/>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56</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56</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47215EF4" w:rsidR="009A755E" w:rsidRPr="00781112" w:rsidRDefault="00F6415A" w:rsidP="004369B2">
      <w:pPr>
        <w:rPr>
          <w:color w:val="000000" w:themeColor="text1"/>
        </w:rPr>
      </w:pPr>
      <w:r w:rsidRPr="00781112">
        <w:rPr>
          <w:b/>
          <w:color w:val="000000" w:themeColor="text1"/>
        </w:rPr>
        <w:t>FFY 2019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Early Childhood (ages 3-5): Children Evaluated Within 60 Days:</w:t>
        <w:br/>
        <w:t>Prior to considering any finding from FFY 2019 corrected, CDS State IEU verified that each regional site with noncompliance: (1) was correctly implementing 34 CFR §§300.301(c)(1) (achieved 100% compliance) and 34 CFR §§300.301(d) (exceptions to the timeline) based on updated data such as data subsequently collected through on-site monitoring or a State data system; and (2) had corrected each individual case of noncompliance, unless the child was no longer within the jurisdiction of the regional site, consistent with OSEP Memorandum 09-02, dated October 17, 2008 (OSEP Memo 09-02).</w:t>
        <w:br/>
        <w:t/>
        <w:br/>
        <w:t xml:space="preserve">School-Aged (ages 5-21): Children aged 5-20 Evaluated within the State-Established Timeline of 45 Days: </w:t>
        <w:br/>
        <w:t>Prior to considering any finding from FFY2019 corrected, Maine DOE verified that each LEA with noncompliance: (1) was correctly implementing 34 CFR §§300.320(b) and 300.301(c)(1), (i.e., achieved 100% compliance) based on updated data subsequently collected through corrective activities; and (2) has corrected each individual case of noncompliance, unless the child is no longer within the jurisdiction of the LEA, consistent with OSEP Memorandum 09-02, dated October 17, 2008.</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Early Childhood (ages 3-5): Children Evaluated Within 60 Days:</w:t>
        <w:br/>
        <w:t>CDS was able to verify that an evaluation and initial IEP meeting were conducted for each child aged 3-5 for whom consent was received, although late. Specifically, to verify that each regional site was correctly implementing the requirements, CDS State IEU reviewed subsequent updated data from each regional site. The time period for which each program was required to demonstrate 100% compliance varied based on the level of noncompliance identified in the program. In addition to verifying correction according to the OSEP 09-02 Memorandum, CDS State IEU also complied with the requirements to account for all instances of noncompliance identified through its database as well as on-site monitoring and other monitoring procedures; identify the level, location (regional site), and root cause(s) of all noncompliance; and require any regional site with policies, procedures, or practices that contributed to the noncompliance to revise those policies, procedures, or practices and submit corrective action plans (CAPs). CDS State IEU and the regional site created the CAPs. These activities ranged from providing staff training, attending required TA, submitting monthly reports to the CDS State IEU and completing CAP check-in calls with the CDS State IEU.</w:t>
        <w:br/>
        <w:t/>
        <w:br/>
        <w:t>School-Aged (ages 5-21): Children aged 5-21 Evaluated within the State-Established Timeline of 45 Days:</w:t>
        <w:br/>
        <w:t>To verify that each LEA correctly implemented the requirements, Maine DOE reviewed and verified subsequent updated data submitted by the LEAs through corrective activities. LEAs were required to develop a plan for monitoring in the LEA to meet initial evaluation timelines. LEAs were to provide training on Child Find requirements and timelines, including the requirement to conduct an initial evaluation within 45 school days of receipt of parental consent to evaluate, and to use the LEAs timeline monitoring plan. LEAs were required to submit the following evidence: 1) outline of training, attendance at training, training plan, and 2) five parental consent to evaluate forms and evidence of date evaluation(s) received by the LEA. The time period within which each LEA with noncompliance was required to demonstrate 100% compliance was within one year of identification of noncompliance. All findings of noncompliance were demonstrated and verified as meeting 100% compliance within the one year of the identification of non-compliance, unless the child was no longer under the jurisdiction of the LEA, consistent with OSEP Memorandum 09-02, dated October 17, 2008. The monitoring team was able to verify that the evaluations were conducted for each school-aged 5-20 child for whom consent was received, although outside of the required 45 school day timeline. Evidence for the findings of noncompliance, including paper and digital copies of evaluations and written notices, were submitted to the Maine DOE and the content was verified by members of the monitoring team ensuring all evaluations met the criteria for Indicator 11.</w:t>
      </w:r>
    </w:p>
    <w:p w14:paraId="47B6C111" w14:textId="77777777" w:rsidR="008227D4" w:rsidRPr="00781112" w:rsidRDefault="008227D4" w:rsidP="004369B2">
      <w:pPr>
        <w:rPr>
          <w:color w:val="000000" w:themeColor="text1"/>
        </w:rPr>
      </w:pPr>
    </w:p>
    <w:p w14:paraId="3D219E0E" w14:textId="55B8A3B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276E84C5"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5AB62777" w14:textId="29B5602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1914F665" w14:textId="53788CBE"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543D4553" w14:textId="411E0F5D"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1816F3D1" w14:textId="77777777" w:rsidTr="003968A6">
        <w:tc>
          <w:tcPr>
            <w:tcW w:w="988" w:type="pct"/>
            <w:shd w:val="clear" w:color="auto" w:fill="auto"/>
          </w:tcPr>
          <w:p w14:paraId="1177FA9A" w14:textId="73A2A90B" w:rsidR="009A755E" w:rsidRPr="00781112" w:rsidRDefault="00596F83" w:rsidP="00A018D4">
            <w:pPr>
              <w:jc w:val="center"/>
              <w:rPr>
                <w:rFonts w:cs="Arial"/>
                <w:color w:val="000000" w:themeColor="text1"/>
                <w:szCs w:val="16"/>
              </w:rPr>
            </w:pPr>
            <w:r w:rsidRPr="00781112">
              <w:rPr>
                <w:rFonts w:cs="Arial"/>
                <w:color w:val="000000" w:themeColor="text1"/>
                <w:szCs w:val="16"/>
              </w:rPr>
              <w:lastRenderedPageBreak/>
              <w:t/>
            </w:r>
          </w:p>
        </w:tc>
        <w:tc>
          <w:tcPr>
            <w:tcW w:w="1461" w:type="pct"/>
            <w:shd w:val="clear" w:color="auto" w:fill="auto"/>
          </w:tcPr>
          <w:p w14:paraId="42D596E0" w14:textId="4BE898FD" w:rsidR="009A755E" w:rsidRPr="00781112" w:rsidRDefault="00596F83">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1709DA4E" w14:textId="03D6E40F"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7008AE63" w14:textId="0E87CC18"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6B4A8AF5" w14:textId="77777777" w:rsidTr="003968A6">
        <w:tc>
          <w:tcPr>
            <w:tcW w:w="988" w:type="pct"/>
            <w:shd w:val="clear" w:color="auto" w:fill="auto"/>
          </w:tcPr>
          <w:p w14:paraId="43946979" w14:textId="506054A6" w:rsidR="009A755E" w:rsidRPr="00781112" w:rsidRDefault="00596F83"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2F9F2AEA" w14:textId="4F1403DB" w:rsidR="009A755E" w:rsidRPr="00781112" w:rsidRDefault="00596F83">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083E1253" w14:textId="465F168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5051C049" w14:textId="54F55515" w:rsidR="009A755E" w:rsidRPr="00781112" w:rsidRDefault="002B7490">
            <w:pPr>
              <w:jc w:val="center"/>
              <w:rPr>
                <w:rFonts w:cs="Arial"/>
                <w:noProof/>
                <w:color w:val="000000" w:themeColor="text1"/>
                <w:szCs w:val="16"/>
              </w:rPr>
            </w:pPr>
            <w:r w:rsidRPr="00781112">
              <w:rPr>
                <w:rFonts w:cs="Arial"/>
                <w:color w:val="000000" w:themeColor="text1"/>
                <w:szCs w:val="16"/>
              </w:rPr>
              <w:t/>
            </w:r>
          </w:p>
        </w:tc>
      </w:tr>
    </w:tbl>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br/>
        <w:t/>
        <w:br/>
        <w:t>If the State did not identify any findings of noncompliance in FFY 2019, although its FFY 2019 data reflect less than 100% compliance, provide an explanation of why the State did not identify any findings of noncompliance in FFY 2019.</w:t>
      </w:r>
    </w:p>
    <w:p w14:paraId="314020BE" w14:textId="77777777" w:rsidR="009F69E7" w:rsidRPr="00781112" w:rsidRDefault="009F69E7" w:rsidP="004E2151">
      <w:pPr>
        <w:rPr>
          <w:rFonts w:cs="Arial"/>
          <w:color w:val="000000" w:themeColor="text1"/>
          <w:szCs w:val="16"/>
        </w:rPr>
      </w:pPr>
    </w:p>
    <w:p w14:paraId="35EEEBCC" w14:textId="55E83DC0" w:rsidR="004E2151" w:rsidRPr="00781112" w:rsidRDefault="004E2151" w:rsidP="004369B2">
      <w:pPr>
        <w:rPr>
          <w:b/>
          <w:color w:val="000000" w:themeColor="text1"/>
        </w:rPr>
      </w:pPr>
      <w:r w:rsidRPr="00781112">
        <w:rPr>
          <w:b/>
          <w:color w:val="000000" w:themeColor="text1"/>
        </w:rPr>
        <w:t>Response to actions required in FFY 2019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Maine has reported on the status of correction of noncompliance identified in FFY 2019 for this indicator.</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2B7490" w:rsidP="00212954">
      <w:pPr>
        <w:rPr>
          <w:rFonts w:cs="Arial"/>
          <w:color w:val="000000" w:themeColor="text1"/>
          <w:szCs w:val="16"/>
        </w:rPr>
      </w:pPr>
      <w:r w:rsidRPr="00781112">
        <w:rPr>
          <w:rFonts w:cs="Arial"/>
          <w:color w:val="000000" w:themeColor="text1"/>
          <w:szCs w:val="16"/>
        </w:rPr>
        <w:t>In its description of correction of noncompliance, the State referenced an incorrect regulatory citation. Therefore, the State did not demonstrate that the LEA corrected the findings of noncompliance identified in FFY 2019 because it did not report that it verified correction of those findings consistent with the requirements in OSEP Memo 09-02. Specifically, the State did not report that it verified that each LEA with noncompliance identified in FFY 2019 is correctly implementing the specific regulatory requirements (i.e., achieved 100% compliance) based on a review of updated data such as data subsequently collected through on-site monitoring or a State data system.</w:t>
      </w:r>
    </w:p>
    <w:p w14:paraId="140652C1" w14:textId="064683E6" w:rsidR="007F5071" w:rsidRPr="00781112" w:rsidRDefault="00C22B92" w:rsidP="00123D76">
      <w:pPr>
        <w:pStyle w:val="Heading2"/>
      </w:pPr>
      <w:r w:rsidRPr="00781112">
        <w:lastRenderedPageBreak/>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75"/>
      <w:bookmarkEnd w:id="76"/>
      <w:bookmarkEnd w:id="77"/>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78" w:name="_Toc384383358"/>
      <w:bookmarkStart w:id="79"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7777777"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77777777" w:rsidR="00704E6A" w:rsidRPr="00781112" w:rsidRDefault="00704E6A"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B505E64" w14:textId="13EC4722"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80" w:name="_Toc384383359"/>
      <w:bookmarkStart w:id="81" w:name="_Toc392159327"/>
      <w:bookmarkEnd w:id="78"/>
      <w:bookmarkEnd w:id="79"/>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2005</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97.00%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80"/>
          <w:bookmarkEnd w:id="81"/>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8E31C4">
            <w:pP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99.67%</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81.62%</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80.00%</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89.72%</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88.44%</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504"/>
        <w:gridCol w:w="1621"/>
        <w:gridCol w:w="1733"/>
        <w:gridCol w:w="1733"/>
        <w:gridCol w:w="1733"/>
        <w:gridCol w:w="1733"/>
        <w:gridCol w:w="1733"/>
      </w:tblGrid>
      <w:tr w:rsidR="00AF574F" w:rsidRPr="00781112" w14:paraId="41D3AE7A" w14:textId="578794F0" w:rsidTr="005F2FF9">
        <w:trPr>
          <w:trHeight w:val="328"/>
        </w:trPr>
        <w:tc>
          <w:tcPr>
            <w:tcW w:w="207" w:type="pct"/>
            <w:tcBorders>
              <w:bottom w:val="single" w:sz="4" w:space="0" w:color="auto"/>
            </w:tcBorders>
            <w:shd w:val="clear" w:color="auto" w:fill="auto"/>
          </w:tcPr>
          <w:p w14:paraId="7786D02D" w14:textId="77777777" w:rsidR="00AF574F" w:rsidRPr="00781112" w:rsidRDefault="00AF574F" w:rsidP="00AF574F">
            <w:pPr>
              <w:jc w:val="center"/>
              <w:rPr>
                <w:b/>
                <w:color w:val="000000" w:themeColor="text1"/>
              </w:rPr>
            </w:pPr>
            <w:r w:rsidRPr="00781112">
              <w:rPr>
                <w:b/>
                <w:color w:val="000000" w:themeColor="text1"/>
              </w:rPr>
              <w:t>FFY</w:t>
            </w:r>
          </w:p>
        </w:tc>
        <w:tc>
          <w:tcPr>
            <w:tcW w:w="753" w:type="pct"/>
            <w:shd w:val="clear" w:color="auto" w:fill="auto"/>
          </w:tcPr>
          <w:p w14:paraId="09ED5838" w14:textId="77777777" w:rsidR="00AF574F" w:rsidRPr="00781112" w:rsidRDefault="00AF574F" w:rsidP="00AF574F">
            <w:pPr>
              <w:jc w:val="center"/>
              <w:rPr>
                <w:b/>
                <w:color w:val="000000" w:themeColor="text1"/>
              </w:rPr>
            </w:pPr>
            <w:r w:rsidRPr="00781112">
              <w:rPr>
                <w:b/>
                <w:color w:val="000000" w:themeColor="text1"/>
              </w:rPr>
              <w:t>2020</w:t>
            </w:r>
          </w:p>
        </w:tc>
        <w:tc>
          <w:tcPr>
            <w:tcW w:w="808" w:type="pct"/>
          </w:tcPr>
          <w:p w14:paraId="0769903C" w14:textId="05A227DB" w:rsidR="00AF574F" w:rsidRPr="00781112" w:rsidRDefault="00AF574F" w:rsidP="00AF574F">
            <w:pPr>
              <w:jc w:val="center"/>
              <w:rPr>
                <w:b/>
                <w:color w:val="000000" w:themeColor="text1"/>
              </w:rPr>
            </w:pPr>
            <w:r w:rsidRPr="00781112">
              <w:rPr>
                <w:rFonts w:cs="Arial"/>
                <w:b/>
                <w:color w:val="000000" w:themeColor="text1"/>
                <w:szCs w:val="16"/>
              </w:rPr>
              <w:t>2021</w:t>
            </w:r>
          </w:p>
        </w:tc>
        <w:tc>
          <w:tcPr>
            <w:tcW w:w="808" w:type="pct"/>
          </w:tcPr>
          <w:p w14:paraId="77CF077D" w14:textId="38DFC132" w:rsidR="00AF574F" w:rsidRPr="00781112" w:rsidRDefault="00AF574F" w:rsidP="00AF574F">
            <w:pPr>
              <w:jc w:val="center"/>
              <w:rPr>
                <w:b/>
                <w:color w:val="000000" w:themeColor="text1"/>
              </w:rPr>
            </w:pPr>
            <w:r w:rsidRPr="00781112">
              <w:rPr>
                <w:rFonts w:cs="Arial"/>
                <w:b/>
                <w:color w:val="000000" w:themeColor="text1"/>
                <w:szCs w:val="16"/>
              </w:rPr>
              <w:t>2022</w:t>
            </w:r>
          </w:p>
        </w:tc>
        <w:tc>
          <w:tcPr>
            <w:tcW w:w="808" w:type="pct"/>
          </w:tcPr>
          <w:p w14:paraId="5C5F415E" w14:textId="7B035D53" w:rsidR="00AF574F" w:rsidRPr="00781112" w:rsidRDefault="00AF574F" w:rsidP="00AF574F">
            <w:pPr>
              <w:jc w:val="center"/>
              <w:rPr>
                <w:b/>
                <w:color w:val="000000" w:themeColor="text1"/>
              </w:rPr>
            </w:pPr>
            <w:r w:rsidRPr="00781112">
              <w:rPr>
                <w:rFonts w:cs="Arial"/>
                <w:b/>
                <w:color w:val="000000" w:themeColor="text1"/>
                <w:szCs w:val="16"/>
              </w:rPr>
              <w:t>2023</w:t>
            </w:r>
          </w:p>
        </w:tc>
        <w:tc>
          <w:tcPr>
            <w:tcW w:w="808" w:type="pct"/>
          </w:tcPr>
          <w:p w14:paraId="4D5B8FD6" w14:textId="4B2021E7" w:rsidR="00AF574F" w:rsidRPr="00781112" w:rsidRDefault="00AF574F" w:rsidP="00AF574F">
            <w:pPr>
              <w:jc w:val="center"/>
              <w:rPr>
                <w:b/>
                <w:color w:val="000000" w:themeColor="text1"/>
              </w:rPr>
            </w:pPr>
            <w:r w:rsidRPr="00781112">
              <w:rPr>
                <w:rFonts w:cs="Arial"/>
                <w:b/>
                <w:color w:val="000000" w:themeColor="text1"/>
                <w:szCs w:val="16"/>
              </w:rPr>
              <w:t>2024</w:t>
            </w:r>
          </w:p>
        </w:tc>
        <w:tc>
          <w:tcPr>
            <w:tcW w:w="808" w:type="pct"/>
          </w:tcPr>
          <w:p w14:paraId="4CA9D2AB" w14:textId="2AC1725C" w:rsidR="00AF574F" w:rsidRPr="00781112" w:rsidRDefault="00AF574F" w:rsidP="00AF574F">
            <w:pPr>
              <w:jc w:val="center"/>
              <w:rPr>
                <w:b/>
                <w:color w:val="000000" w:themeColor="text1"/>
              </w:rPr>
            </w:pPr>
            <w:r w:rsidRPr="00781112">
              <w:rPr>
                <w:rFonts w:cs="Arial"/>
                <w:b/>
                <w:color w:val="000000" w:themeColor="text1"/>
                <w:szCs w:val="16"/>
              </w:rPr>
              <w:t>2025</w:t>
            </w:r>
          </w:p>
        </w:tc>
      </w:tr>
      <w:tr w:rsidR="00AF574F" w:rsidRPr="00781112" w14:paraId="2B267817" w14:textId="2A03C05D" w:rsidTr="005F2FF9">
        <w:trPr>
          <w:trHeight w:val="335"/>
        </w:trPr>
        <w:tc>
          <w:tcPr>
            <w:tcW w:w="207" w:type="pct"/>
            <w:shd w:val="clear" w:color="auto" w:fill="auto"/>
            <w:vAlign w:val="center"/>
          </w:tcPr>
          <w:p w14:paraId="70D956A8" w14:textId="77777777" w:rsidR="00AF574F" w:rsidRPr="00781112" w:rsidRDefault="00AF574F" w:rsidP="00AF574F">
            <w:pPr>
              <w:rPr>
                <w:rFonts w:cs="Arial"/>
                <w:color w:val="000000" w:themeColor="text1"/>
                <w:szCs w:val="16"/>
              </w:rPr>
            </w:pPr>
            <w:r w:rsidRPr="00781112">
              <w:rPr>
                <w:rFonts w:cs="Arial"/>
                <w:color w:val="000000" w:themeColor="text1"/>
                <w:szCs w:val="16"/>
              </w:rPr>
              <w:lastRenderedPageBreak/>
              <w:t xml:space="preserve">Target </w:t>
            </w:r>
          </w:p>
        </w:tc>
        <w:tc>
          <w:tcPr>
            <w:tcW w:w="753" w:type="pct"/>
            <w:shd w:val="clear" w:color="auto" w:fill="auto"/>
            <w:vAlign w:val="center"/>
          </w:tcPr>
          <w:p w14:paraId="5CDE7127" w14:textId="59D1386F" w:rsidR="00AF574F" w:rsidRPr="00781112" w:rsidRDefault="00AF574F" w:rsidP="00AF574F">
            <w:pPr>
              <w:jc w:val="center"/>
              <w:rPr>
                <w:rFonts w:cs="Arial"/>
                <w:color w:val="000000" w:themeColor="text1"/>
                <w:szCs w:val="16"/>
              </w:rPr>
            </w:pPr>
            <w:r w:rsidRPr="00781112">
              <w:rPr>
                <w:rFonts w:cs="Arial"/>
                <w:color w:val="000000" w:themeColor="text1"/>
                <w:szCs w:val="16"/>
              </w:rPr>
              <w:t>100%</w:t>
            </w:r>
          </w:p>
        </w:tc>
        <w:tc>
          <w:tcPr>
            <w:tcW w:w="808" w:type="pct"/>
          </w:tcPr>
          <w:p w14:paraId="6CF78C3F" w14:textId="1B45F3AE"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6FCC2C45" w14:textId="5131688B"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06CB35C0" w14:textId="66848221"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3CD9C2C5" w14:textId="2066089A"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0911C601" w14:textId="5D8A006D" w:rsidR="00AF574F" w:rsidRPr="00781112" w:rsidRDefault="00AF574F"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6A719208" w:rsidR="00634AD8" w:rsidRPr="00781112" w:rsidRDefault="00F6415A" w:rsidP="004369B2">
      <w:pPr>
        <w:rPr>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222"/>
        <w:gridCol w:w="1568"/>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297</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34</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137</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53</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12</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5C29F8" w:rsidRPr="00781112" w14:paraId="666B6B4E" w14:textId="2C1DC9A0" w:rsidTr="005F2FF9">
        <w:trPr>
          <w:trHeight w:val="340"/>
          <w:tblHeader/>
        </w:trPr>
        <w:tc>
          <w:tcPr>
            <w:tcW w:w="831" w:type="pct"/>
            <w:shd w:val="clear" w:color="auto" w:fill="auto"/>
          </w:tcPr>
          <w:p w14:paraId="5A0321EA" w14:textId="34C57852" w:rsidR="00704E6A" w:rsidRPr="00781112" w:rsidRDefault="00694A39" w:rsidP="009447A3">
            <w:pP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704E6A" w:rsidRPr="00781112" w:rsidRDefault="00704E6A" w:rsidP="00681BA6">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704E6A" w:rsidRPr="0075451F" w:rsidRDefault="00704E6A" w:rsidP="00681BA6">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tcPr>
          <w:p w14:paraId="58F547FF" w14:textId="21FC1CF7" w:rsidR="00704E6A"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95" w:type="pct"/>
            <w:shd w:val="clear" w:color="auto" w:fill="auto"/>
          </w:tcPr>
          <w:p w14:paraId="36BD2BCA" w14:textId="5FF00453" w:rsidR="00704E6A"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595" w:type="pct"/>
            <w:shd w:val="clear" w:color="auto" w:fill="auto"/>
          </w:tcPr>
          <w:p w14:paraId="0030B6C4" w14:textId="15E2C0C4" w:rsidR="00704E6A"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595" w:type="pct"/>
            <w:shd w:val="clear" w:color="auto" w:fill="auto"/>
          </w:tcPr>
          <w:p w14:paraId="16905A6D" w14:textId="19A3632B" w:rsidR="00704E6A" w:rsidRPr="00781112" w:rsidRDefault="00704E6A" w:rsidP="00681BA6">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704E6A" w:rsidRPr="00781112" w:rsidRDefault="00704E6A"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137</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198</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88.44%</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69.19%</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6E881701" w14:textId="244CA8FB" w:rsidR="001F2870" w:rsidRPr="00781112" w:rsidRDefault="00326C0B" w:rsidP="001F2870">
      <w:pPr>
        <w:rPr>
          <w:rFonts w:cs="Arial"/>
          <w:b/>
          <w:color w:val="000000" w:themeColor="text1"/>
          <w:szCs w:val="16"/>
        </w:rPr>
      </w:pPr>
      <w:r w:rsidRPr="00781112">
        <w:rPr>
          <w:rFonts w:cs="Arial"/>
          <w:b/>
          <w:color w:val="000000" w:themeColor="text1"/>
          <w:szCs w:val="16"/>
        </w:rPr>
        <w:t>Provide reasons for slippage, if applicable</w:t>
      </w:r>
    </w:p>
    <w:p w14:paraId="534101C3" w14:textId="6012D052" w:rsidR="00326C0B" w:rsidRPr="00781112" w:rsidRDefault="002B7490" w:rsidP="007D435F">
      <w:pPr>
        <w:rPr>
          <w:rFonts w:cs="Arial"/>
          <w:color w:val="000000" w:themeColor="text1"/>
          <w:szCs w:val="16"/>
        </w:rPr>
      </w:pPr>
      <w:r w:rsidRPr="00781112">
        <w:rPr>
          <w:rFonts w:cs="Arial"/>
          <w:color w:val="000000" w:themeColor="text1"/>
          <w:szCs w:val="16"/>
        </w:rPr>
        <w:t xml:space="preserve">Contributing factors for slippage may include provider shortages due to staffing challenges, with some related to intermittent COVID infections and quarantines. Delays in IEPs being implemented before a child’s third birthday are often associated with delays in the availability of providers to complete evaluations and subsequently schedule an IEP meeting to determine eligibility and formulate an IEP. Additionally, at the beginning of the COVID-19 pandemic, in person evaluations were not possible, and documentation in the data system indicates that CDS personnel kept child files open until evaluations could be completed either in person or remotely. In some cases, remote evaluations were attempted, but the child’s challenges engaging in this method resulted in insufficient results to determine eligibility and caused delays in the IEP team’s ability to convene for an eligibility meeting prior to the child’s third birthday. Additionally, inclement weather resulted in cancellations of evaluations and meetings, impacting the timeline in which children’s IEPs are able to be written.  </w:t>
      </w:r>
    </w:p>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61</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Days beyond;       Number of Children</w:t>
        <w:br/>
        <w:t xml:space="preserve">     0-15 Days;                  16</w:t>
        <w:br/>
        <w:t xml:space="preserve">    16-30 Days;                14</w:t>
        <w:br/>
        <w:t xml:space="preserve">    31-60 Days;                14</w:t>
        <w:br/>
        <w:t xml:space="preserve">     60+ Days;                  17</w:t>
        <w:br/>
        <w:t/>
        <w:br/>
        <w:t>Reasons for Delay        Number of Children</w:t>
        <w:br/>
        <w:t/>
        <w:br/>
        <w:t>CDS                                        33</w:t>
        <w:br/>
        <w:t>Contracted provider           28</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2B7490" w:rsidP="006A01BD">
      <w:pPr>
        <w:rPr>
          <w:bCs/>
          <w:color w:val="000000" w:themeColor="text1"/>
        </w:rPr>
      </w:pPr>
      <w:bookmarkStart w:id="85" w:name="_Hlk20318414"/>
      <w:r w:rsidRPr="00781112">
        <w:rPr>
          <w:bCs/>
          <w:color w:val="000000" w:themeColor="text1"/>
        </w:rPr>
        <w:t/>
      </w:r>
      <w:bookmarkEnd w:id="85"/>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monitoring</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Data were collected using the most recently available data from a date range of 3/1/2021-6/30/2021. Findings of noncompliance were made based on a review of these data. This report includes all children referred to Part B from Part C after having received early intervention services prior to age 3.</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2B7490" w:rsidP="007D435F">
      <w:pPr>
        <w:rPr>
          <w:rFonts w:cs="Arial"/>
          <w:color w:val="000000" w:themeColor="text1"/>
          <w:szCs w:val="16"/>
        </w:rPr>
      </w:pPr>
      <w:r w:rsidRPr="00781112">
        <w:rPr>
          <w:rFonts w:cs="Arial"/>
          <w:color w:val="000000" w:themeColor="text1"/>
          <w:szCs w:val="16"/>
        </w:rPr>
        <w:t/>
      </w:r>
    </w:p>
    <w:p w14:paraId="4E94D02C" w14:textId="77777777" w:rsidR="009C5AE7" w:rsidRPr="00781112" w:rsidRDefault="009C5AE7" w:rsidP="004369B2">
      <w:pPr>
        <w:rPr>
          <w:color w:val="000000" w:themeColor="text1"/>
        </w:rPr>
      </w:pPr>
    </w:p>
    <w:p w14:paraId="7740DC21" w14:textId="3709E629"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2PFFYNCFINDINGS"/>
      </w:tblPr>
      <w:tblGrid>
        <w:gridCol w:w="2649"/>
        <w:gridCol w:w="2779"/>
        <w:gridCol w:w="2656"/>
        <w:gridCol w:w="2706"/>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26</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26</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11CF8D43" w:rsidR="009A755E" w:rsidRPr="00781112" w:rsidRDefault="00F6415A" w:rsidP="004369B2">
      <w:pPr>
        <w:rPr>
          <w:color w:val="000000" w:themeColor="text1"/>
        </w:rPr>
      </w:pPr>
      <w:r w:rsidRPr="00781112">
        <w:rPr>
          <w:b/>
          <w:color w:val="000000" w:themeColor="text1"/>
        </w:rPr>
        <w:t>FFY 2019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 xml:space="preserve">Prior to considering any finding from FFY 2019 corrected, CDS State IEU verified that each regional site with noncompliance: (1) was correctly implementing 34 CFR §§300.124 as evidenced by updated data subsequently collected through the State data system; and (2) had corrected each individual case of noncompliance, unless the child was no longer within the jurisdiction of the regional site, consistent with OSEP Memorandum 09-02, dated October 17, 2008 (OSEP Memo 09-02). A review of children in the data system during the reporting period showed that children that previously out of compliance during the prior year’s reporting period have since either been withdrawn by parents, moved out of the SAU’s catchment area, or have had an Individualized Education Plan implemented. </w:t>
        <w:br/>
        <w:t>A Corrective Action Plan was drafted between the State IEU and the 9 regional sites. To ensure that this oversight has occurred, the State IEU sent a report to regional site directors at the beginning of each month, requiring a response that indicated all children’s IEPs that appeared on the statewide report had been reviewed and finalized.</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 xml:space="preserve">Based on a review of individual child information in the state data system for the previous reporting year (7/1/2019-6/30/2020), the state was able to verify that each child referred by Part C, prior to age 3, who was found eligible for Part B, subsequently had an IEP developed, although late, unless the child was removed from the program by their parent or moved out of state. </w:t>
        <w:br/>
        <w:t xml:space="preserve">Delays in IEPs being implemented before a child’s third birthday are often associated with delays in the availability of providers to complete evaluations and subsequently schedule an IEP meeting to determine eligibility and formulate an IEP. Additionally, at the beginning of the COVID-19 pandemic, in person evaluations were not possible, and documentation in the data system indicates that CDS personnel kept child files open until evaluations could be completed either in person or remotely.  </w:t>
      </w:r>
    </w:p>
    <w:p w14:paraId="1A909BBB" w14:textId="77777777" w:rsidR="00455889" w:rsidRPr="00781112" w:rsidRDefault="00455889" w:rsidP="004369B2">
      <w:pPr>
        <w:rPr>
          <w:color w:val="000000" w:themeColor="text1"/>
        </w:rPr>
      </w:pPr>
    </w:p>
    <w:p w14:paraId="1C75EC2F" w14:textId="3CE1BDB8"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3B380CB1"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69625405" w14:textId="789965C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14:paraId="7C3E37A7" w14:textId="61202FB3"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79E9FAD3" w14:textId="3428603A"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7F75F2C7" w14:textId="77777777" w:rsidTr="00AB0D6A">
        <w:tc>
          <w:tcPr>
            <w:tcW w:w="1016" w:type="pct"/>
            <w:shd w:val="clear" w:color="auto" w:fill="auto"/>
          </w:tcPr>
          <w:p w14:paraId="147AA631" w14:textId="76843337" w:rsidR="009A755E" w:rsidRPr="00781112" w:rsidRDefault="00A5601C" w:rsidP="00A018D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404653A8" w14:textId="163A8B38"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14:paraId="6504342A" w14:textId="13575C8A"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6D520AD1" w14:textId="4947031C"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D4810B4" w14:textId="77777777" w:rsidTr="00AB0D6A">
        <w:tc>
          <w:tcPr>
            <w:tcW w:w="1016" w:type="pct"/>
            <w:shd w:val="clear" w:color="auto" w:fill="auto"/>
          </w:tcPr>
          <w:p w14:paraId="6AEFAA10" w14:textId="16E2E3E6" w:rsidR="009A755E" w:rsidRPr="00781112" w:rsidRDefault="00A5601C" w:rsidP="00A018D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075C05B4" w14:textId="1672B0A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14:paraId="70536E6E" w14:textId="5BE8198D"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4BC059F6" w14:textId="5DCA531E" w:rsidR="009A755E" w:rsidRPr="00781112" w:rsidRDefault="002B7490">
            <w:pPr>
              <w:jc w:val="center"/>
              <w:rPr>
                <w:rFonts w:cs="Arial"/>
                <w:noProof/>
                <w:color w:val="000000" w:themeColor="text1"/>
                <w:szCs w:val="16"/>
              </w:rPr>
            </w:pPr>
            <w:r w:rsidRPr="00781112">
              <w:rPr>
                <w:rFonts w:cs="Arial"/>
                <w:color w:val="000000" w:themeColor="text1"/>
                <w:szCs w:val="16"/>
              </w:rPr>
              <w:t/>
            </w:r>
          </w:p>
        </w:tc>
      </w:tr>
    </w:tbl>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br/>
        <w:t/>
        <w:br/>
        <w:t>If the State did not identify any findings of noncompliance in FFY 2019, although its FFY 2019 data reflect less than 100% compliance, provide an explanation of why the State did not identify any findings of noncompliance in FFY 2019.</w:t>
      </w:r>
    </w:p>
    <w:p w14:paraId="3F84A4E0" w14:textId="704BBBC3" w:rsidR="004E2151" w:rsidRPr="00781112" w:rsidRDefault="004E2151" w:rsidP="004369B2">
      <w:pPr>
        <w:rPr>
          <w:b/>
          <w:color w:val="000000" w:themeColor="text1"/>
        </w:rPr>
      </w:pPr>
      <w:r w:rsidRPr="00781112">
        <w:rPr>
          <w:b/>
          <w:color w:val="000000" w:themeColor="text1"/>
        </w:rPr>
        <w:t>Response to actions required in FFY 2019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lastRenderedPageBreak/>
        <w:t>Maine reported on the status of correction of noncompliance identified in FFY 2019 for this indicator.</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2B7490" w:rsidP="00212954">
      <w:pPr>
        <w:rPr>
          <w:rFonts w:cs="Arial"/>
          <w:color w:val="000000" w:themeColor="text1"/>
          <w:szCs w:val="16"/>
        </w:rPr>
      </w:pPr>
      <w:r w:rsidRPr="00781112">
        <w:rPr>
          <w:rFonts w:cs="Arial"/>
          <w:color w:val="000000" w:themeColor="text1"/>
          <w:szCs w:val="16"/>
        </w:rPr>
        <w:t>In its description of correction of noncompliance, the State referenced an incorrect regulatory citation. Therefore, the State did not demonstrate that the LEA corrected the findings of noncompliance identified in FFY 2019 because it did not report that it verified correction of those findings consistent with the requirements in OSEP Memo 09-02. Specifically, the State did not report that it verified that each LEA with noncompliance identified in FFY 2019 is correctly implementing the specific regulatory requirements (i.e., achieved 100% compliance) based on a review of updated data such as data subsequently collected through on-site monitoring or a State data system.</w:t>
      </w: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bookmarkEnd w:id="82"/>
      <w:bookmarkEnd w:id="83"/>
      <w:bookmarkEnd w:id="84"/>
    </w:p>
    <w:p w14:paraId="20F3CA53" w14:textId="77777777" w:rsidR="00D04044" w:rsidRPr="00781112" w:rsidRDefault="00D04044" w:rsidP="00A018D4">
      <w:pPr>
        <w:rPr>
          <w:color w:val="000000" w:themeColor="text1"/>
          <w:szCs w:val="20"/>
        </w:rPr>
      </w:pPr>
      <w:bookmarkStart w:id="86" w:name="_Toc384383363"/>
      <w:bookmarkStart w:id="87"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77777777" w:rsidR="00B67038" w:rsidRPr="00781112" w:rsidRDefault="00B67038"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5D9CBCD" w14:textId="56ADC7C3"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88" w:name="_Toc384383364"/>
      <w:bookmarkStart w:id="89" w:name="_Toc392159332"/>
      <w:bookmarkEnd w:id="86"/>
      <w:bookmarkEnd w:id="87"/>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2012</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36.00%</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0A07B33E" w14:textId="77777777" w:rsidTr="00943314">
        <w:trPr>
          <w:trHeight w:val="357"/>
        </w:trPr>
        <w:tc>
          <w:tcPr>
            <w:tcW w:w="833" w:type="pct"/>
            <w:shd w:val="clear" w:color="auto" w:fill="auto"/>
          </w:tcPr>
          <w:p w14:paraId="04BB4B5A" w14:textId="3FC3EE91" w:rsidR="009447A3" w:rsidRPr="00781112" w:rsidRDefault="009447A3" w:rsidP="008E31C4">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88.96%</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94.38%</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95.12%</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97.08%</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93.97%</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5"/>
        <w:gridCol w:w="1680"/>
        <w:gridCol w:w="1679"/>
        <w:gridCol w:w="1679"/>
        <w:gridCol w:w="1679"/>
        <w:gridCol w:w="1679"/>
        <w:gridCol w:w="1679"/>
      </w:tblGrid>
      <w:tr w:rsidR="00456FF8" w:rsidRPr="00781112" w14:paraId="75609119" w14:textId="4FD44BFE" w:rsidTr="00943314">
        <w:trPr>
          <w:trHeight w:val="281"/>
        </w:trPr>
        <w:tc>
          <w:tcPr>
            <w:tcW w:w="331" w:type="pct"/>
            <w:tcBorders>
              <w:bottom w:val="single" w:sz="4" w:space="0" w:color="auto"/>
            </w:tcBorders>
            <w:shd w:val="clear" w:color="auto" w:fill="auto"/>
          </w:tcPr>
          <w:p w14:paraId="270D1909" w14:textId="77777777" w:rsidR="00AF574F" w:rsidRPr="00781112" w:rsidRDefault="00AF574F" w:rsidP="00AF574F">
            <w:pPr>
              <w:jc w:val="center"/>
              <w:rPr>
                <w:b/>
                <w:color w:val="000000" w:themeColor="text1"/>
              </w:rPr>
            </w:pPr>
            <w:r w:rsidRPr="00781112">
              <w:rPr>
                <w:b/>
                <w:color w:val="000000" w:themeColor="text1"/>
              </w:rPr>
              <w:t>FFY</w:t>
            </w:r>
          </w:p>
        </w:tc>
        <w:tc>
          <w:tcPr>
            <w:tcW w:w="778" w:type="pct"/>
            <w:shd w:val="clear" w:color="auto" w:fill="auto"/>
            <w:vAlign w:val="center"/>
          </w:tcPr>
          <w:p w14:paraId="3C863620" w14:textId="77777777" w:rsidR="00AF574F" w:rsidRPr="00781112" w:rsidRDefault="00AF574F" w:rsidP="00AF574F">
            <w:pPr>
              <w:jc w:val="center"/>
              <w:rPr>
                <w:b/>
                <w:color w:val="000000" w:themeColor="text1"/>
              </w:rPr>
            </w:pPr>
            <w:r w:rsidRPr="00781112">
              <w:rPr>
                <w:b/>
                <w:color w:val="000000" w:themeColor="text1"/>
              </w:rPr>
              <w:t>2020</w:t>
            </w:r>
          </w:p>
        </w:tc>
        <w:tc>
          <w:tcPr>
            <w:tcW w:w="778" w:type="pct"/>
          </w:tcPr>
          <w:p w14:paraId="1E742631" w14:textId="024F7853" w:rsidR="00AF574F" w:rsidRPr="00781112" w:rsidRDefault="00AF574F" w:rsidP="00AF574F">
            <w:pPr>
              <w:jc w:val="center"/>
              <w:rPr>
                <w:b/>
                <w:color w:val="000000" w:themeColor="text1"/>
              </w:rPr>
            </w:pPr>
            <w:r w:rsidRPr="00781112">
              <w:rPr>
                <w:rFonts w:cs="Arial"/>
                <w:b/>
                <w:color w:val="000000" w:themeColor="text1"/>
                <w:szCs w:val="16"/>
              </w:rPr>
              <w:t>2021</w:t>
            </w:r>
          </w:p>
        </w:tc>
        <w:tc>
          <w:tcPr>
            <w:tcW w:w="778" w:type="pct"/>
          </w:tcPr>
          <w:p w14:paraId="68E9F440" w14:textId="3DC7BEDA" w:rsidR="00AF574F" w:rsidRPr="00781112" w:rsidRDefault="00AF574F" w:rsidP="00AF574F">
            <w:pPr>
              <w:jc w:val="center"/>
              <w:rPr>
                <w:b/>
                <w:color w:val="000000" w:themeColor="text1"/>
              </w:rPr>
            </w:pPr>
            <w:r w:rsidRPr="00781112">
              <w:rPr>
                <w:rFonts w:cs="Arial"/>
                <w:b/>
                <w:color w:val="000000" w:themeColor="text1"/>
                <w:szCs w:val="16"/>
              </w:rPr>
              <w:t>2022</w:t>
            </w:r>
          </w:p>
        </w:tc>
        <w:tc>
          <w:tcPr>
            <w:tcW w:w="778" w:type="pct"/>
          </w:tcPr>
          <w:p w14:paraId="724C1BE8" w14:textId="32F17B9A" w:rsidR="00AF574F" w:rsidRPr="00781112" w:rsidRDefault="00AF574F" w:rsidP="00AF574F">
            <w:pPr>
              <w:jc w:val="center"/>
              <w:rPr>
                <w:b/>
                <w:color w:val="000000" w:themeColor="text1"/>
              </w:rPr>
            </w:pPr>
            <w:r w:rsidRPr="00781112">
              <w:rPr>
                <w:rFonts w:cs="Arial"/>
                <w:b/>
                <w:color w:val="000000" w:themeColor="text1"/>
                <w:szCs w:val="16"/>
              </w:rPr>
              <w:t>2023</w:t>
            </w:r>
          </w:p>
        </w:tc>
        <w:tc>
          <w:tcPr>
            <w:tcW w:w="778" w:type="pct"/>
          </w:tcPr>
          <w:p w14:paraId="6CD77942" w14:textId="751F9B95" w:rsidR="00AF574F" w:rsidRPr="00781112" w:rsidRDefault="00AF574F" w:rsidP="00AF574F">
            <w:pPr>
              <w:jc w:val="center"/>
              <w:rPr>
                <w:b/>
                <w:color w:val="000000" w:themeColor="text1"/>
              </w:rPr>
            </w:pPr>
            <w:r w:rsidRPr="00781112">
              <w:rPr>
                <w:rFonts w:cs="Arial"/>
                <w:b/>
                <w:color w:val="000000" w:themeColor="text1"/>
                <w:szCs w:val="16"/>
              </w:rPr>
              <w:t>2024</w:t>
            </w:r>
          </w:p>
        </w:tc>
        <w:tc>
          <w:tcPr>
            <w:tcW w:w="778" w:type="pct"/>
          </w:tcPr>
          <w:p w14:paraId="2153BB0F" w14:textId="58A09EC2" w:rsidR="00AF574F" w:rsidRPr="00781112" w:rsidRDefault="00AF574F" w:rsidP="00AF574F">
            <w:pPr>
              <w:jc w:val="center"/>
              <w:rPr>
                <w:b/>
                <w:color w:val="000000" w:themeColor="text1"/>
              </w:rPr>
            </w:pPr>
            <w:r w:rsidRPr="00781112">
              <w:rPr>
                <w:rFonts w:cs="Arial"/>
                <w:b/>
                <w:color w:val="000000" w:themeColor="text1"/>
                <w:szCs w:val="16"/>
              </w:rPr>
              <w:t>2025</w:t>
            </w:r>
          </w:p>
        </w:tc>
      </w:tr>
      <w:tr w:rsidR="00456FF8" w:rsidRPr="00781112" w14:paraId="129EADEA" w14:textId="243BFF73" w:rsidTr="00943314">
        <w:trPr>
          <w:trHeight w:val="287"/>
        </w:trPr>
        <w:tc>
          <w:tcPr>
            <w:tcW w:w="331" w:type="pct"/>
            <w:shd w:val="clear" w:color="auto" w:fill="auto"/>
            <w:vAlign w:val="center"/>
          </w:tcPr>
          <w:p w14:paraId="14AB537C" w14:textId="77777777" w:rsidR="00AF574F" w:rsidRPr="00781112" w:rsidRDefault="00AF574F" w:rsidP="00AF574F">
            <w:pPr>
              <w:rPr>
                <w:rFonts w:cs="Arial"/>
                <w:color w:val="000000" w:themeColor="text1"/>
                <w:szCs w:val="16"/>
              </w:rPr>
            </w:pPr>
            <w:r w:rsidRPr="00781112">
              <w:rPr>
                <w:rFonts w:cs="Arial"/>
                <w:color w:val="000000" w:themeColor="text1"/>
                <w:szCs w:val="16"/>
              </w:rPr>
              <w:t xml:space="preserve">Target </w:t>
            </w:r>
          </w:p>
        </w:tc>
        <w:tc>
          <w:tcPr>
            <w:tcW w:w="778" w:type="pct"/>
            <w:shd w:val="clear" w:color="auto" w:fill="auto"/>
            <w:vAlign w:val="center"/>
          </w:tcPr>
          <w:p w14:paraId="0BAE8900" w14:textId="37E5F8C0" w:rsidR="00AF574F" w:rsidRPr="00781112" w:rsidRDefault="00AF574F" w:rsidP="00AF574F">
            <w:pPr>
              <w:jc w:val="center"/>
              <w:rPr>
                <w:rFonts w:cs="Arial"/>
                <w:color w:val="000000" w:themeColor="text1"/>
                <w:szCs w:val="16"/>
              </w:rPr>
            </w:pPr>
            <w:r w:rsidRPr="00781112">
              <w:rPr>
                <w:rFonts w:cs="Arial"/>
                <w:color w:val="000000" w:themeColor="text1"/>
                <w:szCs w:val="16"/>
              </w:rPr>
              <w:t>100%</w:t>
            </w:r>
          </w:p>
        </w:tc>
        <w:tc>
          <w:tcPr>
            <w:tcW w:w="778" w:type="pct"/>
          </w:tcPr>
          <w:p w14:paraId="2CC39FD1" w14:textId="0A351FA5"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67D6E1E0" w14:textId="00533F6B"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39A43D1F" w14:textId="716B9E54"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6CC99391" w14:textId="2FAEBC53"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0C2F228E" w14:textId="40372095" w:rsidR="00AF574F" w:rsidRPr="00781112" w:rsidRDefault="00AF574F"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p w14:paraId="596F7C13" w14:textId="63D55729" w:rsidR="00D03701" w:rsidRPr="00781112" w:rsidRDefault="00806C75" w:rsidP="004369B2">
      <w:pPr>
        <w:rPr>
          <w:color w:val="000000" w:themeColor="text1"/>
        </w:rPr>
      </w:pPr>
      <w:r w:rsidRPr="00781112">
        <w:rPr>
          <w:b/>
          <w:color w:val="000000" w:themeColor="text1"/>
        </w:rPr>
        <w:t>FFY 2020 SPP/APR Data</w:t>
      </w:r>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2"/>
        <w:gridCol w:w="1497"/>
        <w:gridCol w:w="1372"/>
        <w:gridCol w:w="2067"/>
        <w:gridCol w:w="1233"/>
        <w:gridCol w:w="1570"/>
        <w:gridCol w:w="1519"/>
      </w:tblGrid>
      <w:tr w:rsidR="005C29F8" w:rsidRPr="00781112" w14:paraId="22208B6A" w14:textId="2EBA1D17" w:rsidTr="00A947D9">
        <w:trPr>
          <w:trHeight w:val="354"/>
          <w:tblHeader/>
        </w:trPr>
        <w:tc>
          <w:tcPr>
            <w:tcW w:w="710" w:type="pct"/>
            <w:shd w:val="clear" w:color="auto" w:fill="auto"/>
            <w:vAlign w:val="bottom"/>
          </w:tcPr>
          <w:p w14:paraId="24F7C6E9" w14:textId="77777777" w:rsidR="00B67038" w:rsidRPr="00781112" w:rsidRDefault="00B67038" w:rsidP="00681BA6">
            <w:pPr>
              <w:jc w:val="center"/>
              <w:rPr>
                <w:rFonts w:cs="Arial"/>
                <w:b/>
                <w:color w:val="000000" w:themeColor="text1"/>
                <w:szCs w:val="16"/>
              </w:rPr>
            </w:pPr>
            <w:r w:rsidRPr="00781112">
              <w:rPr>
                <w:rFonts w:cs="Arial"/>
                <w:b/>
                <w:color w:val="000000" w:themeColor="text1"/>
                <w:szCs w:val="16"/>
              </w:rPr>
              <w:lastRenderedPageBreak/>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aged 16 and above with IEPs that contain each of the required components for secondary transition</w:t>
            </w:r>
          </w:p>
        </w:tc>
        <w:tc>
          <w:tcPr>
            <w:tcW w:w="694" w:type="pct"/>
            <w:shd w:val="clear" w:color="auto" w:fill="auto"/>
            <w:vAlign w:val="bottom"/>
          </w:tcPr>
          <w:p w14:paraId="5096A299" w14:textId="77777777" w:rsidR="00B67038" w:rsidRPr="00781112" w:rsidRDefault="00B67038" w:rsidP="00681BA6">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aged 16 and above</w:t>
            </w:r>
          </w:p>
        </w:tc>
        <w:tc>
          <w:tcPr>
            <w:tcW w:w="636" w:type="pct"/>
            <w:shd w:val="clear" w:color="auto" w:fill="auto"/>
            <w:vAlign w:val="bottom"/>
          </w:tcPr>
          <w:p w14:paraId="77D0CB34" w14:textId="0A7D9923" w:rsidR="00B67038"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958" w:type="pct"/>
            <w:shd w:val="clear" w:color="auto" w:fill="auto"/>
            <w:vAlign w:val="bottom"/>
          </w:tcPr>
          <w:p w14:paraId="0E375E75" w14:textId="0F689402" w:rsidR="00B67038"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571" w:type="pct"/>
            <w:shd w:val="clear" w:color="auto" w:fill="auto"/>
            <w:vAlign w:val="bottom"/>
          </w:tcPr>
          <w:p w14:paraId="58CCB0C1" w14:textId="3A02BE5C" w:rsidR="00B67038"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728" w:type="pct"/>
            <w:shd w:val="clear" w:color="auto" w:fill="auto"/>
            <w:vAlign w:val="bottom"/>
          </w:tcPr>
          <w:p w14:paraId="3A7C3260" w14:textId="5AACBA6E" w:rsidR="00B67038" w:rsidRPr="00781112" w:rsidRDefault="00B67038" w:rsidP="00681BA6">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67038" w:rsidRPr="00781112" w:rsidRDefault="00B67038"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54</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147</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93.97%</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36.73%</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056B3BB4" w14:textId="223762EA" w:rsidR="004301DA" w:rsidRPr="00781112" w:rsidRDefault="00326C0B" w:rsidP="004301DA">
      <w:pPr>
        <w:rPr>
          <w:rFonts w:cs="Arial"/>
          <w:b/>
          <w:iCs/>
          <w:color w:val="000000" w:themeColor="text1"/>
          <w:szCs w:val="16"/>
        </w:rPr>
      </w:pPr>
      <w:r w:rsidRPr="00781112">
        <w:rPr>
          <w:rFonts w:cs="Arial"/>
          <w:b/>
          <w:color w:val="000000" w:themeColor="text1"/>
          <w:szCs w:val="16"/>
        </w:rPr>
        <w:t>Provide reasons for slippage, if applicable</w:t>
      </w:r>
    </w:p>
    <w:p w14:paraId="1C23CDFF" w14:textId="05BA6A6C" w:rsidR="00326C0B" w:rsidRPr="00781112" w:rsidRDefault="002B7490" w:rsidP="007D435F">
      <w:pPr>
        <w:rPr>
          <w:rFonts w:cs="Arial"/>
          <w:color w:val="000000" w:themeColor="text1"/>
          <w:szCs w:val="16"/>
        </w:rPr>
      </w:pPr>
      <w:r w:rsidRPr="00781112">
        <w:rPr>
          <w:rFonts w:cs="Arial"/>
          <w:color w:val="000000" w:themeColor="text1"/>
          <w:szCs w:val="16"/>
        </w:rPr>
        <w:t>The reason for slippage is unclear, but the ongoing Covid pandemic resulted in a variety of challenges that may have impacted this indicator, including, but not limited to, the following:</w:t>
        <w:br/>
        <w:t>-	IEP format change in August 2019 (19-20 cohort had Desk Audit on the old IEP format, then made corrections on the new IEP format)</w:t>
        <w:br/>
        <w:t>-	Ongoing and significant staff shortages in all areas</w:t>
        <w:br/>
        <w:t>-	Increased numbers of emergency certified teachers responsible for the development of transition plans and other programming components on the IEPs, as well as the provision of FAPE</w:t>
        <w:br/>
        <w:t>-	Change of professional development opportunities from in person sessions to Zoom sessions</w:t>
        <w:br/>
        <w:t>-	Zoom fatigue</w:t>
        <w:br/>
        <w:t>-	Increased administrative turnover</w:t>
        <w:br/>
        <w:t>-	Increased special education staff turnover</w:t>
        <w:br/>
        <w:t>-	Increased related service provider turnover</w:t>
        <w:br/>
        <w:t/>
        <w:br/>
        <w:t>Although the Office of Special Education Programs mandates an “all or nothing” approach with Indicator B13, another consideration would be the possibility of reviewing the individual transition components and the data for each. As demonstrated below, with the exception of TRA8 and TRA9, there was very little slippage between 2019-2020 and 2020-2021. The slippage in TRA8 can be tied directly to improved guidance to the field, per OSEP feedback, that states Transition Services cannot be documented as “Child will…” statements, because these services are intended to be provided by the adults in the school and the community. This feedback, and our change in practice, will result in the development of more compliant and effective transition plans for students moving forward.</w:t>
        <w:br/>
        <w:t/>
        <w:br/>
        <w:t>Our Codes	 2019-2020	2020-2021</w:t>
        <w:br/>
        <w:t>TRA1 – purpose of meeting	 100%	 86.36%</w:t>
        <w:br/>
        <w:t>TRA2 – child invited to meeting	 100%	 91.59%</w:t>
        <w:br/>
        <w:t>TRA3 – agency invited parent’s prior consent	 97.44%	 90.50%</w:t>
        <w:br/>
        <w:t>TRA4 – post-secondary goals updated annually 99.49%	 91.82%</w:t>
        <w:br/>
        <w:t>TRA5 – age appropriate assessments	 100%	 96.55%</w:t>
        <w:br/>
        <w:t>TRA6a – measurable post-secondary goals in education/training100%	97.67%</w:t>
        <w:br/>
        <w:t>TRA6b – measurable post-secondary goals in employment	100%	96.90%</w:t>
        <w:br/>
        <w:t>TRA6c – measurable post-secondary goals in independent living	100%	98.64%</w:t>
        <w:br/>
        <w:t>TRA7 – course of study	 100%	 95.35%</w:t>
        <w:br/>
        <w:t>TRA8 – transition services	 97.44%	48.84%</w:t>
        <w:br/>
        <w:t>TRA9 – alignment between transition goals and annual goals91.79%	70.97%</w:t>
        <w:br/>
        <w:t/>
        <w:br/>
        <w:t>In an effort to address this slippage, the Maine DOE Office of Special Services Monitoring and Supervision Team has implemented the following interventions and supports:</w:t>
        <w:br/>
        <w:t>-	Increased Office Hours with a focus on Transition Planning/B13 scheduled on 3/9/22, 3/23/22, 4/13/22 and 4/27/22</w:t>
        <w:br/>
        <w:t>-	Increased feedback offered on B13 screeners, with follow up one month prior to onsite review</w:t>
        <w:br/>
        <w:t>-	Statewide B13 training held 1/5/22, in the morning and afternoon, with an expectation that staff in cohort participate; 407 individuals registered; 188 participated in the morning session and 122 participated in the afternoon session</w:t>
        <w:br/>
        <w:t>-	Statewide B13 training held 1/5/22 was recorded and will be posted on the Professional Development site and available to the field</w:t>
        <w:br/>
        <w:t>-	Close monitoring of B13 screener data to support and train those LEAs who do not meet screener compliance prior to their submission of final B13/Transition Plans</w:t>
        <w:br/>
        <w:t xml:space="preserve">-	Development of a One Pager that outlines the expectations for each component of the B13 Indicator, which is shared with the field, especially those in cohort </w:t>
        <w:br/>
        <w:t>-	Sharing of a PDF of Procedural Manual at all trainings</w:t>
        <w:br/>
        <w:t>-	Embedding Procedural Manual clips, page numbers specific to Transition Planning/B13, in all trainings</w:t>
        <w:br/>
        <w:t>-	Sharing of a PDF of Maine Unified Special Education Regulations (MUSER) at all trainings</w:t>
      </w:r>
    </w:p>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 xml:space="preserve">LEAs are assigned to cohorts that are monitored on a four-year rotation, ensuring that each LEA is monitored once every four years. Maine Unified Special Education Regulations (MUSER) outlines the General Supervision Systems. </w:t>
        <w:br/>
        <w:t>Per MUSER XIII.1, “Using data and quantitative key compliance and performance indicators to be determined by the Department, representatives of the Commissioner shall collect data and report on every SAU program at least once during the six year period of the State’s Performance Plan.” Therefore, all Maine SAUs are placed in a 4-year cohort. These cohorts are amended, if needed, based on the following factors:</w:t>
        <w:br/>
        <w:t>-	Change in Special Education Director</w:t>
        <w:br/>
        <w:t>-	High staff turnover</w:t>
        <w:br/>
        <w:t>-	Ongoing concerns</w:t>
        <w:br/>
        <w:t>-	Discretion of the Supervision/Monitoring Team</w:t>
        <w:br/>
        <w:t>As part of the Self-Assessment, all LEAs in cohort are asked to send in two B13 screeners, which includes Section 9 of the IEP only. These screeners are reviewed for compliance and feedback is offered to the LEA. All feedback was given prior to the Statewide B13 training which occurred on 1/5/22 (see above information). This gave each LEA the opportunity to participate in professional development in this area and develop compliant, appropriate transition plans.</w:t>
        <w:br/>
        <w:t/>
        <w:br/>
        <w:t xml:space="preserve">The final data for this indicator reflects direct monitoring data. Postsecondary transition data were collected from the FFY2020 monitored LEAs. The number of educational files reviewed for this indicator is based on child count, and is outlined below: </w:t>
        <w:br/>
        <w:t/>
        <w:br/>
        <w:t>Child Count	Number of Files</w:t>
        <w:br/>
        <w:t>0 – 50 	                   2</w:t>
        <w:br/>
        <w:t>50 – 200 	          4</w:t>
        <w:br/>
        <w:t>200 – 400 	          6</w:t>
        <w:br/>
        <w:t>400 – 750 	          8</w:t>
        <w:br/>
        <w:t>More than 750	10</w:t>
        <w:br/>
        <w:t/>
        <w:br/>
        <w:t>Postsecondary plans were evaluated using the postsecondary transition plan checklist developed by the National Technical Assistance Center for Transition (NTACT). Findings of noncompliance were identified both through self-assessment and were verified during on-site assessment or as part of a Zoom review, depending on COVID status of the LEA and their preference.</w:t>
      </w:r>
    </w:p>
    <w:tbl>
      <w:tblPr>
        <w:tblStyle w:val="TableGrid"/>
        <w:tblW w:w="5000" w:type="pct"/>
        <w:tblLook w:val="04A0" w:firstRow="1" w:lastRow="0" w:firstColumn="1" w:lastColumn="0" w:noHBand="0" w:noVBand="1"/>
        <w:tblCaption w:val="B13CFFYCOLLECT"/>
      </w:tblPr>
      <w:tblGrid>
        <w:gridCol w:w="8502"/>
        <w:gridCol w:w="2288"/>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351FF0B8" w14:textId="0AE6898F" w:rsidR="00326C0B" w:rsidRPr="00781112" w:rsidRDefault="00AF30E8" w:rsidP="005F442C">
      <w:pPr>
        <w:rPr>
          <w:rFonts w:cs="Arial"/>
          <w:b/>
          <w:color w:val="000000" w:themeColor="text1"/>
          <w:szCs w:val="16"/>
        </w:rPr>
      </w:pPr>
      <w:r w:rsidRPr="00781112">
        <w:rPr>
          <w:rFonts w:cs="Arial"/>
          <w:b/>
          <w:color w:val="000000" w:themeColor="text1"/>
          <w:szCs w:val="16"/>
        </w:rPr>
        <w:t>If no, please explain</w:t>
      </w:r>
    </w:p>
    <w:p w14:paraId="2562A48D" w14:textId="1B6BD32F" w:rsidR="00326C0B" w:rsidRPr="00781112" w:rsidRDefault="002B7490" w:rsidP="005F442C">
      <w:pPr>
        <w:rPr>
          <w:rFonts w:cs="Arial"/>
          <w:color w:val="000000" w:themeColor="text1"/>
          <w:szCs w:val="16"/>
        </w:rPr>
      </w:pPr>
      <w:r w:rsidRPr="00781112">
        <w:rPr>
          <w:rFonts w:cs="Arial"/>
          <w:color w:val="000000" w:themeColor="text1"/>
          <w:szCs w:val="16"/>
        </w:rPr>
        <w:t>In Maine, public agencies must meet these requirements for students in grade 9 and above, even if the students are younger than 16. However, for the baseline and yearly reporting on this indicator, only students ages 16 and above are included.</w:t>
      </w:r>
    </w:p>
    <w:p w14:paraId="735DB55A" w14:textId="18C77FF1" w:rsidR="00644AC8" w:rsidRPr="00781112" w:rsidRDefault="00644AC8" w:rsidP="005F442C">
      <w:pPr>
        <w:rPr>
          <w:rFonts w:cs="Arial"/>
          <w:b/>
          <w:color w:val="000000" w:themeColor="text1"/>
          <w:szCs w:val="16"/>
        </w:rPr>
      </w:pPr>
      <w:bookmarkStart w:id="90"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
      </w:r>
    </w:p>
    <w:p w14:paraId="1F3D4141" w14:textId="77777777" w:rsidR="00AF12E4" w:rsidRPr="00781112" w:rsidRDefault="00AF12E4" w:rsidP="004369B2">
      <w:pPr>
        <w:rPr>
          <w:color w:val="000000" w:themeColor="text1"/>
        </w:rPr>
      </w:pPr>
    </w:p>
    <w:p w14:paraId="37C34CDA" w14:textId="164D9AA7"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3PFFYNCFINDINGS"/>
      </w:tblPr>
      <w:tblGrid>
        <w:gridCol w:w="2649"/>
        <w:gridCol w:w="2779"/>
        <w:gridCol w:w="2656"/>
        <w:gridCol w:w="2706"/>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7</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6</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45E0E48A" w14:textId="3A32BA3B" w:rsidR="009A755E" w:rsidRPr="00781112" w:rsidRDefault="00F6415A" w:rsidP="004369B2">
      <w:pPr>
        <w:rPr>
          <w:color w:val="000000" w:themeColor="text1"/>
        </w:rPr>
      </w:pPr>
      <w:r w:rsidRPr="00781112">
        <w:rPr>
          <w:b/>
          <w:color w:val="000000" w:themeColor="text1"/>
        </w:rPr>
        <w:t>FFY 2019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 xml:space="preserve">Prior to considering any finding from FFY2019 corrected, Maine DOE verified that each LEA with noncompliance:  (1) was correctly implementing 34 CFR §§300.320(b) and 300.321(b), (i.e., achieved 100% compliance) based on updated data subsequently collected through corrective activities; and (2) has corrected each individual case of noncompliance, unless the child is no longer within the jurisdiction of the LEA, consistent with OSEP Memorandum 09-02, dated October 17, 2008. To verify that each LEA was correctly implementing the requirements, Maine DOE reviewed and verified subsequent data submitted by the LEAs through corrective action reports. This data demonstrated systemic correction of noncompliance. </w:t>
        <w:br/>
        <w:t>The time period for which each program was required to demonstrate 100% compliance was within one year of the identification of the noncompliance. In addition to verifying correction according to the OSEP 09-02 Memorandum, Maine DOE also complied with the requirements to: account for all instances of noncompliance identified through monitoring procedures; identify the level, location, and root cause(s) of all noncompliance; and require any LEA with policies, procedures, or practices that contributed to the noncompliance to revise those policies, procedures, or practices and submit corrected secondary transition plans developed after the finding of non-compliance.</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LEAs with noncompliant plans reviewed during monitoring received a finding for post-secondary transition plans on their Corrective Action Plan (CAP). Because transition plan information can be corrected, the LEAs were required to convene IEP meetings to revise the plans to meet the requirements in those cases where transition plans were found to be noncompliant. The amended plans with prior written notice were submitted to Maine DOE for review. When all instances of noncompliance were reviewed and found compliant, the LEA's finding was closed.</w:t>
      </w:r>
    </w:p>
    <w:p w14:paraId="09CD9C74" w14:textId="77777777" w:rsidR="00A947D9" w:rsidRPr="00781112" w:rsidRDefault="00A947D9" w:rsidP="004369B2">
      <w:pPr>
        <w:rPr>
          <w:color w:val="000000" w:themeColor="text1"/>
        </w:rPr>
      </w:pPr>
    </w:p>
    <w:p w14:paraId="59FD8363" w14:textId="1505CA5F"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1A316672"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16129CDC" w14:textId="4ECB3EA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631866C2" w14:textId="7A733589"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3A2AFB37" w14:textId="4D254CD3"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2754C03" w14:textId="77777777" w:rsidTr="00A947D9">
        <w:tc>
          <w:tcPr>
            <w:tcW w:w="988" w:type="pct"/>
            <w:shd w:val="clear" w:color="auto" w:fill="auto"/>
          </w:tcPr>
          <w:p w14:paraId="3F1CDA29" w14:textId="16C6A591" w:rsidR="009A755E" w:rsidRPr="00781112" w:rsidRDefault="001E7916" w:rsidP="00A018D4">
            <w:pPr>
              <w:jc w:val="center"/>
              <w:rPr>
                <w:rFonts w:cs="Arial"/>
                <w:color w:val="000000" w:themeColor="text1"/>
                <w:szCs w:val="16"/>
              </w:rPr>
            </w:pPr>
            <w:r w:rsidRPr="00781112">
              <w:rPr>
                <w:rFonts w:cs="Arial"/>
                <w:color w:val="000000" w:themeColor="text1"/>
                <w:szCs w:val="16"/>
              </w:rPr>
              <w:lastRenderedPageBreak/>
              <w:t/>
            </w:r>
          </w:p>
        </w:tc>
        <w:tc>
          <w:tcPr>
            <w:tcW w:w="1461" w:type="pct"/>
            <w:shd w:val="clear" w:color="auto" w:fill="auto"/>
          </w:tcPr>
          <w:p w14:paraId="50EA299D" w14:textId="70FCF876" w:rsidR="009A755E" w:rsidRPr="00781112" w:rsidRDefault="001E7916">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424B5A41" w14:textId="57F0D24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5FD250DE" w14:textId="1F07D8E0"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1554C3DE" w14:textId="77777777" w:rsidTr="00A947D9">
        <w:tc>
          <w:tcPr>
            <w:tcW w:w="988" w:type="pct"/>
            <w:shd w:val="clear" w:color="auto" w:fill="auto"/>
          </w:tcPr>
          <w:p w14:paraId="08F1D022" w14:textId="2DEB05AF" w:rsidR="009A755E" w:rsidRPr="00781112" w:rsidRDefault="001E7916"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3FCA4EF1" w14:textId="25DC21F7" w:rsidR="009A755E" w:rsidRPr="00781112" w:rsidRDefault="001E7916">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4F433BEE" w14:textId="401E2469"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615F0522" w14:textId="27A5AF36" w:rsidR="009A755E" w:rsidRPr="00781112" w:rsidRDefault="002B7490">
            <w:pPr>
              <w:jc w:val="center"/>
              <w:rPr>
                <w:rFonts w:cs="Arial"/>
                <w:noProof/>
                <w:color w:val="000000" w:themeColor="text1"/>
                <w:szCs w:val="16"/>
              </w:rPr>
            </w:pPr>
            <w:r w:rsidRPr="00781112">
              <w:rPr>
                <w:rFonts w:cs="Arial"/>
                <w:color w:val="000000" w:themeColor="text1"/>
                <w:szCs w:val="16"/>
              </w:rPr>
              <w:t/>
            </w: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br/>
        <w:t/>
        <w:br/>
        <w:t>If the State did not identify any findings of noncompliance in FFY 2019, although its FFY 2019 data reflect less than 100% compliance, provide an explanation of why the State did not identify any findings of noncompliance in FFY 2019.</w:t>
      </w:r>
    </w:p>
    <w:p w14:paraId="6FDC964C" w14:textId="7C7EE16F" w:rsidR="009F69E7" w:rsidRPr="00781112" w:rsidRDefault="009F69E7" w:rsidP="004E2151">
      <w:pPr>
        <w:rPr>
          <w:rFonts w:cs="Arial"/>
          <w:color w:val="000000" w:themeColor="text1"/>
          <w:szCs w:val="16"/>
        </w:rPr>
      </w:pPr>
    </w:p>
    <w:p w14:paraId="769948F5" w14:textId="7433E546" w:rsidR="004E2151" w:rsidRPr="00781112" w:rsidRDefault="004E2151" w:rsidP="004369B2">
      <w:pPr>
        <w:rPr>
          <w:b/>
          <w:color w:val="000000" w:themeColor="text1"/>
        </w:rPr>
      </w:pPr>
      <w:r w:rsidRPr="00781112">
        <w:rPr>
          <w:b/>
          <w:color w:val="000000" w:themeColor="text1"/>
        </w:rPr>
        <w:t>Response to actions required in FFY 2019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Maine has reported on the correction status and verification process for noncompliance identified in the FFY2019 APR.</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B7490" w:rsidP="00212954">
      <w:pPr>
        <w:rPr>
          <w:rFonts w:cs="Arial"/>
          <w:color w:val="000000" w:themeColor="text1"/>
          <w:szCs w:val="16"/>
        </w:rPr>
      </w:pPr>
      <w:r w:rsidRPr="00781112">
        <w:rPr>
          <w:rFonts w:cs="Arial"/>
          <w:color w:val="000000" w:themeColor="text1"/>
          <w:szCs w:val="16"/>
        </w:rPr>
        <w:t/>
      </w:r>
    </w:p>
    <w:p w14:paraId="139D82E4" w14:textId="2690DF84" w:rsidR="007F5071" w:rsidRPr="00781112" w:rsidRDefault="00056350" w:rsidP="00123D76">
      <w:pPr>
        <w:pStyle w:val="Heading2"/>
      </w:pPr>
      <w:r w:rsidRPr="00781112">
        <w:lastRenderedPageBreak/>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374F3BC7"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54"/>
      <w:bookmarkEnd w:id="90"/>
    </w:p>
    <w:p w14:paraId="22761492" w14:textId="77777777" w:rsidR="005C50DB" w:rsidRPr="00781112" w:rsidRDefault="005C50DB" w:rsidP="00A018D4">
      <w:pPr>
        <w:rPr>
          <w:szCs w:val="20"/>
        </w:rPr>
      </w:pPr>
      <w:bookmarkStart w:id="91"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7777777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on page 2 for additional instructions on sampling.)</w:t>
      </w:r>
    </w:p>
    <w:p w14:paraId="7DEAD51C" w14:textId="58CA5721"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2021 on students who left school during 2019-2020, timing the data collection so that at least one year has passed since the students left school. Include students who dropped out during 2019-2020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w:t>
      </w:r>
      <w:proofErr w:type="gramStart"/>
      <w:r w:rsidRPr="00781112">
        <w:rPr>
          <w:rFonts w:eastAsia="Times New Roman" w:cs="Arial"/>
          <w:szCs w:val="16"/>
        </w:rPr>
        <w:t>four or more year</w:t>
      </w:r>
      <w:proofErr w:type="gramEnd"/>
      <w:r w:rsidRPr="00781112">
        <w:rPr>
          <w:rFonts w:eastAsia="Times New Roman" w:cs="Arial"/>
          <w:szCs w:val="16"/>
        </w:rPr>
        <w:t xml:space="preserve">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0A54B9D3"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 xml:space="preserve">Provide the total number of targeted </w:t>
      </w:r>
      <w:proofErr w:type="gramStart"/>
      <w:r w:rsidRPr="00781112">
        <w:rPr>
          <w:rFonts w:eastAsia="Times New Roman" w:cs="Arial"/>
          <w:szCs w:val="16"/>
        </w:rPr>
        <w:t>youth</w:t>
      </w:r>
      <w:proofErr w:type="gramEnd"/>
      <w:r w:rsidRPr="00781112">
        <w:rPr>
          <w:rFonts w:eastAsia="Times New Roman" w:cs="Arial"/>
          <w:szCs w:val="16"/>
        </w:rPr>
        <w:t xml:space="preserve">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 xml:space="preserve">1. Enrolled in higher education within one year of leaving high </w:t>
      </w:r>
      <w:proofErr w:type="gramStart"/>
      <w:r w:rsidRPr="00781112">
        <w:rPr>
          <w:rFonts w:eastAsia="Times New Roman" w:cs="Arial"/>
          <w:szCs w:val="16"/>
        </w:rPr>
        <w:t>school;</w:t>
      </w:r>
      <w:proofErr w:type="gramEnd"/>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roofErr w:type="gramStart"/>
      <w:r w:rsidRPr="00781112">
        <w:rPr>
          <w:rFonts w:eastAsia="Times New Roman" w:cs="Arial"/>
          <w:szCs w:val="16"/>
        </w:rPr>
        <w:t>);</w:t>
      </w:r>
      <w:proofErr w:type="gramEnd"/>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roofErr w:type="gramStart"/>
      <w:r w:rsidRPr="00781112">
        <w:rPr>
          <w:rFonts w:eastAsia="Times New Roman" w:cs="Arial"/>
          <w:szCs w:val="16"/>
        </w:rPr>
        <w:t>);</w:t>
      </w:r>
      <w:proofErr w:type="gramEnd"/>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77777777"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3D129DCD" w14:textId="726F1AB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Include the State’s analyses of the extent to which the response data are representative of the demographics of youth who are no longer in secondary school and had IEPs in effect at the time they left school. States should consider categories such as race/ethnicity, disability category, and geographic location in the State.</w:t>
      </w:r>
    </w:p>
    <w:p w14:paraId="0E3C94F2" w14:textId="24E7A97D" w:rsidR="00B67038" w:rsidRPr="00781112" w:rsidRDefault="00B67038" w:rsidP="003A4027">
      <w:pPr>
        <w:spacing w:before="0"/>
        <w:rPr>
          <w:rFonts w:eastAsia="Times New Roman" w:cs="Arial"/>
          <w:color w:val="000000" w:themeColor="text1"/>
          <w:szCs w:val="16"/>
        </w:rPr>
      </w:pPr>
      <w:r w:rsidRPr="00781112">
        <w:rPr>
          <w:rFonts w:eastAsia="Times New Roman" w:cs="Arial"/>
          <w:color w:val="000000" w:themeColor="text1"/>
          <w:szCs w:val="16"/>
        </w:rP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p w14:paraId="3A820706" w14:textId="590A380B" w:rsidR="00B1488E" w:rsidRPr="00781112" w:rsidRDefault="00B1488E" w:rsidP="00B1488E">
      <w:pPr>
        <w:spacing w:before="0"/>
        <w:rPr>
          <w:rFonts w:eastAsia="Times New Roman" w:cs="Arial"/>
          <w:szCs w:val="16"/>
        </w:rPr>
      </w:pPr>
      <w:r w:rsidRPr="00781112">
        <w:rPr>
          <w:rFonts w:eastAsia="Times New Roman" w:cs="Arial"/>
          <w:b/>
          <w:szCs w:val="16"/>
        </w:rPr>
        <w:t xml:space="preserve">Beginning with the FFY 2021 SPP/APR, due Feb. 1, 2023, </w:t>
      </w:r>
      <w:r w:rsidRPr="00781112">
        <w:rPr>
          <w:rFonts w:eastAsia="Times New Roman" w:cs="Arial"/>
          <w:szCs w:val="16"/>
        </w:rPr>
        <w:t>when reporting the extent to which the demographics of respondents are representative of the demographics of youth who are no longer in secondary school and had IEPs in effect at the time they left school, States must include race</w:t>
      </w:r>
      <w:r w:rsidR="009F2D7B" w:rsidRPr="00781112">
        <w:rPr>
          <w:rFonts w:eastAsia="Times New Roman" w:cs="Arial"/>
          <w:szCs w:val="16"/>
        </w:rPr>
        <w:t>/</w:t>
      </w:r>
      <w:r w:rsidRPr="00781112">
        <w:rPr>
          <w:rFonts w:eastAsia="Times New Roman" w:cs="Arial"/>
          <w:szCs w:val="16"/>
        </w:rPr>
        <w:t>ethnicity in its analysis. In addition, the State’s analysis must include at least one of the following demographics: disability category, gender, geographic location, and/or another demographic category approved through the stakeholder input process.</w:t>
      </w:r>
    </w:p>
    <w:p w14:paraId="3FE9961A" w14:textId="1EDBA086" w:rsidR="000301BA" w:rsidRPr="00781112" w:rsidRDefault="00172058" w:rsidP="00123D76">
      <w:pPr>
        <w:pStyle w:val="Heading2"/>
      </w:pPr>
      <w:r w:rsidRPr="00781112">
        <w:t>14 - Indicator Data</w:t>
      </w:r>
    </w:p>
    <w:bookmarkEnd w:id="91"/>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594"/>
        <w:gridCol w:w="1256"/>
        <w:gridCol w:w="485"/>
        <w:gridCol w:w="1691"/>
        <w:gridCol w:w="1691"/>
        <w:gridCol w:w="1691"/>
        <w:gridCol w:w="1691"/>
        <w:gridCol w:w="1691"/>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2015</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2016</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2016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25.00%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25.00%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27.00%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30.00%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30.00%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18.81%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26.30%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18.81%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17.27%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19.49%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23.78%</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2016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76.60%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77.00%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65.68%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68.87%</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65.68%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71.21%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70.04%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66.19%</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2016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82.30%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83.00%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85.00%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77.56%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96.16%</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77.56%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80.91%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80.51%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76.50%</w:t>
            </w:r>
          </w:p>
        </w:tc>
      </w:tr>
    </w:tbl>
    <w:p w14:paraId="7084612B" w14:textId="77777777" w:rsidR="00E448E9" w:rsidRPr="00781112" w:rsidRDefault="00E448E9" w:rsidP="004369B2">
      <w:pPr>
        <w:rPr>
          <w:color w:val="000000" w:themeColor="text1"/>
        </w:rPr>
      </w:pPr>
    </w:p>
    <w:p w14:paraId="02DB82E4" w14:textId="43A8E2E5" w:rsidR="005F442C" w:rsidRPr="00781112" w:rsidRDefault="00806C75" w:rsidP="004369B2">
      <w:pPr>
        <w:rPr>
          <w:color w:val="000000" w:themeColor="text1"/>
        </w:rPr>
      </w:pPr>
      <w:r w:rsidRPr="00781112">
        <w:rPr>
          <w:b/>
          <w:color w:val="000000" w:themeColor="text1"/>
        </w:rPr>
        <w:t>FFY 2020 Targets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0"/>
        <w:gridCol w:w="1663"/>
        <w:gridCol w:w="1664"/>
        <w:gridCol w:w="1664"/>
        <w:gridCol w:w="1664"/>
        <w:gridCol w:w="1664"/>
        <w:gridCol w:w="1664"/>
      </w:tblGrid>
      <w:tr w:rsidR="00AF574F" w:rsidRPr="00781112" w14:paraId="0D5EED67" w14:textId="79D43F28" w:rsidTr="00C37CAE">
        <w:trPr>
          <w:trHeight w:val="388"/>
        </w:trPr>
        <w:tc>
          <w:tcPr>
            <w:tcW w:w="380" w:type="pct"/>
            <w:tcBorders>
              <w:bottom w:val="single" w:sz="4" w:space="0" w:color="auto"/>
            </w:tcBorders>
            <w:shd w:val="clear" w:color="auto" w:fill="auto"/>
          </w:tcPr>
          <w:p w14:paraId="3A39086B" w14:textId="77777777" w:rsidR="00AF574F" w:rsidRPr="00781112" w:rsidRDefault="00AF574F" w:rsidP="00AF574F">
            <w:pPr>
              <w:jc w:val="center"/>
              <w:rPr>
                <w:b/>
                <w:color w:val="000000" w:themeColor="text1"/>
              </w:rPr>
            </w:pPr>
            <w:r w:rsidRPr="00781112">
              <w:rPr>
                <w:b/>
                <w:color w:val="000000" w:themeColor="text1"/>
              </w:rPr>
              <w:t>FFY</w:t>
            </w:r>
          </w:p>
        </w:tc>
        <w:tc>
          <w:tcPr>
            <w:tcW w:w="770" w:type="pct"/>
            <w:shd w:val="clear" w:color="auto" w:fill="auto"/>
          </w:tcPr>
          <w:p w14:paraId="3904D56E" w14:textId="5A40B787" w:rsidR="00AF574F" w:rsidRPr="00781112" w:rsidRDefault="00AF574F" w:rsidP="00AF574F">
            <w:pPr>
              <w:jc w:val="center"/>
              <w:rPr>
                <w:b/>
                <w:color w:val="000000" w:themeColor="text1"/>
              </w:rPr>
            </w:pPr>
            <w:r w:rsidRPr="00781112">
              <w:rPr>
                <w:b/>
                <w:color w:val="000000" w:themeColor="text1"/>
              </w:rPr>
              <w:t>2020</w:t>
            </w:r>
          </w:p>
        </w:tc>
        <w:tc>
          <w:tcPr>
            <w:tcW w:w="770" w:type="pct"/>
          </w:tcPr>
          <w:p w14:paraId="5E87DEBC" w14:textId="3C58C740" w:rsidR="00AF574F" w:rsidRPr="00781112" w:rsidRDefault="00AF574F" w:rsidP="00AF574F">
            <w:pPr>
              <w:jc w:val="center"/>
              <w:rPr>
                <w:b/>
                <w:color w:val="000000" w:themeColor="text1"/>
              </w:rPr>
            </w:pPr>
            <w:r w:rsidRPr="00781112">
              <w:rPr>
                <w:rFonts w:cs="Arial"/>
                <w:b/>
                <w:color w:val="000000" w:themeColor="text1"/>
                <w:szCs w:val="16"/>
              </w:rPr>
              <w:t>2021</w:t>
            </w:r>
          </w:p>
        </w:tc>
        <w:tc>
          <w:tcPr>
            <w:tcW w:w="770" w:type="pct"/>
          </w:tcPr>
          <w:p w14:paraId="1D78C038" w14:textId="34E0A4B6" w:rsidR="00AF574F" w:rsidRPr="00781112" w:rsidRDefault="00AF574F" w:rsidP="00AF574F">
            <w:pPr>
              <w:jc w:val="center"/>
              <w:rPr>
                <w:b/>
                <w:color w:val="000000" w:themeColor="text1"/>
              </w:rPr>
            </w:pPr>
            <w:r w:rsidRPr="00781112">
              <w:rPr>
                <w:rFonts w:cs="Arial"/>
                <w:b/>
                <w:color w:val="000000" w:themeColor="text1"/>
                <w:szCs w:val="16"/>
              </w:rPr>
              <w:t>2022</w:t>
            </w:r>
          </w:p>
        </w:tc>
        <w:tc>
          <w:tcPr>
            <w:tcW w:w="770" w:type="pct"/>
          </w:tcPr>
          <w:p w14:paraId="3C72E9BA" w14:textId="291BB861" w:rsidR="00AF574F" w:rsidRPr="00781112" w:rsidRDefault="00AF574F" w:rsidP="00AF574F">
            <w:pPr>
              <w:jc w:val="center"/>
              <w:rPr>
                <w:b/>
                <w:color w:val="000000" w:themeColor="text1"/>
              </w:rPr>
            </w:pPr>
            <w:r w:rsidRPr="00781112">
              <w:rPr>
                <w:rFonts w:cs="Arial"/>
                <w:b/>
                <w:color w:val="000000" w:themeColor="text1"/>
                <w:szCs w:val="16"/>
              </w:rPr>
              <w:t>2023</w:t>
            </w:r>
          </w:p>
        </w:tc>
        <w:tc>
          <w:tcPr>
            <w:tcW w:w="770" w:type="pct"/>
          </w:tcPr>
          <w:p w14:paraId="1F7D660E" w14:textId="277D280C" w:rsidR="00AF574F" w:rsidRPr="00781112" w:rsidRDefault="00AF574F" w:rsidP="00AF574F">
            <w:pPr>
              <w:jc w:val="center"/>
              <w:rPr>
                <w:b/>
                <w:color w:val="000000" w:themeColor="text1"/>
              </w:rPr>
            </w:pPr>
            <w:r w:rsidRPr="00781112">
              <w:rPr>
                <w:rFonts w:cs="Arial"/>
                <w:b/>
                <w:color w:val="000000" w:themeColor="text1"/>
                <w:szCs w:val="16"/>
              </w:rPr>
              <w:t>2024</w:t>
            </w:r>
          </w:p>
        </w:tc>
        <w:tc>
          <w:tcPr>
            <w:tcW w:w="770" w:type="pct"/>
          </w:tcPr>
          <w:p w14:paraId="28C0E6A0" w14:textId="077620CA" w:rsidR="00AF574F" w:rsidRPr="00781112" w:rsidRDefault="00AF574F" w:rsidP="00AF574F">
            <w:pPr>
              <w:jc w:val="center"/>
              <w:rPr>
                <w:b/>
                <w:color w:val="000000" w:themeColor="text1"/>
              </w:rPr>
            </w:pPr>
            <w:r w:rsidRPr="00781112">
              <w:rPr>
                <w:rFonts w:cs="Arial"/>
                <w:b/>
                <w:color w:val="000000" w:themeColor="text1"/>
                <w:szCs w:val="16"/>
              </w:rPr>
              <w:t>2025</w:t>
            </w:r>
          </w:p>
        </w:tc>
      </w:tr>
      <w:tr w:rsidR="00AF574F" w:rsidRPr="00781112" w14:paraId="7E2B073B" w14:textId="0B5C632B" w:rsidTr="00C37CAE">
        <w:trPr>
          <w:trHeight w:val="396"/>
        </w:trPr>
        <w:tc>
          <w:tcPr>
            <w:tcW w:w="380" w:type="pct"/>
            <w:shd w:val="clear" w:color="auto" w:fill="auto"/>
          </w:tcPr>
          <w:p w14:paraId="0DC64663" w14:textId="2175F0A9" w:rsidR="00AF574F" w:rsidRPr="00781112" w:rsidRDefault="00AF574F" w:rsidP="00AF574F">
            <w:pPr>
              <w:rPr>
                <w:rFonts w:cs="Arial"/>
                <w:color w:val="000000" w:themeColor="text1"/>
                <w:szCs w:val="16"/>
              </w:rPr>
            </w:pPr>
            <w:r w:rsidRPr="00781112">
              <w:rPr>
                <w:rFonts w:cs="Arial"/>
                <w:color w:val="000000" w:themeColor="text1"/>
                <w:szCs w:val="16"/>
              </w:rPr>
              <w:t>Target A &gt;=</w:t>
            </w:r>
          </w:p>
        </w:tc>
        <w:tc>
          <w:tcPr>
            <w:tcW w:w="770" w:type="pct"/>
            <w:shd w:val="clear" w:color="auto" w:fill="auto"/>
            <w:vAlign w:val="center"/>
          </w:tcPr>
          <w:p w14:paraId="0A86FFC3" w14:textId="4AE9585E" w:rsidR="00AF574F" w:rsidRPr="00781112" w:rsidRDefault="00AF574F" w:rsidP="00AF574F">
            <w:pPr>
              <w:jc w:val="center"/>
              <w:rPr>
                <w:rFonts w:cs="Arial"/>
                <w:color w:val="000000" w:themeColor="text1"/>
                <w:szCs w:val="16"/>
              </w:rPr>
            </w:pPr>
            <w:r w:rsidRPr="00781112">
              <w:rPr>
                <w:rFonts w:cs="Arial"/>
                <w:color w:val="000000" w:themeColor="text1"/>
                <w:szCs w:val="16"/>
              </w:rPr>
              <w:t>30.00%</w:t>
            </w:r>
          </w:p>
        </w:tc>
        <w:tc>
          <w:tcPr>
            <w:tcW w:w="770" w:type="pct"/>
          </w:tcPr>
          <w:p w14:paraId="72551055" w14:textId="7A9EF926" w:rsidR="00AF574F" w:rsidRPr="00781112" w:rsidRDefault="00AF574F" w:rsidP="00AF574F">
            <w:pPr>
              <w:jc w:val="center"/>
              <w:rPr>
                <w:rFonts w:cs="Arial"/>
                <w:color w:val="000000" w:themeColor="text1"/>
                <w:szCs w:val="16"/>
              </w:rPr>
            </w:pPr>
            <w:r w:rsidRPr="00781112">
              <w:rPr>
                <w:color w:val="000000" w:themeColor="text1"/>
                <w:szCs w:val="16"/>
              </w:rPr>
              <w:t>30.00%</w:t>
            </w:r>
          </w:p>
        </w:tc>
        <w:tc>
          <w:tcPr>
            <w:tcW w:w="770" w:type="pct"/>
          </w:tcPr>
          <w:p w14:paraId="4460710F" w14:textId="653162EA" w:rsidR="00AF574F" w:rsidRPr="00781112" w:rsidRDefault="00AF574F" w:rsidP="00AF574F">
            <w:pPr>
              <w:jc w:val="center"/>
              <w:rPr>
                <w:rFonts w:cs="Arial"/>
                <w:color w:val="000000" w:themeColor="text1"/>
                <w:szCs w:val="16"/>
              </w:rPr>
            </w:pPr>
            <w:r w:rsidRPr="00781112">
              <w:rPr>
                <w:color w:val="000000" w:themeColor="text1"/>
                <w:szCs w:val="16"/>
              </w:rPr>
              <w:t>30.00%</w:t>
            </w:r>
          </w:p>
        </w:tc>
        <w:tc>
          <w:tcPr>
            <w:tcW w:w="770" w:type="pct"/>
          </w:tcPr>
          <w:p w14:paraId="42DE20BE" w14:textId="660F0A38" w:rsidR="00AF574F" w:rsidRPr="00781112" w:rsidRDefault="00AF574F" w:rsidP="00AF574F">
            <w:pPr>
              <w:jc w:val="center"/>
              <w:rPr>
                <w:rFonts w:cs="Arial"/>
                <w:color w:val="000000" w:themeColor="text1"/>
                <w:szCs w:val="16"/>
              </w:rPr>
            </w:pPr>
            <w:r w:rsidRPr="00781112">
              <w:rPr>
                <w:color w:val="000000" w:themeColor="text1"/>
                <w:szCs w:val="16"/>
              </w:rPr>
              <w:t>30.00%</w:t>
            </w:r>
          </w:p>
        </w:tc>
        <w:tc>
          <w:tcPr>
            <w:tcW w:w="770" w:type="pct"/>
          </w:tcPr>
          <w:p w14:paraId="5E9B0020" w14:textId="74258703" w:rsidR="00AF574F" w:rsidRPr="00781112" w:rsidRDefault="00AF574F" w:rsidP="00AF574F">
            <w:pPr>
              <w:jc w:val="center"/>
              <w:rPr>
                <w:rFonts w:cs="Arial"/>
                <w:color w:val="000000" w:themeColor="text1"/>
                <w:szCs w:val="16"/>
              </w:rPr>
            </w:pPr>
            <w:r w:rsidRPr="00781112">
              <w:rPr>
                <w:color w:val="000000" w:themeColor="text1"/>
                <w:szCs w:val="16"/>
              </w:rPr>
              <w:t>30.00%</w:t>
            </w:r>
          </w:p>
        </w:tc>
        <w:tc>
          <w:tcPr>
            <w:tcW w:w="770" w:type="pct"/>
          </w:tcPr>
          <w:p w14:paraId="7B60A310" w14:textId="3F13C352" w:rsidR="00AF574F" w:rsidRPr="00781112" w:rsidRDefault="00AF574F" w:rsidP="00AF574F">
            <w:pPr>
              <w:jc w:val="center"/>
              <w:rPr>
                <w:rFonts w:cs="Arial"/>
                <w:color w:val="000000" w:themeColor="text1"/>
                <w:szCs w:val="16"/>
              </w:rPr>
            </w:pPr>
            <w:r w:rsidRPr="00781112">
              <w:rPr>
                <w:color w:val="000000" w:themeColor="text1"/>
                <w:szCs w:val="16"/>
              </w:rPr>
              <w:t>30.00%</w:t>
            </w:r>
          </w:p>
        </w:tc>
      </w:tr>
      <w:tr w:rsidR="00AF574F" w:rsidRPr="00781112" w14:paraId="0314BAE3" w14:textId="455C9C0A" w:rsidTr="00C37CAE">
        <w:trPr>
          <w:trHeight w:val="396"/>
        </w:trPr>
        <w:tc>
          <w:tcPr>
            <w:tcW w:w="380" w:type="pct"/>
            <w:shd w:val="clear" w:color="auto" w:fill="auto"/>
          </w:tcPr>
          <w:p w14:paraId="53C1536D" w14:textId="615A342B" w:rsidR="00AF574F" w:rsidRPr="00781112" w:rsidRDefault="00AF574F" w:rsidP="00AF574F">
            <w:pPr>
              <w:rPr>
                <w:rFonts w:cs="Arial"/>
                <w:color w:val="000000" w:themeColor="text1"/>
                <w:szCs w:val="16"/>
              </w:rPr>
            </w:pPr>
            <w:r w:rsidRPr="00781112">
              <w:rPr>
                <w:rFonts w:cs="Arial"/>
                <w:color w:val="000000" w:themeColor="text1"/>
                <w:szCs w:val="16"/>
              </w:rPr>
              <w:t>Target B &gt;=</w:t>
            </w:r>
          </w:p>
        </w:tc>
        <w:tc>
          <w:tcPr>
            <w:tcW w:w="770" w:type="pct"/>
            <w:shd w:val="clear" w:color="auto" w:fill="auto"/>
            <w:vAlign w:val="center"/>
          </w:tcPr>
          <w:p w14:paraId="3AAA5324" w14:textId="5539646A" w:rsidR="00AF574F" w:rsidRPr="00781112" w:rsidRDefault="00AF574F" w:rsidP="00AF574F">
            <w:pPr>
              <w:jc w:val="center"/>
              <w:rPr>
                <w:rFonts w:cs="Arial"/>
                <w:color w:val="000000" w:themeColor="text1"/>
                <w:szCs w:val="16"/>
              </w:rPr>
            </w:pPr>
            <w:r w:rsidRPr="00781112">
              <w:rPr>
                <w:rFonts w:cs="Arial"/>
                <w:color w:val="000000" w:themeColor="text1"/>
                <w:szCs w:val="16"/>
              </w:rPr>
              <w:t>80.00%</w:t>
            </w:r>
          </w:p>
        </w:tc>
        <w:tc>
          <w:tcPr>
            <w:tcW w:w="770" w:type="pct"/>
          </w:tcPr>
          <w:p w14:paraId="0CDB15F6" w14:textId="4F01BE13" w:rsidR="00AF574F" w:rsidRPr="00781112" w:rsidRDefault="00AF574F" w:rsidP="00AF574F">
            <w:pPr>
              <w:jc w:val="center"/>
              <w:rPr>
                <w:rFonts w:cs="Arial"/>
                <w:color w:val="000000" w:themeColor="text1"/>
                <w:szCs w:val="16"/>
              </w:rPr>
            </w:pPr>
            <w:r w:rsidRPr="00781112">
              <w:rPr>
                <w:color w:val="000000" w:themeColor="text1"/>
                <w:szCs w:val="16"/>
              </w:rPr>
              <w:t>80.00%</w:t>
            </w:r>
          </w:p>
        </w:tc>
        <w:tc>
          <w:tcPr>
            <w:tcW w:w="770" w:type="pct"/>
          </w:tcPr>
          <w:p w14:paraId="4BE6282D" w14:textId="241D14B5" w:rsidR="00AF574F" w:rsidRPr="00781112" w:rsidRDefault="00AF574F" w:rsidP="00AF574F">
            <w:pPr>
              <w:jc w:val="center"/>
              <w:rPr>
                <w:rFonts w:cs="Arial"/>
                <w:color w:val="000000" w:themeColor="text1"/>
                <w:szCs w:val="16"/>
              </w:rPr>
            </w:pPr>
            <w:r w:rsidRPr="00781112">
              <w:rPr>
                <w:color w:val="000000" w:themeColor="text1"/>
                <w:szCs w:val="16"/>
              </w:rPr>
              <w:t>80.00%</w:t>
            </w:r>
          </w:p>
        </w:tc>
        <w:tc>
          <w:tcPr>
            <w:tcW w:w="770" w:type="pct"/>
          </w:tcPr>
          <w:p w14:paraId="57A02DD3" w14:textId="4CEDC8B3" w:rsidR="00AF574F" w:rsidRPr="00781112" w:rsidRDefault="00AF574F" w:rsidP="00AF574F">
            <w:pPr>
              <w:jc w:val="center"/>
              <w:rPr>
                <w:rFonts w:cs="Arial"/>
                <w:color w:val="000000" w:themeColor="text1"/>
                <w:szCs w:val="16"/>
              </w:rPr>
            </w:pPr>
            <w:r w:rsidRPr="00781112">
              <w:rPr>
                <w:color w:val="000000" w:themeColor="text1"/>
                <w:szCs w:val="16"/>
              </w:rPr>
              <w:t>80.00%</w:t>
            </w:r>
          </w:p>
        </w:tc>
        <w:tc>
          <w:tcPr>
            <w:tcW w:w="770" w:type="pct"/>
          </w:tcPr>
          <w:p w14:paraId="370ACB93" w14:textId="0BC1C559" w:rsidR="00AF574F" w:rsidRPr="00781112" w:rsidRDefault="00AF574F" w:rsidP="00AF574F">
            <w:pPr>
              <w:jc w:val="center"/>
              <w:rPr>
                <w:rFonts w:cs="Arial"/>
                <w:color w:val="000000" w:themeColor="text1"/>
                <w:szCs w:val="16"/>
              </w:rPr>
            </w:pPr>
            <w:r w:rsidRPr="00781112">
              <w:rPr>
                <w:color w:val="000000" w:themeColor="text1"/>
                <w:szCs w:val="16"/>
              </w:rPr>
              <w:t>80.00%</w:t>
            </w:r>
          </w:p>
        </w:tc>
        <w:tc>
          <w:tcPr>
            <w:tcW w:w="770" w:type="pct"/>
          </w:tcPr>
          <w:p w14:paraId="34308AAA" w14:textId="48D9E553" w:rsidR="00AF574F" w:rsidRPr="00781112" w:rsidRDefault="00AF574F" w:rsidP="00AF574F">
            <w:pPr>
              <w:jc w:val="center"/>
              <w:rPr>
                <w:rFonts w:cs="Arial"/>
                <w:color w:val="000000" w:themeColor="text1"/>
                <w:szCs w:val="16"/>
              </w:rPr>
            </w:pPr>
            <w:r w:rsidRPr="00781112">
              <w:rPr>
                <w:color w:val="000000" w:themeColor="text1"/>
                <w:szCs w:val="16"/>
              </w:rPr>
              <w:t>80.00%</w:t>
            </w:r>
          </w:p>
        </w:tc>
      </w:tr>
      <w:tr w:rsidR="00AF574F" w:rsidRPr="00781112" w14:paraId="571B685C" w14:textId="45446171" w:rsidTr="00C37CAE">
        <w:trPr>
          <w:trHeight w:val="396"/>
        </w:trPr>
        <w:tc>
          <w:tcPr>
            <w:tcW w:w="380" w:type="pct"/>
            <w:shd w:val="clear" w:color="auto" w:fill="auto"/>
          </w:tcPr>
          <w:p w14:paraId="4D525255" w14:textId="5D1105EA" w:rsidR="00AF574F" w:rsidRPr="00781112" w:rsidRDefault="00AF574F" w:rsidP="00AF574F">
            <w:pPr>
              <w:rPr>
                <w:rFonts w:cs="Arial"/>
                <w:color w:val="000000" w:themeColor="text1"/>
                <w:szCs w:val="16"/>
              </w:rPr>
            </w:pPr>
            <w:r w:rsidRPr="00781112">
              <w:rPr>
                <w:rFonts w:cs="Arial"/>
                <w:color w:val="000000" w:themeColor="text1"/>
                <w:szCs w:val="16"/>
              </w:rPr>
              <w:t>Target C &gt;=</w:t>
            </w:r>
          </w:p>
        </w:tc>
        <w:tc>
          <w:tcPr>
            <w:tcW w:w="770" w:type="pct"/>
            <w:shd w:val="clear" w:color="auto" w:fill="auto"/>
            <w:vAlign w:val="center"/>
          </w:tcPr>
          <w:p w14:paraId="6A2D65BD" w14:textId="1F6D3E1F" w:rsidR="00AF574F" w:rsidRPr="00781112" w:rsidRDefault="00AF574F" w:rsidP="00AF574F">
            <w:pPr>
              <w:jc w:val="center"/>
              <w:rPr>
                <w:rFonts w:cs="Arial"/>
                <w:color w:val="000000" w:themeColor="text1"/>
                <w:szCs w:val="16"/>
              </w:rPr>
            </w:pPr>
            <w:r w:rsidRPr="00781112">
              <w:rPr>
                <w:rFonts w:cs="Arial"/>
                <w:color w:val="000000" w:themeColor="text1"/>
                <w:szCs w:val="16"/>
              </w:rPr>
              <w:t>85.00%</w:t>
            </w:r>
          </w:p>
        </w:tc>
        <w:tc>
          <w:tcPr>
            <w:tcW w:w="770" w:type="pct"/>
          </w:tcPr>
          <w:p w14:paraId="6B5B030A" w14:textId="41C6CE98" w:rsidR="00AF574F" w:rsidRPr="00781112" w:rsidRDefault="00AF574F" w:rsidP="00AF574F">
            <w:pPr>
              <w:jc w:val="center"/>
              <w:rPr>
                <w:rFonts w:cs="Arial"/>
                <w:color w:val="000000" w:themeColor="text1"/>
                <w:szCs w:val="16"/>
              </w:rPr>
            </w:pPr>
            <w:r w:rsidRPr="00781112">
              <w:rPr>
                <w:color w:val="000000" w:themeColor="text1"/>
                <w:szCs w:val="16"/>
              </w:rPr>
              <w:t>85.00%</w:t>
            </w:r>
          </w:p>
        </w:tc>
        <w:tc>
          <w:tcPr>
            <w:tcW w:w="770" w:type="pct"/>
          </w:tcPr>
          <w:p w14:paraId="1D90926B" w14:textId="034D06FC" w:rsidR="00AF574F" w:rsidRPr="00781112" w:rsidRDefault="00AF574F" w:rsidP="00AF574F">
            <w:pPr>
              <w:jc w:val="center"/>
              <w:rPr>
                <w:rFonts w:cs="Arial"/>
                <w:color w:val="000000" w:themeColor="text1"/>
                <w:szCs w:val="16"/>
              </w:rPr>
            </w:pPr>
            <w:r w:rsidRPr="00781112">
              <w:rPr>
                <w:color w:val="000000" w:themeColor="text1"/>
                <w:szCs w:val="16"/>
              </w:rPr>
              <w:t>85.00%</w:t>
            </w:r>
          </w:p>
        </w:tc>
        <w:tc>
          <w:tcPr>
            <w:tcW w:w="770" w:type="pct"/>
          </w:tcPr>
          <w:p w14:paraId="4E4DC90B" w14:textId="096AE3F3" w:rsidR="00AF574F" w:rsidRPr="00781112" w:rsidRDefault="00AF574F" w:rsidP="00AF574F">
            <w:pPr>
              <w:jc w:val="center"/>
              <w:rPr>
                <w:rFonts w:cs="Arial"/>
                <w:color w:val="000000" w:themeColor="text1"/>
                <w:szCs w:val="16"/>
              </w:rPr>
            </w:pPr>
            <w:r w:rsidRPr="00781112">
              <w:rPr>
                <w:color w:val="000000" w:themeColor="text1"/>
                <w:szCs w:val="16"/>
              </w:rPr>
              <w:t>85.00%</w:t>
            </w:r>
          </w:p>
        </w:tc>
        <w:tc>
          <w:tcPr>
            <w:tcW w:w="770" w:type="pct"/>
          </w:tcPr>
          <w:p w14:paraId="1926915A" w14:textId="136C8151" w:rsidR="00AF574F" w:rsidRPr="00781112" w:rsidRDefault="00AF574F" w:rsidP="00AF574F">
            <w:pPr>
              <w:jc w:val="center"/>
              <w:rPr>
                <w:rFonts w:cs="Arial"/>
                <w:color w:val="000000" w:themeColor="text1"/>
                <w:szCs w:val="16"/>
              </w:rPr>
            </w:pPr>
            <w:r w:rsidRPr="00781112">
              <w:rPr>
                <w:color w:val="000000" w:themeColor="text1"/>
                <w:szCs w:val="16"/>
              </w:rPr>
              <w:t>85.00%</w:t>
            </w:r>
          </w:p>
        </w:tc>
        <w:tc>
          <w:tcPr>
            <w:tcW w:w="770" w:type="pct"/>
          </w:tcPr>
          <w:p w14:paraId="77A2E1D0" w14:textId="201EF6CB" w:rsidR="00AF574F" w:rsidRPr="00781112" w:rsidRDefault="00AF574F" w:rsidP="00AF574F">
            <w:pPr>
              <w:jc w:val="center"/>
              <w:rPr>
                <w:rFonts w:cs="Arial"/>
                <w:color w:val="000000" w:themeColor="text1"/>
                <w:szCs w:val="16"/>
              </w:rPr>
            </w:pPr>
            <w:r w:rsidRPr="00781112">
              <w:rPr>
                <w:color w:val="000000" w:themeColor="text1"/>
                <w:szCs w:val="16"/>
              </w:rPr>
              <w:t>85.00%</w:t>
            </w:r>
          </w:p>
        </w:tc>
      </w:tr>
    </w:tbl>
    <w:p w14:paraId="007E6F50" w14:textId="125782E4" w:rsidR="000A2C83" w:rsidRPr="00781112" w:rsidRDefault="000A2C83" w:rsidP="004369B2">
      <w:pPr>
        <w:rPr>
          <w:b/>
          <w:color w:val="000000" w:themeColor="text1"/>
        </w:rPr>
      </w:pPr>
      <w:r w:rsidRPr="00781112">
        <w:rPr>
          <w:b/>
          <w:color w:val="000000" w:themeColor="text1"/>
        </w:rPr>
        <w:lastRenderedPageBreak/>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
      </w:r>
    </w:p>
    <w:p w14:paraId="4522ADD4" w14:textId="77777777" w:rsidR="00E448E9" w:rsidRPr="00781112" w:rsidRDefault="00E448E9" w:rsidP="004369B2">
      <w:pPr>
        <w:rPr>
          <w:color w:val="000000" w:themeColor="text1"/>
        </w:rPr>
      </w:pPr>
      <w:bookmarkStart w:id="92" w:name="_Toc392159337"/>
    </w:p>
    <w:p w14:paraId="4202DC3A" w14:textId="41155391" w:rsidR="00A03EFA" w:rsidRPr="00781112" w:rsidRDefault="00806C75" w:rsidP="004369B2">
      <w:pPr>
        <w:rPr>
          <w:color w:val="000000" w:themeColor="text1"/>
        </w:rPr>
      </w:pPr>
      <w:r w:rsidRPr="00781112">
        <w:rPr>
          <w:b/>
          <w:color w:val="000000" w:themeColor="text1"/>
        </w:rPr>
        <w:t>FFY 2020 SPP/APR Data</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155"/>
        <w:gridCol w:w="263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w:t>
            </w:r>
            <w:proofErr w:type="gramStart"/>
            <w:r w:rsidRPr="000B10B6">
              <w:rPr>
                <w:rFonts w:eastAsia="Times New Roman" w:cs="Arial"/>
                <w:szCs w:val="16"/>
              </w:rPr>
              <w:t>youth</w:t>
            </w:r>
            <w:proofErr w:type="gramEnd"/>
            <w:r w:rsidRPr="000B10B6">
              <w:rPr>
                <w:rFonts w:eastAsia="Times New Roman" w:cs="Arial"/>
                <w:szCs w:val="16"/>
              </w:rPr>
              <w:t xml:space="preserve">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1,210</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260</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21.49%</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44</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124</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6</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14</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5C29F8" w:rsidRPr="00781112" w14:paraId="5EEC1BAF" w14:textId="0A8A2949" w:rsidTr="0033429D">
        <w:trPr>
          <w:trHeight w:val="358"/>
          <w:tblHeader/>
        </w:trPr>
        <w:tc>
          <w:tcPr>
            <w:tcW w:w="625" w:type="pct"/>
            <w:shd w:val="clear" w:color="auto" w:fill="auto"/>
            <w:vAlign w:val="bottom"/>
          </w:tcPr>
          <w:p w14:paraId="4E882584" w14:textId="038C3477" w:rsidR="00B67038" w:rsidRPr="00781112" w:rsidRDefault="004E1996" w:rsidP="00B02B95">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67038" w:rsidRPr="00781112" w:rsidRDefault="00B67038" w:rsidP="00B02B95">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67038" w:rsidRPr="00781112" w:rsidRDefault="00B67038" w:rsidP="00B02B95">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0DAD7157" w:rsidR="00B67038" w:rsidRPr="00781112" w:rsidRDefault="00F6415A" w:rsidP="00B02B95">
            <w:pPr>
              <w:jc w:val="center"/>
              <w:rPr>
                <w:rFonts w:cs="Arial"/>
                <w:b/>
                <w:color w:val="000000" w:themeColor="text1"/>
                <w:szCs w:val="16"/>
              </w:rPr>
            </w:pPr>
            <w:r w:rsidRPr="00781112">
              <w:rPr>
                <w:rFonts w:cs="Arial"/>
                <w:b/>
                <w:color w:val="000000" w:themeColor="text1"/>
                <w:szCs w:val="16"/>
              </w:rPr>
              <w:t>FFY 2019 Data</w:t>
            </w:r>
          </w:p>
        </w:tc>
        <w:tc>
          <w:tcPr>
            <w:tcW w:w="625" w:type="pct"/>
            <w:shd w:val="clear" w:color="auto" w:fill="auto"/>
            <w:vAlign w:val="bottom"/>
          </w:tcPr>
          <w:p w14:paraId="5152926B" w14:textId="51E1C3DD" w:rsidR="00B67038" w:rsidRPr="00781112" w:rsidRDefault="00806C75" w:rsidP="00B02B95">
            <w:pPr>
              <w:jc w:val="center"/>
              <w:rPr>
                <w:rFonts w:cs="Arial"/>
                <w:b/>
                <w:color w:val="000000" w:themeColor="text1"/>
                <w:szCs w:val="16"/>
              </w:rPr>
            </w:pPr>
            <w:r w:rsidRPr="00781112">
              <w:rPr>
                <w:rFonts w:cs="Arial"/>
                <w:b/>
                <w:color w:val="000000" w:themeColor="text1"/>
                <w:szCs w:val="16"/>
              </w:rPr>
              <w:t>FFY 2020 Target</w:t>
            </w:r>
          </w:p>
        </w:tc>
        <w:tc>
          <w:tcPr>
            <w:tcW w:w="625" w:type="pct"/>
            <w:shd w:val="clear" w:color="auto" w:fill="auto"/>
            <w:vAlign w:val="bottom"/>
          </w:tcPr>
          <w:p w14:paraId="520BBB1B" w14:textId="5D23C409" w:rsidR="00B67038" w:rsidRPr="00781112" w:rsidRDefault="00806C75" w:rsidP="00B02B95">
            <w:pPr>
              <w:jc w:val="center"/>
              <w:rPr>
                <w:rFonts w:cs="Arial"/>
                <w:b/>
                <w:color w:val="000000" w:themeColor="text1"/>
                <w:szCs w:val="16"/>
              </w:rPr>
            </w:pPr>
            <w:r w:rsidRPr="00781112">
              <w:rPr>
                <w:rFonts w:cs="Arial"/>
                <w:b/>
                <w:color w:val="000000" w:themeColor="text1"/>
                <w:szCs w:val="16"/>
              </w:rPr>
              <w:t>FFY 2020 Data</w:t>
            </w:r>
          </w:p>
        </w:tc>
        <w:tc>
          <w:tcPr>
            <w:tcW w:w="625" w:type="pct"/>
            <w:shd w:val="clear" w:color="auto" w:fill="auto"/>
            <w:vAlign w:val="bottom"/>
          </w:tcPr>
          <w:p w14:paraId="4E9CD96E" w14:textId="648B12FE" w:rsidR="00B67038" w:rsidRPr="00781112" w:rsidRDefault="00B67038" w:rsidP="00B02B95">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67038" w:rsidRPr="00781112" w:rsidRDefault="00B67038" w:rsidP="00B02B95">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44</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260</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23.78%</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30.00%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16.92%</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168</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260</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66.19%</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64.62%</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188</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260</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76.50%</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72.31%</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4A5381A2" w14:textId="3787227C" w:rsidR="001773E7" w:rsidRPr="00781112"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781112" w14:paraId="049EEA4C" w14:textId="77777777" w:rsidTr="003138F9">
        <w:trPr>
          <w:tblHeader/>
        </w:trPr>
        <w:tc>
          <w:tcPr>
            <w:tcW w:w="715" w:type="dxa"/>
            <w:vAlign w:val="bottom"/>
          </w:tcPr>
          <w:p w14:paraId="2E1368A0" w14:textId="77777777" w:rsidR="001773E7" w:rsidRPr="00781112" w:rsidRDefault="001773E7" w:rsidP="004369B2">
            <w:pPr>
              <w:jc w:val="center"/>
              <w:rPr>
                <w:color w:val="000000" w:themeColor="text1"/>
              </w:rPr>
            </w:pPr>
            <w:r w:rsidRPr="00781112">
              <w:rPr>
                <w:b/>
                <w:color w:val="000000" w:themeColor="text1"/>
              </w:rPr>
              <w:t>Part</w:t>
            </w:r>
          </w:p>
        </w:tc>
        <w:tc>
          <w:tcPr>
            <w:tcW w:w="10080" w:type="dxa"/>
            <w:shd w:val="clear" w:color="auto" w:fill="auto"/>
          </w:tcPr>
          <w:p w14:paraId="39A18603" w14:textId="77777777" w:rsidR="001773E7" w:rsidRPr="00781112" w:rsidRDefault="001773E7" w:rsidP="004369B2">
            <w:pPr>
              <w:jc w:val="center"/>
              <w:rPr>
                <w:color w:val="000000" w:themeColor="text1"/>
              </w:rPr>
            </w:pPr>
            <w:r w:rsidRPr="00781112">
              <w:rPr>
                <w:b/>
                <w:color w:val="000000" w:themeColor="text1"/>
              </w:rPr>
              <w:t>Reasons for slippage, if applicable</w:t>
            </w:r>
          </w:p>
        </w:tc>
      </w:tr>
      <w:tr w:rsidR="005C29F8" w:rsidRPr="00781112" w14:paraId="3F4E853C" w14:textId="77777777" w:rsidTr="009E40E1">
        <w:tc>
          <w:tcPr>
            <w:tcW w:w="715" w:type="dxa"/>
            <w:vAlign w:val="center"/>
          </w:tcPr>
          <w:p w14:paraId="5F8F2AD7" w14:textId="77777777" w:rsidR="001773E7" w:rsidRPr="00781112" w:rsidRDefault="001773E7" w:rsidP="004369B2">
            <w:pPr>
              <w:jc w:val="center"/>
              <w:rPr>
                <w:b/>
                <w:color w:val="000000" w:themeColor="text1"/>
              </w:rPr>
            </w:pPr>
            <w:r w:rsidRPr="00781112">
              <w:rPr>
                <w:b/>
                <w:color w:val="000000" w:themeColor="text1"/>
              </w:rPr>
              <w:t>A</w:t>
            </w:r>
          </w:p>
        </w:tc>
        <w:tc>
          <w:tcPr>
            <w:tcW w:w="10080" w:type="dxa"/>
            <w:shd w:val="clear" w:color="auto" w:fill="auto"/>
          </w:tcPr>
          <w:p w14:paraId="126B7404" w14:textId="7F4A2633" w:rsidR="001773E7" w:rsidRPr="00781112" w:rsidRDefault="001773E7" w:rsidP="004369B2">
            <w:pPr>
              <w:rPr>
                <w:color w:val="000000" w:themeColor="text1"/>
              </w:rPr>
            </w:pPr>
            <w:r w:rsidRPr="00781112">
              <w:rPr>
                <w:rFonts w:cs="Arial"/>
                <w:color w:val="000000" w:themeColor="text1"/>
                <w:szCs w:val="16"/>
              </w:rPr>
              <w:t>There was a decrease in higher education enrollment compared to FFY2019. The reason for the decrease is not clear, but it appears likely that higher education enrollment was impacted by COVID-19, as were the employment categories. It is notable that the FFY2020 percentage is closer to the FFY2018 percentage and those of the most recent previous years, as the percentage for FFY2019 was particularly high within the most recent 5-year span. Maine will continue to monitor year-to-year variability to assess the trend.</w:t>
            </w:r>
          </w:p>
        </w:tc>
      </w:tr>
      <w:tr w:rsidR="005C29F8" w:rsidRPr="00781112" w14:paraId="14E24734" w14:textId="77777777" w:rsidTr="009E40E1">
        <w:tc>
          <w:tcPr>
            <w:tcW w:w="715" w:type="dxa"/>
            <w:vAlign w:val="center"/>
          </w:tcPr>
          <w:p w14:paraId="425A2916" w14:textId="77777777" w:rsidR="001773E7" w:rsidRPr="00781112" w:rsidRDefault="001773E7" w:rsidP="004369B2">
            <w:pPr>
              <w:jc w:val="center"/>
              <w:rPr>
                <w:b/>
                <w:color w:val="000000" w:themeColor="text1"/>
              </w:rPr>
            </w:pPr>
            <w:r w:rsidRPr="00781112">
              <w:rPr>
                <w:b/>
                <w:color w:val="000000" w:themeColor="text1"/>
              </w:rPr>
              <w:t>B</w:t>
            </w:r>
          </w:p>
        </w:tc>
        <w:tc>
          <w:tcPr>
            <w:tcW w:w="10080" w:type="dxa"/>
            <w:shd w:val="clear" w:color="auto" w:fill="auto"/>
          </w:tcPr>
          <w:p w14:paraId="17E7061D" w14:textId="3241D10F" w:rsidR="001773E7" w:rsidRPr="00781112" w:rsidRDefault="001773E7" w:rsidP="009E40E1">
            <w:pPr>
              <w:rPr>
                <w:rFonts w:cs="Arial"/>
                <w:color w:val="000000" w:themeColor="text1"/>
                <w:szCs w:val="16"/>
              </w:rPr>
            </w:pPr>
            <w:r w:rsidRPr="00781112">
              <w:rPr>
                <w:rFonts w:cs="Arial"/>
                <w:color w:val="000000" w:themeColor="text1"/>
                <w:szCs w:val="16"/>
              </w:rPr>
              <w:t xml:space="preserve">There were decreases in the employment categories for the 2nd consecutive year. Although it is not clear, it appears likely these categories were impacted by COVID-19, given some of the survey comments. The former students' individual needs/safety and/or changes in the circumstances of employers may have interrupted employment. </w:t>
            </w:r>
          </w:p>
        </w:tc>
      </w:tr>
      <w:tr w:rsidR="005C29F8" w:rsidRPr="00781112" w14:paraId="34DAD959" w14:textId="77777777" w:rsidTr="009E40E1">
        <w:tc>
          <w:tcPr>
            <w:tcW w:w="715" w:type="dxa"/>
            <w:vAlign w:val="center"/>
          </w:tcPr>
          <w:p w14:paraId="47D24000" w14:textId="77777777" w:rsidR="001773E7" w:rsidRPr="00781112" w:rsidRDefault="001773E7" w:rsidP="004369B2">
            <w:pPr>
              <w:jc w:val="center"/>
              <w:rPr>
                <w:b/>
                <w:color w:val="000000" w:themeColor="text1"/>
              </w:rPr>
            </w:pPr>
            <w:r w:rsidRPr="00781112">
              <w:rPr>
                <w:b/>
                <w:color w:val="000000" w:themeColor="text1"/>
              </w:rPr>
              <w:t>C</w:t>
            </w:r>
          </w:p>
        </w:tc>
        <w:tc>
          <w:tcPr>
            <w:tcW w:w="10080" w:type="dxa"/>
            <w:shd w:val="clear" w:color="auto" w:fill="auto"/>
          </w:tcPr>
          <w:p w14:paraId="67EE1CFC" w14:textId="3BF189F6" w:rsidR="001773E7" w:rsidRPr="00781112" w:rsidRDefault="001773E7" w:rsidP="009E40E1">
            <w:pPr>
              <w:rPr>
                <w:rFonts w:cs="Arial"/>
                <w:color w:val="000000" w:themeColor="text1"/>
                <w:szCs w:val="16"/>
              </w:rPr>
            </w:pPr>
            <w:r w:rsidRPr="00781112">
              <w:rPr>
                <w:rFonts w:cs="Arial"/>
                <w:color w:val="000000" w:themeColor="text1"/>
                <w:szCs w:val="16"/>
              </w:rPr>
              <w:t xml:space="preserve">There were decreases in the employment categories for the 2nd consecutive year. Although it is not clear, it appears likely these categories were impacted by COVID-19, given some of the survey comments. The former students' individual needs/safety and/or changes in the circumstances of employers may have interrupted employment. </w:t>
            </w:r>
          </w:p>
        </w:tc>
      </w:tr>
    </w:tbl>
    <w:p w14:paraId="51D07FD2" w14:textId="77777777" w:rsidR="005D6713" w:rsidRPr="00781112" w:rsidRDefault="005D6713" w:rsidP="005D6713">
      <w:pPr>
        <w:rPr>
          <w:rFonts w:cs="Arial"/>
          <w:b/>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2805"/>
        <w:gridCol w:w="2635"/>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2019</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2020</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27.03%</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21.49%</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7522483" w14:textId="77777777"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Maine's 2020 response rate was lower than the 2019 response rate. The reasons for the decline are unclear. Maine attempts a census (rather than a sample) of all qualified exiters for the reporting year and attempts at least two phone calls for each non-respondent. However, post-school contact information for students is not always accurate/up to date, phone numbers change, etc. Maine will work with districts to convey the importance and use of the post-school survey to ensure the most recent district contact information is on file and will discuss possible use of additional methods of contact (e.g., mailings). Maine will also discuss with LEAs the importance of representation of underrepresented groups of students. When underrepresented groups are identified, Maine will take extra efforts (e.g., additional phone call attempts) to reach representatives of these groups.</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Maine is, and has historically been, vigilant in attempts to identify potential nonresponse bias to ensure strong representativeness across the State. Maine continues to assess representativeness of respondents with respect to race/ethnicity, disability, and gender. Additionally, Maine attempts to contact all qualified exiters (conducting a census attempt, rather than a sample) to help promote respondent representation across a broad cross section of exiters. Representativeness analyses indicated that respondents were represented at least to the extent that they existed in the population or, when less, were within 5% of the population percentages of exiters. Maine will continue to strive for greater representativeness of respondents (e.g. within 3% of population percentages); when underrepresented groups are identified, Maine will make additional efforts (e.g., additional phone call attempts) to reach representatives of these groups.</w:t>
      </w:r>
    </w:p>
    <w:p w14:paraId="7847C015" w14:textId="77777777" w:rsidR="00090132" w:rsidRPr="008D51F2" w:rsidRDefault="00090132" w:rsidP="00090132">
      <w:pPr>
        <w:rPr>
          <w:b/>
          <w:bCs/>
        </w:rPr>
      </w:pPr>
      <w:r w:rsidRPr="008D51F2">
        <w:rPr>
          <w:b/>
          <w:bCs/>
        </w:rPr>
        <w:t>Include the State’s analyses of the extent to which the response data are representative of the demographics of youth who are no longer in secondary school and had IEPs in effect at the time they left school.</w:t>
      </w:r>
    </w:p>
    <w:p w14:paraId="73A0DF3C" w14:textId="77777777" w:rsidR="00090132" w:rsidRPr="00560FEE" w:rsidRDefault="00090132" w:rsidP="00090132">
      <w:r w:rsidRPr="008D51F2">
        <w:t>At least two phone calls were attempted for all 1,210 of the former students. The total count of survey respondents was 260, yielding a response rate of 21.49%. The respondent representativeness of the population of exiters (youth who are no longer in secondary school and had IEPs in effect at the time they left school) was assessed for Gender, Disability, and Race/Ethnicity. The analyses indicated that these groups were represented at least to the extent that they existed in the population or, when less, were within 5% of the population percentages of exiters. The analysis indicates that the response group was representative of the demographics of youth who are no longer in secondary school and had IEPs in effect at the time they left school.</w:t>
      </w:r>
    </w:p>
    <w:p w14:paraId="7DA0F981" w14:textId="77777777" w:rsidR="00090132" w:rsidRPr="005C202C" w:rsidRDefault="00090132" w:rsidP="005C202C">
      <w:pPr>
        <w:rPr>
          <w:b/>
          <w:bCs/>
        </w:rPr>
      </w:pPr>
      <w:r w:rsidRPr="005C202C">
        <w:rPr>
          <w:b/>
          <w:bCs/>
        </w:rPr>
        <w:t>The response data is representative of the demographics of youth who are no longer in school and had IEPs in effect at the time they left school. (yes/no)</w:t>
      </w:r>
    </w:p>
    <w:p w14:paraId="2390BBAE" w14:textId="77777777" w:rsidR="00090132" w:rsidRPr="00560FEE" w:rsidRDefault="00090132" w:rsidP="00090132">
      <w:pPr>
        <w:pStyle w:val="Subhed"/>
        <w:rPr>
          <w:b w:val="0"/>
          <w:bCs/>
        </w:rPr>
      </w:pPr>
      <w:r w:rsidRPr="008D51F2">
        <w:rPr>
          <w:b w:val="0"/>
          <w:bCs/>
        </w:rPr>
        <w:t>YES</w:t>
      </w:r>
    </w:p>
    <w:p w14:paraId="027CD8C2" w14:textId="77777777" w:rsidR="00090132" w:rsidRPr="005C202C" w:rsidRDefault="00090132" w:rsidP="005C202C">
      <w:pPr>
        <w:rPr>
          <w:b/>
          <w:bCs/>
        </w:rPr>
      </w:pPr>
      <w:r w:rsidRPr="005C202C">
        <w:rPr>
          <w:b/>
          <w:bCs/>
        </w:rPr>
        <w:t>If no, describe the strategies that the State will use to ensure that in the future the response data are representative of those demographics.</w:t>
      </w:r>
    </w:p>
    <w:p w14:paraId="0A943617" w14:textId="77777777" w:rsidR="00090132" w:rsidRPr="00560FEE" w:rsidRDefault="00090132" w:rsidP="00090132">
      <w:pPr>
        <w:pStyle w:val="Subhed"/>
        <w:rPr>
          <w:b w:val="0"/>
        </w:rPr>
      </w:pPr>
      <w:r w:rsidRPr="008D51F2">
        <w:rPr>
          <w:b w:val="0"/>
        </w:rPr>
        <w:t/>
      </w:r>
    </w:p>
    <w:p w14:paraId="72EBB8E4" w14:textId="77777777" w:rsidR="00090132" w:rsidRPr="00560FEE" w:rsidRDefault="00090132" w:rsidP="00090132">
      <w:pPr>
        <w:pStyle w:val="Subhed"/>
        <w:rPr>
          <w:b w:val="0"/>
        </w:rPr>
      </w:pPr>
    </w:p>
    <w:p w14:paraId="5820FDED" w14:textId="77777777" w:rsidR="00090132" w:rsidRPr="005C202C" w:rsidRDefault="00090132" w:rsidP="005C202C">
      <w:pPr>
        <w:rPr>
          <w:b/>
          <w:bCs/>
        </w:rPr>
      </w:pPr>
      <w:r w:rsidRPr="005C202C">
        <w:rPr>
          <w:b/>
          <w:bCs/>
        </w:rPr>
        <w:t>Describe the metric used to determine representativeness (e.g., +/- 3% discrepancy in the proportion of responders compared to target group).</w:t>
      </w:r>
    </w:p>
    <w:p w14:paraId="04BA4870" w14:textId="77777777" w:rsidR="00090132" w:rsidRDefault="00090132" w:rsidP="00090132">
      <w:pPr>
        <w:pStyle w:val="Subhed"/>
        <w:rPr>
          <w:b w:val="0"/>
        </w:rPr>
      </w:pPr>
      <w:r w:rsidRPr="008D51F2">
        <w:rPr>
          <w:b w:val="0"/>
        </w:rPr>
        <w:t xml:space="preserve">The respondent representativeness of the population of exiters (youth who are no longer in secondary school and had IEPs in effect at the time they left school) was assessed for Gender, Disability, and Race/Ethnicity. The analyses indicated that these groups were represented at least to the extent that they existed in the population or, when less, were within 5% of the population percentages of exiters. </w:t>
      </w: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5"/>
        <w:gridCol w:w="2485"/>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8E31C4">
            <w:pP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bl>
    <w:tbl>
      <w:tblPr>
        <w:tblStyle w:val="TableGrid"/>
        <w:tblW w:w="5000" w:type="pct"/>
        <w:tblLook w:val="04A0" w:firstRow="1" w:lastRow="0" w:firstColumn="1" w:lastColumn="0" w:noHBand="0" w:noVBand="1"/>
        <w:tblCaption w:val="B14SURVEYUSED"/>
      </w:tblPr>
      <w:tblGrid>
        <w:gridCol w:w="8306"/>
        <w:gridCol w:w="2484"/>
      </w:tblGrid>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8E31C4">
            <w:pP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93" w:name="_Toc382082390"/>
      <w:bookmarkStart w:id="94"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t/>
      </w: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None</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93"/>
      <w:bookmarkEnd w:id="94"/>
    </w:p>
    <w:p w14:paraId="7EA31497" w14:textId="77777777" w:rsidR="005B0B58" w:rsidRPr="00781112" w:rsidRDefault="005B0B58" w:rsidP="00A018D4">
      <w:pPr>
        <w:rPr>
          <w:color w:val="000000" w:themeColor="text1"/>
          <w:szCs w:val="20"/>
        </w:rPr>
      </w:pPr>
      <w:bookmarkStart w:id="95" w:name="_Toc381786822"/>
      <w:bookmarkStart w:id="96" w:name="_Toc382731911"/>
      <w:bookmarkStart w:id="97" w:name="_Toc382731912"/>
      <w:bookmarkStart w:id="98" w:name="_Toc392159340"/>
      <w:bookmarkEnd w:id="95"/>
      <w:bookmarkEnd w:id="96"/>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97"/>
    <w:bookmarkEnd w:id="98"/>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2</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bl>
    <w:p w14:paraId="162CEFB3" w14:textId="55A4ED3A" w:rsidR="004A33CD" w:rsidRPr="00781112" w:rsidRDefault="00E31E29">
      <w:pPr>
        <w:rPr>
          <w:b/>
          <w:color w:val="000000" w:themeColor="text1"/>
        </w:rPr>
      </w:pPr>
      <w:bookmarkStart w:id="99" w:name="_Toc382731913"/>
      <w:bookmarkStart w:id="100"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bookmarkEnd w:id="101"/>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
      </w:r>
    </w:p>
    <w:bookmarkEnd w:id="99"/>
    <w:bookmarkEnd w:id="100"/>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57.00%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14.29%</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40.00%</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
            </w: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9"/>
        <w:gridCol w:w="2017"/>
        <w:gridCol w:w="1554"/>
        <w:gridCol w:w="1554"/>
        <w:gridCol w:w="1553"/>
        <w:gridCol w:w="1553"/>
        <w:gridCol w:w="1549"/>
      </w:tblGrid>
      <w:tr w:rsidR="00AF574F" w:rsidRPr="00781112" w14:paraId="5B5B06C7" w14:textId="5314EC59" w:rsidTr="004B2960">
        <w:trPr>
          <w:trHeight w:val="431"/>
        </w:trPr>
        <w:tc>
          <w:tcPr>
            <w:tcW w:w="429" w:type="pct"/>
            <w:tcBorders>
              <w:bottom w:val="single" w:sz="4" w:space="0" w:color="auto"/>
            </w:tcBorders>
            <w:shd w:val="clear" w:color="auto" w:fill="auto"/>
          </w:tcPr>
          <w:p w14:paraId="31E34DD6" w14:textId="77777777" w:rsidR="00AF574F" w:rsidRPr="00781112" w:rsidRDefault="00AF574F" w:rsidP="00AF574F">
            <w:pPr>
              <w:jc w:val="center"/>
              <w:rPr>
                <w:b/>
                <w:color w:val="000000" w:themeColor="text1"/>
              </w:rPr>
            </w:pPr>
            <w:r w:rsidRPr="00781112">
              <w:rPr>
                <w:b/>
                <w:color w:val="000000" w:themeColor="text1"/>
              </w:rPr>
              <w:t>FFY</w:t>
            </w:r>
          </w:p>
        </w:tc>
        <w:tc>
          <w:tcPr>
            <w:tcW w:w="942" w:type="pct"/>
            <w:shd w:val="clear" w:color="auto" w:fill="auto"/>
          </w:tcPr>
          <w:p w14:paraId="782DDA76" w14:textId="193A6DE4" w:rsidR="00AF574F" w:rsidRPr="00781112" w:rsidRDefault="00AF574F" w:rsidP="00AF574F">
            <w:pPr>
              <w:jc w:val="center"/>
              <w:rPr>
                <w:b/>
                <w:color w:val="000000" w:themeColor="text1"/>
              </w:rPr>
            </w:pPr>
            <w:r w:rsidRPr="00781112">
              <w:rPr>
                <w:b/>
                <w:color w:val="000000" w:themeColor="text1"/>
              </w:rPr>
              <w:t>2020</w:t>
            </w:r>
          </w:p>
        </w:tc>
        <w:tc>
          <w:tcPr>
            <w:tcW w:w="726" w:type="pct"/>
          </w:tcPr>
          <w:p w14:paraId="64BBFFA7" w14:textId="5A89DD6A" w:rsidR="00AF574F" w:rsidRPr="00781112" w:rsidRDefault="00AF574F" w:rsidP="00AF574F">
            <w:pPr>
              <w:spacing w:before="0" w:after="200" w:line="276" w:lineRule="auto"/>
            </w:pPr>
            <w:r w:rsidRPr="00781112">
              <w:rPr>
                <w:rFonts w:cs="Arial"/>
                <w:b/>
                <w:color w:val="000000" w:themeColor="text1"/>
                <w:szCs w:val="16"/>
              </w:rPr>
              <w:t>2021</w:t>
            </w:r>
          </w:p>
        </w:tc>
        <w:tc>
          <w:tcPr>
            <w:tcW w:w="726" w:type="pct"/>
          </w:tcPr>
          <w:p w14:paraId="1B4B8409" w14:textId="760000D9" w:rsidR="00AF574F" w:rsidRPr="00781112" w:rsidRDefault="00AF574F" w:rsidP="00AF574F">
            <w:pPr>
              <w:spacing w:before="0" w:after="200" w:line="276" w:lineRule="auto"/>
            </w:pPr>
            <w:r w:rsidRPr="00781112">
              <w:rPr>
                <w:rFonts w:cs="Arial"/>
                <w:b/>
                <w:color w:val="000000" w:themeColor="text1"/>
                <w:szCs w:val="16"/>
              </w:rPr>
              <w:t>2022</w:t>
            </w:r>
          </w:p>
        </w:tc>
        <w:tc>
          <w:tcPr>
            <w:tcW w:w="726" w:type="pct"/>
          </w:tcPr>
          <w:p w14:paraId="3B1502FE" w14:textId="792D80C3" w:rsidR="00AF574F" w:rsidRPr="00781112" w:rsidRDefault="00AF574F" w:rsidP="00AF574F">
            <w:pPr>
              <w:spacing w:before="0" w:after="200" w:line="276" w:lineRule="auto"/>
            </w:pPr>
            <w:r w:rsidRPr="00781112">
              <w:rPr>
                <w:rFonts w:cs="Arial"/>
                <w:b/>
                <w:color w:val="000000" w:themeColor="text1"/>
                <w:szCs w:val="16"/>
              </w:rPr>
              <w:t>2023</w:t>
            </w:r>
          </w:p>
        </w:tc>
        <w:tc>
          <w:tcPr>
            <w:tcW w:w="726" w:type="pct"/>
          </w:tcPr>
          <w:p w14:paraId="3020AD2E" w14:textId="61B1A376" w:rsidR="00AF574F" w:rsidRPr="00781112" w:rsidRDefault="00AF574F" w:rsidP="00AF574F">
            <w:pPr>
              <w:spacing w:before="0" w:after="200" w:line="276" w:lineRule="auto"/>
            </w:pPr>
            <w:r w:rsidRPr="00781112">
              <w:rPr>
                <w:rFonts w:cs="Arial"/>
                <w:b/>
                <w:color w:val="000000" w:themeColor="text1"/>
                <w:szCs w:val="16"/>
              </w:rPr>
              <w:t>2024</w:t>
            </w:r>
          </w:p>
        </w:tc>
        <w:tc>
          <w:tcPr>
            <w:tcW w:w="724" w:type="pct"/>
          </w:tcPr>
          <w:p w14:paraId="70A08E8E" w14:textId="76D8D1FC" w:rsidR="00AF574F" w:rsidRPr="00781112" w:rsidRDefault="00AF574F" w:rsidP="00AF574F">
            <w:pPr>
              <w:spacing w:before="0" w:after="200" w:line="276" w:lineRule="auto"/>
            </w:pPr>
            <w:r w:rsidRPr="00781112">
              <w:rPr>
                <w:rFonts w:cs="Arial"/>
                <w:b/>
                <w:color w:val="000000" w:themeColor="text1"/>
                <w:szCs w:val="16"/>
              </w:rPr>
              <w:t>2025</w:t>
            </w:r>
          </w:p>
        </w:tc>
      </w:tr>
      <w:tr w:rsidR="00AF574F" w:rsidRPr="00781112" w14:paraId="2E97FCFB" w14:textId="76FCB4DE" w:rsidTr="004B2960">
        <w:trPr>
          <w:trHeight w:val="521"/>
        </w:trPr>
        <w:tc>
          <w:tcPr>
            <w:tcW w:w="429" w:type="pct"/>
            <w:shd w:val="clear" w:color="auto" w:fill="auto"/>
          </w:tcPr>
          <w:p w14:paraId="4E1FED50" w14:textId="35E6081C" w:rsidR="00AF574F" w:rsidRPr="00781112" w:rsidRDefault="00AF574F" w:rsidP="00AF574F">
            <w:pPr>
              <w:rPr>
                <w:rFonts w:cs="Arial"/>
                <w:color w:val="000000" w:themeColor="text1"/>
                <w:szCs w:val="16"/>
              </w:rPr>
            </w:pPr>
            <w:r w:rsidRPr="00781112">
              <w:rPr>
                <w:rFonts w:cs="Arial"/>
                <w:color w:val="000000" w:themeColor="text1"/>
                <w:szCs w:val="16"/>
              </w:rPr>
              <w:lastRenderedPageBreak/>
              <w:t>Target &gt;=</w:t>
            </w:r>
          </w:p>
        </w:tc>
        <w:tc>
          <w:tcPr>
            <w:tcW w:w="942" w:type="pct"/>
            <w:shd w:val="clear" w:color="auto" w:fill="auto"/>
            <w:vAlign w:val="center"/>
          </w:tcPr>
          <w:p w14:paraId="39DFFAEB" w14:textId="54D1D7D6" w:rsidR="00AF574F" w:rsidRPr="00781112" w:rsidRDefault="00AF574F" w:rsidP="00AF574F">
            <w:pPr>
              <w:jc w:val="center"/>
              <w:rPr>
                <w:rFonts w:cs="Arial"/>
                <w:color w:val="000000" w:themeColor="text1"/>
                <w:szCs w:val="16"/>
              </w:rPr>
            </w:pPr>
            <w:r w:rsidRPr="00781112">
              <w:rPr>
                <w:rFonts w:cs="Arial"/>
                <w:color w:val="000000" w:themeColor="text1"/>
                <w:szCs w:val="16"/>
              </w:rPr>
              <w:t>58.00%</w:t>
            </w:r>
          </w:p>
        </w:tc>
        <w:tc>
          <w:tcPr>
            <w:tcW w:w="726" w:type="pct"/>
          </w:tcPr>
          <w:p w14:paraId="57B3A075" w14:textId="21F2B25E" w:rsidR="00AF574F" w:rsidRPr="00781112" w:rsidRDefault="00AF574F" w:rsidP="00AF574F">
            <w:pPr>
              <w:spacing w:before="0" w:after="200" w:line="276" w:lineRule="auto"/>
            </w:pPr>
            <w:r w:rsidRPr="00781112">
              <w:rPr>
                <w:color w:val="000000" w:themeColor="text1"/>
                <w:szCs w:val="16"/>
              </w:rPr>
              <w:t>58.00%</w:t>
            </w:r>
          </w:p>
        </w:tc>
        <w:tc>
          <w:tcPr>
            <w:tcW w:w="726" w:type="pct"/>
          </w:tcPr>
          <w:p w14:paraId="211F936E" w14:textId="58F0DC2F" w:rsidR="00AF574F" w:rsidRPr="00781112" w:rsidRDefault="00AF574F" w:rsidP="00AF574F">
            <w:pPr>
              <w:spacing w:before="0" w:after="200" w:line="276" w:lineRule="auto"/>
            </w:pPr>
            <w:r w:rsidRPr="00781112">
              <w:rPr>
                <w:color w:val="000000" w:themeColor="text1"/>
                <w:szCs w:val="16"/>
              </w:rPr>
              <w:t>58.00%</w:t>
            </w:r>
          </w:p>
        </w:tc>
        <w:tc>
          <w:tcPr>
            <w:tcW w:w="726" w:type="pct"/>
          </w:tcPr>
          <w:p w14:paraId="53679E27" w14:textId="6773FF8D" w:rsidR="00AF574F" w:rsidRPr="00781112" w:rsidRDefault="00AF574F" w:rsidP="00AF574F">
            <w:pPr>
              <w:spacing w:before="0" w:after="200" w:line="276" w:lineRule="auto"/>
            </w:pPr>
            <w:r w:rsidRPr="00781112">
              <w:rPr>
                <w:color w:val="000000" w:themeColor="text1"/>
                <w:szCs w:val="16"/>
              </w:rPr>
              <w:t>58.00%</w:t>
            </w:r>
          </w:p>
        </w:tc>
        <w:tc>
          <w:tcPr>
            <w:tcW w:w="726" w:type="pct"/>
          </w:tcPr>
          <w:p w14:paraId="492B2B0A" w14:textId="258B9D99" w:rsidR="00AF574F" w:rsidRPr="00781112" w:rsidRDefault="00AF574F" w:rsidP="00AF574F">
            <w:pPr>
              <w:spacing w:before="0" w:after="200" w:line="276" w:lineRule="auto"/>
            </w:pPr>
            <w:r w:rsidRPr="00781112">
              <w:rPr>
                <w:color w:val="000000" w:themeColor="text1"/>
                <w:szCs w:val="16"/>
              </w:rPr>
              <w:t>58.00%</w:t>
            </w:r>
          </w:p>
        </w:tc>
        <w:tc>
          <w:tcPr>
            <w:tcW w:w="724" w:type="pct"/>
          </w:tcPr>
          <w:p w14:paraId="181EF58D" w14:textId="76BA9614" w:rsidR="00AF574F" w:rsidRPr="00781112" w:rsidRDefault="00AF574F" w:rsidP="00AF574F">
            <w:pPr>
              <w:spacing w:before="0" w:after="200" w:line="276" w:lineRule="auto"/>
            </w:pPr>
            <w:r w:rsidRPr="00781112">
              <w:rPr>
                <w:color w:val="000000" w:themeColor="text1"/>
                <w:szCs w:val="16"/>
              </w:rPr>
              <w:t>58.00%</w:t>
            </w:r>
          </w:p>
        </w:tc>
      </w:tr>
    </w:tbl>
    <w:p w14:paraId="25B7ED55" w14:textId="77777777" w:rsidR="00CE0C68" w:rsidRPr="00781112" w:rsidRDefault="00CE0C68" w:rsidP="004369B2">
      <w:pPr>
        <w:rPr>
          <w:color w:val="000000" w:themeColor="text1"/>
        </w:rPr>
      </w:pPr>
    </w:p>
    <w:p w14:paraId="639445A0" w14:textId="50400B62" w:rsidR="00634AD8" w:rsidRPr="00781112" w:rsidRDefault="00806C75">
      <w:pPr>
        <w:rPr>
          <w:b/>
          <w:color w:val="000000" w:themeColor="text1"/>
        </w:rPr>
      </w:pPr>
      <w:r w:rsidRPr="00781112">
        <w:rPr>
          <w:b/>
          <w:color w:val="000000" w:themeColor="text1"/>
        </w:rPr>
        <w:t>FFY 2020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3"/>
        <w:gridCol w:w="1626"/>
        <w:gridCol w:w="1272"/>
        <w:gridCol w:w="1907"/>
        <w:gridCol w:w="1493"/>
        <w:gridCol w:w="1453"/>
        <w:gridCol w:w="1406"/>
      </w:tblGrid>
      <w:tr w:rsidR="005C29F8" w:rsidRPr="00781112" w14:paraId="7CE022CD" w14:textId="689D2875" w:rsidTr="00877012">
        <w:trPr>
          <w:trHeight w:val="354"/>
          <w:tblHeader/>
        </w:trPr>
        <w:tc>
          <w:tcPr>
            <w:tcW w:w="757" w:type="pct"/>
            <w:shd w:val="clear" w:color="auto" w:fill="auto"/>
            <w:vAlign w:val="bottom"/>
          </w:tcPr>
          <w:p w14:paraId="4A4004E2" w14:textId="77777777" w:rsidR="00B14746" w:rsidRPr="00781112" w:rsidRDefault="00B14746" w:rsidP="00681BA6">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53" w:type="pct"/>
            <w:shd w:val="clear" w:color="auto" w:fill="auto"/>
            <w:vAlign w:val="bottom"/>
          </w:tcPr>
          <w:p w14:paraId="15083250" w14:textId="77777777" w:rsidR="00B14746" w:rsidRPr="00781112" w:rsidRDefault="00B14746" w:rsidP="00681BA6">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44017C74" w:rsidR="00B14746"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884" w:type="pct"/>
            <w:shd w:val="clear" w:color="auto" w:fill="auto"/>
            <w:vAlign w:val="bottom"/>
          </w:tcPr>
          <w:p w14:paraId="5285C3DA" w14:textId="08103D6B" w:rsidR="00B14746"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692" w:type="pct"/>
            <w:shd w:val="clear" w:color="auto" w:fill="auto"/>
            <w:vAlign w:val="bottom"/>
          </w:tcPr>
          <w:p w14:paraId="767EE33A" w14:textId="7210EC16" w:rsidR="00B14746"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673" w:type="pct"/>
            <w:shd w:val="clear" w:color="auto" w:fill="auto"/>
            <w:vAlign w:val="bottom"/>
          </w:tcPr>
          <w:p w14:paraId="3FC7FD1C" w14:textId="7EA4D921" w:rsidR="00B14746" w:rsidRPr="00781112" w:rsidRDefault="00B14746" w:rsidP="00681BA6">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14746" w:rsidRPr="00781112" w:rsidRDefault="00B14746"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589" w:type="pct"/>
            <w:shd w:val="clear" w:color="auto" w:fill="auto"/>
          </w:tcPr>
          <w:p w14:paraId="759C2AEB" w14:textId="7C5FF94E" w:rsidR="00372DF8"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884" w:type="pct"/>
            <w:shd w:val="clear" w:color="auto" w:fill="auto"/>
          </w:tcPr>
          <w:p w14:paraId="446CA14A" w14:textId="2AFBAFDB" w:rsidR="00372DF8"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692" w:type="pct"/>
            <w:shd w:val="clear" w:color="auto" w:fill="auto"/>
          </w:tcPr>
          <w:p w14:paraId="4B8389D1" w14:textId="31159250" w:rsidR="00372DF8"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B7490" w:rsidP="007D435F">
      <w:pPr>
        <w:rPr>
          <w:rFonts w:cs="Arial"/>
          <w:color w:val="000000" w:themeColor="text1"/>
          <w:szCs w:val="16"/>
        </w:rPr>
      </w:pPr>
      <w:r w:rsidRPr="00781112">
        <w:rPr>
          <w:rFonts w:cs="Arial"/>
          <w:color w:val="000000" w:themeColor="text1"/>
          <w:szCs w:val="16"/>
        </w:rPr>
        <w:t>Maine reported fewer than ten resolution sessions held in FFY 2020. The State is not required to meet its targets until any fiscal year in which ten or more resolution sessions were held.</w:t>
      </w: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this indicator, and OSEP accepts those targets.</w:t>
        <w:br/>
        <w:t/>
        <w:br/>
        <w:t xml:space="preserve">The State reported fewer than ten resolution sessions held in FFY 2020. The State is not required to provide targets until any fiscal year in which ten or more resolution sessions were held. </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B7490" w:rsidP="001F692C">
      <w:pPr>
        <w:rPr>
          <w:rFonts w:cs="Arial"/>
          <w:color w:val="000000" w:themeColor="text1"/>
          <w:szCs w:val="16"/>
        </w:rPr>
      </w:pPr>
      <w:r w:rsidRPr="00781112">
        <w:rPr>
          <w:rFonts w:cs="Arial"/>
          <w:color w:val="000000" w:themeColor="text1"/>
          <w:szCs w:val="16"/>
        </w:rPr>
        <w:t/>
      </w: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34B4FBB0"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bookmarkEnd w:id="102"/>
      <w:bookmarkEnd w:id="103"/>
      <w:bookmarkEnd w:id="104"/>
    </w:p>
    <w:p w14:paraId="589E185D" w14:textId="77777777" w:rsidR="00BF232E" w:rsidRPr="00781112" w:rsidRDefault="00BF232E" w:rsidP="00A018D4">
      <w:pPr>
        <w:rPr>
          <w:color w:val="000000" w:themeColor="text1"/>
          <w:szCs w:val="20"/>
        </w:rPr>
      </w:pPr>
      <w:bookmarkStart w:id="105" w:name="_Toc382731916"/>
      <w:bookmarkStart w:id="106"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(2.1(a)(i) + 2.1(b)(i))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6DE2BA12"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resolution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105"/>
    <w:bookmarkEnd w:id="106"/>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46</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20</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11</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83.30%</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85.00%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85.00%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85.00%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85.00%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85.00%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71.79%</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60.47%</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69.09%</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67.31%</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70.21%</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1"/>
        <w:gridCol w:w="1684"/>
        <w:gridCol w:w="1684"/>
        <w:gridCol w:w="1684"/>
        <w:gridCol w:w="1683"/>
        <w:gridCol w:w="1683"/>
        <w:gridCol w:w="1683"/>
      </w:tblGrid>
      <w:tr w:rsidR="00C91F30" w:rsidRPr="00781112" w14:paraId="7D6724D3" w14:textId="3FE2AE32" w:rsidTr="004B2960">
        <w:trPr>
          <w:trHeight w:val="161"/>
        </w:trPr>
        <w:tc>
          <w:tcPr>
            <w:tcW w:w="354" w:type="pct"/>
            <w:tcBorders>
              <w:bottom w:val="single" w:sz="4" w:space="0" w:color="auto"/>
            </w:tcBorders>
            <w:shd w:val="clear" w:color="auto" w:fill="auto"/>
          </w:tcPr>
          <w:p w14:paraId="027FBB7B" w14:textId="77777777" w:rsidR="00C91F30" w:rsidRPr="00781112" w:rsidRDefault="00C91F30" w:rsidP="00C91F30">
            <w:pPr>
              <w:jc w:val="center"/>
              <w:rPr>
                <w:b/>
                <w:color w:val="000000" w:themeColor="text1"/>
              </w:rPr>
            </w:pPr>
            <w:r w:rsidRPr="00781112">
              <w:rPr>
                <w:b/>
                <w:color w:val="000000" w:themeColor="text1"/>
              </w:rPr>
              <w:t>FFY</w:t>
            </w:r>
          </w:p>
        </w:tc>
        <w:tc>
          <w:tcPr>
            <w:tcW w:w="774" w:type="pct"/>
            <w:shd w:val="clear" w:color="auto" w:fill="auto"/>
          </w:tcPr>
          <w:p w14:paraId="79481979" w14:textId="1C95D22E" w:rsidR="00C91F30" w:rsidRPr="00781112" w:rsidRDefault="00C91F30" w:rsidP="00C91F30">
            <w:pPr>
              <w:jc w:val="center"/>
              <w:rPr>
                <w:b/>
                <w:color w:val="000000" w:themeColor="text1"/>
              </w:rPr>
            </w:pPr>
            <w:r w:rsidRPr="00781112">
              <w:rPr>
                <w:b/>
                <w:color w:val="000000" w:themeColor="text1"/>
              </w:rPr>
              <w:t>2020</w:t>
            </w:r>
          </w:p>
        </w:tc>
        <w:tc>
          <w:tcPr>
            <w:tcW w:w="774" w:type="pct"/>
          </w:tcPr>
          <w:p w14:paraId="7641993D" w14:textId="318DCACC" w:rsidR="00C91F30" w:rsidRPr="00781112" w:rsidRDefault="00C91F30" w:rsidP="00C91F30">
            <w:pPr>
              <w:jc w:val="center"/>
              <w:rPr>
                <w:b/>
                <w:color w:val="000000" w:themeColor="text1"/>
              </w:rPr>
            </w:pPr>
            <w:r w:rsidRPr="00781112">
              <w:rPr>
                <w:rFonts w:cs="Arial"/>
                <w:b/>
                <w:color w:val="000000" w:themeColor="text1"/>
                <w:szCs w:val="16"/>
              </w:rPr>
              <w:t>2021</w:t>
            </w:r>
          </w:p>
        </w:tc>
        <w:tc>
          <w:tcPr>
            <w:tcW w:w="774" w:type="pct"/>
          </w:tcPr>
          <w:p w14:paraId="4DA0BAA3" w14:textId="27A9B6F2" w:rsidR="00C91F30" w:rsidRPr="00781112" w:rsidRDefault="00C91F30" w:rsidP="00C91F30">
            <w:pPr>
              <w:jc w:val="center"/>
              <w:rPr>
                <w:b/>
                <w:color w:val="000000" w:themeColor="text1"/>
              </w:rPr>
            </w:pPr>
            <w:r w:rsidRPr="00781112">
              <w:rPr>
                <w:rFonts w:cs="Arial"/>
                <w:b/>
                <w:color w:val="000000" w:themeColor="text1"/>
                <w:szCs w:val="16"/>
              </w:rPr>
              <w:t>2022</w:t>
            </w:r>
          </w:p>
        </w:tc>
        <w:tc>
          <w:tcPr>
            <w:tcW w:w="774" w:type="pct"/>
          </w:tcPr>
          <w:p w14:paraId="2A24D443" w14:textId="34DC3CA7" w:rsidR="00C91F30" w:rsidRPr="00781112" w:rsidRDefault="00C91F30" w:rsidP="00C91F30">
            <w:pPr>
              <w:jc w:val="center"/>
              <w:rPr>
                <w:b/>
                <w:color w:val="000000" w:themeColor="text1"/>
              </w:rPr>
            </w:pPr>
            <w:r w:rsidRPr="00781112">
              <w:rPr>
                <w:rFonts w:cs="Arial"/>
                <w:b/>
                <w:color w:val="000000" w:themeColor="text1"/>
                <w:szCs w:val="16"/>
              </w:rPr>
              <w:t>2023</w:t>
            </w:r>
          </w:p>
        </w:tc>
        <w:tc>
          <w:tcPr>
            <w:tcW w:w="774" w:type="pct"/>
          </w:tcPr>
          <w:p w14:paraId="61EFC808" w14:textId="000FAB3D" w:rsidR="00C91F30" w:rsidRPr="00781112" w:rsidRDefault="00C91F30" w:rsidP="00C91F30">
            <w:pPr>
              <w:jc w:val="center"/>
              <w:rPr>
                <w:b/>
                <w:color w:val="000000" w:themeColor="text1"/>
              </w:rPr>
            </w:pPr>
            <w:r w:rsidRPr="00781112">
              <w:rPr>
                <w:rFonts w:cs="Arial"/>
                <w:b/>
                <w:color w:val="000000" w:themeColor="text1"/>
                <w:szCs w:val="16"/>
              </w:rPr>
              <w:t>2024</w:t>
            </w:r>
          </w:p>
        </w:tc>
        <w:tc>
          <w:tcPr>
            <w:tcW w:w="774" w:type="pct"/>
          </w:tcPr>
          <w:p w14:paraId="46D9D5DD" w14:textId="7428EB18" w:rsidR="00C91F30" w:rsidRPr="00781112" w:rsidRDefault="00C91F30" w:rsidP="00C91F30">
            <w:pPr>
              <w:jc w:val="center"/>
              <w:rPr>
                <w:b/>
                <w:color w:val="000000" w:themeColor="text1"/>
              </w:rPr>
            </w:pPr>
            <w:r w:rsidRPr="00781112">
              <w:rPr>
                <w:rFonts w:cs="Arial"/>
                <w:b/>
                <w:color w:val="000000" w:themeColor="text1"/>
                <w:szCs w:val="16"/>
              </w:rPr>
              <w:t>2025</w:t>
            </w:r>
          </w:p>
        </w:tc>
      </w:tr>
      <w:tr w:rsidR="00C91F30" w:rsidRPr="00781112" w14:paraId="3CA53C0F" w14:textId="2DEE5BE6" w:rsidTr="004B2960">
        <w:trPr>
          <w:trHeight w:val="60"/>
        </w:trPr>
        <w:tc>
          <w:tcPr>
            <w:tcW w:w="354" w:type="pct"/>
            <w:shd w:val="clear" w:color="auto" w:fill="auto"/>
          </w:tcPr>
          <w:p w14:paraId="78FC9CAC" w14:textId="6980A1CA" w:rsidR="00C91F30" w:rsidRPr="00781112" w:rsidRDefault="00C91F30" w:rsidP="00C91F30">
            <w:pPr>
              <w:jc w:val="center"/>
              <w:rPr>
                <w:rFonts w:cs="Arial"/>
                <w:color w:val="000000" w:themeColor="text1"/>
                <w:szCs w:val="16"/>
              </w:rPr>
            </w:pPr>
            <w:r w:rsidRPr="00781112">
              <w:rPr>
                <w:rFonts w:cs="Arial"/>
                <w:color w:val="000000" w:themeColor="text1"/>
                <w:szCs w:val="16"/>
              </w:rPr>
              <w:lastRenderedPageBreak/>
              <w:t>Target &gt;=</w:t>
            </w:r>
          </w:p>
        </w:tc>
        <w:tc>
          <w:tcPr>
            <w:tcW w:w="774" w:type="pct"/>
            <w:shd w:val="clear" w:color="auto" w:fill="auto"/>
            <w:vAlign w:val="center"/>
          </w:tcPr>
          <w:p w14:paraId="0E137397" w14:textId="06CBC1FD" w:rsidR="00C91F30" w:rsidRPr="00781112" w:rsidRDefault="00C91F30" w:rsidP="00C91F30">
            <w:pPr>
              <w:jc w:val="center"/>
              <w:rPr>
                <w:rFonts w:cs="Arial"/>
                <w:color w:val="000000" w:themeColor="text1"/>
                <w:szCs w:val="16"/>
              </w:rPr>
            </w:pPr>
            <w:r w:rsidRPr="00781112">
              <w:rPr>
                <w:rFonts w:cs="Arial"/>
                <w:color w:val="000000" w:themeColor="text1"/>
                <w:szCs w:val="16"/>
              </w:rPr>
              <w:t>85.00%</w:t>
            </w:r>
          </w:p>
        </w:tc>
        <w:tc>
          <w:tcPr>
            <w:tcW w:w="774" w:type="pct"/>
          </w:tcPr>
          <w:p w14:paraId="2C484D83" w14:textId="77BCE060" w:rsidR="00C91F30" w:rsidRPr="00781112" w:rsidRDefault="00C91F30" w:rsidP="00C91F30">
            <w:pPr>
              <w:jc w:val="center"/>
              <w:rPr>
                <w:rFonts w:cs="Arial"/>
                <w:color w:val="000000" w:themeColor="text1"/>
                <w:szCs w:val="16"/>
              </w:rPr>
            </w:pPr>
            <w:r w:rsidRPr="00781112">
              <w:rPr>
                <w:color w:val="000000" w:themeColor="text1"/>
                <w:szCs w:val="16"/>
              </w:rPr>
              <w:t>85.00%</w:t>
            </w:r>
          </w:p>
        </w:tc>
        <w:tc>
          <w:tcPr>
            <w:tcW w:w="774" w:type="pct"/>
          </w:tcPr>
          <w:p w14:paraId="6CD274F3" w14:textId="076582AE" w:rsidR="00C91F30" w:rsidRPr="00781112" w:rsidRDefault="00C91F30" w:rsidP="00C91F30">
            <w:pPr>
              <w:jc w:val="center"/>
              <w:rPr>
                <w:rFonts w:cs="Arial"/>
                <w:color w:val="000000" w:themeColor="text1"/>
                <w:szCs w:val="16"/>
              </w:rPr>
            </w:pPr>
            <w:r w:rsidRPr="00781112">
              <w:rPr>
                <w:color w:val="000000" w:themeColor="text1"/>
                <w:szCs w:val="16"/>
              </w:rPr>
              <w:t>85.00%</w:t>
            </w:r>
          </w:p>
        </w:tc>
        <w:tc>
          <w:tcPr>
            <w:tcW w:w="774" w:type="pct"/>
          </w:tcPr>
          <w:p w14:paraId="60DD90BA" w14:textId="5816204A" w:rsidR="00C91F30" w:rsidRPr="00781112" w:rsidRDefault="00C91F30" w:rsidP="00C91F30">
            <w:pPr>
              <w:jc w:val="center"/>
              <w:rPr>
                <w:rFonts w:cs="Arial"/>
                <w:color w:val="000000" w:themeColor="text1"/>
                <w:szCs w:val="16"/>
              </w:rPr>
            </w:pPr>
            <w:r w:rsidRPr="00781112">
              <w:rPr>
                <w:color w:val="000000" w:themeColor="text1"/>
                <w:szCs w:val="16"/>
              </w:rPr>
              <w:t>85.00%</w:t>
            </w:r>
          </w:p>
        </w:tc>
        <w:tc>
          <w:tcPr>
            <w:tcW w:w="774" w:type="pct"/>
          </w:tcPr>
          <w:p w14:paraId="2F06128D" w14:textId="63E3880D" w:rsidR="00C91F30" w:rsidRPr="00781112" w:rsidRDefault="00C91F30" w:rsidP="00C91F30">
            <w:pPr>
              <w:jc w:val="center"/>
              <w:rPr>
                <w:rFonts w:cs="Arial"/>
                <w:color w:val="000000" w:themeColor="text1"/>
                <w:szCs w:val="16"/>
              </w:rPr>
            </w:pPr>
            <w:r w:rsidRPr="00781112">
              <w:rPr>
                <w:color w:val="000000" w:themeColor="text1"/>
                <w:szCs w:val="16"/>
              </w:rPr>
              <w:t>85.00%</w:t>
            </w:r>
          </w:p>
        </w:tc>
        <w:tc>
          <w:tcPr>
            <w:tcW w:w="774" w:type="pct"/>
          </w:tcPr>
          <w:p w14:paraId="1702830B" w14:textId="0747B6E8" w:rsidR="00C91F30" w:rsidRPr="00781112" w:rsidRDefault="00C91F30" w:rsidP="00C91F30">
            <w:pPr>
              <w:jc w:val="center"/>
              <w:rPr>
                <w:rFonts w:cs="Arial"/>
                <w:color w:val="000000" w:themeColor="text1"/>
                <w:szCs w:val="16"/>
              </w:rPr>
            </w:pPr>
            <w:r w:rsidRPr="00781112">
              <w:rPr>
                <w:color w:val="000000" w:themeColor="text1"/>
                <w:szCs w:val="16"/>
              </w:rPr>
              <w:t>85.00%</w:t>
            </w:r>
          </w:p>
        </w:tc>
      </w:tr>
    </w:tbl>
    <w:p w14:paraId="3BC65958" w14:textId="77777777" w:rsidR="00DA3157" w:rsidRPr="00781112" w:rsidRDefault="00DA3157" w:rsidP="004369B2">
      <w:pPr>
        <w:rPr>
          <w:color w:val="000000" w:themeColor="text1"/>
        </w:rPr>
      </w:pPr>
    </w:p>
    <w:p w14:paraId="29FDEA16" w14:textId="5882749D" w:rsidR="008E31C4" w:rsidRPr="00781112" w:rsidRDefault="00806C75">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7"/>
        <w:gridCol w:w="1437"/>
        <w:gridCol w:w="1404"/>
        <w:gridCol w:w="1106"/>
        <w:gridCol w:w="1640"/>
        <w:gridCol w:w="1291"/>
        <w:gridCol w:w="1257"/>
        <w:gridCol w:w="1218"/>
      </w:tblGrid>
      <w:tr w:rsidR="005C29F8" w:rsidRPr="00781112" w14:paraId="30B18EC1" w14:textId="77777777" w:rsidTr="0033429D">
        <w:trPr>
          <w:trHeight w:val="354"/>
          <w:tblHeader/>
        </w:trPr>
        <w:tc>
          <w:tcPr>
            <w:tcW w:w="666" w:type="pct"/>
            <w:shd w:val="clear" w:color="auto" w:fill="auto"/>
          </w:tcPr>
          <w:p w14:paraId="2285C16D" w14:textId="593BA89E" w:rsidR="00ED71A6" w:rsidRPr="00781112" w:rsidRDefault="00ED71A6" w:rsidP="00ED71A6">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666" w:type="pct"/>
            <w:shd w:val="clear" w:color="auto" w:fill="auto"/>
            <w:vAlign w:val="bottom"/>
          </w:tcPr>
          <w:p w14:paraId="0D0A1148" w14:textId="5AB9157D" w:rsidR="00ED71A6" w:rsidRPr="00781112" w:rsidRDefault="00ED71A6" w:rsidP="00ED71A6">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ED71A6" w:rsidRPr="00781112" w:rsidRDefault="00ED71A6" w:rsidP="00ED71A6">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1FC08F11" w:rsidR="00ED71A6" w:rsidRPr="00781112" w:rsidRDefault="00F6415A" w:rsidP="00ED71A6">
            <w:pPr>
              <w:jc w:val="center"/>
              <w:rPr>
                <w:rFonts w:cs="Arial"/>
                <w:b/>
                <w:color w:val="000000" w:themeColor="text1"/>
                <w:szCs w:val="16"/>
              </w:rPr>
            </w:pPr>
            <w:r w:rsidRPr="00781112">
              <w:rPr>
                <w:rFonts w:cs="Arial"/>
                <w:b/>
                <w:color w:val="000000" w:themeColor="text1"/>
                <w:szCs w:val="16"/>
              </w:rPr>
              <w:t>FFY 2019 Data</w:t>
            </w:r>
          </w:p>
        </w:tc>
        <w:tc>
          <w:tcPr>
            <w:tcW w:w="760" w:type="pct"/>
            <w:shd w:val="clear" w:color="auto" w:fill="auto"/>
            <w:vAlign w:val="bottom"/>
          </w:tcPr>
          <w:p w14:paraId="76531DBA" w14:textId="393D4576" w:rsidR="00ED71A6" w:rsidRPr="00781112" w:rsidRDefault="00806C75" w:rsidP="00ED71A6">
            <w:pPr>
              <w:jc w:val="center"/>
              <w:rPr>
                <w:rFonts w:cs="Arial"/>
                <w:b/>
                <w:color w:val="000000" w:themeColor="text1"/>
                <w:szCs w:val="16"/>
              </w:rPr>
            </w:pPr>
            <w:r w:rsidRPr="00781112">
              <w:rPr>
                <w:rFonts w:cs="Arial"/>
                <w:b/>
                <w:color w:val="000000" w:themeColor="text1"/>
                <w:szCs w:val="16"/>
              </w:rPr>
              <w:t>FFY 2020 Target</w:t>
            </w:r>
          </w:p>
        </w:tc>
        <w:tc>
          <w:tcPr>
            <w:tcW w:w="598" w:type="pct"/>
            <w:shd w:val="clear" w:color="auto" w:fill="auto"/>
            <w:vAlign w:val="bottom"/>
          </w:tcPr>
          <w:p w14:paraId="6DA84C86" w14:textId="7E9E81E0" w:rsidR="00ED71A6" w:rsidRPr="00781112" w:rsidRDefault="00806C75" w:rsidP="00ED71A6">
            <w:pPr>
              <w:jc w:val="center"/>
              <w:rPr>
                <w:rFonts w:cs="Arial"/>
                <w:b/>
                <w:color w:val="000000" w:themeColor="text1"/>
                <w:szCs w:val="16"/>
              </w:rPr>
            </w:pPr>
            <w:r w:rsidRPr="00781112">
              <w:rPr>
                <w:rFonts w:cs="Arial"/>
                <w:b/>
                <w:color w:val="000000" w:themeColor="text1"/>
                <w:szCs w:val="16"/>
              </w:rPr>
              <w:t>FFY 2020 Data</w:t>
            </w:r>
          </w:p>
        </w:tc>
        <w:tc>
          <w:tcPr>
            <w:tcW w:w="582" w:type="pct"/>
            <w:shd w:val="clear" w:color="auto" w:fill="auto"/>
            <w:vAlign w:val="bottom"/>
          </w:tcPr>
          <w:p w14:paraId="6C8C9681" w14:textId="77777777" w:rsidR="00ED71A6" w:rsidRPr="00781112" w:rsidRDefault="00ED71A6" w:rsidP="00ED71A6">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ED71A6" w:rsidRPr="00781112" w:rsidRDefault="00ED71A6" w:rsidP="00ED71A6">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20</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11</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46</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70.21%</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85.00%</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67.39%</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03422290" w14:textId="77777777" w:rsidR="00BB79DA" w:rsidRPr="00781112" w:rsidRDefault="00BB79DA">
      <w:pPr>
        <w:rPr>
          <w:color w:val="000000" w:themeColor="text1"/>
        </w:rPr>
      </w:pPr>
    </w:p>
    <w:p w14:paraId="24CDA891" w14:textId="493C5E97" w:rsidR="0059249C" w:rsidRPr="00781112" w:rsidRDefault="00293C7E" w:rsidP="0059249C">
      <w:pPr>
        <w:rPr>
          <w:rFonts w:cs="Arial"/>
          <w:b/>
          <w:i/>
          <w:color w:val="000000" w:themeColor="text1"/>
          <w:szCs w:val="16"/>
        </w:rPr>
      </w:pPr>
      <w:r w:rsidRPr="00781112">
        <w:rPr>
          <w:rFonts w:cs="Arial"/>
          <w:b/>
          <w:color w:val="000000" w:themeColor="text1"/>
          <w:szCs w:val="16"/>
        </w:rPr>
        <w:t>Provide reasons for slippage, if applicable</w:t>
      </w:r>
    </w:p>
    <w:p w14:paraId="79351ACD" w14:textId="4DA6F153" w:rsidR="00293C7E" w:rsidRPr="00781112" w:rsidRDefault="002B7490" w:rsidP="007D435F">
      <w:pPr>
        <w:rPr>
          <w:rFonts w:cs="Arial"/>
          <w:color w:val="000000" w:themeColor="text1"/>
          <w:szCs w:val="16"/>
        </w:rPr>
      </w:pPr>
      <w:r w:rsidRPr="00781112">
        <w:rPr>
          <w:rFonts w:cs="Arial"/>
          <w:color w:val="000000" w:themeColor="text1"/>
          <w:szCs w:val="16"/>
        </w:rPr>
        <w:t>The reason for slippage is unclear. However, the FFY2020 percentage of 67.39% is within the typical year-to-year variability for this indicator and the trend has generally improved since FFY2016. Maine will continue to monitor this indicator to determine the overall trend.</w:t>
      </w: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B7490" w:rsidP="007D435F">
      <w:pPr>
        <w:rPr>
          <w:rFonts w:cs="Arial"/>
          <w:color w:val="000000" w:themeColor="text1"/>
          <w:szCs w:val="16"/>
        </w:rPr>
      </w:pPr>
      <w:r w:rsidRPr="00781112">
        <w:rPr>
          <w:rFonts w:cs="Arial"/>
          <w:color w:val="000000" w:themeColor="text1"/>
          <w:szCs w:val="16"/>
        </w:rPr>
        <w:t/>
      </w: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this indicator, and OSEP accepts those targets.</w:t>
      </w: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B7490" w:rsidP="001F692C">
      <w:pPr>
        <w:rPr>
          <w:rFonts w:cs="Arial"/>
          <w:color w:val="000000" w:themeColor="text1"/>
          <w:szCs w:val="16"/>
        </w:rPr>
      </w:pPr>
      <w:r w:rsidRPr="00781112">
        <w:rPr>
          <w:rFonts w:cs="Arial"/>
          <w:color w:val="000000" w:themeColor="text1"/>
          <w:szCs w:val="16"/>
        </w:rPr>
        <w:t/>
      </w: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1CFF166B"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for </w:t>
      </w:r>
      <w:r w:rsidR="00B00A11" w:rsidRPr="00781112">
        <w:rPr>
          <w:rFonts w:cs="Arial"/>
          <w:szCs w:val="16"/>
        </w:rPr>
        <w:t>Children with Disabilities.</w:t>
      </w:r>
    </w:p>
    <w:p w14:paraId="200B44A4" w14:textId="58CD5FAE"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In its FFY 2020 SPP/APR, due February 1, 2022, the State must provide measurable and rigorous targets (expressed as percentages) for each of the six years from FFY 2020 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p>
    <w:p w14:paraId="6B54FC53" w14:textId="6B7D70E4"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2020 through FFY 2025 SPPs/APRs, due February </w:t>
      </w:r>
      <w:r w:rsidR="00D14A1B" w:rsidRPr="00781112">
        <w:rPr>
          <w:rFonts w:cs="Arial"/>
          <w:szCs w:val="16"/>
        </w:rPr>
        <w:t xml:space="preserve">2, </w:t>
      </w:r>
      <w:r w:rsidR="00B00A11" w:rsidRPr="00781112">
        <w:rPr>
          <w:rFonts w:cs="Arial"/>
          <w:szCs w:val="16"/>
        </w:rPr>
        <w:t>2022, the State must provide updated data for that specific FFY (expressed as percentages) and that data must be aligned with the State-identified Measurable Result(s) for Children with Disabilities. In its FFYs 2020 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xml:space="preserve">- Data </w:t>
      </w:r>
      <w:proofErr w:type="gramStart"/>
      <w:r w:rsidRPr="00781112">
        <w:t>Analysis;</w:t>
      </w:r>
      <w:proofErr w:type="gramEnd"/>
    </w:p>
    <w:p w14:paraId="27016A94" w14:textId="77777777" w:rsidR="00AE1972" w:rsidRPr="00781112" w:rsidRDefault="00AE1972" w:rsidP="00AE1972">
      <w:pPr>
        <w:ind w:left="360"/>
      </w:pPr>
      <w:r w:rsidRPr="00781112">
        <w:t xml:space="preserve">- Analysis of State Infrastructure to Support Improvement and Build </w:t>
      </w:r>
      <w:proofErr w:type="gramStart"/>
      <w:r w:rsidRPr="00781112">
        <w:t>Capacity;</w:t>
      </w:r>
      <w:proofErr w:type="gramEnd"/>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 xml:space="preserve">Children with </w:t>
      </w:r>
      <w:proofErr w:type="gramStart"/>
      <w:r w:rsidR="00B00A11" w:rsidRPr="00781112">
        <w:rPr>
          <w:rFonts w:cs="Arial"/>
          <w:szCs w:val="16"/>
        </w:rPr>
        <w:t>Disabilities</w:t>
      </w:r>
      <w:r w:rsidRPr="00781112">
        <w:t>;</w:t>
      </w:r>
      <w:proofErr w:type="gramEnd"/>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47758674"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 outlined above:</w:t>
      </w:r>
    </w:p>
    <w:p w14:paraId="0A22BE99" w14:textId="77777777" w:rsidR="006B5750" w:rsidRDefault="00756B33" w:rsidP="008877E3">
      <w:pPr>
        <w:ind w:left="360"/>
      </w:pPr>
      <w:r w:rsidRPr="00781112">
        <w:t xml:space="preserve">- </w:t>
      </w:r>
      <w:r w:rsidR="00AE1972" w:rsidRPr="00781112">
        <w:t xml:space="preserve">Infrastructure </w:t>
      </w:r>
      <w:proofErr w:type="gramStart"/>
      <w:r w:rsidR="00AE1972" w:rsidRPr="00781112">
        <w:t>Development;</w:t>
      </w:r>
      <w:proofErr w:type="gramEnd"/>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5523F5F"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 outlined above:</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w:t>
      </w:r>
      <w:proofErr w:type="spellStart"/>
      <w:r w:rsidRPr="00781112">
        <w:rPr>
          <w:rFonts w:cs="Arial"/>
          <w:szCs w:val="16"/>
        </w:rPr>
        <w:t>SiMR</w:t>
      </w:r>
      <w:proofErr w:type="spellEnd"/>
      <w:r w:rsidRPr="00781112">
        <w:rPr>
          <w:rFonts w:cs="Arial"/>
          <w:szCs w:val="16"/>
        </w:rPr>
        <w:t>);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77777777" w:rsidR="000063AC" w:rsidRPr="00781112" w:rsidRDefault="000063AC" w:rsidP="000063AC">
      <w:pPr>
        <w:rPr>
          <w:rFonts w:cs="Arial"/>
          <w:szCs w:val="16"/>
        </w:rPr>
      </w:pPr>
      <w:r w:rsidRPr="00781112">
        <w:rPr>
          <w:rFonts w:cs="Arial"/>
          <w:szCs w:val="16"/>
        </w:rPr>
        <w:t xml:space="preserve">As required in the Instructions for the Indicator/Measurement, in its FFYs 2020 through 2025 SPP/APR, the State must report data for that specific FFY (expressed as actual numbers and percentages) that are aligned with the </w:t>
      </w:r>
      <w:proofErr w:type="spellStart"/>
      <w:r w:rsidRPr="00781112">
        <w:rPr>
          <w:rFonts w:cs="Arial"/>
          <w:szCs w:val="16"/>
        </w:rPr>
        <w:t>SiMR</w:t>
      </w:r>
      <w:proofErr w:type="spellEnd"/>
      <w:r w:rsidRPr="00781112">
        <w:rPr>
          <w:rFonts w:cs="Arial"/>
          <w:szCs w:val="16"/>
        </w:rPr>
        <w:t xml:space="preserve">. The State must report on whether the State met its target. In addition, the State may report on any additional data (e.g., progress monitoring data) that were collected and analyzed that would suggest progress toward the </w:t>
      </w:r>
      <w:proofErr w:type="spellStart"/>
      <w:r w:rsidRPr="00781112">
        <w:rPr>
          <w:rFonts w:cs="Arial"/>
          <w:szCs w:val="16"/>
        </w:rPr>
        <w:t>SiMR</w:t>
      </w:r>
      <w:proofErr w:type="spellEnd"/>
      <w:r w:rsidRPr="00781112">
        <w:rPr>
          <w:rFonts w:cs="Arial"/>
          <w:szCs w:val="16"/>
        </w:rPr>
        <w:t xml:space="preserve">. States using a subset of the population from the indicator (e.g., a sample, cohort model) should describe how data are collected and analyzed for the </w:t>
      </w:r>
      <w:proofErr w:type="spellStart"/>
      <w:r w:rsidRPr="00781112">
        <w:rPr>
          <w:rFonts w:cs="Arial"/>
          <w:szCs w:val="16"/>
        </w:rPr>
        <w:t>SiMR</w:t>
      </w:r>
      <w:proofErr w:type="spellEnd"/>
      <w:r w:rsidRPr="00781112">
        <w:rPr>
          <w:rFonts w:cs="Arial"/>
          <w:szCs w:val="16"/>
        </w:rPr>
        <w:t xml:space="preserve">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5A162AE2" w:rsidR="00AE1972" w:rsidRPr="00781112" w:rsidRDefault="00AE1972" w:rsidP="00AE1972">
      <w:r w:rsidRPr="00781112">
        <w:t xml:space="preserve">The State must provide a narrative or graphic representation, e.g., a logic model, of the principal activities, measures and outcomes that were implemented since the State’s last SSIP submission (i.e., </w:t>
      </w:r>
      <w:r w:rsidR="00F302A0" w:rsidRPr="00781112">
        <w:t>Feb</w:t>
      </w:r>
      <w:r w:rsidRPr="00781112">
        <w:t xml:space="preserve"> 2021).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5AFE2A3A"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781112">
        <w:t>SiMR</w:t>
      </w:r>
      <w:proofErr w:type="spellEnd"/>
      <w:r w:rsidRPr="00781112">
        <w:t>; (b) sustainability of systems improvement efforts; and/or (c) scale-up. The State must describe the next steps for each infrastructure improvement strategy and the anticipated outcomes to be attained during the next fiscal year (e.g., for the FFY 2020 APR, report on anticipated outcomes to be obtained during FFY 2021, i.e., July 1, 2021-June 30, 2022).</w:t>
      </w:r>
    </w:p>
    <w:p w14:paraId="6198E1D5" w14:textId="77777777"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781112">
        <w:t>SiMR</w:t>
      </w:r>
      <w:proofErr w:type="spellEnd"/>
      <w:r w:rsidRPr="00781112">
        <w:t xml:space="preserve"> by changing program/district policies, procedures, and/or practices, teacher/provider practices (i.e., behaviors), parent/caregiver outcomes, </w:t>
      </w:r>
      <w:r w:rsidRPr="00781112">
        <w:lastRenderedPageBreak/>
        <w:t>and/or child outcomes. Describe any additional data (i.e.,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77777777" w:rsidR="00AE1972" w:rsidRPr="00781112" w:rsidRDefault="00AE1972" w:rsidP="00AE1972">
      <w:r w:rsidRPr="00781112">
        <w:t xml:space="preserve">The State should identify any activities not already described that it intends to implement in the next fiscal year (e.g., for the FFY 2020 APR, report on activities it intends to implement in FFY 2021, i.e., July 1, 2021-June 30, 2022) including a timeline, anticipated data collection and measures, and expected outcomes that are related to the </w:t>
      </w:r>
      <w:proofErr w:type="spellStart"/>
      <w:r w:rsidRPr="00781112">
        <w:t>SiMR</w:t>
      </w:r>
      <w:proofErr w:type="spellEnd"/>
      <w:r w:rsidRPr="00781112">
        <w:t>.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w:t>
      </w:r>
      <w:proofErr w:type="spellStart"/>
      <w:r w:rsidRPr="00781112">
        <w:rPr>
          <w:b/>
          <w:bCs/>
        </w:rPr>
        <w:t>SiMR</w:t>
      </w:r>
      <w:proofErr w:type="spellEnd"/>
      <w:r w:rsidRPr="00781112">
        <w:rPr>
          <w:b/>
          <w:bCs/>
        </w:rPr>
        <w:t>)?</w:t>
      </w:r>
    </w:p>
    <w:p w14:paraId="2CDA0A52" w14:textId="1253220E" w:rsidR="00AE1972" w:rsidRPr="00781112" w:rsidRDefault="00AE1972" w:rsidP="00AE1972">
      <w:pPr>
        <w:rPr>
          <w:color w:val="000000" w:themeColor="text1"/>
        </w:rPr>
      </w:pPr>
      <w:r w:rsidRPr="00781112">
        <w:rPr>
          <w:color w:val="000000" w:themeColor="text1"/>
        </w:rPr>
        <w:t>The Maine Department of Education (Maine DOE) has chosen, as its SSIP, implementation of evidence-based professional development in the teaching of mathematics to improve the math proficiency of students with disabilities. This initiative has been named Math4ME ("Math for Maine”). The State-Identified Measurable Result (SIMR) is measured as follows: Students in grades 3–8 with Individualized Education Programs (IEPs) will demonstrate improved math proficiency as measured by math scores on the statewide Maine Educational Assessment (MEA). Maine reports proficiency as follows: Percent = number of grade 3–8 students with IEPs who demonstrate proficiency in math divided by the number of grade 3–8 students with IEPs who are evaluated on the math assessment.</w:t>
      </w:r>
    </w:p>
    <w:p w14:paraId="43CABCA3" w14:textId="77777777" w:rsidR="00AE1972" w:rsidRPr="00781112" w:rsidRDefault="00AE1972" w:rsidP="00AE1972">
      <w:pPr>
        <w:rPr>
          <w:b/>
          <w:bCs/>
        </w:rPr>
      </w:pPr>
      <w:bookmarkStart w:id="107" w:name="_Hlk85195358"/>
      <w:r w:rsidRPr="00781112">
        <w:rPr>
          <w:b/>
          <w:bCs/>
        </w:rPr>
        <w:t xml:space="preserve">Has the </w:t>
      </w:r>
      <w:proofErr w:type="spellStart"/>
      <w:r w:rsidRPr="00781112">
        <w:rPr>
          <w:b/>
          <w:bCs/>
        </w:rPr>
        <w:t>SiMR</w:t>
      </w:r>
      <w:proofErr w:type="spellEnd"/>
      <w:r w:rsidRPr="00781112">
        <w:rPr>
          <w:b/>
          <w:bCs/>
        </w:rPr>
        <w:t xml:space="preserve"> changed since the last SSIP submission? (yes/no)</w:t>
      </w:r>
    </w:p>
    <w:p w14:paraId="53B392AE" w14:textId="5D60E4A2" w:rsidR="00AE1972" w:rsidRDefault="00AE1972" w:rsidP="00AE1972">
      <w:r w:rsidRPr="00781112">
        <w:t>NO</w:t>
      </w:r>
    </w:p>
    <w:bookmarkEnd w:id="107"/>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YES</w:t>
      </w:r>
    </w:p>
    <w:p w14:paraId="54FC6DBB" w14:textId="3D1C5D57" w:rsidR="00AE1972" w:rsidRPr="00781112" w:rsidRDefault="00ED5509" w:rsidP="00AE1972">
      <w:pPr>
        <w:rPr>
          <w:b/>
          <w:bCs/>
        </w:rPr>
      </w:pPr>
      <w:r w:rsidRPr="00781112">
        <w:rPr>
          <w:b/>
          <w:bCs/>
        </w:rPr>
        <w:t>Provide a description of the subset of the population from the indicator.</w:t>
      </w:r>
    </w:p>
    <w:p w14:paraId="730A7F24" w14:textId="5026F767" w:rsidR="00AE1972" w:rsidRDefault="00AE1972" w:rsidP="00AE1972">
      <w:pPr>
        <w:rPr>
          <w:color w:val="000000" w:themeColor="text1"/>
        </w:rPr>
      </w:pPr>
      <w:r w:rsidRPr="00781112">
        <w:rPr>
          <w:color w:val="000000" w:themeColor="text1"/>
        </w:rPr>
        <w:t>Analyses are conducted on the math performance/proficiency rates of students with disabilities in grades 3–8.</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https://www.maine.gov/doe/sites/maine.gov.doe/files/inline-files/Math4ME%20Logic%20Model%202021.xls.pdf</w:t>
      </w:r>
    </w:p>
    <w:p w14:paraId="4736A5D8" w14:textId="1685348D" w:rsidR="00CF0910" w:rsidRDefault="00CF0910" w:rsidP="00A202E9"/>
    <w:p w14:paraId="401D0BC8" w14:textId="0670E0A5" w:rsidR="00CF0910" w:rsidRDefault="00CF0910" w:rsidP="00CF0910">
      <w:pPr>
        <w:rPr>
          <w:b/>
          <w:bCs/>
        </w:rPr>
      </w:pPr>
      <w:r w:rsidRPr="00730C62">
        <w:rPr>
          <w:b/>
          <w:bCs/>
        </w:rPr>
        <w:t>Does the State intend to continue implementing the SSIP without modifications? (yes/no)</w:t>
      </w:r>
    </w:p>
    <w:p w14:paraId="08D51FB4" w14:textId="52DEE948" w:rsidR="00CF0910" w:rsidRDefault="00CF0910" w:rsidP="00CF0910">
      <w:r w:rsidRPr="00781112">
        <w:t>NO</w:t>
      </w:r>
    </w:p>
    <w:p w14:paraId="14699668" w14:textId="656AB442" w:rsidR="00CF0910" w:rsidRPr="00730C62" w:rsidRDefault="00CF0910" w:rsidP="00CF0910">
      <w:pPr>
        <w:rPr>
          <w:b/>
          <w:bCs/>
        </w:rPr>
      </w:pPr>
      <w:r w:rsidRPr="00730C62">
        <w:rPr>
          <w:b/>
          <w:bCs/>
          <w:szCs w:val="16"/>
        </w:rPr>
        <w:t xml:space="preserve">If no, describe any changes to the activities, strategies or timelines described in the previous submission and include a rationale or </w:t>
      </w:r>
      <w:bookmarkStart w:id="108" w:name="_Hlk88409365"/>
      <w:r w:rsidRPr="00730C62">
        <w:rPr>
          <w:b/>
          <w:bCs/>
          <w:szCs w:val="16"/>
        </w:rPr>
        <w:t>just</w:t>
      </w:r>
      <w:r w:rsidR="006457D1">
        <w:rPr>
          <w:b/>
          <w:bCs/>
          <w:szCs w:val="16"/>
        </w:rPr>
        <w:t>i</w:t>
      </w:r>
      <w:r w:rsidRPr="00730C62">
        <w:rPr>
          <w:b/>
          <w:bCs/>
          <w:szCs w:val="16"/>
        </w:rPr>
        <w:t>fication</w:t>
      </w:r>
      <w:bookmarkEnd w:id="108"/>
      <w:r w:rsidRPr="00730C62">
        <w:rPr>
          <w:b/>
          <w:bCs/>
          <w:szCs w:val="16"/>
        </w:rPr>
        <w:t xml:space="preserve"> for the changes.</w:t>
      </w:r>
    </w:p>
    <w:p w14:paraId="168D53FB" w14:textId="164A8367" w:rsidR="00CF0910" w:rsidRDefault="00CF0910" w:rsidP="00CF0910">
      <w:r w:rsidRPr="00781112">
        <w:t xml:space="preserve">Adjustments were made to the Math4ME professional development model based on feedback from stakeholder groups (e.g., general and special educators, administrators, parents) and effects of the pandemic and data from the project over the past 5 years. The main components of these changes are a shift to remote training focusing on rural special educators and their paraprofessionals, professional learning communities (PLCs) and approaches to develop family engagement. </w:t>
        <w:br/>
        <w:t/>
        <w:br/>
        <w:t xml:space="preserve">In pre-pandemic Maine, professional development opportunities were concentrated near locations with larger populations – Portland, Augusta, and Bangor. Educators in northern Maine bordering Canada and down east Maine would travel hours to participate in this professional learning and pay to stay overnight for any extended sessions. Lessons learned and experienced through the pandemic have led the Math4ME stakeholders and DOE team to shift to programming to remote sessions and in doing so, decided that this change must be provided for rural educators to access programming. This year, Math4ME training was provided through synchronous and asynchronous online sessions. Participants are actively engaged in the sessions with online and hands on math tools and manipulatives, breakout rooms, and other interactive online tools (annotations, polls, quizzes, etc.) </w:t>
        <w:br/>
        <w:t/>
        <w:br/>
        <w:t xml:space="preserve">Survey and Fidelity of Practice data over the past 5 years demonstrate that Math4ME special educators gained knowledge and conceptual understanding of mathematical principles, however, the effects on student learning were not as strong as desired. Special educators in Maine plan and provide specially designed instruction for students, manage caseloads, write IEPs and meet with families. Paraprofessionals (called Educational Technicians in Maine) provide one on one and small group instruction to assist with this workload. In previous iterations of Math4ME, special educators were the targeted participants and would share their learning with their paraprofessionals. To strengthen the effects of Math4ME on student learning, the Math4ME stakeholders and team decided that the special education teachers’ paraprofessionals should also participate in the training and coaching. This gives the paraprofessional access to the training firsthand, provides a place to share in their learning and has a greater chance of being presented consistently to students. </w:t>
        <w:br/>
        <w:t/>
        <w:br/>
        <w:t xml:space="preserve">Coaching continues to be a strength of Math4ME. To support this important element of the programming and to provide sustainability, professional learning communities (PLCs) have been added to the project. Each special educator and paraprofessional team will be paired with other teams to apply elements of the training to their practice and examine the results in these small groups hosted initially with a Math4ME coach. The goal of the PLCs is to create a safe place for conversations about mathematical practices and do encourage the groups to eventually add other teachers from their schools to join in the conversations and create interest in Math4ME. </w:t>
        <w:br/>
        <w:t/>
        <w:br/>
        <w:t xml:space="preserve">Family engagement has not been a focus of Math4ME in the past and the stakeholders and team identified this as an area of focus for the updated version of the project. The Maine Parent Federation (MPF) meets regularly with the Math4ME team to assist with the development of Math4ME family communications. The goal of the work with MPF is to assist with moving from family communications to engagement with a final goal of developing partnerships with families and caregivers. </w:t>
        <w:br/>
        <w:t/>
        <w:br/>
        <w:t>The previous Maine statewide math test has not shown improvement in student learning. Maine DOE has identified two possible contributing factors to this finding. Comparisons are being done within schools between Math4ME classes and classes with the teachers not in Math4ME. Our survey shows that coaches and teachers are reporting that they are sharing the resources with teachers that are not in Math4ME. In this case, proficiency may not differ substantially when comparing students taught by Math4ME teachers and those not taught by Math4ME teachers. Additionally, in the first three years of the program, the Maine statewide math test was used. It is administered at grade placement level. However, the average percentage of special education teachers’ students one or more mathematics grade levels below grade placement is 89%-97%. Therefore, the Maine statewide math test that has been used may not be a sensitive instrument for showing improvement for students at lower learning levels (below grade level). With stakeholder input, the decision was made that the assessment will been changed to NWEA, which is adaptive and tests students near their learning level, and that the proficiency gap between students with disabilities and all students will be assessed in the future (FFY2021).</w:t>
      </w:r>
    </w:p>
    <w:p w14:paraId="0F3DB9FA" w14:textId="77777777" w:rsidR="00CF0910" w:rsidRPr="00781112" w:rsidRDefault="00CF0910" w:rsidP="00A202E9"/>
    <w:p w14:paraId="46EF1253" w14:textId="77777777" w:rsidR="00AE1972" w:rsidRPr="00781112" w:rsidRDefault="00AE1972" w:rsidP="00AE1972">
      <w:pPr>
        <w:rPr>
          <w:b/>
          <w:bCs/>
        </w:rPr>
      </w:pPr>
    </w:p>
    <w:p w14:paraId="5C9EC454" w14:textId="77777777" w:rsidR="00AE1972" w:rsidRPr="007E6407" w:rsidRDefault="00AE1972" w:rsidP="007E6407">
      <w:pPr>
        <w:rPr>
          <w:b/>
          <w:bCs/>
        </w:rPr>
      </w:pPr>
      <w:r w:rsidRPr="007E6407">
        <w:rPr>
          <w:b/>
          <w:bCs/>
        </w:rPr>
        <w:t xml:space="preserve">Progress toward the </w:t>
      </w:r>
      <w:proofErr w:type="spellStart"/>
      <w:r w:rsidRPr="007E6407">
        <w:rPr>
          <w:b/>
          <w:bCs/>
        </w:rPr>
        <w:t>SiMR</w:t>
      </w:r>
      <w:proofErr w:type="spellEnd"/>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1782B857" w14:textId="77777777" w:rsidR="00AE1972" w:rsidRPr="00781112" w:rsidRDefault="00AE1972" w:rsidP="00AE1972"/>
    <w:p w14:paraId="0CE6ADBC" w14:textId="77777777"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1797"/>
        <w:gridCol w:w="1889"/>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2020</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45.83%</w:t>
            </w:r>
          </w:p>
        </w:tc>
      </w:tr>
    </w:tbl>
    <w:p w14:paraId="4788921E" w14:textId="77777777" w:rsidR="00AE1972" w:rsidRPr="00781112" w:rsidRDefault="00AE1972" w:rsidP="00AE1972">
      <w:pPr>
        <w:rPr>
          <w:rFonts w:cs="Arial"/>
          <w:b/>
          <w:color w:val="000000" w:themeColor="text1"/>
          <w:szCs w:val="16"/>
        </w:rPr>
      </w:pPr>
    </w:p>
    <w:p w14:paraId="5D5A6057" w14:textId="77777777" w:rsidR="00AE1972" w:rsidRPr="00781112" w:rsidRDefault="00AE1972" w:rsidP="00AE197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4"/>
        <w:gridCol w:w="1664"/>
        <w:gridCol w:w="1664"/>
        <w:gridCol w:w="1664"/>
        <w:gridCol w:w="1664"/>
        <w:gridCol w:w="1664"/>
      </w:tblGrid>
      <w:tr w:rsidR="00AE1972" w:rsidRPr="00781112" w14:paraId="6151B608" w14:textId="77777777" w:rsidTr="00730C62">
        <w:trPr>
          <w:trHeight w:val="360"/>
        </w:trPr>
        <w:tc>
          <w:tcPr>
            <w:tcW w:w="373" w:type="pct"/>
            <w:tcBorders>
              <w:bottom w:val="single" w:sz="4" w:space="0" w:color="auto"/>
            </w:tcBorders>
            <w:shd w:val="clear" w:color="auto" w:fill="auto"/>
          </w:tcPr>
          <w:p w14:paraId="6F2EC278" w14:textId="77777777" w:rsidR="00AE1972" w:rsidRPr="00781112" w:rsidRDefault="00AE1972" w:rsidP="00FE5C1F">
            <w:pPr>
              <w:jc w:val="center"/>
              <w:rPr>
                <w:b/>
                <w:color w:val="000000" w:themeColor="text1"/>
              </w:rPr>
            </w:pPr>
            <w:r w:rsidRPr="00781112">
              <w:rPr>
                <w:b/>
                <w:color w:val="000000" w:themeColor="text1"/>
              </w:rPr>
              <w:t>FFY</w:t>
            </w:r>
          </w:p>
        </w:tc>
        <w:tc>
          <w:tcPr>
            <w:tcW w:w="771" w:type="pct"/>
            <w:shd w:val="clear" w:color="auto" w:fill="auto"/>
            <w:vAlign w:val="center"/>
          </w:tcPr>
          <w:p w14:paraId="6FE75FC4" w14:textId="77777777" w:rsidR="00AE1972" w:rsidRPr="00781112" w:rsidRDefault="00AE1972" w:rsidP="00FE5C1F">
            <w:pPr>
              <w:jc w:val="center"/>
              <w:rPr>
                <w:b/>
                <w:color w:val="000000" w:themeColor="text1"/>
              </w:rPr>
            </w:pPr>
            <w:r w:rsidRPr="00781112">
              <w:rPr>
                <w:b/>
                <w:color w:val="000000" w:themeColor="text1"/>
              </w:rPr>
              <w:t>2020</w:t>
            </w:r>
          </w:p>
        </w:tc>
        <w:tc>
          <w:tcPr>
            <w:tcW w:w="771" w:type="pct"/>
          </w:tcPr>
          <w:p w14:paraId="1A51CAE1" w14:textId="77777777" w:rsidR="00AE1972" w:rsidRPr="00781112" w:rsidRDefault="00AE1972" w:rsidP="00FE5C1F">
            <w:pPr>
              <w:jc w:val="center"/>
              <w:rPr>
                <w:b/>
                <w:color w:val="000000" w:themeColor="text1"/>
              </w:rPr>
            </w:pPr>
            <w:r w:rsidRPr="00781112">
              <w:rPr>
                <w:rFonts w:cs="Arial"/>
                <w:b/>
                <w:color w:val="000000" w:themeColor="text1"/>
                <w:szCs w:val="16"/>
              </w:rPr>
              <w:t>2021</w:t>
            </w:r>
          </w:p>
        </w:tc>
        <w:tc>
          <w:tcPr>
            <w:tcW w:w="771" w:type="pct"/>
          </w:tcPr>
          <w:p w14:paraId="4EE0EA23" w14:textId="77777777" w:rsidR="00AE1972" w:rsidRPr="00781112" w:rsidRDefault="00AE1972" w:rsidP="00FE5C1F">
            <w:pPr>
              <w:jc w:val="center"/>
              <w:rPr>
                <w:b/>
                <w:color w:val="000000" w:themeColor="text1"/>
              </w:rPr>
            </w:pPr>
            <w:r w:rsidRPr="00781112">
              <w:rPr>
                <w:rFonts w:cs="Arial"/>
                <w:b/>
                <w:color w:val="000000" w:themeColor="text1"/>
                <w:szCs w:val="16"/>
              </w:rPr>
              <w:t>2022</w:t>
            </w:r>
          </w:p>
        </w:tc>
        <w:tc>
          <w:tcPr>
            <w:tcW w:w="771" w:type="pct"/>
          </w:tcPr>
          <w:p w14:paraId="258316BC" w14:textId="77777777" w:rsidR="00AE1972" w:rsidRPr="00781112" w:rsidRDefault="00AE1972" w:rsidP="00FE5C1F">
            <w:pPr>
              <w:jc w:val="center"/>
              <w:rPr>
                <w:b/>
                <w:color w:val="000000" w:themeColor="text1"/>
              </w:rPr>
            </w:pPr>
            <w:r w:rsidRPr="00781112">
              <w:rPr>
                <w:rFonts w:cs="Arial"/>
                <w:b/>
                <w:color w:val="000000" w:themeColor="text1"/>
                <w:szCs w:val="16"/>
              </w:rPr>
              <w:t>2023</w:t>
            </w:r>
          </w:p>
        </w:tc>
        <w:tc>
          <w:tcPr>
            <w:tcW w:w="771" w:type="pct"/>
          </w:tcPr>
          <w:p w14:paraId="310BF1DB" w14:textId="77777777" w:rsidR="00AE1972" w:rsidRPr="00781112" w:rsidRDefault="00AE1972" w:rsidP="00FE5C1F">
            <w:pPr>
              <w:jc w:val="center"/>
              <w:rPr>
                <w:b/>
                <w:color w:val="000000" w:themeColor="text1"/>
              </w:rPr>
            </w:pPr>
            <w:r w:rsidRPr="00781112">
              <w:rPr>
                <w:rFonts w:cs="Arial"/>
                <w:b/>
                <w:color w:val="000000" w:themeColor="text1"/>
                <w:szCs w:val="16"/>
              </w:rPr>
              <w:t>2024</w:t>
            </w:r>
          </w:p>
        </w:tc>
        <w:tc>
          <w:tcPr>
            <w:tcW w:w="771" w:type="pct"/>
          </w:tcPr>
          <w:p w14:paraId="324A23F1" w14:textId="77777777" w:rsidR="00AE1972" w:rsidRPr="00781112" w:rsidRDefault="00AE1972" w:rsidP="00FE5C1F">
            <w:pPr>
              <w:jc w:val="center"/>
              <w:rPr>
                <w:b/>
                <w:color w:val="000000" w:themeColor="text1"/>
              </w:rPr>
            </w:pPr>
            <w:r w:rsidRPr="00781112">
              <w:rPr>
                <w:rFonts w:cs="Arial"/>
                <w:b/>
                <w:color w:val="000000" w:themeColor="text1"/>
                <w:szCs w:val="16"/>
              </w:rPr>
              <w:t>2025</w:t>
            </w:r>
          </w:p>
        </w:tc>
      </w:tr>
      <w:tr w:rsidR="00AE1972" w:rsidRPr="00781112" w14:paraId="7F5560B1" w14:textId="77777777" w:rsidTr="00730C62">
        <w:trPr>
          <w:trHeight w:val="367"/>
        </w:trPr>
        <w:tc>
          <w:tcPr>
            <w:tcW w:w="373" w:type="pct"/>
            <w:shd w:val="clear" w:color="auto" w:fill="auto"/>
          </w:tcPr>
          <w:p w14:paraId="16C136D0" w14:textId="77777777" w:rsidR="00AE1972" w:rsidRPr="00781112" w:rsidRDefault="00AE1972" w:rsidP="00FE5C1F">
            <w:pPr>
              <w:rPr>
                <w:rFonts w:cs="Arial"/>
                <w:color w:val="000000" w:themeColor="text1"/>
                <w:szCs w:val="16"/>
              </w:rPr>
            </w:pPr>
            <w:r w:rsidRPr="00781112">
              <w:rPr>
                <w:rFonts w:cs="Arial"/>
                <w:color w:val="000000" w:themeColor="text1"/>
                <w:szCs w:val="16"/>
              </w:rPr>
              <w:t>Target&gt;=</w:t>
            </w:r>
          </w:p>
        </w:tc>
        <w:tc>
          <w:tcPr>
            <w:tcW w:w="771" w:type="pct"/>
            <w:shd w:val="clear" w:color="auto" w:fill="auto"/>
            <w:vAlign w:val="center"/>
          </w:tcPr>
          <w:p w14:paraId="0D607E3E" w14:textId="0FE0E0F2" w:rsidR="00AE1972" w:rsidRPr="00781112" w:rsidRDefault="00AE1972" w:rsidP="00FE5C1F">
            <w:pPr>
              <w:jc w:val="center"/>
              <w:rPr>
                <w:color w:val="000000" w:themeColor="text1"/>
              </w:rPr>
            </w:pPr>
            <w:r w:rsidRPr="00781112">
              <w:rPr>
                <w:color w:val="000000" w:themeColor="text1"/>
              </w:rPr>
              <w:t>45.83%</w:t>
            </w:r>
          </w:p>
        </w:tc>
        <w:tc>
          <w:tcPr>
            <w:tcW w:w="771" w:type="pct"/>
          </w:tcPr>
          <w:p w14:paraId="49D7B83C" w14:textId="5D2EEC9F" w:rsidR="00AE1972" w:rsidRPr="00781112" w:rsidRDefault="00AE1972" w:rsidP="00FE5C1F">
            <w:pPr>
              <w:jc w:val="center"/>
              <w:rPr>
                <w:color w:val="000000" w:themeColor="text1"/>
              </w:rPr>
            </w:pPr>
            <w:r w:rsidRPr="00781112">
              <w:rPr>
                <w:rFonts w:cs="Arial"/>
                <w:color w:val="000000" w:themeColor="text1"/>
                <w:szCs w:val="16"/>
              </w:rPr>
              <w:t>47.83%</w:t>
            </w:r>
          </w:p>
        </w:tc>
        <w:tc>
          <w:tcPr>
            <w:tcW w:w="771" w:type="pct"/>
          </w:tcPr>
          <w:p w14:paraId="73C3B9F9" w14:textId="4B324AE0" w:rsidR="00AE1972" w:rsidRPr="00781112" w:rsidRDefault="00AE1972" w:rsidP="00FE5C1F">
            <w:pPr>
              <w:jc w:val="center"/>
              <w:rPr>
                <w:color w:val="000000" w:themeColor="text1"/>
              </w:rPr>
            </w:pPr>
            <w:r w:rsidRPr="00781112">
              <w:rPr>
                <w:rFonts w:cs="Arial"/>
                <w:color w:val="000000" w:themeColor="text1"/>
                <w:szCs w:val="16"/>
              </w:rPr>
              <w:t>49.83%</w:t>
            </w:r>
          </w:p>
        </w:tc>
        <w:tc>
          <w:tcPr>
            <w:tcW w:w="771" w:type="pct"/>
          </w:tcPr>
          <w:p w14:paraId="36C2800A" w14:textId="411CFB34" w:rsidR="00AE1972" w:rsidRPr="00781112" w:rsidRDefault="00AE1972" w:rsidP="00FE5C1F">
            <w:pPr>
              <w:jc w:val="center"/>
              <w:rPr>
                <w:color w:val="000000" w:themeColor="text1"/>
              </w:rPr>
            </w:pPr>
            <w:r w:rsidRPr="00781112">
              <w:rPr>
                <w:rFonts w:cs="Arial"/>
                <w:color w:val="000000" w:themeColor="text1"/>
                <w:szCs w:val="16"/>
              </w:rPr>
              <w:t>51.83%</w:t>
            </w:r>
          </w:p>
        </w:tc>
        <w:tc>
          <w:tcPr>
            <w:tcW w:w="771" w:type="pct"/>
          </w:tcPr>
          <w:p w14:paraId="5EB6DFC4" w14:textId="4B024AC3" w:rsidR="00AE1972" w:rsidRPr="00781112" w:rsidRDefault="00AE1972" w:rsidP="00FE5C1F">
            <w:pPr>
              <w:jc w:val="center"/>
              <w:rPr>
                <w:color w:val="000000" w:themeColor="text1"/>
              </w:rPr>
            </w:pPr>
            <w:r w:rsidRPr="00781112">
              <w:rPr>
                <w:rFonts w:cs="Arial"/>
                <w:color w:val="000000" w:themeColor="text1"/>
                <w:szCs w:val="16"/>
              </w:rPr>
              <w:t>53.83%</w:t>
            </w:r>
          </w:p>
        </w:tc>
        <w:tc>
          <w:tcPr>
            <w:tcW w:w="771" w:type="pct"/>
          </w:tcPr>
          <w:p w14:paraId="28B33DC4" w14:textId="04080332" w:rsidR="00AE1972" w:rsidRPr="00781112" w:rsidRDefault="00AE1972" w:rsidP="00FE5C1F">
            <w:pPr>
              <w:jc w:val="center"/>
              <w:rPr>
                <w:color w:val="000000" w:themeColor="text1"/>
              </w:rPr>
            </w:pPr>
            <w:r w:rsidRPr="00781112">
              <w:rPr>
                <w:rFonts w:cs="Arial"/>
                <w:color w:val="000000" w:themeColor="text1"/>
                <w:szCs w:val="16"/>
              </w:rPr>
              <w:t>55.83%</w:t>
            </w:r>
          </w:p>
        </w:tc>
      </w:tr>
    </w:tbl>
    <w:p w14:paraId="096B5400" w14:textId="77777777" w:rsidR="00AE1972" w:rsidRPr="00781112" w:rsidRDefault="00AE1972" w:rsidP="00AE1972">
      <w:pPr>
        <w:pStyle w:val="Italic"/>
        <w:rPr>
          <w:rFonts w:cs="Arial"/>
          <w:i w:val="0"/>
          <w:color w:val="000000" w:themeColor="text1"/>
          <w:szCs w:val="16"/>
        </w:rPr>
      </w:pPr>
    </w:p>
    <w:p w14:paraId="7582347A" w14:textId="77777777" w:rsidR="00AE1972" w:rsidRPr="00781112" w:rsidRDefault="00AE1972" w:rsidP="00AE1972">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AE1972" w:rsidRPr="00781112" w14:paraId="6ACE308B" w14:textId="77777777" w:rsidTr="004B2960">
        <w:trPr>
          <w:trHeight w:val="354"/>
        </w:trPr>
        <w:tc>
          <w:tcPr>
            <w:tcW w:w="1165" w:type="pct"/>
            <w:shd w:val="clear" w:color="auto" w:fill="auto"/>
            <w:vAlign w:val="bottom"/>
          </w:tcPr>
          <w:p w14:paraId="1F241A2B" w14:textId="43C3BBEC" w:rsidR="00AE1972" w:rsidRPr="00781112" w:rsidRDefault="00AE1972" w:rsidP="00FE5C1F">
            <w:pPr>
              <w:jc w:val="center"/>
              <w:rPr>
                <w:b/>
                <w:bCs/>
                <w:color w:val="000000" w:themeColor="text1"/>
                <w:szCs w:val="16"/>
              </w:rPr>
            </w:pPr>
            <w:r w:rsidRPr="00781112">
              <w:rPr>
                <w:b/>
                <w:bCs/>
                <w:color w:val="000000" w:themeColor="text1"/>
                <w:szCs w:val="16"/>
              </w:rPr>
              <w:t>Number of math proficient students with disabilities in the LEAs engaged in Math4ME professional development.</w:t>
            </w:r>
          </w:p>
        </w:tc>
        <w:tc>
          <w:tcPr>
            <w:tcW w:w="876" w:type="pct"/>
            <w:shd w:val="clear" w:color="auto" w:fill="auto"/>
            <w:vAlign w:val="bottom"/>
          </w:tcPr>
          <w:p w14:paraId="470CA230" w14:textId="5C37C1F9" w:rsidR="00AE1972" w:rsidRPr="00781112" w:rsidRDefault="00AE1972" w:rsidP="00FE5C1F">
            <w:pPr>
              <w:jc w:val="center"/>
              <w:rPr>
                <w:b/>
                <w:bCs/>
                <w:color w:val="000000" w:themeColor="text1"/>
                <w:szCs w:val="16"/>
              </w:rPr>
            </w:pPr>
            <w:r w:rsidRPr="00781112">
              <w:rPr>
                <w:b/>
                <w:bCs/>
                <w:color w:val="000000" w:themeColor="text1"/>
                <w:szCs w:val="16"/>
              </w:rPr>
              <w:t>Total number of students with disabilities in the LEAs engaged in Math4ME professional development.</w:t>
            </w:r>
          </w:p>
        </w:tc>
        <w:tc>
          <w:tcPr>
            <w:tcW w:w="667" w:type="pct"/>
            <w:shd w:val="clear" w:color="auto" w:fill="auto"/>
            <w:vAlign w:val="bottom"/>
          </w:tcPr>
          <w:p w14:paraId="4AB6D89D"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2019 Data</w:t>
            </w:r>
          </w:p>
        </w:tc>
        <w:tc>
          <w:tcPr>
            <w:tcW w:w="626" w:type="pct"/>
            <w:shd w:val="clear" w:color="auto" w:fill="auto"/>
            <w:vAlign w:val="bottom"/>
          </w:tcPr>
          <w:p w14:paraId="63A0DC52"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2020 Target</w:t>
            </w:r>
          </w:p>
        </w:tc>
        <w:tc>
          <w:tcPr>
            <w:tcW w:w="584" w:type="pct"/>
            <w:shd w:val="clear" w:color="auto" w:fill="auto"/>
            <w:vAlign w:val="bottom"/>
          </w:tcPr>
          <w:p w14:paraId="2D311519"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2020 Data</w:t>
            </w:r>
          </w:p>
        </w:tc>
        <w:tc>
          <w:tcPr>
            <w:tcW w:w="584" w:type="pct"/>
            <w:shd w:val="clear" w:color="auto" w:fill="auto"/>
            <w:vAlign w:val="bottom"/>
          </w:tcPr>
          <w:p w14:paraId="4F033BB8" w14:textId="77777777" w:rsidR="00AE1972" w:rsidRPr="00781112" w:rsidRDefault="00AE1972" w:rsidP="00FE5C1F">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AE1972" w:rsidRPr="00781112" w:rsidRDefault="00AE1972" w:rsidP="00FE5C1F">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6,136</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13,389</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45.83%</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45.83%</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N/A</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N/A</w:t>
            </w:r>
          </w:p>
        </w:tc>
      </w:tr>
    </w:tbl>
    <w:p w14:paraId="66E5C45A" w14:textId="77777777" w:rsidR="00AE1972" w:rsidRPr="00781112" w:rsidRDefault="00AE1972" w:rsidP="00AE1972"/>
    <w:p w14:paraId="30EFC313" w14:textId="77777777" w:rsidR="005D6EB4" w:rsidRPr="00781112" w:rsidRDefault="005D6EB4" w:rsidP="005D6EB4">
      <w:pPr>
        <w:rPr>
          <w:b/>
          <w:bCs/>
        </w:rPr>
      </w:pPr>
      <w:r w:rsidRPr="00781112">
        <w:rPr>
          <w:b/>
          <w:bCs/>
        </w:rPr>
        <w:t>Provide the data source for the FFY 2020 data.</w:t>
      </w:r>
    </w:p>
    <w:p w14:paraId="791B79B4" w14:textId="2C5B8D5E" w:rsidR="005D6EB4" w:rsidRPr="00781112" w:rsidRDefault="005D6EB4" w:rsidP="005D6EB4">
      <w:pPr>
        <w:rPr>
          <w:color w:val="000000" w:themeColor="text1"/>
        </w:rPr>
      </w:pPr>
      <w:r w:rsidRPr="00781112">
        <w:rPr>
          <w:color w:val="000000" w:themeColor="text1"/>
        </w:rPr>
        <w:t>Maine began using a new statewide math assessment (NWEA) in the 2020-2021 school year. Because the statewide assessment changed, proficiency rates based on the new statewide assessment for FFY2020 constitute a new baseline. However, the NWEA administration in 2020-21 was a field test, and modifications to the method of scaling and benchmarking to determine proficiency are expected for the FFY2021 assessment. Therefore, Maine plans to reset the baseline proficiency rate in FFY2021 and will reconsider targets, with stakeholder input, based on FFY2021 baseline.</w:t>
      </w:r>
    </w:p>
    <w:p w14:paraId="17AAB1A6" w14:textId="2D1007DB" w:rsidR="00AE1972" w:rsidRPr="00781112" w:rsidRDefault="00AE1972" w:rsidP="00AE1972">
      <w:r w:rsidRPr="00781112">
        <w:rPr>
          <w:b/>
          <w:bCs/>
        </w:rPr>
        <w:t xml:space="preserve">Please describe how data are collected and analyzed for the </w:t>
      </w:r>
      <w:proofErr w:type="spellStart"/>
      <w:r w:rsidRPr="00781112">
        <w:rPr>
          <w:b/>
          <w:bCs/>
        </w:rPr>
        <w:t>SiMR</w:t>
      </w:r>
      <w:proofErr w:type="spellEnd"/>
      <w:r w:rsidRPr="00781112">
        <w:t>.</w:t>
      </w:r>
    </w:p>
    <w:p w14:paraId="0A6DF7F0" w14:textId="29C12277" w:rsidR="00AE1972" w:rsidRPr="00781112" w:rsidRDefault="00AE1972" w:rsidP="00AE1972">
      <w:pPr>
        <w:rPr>
          <w:color w:val="000000" w:themeColor="text1"/>
        </w:rPr>
      </w:pPr>
      <w:r w:rsidRPr="00781112">
        <w:rPr>
          <w:color w:val="000000" w:themeColor="text1"/>
        </w:rPr>
        <w:t xml:space="preserve">Math scores are scaled and benchmarked to indicate proficiency levels and collected from all LEAs using a state-wide data system. The number of math proficient students with disabilities in grades 3–8 is divided by the total number of 3–8 grade students with disabilities and is multiplied by 100 to yield a proficiency percentage. </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w:t>
      </w:r>
      <w:proofErr w:type="spellStart"/>
      <w:r w:rsidRPr="00781112">
        <w:rPr>
          <w:rFonts w:cs="Arial"/>
          <w:b/>
          <w:bCs/>
        </w:rPr>
        <w:t>SiMR</w:t>
      </w:r>
      <w:proofErr w:type="spellEnd"/>
      <w:r w:rsidRPr="00781112">
        <w:rPr>
          <w:rFonts w:cs="Arial"/>
          <w:b/>
          <w:bCs/>
        </w:rPr>
        <w:t>?</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 xml:space="preserve">Describe any additional data collected by the State to assess progress toward the </w:t>
      </w:r>
      <w:proofErr w:type="spellStart"/>
      <w:r w:rsidRPr="00781112">
        <w:rPr>
          <w:rFonts w:cs="Arial"/>
          <w:b/>
          <w:bCs/>
        </w:rPr>
        <w:t>SiMR</w:t>
      </w:r>
      <w:proofErr w:type="spellEnd"/>
      <w:r w:rsidRPr="00781112">
        <w:rPr>
          <w:rFonts w:cs="Arial"/>
          <w:b/>
          <w:bCs/>
        </w:rPr>
        <w:t>.</w:t>
      </w:r>
    </w:p>
    <w:p w14:paraId="2986B041" w14:textId="11964637" w:rsidR="00AE1972" w:rsidRDefault="00AE1972" w:rsidP="00AE1972">
      <w:pPr>
        <w:rPr>
          <w:color w:val="000000" w:themeColor="text1"/>
        </w:rPr>
      </w:pPr>
      <w:r w:rsidRPr="00781112">
        <w:rPr>
          <w:color w:val="000000" w:themeColor="text1"/>
        </w:rPr>
        <w:t xml:space="preserve">2020-21 End of Year/Post-training Teacher Survey: </w:t>
        <w:br/>
        <w:t xml:space="preserve">Perceptions of coaching supports, trainings, and implementation practices were investigated through surveys conducted near the end of the school year. The response rate was 95% (n=18) of the 19 teachers in the program. The non-responding teacher had been reassigned to a non-math teaching position. Seventy-six percent of the cohort felt the October workshop was very useful or extremely useful. The December workshop was seen was very useful or extremely useful by 62% of the participants. In each of the four National Council of Teachers of Mathematics (NCTM) Principles to Action practice areas, 89%-94% of teachers agreed or strongly agreed that they were better prepared to implement the practice. The vast majority of teachers (93%) felt their involvement with Math4ME had a positive impact on their students. Teachers also indicated they felt that their students had more confidence and a better understanding of mathematical learning. They reported that students were more comfortable having math conversations and that students also enjoyed the games and activities. </w:t>
        <w:br/>
        <w:t/>
        <w:br/>
        <w:t xml:space="preserve"> 2020-21 Coach Survey: </w:t>
        <w:br/>
        <w:t xml:space="preserve">Coaches’ perspectives on the support they provided was obtained through an online survey. All four coaches responded to the survey. All coaches reported doing some coaching and teacher observations virtually. As in previous years, the area where coaches felt teachers gave the most emphasis was the practice area of helping students use and connect mathematical representations. The coaches noted that this year’s teachers differed from prior years’ teachers by being forced to adopt remote learning technology. Coaches felt they were making use of online representations and became more creative in their teaching. As in all prior years, coaches felt Math4ME had a positive effect on student learning. They felt the program contributed to increased student engagement and mathematical learning. All coaches indicated that they shared their Math4ME experiences with other teachers who were not in the program. Half of the coaches (n=2) felt their sharing with other teachers had somewhat affected the other teachers’ instruction. The other two coaches felt teachers not in Math4ME were very much affected or greatly affected. In an open-ended question, the effect on other teachers was seen by two teachers as primarily through their seminars with the other teachers. </w:t>
        <w:br/>
        <w:t/>
        <w:br/>
        <w:t xml:space="preserve">2020-21 Fidelity-of-Practice Classroom Observations: </w:t>
        <w:br/>
        <w:t>Classroom observations were conducted by the math coaches at one or two points in the school year. Teachers were scored on 2-3 indicators of practice using the Fidelity-of-Practice Rubric. Data from the observations provide in sight in how the NCTM principles were implemented. The four instructional areas are: establish mathematics goals to focus learning, use and connect mathematical representations, build procedural fluency from conceptual understanding, and implement tasks that promote reasoning and problem solving. There was observed improvement in implementing the principles between the initial and final observation in all instructional areas.</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w:t>
      </w:r>
      <w:proofErr w:type="spellStart"/>
      <w:r w:rsidRPr="00781112">
        <w:rPr>
          <w:rFonts w:cs="Arial"/>
          <w:b/>
          <w:bCs/>
        </w:rPr>
        <w:t>SiMR</w:t>
      </w:r>
      <w:proofErr w:type="spellEnd"/>
      <w:r w:rsidRPr="00781112">
        <w:rPr>
          <w:rFonts w:cs="Arial"/>
          <w:b/>
          <w:bCs/>
        </w:rPr>
        <w:t xml:space="preserve">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YES</w:t>
      </w:r>
    </w:p>
    <w:p w14:paraId="06A5D37D" w14:textId="230791FB" w:rsidR="00AE1972" w:rsidRPr="00781112" w:rsidRDefault="004801D4" w:rsidP="00AE1972">
      <w:pPr>
        <w:spacing w:after="0"/>
        <w:rPr>
          <w:rFonts w:cs="Arial"/>
          <w:b/>
          <w:bCs/>
        </w:rPr>
      </w:pPr>
      <w:r w:rsidRPr="00781112">
        <w:rPr>
          <w:rFonts w:cs="Arial"/>
          <w:b/>
          <w:bCs/>
        </w:rPr>
        <w:t xml:space="preserve">Describe any data quality issues, unrelated to COVID-19, specific to the </w:t>
      </w:r>
      <w:proofErr w:type="spellStart"/>
      <w:r w:rsidRPr="00781112">
        <w:rPr>
          <w:rFonts w:cs="Arial"/>
          <w:b/>
          <w:bCs/>
        </w:rPr>
        <w:t>SiMR</w:t>
      </w:r>
      <w:proofErr w:type="spellEnd"/>
      <w:r w:rsidRPr="00781112">
        <w:rPr>
          <w:rFonts w:cs="Arial"/>
          <w:b/>
          <w:bCs/>
        </w:rPr>
        <w:t xml:space="preserve"> data and include actions taken to address data quality concerns.</w:t>
      </w:r>
    </w:p>
    <w:p w14:paraId="22AF0A0D" w14:textId="360D29E7" w:rsidR="00AE1972" w:rsidRDefault="00AE1972" w:rsidP="00AE1972">
      <w:pPr>
        <w:rPr>
          <w:color w:val="000000" w:themeColor="text1"/>
        </w:rPr>
      </w:pPr>
      <w:r w:rsidRPr="00781112">
        <w:rPr>
          <w:color w:val="000000" w:themeColor="text1"/>
        </w:rPr>
        <w:t>The previous Maine statewide math assessment has not shown improvement in student learning. Maine DOE discussed potential contributing factors for this finding with stakeholders. One potential factor that was discussed is the fact that one of the analyses consists of a within-school proficiency comparisons of Math4ME classes and classes with the teachers not in Math4ME. Surveys show that coaches and teachers are reporting that they are sharing the resources with teachers that are not in Math4ME. In this case, proficiency may not differ substantially when comparing students taught by Math4ME teachers and those not taught by Math4ME teachers. An additional potential factor is that the Maine statewide math assessment that has been used is administered at grade placement level. It has been found, however, that the average percentage of special education teachers’ students who are one or more mathematics grade levels below grade placement is 89%-97%. Therefore, the Maine statewide math assessment that has been used may not be a sensitive instrument for showing improvement for students at lower learning levels (below grade level). Based on discussions with stakeholders, the decision was made that the assessment will been changed to Northwest Evaluation Association (NWEA) Measures of Academic Progress (MAP), which is adaptive and tests students near their learning level, and that the proficiency gap between students with disabilities and all students will be assessed beginning in FFY2021. Additionally, the Math4ME team is working with MEPRI to explore if more detailed NWEA math subtests will be accessible to maximize the sensitivity and specificity of the instruments used to evaluate student learning based on the Math4ME program.</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 xml:space="preserve">https://www.maine.gov/doe/sites/maine.gov.doe/files/inline-files/Outcomes%2C%20Measures%20and%20Evaluation%20Plan%202021.xlsx_3.pdf </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 xml:space="preserve">University of Maine Personnel &amp; External Evaluators </w:t>
        <w:br/>
        <w:t/>
        <w:br/>
        <w:t xml:space="preserve">Maine Education Policy Research Institute (MEPRI) </w:t>
        <w:br/>
        <w:t xml:space="preserve">Maine DOE maintains its contract with MEPRI to serve as the external evaluator of the SSIP. MEPRI is a University of Maine research center with two decades of experience providing research, program evaluation, and policy analysis to Maine schools, government and community agencies, and the Maine State Legislature. Based on this long relationship, MEPRI personnel have detailed knowledge of Maine's educational data and initiatives. The SSIP evaluation continues to be coordinated by Janet Fairman, Ph.D., an Associate Research Professor of Education at the University of Maine, and Craig Mason, Ph.D. a Professor of Education and Applied Quantitative Methods at the University of Maine. Based on the combined expertise of MEPRI researchers to conduct and communicate quantitative analyses, including value-added and growth models, qualitative methods, and survey design, their continued involvement significantly benefits the Math4ME initiative. </w:t>
        <w:br/>
        <w:t/>
        <w:br/>
        <w:t xml:space="preserve">Garrett Consulting </w:t>
        <w:br/>
        <w:t xml:space="preserve">Garrett Consulting services were used to develop a State Personnel Development Grant (SPDG) proposal for Math4ME. Maine received the 2021 grant and has contracted with Garrett Consulting to serve as the external evaluator for the grant. To prepare for grant reports, the Math4ME team meets regularly with Garrett Consulting to examine objectives, goals, assessments and data collection. Activity logs, evidence-based professional development charts and implementation checklists are a few of the valuable tools developed with the consultants. </w:t>
        <w:br/>
        <w:t/>
        <w:br/>
        <w:t xml:space="preserve">Math Trainers &amp; Coaches </w:t>
        <w:br/>
        <w:t/>
        <w:br/>
        <w:t xml:space="preserve">Due to the COVID-19 pandemic, all Math4ME trainings continued to be remote, synchronous and interactive. The former Maine DOE Math Specialist, Cheryl Tobey, now with the Maine Math and Science Alliance (MMSA) has returned to serve as the Math4ME project lead trainer. She continues to bring a wealth of experience and math content and pedagogical expertise to the Maine DOE and continues to collaborate with Math4ME lead coach, Nancy Lander. Nancy co-led the training for all cohorts and continues to support LEA coaches and coaches Math4ME teachers. This fall, an additional coach with math expertise, Chelsey Fay, from MMSA joined the Math4ME team. </w:t>
        <w:br/>
        <w:t/>
        <w:br/>
        <w:t xml:space="preserve">Math4ME Stakeholder Group </w:t>
        <w:br/>
        <w:t/>
        <w:br/>
        <w:t xml:space="preserve">The Math4ME stakeholder group consists of special educators, special education directors, school administrators and representatives from the Maine Department of Education, Maine Math &amp; Science Alliance, the external evaluators and Maine Parent Federation. A member of the State Performance Plan/Annual Performance Report State Advisory Panel and higher-education faculty are also a part of the group. This year additional family members and past Math4ME participants will added to expand the expertise and perspectives of the group. This group has also started meeting quarterly versus yearly to deepen the engagement in Math4ME programming and decision making. </w:t>
        <w:br/>
        <w:t/>
        <w:br/>
        <w:t xml:space="preserve">LEA Teachers </w:t>
        <w:br/>
        <w:t/>
        <w:br/>
        <w:t xml:space="preserve">In 2021-2022, Math4ME shifted to a focus on rural special educators and the paraprofessionals that work with them. This new cohort is identified as Math4ME Cohort A. This year started with 13 educator and paraprofessional pairs in the most rural areas of Maine. The participating Local Education Agencies (LEAs) were selected based on an application process that assessed readiness and capacity to institute evidence-based improvement practices in teaching mathematics. </w:t>
        <w:br/>
        <w:t/>
        <w:br/>
        <w:t xml:space="preserve">Federal Technical Assistance </w:t>
        <w:br/>
        <w:t/>
        <w:br/>
        <w:t>Maine continued to benefit greatly from the support and assistance of OSEP-funded technical assistance centers. The IDEA Data Center and other agencies have provided indispensable guidance, consultation, and coordination through all steps of Maine's SSIP development and implementation.</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B11F1">
        <w:rPr>
          <w:rFonts w:cs="Arial"/>
          <w:b/>
          <w:bCs/>
        </w:rPr>
        <w:t>SiMR</w:t>
      </w:r>
      <w:proofErr w:type="spellEnd"/>
      <w:r w:rsidRPr="00AB11F1">
        <w:rPr>
          <w:rFonts w:cs="Arial"/>
          <w:b/>
          <w:bCs/>
        </w:rPr>
        <w:t>;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Accountability/Monitoring </w:t>
        <w:br/>
        <w:t xml:space="preserve">External evaluation: The addition of Garrett Consulting to the external evaluation team for the SPDG will strengthen Math4ME’s accountability and monitoring. Strengthening the identification of the project’s goals, outcomes and approaches to measurement will support system change to assist with future work to scale up Math4ME. </w:t>
        <w:br/>
        <w:t/>
        <w:br/>
        <w:t xml:space="preserve">Professional Development </w:t>
        <w:br/>
        <w:t xml:space="preserve">Trainers &amp; Coaches: Cheryl Tobey and Nancy Lander have years of experience working with Maine educators and both have significant expertise in mathematical training and coaching. The professional development that they provide will lead to student learning and therefore achievement of the SiMR.The training and coaching they provide will lead to educators’ increased knowledge of fundamental concepts and pedagogy, improved skill of teachers in teaching fundamental concepts in mathematics, increase the number of students with disabilities exposed to research-based teaching practices and will increase proficiency in math for students with disabilities in grades 3-8. This will be evident in NWEA student assessment data, teacher surveys, and fidelity of practice data. </w:t>
        <w:br/>
        <w:t/>
        <w:br/>
        <w:t xml:space="preserve"> Math4ME Cohort A Teachers &amp; Paraprofessionals: By focusing on special educator and paraprofessional teams, students will be exposed to research-based teaching practices in fundamental concepts in math consistently. This will support the achievement of the SiMR. The teams’ understanding of math best practices will increase proficiency in math for students with disabilities in their classrooms. </w:t>
        <w:br/>
        <w:t/>
        <w:br/>
        <w:t xml:space="preserve">Governance </w:t>
        <w:br/>
        <w:t xml:space="preserve">Stakeholder Group: The continued guidance and accountability by the stakeholder group will support sustainability. </w:t>
        <w:br/>
        <w:t/>
        <w:br/>
        <w:t xml:space="preserve">Technical Assistance </w:t>
        <w:br/>
        <w:t>OSEP-funded technical assistance centers and their staff provide technical assistance to support Math4ME program implementation and sustainability. Support is frequently provided by the IDEA Data Center and the National Center for Systemic Improvement (NCSI).</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YES</w:t>
      </w:r>
    </w:p>
    <w:p w14:paraId="4E9EF90C" w14:textId="3F5C36A0" w:rsidR="00AE1972" w:rsidRPr="00781112" w:rsidRDefault="003E05D8" w:rsidP="00AE1972">
      <w:pPr>
        <w:rPr>
          <w:rFonts w:cs="Arial"/>
          <w:b/>
          <w:bCs/>
          <w:i/>
          <w:iCs/>
        </w:rPr>
      </w:pPr>
      <w:r w:rsidRPr="00781112">
        <w:rPr>
          <w:rFonts w:cs="Arial"/>
          <w:b/>
          <w:bCs/>
        </w:rPr>
        <w:t xml:space="preserve">Describe each </w:t>
      </w:r>
      <w:r w:rsidR="00AE1972" w:rsidRPr="00781112">
        <w:rPr>
          <w:rFonts w:cs="Arial"/>
          <w:b/>
          <w:bCs/>
          <w:u w:val="single"/>
        </w:rPr>
        <w:t>new</w:t>
      </w:r>
      <w:r w:rsidR="00AE1972" w:rsidRPr="00781112">
        <w:rPr>
          <w:rFonts w:cs="Arial"/>
          <w:b/>
          <w:bCs/>
        </w:rPr>
        <w:t xml:space="preserve"> (newly identified) infrastructure improvement strategy and the short-term or intermediate outcomes achieved</w:t>
      </w:r>
      <w:r w:rsidR="00AE1972" w:rsidRPr="00781112">
        <w:rPr>
          <w:rFonts w:cs="Arial"/>
          <w:b/>
          <w:bCs/>
          <w:i/>
          <w:iCs/>
        </w:rPr>
        <w:t xml:space="preserve">. </w:t>
      </w:r>
    </w:p>
    <w:p w14:paraId="43C5101C" w14:textId="614E9D0F" w:rsidR="00AE1972" w:rsidRDefault="00AE1972" w:rsidP="00AE1972">
      <w:pPr>
        <w:rPr>
          <w:color w:val="000000" w:themeColor="text1"/>
        </w:rPr>
      </w:pPr>
      <w:r w:rsidRPr="00781112">
        <w:rPr>
          <w:color w:val="000000" w:themeColor="text1"/>
        </w:rPr>
        <w:t xml:space="preserve">Administrator Sessions:  Research demonstrates that administrator support is vital to program implementation.  In previous Math4ME years, an administrator session was provided which included an overview of the Math4ME program.  Starting in the 2021-2022 school year, there are a minimum of three administrator meetings.  These meetings include an overview of the program, highlights of training and coaching, interactive math activities and ways that the administrators can support their special educator and paraprofessional teams.  Administrator support will aid in participant retention and sustainability of the project.   </w:t>
        <w:br/>
        <w:t/>
        <w:br/>
        <w:t xml:space="preserve">Family Engagement: In the past, Math4ME educators worked with students using concepts and practices learned in the training and it was up to them to decide how to share their instructional practices with their students’ families and caregivers.  Beginning this year, the Math4ME team in collaboration with the Maine Parent Federation is developing family engagement tools for participating educators and paraprofessionals.  These tools start with simple communications sent home as postcards with an example of a math routine and their student’s work sample.  The goal is to progress from communications to engagement to family partnerships. </w:t>
        <w:br/>
        <w:t/>
        <w:br/>
        <w:t xml:space="preserve"> </w:t>
      </w:r>
    </w:p>
    <w:p w14:paraId="7A07D856" w14:textId="77777777" w:rsidR="00AE1972" w:rsidRPr="00781112" w:rsidRDefault="00AE1972" w:rsidP="00AE1972">
      <w:pPr>
        <w:rPr>
          <w:rFonts w:cs="Arial"/>
          <w:b/>
          <w:bCs/>
        </w:rPr>
      </w:pPr>
      <w:r w:rsidRPr="00781112">
        <w:rPr>
          <w:rFonts w:cs="Arial"/>
          <w:b/>
          <w:bCs/>
        </w:rPr>
        <w:lastRenderedPageBreak/>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Maine recently announced that the Measures of Academic Progress (MAP) suite of assessments developed by Northwest Evaluation Association (NWEA) will be used for the 2021 state assessment tool. The Maine DOE will renew its contract with MEPRI to serve as the external evaluator of the SSIP. The Math4ME team has met with MEPRI associates to discuss additional student achievement measures that may be highlighted in components of this new assessment. The components of this assessment will be more sensitive to gains made by special education students in the Math4ME program.   </w:t>
        <w:br/>
        <w:t/>
        <w:br/>
        <w:t xml:space="preserve">State Personnel Development Grant (SPDG) - The state of Maine has been awarded a SPDG for 2021-2026 for the Math4ME work. </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Math4ME training is grounded in the National Council of Teachers of Mathematics (NCTM)?Mathematics Teaching Practices, which can be found here: https://www.nctm.org/uploadedFiles/Standards_and_Positions/PtAExecutiveSummary.pdf .? This training includes hands-on activities and interactive professional learning experiences that allow participants to gain a deeper understanding of core mathematics concepts and strategies. Program content includes computational fluency operations; problem-solving skills and processes; and assessment, diagnostic probes, and formative feedback. It includes Math4ME professional learning sessions, Professional Learning Community (PLC), and Coaching.</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 xml:space="preserve">Professional Learning Sessions </w:t>
        <w:br/>
        <w:t xml:space="preserve">Math4ME training completely shifted to remote, synchronous interactive professional learning experiences. Professional learning sessions were held during the summer and the fall. The sessions focused on training teachers of grades 3-8 special education students in the fundamental concepts in math content and pedagogy with a focus on the National Council of Teachers of Mathematics (NCTM) principles and standards. Math4ME trainers/coaches also provide analysis of formative assessment results with teachers, methods of evaluating students for math levels to report strengths and needs, and other supports as requested by the teacher. Numerous resources relevant to math content and pedagogy may be found on the Math4ME Padlet website, including learning trajectory resources, formative assessment tools, and full research articles on evidence-based teaching practices. </w:t>
        <w:br/>
        <w:t/>
        <w:br/>
        <w:t xml:space="preserve">Professional Learning Communities (PLC) </w:t>
        <w:br/>
        <w:t xml:space="preserve">Each special educator and paraprofessional team will be paired with other teams to apply elements of the training to their practice and examine the results in these small groups hosted initially with a Math4ME coach. The goal of the PLCs is to create a safe place for conversations about mathematical practices and to encourage the groups to eventually add other teachers from their schools to join in the conversations and create interest in Math4ME. The smaller group interactive activities further support collaboration, feedback and reflection. Learning activities in both PL and PLC sessions use a range of modes including interactive sorts, reviewing student work, learning through video cases, and engaging in mathematics. </w:t>
        <w:br/>
        <w:t/>
        <w:br/>
        <w:t xml:space="preserve">Coaching </w:t>
        <w:br/>
        <w:t>Participants will engage in two observation cycles with one of the Math4ME coaches. In addition to coaching, participants are supported with ad-hoc assistance from the Lead Coach and LEA-Level Coaches and are provided with numerous technical assistance resources. Coaches provide opportunities for conversations about mathematic instructional practices and informal observations with feedback. The Math4ME padlet also contains preconference coaching tools, coaching visit overview, and other materials used by the Coaches and Math4ME teachers for the coaching visits. It can be accessed at https://padlet.com/MathProbes/Math4ME2021CohortA. The continued practice of developing teachers’ conceptual understanding of mathematics and mathematics instruction through professional learning and coaching will lead to a change in classroom practices. The teachers’ advanced mathematical understanding and pedagogy will lead to gains in student learning.</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110" w:name="_Hlk88409387"/>
      <w:r w:rsidRPr="00781112">
        <w:rPr>
          <w:rFonts w:cs="Arial"/>
          <w:b/>
          <w:bCs/>
        </w:rPr>
        <w:t xml:space="preserve">Provide a summary of how each evidence-based practice and activities or strategies that support its use, is intended to impact the </w:t>
      </w:r>
      <w:proofErr w:type="spellStart"/>
      <w:r w:rsidRPr="00781112">
        <w:rPr>
          <w:rFonts w:cs="Arial"/>
          <w:b/>
          <w:bCs/>
        </w:rPr>
        <w:t>SiMR</w:t>
      </w:r>
      <w:proofErr w:type="spellEnd"/>
      <w:r w:rsidRPr="00781112">
        <w:rPr>
          <w:rFonts w:cs="Arial"/>
          <w:b/>
          <w:bCs/>
        </w:rPr>
        <w:t xml:space="preserve"> by changing program/district policies, procedures, and/or practices, teacher/provider practices (</w:t>
      </w:r>
      <w:proofErr w:type="gramStart"/>
      <w:r w:rsidRPr="00781112">
        <w:rPr>
          <w:rFonts w:cs="Arial"/>
          <w:b/>
          <w:bCs/>
        </w:rPr>
        <w:t>e.g.</w:t>
      </w:r>
      <w:proofErr w:type="gramEnd"/>
      <w:r w:rsidRPr="00781112">
        <w:rPr>
          <w:rFonts w:cs="Arial"/>
          <w:b/>
          <w:bCs/>
        </w:rPr>
        <w:t xml:space="preserve"> behaviors), parent/caregiver outcomes, and/or child /outcomes. </w:t>
      </w:r>
    </w:p>
    <w:bookmarkEnd w:id="110"/>
    <w:p w14:paraId="3E043DB7" w14:textId="7C3B2CD4" w:rsidR="00AE1972" w:rsidRPr="00781112" w:rsidRDefault="00AE1972" w:rsidP="00AE1972">
      <w:pPr>
        <w:rPr>
          <w:b/>
          <w:bCs/>
        </w:rPr>
      </w:pPr>
      <w:r w:rsidRPr="00781112">
        <w:rPr>
          <w:color w:val="000000" w:themeColor="text1"/>
        </w:rPr>
        <w:t xml:space="preserve">In the past Math4ME Professional Learning Sessions were held in the summer and fall only.  Now these sessions will continue throughout the school year.  By shortening the sessions and extending them throughout the year, educators and paraprofessionals will have time in between sessions to implement math strategies and routines. In between the shortened sessions, PLCs meet. In these meetings participants bring examples of their practices to share and discuss with the group.  This time of reflection on practice will strengthen the participants understanding of the math principles which will lead to the improved skills of special educators in teaching fundamental concepts in math. Coaching will further support the educators’ understanding and implementation skills. </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2020-21 Fidelity-of-Practice Classroom Observations: </w:t>
        <w:br/>
        <w:t xml:space="preserve">As noted above with respect to additional data that informed progress toward the SIMR, classroom observations were conducted by the math coaches at one or two points in the school year. Teachers were scored on 2-3 indicators of practice using the Fidelity-of-Practice Rubric. Data from the observations provide insight into how the NCTM principles were implemented. The four instructional areas are: establish mathematics goals to focus learning, use and connect mathematical representations, build procedural fluency from conceptual understanding, and implement tasks that promote reasoning and problem solving. There was observed improvement in implementing the principles between the initial and final observation in all instructional areas. </w:t>
        <w:br/>
        <w:t/>
        <w:br/>
        <w:t xml:space="preserve">2021-2022 Fidelity-of-Practice Classroom Observations: </w:t>
        <w:br/>
        <w:t xml:space="preserve">Due to the stresses of the pandemic, educator workforce shortages and switching from remote to in person back to remote instruction, the Math4ME team gave participants options for the classroom observation in the fall. Educators and paraprofessionals were given the option of participating in an observation, a professional support session with a coach or to share a collection of student work that demonstrated the mathematics principals addressed in the learning sessions. Educators and paraprofessionals chose a variety of the options. This option was presented and accepted our OSEP SPDG project lead. </w:t>
        <w:br/>
        <w:t/>
        <w:br/>
        <w:t>In the spring, the participants will return to classroom observations which will be held remotely. iPads and SWIVL cameras were purchased to permit coaches to observe in rural classrooms. Teachers and paraprofessionals will be scored on 2-3 indicators of practice using the Fidelity-of-Practice Rubric. The new Cohort 4 was observed twice during the school year and the returning Cohort 3 was observed once. There was observed improvement in implementing the principles in between the initial and second observation of Cohort 4 in all NTCM Principles to Action instructional areas.</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w:t>
      </w:r>
      <w:proofErr w:type="gramStart"/>
      <w:r w:rsidRPr="00C87801">
        <w:rPr>
          <w:rFonts w:cs="Arial"/>
          <w:b/>
          <w:bCs/>
        </w:rPr>
        <w:t>e.g.</w:t>
      </w:r>
      <w:proofErr w:type="gramEnd"/>
      <w:r w:rsidRPr="00C87801">
        <w:rPr>
          <w:rFonts w:cs="Arial"/>
          <w:b/>
          <w:bCs/>
        </w:rPr>
        <w:t xml:space="preserve">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2020-21 End of Year / Post-training Teacher Survey: </w:t>
        <w:br/>
        <w:t xml:space="preserve">As noted above with respect to additional data that informed progress toward the SIMR, perceptions of coaching supports, trainings, and implementation practices were investigated through surveys conducted near the end of the school year. The response rate was 95% (n=18) of the 19 teachers in the program. The non-responding teacher had been reassigned to a non-math teaching position. Seventy-six percent of the cohort felt the October workshop was very useful or extremely useful. The December workshop was seen was very useful or extremely useful by 62% of the participants. In each of the four National Council of Teachers of Mathematics (NCTM) Principles to Action practice areas, 89%-94% of teachers agreed or strongly agreed that they were better prepared to implement the practice. The vast majority of teachers (93%) felt their involvement with Math4ME had a positive impact on their students. Teachers also indicated they felt that their students had more confidence and a better understanding of mathematical learning. They reported that students were more comfortable having math conversations and that students also enjoyed the games and activities.  </w:t>
        <w:br/>
        <w:t/>
        <w:br/>
        <w:t xml:space="preserve">2020-21 Coach Survey: </w:t>
        <w:br/>
        <w:t xml:space="preserve">Coaches’ perspectives on the support they provided was obtained through an online survey. All four coaches responded to the survey. All coaches reported doing some coaching and teacher observations virtually. As in previous years, the area where coaches felt teachers gave the most emphasis was the practice area of helping students use and connect mathematical representations. The coaches noted that this year’s teachers differed from prior years’ teachers by being forced to adopt remote learning technology. Coaches felt they were making use of online representations and became more creative in their teaching. As in all prior years, coaches felt Math4ME had a positive effect on student learning. They felt the program contributed to increased student engagement and mathematical learning. All coaches indicated that they shared their Math4ME experiences with other teachers who were not in the program. Half of the coaches (n=2) felt their sharing with other teachers had somewhat affected the other teachers’ instruction. The other two coaches felt teachers not in Math4ME were very much affected or greatly affected. In an open-ended question, the effect on other teachers was seen by two teachers as primarily through their seminars with the other teachers. </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Math4ME training will continue to be predominantly remote, however, next year there is a plan to start with a two day in-person training.  This will give the trainers time to help participants become familiar with the technology before shifting to remote.  This will also allow time for trainers and coaches to get to know the participants and build rapport.  With other proposed infrastructure changes, this should increase retention of participants leading to a greater influence on student outcomes. PLCs will continue as planned, but there will be an increase in the number of coaches which will lead to greater retention and sustainability. </w:t>
      </w:r>
    </w:p>
    <w:p w14:paraId="0555DA84" w14:textId="77777777" w:rsidR="00C87801" w:rsidRPr="00781112" w:rsidRDefault="00C87801"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throughout 2020-2021. </w:t>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br/>
        <w:t xml:space="preserve">Maine DOE staff, including the Director of the Office of Special Services, the Part B Data Manager, and the Special Projects Coordinator, met with the SAP during monthly meetings throughout 2020-2021. SAP members were informed of the development of the new State Performance Plan and the new alignment of indicators. Meetings covered indicator content, historical data analysis, trend-analysis/data forecasting, implementation strategies, and target-setting for performance indicators, including the SSIP. </w:t>
        <w:br/>
        <w:t>Statewide meetings of the Maine Administrators of Services for Children with Disabilities (MADSEC) were held in 2020 and 2021. The MADSEC conferences included sessions on the reauthorization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br/>
        <w:t>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Since the last SSIP reporting period, the Math4ME team continues to hold multiple small group meetings with both internal and external stakeholders, communicates through emails and held a full stakeholder meeting in December of 2021 to provide updates, seek guidance and make plans for the future of Math4ME. The concerns of stakeholders and the Maine DOE’s plan for improvements based on this guidance are outlined in the next section of this report.  Full stakeholder meetings will be held quarterly for the 2021-2022 school year. </w:t>
        <w:br/>
        <w:t/>
        <w:br/>
        <w:t xml:space="preserve">To continue stakeholder engagement, meetings will remain online to permit stakeholders from throughout Maine to attend.  During the most recent meeting, the Math4ME trainer led participants through a variety of activities and discussions designed to showcase various components of the updated training and fidelity measures while providing a conceptual framework for stakeholders. Additionally, the external evaluator presented and discussed the evaluation results from the Cohort 4 data collected from surveys, interviews, fidelity checks, and student assessment results. Because the 2020–2021 was year five of the project, the stakeholders were presented with the updates decided upon during the last stakeholder gathering. Stakeholders will continue to be a critical component in providing guidance to the Maine DOE for future implementation and scale-up efforts. To strengthen this component, family members and past Math4ME participants will be added to the group. </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564F420D" w:rsidR="00AE1972" w:rsidRPr="00781112" w:rsidRDefault="00AE1972" w:rsidP="00AE1972">
      <w:pPr>
        <w:rPr>
          <w:b/>
          <w:bCs/>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49063B9D" w:rsidR="00AE1972" w:rsidRPr="00781112" w:rsidRDefault="00AE1972" w:rsidP="00AE1972">
      <w:pPr>
        <w:rPr>
          <w:color w:val="000000" w:themeColor="text1"/>
        </w:rPr>
      </w:pPr>
      <w:r w:rsidRPr="00781112">
        <w:rPr>
          <w:color w:val="000000" w:themeColor="text1"/>
        </w:rPr>
        <w:t xml:space="preserve">In past meetings, the stakeholders expressed concerns about the scope of the training, assessment measures, and sustainability. Each of these areas have been addressed by the Maine DOE through the revised Math4ME programming. </w:t>
        <w:br/>
        <w:t/>
        <w:br/>
        <w:t xml:space="preserve">Over the past five years the Math4ME trainings have focused on content that meets the needs of special education students in grades 3-8 and a formative assessment tool. The stakeholder group recommended pairing down the content and the grade bands to focus and intensify the intervention. In response to this, beginning in the fall of 2021, Math4ME now focuses on educators and their paraprofessionals who work with students who are functioning at developmental grade levels between third and fifth grade. With the change in grade band, the content presented will focus on computational fluency as it aligns with the NCTM principles and standards. </w:t>
        <w:br/>
        <w:t/>
        <w:br/>
        <w:t xml:space="preserve">As mentioned earlier, the previous Maine statewide math assessment has not shown improvement in student learning. Maine DOE discussed potential contributing factors for this finding with stakeholders. One potential factor that was discussed is the fact that one of the analyses consists of a within-school proficiency comparisons of Math4ME classes and classes with the teachers not in Math4ME. Surveys show that coaches and teachers are reporting that they are sharing the resources with teachers that are not in Math4ME. In this case, proficiency may not differ substantially when comparing students taught by Math4ME teachers and those not taught by Math4ME teachers. An additional potential factor is that the Maine statewide math assessment that has been used is administered at grade placement level. It has been found, however, that the average percentage of special education teachers’ students who are one or more mathematics grade levels below grade placement is 89%-97%. Therefore, the Maine statewide math assessment that has been used may not be a sensitive instrument for showing improvement for students at lower learning levels (below grade level). Based on discussions with stakeholders, the decision was made that the assessment will been changed to Northwest Evaluation Association (NWEA) Measures of Academic Progress (MAP), which is adaptive and tests students near their learning level, and that the proficiency gap between students with disabilities and all students will be assessed beginning in FFY2021. Additionally, the Math4ME team is working with MEPRI to explore if more detailed NWEA math subtests will be accessible to maximize the sensitivity and specificity of the instruments used to evaluate student learning based on the Math4ME program. </w:t>
        <w:br/>
        <w:t/>
        <w:br/>
        <w:t xml:space="preserve">To address sustainability, the cohorts will include special educator and paraprofessional pairs. The pair of educators will support one another’s practice and students will have more consistent Math4ME based instruction. These pairs of educators will work in a small group with a coach to create a community of Math4ME practitioners with the goal of adding other educators to this group from within the grade level, the school, and eventually the entire district. </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 xml:space="preserve">List any activities not already described that the State intends to implement in the next fiscal year that are related to the </w:t>
      </w:r>
      <w:proofErr w:type="spellStart"/>
      <w:r w:rsidRPr="00781112">
        <w:rPr>
          <w:b/>
          <w:bCs/>
        </w:rPr>
        <w:t>SiMR</w:t>
      </w:r>
      <w:proofErr w:type="spellEnd"/>
      <w:r w:rsidRPr="00781112">
        <w:rPr>
          <w:b/>
          <w:bCs/>
        </w:rPr>
        <w:t>.</w:t>
      </w:r>
    </w:p>
    <w:p w14:paraId="35A94BC4" w14:textId="6D7D4D2A" w:rsidR="00AE1972" w:rsidRPr="00781112" w:rsidRDefault="00AE1972" w:rsidP="00AE1972">
      <w:pPr>
        <w:rPr>
          <w:color w:val="000000" w:themeColor="text1"/>
        </w:rPr>
      </w:pPr>
      <w:r w:rsidRPr="00781112">
        <w:rPr>
          <w:color w:val="000000" w:themeColor="text1"/>
        </w:rPr>
        <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w:t>
      </w:r>
      <w:proofErr w:type="spellStart"/>
      <w:r w:rsidRPr="00781112">
        <w:rPr>
          <w:rFonts w:cs="Arial"/>
          <w:b/>
          <w:bCs/>
        </w:rPr>
        <w:t>SiMR</w:t>
      </w:r>
      <w:proofErr w:type="spellEnd"/>
      <w:r w:rsidRPr="00781112">
        <w:rPr>
          <w:rFonts w:cs="Arial"/>
          <w:b/>
          <w:bCs/>
        </w:rPr>
        <w:t xml:space="preserve">. </w:t>
      </w:r>
    </w:p>
    <w:p w14:paraId="50377A67" w14:textId="7B063CE4" w:rsidR="00AE1972" w:rsidRPr="00781112" w:rsidRDefault="00AE1972" w:rsidP="00AE1972">
      <w:pPr>
        <w:rPr>
          <w:color w:val="000000" w:themeColor="text1"/>
        </w:rPr>
      </w:pPr>
      <w:r w:rsidRPr="00781112">
        <w:rPr>
          <w:color w:val="000000" w:themeColor="text1"/>
        </w:rPr>
        <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Educator workforce issues: As much of the nation, Maine has been working to address workforce shortages and the needs of educators. Due to the pandemic and workforce issues, maintaining participant numbers has been difficult. To mediate this in the future, the Math4ME team is collaborating with stakeholders to explore options. One option considered is altering recruitment for Math4ME from participant pairs/teams to more of a school-wide initiative with administrators and other educators joining the team. This will lead to retention in the program and increase sustainability.</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r w:rsidRPr="00781112">
        <w:rPr>
          <w:color w:val="000000" w:themeColor="text1"/>
        </w:rPr>
        <w:t/>
      </w: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lastRenderedPageBreak/>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r w:rsidRPr="00781112">
        <w:rPr>
          <w:color w:val="000000" w:themeColor="text1"/>
        </w:rPr>
        <w:t>The State provided targets for FFYs 2020 through 2025 for this indicator, and OSEP accepts those targets.</w:t>
        <w:br/>
        <w:t/>
        <w:br/>
        <w:t>The State did not provide any data, aligned with the State-identified Measurable Result (SiMR), for this indicator. Therefore, OSEP could not determine whether the State met its target.</w:t>
        <w:br/>
        <w:t/>
        <w:br/>
        <w:t xml:space="preserve">The State must provide a link or narrative description of the current Theory of Action. </w:t>
      </w: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AE1972" w:rsidP="000532EB">
      <w:pPr>
        <w:rPr>
          <w:color w:val="000000" w:themeColor="text1"/>
        </w:rPr>
      </w:pPr>
      <w:r w:rsidRPr="00781112">
        <w:rPr>
          <w:color w:val="000000" w:themeColor="text1"/>
        </w:rPr>
        <w:t/>
      </w: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111"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Erin H Frazier</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State Director of Special Services Birth to 22</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erin.frazier@maine.gov</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2076246713</w:t>
      </w:r>
    </w:p>
    <w:bookmarkEnd w:id="111"/>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4B3E4991" w:rsidR="000657F0" w:rsidRPr="00781112" w:rsidRDefault="006879FA" w:rsidP="000657F0">
      <w:pPr>
        <w:autoSpaceDE w:val="0"/>
        <w:autoSpaceDN w:val="0"/>
        <w:adjustRightInd w:val="0"/>
        <w:rPr>
          <w:rFonts w:cs="Arial"/>
          <w:color w:val="000000" w:themeColor="text1"/>
          <w:szCs w:val="16"/>
        </w:rPr>
      </w:pPr>
      <w:r w:rsidRPr="00781112">
        <w:rPr>
          <w:rFonts w:cs="Arial"/>
          <w:color w:val="000000" w:themeColor="text1"/>
          <w:szCs w:val="16"/>
        </w:rPr>
        <w:t>04/28/22  2:10:30 PM</w:t>
      </w:r>
    </w:p>
    <w:p w14:paraId="596B3C30" w14:textId="7DA17B2F" w:rsidR="00755AF7" w:rsidRPr="00781112" w:rsidRDefault="00755AF7" w:rsidP="00EE4B59">
      <w:pPr>
        <w:rPr>
          <w:rFonts w:cs="Arial"/>
          <w:color w:val="000000" w:themeColor="text1"/>
          <w:szCs w:val="16"/>
        </w:rPr>
      </w:pPr>
    </w:p>
    <w:sectPr w:rsidR="00755AF7" w:rsidRPr="00781112" w:rsidSect="00651E83">
      <w:footerReference w:type="default" r:id="rId13"/>
      <w:pgSz w:w="12240" w:h="15840" w:code="1"/>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560A" w14:textId="77777777" w:rsidR="000A4ED6" w:rsidRDefault="000A4ED6" w:rsidP="000802F7">
      <w:pPr>
        <w:spacing w:before="0" w:after="0"/>
      </w:pPr>
      <w:r>
        <w:separator/>
      </w:r>
    </w:p>
  </w:endnote>
  <w:endnote w:type="continuationSeparator" w:id="0">
    <w:p w14:paraId="7237F811" w14:textId="77777777" w:rsidR="000A4ED6" w:rsidRDefault="000A4ED6" w:rsidP="000802F7">
      <w:pPr>
        <w:spacing w:before="0" w:after="0"/>
      </w:pPr>
      <w:r>
        <w:continuationSeparator/>
      </w:r>
    </w:p>
  </w:endnote>
  <w:endnote w:type="continuationNotice" w:id="1">
    <w:p w14:paraId="4598DA29" w14:textId="77777777" w:rsidR="000A4ED6" w:rsidRDefault="000A4E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94661"/>
      <w:docPartObj>
        <w:docPartGallery w:val="Page Numbers (Bottom of Page)"/>
        <w:docPartUnique/>
      </w:docPartObj>
    </w:sdtPr>
    <w:sdtEndPr>
      <w:rPr>
        <w:noProof/>
      </w:rPr>
    </w:sdtEndPr>
    <w:sdtContent>
      <w:p w14:paraId="63D74FF3" w14:textId="78884A59" w:rsidR="006B5750" w:rsidRDefault="006B5750" w:rsidP="00A06AB0">
        <w:pPr>
          <w:pStyle w:val="Footer"/>
          <w:jc w:val="right"/>
          <w:rPr>
            <w:noProof/>
          </w:rPr>
        </w:pPr>
        <w:r>
          <w:fldChar w:fldCharType="begin"/>
        </w:r>
        <w:r>
          <w:instrText xml:space="preserve"> PAGE   \* MERGEFORMAT </w:instrText>
        </w:r>
        <w:r>
          <w:fldChar w:fldCharType="separate"/>
        </w:r>
        <w:r>
          <w:rPr>
            <w:noProof/>
          </w:rPr>
          <w:t>55</w:t>
        </w:r>
        <w:r>
          <w:rPr>
            <w:noProof/>
          </w:rPr>
          <w:fldChar w:fldCharType="end"/>
        </w:r>
        <w:r>
          <w:ptab w:relativeTo="margin" w:alignment="right" w:leader="none"/>
        </w:r>
        <w:r>
          <w:t>Part 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68CE" w14:textId="77777777" w:rsidR="000A4ED6" w:rsidRDefault="000A4ED6" w:rsidP="000802F7">
      <w:pPr>
        <w:spacing w:before="0" w:after="0"/>
      </w:pPr>
      <w:r>
        <w:separator/>
      </w:r>
    </w:p>
  </w:footnote>
  <w:footnote w:type="continuationSeparator" w:id="0">
    <w:p w14:paraId="3F70FA11" w14:textId="77777777" w:rsidR="000A4ED6" w:rsidRDefault="000A4ED6" w:rsidP="000802F7">
      <w:pPr>
        <w:spacing w:before="0" w:after="0"/>
      </w:pPr>
      <w:r>
        <w:continuationSeparator/>
      </w:r>
    </w:p>
  </w:footnote>
  <w:footnote w:type="continuationNotice" w:id="1">
    <w:p w14:paraId="764F2BC9" w14:textId="77777777" w:rsidR="000A4ED6" w:rsidRDefault="000A4ED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9.5pt;height:18.75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B21583"/>
    <w:multiLevelType w:val="hybridMultilevel"/>
    <w:tmpl w:val="EF8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2D2"/>
    <w:multiLevelType w:val="hybridMultilevel"/>
    <w:tmpl w:val="F1EC7EEC"/>
    <w:lvl w:ilvl="0" w:tplc="7164A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1027A06"/>
    <w:multiLevelType w:val="hybridMultilevel"/>
    <w:tmpl w:val="7FB257BC"/>
    <w:lvl w:ilvl="0" w:tplc="14FC5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CF3704"/>
    <w:multiLevelType w:val="multilevel"/>
    <w:tmpl w:val="A3D6B32C"/>
    <w:lvl w:ilvl="0">
      <w:start w:val="1"/>
      <w:numFmt w:val="upperLetter"/>
      <w:lvlText w:val="%1."/>
      <w:lvlJc w:val="left"/>
      <w:pPr>
        <w:tabs>
          <w:tab w:val="num" w:pos="-1872"/>
        </w:tabs>
        <w:ind w:left="-1872" w:hanging="360"/>
      </w:pPr>
    </w:lvl>
    <w:lvl w:ilvl="1" w:tentative="1">
      <w:start w:val="1"/>
      <w:numFmt w:val="upperLetter"/>
      <w:lvlText w:val="%2."/>
      <w:lvlJc w:val="left"/>
      <w:pPr>
        <w:tabs>
          <w:tab w:val="num" w:pos="-1152"/>
        </w:tabs>
        <w:ind w:left="-1152" w:hanging="360"/>
      </w:pPr>
    </w:lvl>
    <w:lvl w:ilvl="2" w:tentative="1">
      <w:start w:val="1"/>
      <w:numFmt w:val="upperLetter"/>
      <w:lvlText w:val="%3."/>
      <w:lvlJc w:val="left"/>
      <w:pPr>
        <w:tabs>
          <w:tab w:val="num" w:pos="-432"/>
        </w:tabs>
        <w:ind w:left="-432" w:hanging="360"/>
      </w:pPr>
    </w:lvl>
    <w:lvl w:ilvl="3" w:tentative="1">
      <w:start w:val="1"/>
      <w:numFmt w:val="upperLetter"/>
      <w:lvlText w:val="%4."/>
      <w:lvlJc w:val="left"/>
      <w:pPr>
        <w:tabs>
          <w:tab w:val="num" w:pos="288"/>
        </w:tabs>
        <w:ind w:left="288" w:hanging="360"/>
      </w:pPr>
    </w:lvl>
    <w:lvl w:ilvl="4" w:tentative="1">
      <w:start w:val="1"/>
      <w:numFmt w:val="upperLetter"/>
      <w:lvlText w:val="%5."/>
      <w:lvlJc w:val="left"/>
      <w:pPr>
        <w:tabs>
          <w:tab w:val="num" w:pos="1008"/>
        </w:tabs>
        <w:ind w:left="1008" w:hanging="360"/>
      </w:pPr>
    </w:lvl>
    <w:lvl w:ilvl="5" w:tentative="1">
      <w:start w:val="1"/>
      <w:numFmt w:val="upperLetter"/>
      <w:lvlText w:val="%6."/>
      <w:lvlJc w:val="left"/>
      <w:pPr>
        <w:tabs>
          <w:tab w:val="num" w:pos="1728"/>
        </w:tabs>
        <w:ind w:left="1728" w:hanging="360"/>
      </w:pPr>
    </w:lvl>
    <w:lvl w:ilvl="6" w:tentative="1">
      <w:start w:val="1"/>
      <w:numFmt w:val="upperLetter"/>
      <w:lvlText w:val="%7."/>
      <w:lvlJc w:val="left"/>
      <w:pPr>
        <w:tabs>
          <w:tab w:val="num" w:pos="2448"/>
        </w:tabs>
        <w:ind w:left="2448" w:hanging="360"/>
      </w:pPr>
    </w:lvl>
    <w:lvl w:ilvl="7" w:tentative="1">
      <w:start w:val="1"/>
      <w:numFmt w:val="upperLetter"/>
      <w:lvlText w:val="%8."/>
      <w:lvlJc w:val="left"/>
      <w:pPr>
        <w:tabs>
          <w:tab w:val="num" w:pos="3168"/>
        </w:tabs>
        <w:ind w:left="3168" w:hanging="360"/>
      </w:pPr>
    </w:lvl>
    <w:lvl w:ilvl="8" w:tentative="1">
      <w:start w:val="1"/>
      <w:numFmt w:val="upperLetter"/>
      <w:lvlText w:val="%9."/>
      <w:lvlJc w:val="left"/>
      <w:pPr>
        <w:tabs>
          <w:tab w:val="num" w:pos="3888"/>
        </w:tabs>
        <w:ind w:left="3888" w:hanging="360"/>
      </w:pPr>
    </w:lvl>
  </w:abstractNum>
  <w:abstractNum w:abstractNumId="13"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113B8"/>
    <w:multiLevelType w:val="multilevel"/>
    <w:tmpl w:val="D5384910"/>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FB0294"/>
    <w:multiLevelType w:val="hybridMultilevel"/>
    <w:tmpl w:val="7914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20DE9"/>
    <w:multiLevelType w:val="hybridMultilevel"/>
    <w:tmpl w:val="9566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D1543"/>
    <w:multiLevelType w:val="hybridMultilevel"/>
    <w:tmpl w:val="BE50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25"/>
  </w:num>
  <w:num w:numId="5">
    <w:abstractNumId w:val="0"/>
  </w:num>
  <w:num w:numId="6">
    <w:abstractNumId w:val="16"/>
  </w:num>
  <w:num w:numId="7">
    <w:abstractNumId w:val="8"/>
  </w:num>
  <w:num w:numId="8">
    <w:abstractNumId w:val="10"/>
  </w:num>
  <w:num w:numId="9">
    <w:abstractNumId w:val="12"/>
  </w:num>
  <w:num w:numId="10">
    <w:abstractNumId w:val="14"/>
  </w:num>
  <w:num w:numId="11">
    <w:abstractNumId w:val="18"/>
  </w:num>
  <w:num w:numId="12">
    <w:abstractNumId w:val="20"/>
  </w:num>
  <w:num w:numId="13">
    <w:abstractNumId w:val="9"/>
  </w:num>
  <w:num w:numId="14">
    <w:abstractNumId w:val="15"/>
  </w:num>
  <w:num w:numId="15">
    <w:abstractNumId w:val="13"/>
  </w:num>
  <w:num w:numId="16">
    <w:abstractNumId w:val="22"/>
  </w:num>
  <w:num w:numId="17">
    <w:abstractNumId w:val="2"/>
  </w:num>
  <w:num w:numId="18">
    <w:abstractNumId w:val="7"/>
  </w:num>
  <w:num w:numId="19">
    <w:abstractNumId w:val="1"/>
  </w:num>
  <w:num w:numId="20">
    <w:abstractNumId w:val="19"/>
  </w:num>
  <w:num w:numId="21">
    <w:abstractNumId w:val="24"/>
  </w:num>
  <w:num w:numId="22">
    <w:abstractNumId w:val="6"/>
  </w:num>
  <w:num w:numId="23">
    <w:abstractNumId w:val="3"/>
  </w:num>
  <w:num w:numId="24">
    <w:abstractNumId w:val="4"/>
  </w:num>
  <w:num w:numId="25">
    <w:abstractNumId w:val="5"/>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3E5"/>
    <w:rsid w:val="00001EAE"/>
    <w:rsid w:val="00002320"/>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47A"/>
    <w:rsid w:val="000526F6"/>
    <w:rsid w:val="00052E15"/>
    <w:rsid w:val="000532EB"/>
    <w:rsid w:val="00053391"/>
    <w:rsid w:val="000533D7"/>
    <w:rsid w:val="00053795"/>
    <w:rsid w:val="00053DFE"/>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8B4"/>
    <w:rsid w:val="00061AB2"/>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4237"/>
    <w:rsid w:val="000743D6"/>
    <w:rsid w:val="00074B33"/>
    <w:rsid w:val="000778C9"/>
    <w:rsid w:val="000802F7"/>
    <w:rsid w:val="000806CC"/>
    <w:rsid w:val="00080D36"/>
    <w:rsid w:val="00080EBD"/>
    <w:rsid w:val="00082667"/>
    <w:rsid w:val="000829BF"/>
    <w:rsid w:val="0008392B"/>
    <w:rsid w:val="0008402E"/>
    <w:rsid w:val="0008434A"/>
    <w:rsid w:val="000845C1"/>
    <w:rsid w:val="000847AD"/>
    <w:rsid w:val="00084FF1"/>
    <w:rsid w:val="000850E1"/>
    <w:rsid w:val="00085111"/>
    <w:rsid w:val="00085C2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2F4"/>
    <w:rsid w:val="000A4757"/>
    <w:rsid w:val="000A49CD"/>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9F8"/>
    <w:rsid w:val="000B2A70"/>
    <w:rsid w:val="000B2C26"/>
    <w:rsid w:val="000B2DCB"/>
    <w:rsid w:val="000B3578"/>
    <w:rsid w:val="000B3A11"/>
    <w:rsid w:val="000B3D92"/>
    <w:rsid w:val="000B4405"/>
    <w:rsid w:val="000B4AA4"/>
    <w:rsid w:val="000B547A"/>
    <w:rsid w:val="000B56BA"/>
    <w:rsid w:val="000B5823"/>
    <w:rsid w:val="000B60CA"/>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A52"/>
    <w:rsid w:val="000E30A8"/>
    <w:rsid w:val="000E33D0"/>
    <w:rsid w:val="000E3445"/>
    <w:rsid w:val="000E4061"/>
    <w:rsid w:val="000E4594"/>
    <w:rsid w:val="000E4B9A"/>
    <w:rsid w:val="000E4EE2"/>
    <w:rsid w:val="000E56FA"/>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C46"/>
    <w:rsid w:val="000F4E22"/>
    <w:rsid w:val="000F4F37"/>
    <w:rsid w:val="000F66B8"/>
    <w:rsid w:val="000F670E"/>
    <w:rsid w:val="000F7196"/>
    <w:rsid w:val="000F7399"/>
    <w:rsid w:val="000F76DD"/>
    <w:rsid w:val="000F7A89"/>
    <w:rsid w:val="000F7C7C"/>
    <w:rsid w:val="000F7CF3"/>
    <w:rsid w:val="001011BB"/>
    <w:rsid w:val="0010168C"/>
    <w:rsid w:val="00101CA5"/>
    <w:rsid w:val="0010203A"/>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74D"/>
    <w:rsid w:val="001111BE"/>
    <w:rsid w:val="0011161A"/>
    <w:rsid w:val="001126C3"/>
    <w:rsid w:val="00112F4D"/>
    <w:rsid w:val="00113CE9"/>
    <w:rsid w:val="001142DE"/>
    <w:rsid w:val="0011547F"/>
    <w:rsid w:val="001156D2"/>
    <w:rsid w:val="00115CDA"/>
    <w:rsid w:val="00116D0B"/>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6264"/>
    <w:rsid w:val="00156865"/>
    <w:rsid w:val="0015691B"/>
    <w:rsid w:val="00156C67"/>
    <w:rsid w:val="00156F30"/>
    <w:rsid w:val="001603DE"/>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73E7"/>
    <w:rsid w:val="00177BC6"/>
    <w:rsid w:val="00177E7A"/>
    <w:rsid w:val="00177EC7"/>
    <w:rsid w:val="001806EA"/>
    <w:rsid w:val="00181070"/>
    <w:rsid w:val="001829C9"/>
    <w:rsid w:val="00182B26"/>
    <w:rsid w:val="001831D2"/>
    <w:rsid w:val="001835EE"/>
    <w:rsid w:val="00183E9B"/>
    <w:rsid w:val="001843C6"/>
    <w:rsid w:val="00185BA9"/>
    <w:rsid w:val="00186309"/>
    <w:rsid w:val="0018657A"/>
    <w:rsid w:val="00186964"/>
    <w:rsid w:val="001875AF"/>
    <w:rsid w:val="00190104"/>
    <w:rsid w:val="00191350"/>
    <w:rsid w:val="0019260C"/>
    <w:rsid w:val="00193321"/>
    <w:rsid w:val="00194AD8"/>
    <w:rsid w:val="001955AC"/>
    <w:rsid w:val="001965F5"/>
    <w:rsid w:val="00196B54"/>
    <w:rsid w:val="00196BEB"/>
    <w:rsid w:val="00196CE6"/>
    <w:rsid w:val="00196F4B"/>
    <w:rsid w:val="001A0637"/>
    <w:rsid w:val="001A0C28"/>
    <w:rsid w:val="001A189D"/>
    <w:rsid w:val="001A1ABA"/>
    <w:rsid w:val="001A2D6A"/>
    <w:rsid w:val="001A342F"/>
    <w:rsid w:val="001A3539"/>
    <w:rsid w:val="001A3BEB"/>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2A6D"/>
    <w:rsid w:val="002043C7"/>
    <w:rsid w:val="0020456D"/>
    <w:rsid w:val="002049CF"/>
    <w:rsid w:val="00204FB9"/>
    <w:rsid w:val="00205239"/>
    <w:rsid w:val="0020552B"/>
    <w:rsid w:val="00205E6B"/>
    <w:rsid w:val="00206890"/>
    <w:rsid w:val="00207D31"/>
    <w:rsid w:val="00210D18"/>
    <w:rsid w:val="00210F75"/>
    <w:rsid w:val="0021110D"/>
    <w:rsid w:val="00211617"/>
    <w:rsid w:val="00211DCE"/>
    <w:rsid w:val="00212954"/>
    <w:rsid w:val="00212E92"/>
    <w:rsid w:val="00214263"/>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27E23"/>
    <w:rsid w:val="00230E4A"/>
    <w:rsid w:val="00230EE6"/>
    <w:rsid w:val="002318F8"/>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F4"/>
    <w:rsid w:val="00285F70"/>
    <w:rsid w:val="002860EA"/>
    <w:rsid w:val="00286999"/>
    <w:rsid w:val="00286AE2"/>
    <w:rsid w:val="00286BDF"/>
    <w:rsid w:val="00287DAC"/>
    <w:rsid w:val="00287E73"/>
    <w:rsid w:val="002908CD"/>
    <w:rsid w:val="0029150F"/>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D27"/>
    <w:rsid w:val="002F2379"/>
    <w:rsid w:val="002F3163"/>
    <w:rsid w:val="002F44F9"/>
    <w:rsid w:val="002F5568"/>
    <w:rsid w:val="002F5F54"/>
    <w:rsid w:val="002F6CA7"/>
    <w:rsid w:val="002F7D07"/>
    <w:rsid w:val="00300258"/>
    <w:rsid w:val="003008E2"/>
    <w:rsid w:val="00300CF4"/>
    <w:rsid w:val="00301FD0"/>
    <w:rsid w:val="00302CA6"/>
    <w:rsid w:val="00302CD0"/>
    <w:rsid w:val="003031B5"/>
    <w:rsid w:val="0030359D"/>
    <w:rsid w:val="0030500A"/>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C1A"/>
    <w:rsid w:val="0031316A"/>
    <w:rsid w:val="003132AE"/>
    <w:rsid w:val="003133B4"/>
    <w:rsid w:val="003136FD"/>
    <w:rsid w:val="003138F9"/>
    <w:rsid w:val="0031445F"/>
    <w:rsid w:val="00314A86"/>
    <w:rsid w:val="00315173"/>
    <w:rsid w:val="00315747"/>
    <w:rsid w:val="00315E88"/>
    <w:rsid w:val="00316138"/>
    <w:rsid w:val="00317888"/>
    <w:rsid w:val="00317C9F"/>
    <w:rsid w:val="00317D36"/>
    <w:rsid w:val="003205A2"/>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1137"/>
    <w:rsid w:val="00331CBC"/>
    <w:rsid w:val="00332054"/>
    <w:rsid w:val="003321D1"/>
    <w:rsid w:val="00332397"/>
    <w:rsid w:val="0033239B"/>
    <w:rsid w:val="00332E23"/>
    <w:rsid w:val="00333FD4"/>
    <w:rsid w:val="0033429D"/>
    <w:rsid w:val="00334953"/>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2C0"/>
    <w:rsid w:val="00352769"/>
    <w:rsid w:val="00352E68"/>
    <w:rsid w:val="003532E2"/>
    <w:rsid w:val="00353FEA"/>
    <w:rsid w:val="003542D6"/>
    <w:rsid w:val="00354CA9"/>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5214"/>
    <w:rsid w:val="003856C4"/>
    <w:rsid w:val="003864B1"/>
    <w:rsid w:val="00386623"/>
    <w:rsid w:val="00387F2F"/>
    <w:rsid w:val="003900C7"/>
    <w:rsid w:val="003902D5"/>
    <w:rsid w:val="00390746"/>
    <w:rsid w:val="00390CF9"/>
    <w:rsid w:val="00391C58"/>
    <w:rsid w:val="00391C9B"/>
    <w:rsid w:val="003929E1"/>
    <w:rsid w:val="00392D78"/>
    <w:rsid w:val="00393264"/>
    <w:rsid w:val="00395064"/>
    <w:rsid w:val="0039534D"/>
    <w:rsid w:val="003953C1"/>
    <w:rsid w:val="00395F8F"/>
    <w:rsid w:val="003968A6"/>
    <w:rsid w:val="00396BA3"/>
    <w:rsid w:val="0039793B"/>
    <w:rsid w:val="003A07F8"/>
    <w:rsid w:val="003A1055"/>
    <w:rsid w:val="003A10AE"/>
    <w:rsid w:val="003A2176"/>
    <w:rsid w:val="003A2612"/>
    <w:rsid w:val="003A32A9"/>
    <w:rsid w:val="003A32DA"/>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D48"/>
    <w:rsid w:val="003B08A2"/>
    <w:rsid w:val="003B0BF4"/>
    <w:rsid w:val="003B0C91"/>
    <w:rsid w:val="003B0F8E"/>
    <w:rsid w:val="003B1111"/>
    <w:rsid w:val="003B1933"/>
    <w:rsid w:val="003B2B5E"/>
    <w:rsid w:val="003B30B3"/>
    <w:rsid w:val="003B3666"/>
    <w:rsid w:val="003B3E5C"/>
    <w:rsid w:val="003B41C7"/>
    <w:rsid w:val="003B496A"/>
    <w:rsid w:val="003B5D58"/>
    <w:rsid w:val="003B5FA0"/>
    <w:rsid w:val="003B6047"/>
    <w:rsid w:val="003B64C0"/>
    <w:rsid w:val="003B692F"/>
    <w:rsid w:val="003B693F"/>
    <w:rsid w:val="003B6DEA"/>
    <w:rsid w:val="003B6ECC"/>
    <w:rsid w:val="003B7250"/>
    <w:rsid w:val="003B7835"/>
    <w:rsid w:val="003B79B9"/>
    <w:rsid w:val="003B7A6C"/>
    <w:rsid w:val="003B7E92"/>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DB4"/>
    <w:rsid w:val="003C4E4D"/>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FD3"/>
    <w:rsid w:val="003D61B5"/>
    <w:rsid w:val="003D7F56"/>
    <w:rsid w:val="003E05D8"/>
    <w:rsid w:val="003E11AE"/>
    <w:rsid w:val="003E1D8E"/>
    <w:rsid w:val="003E28EB"/>
    <w:rsid w:val="003E3939"/>
    <w:rsid w:val="003E3AED"/>
    <w:rsid w:val="003E3B30"/>
    <w:rsid w:val="003E44E5"/>
    <w:rsid w:val="003E45D7"/>
    <w:rsid w:val="003E4D6F"/>
    <w:rsid w:val="003E53BB"/>
    <w:rsid w:val="003E54EB"/>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802"/>
    <w:rsid w:val="00415998"/>
    <w:rsid w:val="00415C11"/>
    <w:rsid w:val="00415FE9"/>
    <w:rsid w:val="0041625C"/>
    <w:rsid w:val="004165DC"/>
    <w:rsid w:val="00416B0F"/>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EC6"/>
    <w:rsid w:val="00427176"/>
    <w:rsid w:val="00427682"/>
    <w:rsid w:val="004300A1"/>
    <w:rsid w:val="004301DA"/>
    <w:rsid w:val="00430527"/>
    <w:rsid w:val="00430C55"/>
    <w:rsid w:val="00431DA5"/>
    <w:rsid w:val="00432187"/>
    <w:rsid w:val="004337B0"/>
    <w:rsid w:val="00433A7A"/>
    <w:rsid w:val="00433E14"/>
    <w:rsid w:val="00433F76"/>
    <w:rsid w:val="00433FB5"/>
    <w:rsid w:val="00434298"/>
    <w:rsid w:val="004348BB"/>
    <w:rsid w:val="00434915"/>
    <w:rsid w:val="0043553A"/>
    <w:rsid w:val="00435568"/>
    <w:rsid w:val="0043678A"/>
    <w:rsid w:val="004369B2"/>
    <w:rsid w:val="00437204"/>
    <w:rsid w:val="00437C25"/>
    <w:rsid w:val="00440955"/>
    <w:rsid w:val="00440EFA"/>
    <w:rsid w:val="004410A6"/>
    <w:rsid w:val="00441578"/>
    <w:rsid w:val="00441FB4"/>
    <w:rsid w:val="004422B4"/>
    <w:rsid w:val="004427EB"/>
    <w:rsid w:val="00442906"/>
    <w:rsid w:val="00442B92"/>
    <w:rsid w:val="00442D9C"/>
    <w:rsid w:val="00443376"/>
    <w:rsid w:val="004435DE"/>
    <w:rsid w:val="00444A9D"/>
    <w:rsid w:val="00445640"/>
    <w:rsid w:val="00445B98"/>
    <w:rsid w:val="004462E1"/>
    <w:rsid w:val="00446423"/>
    <w:rsid w:val="00446689"/>
    <w:rsid w:val="00447067"/>
    <w:rsid w:val="0044716A"/>
    <w:rsid w:val="00450059"/>
    <w:rsid w:val="004502CD"/>
    <w:rsid w:val="004505AF"/>
    <w:rsid w:val="00450DE8"/>
    <w:rsid w:val="004515C2"/>
    <w:rsid w:val="004518AF"/>
    <w:rsid w:val="00452273"/>
    <w:rsid w:val="004529BD"/>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79E"/>
    <w:rsid w:val="00474848"/>
    <w:rsid w:val="00474DB4"/>
    <w:rsid w:val="00475E2D"/>
    <w:rsid w:val="0047630E"/>
    <w:rsid w:val="00476460"/>
    <w:rsid w:val="004765BA"/>
    <w:rsid w:val="00476EA2"/>
    <w:rsid w:val="0047749E"/>
    <w:rsid w:val="0048004B"/>
    <w:rsid w:val="00480083"/>
    <w:rsid w:val="00480185"/>
    <w:rsid w:val="004801D4"/>
    <w:rsid w:val="00480944"/>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994"/>
    <w:rsid w:val="004939D7"/>
    <w:rsid w:val="004944F8"/>
    <w:rsid w:val="00494CD6"/>
    <w:rsid w:val="004955D2"/>
    <w:rsid w:val="00495BB6"/>
    <w:rsid w:val="00496EF6"/>
    <w:rsid w:val="00496FEA"/>
    <w:rsid w:val="0049743B"/>
    <w:rsid w:val="00497579"/>
    <w:rsid w:val="00497C4D"/>
    <w:rsid w:val="00497DE4"/>
    <w:rsid w:val="004A13F5"/>
    <w:rsid w:val="004A15B3"/>
    <w:rsid w:val="004A1709"/>
    <w:rsid w:val="004A1894"/>
    <w:rsid w:val="004A3038"/>
    <w:rsid w:val="004A336A"/>
    <w:rsid w:val="004A33CD"/>
    <w:rsid w:val="004A38B9"/>
    <w:rsid w:val="004A3F07"/>
    <w:rsid w:val="004A463F"/>
    <w:rsid w:val="004A4803"/>
    <w:rsid w:val="004A4E9A"/>
    <w:rsid w:val="004A6352"/>
    <w:rsid w:val="004A74D2"/>
    <w:rsid w:val="004B0B07"/>
    <w:rsid w:val="004B0B1D"/>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70C"/>
    <w:rsid w:val="004C1866"/>
    <w:rsid w:val="004C2776"/>
    <w:rsid w:val="004C2C08"/>
    <w:rsid w:val="004C33EB"/>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E91"/>
    <w:rsid w:val="004D364A"/>
    <w:rsid w:val="004D402E"/>
    <w:rsid w:val="004D4249"/>
    <w:rsid w:val="004D494B"/>
    <w:rsid w:val="004D4A0F"/>
    <w:rsid w:val="004D5775"/>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B8A"/>
    <w:rsid w:val="004E51BB"/>
    <w:rsid w:val="004E5B01"/>
    <w:rsid w:val="004E5C74"/>
    <w:rsid w:val="004E67B3"/>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A51"/>
    <w:rsid w:val="00507F92"/>
    <w:rsid w:val="0051067B"/>
    <w:rsid w:val="00510E64"/>
    <w:rsid w:val="005115D6"/>
    <w:rsid w:val="0051170F"/>
    <w:rsid w:val="00511AB2"/>
    <w:rsid w:val="00511C1D"/>
    <w:rsid w:val="005120D4"/>
    <w:rsid w:val="0051385A"/>
    <w:rsid w:val="0051396A"/>
    <w:rsid w:val="00513985"/>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73"/>
    <w:rsid w:val="005246CC"/>
    <w:rsid w:val="00525505"/>
    <w:rsid w:val="00525A27"/>
    <w:rsid w:val="00525B5D"/>
    <w:rsid w:val="0052615D"/>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266"/>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3D"/>
    <w:rsid w:val="005643BD"/>
    <w:rsid w:val="00564BFF"/>
    <w:rsid w:val="00564D95"/>
    <w:rsid w:val="0056509A"/>
    <w:rsid w:val="005658C5"/>
    <w:rsid w:val="00565970"/>
    <w:rsid w:val="005660E2"/>
    <w:rsid w:val="0056613A"/>
    <w:rsid w:val="0056654D"/>
    <w:rsid w:val="00566725"/>
    <w:rsid w:val="005677D4"/>
    <w:rsid w:val="00571344"/>
    <w:rsid w:val="00571A0D"/>
    <w:rsid w:val="00571EAB"/>
    <w:rsid w:val="0057259D"/>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C08"/>
    <w:rsid w:val="00582C70"/>
    <w:rsid w:val="0058315D"/>
    <w:rsid w:val="00583185"/>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E66"/>
    <w:rsid w:val="005B5F0A"/>
    <w:rsid w:val="005B63EF"/>
    <w:rsid w:val="005B66AD"/>
    <w:rsid w:val="005B6725"/>
    <w:rsid w:val="005B79CA"/>
    <w:rsid w:val="005B7C50"/>
    <w:rsid w:val="005B7DDF"/>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1087"/>
    <w:rsid w:val="005E127B"/>
    <w:rsid w:val="005E244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408F"/>
    <w:rsid w:val="005F442C"/>
    <w:rsid w:val="005F5010"/>
    <w:rsid w:val="005F5514"/>
    <w:rsid w:val="005F55A1"/>
    <w:rsid w:val="005F5EDD"/>
    <w:rsid w:val="005F5FE9"/>
    <w:rsid w:val="005F6116"/>
    <w:rsid w:val="005F61B8"/>
    <w:rsid w:val="005F7457"/>
    <w:rsid w:val="005F7CB9"/>
    <w:rsid w:val="00600C5D"/>
    <w:rsid w:val="00600E15"/>
    <w:rsid w:val="006016F5"/>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DA1"/>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149"/>
    <w:rsid w:val="0064117D"/>
    <w:rsid w:val="006414D9"/>
    <w:rsid w:val="00641893"/>
    <w:rsid w:val="00641AC8"/>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4187"/>
    <w:rsid w:val="006746B1"/>
    <w:rsid w:val="006748D9"/>
    <w:rsid w:val="00674A5C"/>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417F"/>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117B"/>
    <w:rsid w:val="006D16E4"/>
    <w:rsid w:val="006D1A2B"/>
    <w:rsid w:val="006D20B0"/>
    <w:rsid w:val="006D21A8"/>
    <w:rsid w:val="006D3BD7"/>
    <w:rsid w:val="006D437F"/>
    <w:rsid w:val="006D44DC"/>
    <w:rsid w:val="006D4F8F"/>
    <w:rsid w:val="006D5982"/>
    <w:rsid w:val="006D5A8B"/>
    <w:rsid w:val="006D5C56"/>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AE4"/>
    <w:rsid w:val="006E60EA"/>
    <w:rsid w:val="006E6280"/>
    <w:rsid w:val="006F0FFF"/>
    <w:rsid w:val="006F1DE4"/>
    <w:rsid w:val="006F2250"/>
    <w:rsid w:val="006F2592"/>
    <w:rsid w:val="006F2A7D"/>
    <w:rsid w:val="006F3531"/>
    <w:rsid w:val="006F391E"/>
    <w:rsid w:val="006F3C93"/>
    <w:rsid w:val="006F4307"/>
    <w:rsid w:val="006F4BF7"/>
    <w:rsid w:val="006F5957"/>
    <w:rsid w:val="006F6B8F"/>
    <w:rsid w:val="0070083E"/>
    <w:rsid w:val="00700E96"/>
    <w:rsid w:val="00700FD9"/>
    <w:rsid w:val="00701B5B"/>
    <w:rsid w:val="00702A40"/>
    <w:rsid w:val="00702CFF"/>
    <w:rsid w:val="00703FA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85D"/>
    <w:rsid w:val="00713B92"/>
    <w:rsid w:val="007146BE"/>
    <w:rsid w:val="00715CA8"/>
    <w:rsid w:val="00715E1E"/>
    <w:rsid w:val="007164C1"/>
    <w:rsid w:val="00716EB9"/>
    <w:rsid w:val="00717580"/>
    <w:rsid w:val="00717710"/>
    <w:rsid w:val="007200FD"/>
    <w:rsid w:val="0072060C"/>
    <w:rsid w:val="00720AC8"/>
    <w:rsid w:val="00721FDA"/>
    <w:rsid w:val="007227E3"/>
    <w:rsid w:val="007239EC"/>
    <w:rsid w:val="00723A08"/>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65EF"/>
    <w:rsid w:val="007767D3"/>
    <w:rsid w:val="00776DD1"/>
    <w:rsid w:val="00776F26"/>
    <w:rsid w:val="0077712B"/>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1398"/>
    <w:rsid w:val="007A1B2A"/>
    <w:rsid w:val="007A2822"/>
    <w:rsid w:val="007A35E2"/>
    <w:rsid w:val="007A3964"/>
    <w:rsid w:val="007A3A34"/>
    <w:rsid w:val="007A467C"/>
    <w:rsid w:val="007A470E"/>
    <w:rsid w:val="007A5B01"/>
    <w:rsid w:val="007A5B63"/>
    <w:rsid w:val="007A5BA6"/>
    <w:rsid w:val="007A5EC1"/>
    <w:rsid w:val="007A62B9"/>
    <w:rsid w:val="007A6310"/>
    <w:rsid w:val="007A6818"/>
    <w:rsid w:val="007A715D"/>
    <w:rsid w:val="007A7E81"/>
    <w:rsid w:val="007A7E93"/>
    <w:rsid w:val="007B0A26"/>
    <w:rsid w:val="007B1221"/>
    <w:rsid w:val="007B1B7E"/>
    <w:rsid w:val="007B1DB7"/>
    <w:rsid w:val="007B2B8D"/>
    <w:rsid w:val="007B35BE"/>
    <w:rsid w:val="007B46BF"/>
    <w:rsid w:val="007B5383"/>
    <w:rsid w:val="007B6017"/>
    <w:rsid w:val="007B61E6"/>
    <w:rsid w:val="007B69ED"/>
    <w:rsid w:val="007B6B98"/>
    <w:rsid w:val="007B78ED"/>
    <w:rsid w:val="007B7ACE"/>
    <w:rsid w:val="007B7D25"/>
    <w:rsid w:val="007C0107"/>
    <w:rsid w:val="007C0E6F"/>
    <w:rsid w:val="007C139C"/>
    <w:rsid w:val="007C1AC4"/>
    <w:rsid w:val="007C1BCF"/>
    <w:rsid w:val="007C1FC9"/>
    <w:rsid w:val="007C2607"/>
    <w:rsid w:val="007C29FA"/>
    <w:rsid w:val="007C2ABB"/>
    <w:rsid w:val="007C2BE4"/>
    <w:rsid w:val="007C3C89"/>
    <w:rsid w:val="007C3E25"/>
    <w:rsid w:val="007C4262"/>
    <w:rsid w:val="007C4B0E"/>
    <w:rsid w:val="007C5CB2"/>
    <w:rsid w:val="007C66BF"/>
    <w:rsid w:val="007C67E2"/>
    <w:rsid w:val="007C7971"/>
    <w:rsid w:val="007C7DFF"/>
    <w:rsid w:val="007D01BC"/>
    <w:rsid w:val="007D100A"/>
    <w:rsid w:val="007D1137"/>
    <w:rsid w:val="007D116C"/>
    <w:rsid w:val="007D12EA"/>
    <w:rsid w:val="007D156B"/>
    <w:rsid w:val="007D219D"/>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10E7"/>
    <w:rsid w:val="007E1738"/>
    <w:rsid w:val="007E1833"/>
    <w:rsid w:val="007E2779"/>
    <w:rsid w:val="007E3073"/>
    <w:rsid w:val="007E3B19"/>
    <w:rsid w:val="007E4314"/>
    <w:rsid w:val="007E457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592"/>
    <w:rsid w:val="007F5071"/>
    <w:rsid w:val="007F50EE"/>
    <w:rsid w:val="007F53F1"/>
    <w:rsid w:val="007F5604"/>
    <w:rsid w:val="007F6192"/>
    <w:rsid w:val="007F6756"/>
    <w:rsid w:val="007F67A9"/>
    <w:rsid w:val="007F67C7"/>
    <w:rsid w:val="007F6AFF"/>
    <w:rsid w:val="007F7063"/>
    <w:rsid w:val="007F7E44"/>
    <w:rsid w:val="007F7FF8"/>
    <w:rsid w:val="00802665"/>
    <w:rsid w:val="00802A46"/>
    <w:rsid w:val="00803155"/>
    <w:rsid w:val="00803CFD"/>
    <w:rsid w:val="00803FBB"/>
    <w:rsid w:val="0080439F"/>
    <w:rsid w:val="008043A8"/>
    <w:rsid w:val="00805DD3"/>
    <w:rsid w:val="00806AE6"/>
    <w:rsid w:val="00806C75"/>
    <w:rsid w:val="00807AD3"/>
    <w:rsid w:val="008108AC"/>
    <w:rsid w:val="008115FD"/>
    <w:rsid w:val="00811A99"/>
    <w:rsid w:val="00811B13"/>
    <w:rsid w:val="008137CC"/>
    <w:rsid w:val="0081430E"/>
    <w:rsid w:val="00814341"/>
    <w:rsid w:val="008149EF"/>
    <w:rsid w:val="008151EC"/>
    <w:rsid w:val="00815B9B"/>
    <w:rsid w:val="00816065"/>
    <w:rsid w:val="00817042"/>
    <w:rsid w:val="008174C3"/>
    <w:rsid w:val="00820441"/>
    <w:rsid w:val="008206CE"/>
    <w:rsid w:val="00820AD0"/>
    <w:rsid w:val="00821BA2"/>
    <w:rsid w:val="008221C1"/>
    <w:rsid w:val="008227D4"/>
    <w:rsid w:val="00823232"/>
    <w:rsid w:val="00823A32"/>
    <w:rsid w:val="00823B4C"/>
    <w:rsid w:val="0082411F"/>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E0F"/>
    <w:rsid w:val="008446B4"/>
    <w:rsid w:val="00844ADE"/>
    <w:rsid w:val="00844FD2"/>
    <w:rsid w:val="00845096"/>
    <w:rsid w:val="00845242"/>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21F9"/>
    <w:rsid w:val="00852263"/>
    <w:rsid w:val="00852D5E"/>
    <w:rsid w:val="0085317B"/>
    <w:rsid w:val="0085328E"/>
    <w:rsid w:val="00853F0A"/>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70121"/>
    <w:rsid w:val="0087093B"/>
    <w:rsid w:val="00870B5A"/>
    <w:rsid w:val="00870D14"/>
    <w:rsid w:val="0087115E"/>
    <w:rsid w:val="0087130D"/>
    <w:rsid w:val="008716CB"/>
    <w:rsid w:val="008719C4"/>
    <w:rsid w:val="0087345D"/>
    <w:rsid w:val="00873713"/>
    <w:rsid w:val="0087456C"/>
    <w:rsid w:val="00875068"/>
    <w:rsid w:val="008751D3"/>
    <w:rsid w:val="008756B3"/>
    <w:rsid w:val="00876394"/>
    <w:rsid w:val="008765AB"/>
    <w:rsid w:val="00876657"/>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497"/>
    <w:rsid w:val="008942E7"/>
    <w:rsid w:val="00894709"/>
    <w:rsid w:val="00895550"/>
    <w:rsid w:val="00895AA2"/>
    <w:rsid w:val="00897094"/>
    <w:rsid w:val="00897286"/>
    <w:rsid w:val="00897563"/>
    <w:rsid w:val="00897815"/>
    <w:rsid w:val="008A0549"/>
    <w:rsid w:val="008A0F62"/>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194B"/>
    <w:rsid w:val="008D1AC8"/>
    <w:rsid w:val="008D1F5C"/>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40E3"/>
    <w:rsid w:val="0093456C"/>
    <w:rsid w:val="009349AB"/>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471A"/>
    <w:rsid w:val="00954EDD"/>
    <w:rsid w:val="009550A6"/>
    <w:rsid w:val="0095537B"/>
    <w:rsid w:val="009553C6"/>
    <w:rsid w:val="00955FDB"/>
    <w:rsid w:val="0095611C"/>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445D"/>
    <w:rsid w:val="00975876"/>
    <w:rsid w:val="00976DF1"/>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901EF"/>
    <w:rsid w:val="009906FC"/>
    <w:rsid w:val="0099146F"/>
    <w:rsid w:val="00991685"/>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6D0"/>
    <w:rsid w:val="00997807"/>
    <w:rsid w:val="00997B72"/>
    <w:rsid w:val="00997FCA"/>
    <w:rsid w:val="009A02AB"/>
    <w:rsid w:val="009A1058"/>
    <w:rsid w:val="009A15FD"/>
    <w:rsid w:val="009A16E4"/>
    <w:rsid w:val="009A221D"/>
    <w:rsid w:val="009A2965"/>
    <w:rsid w:val="009A378E"/>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FDA"/>
    <w:rsid w:val="009B5A0F"/>
    <w:rsid w:val="009B6143"/>
    <w:rsid w:val="009B6586"/>
    <w:rsid w:val="009B6C2A"/>
    <w:rsid w:val="009B739A"/>
    <w:rsid w:val="009B76C5"/>
    <w:rsid w:val="009B7EAA"/>
    <w:rsid w:val="009C0E2A"/>
    <w:rsid w:val="009C1AEB"/>
    <w:rsid w:val="009C2B83"/>
    <w:rsid w:val="009C394A"/>
    <w:rsid w:val="009C3CCF"/>
    <w:rsid w:val="009C4E7A"/>
    <w:rsid w:val="009C5632"/>
    <w:rsid w:val="009C5AE7"/>
    <w:rsid w:val="009C60CE"/>
    <w:rsid w:val="009C613A"/>
    <w:rsid w:val="009C6495"/>
    <w:rsid w:val="009C65E9"/>
    <w:rsid w:val="009C66EA"/>
    <w:rsid w:val="009C74BD"/>
    <w:rsid w:val="009C7F16"/>
    <w:rsid w:val="009D0D68"/>
    <w:rsid w:val="009D0E53"/>
    <w:rsid w:val="009D1412"/>
    <w:rsid w:val="009D2511"/>
    <w:rsid w:val="009D292D"/>
    <w:rsid w:val="009D2AD3"/>
    <w:rsid w:val="009D378C"/>
    <w:rsid w:val="009D3860"/>
    <w:rsid w:val="009D3F56"/>
    <w:rsid w:val="009D4123"/>
    <w:rsid w:val="009D44B9"/>
    <w:rsid w:val="009D5850"/>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D6C"/>
    <w:rsid w:val="009F6E02"/>
    <w:rsid w:val="009F764E"/>
    <w:rsid w:val="009F79A2"/>
    <w:rsid w:val="00A003EF"/>
    <w:rsid w:val="00A00E1D"/>
    <w:rsid w:val="00A017B3"/>
    <w:rsid w:val="00A018D4"/>
    <w:rsid w:val="00A01C3F"/>
    <w:rsid w:val="00A02020"/>
    <w:rsid w:val="00A02FAD"/>
    <w:rsid w:val="00A032E1"/>
    <w:rsid w:val="00A03745"/>
    <w:rsid w:val="00A03EFA"/>
    <w:rsid w:val="00A06AB0"/>
    <w:rsid w:val="00A06EFB"/>
    <w:rsid w:val="00A07887"/>
    <w:rsid w:val="00A07910"/>
    <w:rsid w:val="00A10323"/>
    <w:rsid w:val="00A104F8"/>
    <w:rsid w:val="00A10548"/>
    <w:rsid w:val="00A117F6"/>
    <w:rsid w:val="00A11BD4"/>
    <w:rsid w:val="00A11CDC"/>
    <w:rsid w:val="00A12592"/>
    <w:rsid w:val="00A12797"/>
    <w:rsid w:val="00A12915"/>
    <w:rsid w:val="00A12B68"/>
    <w:rsid w:val="00A12F48"/>
    <w:rsid w:val="00A134AA"/>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9A0"/>
    <w:rsid w:val="00A47C7A"/>
    <w:rsid w:val="00A5046C"/>
    <w:rsid w:val="00A51737"/>
    <w:rsid w:val="00A51AE0"/>
    <w:rsid w:val="00A51FF7"/>
    <w:rsid w:val="00A526BE"/>
    <w:rsid w:val="00A5296C"/>
    <w:rsid w:val="00A52ABB"/>
    <w:rsid w:val="00A52D97"/>
    <w:rsid w:val="00A540E9"/>
    <w:rsid w:val="00A54544"/>
    <w:rsid w:val="00A55DCE"/>
    <w:rsid w:val="00A5601C"/>
    <w:rsid w:val="00A561FA"/>
    <w:rsid w:val="00A564E2"/>
    <w:rsid w:val="00A56893"/>
    <w:rsid w:val="00A56F73"/>
    <w:rsid w:val="00A5723B"/>
    <w:rsid w:val="00A57F1B"/>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519F"/>
    <w:rsid w:val="00A770C1"/>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A010F"/>
    <w:rsid w:val="00AA04BD"/>
    <w:rsid w:val="00AA0A55"/>
    <w:rsid w:val="00AA0D04"/>
    <w:rsid w:val="00AA0DB3"/>
    <w:rsid w:val="00AA1D7A"/>
    <w:rsid w:val="00AA23BD"/>
    <w:rsid w:val="00AA265C"/>
    <w:rsid w:val="00AA2BB8"/>
    <w:rsid w:val="00AA3109"/>
    <w:rsid w:val="00AA3787"/>
    <w:rsid w:val="00AA3A28"/>
    <w:rsid w:val="00AA46D2"/>
    <w:rsid w:val="00AA4DAF"/>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F69"/>
    <w:rsid w:val="00AD2361"/>
    <w:rsid w:val="00AD282D"/>
    <w:rsid w:val="00AD2C8C"/>
    <w:rsid w:val="00AD2F85"/>
    <w:rsid w:val="00AD3ABC"/>
    <w:rsid w:val="00AD3C71"/>
    <w:rsid w:val="00AD4883"/>
    <w:rsid w:val="00AD5583"/>
    <w:rsid w:val="00AD631B"/>
    <w:rsid w:val="00AD6891"/>
    <w:rsid w:val="00AD6DA0"/>
    <w:rsid w:val="00AD7470"/>
    <w:rsid w:val="00AE01D5"/>
    <w:rsid w:val="00AE0C10"/>
    <w:rsid w:val="00AE129E"/>
    <w:rsid w:val="00AE1917"/>
    <w:rsid w:val="00AE1972"/>
    <w:rsid w:val="00AE1DB6"/>
    <w:rsid w:val="00AE232C"/>
    <w:rsid w:val="00AE237C"/>
    <w:rsid w:val="00AE25E2"/>
    <w:rsid w:val="00AE2880"/>
    <w:rsid w:val="00AE3220"/>
    <w:rsid w:val="00AE46E7"/>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18"/>
    <w:rsid w:val="00B07CBA"/>
    <w:rsid w:val="00B10E2D"/>
    <w:rsid w:val="00B12152"/>
    <w:rsid w:val="00B1280F"/>
    <w:rsid w:val="00B139EE"/>
    <w:rsid w:val="00B14746"/>
    <w:rsid w:val="00B1488E"/>
    <w:rsid w:val="00B14E9C"/>
    <w:rsid w:val="00B14FA1"/>
    <w:rsid w:val="00B15367"/>
    <w:rsid w:val="00B15707"/>
    <w:rsid w:val="00B15FA1"/>
    <w:rsid w:val="00B16422"/>
    <w:rsid w:val="00B16A26"/>
    <w:rsid w:val="00B17288"/>
    <w:rsid w:val="00B20541"/>
    <w:rsid w:val="00B20856"/>
    <w:rsid w:val="00B20988"/>
    <w:rsid w:val="00B20D5E"/>
    <w:rsid w:val="00B21404"/>
    <w:rsid w:val="00B2403F"/>
    <w:rsid w:val="00B240EA"/>
    <w:rsid w:val="00B2484B"/>
    <w:rsid w:val="00B2497F"/>
    <w:rsid w:val="00B2510D"/>
    <w:rsid w:val="00B25A9D"/>
    <w:rsid w:val="00B26417"/>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D9F"/>
    <w:rsid w:val="00B7653B"/>
    <w:rsid w:val="00B76E91"/>
    <w:rsid w:val="00B771D7"/>
    <w:rsid w:val="00B801B2"/>
    <w:rsid w:val="00B8225C"/>
    <w:rsid w:val="00B8277D"/>
    <w:rsid w:val="00B82897"/>
    <w:rsid w:val="00B82D3F"/>
    <w:rsid w:val="00B831A9"/>
    <w:rsid w:val="00B83857"/>
    <w:rsid w:val="00B84348"/>
    <w:rsid w:val="00B847D9"/>
    <w:rsid w:val="00B85251"/>
    <w:rsid w:val="00B853CC"/>
    <w:rsid w:val="00B8653C"/>
    <w:rsid w:val="00B866EE"/>
    <w:rsid w:val="00B86E84"/>
    <w:rsid w:val="00B86E85"/>
    <w:rsid w:val="00B8751C"/>
    <w:rsid w:val="00B87F36"/>
    <w:rsid w:val="00B9048A"/>
    <w:rsid w:val="00B90835"/>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B5B"/>
    <w:rsid w:val="00BD516D"/>
    <w:rsid w:val="00BD528E"/>
    <w:rsid w:val="00BD5633"/>
    <w:rsid w:val="00BD6926"/>
    <w:rsid w:val="00BD7229"/>
    <w:rsid w:val="00BD7718"/>
    <w:rsid w:val="00BE002A"/>
    <w:rsid w:val="00BE00F4"/>
    <w:rsid w:val="00BE028C"/>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A08"/>
    <w:rsid w:val="00C17A3B"/>
    <w:rsid w:val="00C17DB1"/>
    <w:rsid w:val="00C203BC"/>
    <w:rsid w:val="00C20C52"/>
    <w:rsid w:val="00C20F76"/>
    <w:rsid w:val="00C21BFD"/>
    <w:rsid w:val="00C227BD"/>
    <w:rsid w:val="00C22B92"/>
    <w:rsid w:val="00C2395D"/>
    <w:rsid w:val="00C239D6"/>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3434"/>
    <w:rsid w:val="00C33ED6"/>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703A"/>
    <w:rsid w:val="00C570AA"/>
    <w:rsid w:val="00C570D2"/>
    <w:rsid w:val="00C57490"/>
    <w:rsid w:val="00C5757B"/>
    <w:rsid w:val="00C579FF"/>
    <w:rsid w:val="00C613F4"/>
    <w:rsid w:val="00C61B83"/>
    <w:rsid w:val="00C61C2E"/>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869"/>
    <w:rsid w:val="00C80CA6"/>
    <w:rsid w:val="00C814C0"/>
    <w:rsid w:val="00C81DA9"/>
    <w:rsid w:val="00C81FBD"/>
    <w:rsid w:val="00C82076"/>
    <w:rsid w:val="00C82955"/>
    <w:rsid w:val="00C83443"/>
    <w:rsid w:val="00C836AB"/>
    <w:rsid w:val="00C83769"/>
    <w:rsid w:val="00C84957"/>
    <w:rsid w:val="00C86149"/>
    <w:rsid w:val="00C86164"/>
    <w:rsid w:val="00C87801"/>
    <w:rsid w:val="00C87B9E"/>
    <w:rsid w:val="00C90152"/>
    <w:rsid w:val="00C910BC"/>
    <w:rsid w:val="00C91B94"/>
    <w:rsid w:val="00C91F30"/>
    <w:rsid w:val="00C9207A"/>
    <w:rsid w:val="00C92EE4"/>
    <w:rsid w:val="00C94146"/>
    <w:rsid w:val="00C947E2"/>
    <w:rsid w:val="00C9488E"/>
    <w:rsid w:val="00C94EBD"/>
    <w:rsid w:val="00C94F56"/>
    <w:rsid w:val="00C95094"/>
    <w:rsid w:val="00C9549F"/>
    <w:rsid w:val="00C958EA"/>
    <w:rsid w:val="00C95C84"/>
    <w:rsid w:val="00C95D2E"/>
    <w:rsid w:val="00C960B4"/>
    <w:rsid w:val="00C96236"/>
    <w:rsid w:val="00C96339"/>
    <w:rsid w:val="00C96D95"/>
    <w:rsid w:val="00C96EFF"/>
    <w:rsid w:val="00C973D4"/>
    <w:rsid w:val="00CA0009"/>
    <w:rsid w:val="00CA0148"/>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7F35"/>
    <w:rsid w:val="00CB0A72"/>
    <w:rsid w:val="00CB0E6B"/>
    <w:rsid w:val="00CB13C6"/>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BE"/>
    <w:rsid w:val="00D03B1F"/>
    <w:rsid w:val="00D04044"/>
    <w:rsid w:val="00D04150"/>
    <w:rsid w:val="00D0432D"/>
    <w:rsid w:val="00D0481B"/>
    <w:rsid w:val="00D048BC"/>
    <w:rsid w:val="00D04B1F"/>
    <w:rsid w:val="00D05754"/>
    <w:rsid w:val="00D05A64"/>
    <w:rsid w:val="00D06420"/>
    <w:rsid w:val="00D067E6"/>
    <w:rsid w:val="00D0701F"/>
    <w:rsid w:val="00D0754F"/>
    <w:rsid w:val="00D0796B"/>
    <w:rsid w:val="00D07A59"/>
    <w:rsid w:val="00D07B24"/>
    <w:rsid w:val="00D07E18"/>
    <w:rsid w:val="00D113C6"/>
    <w:rsid w:val="00D11478"/>
    <w:rsid w:val="00D11730"/>
    <w:rsid w:val="00D11A66"/>
    <w:rsid w:val="00D11AB4"/>
    <w:rsid w:val="00D124AA"/>
    <w:rsid w:val="00D13592"/>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2058"/>
    <w:rsid w:val="00D632C7"/>
    <w:rsid w:val="00D63489"/>
    <w:rsid w:val="00D6417A"/>
    <w:rsid w:val="00D64954"/>
    <w:rsid w:val="00D6512E"/>
    <w:rsid w:val="00D6602F"/>
    <w:rsid w:val="00D6658E"/>
    <w:rsid w:val="00D66C6D"/>
    <w:rsid w:val="00D6748C"/>
    <w:rsid w:val="00D708DA"/>
    <w:rsid w:val="00D70BA4"/>
    <w:rsid w:val="00D718AE"/>
    <w:rsid w:val="00D719BF"/>
    <w:rsid w:val="00D72031"/>
    <w:rsid w:val="00D7220A"/>
    <w:rsid w:val="00D72986"/>
    <w:rsid w:val="00D74080"/>
    <w:rsid w:val="00D740F0"/>
    <w:rsid w:val="00D74CAD"/>
    <w:rsid w:val="00D751F6"/>
    <w:rsid w:val="00D752A3"/>
    <w:rsid w:val="00D75351"/>
    <w:rsid w:val="00D76A05"/>
    <w:rsid w:val="00D76EC9"/>
    <w:rsid w:val="00D77305"/>
    <w:rsid w:val="00D775C5"/>
    <w:rsid w:val="00D77DD2"/>
    <w:rsid w:val="00D80AB4"/>
    <w:rsid w:val="00D81639"/>
    <w:rsid w:val="00D82204"/>
    <w:rsid w:val="00D825E5"/>
    <w:rsid w:val="00D82883"/>
    <w:rsid w:val="00D82CD4"/>
    <w:rsid w:val="00D82CF3"/>
    <w:rsid w:val="00D8338E"/>
    <w:rsid w:val="00D83829"/>
    <w:rsid w:val="00D8388A"/>
    <w:rsid w:val="00D83B2D"/>
    <w:rsid w:val="00D84540"/>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61D"/>
    <w:rsid w:val="00DA5BC6"/>
    <w:rsid w:val="00DA5E82"/>
    <w:rsid w:val="00DA65FF"/>
    <w:rsid w:val="00DA71BF"/>
    <w:rsid w:val="00DA79C9"/>
    <w:rsid w:val="00DA7FAE"/>
    <w:rsid w:val="00DB05D9"/>
    <w:rsid w:val="00DB0A73"/>
    <w:rsid w:val="00DB1150"/>
    <w:rsid w:val="00DB129D"/>
    <w:rsid w:val="00DB1363"/>
    <w:rsid w:val="00DB1776"/>
    <w:rsid w:val="00DB20BC"/>
    <w:rsid w:val="00DB2393"/>
    <w:rsid w:val="00DB2B16"/>
    <w:rsid w:val="00DB2E4E"/>
    <w:rsid w:val="00DB3324"/>
    <w:rsid w:val="00DB3B9E"/>
    <w:rsid w:val="00DB3EC5"/>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189A"/>
    <w:rsid w:val="00DE1E11"/>
    <w:rsid w:val="00DE26B3"/>
    <w:rsid w:val="00DE2E22"/>
    <w:rsid w:val="00DE39DE"/>
    <w:rsid w:val="00DE3B9C"/>
    <w:rsid w:val="00DE45AB"/>
    <w:rsid w:val="00DE4615"/>
    <w:rsid w:val="00DE4B04"/>
    <w:rsid w:val="00DE5045"/>
    <w:rsid w:val="00DE50D6"/>
    <w:rsid w:val="00DE5141"/>
    <w:rsid w:val="00DE58A0"/>
    <w:rsid w:val="00DE58DB"/>
    <w:rsid w:val="00DE5B71"/>
    <w:rsid w:val="00DE6F62"/>
    <w:rsid w:val="00DE73FB"/>
    <w:rsid w:val="00DF14E7"/>
    <w:rsid w:val="00DF1529"/>
    <w:rsid w:val="00DF2103"/>
    <w:rsid w:val="00DF232D"/>
    <w:rsid w:val="00DF2D3A"/>
    <w:rsid w:val="00DF30F0"/>
    <w:rsid w:val="00DF34E4"/>
    <w:rsid w:val="00DF4C35"/>
    <w:rsid w:val="00DF570E"/>
    <w:rsid w:val="00DF5DC9"/>
    <w:rsid w:val="00DF60AA"/>
    <w:rsid w:val="00DF63A7"/>
    <w:rsid w:val="00DF64AF"/>
    <w:rsid w:val="00DF64D2"/>
    <w:rsid w:val="00DF6698"/>
    <w:rsid w:val="00DF6E30"/>
    <w:rsid w:val="00DF7022"/>
    <w:rsid w:val="00DF719B"/>
    <w:rsid w:val="00DF7992"/>
    <w:rsid w:val="00DF79E4"/>
    <w:rsid w:val="00E00A9A"/>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412"/>
    <w:rsid w:val="00E21598"/>
    <w:rsid w:val="00E22104"/>
    <w:rsid w:val="00E22454"/>
    <w:rsid w:val="00E22486"/>
    <w:rsid w:val="00E22739"/>
    <w:rsid w:val="00E227F0"/>
    <w:rsid w:val="00E22993"/>
    <w:rsid w:val="00E229A0"/>
    <w:rsid w:val="00E230CB"/>
    <w:rsid w:val="00E236E4"/>
    <w:rsid w:val="00E23E25"/>
    <w:rsid w:val="00E23F69"/>
    <w:rsid w:val="00E24CF9"/>
    <w:rsid w:val="00E24FDD"/>
    <w:rsid w:val="00E25159"/>
    <w:rsid w:val="00E253F1"/>
    <w:rsid w:val="00E25577"/>
    <w:rsid w:val="00E2583D"/>
    <w:rsid w:val="00E258AA"/>
    <w:rsid w:val="00E25AC1"/>
    <w:rsid w:val="00E26040"/>
    <w:rsid w:val="00E27116"/>
    <w:rsid w:val="00E27408"/>
    <w:rsid w:val="00E27FCF"/>
    <w:rsid w:val="00E3160B"/>
    <w:rsid w:val="00E31E0B"/>
    <w:rsid w:val="00E31E29"/>
    <w:rsid w:val="00E32882"/>
    <w:rsid w:val="00E32B9B"/>
    <w:rsid w:val="00E3369B"/>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5248"/>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4DCB"/>
    <w:rsid w:val="00EB5120"/>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E0028"/>
    <w:rsid w:val="00EE0221"/>
    <w:rsid w:val="00EE03CC"/>
    <w:rsid w:val="00EE051F"/>
    <w:rsid w:val="00EE05B7"/>
    <w:rsid w:val="00EE0C65"/>
    <w:rsid w:val="00EE1282"/>
    <w:rsid w:val="00EE1BB8"/>
    <w:rsid w:val="00EE1DD1"/>
    <w:rsid w:val="00EE25F9"/>
    <w:rsid w:val="00EE29AF"/>
    <w:rsid w:val="00EE3463"/>
    <w:rsid w:val="00EE37EE"/>
    <w:rsid w:val="00EE39A4"/>
    <w:rsid w:val="00EE4B59"/>
    <w:rsid w:val="00EE50A8"/>
    <w:rsid w:val="00EE6372"/>
    <w:rsid w:val="00EE7829"/>
    <w:rsid w:val="00EF0279"/>
    <w:rsid w:val="00EF0629"/>
    <w:rsid w:val="00EF09DF"/>
    <w:rsid w:val="00EF0D49"/>
    <w:rsid w:val="00EF1594"/>
    <w:rsid w:val="00EF1C23"/>
    <w:rsid w:val="00EF269C"/>
    <w:rsid w:val="00EF3463"/>
    <w:rsid w:val="00EF36A1"/>
    <w:rsid w:val="00EF389F"/>
    <w:rsid w:val="00EF40A9"/>
    <w:rsid w:val="00EF4A6B"/>
    <w:rsid w:val="00EF4CAF"/>
    <w:rsid w:val="00EF4E00"/>
    <w:rsid w:val="00EF540A"/>
    <w:rsid w:val="00EF719E"/>
    <w:rsid w:val="00EF76FE"/>
    <w:rsid w:val="00F0064D"/>
    <w:rsid w:val="00F006BC"/>
    <w:rsid w:val="00F0087F"/>
    <w:rsid w:val="00F00C37"/>
    <w:rsid w:val="00F00C86"/>
    <w:rsid w:val="00F01005"/>
    <w:rsid w:val="00F0119D"/>
    <w:rsid w:val="00F020B0"/>
    <w:rsid w:val="00F0433A"/>
    <w:rsid w:val="00F044BF"/>
    <w:rsid w:val="00F04643"/>
    <w:rsid w:val="00F0577A"/>
    <w:rsid w:val="00F0619B"/>
    <w:rsid w:val="00F06B73"/>
    <w:rsid w:val="00F06EF8"/>
    <w:rsid w:val="00F07728"/>
    <w:rsid w:val="00F11700"/>
    <w:rsid w:val="00F118CF"/>
    <w:rsid w:val="00F11F45"/>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3BFE"/>
    <w:rsid w:val="00F2456C"/>
    <w:rsid w:val="00F2548E"/>
    <w:rsid w:val="00F25965"/>
    <w:rsid w:val="00F2704B"/>
    <w:rsid w:val="00F302A0"/>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CC4"/>
    <w:rsid w:val="00F47996"/>
    <w:rsid w:val="00F47E58"/>
    <w:rsid w:val="00F50527"/>
    <w:rsid w:val="00F507BE"/>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617DC"/>
    <w:rsid w:val="00F61BCF"/>
    <w:rsid w:val="00F621BD"/>
    <w:rsid w:val="00F627C0"/>
    <w:rsid w:val="00F6348D"/>
    <w:rsid w:val="00F6395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979"/>
    <w:rsid w:val="00FC74CA"/>
    <w:rsid w:val="00FC75A5"/>
    <w:rsid w:val="00FC769C"/>
    <w:rsid w:val="00FC7D76"/>
    <w:rsid w:val="00FC7E3A"/>
    <w:rsid w:val="00FD059E"/>
    <w:rsid w:val="00FD0CE4"/>
    <w:rsid w:val="00FD17E9"/>
    <w:rsid w:val="00FD2AC4"/>
    <w:rsid w:val="00FD4802"/>
    <w:rsid w:val="00FD4A6F"/>
    <w:rsid w:val="00FD4B29"/>
    <w:rsid w:val="00FD4FDD"/>
    <w:rsid w:val="00FD5357"/>
    <w:rsid w:val="00FD5602"/>
    <w:rsid w:val="00FD5C75"/>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4C2776"/>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74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4C2776"/>
    <w:rPr>
      <w:rFonts w:ascii="Arial" w:eastAsiaTheme="majorEastAsia" w:hAnsi="Arial" w:cstheme="majorBidi"/>
      <w:b/>
      <w:bCs/>
      <w:sz w:val="16"/>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7742F1"/>
    <w:rPr>
      <w:rFonts w:asciiTheme="majorHAnsi" w:eastAsiaTheme="majorEastAsia" w:hAnsiTheme="majorHAnsi" w:cstheme="majorBidi"/>
      <w:i/>
      <w:iCs/>
      <w:color w:val="365F91" w:themeColor="accent1" w:themeShade="BF"/>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edia/image2.wmf"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DNVT47QTA7NQ-509440880-390880</_dlc_DocId>
    <_dlc_DocIdUrl xmlns="b7635ab0-52e7-4e33-aa76-893cd120ef45">
      <Url>https://sharepoint.aemcorp.com/ed/EDMITS/_layouts/15/DocIdRedir.aspx?ID=DNVT47QTA7NQ-509440880-390880</Url>
      <Description>DNVT47QTA7NQ-509440880-390880</Description>
    </_dlc_DocIdUrl>
    <RoutingTargetFolder xmlns="http://schemas.microsoft.com/sharepoint/v3" xsi:nil="true"/>
    <Document_x0020_Purpose xmlns="75b8f200-01bb-4893-a3c4-f3a17e332d98" xsi:nil="true"/>
    <_dlc_DocIdPersistId xmlns="b7635ab0-52e7-4e33-aa76-893cd120ef45">false</_dlc_DocIdPersistId>
  </documentManagement>
</p:properties>
</file>

<file path=customXml/itemProps1.xml><?xml version="1.0" encoding="utf-8"?>
<ds:datastoreItem xmlns:ds="http://schemas.openxmlformats.org/officeDocument/2006/customXml" ds:itemID="{D11F2FB3-7987-4B56-9947-5BC145E7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3.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4.xml><?xml version="1.0" encoding="utf-8"?>
<ds:datastoreItem xmlns:ds="http://schemas.openxmlformats.org/officeDocument/2006/customXml" ds:itemID="{B7F4699C-0160-4AB3-A519-BCFA7AA343EB}">
  <ds:schemaRefs>
    <ds:schemaRef ds:uri="http://schemas.microsoft.com/sharepoint/events"/>
  </ds:schemaRefs>
</ds:datastoreItem>
</file>

<file path=customXml/itemProps5.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b7635ab0-52e7-4e33-aa76-893cd120ef45"/>
    <ds:schemaRef ds:uri="http://schemas.microsoft.com/sharepoint/v3"/>
    <ds:schemaRef ds:uri="75b8f200-01bb-4893-a3c4-f3a17e332d98"/>
  </ds:schemaRefs>
</ds:datastoreItem>
</file>

<file path=docProps/app.xml><?xml version="1.0" encoding="utf-8"?>
<Properties xmlns="http://schemas.openxmlformats.org/officeDocument/2006/extended-properties" xmlns:vt="http://schemas.openxmlformats.org/officeDocument/2006/docPropsVTypes">
  <Template>Normal.dotm</Template>
  <TotalTime>6053</TotalTime>
  <Pages>89</Pages>
  <Words>36792</Words>
  <Characters>209718</Characters>
  <Application>Microsoft Office Word</Application>
  <DocSecurity>0</DocSecurity>
  <Lines>1747</Lines>
  <Paragraphs>492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2021-09-27T11:25:00Z</dcterms:created>
  <dc:creator>Sarah O'Grady</dc:creator>
  <cp:lastModifiedBy>Sharmila Premji</cp:lastModifiedBy>
  <cp:lastPrinted>2014-08-19T16:56:00Z</cp:lastPrinted>
  <dcterms:modified xsi:type="dcterms:W3CDTF">2022-03-14T20:25:00Z</dcterms:modified>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23355a40-5f7a-4a1f-9d79-b27f0c2196d2</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