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highlight w:val="white"/>
          <w:rtl w:val="0"/>
        </w:rPr>
        <w:t xml:space="preserve">We've Got the Whole World in our Hands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the whole world in our hands.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the whole world in our hands.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the whole world in our hands.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the whole world in our hands.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our brothers and our sisters in our hands.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our friends and our family in our hands.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We’ve got our pets and our neighbors in our hands.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the whole world in our hands.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We’ve got the fish in the sea in our hands.</w:t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We’ve got the birds in the sky in our hands.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We’ve got the animals on land in our hands.</w:t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We’ve got the whole world in our hands.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the whole world in our hands.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the whole world in our hands.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rFonts w:ascii="Century Gothic" w:cs="Century Gothic" w:eastAsia="Century Gothic" w:hAnsi="Century Gothic"/>
          <w:sz w:val="28"/>
          <w:szCs w:val="2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the whole world in our hands.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Century Gothic" w:cs="Century Gothic" w:eastAsia="Century Gothic" w:hAnsi="Century Gothic"/>
          <w:color w:val="0a3f64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highlight w:val="white"/>
          <w:rtl w:val="0"/>
        </w:rPr>
        <w:t xml:space="preserve">We've got the whole world in our hands.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ind w:right="172.79999999999973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Family Links - Shared Reading Unit 1 Week 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