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What’s the Weather?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</w:t>
        <w:tab/>
        <w:tab/>
        <w:tab/>
        <w:tab/>
        <w:t xml:space="preserve">Month: ________________________________________________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51.4285714285713"/>
        <w:gridCol w:w="1851.4285714285713"/>
        <w:gridCol w:w="1851.4285714285713"/>
        <w:gridCol w:w="1851.4285714285713"/>
        <w:gridCol w:w="1851.4285714285713"/>
        <w:gridCol w:w="1851.4285714285713"/>
        <w:gridCol w:w="1851.4285714285713"/>
        <w:tblGridChange w:id="0">
          <w:tblGrid>
            <w:gridCol w:w="1851.4285714285713"/>
            <w:gridCol w:w="1851.4285714285713"/>
            <w:gridCol w:w="1851.4285714285713"/>
            <w:gridCol w:w="1851.4285714285713"/>
            <w:gridCol w:w="1851.4285714285713"/>
            <w:gridCol w:w="1851.4285714285713"/>
            <w:gridCol w:w="1851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>
          <w:rFonts w:ascii="Century Gothic" w:cs="Century Gothic" w:eastAsia="Century Gothic" w:hAnsi="Century Gothic"/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ind w:right="172.79999999999973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Family Links - Weather Calendar Unit 1 Week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