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Erosion </w:t>
      </w:r>
      <w:r w:rsidDel="00000000" w:rsidR="00000000" w:rsidRPr="00000000">
        <w:rPr>
          <w:b w:val="1"/>
          <w:sz w:val="36"/>
          <w:szCs w:val="36"/>
          <w:rtl w:val="0"/>
        </w:rPr>
        <w:t xml:space="preserve">Text Set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Big Idea: How can wind and water change the shape of the land?</w:t>
      </w:r>
    </w:p>
    <w:tbl>
      <w:tblPr>
        <w:tblStyle w:val="Table1"/>
        <w:tblW w:w="13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3928"/>
        <w:gridCol w:w="1758"/>
        <w:gridCol w:w="1474"/>
        <w:gridCol w:w="988"/>
        <w:gridCol w:w="1770"/>
        <w:tblGridChange w:id="0">
          <w:tblGrid>
            <w:gridCol w:w="3258"/>
            <w:gridCol w:w="3928"/>
            <w:gridCol w:w="1758"/>
            <w:gridCol w:w="1474"/>
            <w:gridCol w:w="988"/>
            <w:gridCol w:w="17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Lexile 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Slow Land Changes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Brainpop jr.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Examining Erosion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Wind and Water Change Rock?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Wind and Water Change Earth?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Sand a Rock?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Looking at Landforms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Rocks Rivers and the Changing Earth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Soil Erosion and How to Prevent It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Erosion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Landslides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Protecting Earth’s Surface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Cracking Up: A Story About Erosion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Jaquie Bailey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Creation of Caves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are Lakes Fresh Water?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Weathering and Erosion and the Rock Cycle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Joanne Mattern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