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8" w:type="dxa"/>
          <w:right w:w="288" w:type="dxa"/>
        </w:tblCellMar>
        <w:tblLook w:val="04A0" w:firstRow="1" w:lastRow="0" w:firstColumn="1" w:lastColumn="0" w:noHBand="0" w:noVBand="1"/>
      </w:tblPr>
      <w:tblGrid>
        <w:gridCol w:w="3456"/>
        <w:gridCol w:w="7344"/>
      </w:tblGrid>
      <w:tr w:rsidR="00941E9B" w:rsidTr="008E2CFD">
        <w:tc>
          <w:tcPr>
            <w:tcW w:w="3456" w:type="dxa"/>
          </w:tcPr>
          <w:p w:rsidR="00941E9B" w:rsidRDefault="00941E9B">
            <w:r>
              <w:rPr>
                <w:noProof/>
              </w:rPr>
              <w:drawing>
                <wp:inline distT="0" distB="0" distL="0" distR="0">
                  <wp:extent cx="1828800" cy="666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01-200.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666835"/>
                          </a:xfrm>
                          <a:prstGeom prst="rect">
                            <a:avLst/>
                          </a:prstGeom>
                        </pic:spPr>
                      </pic:pic>
                    </a:graphicData>
                  </a:graphic>
                </wp:inline>
              </w:drawing>
            </w:r>
          </w:p>
        </w:tc>
        <w:tc>
          <w:tcPr>
            <w:tcW w:w="7848" w:type="dxa"/>
            <w:vAlign w:val="center"/>
          </w:tcPr>
          <w:p w:rsidR="00941E9B" w:rsidRPr="00370280" w:rsidRDefault="00370280" w:rsidP="008E2CFD">
            <w:pPr>
              <w:rPr>
                <w:rFonts w:ascii="Arial" w:hAnsi="Arial" w:cs="Arial"/>
                <w:sz w:val="20"/>
              </w:rPr>
            </w:pPr>
            <w:r>
              <w:rPr>
                <w:rFonts w:ascii="Arial" w:hAnsi="Arial" w:cs="Arial"/>
                <w:b/>
                <w:sz w:val="32"/>
              </w:rPr>
              <w:t>ESEA Sections 1117 &amp; 8501</w:t>
            </w:r>
            <w:r w:rsidR="00941E9B" w:rsidRPr="0025240E">
              <w:rPr>
                <w:rFonts w:ascii="Arial" w:hAnsi="Arial" w:cs="Arial"/>
                <w:sz w:val="32"/>
              </w:rPr>
              <w:t xml:space="preserve">: </w:t>
            </w:r>
            <w:r w:rsidR="00941E9B" w:rsidRPr="0025240E">
              <w:rPr>
                <w:rFonts w:ascii="Arial" w:hAnsi="Arial" w:cs="Arial"/>
                <w:sz w:val="24"/>
              </w:rPr>
              <w:br/>
            </w:r>
            <w:r>
              <w:rPr>
                <w:rFonts w:ascii="Arial" w:hAnsi="Arial" w:cs="Arial"/>
                <w:sz w:val="20"/>
              </w:rPr>
              <w:t>PARTICIPATION BY PRIVATE SCHOOL CHILDREN AND TEACHERS</w:t>
            </w:r>
          </w:p>
        </w:tc>
      </w:tr>
      <w:tr w:rsidR="008E2CFD" w:rsidTr="008E2CFD">
        <w:tc>
          <w:tcPr>
            <w:tcW w:w="3456" w:type="dxa"/>
            <w:tcBorders>
              <w:bottom w:val="single" w:sz="4" w:space="0" w:color="auto"/>
            </w:tcBorders>
            <w:vAlign w:val="center"/>
          </w:tcPr>
          <w:p w:rsidR="008E2CFD" w:rsidRPr="008E2CFD" w:rsidRDefault="008E2CFD" w:rsidP="008E2CFD">
            <w:pPr>
              <w:rPr>
                <w:noProof/>
                <w:sz w:val="20"/>
              </w:rPr>
            </w:pPr>
          </w:p>
        </w:tc>
        <w:tc>
          <w:tcPr>
            <w:tcW w:w="7848" w:type="dxa"/>
            <w:tcBorders>
              <w:bottom w:val="single" w:sz="4" w:space="0" w:color="auto"/>
            </w:tcBorders>
            <w:vAlign w:val="center"/>
          </w:tcPr>
          <w:p w:rsidR="008E2CFD" w:rsidRPr="008E2CFD" w:rsidRDefault="008E2CFD" w:rsidP="008E2CFD">
            <w:pPr>
              <w:rPr>
                <w:rFonts w:ascii="Arial" w:hAnsi="Arial" w:cs="Arial"/>
                <w:b/>
                <w:sz w:val="20"/>
              </w:rPr>
            </w:pPr>
          </w:p>
        </w:tc>
      </w:tr>
    </w:tbl>
    <w:p w:rsidR="0025240E" w:rsidRDefault="00941E9B" w:rsidP="0025240E">
      <w:pPr>
        <w:jc w:val="center"/>
        <w:rPr>
          <w:rFonts w:ascii="Arial" w:hAnsi="Arial" w:cs="Arial"/>
          <w:b/>
          <w:sz w:val="24"/>
        </w:rPr>
      </w:pPr>
      <w:r>
        <w:rPr>
          <w:rFonts w:ascii="Arial" w:hAnsi="Arial" w:cs="Arial"/>
          <w:i/>
          <w:sz w:val="20"/>
        </w:rPr>
        <w:br/>
      </w:r>
      <w:r w:rsidR="00370280">
        <w:rPr>
          <w:rFonts w:ascii="Arial" w:hAnsi="Arial" w:cs="Arial"/>
          <w:b/>
          <w:sz w:val="24"/>
        </w:rPr>
        <w:t>Equitable Services</w:t>
      </w:r>
      <w:r w:rsidR="008E2CFD">
        <w:rPr>
          <w:rFonts w:ascii="Arial" w:hAnsi="Arial" w:cs="Arial"/>
          <w:b/>
          <w:sz w:val="24"/>
        </w:rPr>
        <w:t xml:space="preserve"> Spending</w:t>
      </w:r>
      <w:r w:rsidR="0025240E">
        <w:rPr>
          <w:rFonts w:ascii="Arial" w:hAnsi="Arial" w:cs="Arial"/>
          <w:b/>
          <w:sz w:val="24"/>
        </w:rPr>
        <w:t xml:space="preserve"> Snapshot</w:t>
      </w:r>
    </w:p>
    <w:p w:rsidR="00370280" w:rsidRPr="00F33038" w:rsidRDefault="00370280" w:rsidP="00941E9B">
      <w:pPr>
        <w:spacing w:after="0" w:line="240" w:lineRule="auto"/>
        <w:rPr>
          <w:rFonts w:ascii="Arial" w:hAnsi="Arial" w:cs="Arial"/>
          <w:i/>
          <w:sz w:val="18"/>
        </w:rPr>
      </w:pPr>
      <w:r w:rsidRPr="00F33038">
        <w:rPr>
          <w:rFonts w:ascii="Arial" w:hAnsi="Arial" w:cs="Arial"/>
          <w:i/>
          <w:sz w:val="18"/>
        </w:rPr>
        <w:t xml:space="preserve">Under the Elementary and Secondary Education Act (ESEA), as amended by </w:t>
      </w:r>
      <w:proofErr w:type="gramStart"/>
      <w:r w:rsidRPr="00F33038">
        <w:rPr>
          <w:rFonts w:ascii="Arial" w:hAnsi="Arial" w:cs="Arial"/>
          <w:i/>
          <w:sz w:val="18"/>
        </w:rPr>
        <w:t>the Every</w:t>
      </w:r>
      <w:proofErr w:type="gramEnd"/>
      <w:r w:rsidRPr="00F33038">
        <w:rPr>
          <w:rFonts w:ascii="Arial" w:hAnsi="Arial" w:cs="Arial"/>
          <w:i/>
          <w:sz w:val="18"/>
        </w:rPr>
        <w:t xml:space="preserve"> Student Succeeds Act (ESSA), local educational agencies (LEAs) are required to provide services for public school students and eligible non-public school students. </w:t>
      </w:r>
      <w:proofErr w:type="gramStart"/>
      <w:r w:rsidRPr="00F33038">
        <w:rPr>
          <w:rFonts w:ascii="Arial" w:hAnsi="Arial" w:cs="Arial"/>
          <w:i/>
          <w:sz w:val="18"/>
        </w:rPr>
        <w:t>In particular, Sections</w:t>
      </w:r>
      <w:proofErr w:type="gramEnd"/>
      <w:r w:rsidRPr="00F33038">
        <w:rPr>
          <w:rFonts w:ascii="Arial" w:hAnsi="Arial" w:cs="Arial"/>
          <w:i/>
          <w:sz w:val="18"/>
        </w:rPr>
        <w:t xml:space="preserve"> 1117 of Title I, Part A and 8501 of the Uniform Provisions for Private Schools lay out the services to be provided.</w:t>
      </w:r>
    </w:p>
    <w:p w:rsidR="00370280" w:rsidRPr="00F33038" w:rsidRDefault="00370280" w:rsidP="00941E9B">
      <w:pPr>
        <w:spacing w:after="0" w:line="240" w:lineRule="auto"/>
        <w:rPr>
          <w:rFonts w:ascii="Arial" w:hAnsi="Arial" w:cs="Arial"/>
          <w:i/>
          <w:sz w:val="18"/>
        </w:rPr>
      </w:pPr>
    </w:p>
    <w:p w:rsidR="00941E9B" w:rsidRPr="00F33038" w:rsidRDefault="00941E9B" w:rsidP="00941E9B">
      <w:pPr>
        <w:spacing w:after="0" w:line="240" w:lineRule="auto"/>
        <w:rPr>
          <w:rFonts w:ascii="Arial" w:hAnsi="Arial" w:cs="Arial"/>
          <w:sz w:val="18"/>
        </w:rPr>
      </w:pPr>
      <w:r w:rsidRPr="00F33038">
        <w:rPr>
          <w:rFonts w:ascii="Arial" w:hAnsi="Arial" w:cs="Arial"/>
          <w:i/>
          <w:sz w:val="18"/>
        </w:rPr>
        <w:t>All</w:t>
      </w:r>
      <w:r w:rsidRPr="00F33038">
        <w:rPr>
          <w:rFonts w:ascii="Arial" w:hAnsi="Arial" w:cs="Arial"/>
          <w:sz w:val="18"/>
        </w:rPr>
        <w:t xml:space="preserve"> </w:t>
      </w:r>
      <w:r w:rsidR="008E2CFD" w:rsidRPr="00F33038">
        <w:rPr>
          <w:rFonts w:ascii="Arial" w:hAnsi="Arial" w:cs="Arial"/>
          <w:sz w:val="18"/>
        </w:rPr>
        <w:t xml:space="preserve">federally-funded program </w:t>
      </w:r>
      <w:r w:rsidRPr="00F33038">
        <w:rPr>
          <w:rFonts w:ascii="Arial" w:hAnsi="Arial" w:cs="Arial"/>
          <w:sz w:val="18"/>
        </w:rPr>
        <w:t>costs must be:</w:t>
      </w:r>
      <w:r w:rsidRPr="00F33038">
        <w:rPr>
          <w:rFonts w:ascii="Arial" w:hAnsi="Arial" w:cs="Arial"/>
          <w:sz w:val="18"/>
        </w:rPr>
        <w:br/>
      </w:r>
    </w:p>
    <w:p w:rsidR="00941E9B" w:rsidRPr="00F33038" w:rsidRDefault="00941E9B" w:rsidP="00941E9B">
      <w:pPr>
        <w:spacing w:after="0" w:line="240" w:lineRule="auto"/>
        <w:rPr>
          <w:rFonts w:ascii="Arial" w:hAnsi="Arial" w:cs="Arial"/>
          <w:sz w:val="18"/>
        </w:rPr>
      </w:pPr>
      <w:r w:rsidRPr="00F33038">
        <w:rPr>
          <w:rFonts w:ascii="Arial" w:hAnsi="Arial" w:cs="Arial"/>
          <w:b/>
          <w:i/>
          <w:sz w:val="18"/>
        </w:rPr>
        <w:t>(1) Reasonable:</w:t>
      </w:r>
      <w:r w:rsidRPr="00F33038">
        <w:rPr>
          <w:rFonts w:ascii="Arial" w:hAnsi="Arial" w:cs="Arial"/>
          <w:sz w:val="18"/>
        </w:rPr>
        <w:t xml:space="preserve"> consistent with prudent business practice and comparable current market value;</w:t>
      </w:r>
      <w:r w:rsidRPr="00F33038">
        <w:rPr>
          <w:rFonts w:ascii="Arial" w:hAnsi="Arial" w:cs="Arial"/>
          <w:sz w:val="18"/>
        </w:rPr>
        <w:br/>
      </w:r>
      <w:r w:rsidRPr="00F33038">
        <w:rPr>
          <w:rFonts w:ascii="Arial" w:hAnsi="Arial" w:cs="Arial"/>
          <w:b/>
          <w:i/>
          <w:sz w:val="18"/>
        </w:rPr>
        <w:t>(2) Necessary:</w:t>
      </w:r>
      <w:r w:rsidRPr="00F33038">
        <w:rPr>
          <w:rFonts w:ascii="Arial" w:hAnsi="Arial" w:cs="Arial"/>
          <w:sz w:val="18"/>
        </w:rPr>
        <w:t xml:space="preserve"> required to carry out the in</w:t>
      </w:r>
      <w:r w:rsidR="00B904C6" w:rsidRPr="00F33038">
        <w:rPr>
          <w:rFonts w:ascii="Arial" w:hAnsi="Arial" w:cs="Arial"/>
          <w:sz w:val="18"/>
        </w:rPr>
        <w:t xml:space="preserve">tent and purpose of the </w:t>
      </w:r>
      <w:r w:rsidR="00370280" w:rsidRPr="00F33038">
        <w:rPr>
          <w:rFonts w:ascii="Arial" w:hAnsi="Arial" w:cs="Arial"/>
          <w:sz w:val="18"/>
        </w:rPr>
        <w:t>federal</w:t>
      </w:r>
      <w:r w:rsidRPr="00F33038">
        <w:rPr>
          <w:rFonts w:ascii="Arial" w:hAnsi="Arial" w:cs="Arial"/>
          <w:sz w:val="18"/>
        </w:rPr>
        <w:t xml:space="preserve"> program; and </w:t>
      </w:r>
      <w:r w:rsidRPr="00F33038">
        <w:rPr>
          <w:rFonts w:ascii="Arial" w:hAnsi="Arial" w:cs="Arial"/>
          <w:sz w:val="18"/>
        </w:rPr>
        <w:br/>
      </w:r>
      <w:r w:rsidRPr="00F33038">
        <w:rPr>
          <w:rFonts w:ascii="Arial" w:hAnsi="Arial" w:cs="Arial"/>
          <w:b/>
          <w:i/>
          <w:sz w:val="18"/>
        </w:rPr>
        <w:t>(3) Allocable:</w:t>
      </w:r>
      <w:r w:rsidRPr="00F33038">
        <w:rPr>
          <w:rFonts w:ascii="Arial" w:hAnsi="Arial" w:cs="Arial"/>
          <w:sz w:val="18"/>
        </w:rPr>
        <w:t xml:space="preserve"> chargeable or assignable in accordance with relative benefits received. </w:t>
      </w:r>
      <w:r w:rsidRPr="00F33038">
        <w:rPr>
          <w:rFonts w:ascii="Arial" w:hAnsi="Arial" w:cs="Arial"/>
          <w:sz w:val="18"/>
        </w:rPr>
        <w:br/>
      </w:r>
      <w:r w:rsidRPr="00F33038">
        <w:rPr>
          <w:rFonts w:ascii="Arial" w:hAnsi="Arial" w:cs="Arial"/>
          <w:sz w:val="18"/>
        </w:rPr>
        <w:br/>
        <w:t>In addition, costs must be aligned with generally accepted accounting principles (GAAP) and adequately documented and budgeted within the grant.</w:t>
      </w:r>
      <w:r w:rsidRPr="00F33038">
        <w:rPr>
          <w:rFonts w:ascii="Arial" w:hAnsi="Arial" w:cs="Arial"/>
          <w:sz w:val="18"/>
        </w:rPr>
        <w:br/>
      </w:r>
    </w:p>
    <w:p w:rsidR="00941E9B" w:rsidRPr="00F33038" w:rsidRDefault="00941E9B" w:rsidP="00941E9B">
      <w:pPr>
        <w:spacing w:after="0" w:line="240" w:lineRule="auto"/>
        <w:rPr>
          <w:rFonts w:ascii="Arial" w:hAnsi="Arial" w:cs="Arial"/>
          <w:sz w:val="18"/>
        </w:rPr>
      </w:pPr>
      <w:r w:rsidRPr="00F33038">
        <w:rPr>
          <w:rFonts w:ascii="Arial" w:hAnsi="Arial" w:cs="Arial"/>
          <w:b/>
          <w:i/>
          <w:sz w:val="18"/>
        </w:rPr>
        <w:t xml:space="preserve">Supplement vs. Supplant: </w:t>
      </w:r>
      <w:r w:rsidR="00370280" w:rsidRPr="00F33038">
        <w:rPr>
          <w:rFonts w:ascii="Arial" w:hAnsi="Arial" w:cs="Arial"/>
          <w:sz w:val="18"/>
        </w:rPr>
        <w:t xml:space="preserve">Federal </w:t>
      </w:r>
      <w:r w:rsidR="00F321DB" w:rsidRPr="00F33038">
        <w:rPr>
          <w:rFonts w:ascii="Arial" w:hAnsi="Arial" w:cs="Arial"/>
          <w:sz w:val="18"/>
        </w:rPr>
        <w:t>funds must be used to supplement (increase the level of services) and not supplant (replace) funds from non-federal sources. Any program activity required by state law</w:t>
      </w:r>
      <w:r w:rsidR="00B904C6" w:rsidRPr="00F33038">
        <w:rPr>
          <w:rFonts w:ascii="Arial" w:hAnsi="Arial" w:cs="Arial"/>
          <w:sz w:val="18"/>
        </w:rPr>
        <w:t xml:space="preserve"> </w:t>
      </w:r>
      <w:r w:rsidR="00F321DB" w:rsidRPr="00F33038">
        <w:rPr>
          <w:rFonts w:ascii="Arial" w:hAnsi="Arial" w:cs="Arial"/>
          <w:sz w:val="18"/>
        </w:rPr>
        <w:t xml:space="preserve">or local board policy may not be paid with these funds. State or local funds may not be decreased or diverted for other uses merely because of the availability of these funds. District and school personnel must maintain documentation that clearly demonstrates the supplementary nature of these funds. The federal supplement, not supplant, provision is intended to ensure that services provided under </w:t>
      </w:r>
      <w:r w:rsidR="00370280" w:rsidRPr="00F33038">
        <w:rPr>
          <w:rFonts w:ascii="Arial" w:hAnsi="Arial" w:cs="Arial"/>
          <w:sz w:val="18"/>
        </w:rPr>
        <w:t xml:space="preserve">federal funds </w:t>
      </w:r>
      <w:r w:rsidR="00F321DB" w:rsidRPr="00F33038">
        <w:rPr>
          <w:rFonts w:ascii="Arial" w:hAnsi="Arial" w:cs="Arial"/>
          <w:sz w:val="18"/>
        </w:rPr>
        <w:t xml:space="preserve">are in addition to, and not in place of, local funds if </w:t>
      </w:r>
      <w:r w:rsidR="00370280" w:rsidRPr="00F33038">
        <w:rPr>
          <w:rFonts w:ascii="Arial" w:hAnsi="Arial" w:cs="Arial"/>
          <w:sz w:val="18"/>
        </w:rPr>
        <w:t xml:space="preserve">federal </w:t>
      </w:r>
      <w:r w:rsidR="00F321DB" w:rsidRPr="00F33038">
        <w:rPr>
          <w:rFonts w:ascii="Arial" w:hAnsi="Arial" w:cs="Arial"/>
          <w:sz w:val="18"/>
        </w:rPr>
        <w:t>funds were not available.</w:t>
      </w:r>
    </w:p>
    <w:p w:rsidR="00F321DB" w:rsidRPr="00F33038" w:rsidRDefault="00F321DB" w:rsidP="00941E9B">
      <w:pPr>
        <w:spacing w:after="0" w:line="240" w:lineRule="auto"/>
        <w:rPr>
          <w:rFonts w:ascii="Arial" w:hAnsi="Arial" w:cs="Arial"/>
          <w:sz w:val="18"/>
        </w:rPr>
      </w:pPr>
    </w:p>
    <w:p w:rsidR="007F2E11" w:rsidRPr="00F33038" w:rsidRDefault="00941E9B" w:rsidP="00941E9B">
      <w:pPr>
        <w:spacing w:after="0" w:line="240" w:lineRule="auto"/>
        <w:rPr>
          <w:rFonts w:ascii="Arial" w:hAnsi="Arial" w:cs="Arial"/>
          <w:sz w:val="18"/>
        </w:rPr>
      </w:pPr>
      <w:r w:rsidRPr="00F33038">
        <w:rPr>
          <w:rFonts w:ascii="Arial" w:hAnsi="Arial" w:cs="Arial"/>
          <w:sz w:val="18"/>
        </w:rPr>
        <w:t xml:space="preserve">In determining whether a </w:t>
      </w:r>
      <w:proofErr w:type="gramStart"/>
      <w:r w:rsidRPr="00F33038">
        <w:rPr>
          <w:rFonts w:ascii="Arial" w:hAnsi="Arial" w:cs="Arial"/>
          <w:sz w:val="18"/>
        </w:rPr>
        <w:t>particular use</w:t>
      </w:r>
      <w:proofErr w:type="gramEnd"/>
      <w:r w:rsidRPr="00F33038">
        <w:rPr>
          <w:rFonts w:ascii="Arial" w:hAnsi="Arial" w:cs="Arial"/>
          <w:sz w:val="18"/>
        </w:rPr>
        <w:t xml:space="preserve"> of funds would violate the non-supplanting requirement, </w:t>
      </w:r>
      <w:r w:rsidR="00370280" w:rsidRPr="00F33038">
        <w:rPr>
          <w:rFonts w:ascii="Arial" w:hAnsi="Arial" w:cs="Arial"/>
          <w:sz w:val="18"/>
        </w:rPr>
        <w:t>private and non-public</w:t>
      </w:r>
      <w:r w:rsidRPr="00F33038">
        <w:rPr>
          <w:rFonts w:ascii="Arial" w:hAnsi="Arial" w:cs="Arial"/>
          <w:sz w:val="18"/>
        </w:rPr>
        <w:t xml:space="preserve"> LEAs should consider matters such as whether the cost involved is currently paid for using State or local funds or whether the cost involved is for an activity that is required by State or local law. The SEA or LEA may not decrease the amount of State or local funds used to pay the cost of an activity simply because of the availability of </w:t>
      </w:r>
      <w:r w:rsidR="007F2E11" w:rsidRPr="00F33038">
        <w:rPr>
          <w:rFonts w:ascii="Arial" w:hAnsi="Arial" w:cs="Arial"/>
          <w:sz w:val="18"/>
        </w:rPr>
        <w:t>federal</w:t>
      </w:r>
      <w:r w:rsidRPr="00F33038">
        <w:rPr>
          <w:rFonts w:ascii="Arial" w:hAnsi="Arial" w:cs="Arial"/>
          <w:sz w:val="18"/>
        </w:rPr>
        <w:t xml:space="preserve"> funds. </w:t>
      </w:r>
    </w:p>
    <w:p w:rsidR="007F2E11" w:rsidRPr="00F33038" w:rsidRDefault="007F2E11" w:rsidP="00941E9B">
      <w:pPr>
        <w:spacing w:after="0" w:line="240" w:lineRule="auto"/>
        <w:rPr>
          <w:rFonts w:ascii="Arial" w:hAnsi="Arial" w:cs="Arial"/>
          <w:sz w:val="18"/>
        </w:rPr>
      </w:pPr>
    </w:p>
    <w:p w:rsidR="007F2E11" w:rsidRPr="00F33038" w:rsidRDefault="007F2E11" w:rsidP="007F2E11">
      <w:pPr>
        <w:spacing w:after="0" w:line="240" w:lineRule="auto"/>
        <w:rPr>
          <w:rFonts w:ascii="Arial" w:hAnsi="Arial" w:cs="Arial"/>
          <w:sz w:val="18"/>
        </w:rPr>
      </w:pPr>
      <w:r w:rsidRPr="00F33038">
        <w:rPr>
          <w:rFonts w:ascii="Arial" w:hAnsi="Arial" w:cs="Arial"/>
          <w:b/>
          <w:i/>
          <w:sz w:val="18"/>
        </w:rPr>
        <w:t>Sections 1117 and 8501 of ESSA:</w:t>
      </w:r>
      <w:r w:rsidRPr="00F33038">
        <w:rPr>
          <w:rFonts w:ascii="Arial" w:hAnsi="Arial" w:cs="Arial"/>
          <w:sz w:val="18"/>
        </w:rPr>
        <w:t xml:space="preserve">  Federal law requires school districts receiving funding under ESSA to provide eligible children attending private elementary and secondary schools, their teachers, educational personnel, and their families with services that are equitable to those provided to eligible public-school children, their teachers and other educational personnel, and their families. Educational services or other benefits, including materials and equipment, shall be secular, neutral, and non-ideological and shall be provided in a timely manner.</w:t>
      </w:r>
      <w:r w:rsidRPr="00F33038">
        <w:rPr>
          <w:rFonts w:ascii="Arial" w:hAnsi="Arial" w:cs="Arial"/>
          <w:sz w:val="18"/>
        </w:rPr>
        <w:br/>
      </w:r>
    </w:p>
    <w:p w:rsidR="007F2E11" w:rsidRPr="00F33038" w:rsidRDefault="007F2E11" w:rsidP="007F2E11">
      <w:pPr>
        <w:spacing w:after="0" w:line="240" w:lineRule="auto"/>
        <w:rPr>
          <w:rFonts w:ascii="Arial" w:hAnsi="Arial" w:cs="Arial"/>
          <w:sz w:val="18"/>
        </w:rPr>
      </w:pPr>
      <w:r w:rsidRPr="00F33038">
        <w:rPr>
          <w:rFonts w:ascii="Arial" w:hAnsi="Arial" w:cs="Arial"/>
          <w:sz w:val="18"/>
        </w:rPr>
        <w:t>To ensure compliance with the entirety of this mandate, each school district must plan to provide full-school year programming and must consult with private school officials in a timely and meaningful manner. Consultation must take place before any transfer of funds. The district and private school officials shall both have the goal of reaching an agreement on how to provide equitable and effective programs for eligible private school children, and the results of which agreement shall be transmitted to the ombudsman designated under section 1117 (a)(3)(B). The district must allocate and obligate funds in the fiscal year for which the funds are received and expenses must be reasonable and necessary to carry out the purpose and intent of the program.</w:t>
      </w:r>
      <w:r w:rsidRPr="00F33038">
        <w:rPr>
          <w:rFonts w:ascii="Arial" w:hAnsi="Arial" w:cs="Arial"/>
          <w:sz w:val="18"/>
        </w:rPr>
        <w:br/>
      </w:r>
    </w:p>
    <w:p w:rsidR="007F2E11" w:rsidRPr="00F33038" w:rsidRDefault="007F2E11" w:rsidP="007F2E11">
      <w:pPr>
        <w:spacing w:after="0" w:line="240" w:lineRule="auto"/>
        <w:rPr>
          <w:rFonts w:ascii="Arial" w:hAnsi="Arial" w:cs="Arial"/>
          <w:sz w:val="18"/>
        </w:rPr>
      </w:pPr>
      <w:r w:rsidRPr="00F33038">
        <w:rPr>
          <w:rFonts w:ascii="Arial" w:hAnsi="Arial" w:cs="Arial"/>
          <w:sz w:val="18"/>
        </w:rPr>
        <w:t>Please be aware that equitable share calculations for private schools participating in Title I differ from those participating in the other Title programs. Title I non-public school equitable shares are based on the number of non-public low-income school children residing in the participating public-school attendance area. Services are based on the students with the greatest academic need.  Titles II and IV nonpublic equitable share is based on the total population of the non-public schools that are physically within the district boundaries regardless of the number of non-public students that would attend that public school.</w:t>
      </w:r>
    </w:p>
    <w:p w:rsidR="007F2E11" w:rsidRPr="00F33038" w:rsidRDefault="007F2E11" w:rsidP="007F2E11">
      <w:pPr>
        <w:spacing w:after="0" w:line="240" w:lineRule="auto"/>
        <w:rPr>
          <w:rFonts w:ascii="Arial" w:hAnsi="Arial" w:cs="Arial"/>
          <w:sz w:val="18"/>
        </w:rPr>
      </w:pPr>
    </w:p>
    <w:p w:rsidR="007F2E11" w:rsidRPr="00F33038" w:rsidRDefault="007F2E11" w:rsidP="007F2E11">
      <w:pPr>
        <w:spacing w:after="0" w:line="240" w:lineRule="auto"/>
        <w:rPr>
          <w:rFonts w:ascii="Arial" w:hAnsi="Arial" w:cs="Arial"/>
          <w:sz w:val="18"/>
        </w:rPr>
      </w:pPr>
      <w:r w:rsidRPr="00F33038">
        <w:rPr>
          <w:rFonts w:ascii="Arial" w:hAnsi="Arial" w:cs="Arial"/>
          <w:sz w:val="18"/>
        </w:rPr>
        <w:t>Title I services in a nonpublic school follow the guidelines of a Targeted Assisted program. Students with the greatest need are determined through a multi-criteria selection and instructional services are provided for those students. Training can be provided for teachers/professional staff that directly impact the targeted students. Grant services for Title II and IV should follow the guidelines of each grant.</w:t>
      </w:r>
    </w:p>
    <w:p w:rsidR="007F2E11" w:rsidRPr="00F33038" w:rsidRDefault="007F2E11" w:rsidP="00941E9B">
      <w:pPr>
        <w:spacing w:after="0" w:line="240" w:lineRule="auto"/>
        <w:rPr>
          <w:rFonts w:ascii="Arial" w:hAnsi="Arial" w:cs="Arial"/>
          <w:sz w:val="18"/>
        </w:rPr>
      </w:pPr>
    </w:p>
    <w:p w:rsidR="0025240E" w:rsidRDefault="007F2E11" w:rsidP="00F33038">
      <w:pPr>
        <w:spacing w:after="0" w:line="240" w:lineRule="auto"/>
        <w:rPr>
          <w:rFonts w:ascii="Arial" w:hAnsi="Arial" w:cs="Arial"/>
          <w:b/>
          <w:i/>
          <w:sz w:val="20"/>
        </w:rPr>
      </w:pPr>
      <w:r w:rsidRPr="00F33038">
        <w:rPr>
          <w:rFonts w:ascii="Arial" w:hAnsi="Arial" w:cs="Arial"/>
          <w:sz w:val="18"/>
        </w:rPr>
        <w:t>The following chart contains examples of allowable and unallowable expenses for Title I, II and IV. This is not an exhaustive list and questions or concerns can be directed to the Maine Department of Education.</w:t>
      </w:r>
      <w:r w:rsidR="00941E9B">
        <w:rPr>
          <w:rFonts w:ascii="Arial" w:hAnsi="Arial" w:cs="Arial"/>
          <w:sz w:val="20"/>
        </w:rPr>
        <w:br/>
      </w:r>
    </w:p>
    <w:p w:rsidR="00F33038" w:rsidRDefault="00F33038" w:rsidP="00F33038">
      <w:pPr>
        <w:spacing w:after="0" w:line="240" w:lineRule="auto"/>
        <w:rPr>
          <w:rFonts w:ascii="Arial" w:hAnsi="Arial" w:cs="Arial"/>
          <w:b/>
          <w:i/>
          <w:sz w:val="20"/>
        </w:rPr>
      </w:pPr>
    </w:p>
    <w:p w:rsidR="00F33038" w:rsidRDefault="00F33038" w:rsidP="00F33038">
      <w:pPr>
        <w:spacing w:after="0" w:line="240" w:lineRule="auto"/>
        <w:rPr>
          <w:rFonts w:ascii="Arial" w:hAnsi="Arial" w:cs="Arial"/>
          <w:b/>
          <w:i/>
          <w:sz w:val="20"/>
        </w:rPr>
      </w:pPr>
    </w:p>
    <w:p w:rsidR="00F33038" w:rsidRDefault="00F33038" w:rsidP="00F33038">
      <w:pPr>
        <w:spacing w:after="0" w:line="240" w:lineRule="auto"/>
        <w:rPr>
          <w:rFonts w:ascii="Arial" w:hAnsi="Arial" w:cs="Arial"/>
          <w:b/>
          <w:i/>
          <w:sz w:val="20"/>
        </w:rPr>
      </w:pPr>
    </w:p>
    <w:p w:rsidR="00F33038" w:rsidRDefault="00F33038" w:rsidP="00F33038">
      <w:pPr>
        <w:spacing w:after="0" w:line="240" w:lineRule="auto"/>
        <w:rPr>
          <w:rFonts w:ascii="Arial" w:hAnsi="Arial" w:cs="Arial"/>
          <w:b/>
          <w:i/>
          <w:sz w:val="20"/>
        </w:rPr>
      </w:pPr>
    </w:p>
    <w:p w:rsidR="00F33038" w:rsidRDefault="00F33038" w:rsidP="00F33038">
      <w:pPr>
        <w:spacing w:after="0" w:line="240" w:lineRule="auto"/>
        <w:rPr>
          <w:rFonts w:ascii="Arial" w:hAnsi="Arial" w:cs="Arial"/>
          <w:b/>
          <w:i/>
          <w:sz w:val="20"/>
        </w:rPr>
      </w:pPr>
    </w:p>
    <w:p w:rsidR="00F33038" w:rsidRPr="00F33038" w:rsidRDefault="00F33038" w:rsidP="00F33038">
      <w:pPr>
        <w:spacing w:after="0" w:line="240" w:lineRule="auto"/>
        <w:rPr>
          <w:rFonts w:ascii="Arial" w:hAnsi="Arial" w:cs="Arial"/>
          <w:b/>
          <w:i/>
          <w:sz w:val="20"/>
        </w:rPr>
      </w:pPr>
    </w:p>
    <w:p w:rsidR="00F321DB" w:rsidRDefault="007F2E11" w:rsidP="00F321DB">
      <w:r>
        <w:rPr>
          <w:rFonts w:ascii="Arial" w:hAnsi="Arial" w:cs="Arial"/>
          <w:b/>
          <w:i/>
          <w:sz w:val="20"/>
        </w:rPr>
        <w:lastRenderedPageBreak/>
        <w:t>Title I, Part A</w:t>
      </w:r>
      <w:r w:rsidR="00F321DB">
        <w:rPr>
          <w:rFonts w:ascii="Arial" w:hAnsi="Arial" w:cs="Arial"/>
          <w:b/>
          <w:i/>
          <w:sz w:val="20"/>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F321DB" w:rsidTr="00472E51">
        <w:trPr>
          <w:jc w:val="center"/>
        </w:trPr>
        <w:tc>
          <w:tcPr>
            <w:tcW w:w="4860" w:type="dxa"/>
            <w:shd w:val="clear" w:color="auto" w:fill="D9D9D9" w:themeFill="background1" w:themeFillShade="D9"/>
          </w:tcPr>
          <w:p w:rsidR="00F321DB" w:rsidRPr="00DA52D8" w:rsidRDefault="00F321DB" w:rsidP="00472E51">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rsidR="00F321DB" w:rsidRPr="00DA52D8" w:rsidRDefault="00F321DB" w:rsidP="00472E51">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F321DB" w:rsidTr="00472E51">
        <w:trPr>
          <w:jc w:val="center"/>
        </w:trPr>
        <w:tc>
          <w:tcPr>
            <w:tcW w:w="4860" w:type="dxa"/>
          </w:tcPr>
          <w:p w:rsidR="00F33038" w:rsidRDefault="00F33038" w:rsidP="00F33038">
            <w:pPr>
              <w:pStyle w:val="ListParagraph"/>
              <w:numPr>
                <w:ilvl w:val="0"/>
                <w:numId w:val="1"/>
              </w:numPr>
              <w:rPr>
                <w:rFonts w:ascii="Arial" w:hAnsi="Arial" w:cs="Arial"/>
                <w:sz w:val="18"/>
              </w:rPr>
            </w:pPr>
            <w:r w:rsidRPr="00F33038">
              <w:rPr>
                <w:rFonts w:ascii="Arial" w:hAnsi="Arial" w:cs="Arial"/>
                <w:sz w:val="18"/>
              </w:rPr>
              <w:t>Salaries/Benefits for instructional services supplementing instruction for targeted students</w:t>
            </w:r>
          </w:p>
          <w:p w:rsidR="00F33038" w:rsidRDefault="00F33038" w:rsidP="00F33038">
            <w:pPr>
              <w:pStyle w:val="ListParagraph"/>
              <w:numPr>
                <w:ilvl w:val="0"/>
                <w:numId w:val="1"/>
              </w:numPr>
              <w:rPr>
                <w:rFonts w:ascii="Arial" w:hAnsi="Arial" w:cs="Arial"/>
                <w:sz w:val="18"/>
              </w:rPr>
            </w:pPr>
            <w:bookmarkStart w:id="0" w:name="_GoBack"/>
            <w:bookmarkEnd w:id="0"/>
            <w:r w:rsidRPr="00F33038">
              <w:rPr>
                <w:rFonts w:ascii="Arial" w:hAnsi="Arial" w:cs="Arial"/>
                <w:sz w:val="18"/>
              </w:rPr>
              <w:t>Professional development costs for teachers who work with targeted students</w:t>
            </w:r>
          </w:p>
          <w:p w:rsidR="00F33038" w:rsidRDefault="00F33038" w:rsidP="00F33038">
            <w:pPr>
              <w:pStyle w:val="ListParagraph"/>
              <w:numPr>
                <w:ilvl w:val="0"/>
                <w:numId w:val="1"/>
              </w:numPr>
              <w:rPr>
                <w:rFonts w:ascii="Arial" w:hAnsi="Arial" w:cs="Arial"/>
                <w:sz w:val="18"/>
              </w:rPr>
            </w:pPr>
            <w:r w:rsidRPr="00F33038">
              <w:rPr>
                <w:rFonts w:ascii="Arial" w:hAnsi="Arial" w:cs="Arial"/>
                <w:sz w:val="18"/>
              </w:rPr>
              <w:t>Supplies and materials needed to aid the Title I teacher in the instruction of targeted and identified students</w:t>
            </w:r>
          </w:p>
          <w:p w:rsidR="00F33038" w:rsidRDefault="00F33038" w:rsidP="00F33038">
            <w:pPr>
              <w:pStyle w:val="ListParagraph"/>
              <w:numPr>
                <w:ilvl w:val="0"/>
                <w:numId w:val="1"/>
              </w:numPr>
              <w:rPr>
                <w:rFonts w:ascii="Arial" w:hAnsi="Arial" w:cs="Arial"/>
                <w:sz w:val="18"/>
              </w:rPr>
            </w:pPr>
            <w:r w:rsidRPr="00F33038">
              <w:rPr>
                <w:rFonts w:ascii="Arial" w:hAnsi="Arial" w:cs="Arial"/>
                <w:sz w:val="18"/>
              </w:rPr>
              <w:t>Equipment used for direct instruction of students that have been targeted and identified for Title I services</w:t>
            </w:r>
          </w:p>
          <w:p w:rsidR="00F33038" w:rsidRDefault="00F33038" w:rsidP="00F33038">
            <w:pPr>
              <w:pStyle w:val="ListParagraph"/>
              <w:numPr>
                <w:ilvl w:val="0"/>
                <w:numId w:val="1"/>
              </w:numPr>
              <w:rPr>
                <w:rFonts w:ascii="Arial" w:hAnsi="Arial" w:cs="Arial"/>
                <w:sz w:val="18"/>
              </w:rPr>
            </w:pPr>
            <w:r w:rsidRPr="00F33038">
              <w:rPr>
                <w:rFonts w:ascii="Arial" w:hAnsi="Arial" w:cs="Arial"/>
                <w:sz w:val="18"/>
              </w:rPr>
              <w:t>Costs to bring in educational speakers during the parent and family engagement meetings for parents of targeted and identified students</w:t>
            </w:r>
          </w:p>
          <w:p w:rsidR="00F33038" w:rsidRPr="00F321DB" w:rsidRDefault="00F33038" w:rsidP="00F33038">
            <w:pPr>
              <w:pStyle w:val="ListParagraph"/>
              <w:numPr>
                <w:ilvl w:val="0"/>
                <w:numId w:val="1"/>
              </w:numPr>
              <w:rPr>
                <w:rFonts w:ascii="Arial" w:hAnsi="Arial" w:cs="Arial"/>
                <w:sz w:val="18"/>
              </w:rPr>
            </w:pPr>
            <w:r w:rsidRPr="00F33038">
              <w:rPr>
                <w:rFonts w:ascii="Arial" w:hAnsi="Arial" w:cs="Arial"/>
                <w:sz w:val="18"/>
              </w:rPr>
              <w:t>Costs for supplies, materials, and light refreshments to put on parent and family meetings</w:t>
            </w:r>
          </w:p>
        </w:tc>
        <w:tc>
          <w:tcPr>
            <w:tcW w:w="4590" w:type="dxa"/>
          </w:tcPr>
          <w:p w:rsidR="00B904C6"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Salaries for regular classroom teachers or paraprofessional as the sole Title I instructional provider for targeted students</w:t>
            </w:r>
          </w:p>
          <w:p w:rsidR="00F33038"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Professional development solely based on ideological concepts and agenda</w:t>
            </w:r>
          </w:p>
          <w:p w:rsidR="00F33038"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General instructional materials used for all students</w:t>
            </w:r>
          </w:p>
          <w:p w:rsidR="00F33038"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Equipment used in general education classrooms</w:t>
            </w:r>
          </w:p>
          <w:p w:rsidR="00F33038"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Costs for food to cater parent and family engagement meetings</w:t>
            </w:r>
          </w:p>
          <w:p w:rsidR="00D97818" w:rsidRPr="00D97818" w:rsidRDefault="00D97818" w:rsidP="00D97818">
            <w:pPr>
              <w:pStyle w:val="ListParagraph"/>
              <w:numPr>
                <w:ilvl w:val="0"/>
                <w:numId w:val="2"/>
              </w:numPr>
              <w:rPr>
                <w:rFonts w:ascii="Arial" w:hAnsi="Arial" w:cs="Arial"/>
                <w:sz w:val="18"/>
                <w:szCs w:val="18"/>
                <w:highlight w:val="yellow"/>
              </w:rPr>
            </w:pPr>
            <w:r w:rsidRPr="00D97818">
              <w:rPr>
                <w:rFonts w:ascii="Arial" w:hAnsi="Arial" w:cs="Arial"/>
                <w:sz w:val="18"/>
                <w:szCs w:val="18"/>
                <w:highlight w:val="yellow"/>
              </w:rPr>
              <w:t>Incentives, prizes, and gift cards</w:t>
            </w:r>
          </w:p>
          <w:p w:rsidR="00D97818" w:rsidRPr="00D97818" w:rsidRDefault="00D97818" w:rsidP="00D97818">
            <w:pPr>
              <w:pStyle w:val="ListParagraph"/>
              <w:numPr>
                <w:ilvl w:val="0"/>
                <w:numId w:val="2"/>
              </w:numPr>
              <w:rPr>
                <w:rFonts w:ascii="Arial" w:hAnsi="Arial" w:cs="Arial"/>
                <w:sz w:val="18"/>
                <w:szCs w:val="18"/>
                <w:highlight w:val="yellow"/>
              </w:rPr>
            </w:pPr>
            <w:r w:rsidRPr="00D97818">
              <w:rPr>
                <w:rFonts w:ascii="Arial" w:hAnsi="Arial" w:cs="Arial"/>
                <w:sz w:val="18"/>
                <w:szCs w:val="18"/>
                <w:highlight w:val="yellow"/>
              </w:rPr>
              <w:t>Non-educational games and social events</w:t>
            </w:r>
          </w:p>
          <w:p w:rsidR="00D97818" w:rsidRPr="00D97818" w:rsidRDefault="00D97818" w:rsidP="00D97818">
            <w:pPr>
              <w:pStyle w:val="ListParagraph"/>
              <w:numPr>
                <w:ilvl w:val="0"/>
                <w:numId w:val="2"/>
              </w:numPr>
              <w:rPr>
                <w:rFonts w:ascii="Arial" w:hAnsi="Arial" w:cs="Arial"/>
                <w:sz w:val="18"/>
                <w:szCs w:val="18"/>
                <w:highlight w:val="yellow"/>
              </w:rPr>
            </w:pPr>
            <w:r w:rsidRPr="00D97818">
              <w:rPr>
                <w:rFonts w:ascii="Arial" w:hAnsi="Arial" w:cs="Arial"/>
                <w:sz w:val="18"/>
                <w:szCs w:val="18"/>
                <w:highlight w:val="yellow"/>
              </w:rPr>
              <w:t>Direct reimbursements to non-public and private schools</w:t>
            </w:r>
          </w:p>
          <w:p w:rsidR="00646151" w:rsidRPr="00DA52D8" w:rsidRDefault="00646151" w:rsidP="00D97818">
            <w:pPr>
              <w:pStyle w:val="ListParagraph"/>
              <w:rPr>
                <w:rFonts w:ascii="Arial" w:hAnsi="Arial" w:cs="Arial"/>
                <w:sz w:val="18"/>
                <w:szCs w:val="18"/>
              </w:rPr>
            </w:pPr>
          </w:p>
        </w:tc>
      </w:tr>
    </w:tbl>
    <w:p w:rsidR="00D126E8" w:rsidRDefault="00D126E8" w:rsidP="0025240E">
      <w:pPr>
        <w:spacing w:after="0" w:line="240" w:lineRule="auto"/>
        <w:rPr>
          <w:rFonts w:ascii="Arial" w:hAnsi="Arial" w:cs="Arial"/>
          <w:b/>
          <w:i/>
          <w:sz w:val="20"/>
        </w:rPr>
      </w:pPr>
    </w:p>
    <w:p w:rsidR="0025240E" w:rsidRDefault="007F2E11" w:rsidP="0025240E">
      <w:pPr>
        <w:spacing w:after="0" w:line="240" w:lineRule="auto"/>
        <w:rPr>
          <w:rFonts w:ascii="Arial" w:hAnsi="Arial" w:cs="Arial"/>
          <w:b/>
          <w:sz w:val="24"/>
        </w:rPr>
      </w:pPr>
      <w:r>
        <w:rPr>
          <w:rFonts w:ascii="Arial" w:hAnsi="Arial" w:cs="Arial"/>
          <w:b/>
          <w:i/>
          <w:sz w:val="20"/>
        </w:rPr>
        <w:t>Title II, Part A</w:t>
      </w:r>
      <w:r w:rsidR="0025240E">
        <w:rPr>
          <w:rFonts w:ascii="Arial" w:hAnsi="Arial" w:cs="Arial"/>
          <w:b/>
          <w:i/>
          <w:sz w:val="20"/>
        </w:rPr>
        <w:t>:</w:t>
      </w:r>
      <w:r w:rsidR="0025240E">
        <w:rPr>
          <w:rFonts w:ascii="Arial" w:hAnsi="Arial" w:cs="Arial"/>
          <w:b/>
          <w:i/>
          <w:sz w:val="20"/>
        </w:rPr>
        <w:br/>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25240E" w:rsidTr="00DA52D8">
        <w:trPr>
          <w:jc w:val="center"/>
        </w:trPr>
        <w:tc>
          <w:tcPr>
            <w:tcW w:w="4860" w:type="dxa"/>
            <w:shd w:val="clear" w:color="auto" w:fill="D9D9D9" w:themeFill="background1" w:themeFillShade="D9"/>
          </w:tcPr>
          <w:p w:rsidR="0025240E"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rsidR="0025240E"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DA52D8" w:rsidTr="00DA52D8">
        <w:trPr>
          <w:jc w:val="center"/>
        </w:trPr>
        <w:tc>
          <w:tcPr>
            <w:tcW w:w="4860" w:type="dxa"/>
          </w:tcPr>
          <w:p w:rsidR="00F321DB" w:rsidRDefault="00F33038" w:rsidP="00F33038">
            <w:pPr>
              <w:pStyle w:val="ListParagraph"/>
              <w:numPr>
                <w:ilvl w:val="0"/>
                <w:numId w:val="1"/>
              </w:numPr>
              <w:rPr>
                <w:rFonts w:ascii="Arial" w:hAnsi="Arial" w:cs="Arial"/>
                <w:sz w:val="18"/>
              </w:rPr>
            </w:pPr>
            <w:r w:rsidRPr="00F33038">
              <w:rPr>
                <w:rFonts w:ascii="Arial" w:hAnsi="Arial" w:cs="Arial"/>
                <w:sz w:val="18"/>
              </w:rPr>
              <w:t>Stipends for teachers to attend workshops held outside of the normal school day</w:t>
            </w:r>
          </w:p>
          <w:p w:rsidR="00F33038" w:rsidRDefault="00F33038" w:rsidP="00F33038">
            <w:pPr>
              <w:pStyle w:val="ListParagraph"/>
              <w:numPr>
                <w:ilvl w:val="0"/>
                <w:numId w:val="1"/>
              </w:numPr>
              <w:rPr>
                <w:rFonts w:ascii="Arial" w:hAnsi="Arial" w:cs="Arial"/>
                <w:sz w:val="18"/>
              </w:rPr>
            </w:pPr>
            <w:r w:rsidRPr="00F33038">
              <w:rPr>
                <w:rFonts w:ascii="Arial" w:hAnsi="Arial" w:cs="Arial"/>
                <w:sz w:val="18"/>
              </w:rPr>
              <w:t>Professional development to meet the spec</w:t>
            </w:r>
            <w:r>
              <w:rPr>
                <w:rFonts w:ascii="Arial" w:hAnsi="Arial" w:cs="Arial"/>
                <w:sz w:val="18"/>
              </w:rPr>
              <w:t>ific needs of students enrolled</w:t>
            </w:r>
          </w:p>
          <w:p w:rsidR="00F33038" w:rsidRPr="00FB6A1D" w:rsidRDefault="00F33038" w:rsidP="00F33038">
            <w:pPr>
              <w:pStyle w:val="ListParagraph"/>
              <w:numPr>
                <w:ilvl w:val="0"/>
                <w:numId w:val="1"/>
              </w:numPr>
              <w:rPr>
                <w:rFonts w:ascii="Arial" w:hAnsi="Arial" w:cs="Arial"/>
                <w:sz w:val="18"/>
              </w:rPr>
            </w:pPr>
            <w:r w:rsidRPr="00F33038">
              <w:rPr>
                <w:rFonts w:ascii="Arial" w:hAnsi="Arial" w:cs="Arial"/>
                <w:sz w:val="18"/>
              </w:rPr>
              <w:t>Supplies and materials to be used strictly for professional development, such as books</w:t>
            </w:r>
          </w:p>
        </w:tc>
        <w:tc>
          <w:tcPr>
            <w:tcW w:w="4590" w:type="dxa"/>
          </w:tcPr>
          <w:p w:rsidR="00F321DB"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Class size reduction teachers</w:t>
            </w:r>
          </w:p>
          <w:p w:rsidR="00F33038"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Professional development solely based on ideological concepts and agenda</w:t>
            </w:r>
          </w:p>
          <w:p w:rsidR="00F33038"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Instructional materials used for students</w:t>
            </w:r>
          </w:p>
          <w:p w:rsidR="00F33038" w:rsidRDefault="00F33038" w:rsidP="00F33038">
            <w:pPr>
              <w:pStyle w:val="ListParagraph"/>
              <w:numPr>
                <w:ilvl w:val="0"/>
                <w:numId w:val="2"/>
              </w:numPr>
              <w:rPr>
                <w:rFonts w:ascii="Arial" w:hAnsi="Arial" w:cs="Arial"/>
                <w:sz w:val="18"/>
                <w:szCs w:val="18"/>
              </w:rPr>
            </w:pPr>
            <w:r w:rsidRPr="00F33038">
              <w:rPr>
                <w:rFonts w:ascii="Arial" w:hAnsi="Arial" w:cs="Arial"/>
                <w:sz w:val="18"/>
                <w:szCs w:val="18"/>
              </w:rPr>
              <w:t>Equipment used in general education classrooms</w:t>
            </w:r>
          </w:p>
          <w:p w:rsidR="00D97818" w:rsidRPr="00D97818" w:rsidRDefault="00D97818" w:rsidP="00D97818">
            <w:pPr>
              <w:pStyle w:val="ListParagraph"/>
              <w:numPr>
                <w:ilvl w:val="0"/>
                <w:numId w:val="2"/>
              </w:numPr>
              <w:rPr>
                <w:rFonts w:ascii="Arial" w:hAnsi="Arial" w:cs="Arial"/>
                <w:sz w:val="18"/>
                <w:szCs w:val="18"/>
                <w:highlight w:val="yellow"/>
              </w:rPr>
            </w:pPr>
            <w:r w:rsidRPr="00D97818">
              <w:rPr>
                <w:rFonts w:ascii="Arial" w:hAnsi="Arial" w:cs="Arial"/>
                <w:sz w:val="18"/>
                <w:szCs w:val="18"/>
                <w:highlight w:val="yellow"/>
              </w:rPr>
              <w:t>Incentives, prizes, and gift cards</w:t>
            </w:r>
          </w:p>
          <w:p w:rsidR="00D97818" w:rsidRPr="00D97818" w:rsidRDefault="00D97818" w:rsidP="00D97818">
            <w:pPr>
              <w:pStyle w:val="ListParagraph"/>
              <w:numPr>
                <w:ilvl w:val="0"/>
                <w:numId w:val="2"/>
              </w:numPr>
              <w:rPr>
                <w:rFonts w:ascii="Arial" w:hAnsi="Arial" w:cs="Arial"/>
                <w:sz w:val="18"/>
                <w:szCs w:val="18"/>
                <w:highlight w:val="yellow"/>
              </w:rPr>
            </w:pPr>
            <w:r w:rsidRPr="00D97818">
              <w:rPr>
                <w:rFonts w:ascii="Arial" w:hAnsi="Arial" w:cs="Arial"/>
                <w:sz w:val="18"/>
                <w:szCs w:val="18"/>
                <w:highlight w:val="yellow"/>
              </w:rPr>
              <w:t>Non-educational games and social events</w:t>
            </w:r>
          </w:p>
          <w:p w:rsidR="00646151" w:rsidRPr="00DA52D8" w:rsidRDefault="00646151" w:rsidP="00D97818">
            <w:pPr>
              <w:pStyle w:val="ListParagraph"/>
              <w:numPr>
                <w:ilvl w:val="0"/>
                <w:numId w:val="2"/>
              </w:numPr>
              <w:rPr>
                <w:rFonts w:ascii="Arial" w:hAnsi="Arial" w:cs="Arial"/>
                <w:sz w:val="18"/>
                <w:szCs w:val="18"/>
              </w:rPr>
            </w:pPr>
            <w:r w:rsidRPr="00D97818">
              <w:rPr>
                <w:rFonts w:ascii="Arial" w:hAnsi="Arial" w:cs="Arial"/>
                <w:sz w:val="18"/>
                <w:szCs w:val="18"/>
                <w:highlight w:val="yellow"/>
              </w:rPr>
              <w:t>Direct reimbursements to non-public and private schools</w:t>
            </w:r>
          </w:p>
        </w:tc>
      </w:tr>
    </w:tbl>
    <w:p w:rsidR="00F321DB" w:rsidRDefault="00F321DB" w:rsidP="00F321DB">
      <w:r>
        <w:rPr>
          <w:rFonts w:ascii="Arial" w:hAnsi="Arial" w:cs="Arial"/>
          <w:b/>
          <w:i/>
          <w:sz w:val="20"/>
        </w:rPr>
        <w:br/>
      </w:r>
      <w:r w:rsidR="007F2E11">
        <w:rPr>
          <w:rFonts w:ascii="Arial" w:hAnsi="Arial" w:cs="Arial"/>
          <w:b/>
          <w:i/>
          <w:sz w:val="20"/>
        </w:rPr>
        <w:t>Title III</w:t>
      </w:r>
      <w:r>
        <w:rPr>
          <w:rFonts w:ascii="Arial" w:hAnsi="Arial" w:cs="Arial"/>
          <w:b/>
          <w:i/>
          <w:sz w:val="20"/>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F321DB" w:rsidTr="00472E51">
        <w:trPr>
          <w:jc w:val="center"/>
        </w:trPr>
        <w:tc>
          <w:tcPr>
            <w:tcW w:w="4860" w:type="dxa"/>
            <w:shd w:val="clear" w:color="auto" w:fill="D9D9D9" w:themeFill="background1" w:themeFillShade="D9"/>
          </w:tcPr>
          <w:p w:rsidR="00F321DB" w:rsidRPr="00DA52D8" w:rsidRDefault="00F321DB" w:rsidP="00472E51">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rsidR="00F321DB" w:rsidRPr="00DA52D8" w:rsidRDefault="00F321DB" w:rsidP="00472E51">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F321DB" w:rsidTr="00472E51">
        <w:trPr>
          <w:jc w:val="center"/>
        </w:trPr>
        <w:tc>
          <w:tcPr>
            <w:tcW w:w="4860" w:type="dxa"/>
          </w:tcPr>
          <w:p w:rsidR="00F321DB" w:rsidRPr="00F321DB" w:rsidRDefault="00F33038" w:rsidP="00F321DB">
            <w:pPr>
              <w:pStyle w:val="ListParagraph"/>
              <w:numPr>
                <w:ilvl w:val="0"/>
                <w:numId w:val="1"/>
              </w:numPr>
              <w:rPr>
                <w:rFonts w:ascii="Arial" w:hAnsi="Arial" w:cs="Arial"/>
                <w:b/>
                <w:i/>
                <w:sz w:val="24"/>
              </w:rPr>
            </w:pPr>
            <w:r>
              <w:rPr>
                <w:rFonts w:ascii="Arial" w:hAnsi="Arial" w:cs="Arial"/>
                <w:sz w:val="18"/>
              </w:rPr>
              <w:t>TBD</w:t>
            </w:r>
          </w:p>
          <w:p w:rsidR="00F321DB" w:rsidRPr="00F321DB" w:rsidRDefault="00F321DB" w:rsidP="00F321DB">
            <w:pPr>
              <w:pStyle w:val="ListParagraph"/>
              <w:numPr>
                <w:ilvl w:val="0"/>
                <w:numId w:val="1"/>
              </w:numPr>
              <w:rPr>
                <w:rFonts w:ascii="Arial" w:hAnsi="Arial" w:cs="Arial"/>
                <w:sz w:val="24"/>
              </w:rPr>
            </w:pPr>
          </w:p>
        </w:tc>
        <w:tc>
          <w:tcPr>
            <w:tcW w:w="4590" w:type="dxa"/>
          </w:tcPr>
          <w:p w:rsidR="00F321DB" w:rsidRDefault="00F33038" w:rsidP="00F321DB">
            <w:pPr>
              <w:pStyle w:val="ListParagraph"/>
              <w:numPr>
                <w:ilvl w:val="0"/>
                <w:numId w:val="2"/>
              </w:numPr>
              <w:rPr>
                <w:rFonts w:ascii="Arial" w:hAnsi="Arial" w:cs="Arial"/>
                <w:sz w:val="18"/>
                <w:szCs w:val="18"/>
              </w:rPr>
            </w:pPr>
            <w:r>
              <w:rPr>
                <w:rFonts w:ascii="Arial" w:hAnsi="Arial" w:cs="Arial"/>
                <w:sz w:val="18"/>
                <w:szCs w:val="18"/>
              </w:rPr>
              <w:t>TBD</w:t>
            </w:r>
          </w:p>
          <w:p w:rsidR="00D97818" w:rsidRPr="00D97818" w:rsidRDefault="00D97818" w:rsidP="00D97818">
            <w:pPr>
              <w:pStyle w:val="ListParagraph"/>
              <w:numPr>
                <w:ilvl w:val="0"/>
                <w:numId w:val="2"/>
              </w:numPr>
              <w:rPr>
                <w:rFonts w:ascii="Arial" w:hAnsi="Arial" w:cs="Arial"/>
                <w:sz w:val="18"/>
                <w:szCs w:val="18"/>
                <w:highlight w:val="yellow"/>
              </w:rPr>
            </w:pPr>
            <w:r w:rsidRPr="00D97818">
              <w:rPr>
                <w:rFonts w:ascii="Arial" w:hAnsi="Arial" w:cs="Arial"/>
                <w:sz w:val="18"/>
                <w:szCs w:val="18"/>
                <w:highlight w:val="yellow"/>
              </w:rPr>
              <w:t>Incentives, prizes, and gift cards</w:t>
            </w:r>
          </w:p>
          <w:p w:rsidR="00D97818" w:rsidRPr="00D97818" w:rsidRDefault="00D97818" w:rsidP="00D97818">
            <w:pPr>
              <w:pStyle w:val="ListParagraph"/>
              <w:numPr>
                <w:ilvl w:val="0"/>
                <w:numId w:val="2"/>
              </w:numPr>
              <w:rPr>
                <w:rFonts w:ascii="Arial" w:hAnsi="Arial" w:cs="Arial"/>
                <w:sz w:val="18"/>
                <w:szCs w:val="18"/>
                <w:highlight w:val="yellow"/>
              </w:rPr>
            </w:pPr>
            <w:r w:rsidRPr="00D97818">
              <w:rPr>
                <w:rFonts w:ascii="Arial" w:hAnsi="Arial" w:cs="Arial"/>
                <w:sz w:val="18"/>
                <w:szCs w:val="18"/>
                <w:highlight w:val="yellow"/>
              </w:rPr>
              <w:t>Non-educational games and social events</w:t>
            </w:r>
          </w:p>
          <w:p w:rsidR="00F33038" w:rsidRPr="00F321DB" w:rsidRDefault="00646151" w:rsidP="00D97818">
            <w:pPr>
              <w:pStyle w:val="ListParagraph"/>
              <w:numPr>
                <w:ilvl w:val="0"/>
                <w:numId w:val="2"/>
              </w:numPr>
              <w:rPr>
                <w:rFonts w:ascii="Arial" w:hAnsi="Arial" w:cs="Arial"/>
                <w:sz w:val="18"/>
                <w:szCs w:val="18"/>
              </w:rPr>
            </w:pPr>
            <w:r w:rsidRPr="00D97818">
              <w:rPr>
                <w:rFonts w:ascii="Arial" w:hAnsi="Arial" w:cs="Arial"/>
                <w:sz w:val="18"/>
                <w:szCs w:val="18"/>
                <w:highlight w:val="yellow"/>
              </w:rPr>
              <w:t>Direct reimbursements to non-public and private schools</w:t>
            </w:r>
          </w:p>
        </w:tc>
      </w:tr>
    </w:tbl>
    <w:p w:rsidR="0025240E" w:rsidRDefault="0025240E" w:rsidP="00F321DB">
      <w:r>
        <w:rPr>
          <w:rFonts w:ascii="Arial" w:hAnsi="Arial" w:cs="Arial"/>
          <w:b/>
          <w:i/>
          <w:sz w:val="20"/>
        </w:rPr>
        <w:br/>
      </w:r>
      <w:r w:rsidR="007F2E11">
        <w:rPr>
          <w:rFonts w:ascii="Arial" w:hAnsi="Arial" w:cs="Arial"/>
          <w:b/>
          <w:i/>
          <w:sz w:val="20"/>
        </w:rPr>
        <w:t>Title IV, Part A</w:t>
      </w:r>
      <w:r>
        <w:rPr>
          <w:rFonts w:ascii="Arial" w:hAnsi="Arial" w:cs="Arial"/>
          <w:b/>
          <w:i/>
          <w:sz w:val="20"/>
        </w:rPr>
        <w:t>:</w:t>
      </w:r>
    </w:p>
    <w:tbl>
      <w:tblPr>
        <w:tblStyle w:val="TableGrid"/>
        <w:tblW w:w="0" w:type="auto"/>
        <w:jc w:val="center"/>
        <w:tblCellMar>
          <w:top w:w="72" w:type="dxa"/>
          <w:left w:w="72" w:type="dxa"/>
          <w:bottom w:w="72" w:type="dxa"/>
          <w:right w:w="72" w:type="dxa"/>
        </w:tblCellMar>
        <w:tblLook w:val="04A0" w:firstRow="1" w:lastRow="0" w:firstColumn="1" w:lastColumn="0" w:noHBand="0" w:noVBand="1"/>
      </w:tblPr>
      <w:tblGrid>
        <w:gridCol w:w="4860"/>
        <w:gridCol w:w="4590"/>
      </w:tblGrid>
      <w:tr w:rsidR="00DA52D8" w:rsidTr="00DA52D8">
        <w:trPr>
          <w:jc w:val="center"/>
        </w:trPr>
        <w:tc>
          <w:tcPr>
            <w:tcW w:w="4860" w:type="dxa"/>
            <w:shd w:val="clear" w:color="auto" w:fill="D9D9D9" w:themeFill="background1" w:themeFillShade="D9"/>
          </w:tcPr>
          <w:p w:rsidR="00DA52D8"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Allowable Uses of Grant Funds</w:t>
            </w:r>
          </w:p>
        </w:tc>
        <w:tc>
          <w:tcPr>
            <w:tcW w:w="4590" w:type="dxa"/>
            <w:shd w:val="clear" w:color="auto" w:fill="D9D9D9" w:themeFill="background1" w:themeFillShade="D9"/>
          </w:tcPr>
          <w:p w:rsidR="00DA52D8" w:rsidRPr="00DA52D8" w:rsidRDefault="00DA52D8" w:rsidP="00DA52D8">
            <w:pPr>
              <w:jc w:val="center"/>
              <w:rPr>
                <w:rFonts w:ascii="Arial Rounded MT Bold" w:hAnsi="Arial Rounded MT Bold" w:cs="Arial"/>
                <w:sz w:val="20"/>
              </w:rPr>
            </w:pPr>
            <w:r w:rsidRPr="00DA52D8">
              <w:rPr>
                <w:rFonts w:ascii="Arial Rounded MT Bold" w:hAnsi="Arial Rounded MT Bold" w:cs="Arial"/>
                <w:sz w:val="20"/>
              </w:rPr>
              <w:t>Unallowable Uses of Grant Funds</w:t>
            </w:r>
          </w:p>
        </w:tc>
      </w:tr>
      <w:tr w:rsidR="008E2CFD" w:rsidTr="00DA52D8">
        <w:trPr>
          <w:jc w:val="center"/>
        </w:trPr>
        <w:tc>
          <w:tcPr>
            <w:tcW w:w="4860" w:type="dxa"/>
          </w:tcPr>
          <w:p w:rsidR="00F321DB" w:rsidRPr="00F33038" w:rsidRDefault="00F33038" w:rsidP="00F33038">
            <w:pPr>
              <w:pStyle w:val="ListParagraph"/>
              <w:numPr>
                <w:ilvl w:val="0"/>
                <w:numId w:val="1"/>
              </w:numPr>
              <w:rPr>
                <w:rFonts w:ascii="Arial" w:hAnsi="Arial" w:cs="Arial"/>
                <w:b/>
                <w:i/>
                <w:sz w:val="24"/>
              </w:rPr>
            </w:pPr>
            <w:r w:rsidRPr="00F33038">
              <w:rPr>
                <w:rFonts w:ascii="Arial" w:hAnsi="Arial" w:cs="Arial"/>
                <w:sz w:val="18"/>
                <w:szCs w:val="18"/>
              </w:rPr>
              <w:t>Provide programming to improve instruction and student engagement in science, technology, engineering and mathematics (STEM)</w:t>
            </w:r>
          </w:p>
          <w:p w:rsidR="00F33038" w:rsidRDefault="00F33038" w:rsidP="00F33038">
            <w:pPr>
              <w:pStyle w:val="ListParagraph"/>
              <w:numPr>
                <w:ilvl w:val="0"/>
                <w:numId w:val="1"/>
              </w:numPr>
              <w:rPr>
                <w:rFonts w:ascii="Arial" w:hAnsi="Arial" w:cs="Arial"/>
                <w:sz w:val="18"/>
                <w:szCs w:val="18"/>
              </w:rPr>
            </w:pPr>
            <w:r w:rsidRPr="00F33038">
              <w:rPr>
                <w:rFonts w:ascii="Arial" w:hAnsi="Arial" w:cs="Arial"/>
                <w:sz w:val="18"/>
                <w:szCs w:val="18"/>
              </w:rPr>
              <w:t>Support college and career counseling, including providing information on financial aid</w:t>
            </w:r>
          </w:p>
          <w:p w:rsidR="00F33038" w:rsidRDefault="00F33038" w:rsidP="00F33038">
            <w:pPr>
              <w:pStyle w:val="ListParagraph"/>
              <w:numPr>
                <w:ilvl w:val="0"/>
                <w:numId w:val="1"/>
              </w:numPr>
              <w:rPr>
                <w:rFonts w:ascii="Arial" w:hAnsi="Arial" w:cs="Arial"/>
                <w:sz w:val="18"/>
                <w:szCs w:val="18"/>
              </w:rPr>
            </w:pPr>
            <w:r w:rsidRPr="00F33038">
              <w:rPr>
                <w:rFonts w:ascii="Arial" w:hAnsi="Arial" w:cs="Arial"/>
                <w:sz w:val="18"/>
                <w:szCs w:val="18"/>
              </w:rPr>
              <w:t xml:space="preserve">AP </w:t>
            </w:r>
            <w:r>
              <w:rPr>
                <w:rFonts w:ascii="Arial" w:hAnsi="Arial" w:cs="Arial"/>
                <w:sz w:val="18"/>
                <w:szCs w:val="18"/>
              </w:rPr>
              <w:t>t</w:t>
            </w:r>
            <w:r w:rsidRPr="00F33038">
              <w:rPr>
                <w:rFonts w:ascii="Arial" w:hAnsi="Arial" w:cs="Arial"/>
                <w:sz w:val="18"/>
                <w:szCs w:val="18"/>
              </w:rPr>
              <w:t>esting</w:t>
            </w:r>
            <w:r>
              <w:rPr>
                <w:rFonts w:ascii="Arial" w:hAnsi="Arial" w:cs="Arial"/>
                <w:sz w:val="18"/>
                <w:szCs w:val="18"/>
              </w:rPr>
              <w:t xml:space="preserve"> exam fees</w:t>
            </w:r>
          </w:p>
          <w:p w:rsidR="00F33038" w:rsidRDefault="00F33038" w:rsidP="00F33038">
            <w:pPr>
              <w:pStyle w:val="ListParagraph"/>
              <w:numPr>
                <w:ilvl w:val="0"/>
                <w:numId w:val="1"/>
              </w:numPr>
              <w:rPr>
                <w:rFonts w:ascii="Arial" w:hAnsi="Arial" w:cs="Arial"/>
                <w:sz w:val="18"/>
                <w:szCs w:val="18"/>
              </w:rPr>
            </w:pPr>
            <w:r w:rsidRPr="00F33038">
              <w:rPr>
                <w:rFonts w:ascii="Arial" w:hAnsi="Arial" w:cs="Arial"/>
                <w:sz w:val="18"/>
                <w:szCs w:val="18"/>
              </w:rPr>
              <w:t>Relationship building skills</w:t>
            </w:r>
          </w:p>
          <w:p w:rsidR="00F33038" w:rsidRDefault="00F33038" w:rsidP="00F33038">
            <w:pPr>
              <w:pStyle w:val="ListParagraph"/>
              <w:numPr>
                <w:ilvl w:val="0"/>
                <w:numId w:val="1"/>
              </w:numPr>
              <w:rPr>
                <w:rFonts w:ascii="Arial" w:hAnsi="Arial" w:cs="Arial"/>
                <w:sz w:val="18"/>
                <w:szCs w:val="18"/>
              </w:rPr>
            </w:pPr>
            <w:r w:rsidRPr="00F33038">
              <w:rPr>
                <w:rFonts w:ascii="Arial" w:hAnsi="Arial" w:cs="Arial"/>
                <w:sz w:val="18"/>
                <w:szCs w:val="18"/>
              </w:rPr>
              <w:t>Dropout prevention</w:t>
            </w:r>
          </w:p>
          <w:p w:rsidR="00F33038" w:rsidRDefault="00F33038" w:rsidP="00F33038">
            <w:pPr>
              <w:pStyle w:val="ListParagraph"/>
              <w:numPr>
                <w:ilvl w:val="0"/>
                <w:numId w:val="1"/>
              </w:numPr>
              <w:rPr>
                <w:rFonts w:ascii="Arial" w:hAnsi="Arial" w:cs="Arial"/>
                <w:sz w:val="18"/>
                <w:szCs w:val="18"/>
              </w:rPr>
            </w:pPr>
            <w:r w:rsidRPr="00F33038">
              <w:rPr>
                <w:rFonts w:ascii="Arial" w:hAnsi="Arial" w:cs="Arial"/>
                <w:sz w:val="18"/>
                <w:szCs w:val="18"/>
              </w:rPr>
              <w:t>Deliver specialized or rigorous academic courses and curricula using technology, including digital learning technologies</w:t>
            </w:r>
          </w:p>
          <w:p w:rsidR="00F33038" w:rsidRPr="00F33038" w:rsidRDefault="00F33038" w:rsidP="00F33038">
            <w:pPr>
              <w:pStyle w:val="ListParagraph"/>
              <w:numPr>
                <w:ilvl w:val="0"/>
                <w:numId w:val="1"/>
              </w:numPr>
              <w:rPr>
                <w:rFonts w:ascii="Arial" w:hAnsi="Arial" w:cs="Arial"/>
                <w:sz w:val="18"/>
                <w:szCs w:val="18"/>
              </w:rPr>
            </w:pPr>
            <w:r w:rsidRPr="00F33038">
              <w:rPr>
                <w:rFonts w:ascii="Arial" w:hAnsi="Arial" w:cs="Arial"/>
                <w:sz w:val="18"/>
                <w:szCs w:val="18"/>
              </w:rPr>
              <w:t>Carry out innovative blended learning projects</w:t>
            </w:r>
          </w:p>
        </w:tc>
        <w:tc>
          <w:tcPr>
            <w:tcW w:w="4590" w:type="dxa"/>
          </w:tcPr>
          <w:p w:rsidR="00F33038" w:rsidRDefault="00F33038" w:rsidP="00D126E8">
            <w:pPr>
              <w:pStyle w:val="ListParagraph"/>
              <w:numPr>
                <w:ilvl w:val="0"/>
                <w:numId w:val="2"/>
              </w:numPr>
              <w:rPr>
                <w:rFonts w:ascii="Arial" w:hAnsi="Arial" w:cs="Arial"/>
                <w:sz w:val="18"/>
                <w:szCs w:val="18"/>
              </w:rPr>
            </w:pPr>
            <w:r>
              <w:rPr>
                <w:rFonts w:ascii="Arial" w:hAnsi="Arial" w:cs="Arial"/>
                <w:sz w:val="18"/>
                <w:szCs w:val="18"/>
              </w:rPr>
              <w:t>Incentives, prizes, and gift cards</w:t>
            </w:r>
          </w:p>
          <w:p w:rsidR="00D126E8" w:rsidRDefault="00F33038" w:rsidP="00D126E8">
            <w:pPr>
              <w:pStyle w:val="ListParagraph"/>
              <w:numPr>
                <w:ilvl w:val="0"/>
                <w:numId w:val="2"/>
              </w:numPr>
              <w:rPr>
                <w:rFonts w:ascii="Arial" w:hAnsi="Arial" w:cs="Arial"/>
                <w:sz w:val="18"/>
                <w:szCs w:val="18"/>
              </w:rPr>
            </w:pPr>
            <w:r>
              <w:rPr>
                <w:rFonts w:ascii="Arial" w:hAnsi="Arial" w:cs="Arial"/>
                <w:sz w:val="18"/>
                <w:szCs w:val="18"/>
              </w:rPr>
              <w:t>Non-educational games and social events</w:t>
            </w:r>
          </w:p>
          <w:p w:rsidR="00F33038" w:rsidRDefault="00F33038" w:rsidP="00D126E8">
            <w:pPr>
              <w:pStyle w:val="ListParagraph"/>
              <w:numPr>
                <w:ilvl w:val="0"/>
                <w:numId w:val="2"/>
              </w:numPr>
              <w:rPr>
                <w:rFonts w:ascii="Arial" w:hAnsi="Arial" w:cs="Arial"/>
                <w:sz w:val="18"/>
                <w:szCs w:val="18"/>
              </w:rPr>
            </w:pPr>
            <w:r>
              <w:rPr>
                <w:rFonts w:ascii="Arial" w:hAnsi="Arial" w:cs="Arial"/>
                <w:sz w:val="18"/>
                <w:szCs w:val="18"/>
              </w:rPr>
              <w:t>Major infrastructure enhancements</w:t>
            </w:r>
          </w:p>
          <w:p w:rsidR="00F33038" w:rsidRDefault="00F33038" w:rsidP="00D126E8">
            <w:pPr>
              <w:pStyle w:val="ListParagraph"/>
              <w:numPr>
                <w:ilvl w:val="0"/>
                <w:numId w:val="2"/>
              </w:numPr>
              <w:rPr>
                <w:rFonts w:ascii="Arial" w:hAnsi="Arial" w:cs="Arial"/>
                <w:sz w:val="18"/>
                <w:szCs w:val="18"/>
              </w:rPr>
            </w:pPr>
            <w:r>
              <w:rPr>
                <w:rFonts w:ascii="Arial" w:hAnsi="Arial" w:cs="Arial"/>
                <w:sz w:val="18"/>
                <w:szCs w:val="18"/>
              </w:rPr>
              <w:t>Technology purchases which exceed 15% of the non-public or private school’s technology project budget</w:t>
            </w:r>
          </w:p>
          <w:p w:rsidR="00D97818" w:rsidRDefault="00D97818" w:rsidP="00D97818">
            <w:pPr>
              <w:pStyle w:val="ListParagraph"/>
              <w:numPr>
                <w:ilvl w:val="0"/>
                <w:numId w:val="2"/>
              </w:numPr>
              <w:rPr>
                <w:rFonts w:ascii="Arial" w:hAnsi="Arial" w:cs="Arial"/>
                <w:sz w:val="18"/>
                <w:szCs w:val="18"/>
              </w:rPr>
            </w:pPr>
            <w:r>
              <w:rPr>
                <w:rFonts w:ascii="Arial" w:hAnsi="Arial" w:cs="Arial"/>
                <w:sz w:val="18"/>
                <w:szCs w:val="18"/>
              </w:rPr>
              <w:t>Direct reimbursements to non-public and private schools</w:t>
            </w:r>
          </w:p>
          <w:p w:rsidR="00D97818" w:rsidRDefault="00D97818" w:rsidP="00D97818">
            <w:pPr>
              <w:pStyle w:val="ListParagraph"/>
              <w:rPr>
                <w:rFonts w:ascii="Arial" w:hAnsi="Arial" w:cs="Arial"/>
                <w:sz w:val="18"/>
                <w:szCs w:val="18"/>
              </w:rPr>
            </w:pPr>
          </w:p>
          <w:p w:rsidR="00646151" w:rsidRPr="00DA52D8" w:rsidRDefault="00646151" w:rsidP="00646151">
            <w:pPr>
              <w:pStyle w:val="ListParagraph"/>
              <w:rPr>
                <w:rFonts w:ascii="Arial" w:hAnsi="Arial" w:cs="Arial"/>
                <w:sz w:val="18"/>
                <w:szCs w:val="18"/>
              </w:rPr>
            </w:pPr>
          </w:p>
        </w:tc>
      </w:tr>
    </w:tbl>
    <w:p w:rsidR="00F33038" w:rsidRPr="00F33038" w:rsidRDefault="0025240E" w:rsidP="00F33038">
      <w:pPr>
        <w:spacing w:after="0" w:line="240" w:lineRule="auto"/>
        <w:jc w:val="center"/>
        <w:rPr>
          <w:rFonts w:ascii="Arial" w:hAnsi="Arial" w:cs="Arial"/>
          <w:b/>
          <w:bCs/>
          <w:i/>
          <w:sz w:val="18"/>
        </w:rPr>
      </w:pPr>
      <w:r>
        <w:br/>
      </w:r>
      <w:r w:rsidRPr="00F33038">
        <w:rPr>
          <w:rFonts w:ascii="Arial" w:hAnsi="Arial" w:cs="Arial"/>
          <w:b/>
          <w:bCs/>
          <w:i/>
          <w:sz w:val="18"/>
        </w:rPr>
        <w:t>Maine Department of Education</w:t>
      </w:r>
    </w:p>
    <w:p w:rsidR="0025240E" w:rsidRPr="00F33038" w:rsidRDefault="00DA52D8" w:rsidP="00F33038">
      <w:pPr>
        <w:spacing w:after="0" w:line="240" w:lineRule="auto"/>
        <w:jc w:val="center"/>
        <w:rPr>
          <w:rFonts w:ascii="Arial" w:hAnsi="Arial" w:cs="Arial"/>
          <w:i/>
          <w:sz w:val="18"/>
        </w:rPr>
      </w:pPr>
      <w:r w:rsidRPr="00F33038">
        <w:rPr>
          <w:rFonts w:ascii="Arial" w:hAnsi="Arial" w:cs="Arial"/>
          <w:b/>
          <w:bCs/>
          <w:i/>
          <w:sz w:val="18"/>
        </w:rPr>
        <w:lastRenderedPageBreak/>
        <w:t>Office of ESEA Federal Programs</w:t>
      </w:r>
    </w:p>
    <w:p w:rsidR="0025240E" w:rsidRPr="00F33038" w:rsidRDefault="0025240E" w:rsidP="00F33038">
      <w:pPr>
        <w:spacing w:after="0" w:line="240" w:lineRule="auto"/>
        <w:jc w:val="center"/>
        <w:rPr>
          <w:rFonts w:ascii="Arial" w:hAnsi="Arial" w:cs="Arial"/>
          <w:b/>
          <w:i/>
          <w:sz w:val="20"/>
        </w:rPr>
      </w:pPr>
      <w:r w:rsidRPr="00F33038">
        <w:rPr>
          <w:rFonts w:ascii="Arial" w:hAnsi="Arial" w:cs="Arial"/>
          <w:b/>
          <w:bCs/>
          <w:i/>
          <w:sz w:val="18"/>
        </w:rPr>
        <w:t>(2</w:t>
      </w:r>
      <w:r w:rsidR="00DA52D8" w:rsidRPr="00F33038">
        <w:rPr>
          <w:rFonts w:ascii="Arial" w:hAnsi="Arial" w:cs="Arial"/>
          <w:b/>
          <w:bCs/>
          <w:i/>
          <w:sz w:val="18"/>
        </w:rPr>
        <w:t>07</w:t>
      </w:r>
      <w:r w:rsidRPr="00F33038">
        <w:rPr>
          <w:rFonts w:ascii="Arial" w:hAnsi="Arial" w:cs="Arial"/>
          <w:b/>
          <w:bCs/>
          <w:i/>
          <w:sz w:val="18"/>
        </w:rPr>
        <w:t xml:space="preserve">) </w:t>
      </w:r>
      <w:r w:rsidR="00DA52D8" w:rsidRPr="00F33038">
        <w:rPr>
          <w:rFonts w:ascii="Arial" w:hAnsi="Arial" w:cs="Arial"/>
          <w:b/>
          <w:bCs/>
          <w:i/>
          <w:sz w:val="18"/>
        </w:rPr>
        <w:t>624-6705</w:t>
      </w:r>
    </w:p>
    <w:sectPr w:rsidR="0025240E" w:rsidRPr="00F33038" w:rsidSect="00941E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7C37"/>
    <w:multiLevelType w:val="hybridMultilevel"/>
    <w:tmpl w:val="550293E0"/>
    <w:lvl w:ilvl="0" w:tplc="62FCE4FE">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D39C7"/>
    <w:multiLevelType w:val="hybridMultilevel"/>
    <w:tmpl w:val="AC607E9A"/>
    <w:lvl w:ilvl="0" w:tplc="1F5E9F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9B"/>
    <w:rsid w:val="0025240E"/>
    <w:rsid w:val="00293CB1"/>
    <w:rsid w:val="00297FA3"/>
    <w:rsid w:val="00346FA3"/>
    <w:rsid w:val="00370280"/>
    <w:rsid w:val="003866E4"/>
    <w:rsid w:val="003F7DE5"/>
    <w:rsid w:val="00573086"/>
    <w:rsid w:val="00646151"/>
    <w:rsid w:val="007F2E11"/>
    <w:rsid w:val="0081187E"/>
    <w:rsid w:val="008E2CFD"/>
    <w:rsid w:val="009328AB"/>
    <w:rsid w:val="00941E9B"/>
    <w:rsid w:val="00A74858"/>
    <w:rsid w:val="00B904C6"/>
    <w:rsid w:val="00CA7E63"/>
    <w:rsid w:val="00D126E8"/>
    <w:rsid w:val="00D97818"/>
    <w:rsid w:val="00DA52D8"/>
    <w:rsid w:val="00F321DB"/>
    <w:rsid w:val="00F33038"/>
    <w:rsid w:val="00FB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BAD5"/>
  <w15:chartTrackingRefBased/>
  <w15:docId w15:val="{A6FFF6D9-FA13-4CE3-88F7-211A51B9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240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A52D8"/>
    <w:pPr>
      <w:ind w:left="720"/>
      <w:contextualSpacing/>
    </w:pPr>
  </w:style>
  <w:style w:type="paragraph" w:styleId="BalloonText">
    <w:name w:val="Balloon Text"/>
    <w:basedOn w:val="Normal"/>
    <w:link w:val="BalloonTextChar"/>
    <w:uiPriority w:val="99"/>
    <w:semiHidden/>
    <w:unhideWhenUsed/>
    <w:rsid w:val="00297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Doughty, Travis W</dc:creator>
  <cp:keywords/>
  <dc:description/>
  <cp:lastModifiedBy>Godbout, Jackie</cp:lastModifiedBy>
  <cp:revision>4</cp:revision>
  <cp:lastPrinted>2018-09-07T15:43:00Z</cp:lastPrinted>
  <dcterms:created xsi:type="dcterms:W3CDTF">2018-09-19T17:38:00Z</dcterms:created>
  <dcterms:modified xsi:type="dcterms:W3CDTF">2018-09-20T11:43:00Z</dcterms:modified>
</cp:coreProperties>
</file>