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6C7569" w14:paraId="2C078E63" wp14:textId="1D61ADE2">
      <w:pPr>
        <w:pStyle w:val="Title"/>
        <w:rPr>
          <w:rFonts w:ascii="Calibri Light" w:hAnsi="Calibri Light" w:eastAsia="" w:cs=""/>
          <w:sz w:val="56"/>
          <w:szCs w:val="56"/>
        </w:rPr>
      </w:pPr>
      <w:bookmarkStart w:name="_GoBack" w:id="0"/>
      <w:bookmarkEnd w:id="0"/>
      <w:r w:rsidR="4A2F0D16">
        <w:rPr/>
        <w:t xml:space="preserve">December </w:t>
      </w:r>
      <w:r w:rsidR="4A2F0D16">
        <w:rPr/>
        <w:t>Q&amp;A</w:t>
      </w:r>
    </w:p>
    <w:p w:rsidR="006C7569" w:rsidP="006C7569" w:rsidRDefault="006C7569" w14:paraId="65BD1325" w14:textId="3F0A99EE">
      <w:pPr>
        <w:pStyle w:val="Normal"/>
      </w:pPr>
    </w:p>
    <w:p w:rsidR="4A2F0D16" w:rsidP="006C7569" w:rsidRDefault="4A2F0D16" w14:paraId="076D9695" w14:textId="00408059">
      <w:pPr>
        <w:pStyle w:val="Normal"/>
        <w:rPr>
          <w:b w:val="1"/>
          <w:bCs w:val="1"/>
        </w:rPr>
      </w:pPr>
      <w:r w:rsidRPr="006C7569" w:rsidR="4A2F0D16">
        <w:rPr>
          <w:b w:val="1"/>
          <w:bCs w:val="1"/>
        </w:rPr>
        <w:t>NWEA</w:t>
      </w:r>
      <w:r w:rsidRPr="006C7569" w:rsidR="72B05CCF">
        <w:rPr>
          <w:b w:val="1"/>
          <w:bCs w:val="1"/>
        </w:rPr>
        <w:t xml:space="preserve"> &amp; Maine Through Year Assessment</w:t>
      </w:r>
    </w:p>
    <w:p w:rsidR="38EBA5B5" w:rsidP="006C7569" w:rsidRDefault="38EBA5B5" w14:paraId="64652125" w14:textId="4B2F84CF">
      <w:pPr>
        <w:pStyle w:val="Normal"/>
      </w:pPr>
      <w:r w:rsidR="38EBA5B5">
        <w:rPr/>
        <w:t>W</w:t>
      </w:r>
      <w:r w:rsidR="78A2831C">
        <w:rPr/>
        <w:t>h</w:t>
      </w:r>
      <w:r w:rsidR="38EBA5B5">
        <w:rPr/>
        <w:t xml:space="preserve">en you were talking about the funding </w:t>
      </w:r>
      <w:r w:rsidR="420DD951">
        <w:rPr/>
        <w:t xml:space="preserve">for NWEA MAP Growth, will the state continue </w:t>
      </w:r>
      <w:r w:rsidR="39AA022C">
        <w:rPr/>
        <w:t>to fund MAP Growth in 2023-24?</w:t>
      </w:r>
    </w:p>
    <w:p w:rsidR="7AAAB3A2" w:rsidP="006C7569" w:rsidRDefault="7AAAB3A2" w14:paraId="7E565228" w14:textId="47998D99">
      <w:pPr>
        <w:pStyle w:val="Normal"/>
        <w:rPr>
          <w:color w:val="4472C4" w:themeColor="accent1" w:themeTint="FF" w:themeShade="FF"/>
        </w:rPr>
      </w:pPr>
      <w:r w:rsidRPr="006C7569" w:rsidR="7AAAB3A2">
        <w:rPr>
          <w:color w:val="4472C4" w:themeColor="accent1" w:themeTint="FF" w:themeShade="FF"/>
        </w:rPr>
        <w:t>The Department of Education will provide the Maine Through Year Assessment for grades 3 through 8 and second year of high school. MAP Growth subscriptions for “off grades” (K-2, 9, 11, and 12) would need to be purchased by the SAU</w:t>
      </w:r>
      <w:r w:rsidRPr="006C7569" w:rsidR="3E3F024A">
        <w:rPr>
          <w:color w:val="4472C4" w:themeColor="accent1" w:themeTint="FF" w:themeShade="FF"/>
        </w:rPr>
        <w:t>. The Maine Through Year Assessment will provide RIT scores for all three assessment administrations: fall, winter (optional), and spring.</w:t>
      </w:r>
    </w:p>
    <w:p w:rsidR="5674634A" w:rsidP="006C7569" w:rsidRDefault="5674634A" w14:paraId="35B6990D" w14:textId="1DF43B12">
      <w:pPr>
        <w:pStyle w:val="Normal"/>
      </w:pPr>
      <w:r w:rsidR="5674634A">
        <w:rPr/>
        <w:t>Can you describe the benefits of administering the MAP Growth assessment in spring 2023?</w:t>
      </w:r>
    </w:p>
    <w:p w:rsidR="14B153C4" w:rsidP="006C7569" w:rsidRDefault="14B153C4" w14:paraId="03CF8256" w14:textId="62E4CD55">
      <w:pPr>
        <w:spacing w:after="160" w:line="259" w:lineRule="auto"/>
        <w:rPr>
          <w:rFonts w:ascii="Calibri" w:hAnsi="Calibri" w:eastAsia="Calibri" w:cs="Calibri"/>
          <w:b w:val="0"/>
          <w:bCs w:val="0"/>
          <w:i w:val="0"/>
          <w:iCs w:val="0"/>
          <w:caps w:val="0"/>
          <w:smallCaps w:val="0"/>
          <w:noProof w:val="0"/>
          <w:color w:val="4472C4" w:themeColor="accent1" w:themeTint="FF" w:themeShade="FF"/>
          <w:sz w:val="22"/>
          <w:szCs w:val="22"/>
          <w:lang w:val="en-US"/>
        </w:rPr>
      </w:pPr>
      <w:r w:rsidRPr="006C7569" w:rsidR="14B153C4">
        <w:rPr>
          <w:rFonts w:ascii="Calibri" w:hAnsi="Calibri" w:eastAsia="Calibri" w:cs="Calibri"/>
          <w:b w:val="0"/>
          <w:bCs w:val="0"/>
          <w:i w:val="0"/>
          <w:iCs w:val="0"/>
          <w:caps w:val="0"/>
          <w:smallCaps w:val="0"/>
          <w:noProof w:val="0"/>
          <w:color w:val="4472C4" w:themeColor="accent1" w:themeTint="FF" w:themeShade="FF"/>
          <w:sz w:val="22"/>
          <w:szCs w:val="22"/>
          <w:lang w:val="en-US"/>
        </w:rPr>
        <w:t xml:space="preserve">Please note that all students are required to participate in the Maine Through Year Assessment beginning in spring 2023. The chart below is designed to provide guidance to SAUs and schools when deciding </w:t>
      </w:r>
      <w:proofErr w:type="gramStart"/>
      <w:r w:rsidRPr="006C7569" w:rsidR="14B153C4">
        <w:rPr>
          <w:rFonts w:ascii="Calibri" w:hAnsi="Calibri" w:eastAsia="Calibri" w:cs="Calibri"/>
          <w:b w:val="0"/>
          <w:bCs w:val="0"/>
          <w:i w:val="0"/>
          <w:iCs w:val="0"/>
          <w:caps w:val="0"/>
          <w:smallCaps w:val="0"/>
          <w:noProof w:val="0"/>
          <w:color w:val="4472C4" w:themeColor="accent1" w:themeTint="FF" w:themeShade="FF"/>
          <w:sz w:val="22"/>
          <w:szCs w:val="22"/>
          <w:lang w:val="en-US"/>
        </w:rPr>
        <w:t>whether or not</w:t>
      </w:r>
      <w:proofErr w:type="gramEnd"/>
      <w:r w:rsidRPr="006C7569" w:rsidR="14B153C4">
        <w:rPr>
          <w:rFonts w:ascii="Calibri" w:hAnsi="Calibri" w:eastAsia="Calibri" w:cs="Calibri"/>
          <w:b w:val="0"/>
          <w:bCs w:val="0"/>
          <w:i w:val="0"/>
          <w:iCs w:val="0"/>
          <w:caps w:val="0"/>
          <w:smallCaps w:val="0"/>
          <w:noProof w:val="0"/>
          <w:color w:val="4472C4" w:themeColor="accent1" w:themeTint="FF" w:themeShade="FF"/>
          <w:sz w:val="22"/>
          <w:szCs w:val="22"/>
          <w:lang w:val="en-US"/>
        </w:rPr>
        <w:t xml:space="preserve"> to administer the MAP Growth assessment</w:t>
      </w:r>
      <w:r w:rsidRPr="006C7569" w:rsidR="14B153C4">
        <w:rPr>
          <w:rFonts w:ascii="Calibri" w:hAnsi="Calibri" w:eastAsia="Calibri" w:cs="Calibri"/>
          <w:b w:val="1"/>
          <w:bCs w:val="1"/>
          <w:i w:val="0"/>
          <w:iCs w:val="0"/>
          <w:caps w:val="0"/>
          <w:smallCaps w:val="0"/>
          <w:noProof w:val="0"/>
          <w:color w:val="4472C4" w:themeColor="accent1" w:themeTint="FF" w:themeShade="FF"/>
          <w:sz w:val="22"/>
          <w:szCs w:val="22"/>
          <w:lang w:val="en-US"/>
        </w:rPr>
        <w:t xml:space="preserve"> in addition to</w:t>
      </w:r>
      <w:r w:rsidRPr="006C7569" w:rsidR="14B153C4">
        <w:rPr>
          <w:rFonts w:ascii="Calibri" w:hAnsi="Calibri" w:eastAsia="Calibri" w:cs="Calibri"/>
          <w:b w:val="0"/>
          <w:bCs w:val="0"/>
          <w:i w:val="0"/>
          <w:iCs w:val="0"/>
          <w:caps w:val="0"/>
          <w:smallCaps w:val="0"/>
          <w:noProof w:val="0"/>
          <w:color w:val="4472C4" w:themeColor="accent1" w:themeTint="FF" w:themeShade="FF"/>
          <w:sz w:val="22"/>
          <w:szCs w:val="22"/>
          <w:lang w:val="en-US"/>
        </w:rPr>
        <w:t xml:space="preserve"> the Maine Through Year Assessment.</w:t>
      </w:r>
    </w:p>
    <w:tbl>
      <w:tblPr>
        <w:tblStyle w:val="TableGrid"/>
        <w:tblW w:w="0" w:type="auto"/>
        <w:tblLayout w:type="fixed"/>
        <w:tblLook w:val="04A0" w:firstRow="1" w:lastRow="0" w:firstColumn="1" w:lastColumn="0" w:noHBand="0" w:noVBand="1"/>
      </w:tblPr>
      <w:tblGrid>
        <w:gridCol w:w="4665"/>
        <w:gridCol w:w="4665"/>
      </w:tblGrid>
      <w:tr w:rsidR="006C7569" w:rsidTr="006C7569" w14:paraId="171C00A5">
        <w:tc>
          <w:tcPr>
            <w:tcW w:w="4665" w:type="dxa"/>
            <w:tcBorders>
              <w:bottom w:val="single" w:sz="6"/>
            </w:tcBorders>
            <w:tcMar/>
            <w:vAlign w:val="top"/>
          </w:tcPr>
          <w:p w:rsidR="006C7569" w:rsidP="006C7569" w:rsidRDefault="006C7569" w14:paraId="64AE3EE5" w14:textId="7EBB2807">
            <w:pPr>
              <w:spacing w:line="259" w:lineRule="auto"/>
              <w:jc w:val="center"/>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1"/>
                <w:bCs w:val="1"/>
                <w:i w:val="0"/>
                <w:iCs w:val="0"/>
                <w:color w:val="4472C4" w:themeColor="accent1" w:themeTint="FF" w:themeShade="FF"/>
                <w:sz w:val="22"/>
                <w:szCs w:val="22"/>
                <w:lang w:val="en-US"/>
              </w:rPr>
              <w:t>MAP Growth</w:t>
            </w:r>
          </w:p>
        </w:tc>
        <w:tc>
          <w:tcPr>
            <w:tcW w:w="4665" w:type="dxa"/>
            <w:tcBorders>
              <w:bottom w:val="single" w:sz="6"/>
            </w:tcBorders>
            <w:tcMar/>
            <w:vAlign w:val="top"/>
          </w:tcPr>
          <w:p w:rsidR="006C7569" w:rsidP="006C7569" w:rsidRDefault="006C7569" w14:paraId="0E0EF2E0" w14:textId="411F9F32">
            <w:pPr>
              <w:spacing w:line="259" w:lineRule="auto"/>
              <w:jc w:val="center"/>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1"/>
                <w:bCs w:val="1"/>
                <w:i w:val="0"/>
                <w:iCs w:val="0"/>
                <w:color w:val="4472C4" w:themeColor="accent1" w:themeTint="FF" w:themeShade="FF"/>
                <w:sz w:val="22"/>
                <w:szCs w:val="22"/>
                <w:lang w:val="en-US"/>
              </w:rPr>
              <w:t>Maine Through Year Assessment</w:t>
            </w:r>
          </w:p>
        </w:tc>
      </w:tr>
      <w:tr w:rsidR="006C7569" w:rsidTr="006C7569" w14:paraId="06EACCE7">
        <w:tc>
          <w:tcPr>
            <w:tcW w:w="4665" w:type="dxa"/>
            <w:tcBorders>
              <w:bottom w:val="nil"/>
              <w:right w:val="single" w:sz="6"/>
            </w:tcBorders>
            <w:tcMar/>
            <w:vAlign w:val="top"/>
          </w:tcPr>
          <w:p w:rsidR="006C7569" w:rsidP="006C7569" w:rsidRDefault="006C7569" w14:paraId="2C093A87" w14:textId="06E11305">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No assessment window limitations</w:t>
            </w:r>
          </w:p>
        </w:tc>
        <w:tc>
          <w:tcPr>
            <w:tcW w:w="4665" w:type="dxa"/>
            <w:tcBorders>
              <w:left w:val="single" w:sz="6"/>
              <w:bottom w:val="nil"/>
            </w:tcBorders>
            <w:tcMar/>
            <w:vAlign w:val="top"/>
          </w:tcPr>
          <w:p w:rsidR="006C7569" w:rsidP="006C7569" w:rsidRDefault="006C7569" w14:paraId="589067D6" w14:textId="373AAE2B">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Assessment window: May 1</w:t>
            </w:r>
            <w:r w:rsidRPr="006C7569" w:rsidR="006C7569">
              <w:rPr>
                <w:rFonts w:ascii="Calibri" w:hAnsi="Calibri" w:eastAsia="Calibri" w:cs="Calibri"/>
                <w:b w:val="0"/>
                <w:bCs w:val="0"/>
                <w:i w:val="0"/>
                <w:iCs w:val="0"/>
                <w:color w:val="4472C4" w:themeColor="accent1" w:themeTint="FF" w:themeShade="FF"/>
                <w:sz w:val="22"/>
                <w:szCs w:val="22"/>
                <w:vertAlign w:val="superscript"/>
                <w:lang w:val="en-US"/>
              </w:rPr>
              <w:t>st</w:t>
            </w:r>
            <w:r w:rsidRPr="006C7569" w:rsidR="006C7569">
              <w:rPr>
                <w:rFonts w:ascii="Calibri" w:hAnsi="Calibri" w:eastAsia="Calibri" w:cs="Calibri"/>
                <w:b w:val="0"/>
                <w:bCs w:val="0"/>
                <w:i w:val="0"/>
                <w:iCs w:val="0"/>
                <w:color w:val="4472C4" w:themeColor="accent1" w:themeTint="FF" w:themeShade="FF"/>
                <w:sz w:val="22"/>
                <w:szCs w:val="22"/>
                <w:lang w:val="en-US"/>
              </w:rPr>
              <w:t xml:space="preserve"> – 26</w:t>
            </w:r>
            <w:r w:rsidRPr="006C7569" w:rsidR="006C7569">
              <w:rPr>
                <w:rFonts w:ascii="Calibri" w:hAnsi="Calibri" w:eastAsia="Calibri" w:cs="Calibri"/>
                <w:b w:val="0"/>
                <w:bCs w:val="0"/>
                <w:i w:val="0"/>
                <w:iCs w:val="0"/>
                <w:color w:val="4472C4" w:themeColor="accent1" w:themeTint="FF" w:themeShade="FF"/>
                <w:sz w:val="22"/>
                <w:szCs w:val="22"/>
                <w:vertAlign w:val="superscript"/>
                <w:lang w:val="en-US"/>
              </w:rPr>
              <w:t>th</w:t>
            </w:r>
            <w:r w:rsidRPr="006C7569" w:rsidR="006C7569">
              <w:rPr>
                <w:rFonts w:ascii="Calibri" w:hAnsi="Calibri" w:eastAsia="Calibri" w:cs="Calibri"/>
                <w:b w:val="0"/>
                <w:bCs w:val="0"/>
                <w:i w:val="0"/>
                <w:iCs w:val="0"/>
                <w:color w:val="4472C4" w:themeColor="accent1" w:themeTint="FF" w:themeShade="FF"/>
                <w:sz w:val="22"/>
                <w:szCs w:val="22"/>
                <w:lang w:val="en-US"/>
              </w:rPr>
              <w:t xml:space="preserve"> </w:t>
            </w:r>
          </w:p>
          <w:p w:rsidR="006C7569" w:rsidP="006C7569" w:rsidRDefault="006C7569" w14:paraId="2A3896F3" w14:textId="64B2FA95">
            <w:pPr>
              <w:spacing w:line="259" w:lineRule="auto"/>
              <w:rPr>
                <w:rFonts w:ascii="Calibri" w:hAnsi="Calibri" w:eastAsia="Calibri" w:cs="Calibri"/>
                <w:b w:val="0"/>
                <w:bCs w:val="0"/>
                <w:i w:val="0"/>
                <w:iCs w:val="0"/>
                <w:color w:val="4472C4" w:themeColor="accent1" w:themeTint="FF" w:themeShade="FF"/>
                <w:sz w:val="22"/>
                <w:szCs w:val="22"/>
              </w:rPr>
            </w:pPr>
          </w:p>
        </w:tc>
      </w:tr>
      <w:tr w:rsidR="006C7569" w:rsidTr="006C7569" w14:paraId="5DD53C98">
        <w:tc>
          <w:tcPr>
            <w:tcW w:w="4665" w:type="dxa"/>
            <w:tcBorders>
              <w:top w:val="nil"/>
              <w:bottom w:val="nil"/>
              <w:right w:val="single" w:sz="6"/>
            </w:tcBorders>
            <w:tcMar/>
            <w:vAlign w:val="top"/>
          </w:tcPr>
          <w:p w:rsidR="006C7569" w:rsidP="006C7569" w:rsidRDefault="006C7569" w14:paraId="3DFDE7B3" w14:textId="4CA80833">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RIT score data within 24 hours</w:t>
            </w:r>
          </w:p>
        </w:tc>
        <w:tc>
          <w:tcPr>
            <w:tcW w:w="4665" w:type="dxa"/>
            <w:tcBorders>
              <w:top w:val="nil"/>
              <w:left w:val="single" w:sz="6"/>
              <w:bottom w:val="nil"/>
            </w:tcBorders>
            <w:tcMar/>
            <w:vAlign w:val="top"/>
          </w:tcPr>
          <w:p w:rsidR="006C7569" w:rsidP="006C7569" w:rsidRDefault="006C7569" w14:paraId="02F5A782" w14:textId="0BF684F4">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strike w:val="0"/>
                <w:dstrike w:val="0"/>
                <w:color w:val="4472C4" w:themeColor="accent1" w:themeTint="FF" w:themeShade="FF"/>
                <w:sz w:val="22"/>
                <w:szCs w:val="22"/>
                <w:u w:val="single"/>
                <w:lang w:val="en-US"/>
              </w:rPr>
              <w:t>In spring 2023 only</w:t>
            </w:r>
            <w:r w:rsidRPr="006C7569" w:rsidR="006C7569">
              <w:rPr>
                <w:rFonts w:ascii="Calibri" w:hAnsi="Calibri" w:eastAsia="Calibri" w:cs="Calibri"/>
                <w:b w:val="0"/>
                <w:bCs w:val="0"/>
                <w:i w:val="0"/>
                <w:iCs w:val="0"/>
                <w:color w:val="4472C4" w:themeColor="accent1" w:themeTint="FF" w:themeShade="FF"/>
                <w:sz w:val="22"/>
                <w:szCs w:val="22"/>
                <w:lang w:val="en-US"/>
              </w:rPr>
              <w:t>, delayed RIT score data with an anticipated delivery date of late summer or early fall due to standard setting</w:t>
            </w:r>
          </w:p>
          <w:p w:rsidR="006C7569" w:rsidP="006C7569" w:rsidRDefault="006C7569" w14:paraId="54917BB4" w14:textId="60C41A0B">
            <w:pPr>
              <w:spacing w:line="259" w:lineRule="auto"/>
              <w:rPr>
                <w:rFonts w:ascii="Calibri" w:hAnsi="Calibri" w:eastAsia="Calibri" w:cs="Calibri"/>
                <w:b w:val="0"/>
                <w:bCs w:val="0"/>
                <w:i w:val="0"/>
                <w:iCs w:val="0"/>
                <w:color w:val="4472C4" w:themeColor="accent1" w:themeTint="FF" w:themeShade="FF"/>
                <w:sz w:val="22"/>
                <w:szCs w:val="22"/>
              </w:rPr>
            </w:pPr>
          </w:p>
        </w:tc>
      </w:tr>
      <w:tr w:rsidR="006C7569" w:rsidTr="006C7569" w14:paraId="51D24416">
        <w:tc>
          <w:tcPr>
            <w:tcW w:w="4665" w:type="dxa"/>
            <w:tcBorders>
              <w:top w:val="nil"/>
              <w:bottom w:val="nil"/>
              <w:right w:val="single" w:sz="6"/>
            </w:tcBorders>
            <w:tcMar/>
            <w:vAlign w:val="top"/>
          </w:tcPr>
          <w:p w:rsidR="006C7569" w:rsidP="006C7569" w:rsidRDefault="006C7569" w14:paraId="7723D1C2" w14:textId="7BADD633">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RIT Instructional Areas based on the Maine Learning Results (2022-23 academic year)</w:t>
            </w:r>
          </w:p>
        </w:tc>
        <w:tc>
          <w:tcPr>
            <w:tcW w:w="4665" w:type="dxa"/>
            <w:tcBorders>
              <w:top w:val="nil"/>
              <w:left w:val="single" w:sz="6"/>
              <w:bottom w:val="nil"/>
            </w:tcBorders>
            <w:tcMar/>
            <w:vAlign w:val="top"/>
          </w:tcPr>
          <w:p w:rsidR="006C7569" w:rsidP="006C7569" w:rsidRDefault="006C7569" w14:paraId="377EFD7A" w14:textId="1F0BDF0C">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RIT Instructional Areas based on the CCSS and consistent with the national MAP Growth assessment</w:t>
            </w:r>
          </w:p>
          <w:p w:rsidR="006C7569" w:rsidP="006C7569" w:rsidRDefault="006C7569" w14:paraId="3D2C565F" w14:textId="564EEB3E">
            <w:pPr>
              <w:spacing w:line="259" w:lineRule="auto"/>
              <w:rPr>
                <w:rFonts w:ascii="Calibri" w:hAnsi="Calibri" w:eastAsia="Calibri" w:cs="Calibri"/>
                <w:b w:val="0"/>
                <w:bCs w:val="0"/>
                <w:i w:val="0"/>
                <w:iCs w:val="0"/>
                <w:color w:val="4472C4" w:themeColor="accent1" w:themeTint="FF" w:themeShade="FF"/>
                <w:sz w:val="22"/>
                <w:szCs w:val="22"/>
              </w:rPr>
            </w:pPr>
          </w:p>
        </w:tc>
      </w:tr>
      <w:tr w:rsidR="006C7569" w:rsidTr="006C7569" w14:paraId="2B44914F">
        <w:tc>
          <w:tcPr>
            <w:tcW w:w="4665" w:type="dxa"/>
            <w:tcBorders>
              <w:top w:val="nil"/>
              <w:bottom w:val="nil"/>
              <w:right w:val="single" w:sz="6"/>
            </w:tcBorders>
            <w:tcMar/>
            <w:vAlign w:val="top"/>
          </w:tcPr>
          <w:p w:rsidR="006C7569" w:rsidP="006C7569" w:rsidRDefault="006C7569" w14:paraId="2D82004C" w14:textId="15677681">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Extended assessment seat time:</w:t>
            </w:r>
          </w:p>
          <w:p w:rsidR="006C7569" w:rsidP="006C7569" w:rsidRDefault="006C7569" w14:paraId="444599D1" w14:textId="49EBD98F">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 xml:space="preserve">45 – 55 minutes per MAP Growth assessment </w:t>
            </w:r>
            <w:r w:rsidRPr="006C7569" w:rsidR="006C7569">
              <w:rPr>
                <w:rFonts w:ascii="Calibri" w:hAnsi="Calibri" w:eastAsia="Calibri" w:cs="Calibri"/>
                <w:b w:val="0"/>
                <w:bCs w:val="0"/>
                <w:i w:val="0"/>
                <w:iCs w:val="0"/>
                <w:strike w:val="0"/>
                <w:dstrike w:val="0"/>
                <w:color w:val="4472C4" w:themeColor="accent1" w:themeTint="FF" w:themeShade="FF"/>
                <w:sz w:val="22"/>
                <w:szCs w:val="22"/>
                <w:u w:val="single"/>
                <w:lang w:val="en-US"/>
              </w:rPr>
              <w:t>and</w:t>
            </w:r>
            <w:r w:rsidRPr="006C7569" w:rsidR="006C7569">
              <w:rPr>
                <w:rFonts w:ascii="Calibri" w:hAnsi="Calibri" w:eastAsia="Calibri" w:cs="Calibri"/>
                <w:b w:val="0"/>
                <w:bCs w:val="0"/>
                <w:i w:val="0"/>
                <w:iCs w:val="0"/>
                <w:color w:val="4472C4" w:themeColor="accent1" w:themeTint="FF" w:themeShade="FF"/>
                <w:sz w:val="22"/>
                <w:szCs w:val="22"/>
                <w:lang w:val="en-US"/>
              </w:rPr>
              <w:t xml:space="preserve"> 55 – 60 minutes per Through Year Assessment*</w:t>
            </w:r>
          </w:p>
          <w:p w:rsidR="006C7569" w:rsidP="006C7569" w:rsidRDefault="006C7569" w14:paraId="6DA5130A" w14:textId="04176E98">
            <w:pPr>
              <w:spacing w:line="259" w:lineRule="auto"/>
              <w:rPr>
                <w:rFonts w:ascii="Calibri" w:hAnsi="Calibri" w:eastAsia="Calibri" w:cs="Calibri"/>
                <w:b w:val="0"/>
                <w:bCs w:val="0"/>
                <w:i w:val="0"/>
                <w:iCs w:val="0"/>
                <w:color w:val="4472C4" w:themeColor="accent1" w:themeTint="FF" w:themeShade="FF"/>
                <w:sz w:val="22"/>
                <w:szCs w:val="22"/>
              </w:rPr>
            </w:pPr>
          </w:p>
        </w:tc>
        <w:tc>
          <w:tcPr>
            <w:tcW w:w="4665" w:type="dxa"/>
            <w:tcBorders>
              <w:top w:val="nil"/>
              <w:left w:val="single" w:sz="6"/>
              <w:bottom w:val="nil"/>
            </w:tcBorders>
            <w:tcMar/>
            <w:vAlign w:val="top"/>
          </w:tcPr>
          <w:p w:rsidR="006C7569" w:rsidP="006C7569" w:rsidRDefault="006C7569" w14:paraId="2D09490F" w14:textId="67AC022A">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55 – 60 minutes per Through Year Assessment*</w:t>
            </w:r>
          </w:p>
        </w:tc>
      </w:tr>
      <w:tr w:rsidR="006C7569" w:rsidTr="006C7569" w14:paraId="27C32ABB">
        <w:tc>
          <w:tcPr>
            <w:tcW w:w="4665" w:type="dxa"/>
            <w:tcBorders>
              <w:top w:val="nil"/>
              <w:bottom w:val="nil"/>
              <w:right w:val="single" w:sz="6"/>
            </w:tcBorders>
            <w:tcMar/>
            <w:vAlign w:val="top"/>
          </w:tcPr>
          <w:p w:rsidR="006C7569" w:rsidP="006C7569" w:rsidRDefault="006C7569" w14:paraId="73489C88" w14:textId="4CDB474B">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Option to administer the Language Usage assessment</w:t>
            </w:r>
          </w:p>
          <w:p w:rsidR="006C7569" w:rsidP="006C7569" w:rsidRDefault="006C7569" w14:paraId="49286B6E" w14:textId="001F0313">
            <w:pPr>
              <w:spacing w:line="259" w:lineRule="auto"/>
              <w:rPr>
                <w:rFonts w:ascii="Calibri" w:hAnsi="Calibri" w:eastAsia="Calibri" w:cs="Calibri"/>
                <w:b w:val="0"/>
                <w:bCs w:val="0"/>
                <w:i w:val="0"/>
                <w:iCs w:val="0"/>
                <w:color w:val="4472C4" w:themeColor="accent1" w:themeTint="FF" w:themeShade="FF"/>
                <w:sz w:val="22"/>
                <w:szCs w:val="22"/>
              </w:rPr>
            </w:pPr>
          </w:p>
        </w:tc>
        <w:tc>
          <w:tcPr>
            <w:tcW w:w="4665" w:type="dxa"/>
            <w:tcBorders>
              <w:top w:val="nil"/>
              <w:left w:val="single" w:sz="6"/>
              <w:bottom w:val="nil"/>
            </w:tcBorders>
            <w:tcMar/>
            <w:vAlign w:val="top"/>
          </w:tcPr>
          <w:p w:rsidR="006C7569" w:rsidP="006C7569" w:rsidRDefault="006C7569" w14:paraId="547E4E7D" w14:textId="0EE2706A">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No Language Usage assessment option</w:t>
            </w:r>
          </w:p>
        </w:tc>
      </w:tr>
      <w:tr w:rsidR="006C7569" w:rsidTr="006C7569" w14:paraId="02249A1E">
        <w:tc>
          <w:tcPr>
            <w:tcW w:w="4665" w:type="dxa"/>
            <w:tcBorders>
              <w:top w:val="nil"/>
              <w:bottom w:val="nil"/>
              <w:right w:val="single" w:sz="6"/>
            </w:tcBorders>
            <w:tcMar/>
            <w:vAlign w:val="top"/>
          </w:tcPr>
          <w:p w:rsidR="006C7569" w:rsidP="006C7569" w:rsidRDefault="006C7569" w14:paraId="078F3E1E" w14:textId="4AFA529D">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Continued compatibility with MAP Accelerator and Instructional Connections</w:t>
            </w:r>
          </w:p>
          <w:p w:rsidR="006C7569" w:rsidP="006C7569" w:rsidRDefault="006C7569" w14:paraId="3A51AF82" w14:textId="6EE54506">
            <w:pPr>
              <w:spacing w:line="259" w:lineRule="auto"/>
              <w:rPr>
                <w:rFonts w:ascii="Calibri" w:hAnsi="Calibri" w:eastAsia="Calibri" w:cs="Calibri"/>
                <w:b w:val="0"/>
                <w:bCs w:val="0"/>
                <w:i w:val="0"/>
                <w:iCs w:val="0"/>
                <w:color w:val="4472C4" w:themeColor="accent1" w:themeTint="FF" w:themeShade="FF"/>
                <w:sz w:val="22"/>
                <w:szCs w:val="22"/>
              </w:rPr>
            </w:pPr>
          </w:p>
        </w:tc>
        <w:tc>
          <w:tcPr>
            <w:tcW w:w="4665" w:type="dxa"/>
            <w:tcBorders>
              <w:top w:val="nil"/>
              <w:left w:val="single" w:sz="6"/>
              <w:bottom w:val="nil"/>
            </w:tcBorders>
            <w:tcMar/>
            <w:vAlign w:val="top"/>
          </w:tcPr>
          <w:p w:rsidR="006C7569" w:rsidP="006C7569" w:rsidRDefault="006C7569" w14:paraId="0B3B4949" w14:textId="64F955C3">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Not yet compatible with MAP Accelerator or Instructional Connections</w:t>
            </w:r>
          </w:p>
        </w:tc>
      </w:tr>
      <w:tr w:rsidR="006C7569" w:rsidTr="006C7569" w14:paraId="395AC13A">
        <w:tc>
          <w:tcPr>
            <w:tcW w:w="4665" w:type="dxa"/>
            <w:tcBorders>
              <w:top w:val="nil"/>
              <w:right w:val="single" w:sz="6"/>
            </w:tcBorders>
            <w:tcMar/>
            <w:vAlign w:val="top"/>
          </w:tcPr>
          <w:p w:rsidR="006C7569" w:rsidP="006C7569" w:rsidRDefault="006C7569" w14:paraId="7124CE73" w14:textId="2C852CE2">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No additional cost to SAUs/schools in Spring 2023</w:t>
            </w:r>
          </w:p>
          <w:p w:rsidR="006C7569" w:rsidP="006C7569" w:rsidRDefault="006C7569" w14:paraId="71C63378" w14:textId="15FFE7D0">
            <w:pPr>
              <w:spacing w:line="259" w:lineRule="auto"/>
              <w:rPr>
                <w:rFonts w:ascii="Calibri" w:hAnsi="Calibri" w:eastAsia="Calibri" w:cs="Calibri"/>
                <w:b w:val="0"/>
                <w:bCs w:val="0"/>
                <w:i w:val="0"/>
                <w:iCs w:val="0"/>
                <w:color w:val="4472C4" w:themeColor="accent1" w:themeTint="FF" w:themeShade="FF"/>
                <w:sz w:val="22"/>
                <w:szCs w:val="22"/>
              </w:rPr>
            </w:pPr>
          </w:p>
        </w:tc>
        <w:tc>
          <w:tcPr>
            <w:tcW w:w="4665" w:type="dxa"/>
            <w:tcBorders>
              <w:top w:val="nil"/>
              <w:left w:val="single" w:sz="6"/>
            </w:tcBorders>
            <w:tcMar/>
            <w:vAlign w:val="top"/>
          </w:tcPr>
          <w:p w:rsidR="006C7569" w:rsidP="006C7569" w:rsidRDefault="006C7569" w14:paraId="143024D3" w14:textId="6EBEADF9">
            <w:pPr>
              <w:spacing w:line="259" w:lineRule="auto"/>
              <w:rPr>
                <w:rFonts w:ascii="Calibri" w:hAnsi="Calibri" w:eastAsia="Calibri" w:cs="Calibri"/>
                <w:b w:val="0"/>
                <w:bCs w:val="0"/>
                <w:i w:val="0"/>
                <w:iCs w:val="0"/>
                <w:color w:val="4472C4" w:themeColor="accent1" w:themeTint="FF" w:themeShade="FF"/>
                <w:sz w:val="22"/>
                <w:szCs w:val="22"/>
              </w:rPr>
            </w:pPr>
            <w:r w:rsidRPr="006C7569" w:rsidR="006C7569">
              <w:rPr>
                <w:rFonts w:ascii="Calibri" w:hAnsi="Calibri" w:eastAsia="Calibri" w:cs="Calibri"/>
                <w:b w:val="0"/>
                <w:bCs w:val="0"/>
                <w:i w:val="0"/>
                <w:iCs w:val="0"/>
                <w:color w:val="4472C4" w:themeColor="accent1" w:themeTint="FF" w:themeShade="FF"/>
                <w:sz w:val="22"/>
                <w:szCs w:val="22"/>
                <w:lang w:val="en-US"/>
              </w:rPr>
              <w:t>No cost to SAUs/schools</w:t>
            </w:r>
          </w:p>
        </w:tc>
      </w:tr>
    </w:tbl>
    <w:p w:rsidR="14B153C4" w:rsidP="006C7569" w:rsidRDefault="14B153C4" w14:paraId="26028282" w14:textId="10E098ED">
      <w:pPr>
        <w:spacing w:after="160" w:line="259" w:lineRule="auto"/>
        <w:rPr>
          <w:rFonts w:ascii="Calibri" w:hAnsi="Calibri" w:eastAsia="Calibri" w:cs="Calibri"/>
          <w:b w:val="0"/>
          <w:bCs w:val="0"/>
          <w:i w:val="0"/>
          <w:iCs w:val="0"/>
          <w:caps w:val="0"/>
          <w:smallCaps w:val="0"/>
          <w:noProof w:val="0"/>
          <w:color w:val="4472C4" w:themeColor="accent1" w:themeTint="FF" w:themeShade="FF"/>
          <w:sz w:val="22"/>
          <w:szCs w:val="22"/>
          <w:lang w:val="en-US"/>
        </w:rPr>
      </w:pPr>
      <w:r w:rsidRPr="006C7569" w:rsidR="14B153C4">
        <w:rPr>
          <w:rFonts w:ascii="Calibri" w:hAnsi="Calibri" w:eastAsia="Calibri" w:cs="Calibri"/>
          <w:b w:val="0"/>
          <w:bCs w:val="0"/>
          <w:i w:val="0"/>
          <w:iCs w:val="0"/>
          <w:caps w:val="0"/>
          <w:smallCaps w:val="0"/>
          <w:noProof w:val="0"/>
          <w:color w:val="4472C4" w:themeColor="accent1" w:themeTint="FF" w:themeShade="FF"/>
          <w:sz w:val="22"/>
          <w:szCs w:val="22"/>
          <w:lang w:val="en-US"/>
        </w:rPr>
        <w:t>*Assessment seat times represent the average seat time. Individual students will take varying amounts of time to complete the assessments.</w:t>
      </w:r>
    </w:p>
    <w:p w:rsidR="5674634A" w:rsidP="006C7569" w:rsidRDefault="5674634A" w14:paraId="773787F2" w14:textId="1B64482F">
      <w:pPr>
        <w:pStyle w:val="Normal"/>
      </w:pPr>
      <w:r w:rsidR="5674634A">
        <w:rPr/>
        <w:t xml:space="preserve">Will all the same NWEA reports be available for the </w:t>
      </w:r>
      <w:r w:rsidR="255EB1CC">
        <w:rPr/>
        <w:t xml:space="preserve">Maine Year </w:t>
      </w:r>
      <w:r w:rsidR="5674634A">
        <w:rPr/>
        <w:t>Through Assessment?</w:t>
      </w:r>
    </w:p>
    <w:p w:rsidR="57EC03ED" w:rsidP="006C7569" w:rsidRDefault="57EC03ED" w14:paraId="4D9D1A7D" w14:textId="1EEA1F10">
      <w:pPr>
        <w:pStyle w:val="Normal"/>
      </w:pPr>
      <w:r w:rsidRPr="1F4804E4" w:rsidR="57EC03ED">
        <w:rPr>
          <w:color w:val="4471C4"/>
        </w:rPr>
        <w:t xml:space="preserve">We are currently in discussions with NWEA regarding what is currently possible with reporting and what our future requirements will be for reporting. We understand the value of the MAP Growth suite reports and are working towards a solution </w:t>
      </w:r>
      <w:r w:rsidRPr="1F4804E4" w:rsidR="6A710153">
        <w:rPr>
          <w:color w:val="4471C4"/>
        </w:rPr>
        <w:t xml:space="preserve">for 2023-24 </w:t>
      </w:r>
      <w:r w:rsidRPr="1F4804E4" w:rsidR="57EC03ED">
        <w:rPr>
          <w:color w:val="4471C4"/>
        </w:rPr>
        <w:t>that incorporates</w:t>
      </w:r>
      <w:r w:rsidRPr="1F4804E4" w:rsidR="62556938">
        <w:rPr>
          <w:color w:val="4471C4"/>
        </w:rPr>
        <w:t xml:space="preserve"> many of those features.</w:t>
      </w:r>
    </w:p>
    <w:p w:rsidR="7A4ED257" w:rsidP="006C7569" w:rsidRDefault="7A4ED257" w14:paraId="73844EF7" w14:textId="20727119">
      <w:pPr>
        <w:pStyle w:val="Normal"/>
      </w:pPr>
      <w:r w:rsidR="7A4ED257">
        <w:rPr/>
        <w:t>Can you provide the link to register for the sessions?</w:t>
      </w:r>
    </w:p>
    <w:p w:rsidR="3ACDC950" w:rsidP="1F4804E4" w:rsidRDefault="3ACDC950" w14:paraId="6CF09EE4" w14:textId="550E2934">
      <w:pPr>
        <w:pStyle w:val="Normal"/>
        <w:rPr>
          <w:rFonts w:ascii="Calibri" w:hAnsi="Calibri" w:eastAsia="Calibri" w:cs="Calibri"/>
          <w:noProof w:val="0"/>
          <w:sz w:val="22"/>
          <w:szCs w:val="22"/>
          <w:lang w:val="en-US"/>
        </w:rPr>
      </w:pPr>
      <w:hyperlink r:id="R00bdd5ddd15c407a">
        <w:r w:rsidRPr="1F4804E4" w:rsidR="5C8326E7">
          <w:rPr>
            <w:rStyle w:val="Hyperlink"/>
            <w:rFonts w:ascii="Calibri" w:hAnsi="Calibri" w:eastAsia="Calibri" w:cs="Calibri"/>
            <w:strike w:val="0"/>
            <w:dstrike w:val="0"/>
            <w:noProof w:val="0"/>
            <w:sz w:val="22"/>
            <w:szCs w:val="22"/>
            <w:lang w:val="en-US"/>
          </w:rPr>
          <w:t>https://dpdol.nwea.org/pl/sa/ME/ME_StatewidePL_Catalog_FY23.pdf</w:t>
        </w:r>
      </w:hyperlink>
    </w:p>
    <w:p w:rsidR="006C7569" w:rsidP="1F4804E4" w:rsidRDefault="006C7569" w14:paraId="02C4B9BE" w14:textId="19C9D2FD">
      <w:pPr>
        <w:pStyle w:val="Normal"/>
        <w:ind w:left="0"/>
        <w:rPr>
          <w:rFonts w:ascii="Calibri" w:hAnsi="Calibri" w:eastAsia="Calibri" w:cs="Calibri" w:asciiTheme="minorAscii" w:hAnsiTheme="minorAscii" w:eastAsiaTheme="minorAscii" w:cstheme="minorAscii"/>
          <w:noProof w:val="0"/>
          <w:sz w:val="22"/>
          <w:szCs w:val="22"/>
          <w:lang w:val="en-US"/>
        </w:rPr>
      </w:pPr>
      <w:r w:rsidRPr="1F4804E4" w:rsidR="15FCDF8C">
        <w:rPr>
          <w:rFonts w:ascii="Calibri" w:hAnsi="Calibri" w:eastAsia="Calibri" w:cs="Calibri"/>
          <w:noProof w:val="0"/>
          <w:sz w:val="22"/>
          <w:szCs w:val="22"/>
          <w:lang w:val="en-US"/>
        </w:rPr>
        <w:t xml:space="preserve">If districts choose to not do both MAP Growth and the Maine Through Year Assessment this spring, how will districts do performance reports, ESSA applications this summer and fall?   </w:t>
      </w:r>
    </w:p>
    <w:p w:rsidR="006C7569" w:rsidP="1F4804E4" w:rsidRDefault="006C7569" w14:paraId="7AF5BFBB" w14:textId="647A6F1F">
      <w:pPr>
        <w:rPr>
          <w:rFonts w:ascii="Calibri" w:hAnsi="Calibri" w:eastAsia="Calibri" w:cs="Calibri"/>
          <w:i w:val="0"/>
          <w:iCs w:val="0"/>
          <w:noProof w:val="0"/>
          <w:color w:val="2E75B6"/>
          <w:sz w:val="22"/>
          <w:szCs w:val="22"/>
          <w:lang w:val="en-US"/>
        </w:rPr>
      </w:pPr>
      <w:r w:rsidRPr="1F4804E4" w:rsidR="15FCDF8C">
        <w:rPr>
          <w:rFonts w:ascii="Calibri" w:hAnsi="Calibri" w:eastAsia="Calibri" w:cs="Calibri"/>
          <w:i w:val="0"/>
          <w:iCs w:val="0"/>
          <w:noProof w:val="0"/>
          <w:color w:val="2E75B6"/>
          <w:sz w:val="22"/>
          <w:szCs w:val="22"/>
          <w:lang w:val="en-US"/>
        </w:rPr>
        <w:t xml:space="preserve">The CNA requests both local and state level data in order to triangulate the data and ensure multiple data points are taken into consideration when determining student supports and programming. If the SAU utilized MAP Growth in their ESSA application as a performance measure, the MTYA will garner a RIT score in addition to the summative score and therefore, the SAU should be able to report out on identified goals. The same would be true for the fall in determining next steps. </w:t>
      </w:r>
    </w:p>
    <w:p w:rsidR="006C7569" w:rsidP="1F4804E4" w:rsidRDefault="006C7569" w14:paraId="33941416" w14:textId="5AE9AB6D">
      <w:pPr>
        <w:pStyle w:val="Normal"/>
        <w:ind w:left="0"/>
        <w:rPr>
          <w:rFonts w:ascii="Calibri" w:hAnsi="Calibri" w:eastAsia="Calibri" w:cs="Calibri" w:asciiTheme="minorAscii" w:hAnsiTheme="minorAscii" w:eastAsiaTheme="minorAscii" w:cstheme="minorAscii"/>
          <w:noProof w:val="0"/>
          <w:sz w:val="22"/>
          <w:szCs w:val="22"/>
          <w:lang w:val="en-US"/>
        </w:rPr>
      </w:pPr>
      <w:r w:rsidRPr="1F4804E4" w:rsidR="15FCDF8C">
        <w:rPr>
          <w:rFonts w:ascii="Calibri" w:hAnsi="Calibri" w:eastAsia="Calibri" w:cs="Calibri"/>
          <w:noProof w:val="0"/>
          <w:sz w:val="22"/>
          <w:szCs w:val="22"/>
          <w:lang w:val="en-US"/>
        </w:rPr>
        <w:t xml:space="preserve">What will the DOE accept or what ideas can be shared to support districts, both if we choose and do not choose to administer MAP Growth? </w:t>
      </w:r>
    </w:p>
    <w:p w:rsidR="006C7569" w:rsidP="1F4804E4" w:rsidRDefault="006C7569" w14:paraId="76ABBB41" w14:textId="5ED4A309">
      <w:pPr>
        <w:rPr>
          <w:rFonts w:ascii="Calibri" w:hAnsi="Calibri" w:eastAsia="Calibri" w:cs="Calibri"/>
          <w:i w:val="0"/>
          <w:iCs w:val="0"/>
          <w:noProof w:val="0"/>
          <w:color w:val="2E75B6"/>
          <w:sz w:val="22"/>
          <w:szCs w:val="22"/>
          <w:lang w:val="en-US"/>
        </w:rPr>
      </w:pPr>
      <w:r w:rsidRPr="1F4804E4" w:rsidR="15FCDF8C">
        <w:rPr>
          <w:rFonts w:ascii="Calibri" w:hAnsi="Calibri" w:eastAsia="Calibri" w:cs="Calibri"/>
          <w:i w:val="0"/>
          <w:iCs w:val="0"/>
          <w:noProof w:val="0"/>
          <w:color w:val="2E75B6"/>
          <w:sz w:val="22"/>
          <w:szCs w:val="22"/>
          <w:lang w:val="en-US"/>
        </w:rPr>
        <w:t>State level assessment data should not be the only data point a SAU has at hand to inform decision making. The SAU should review what other local measures are utilized to inform program decision making in the development of goals etc. within the ESSA application and CNA.</w:t>
      </w:r>
    </w:p>
    <w:p w:rsidR="006C7569" w:rsidP="1F4804E4" w:rsidRDefault="006C7569" w14:paraId="1ADE8BF5" w14:textId="3AEEC1AB">
      <w:pPr>
        <w:pStyle w:val="Normal"/>
        <w:ind w:left="0"/>
        <w:rPr>
          <w:rFonts w:ascii="Calibri" w:hAnsi="Calibri" w:eastAsia="Calibri" w:cs="Calibri" w:asciiTheme="minorAscii" w:hAnsiTheme="minorAscii" w:eastAsiaTheme="minorAscii" w:cstheme="minorAscii"/>
          <w:noProof w:val="0"/>
          <w:sz w:val="22"/>
          <w:szCs w:val="22"/>
          <w:lang w:val="en-US"/>
        </w:rPr>
      </w:pPr>
      <w:r w:rsidRPr="1F4804E4" w:rsidR="15FCDF8C">
        <w:rPr>
          <w:rFonts w:ascii="Calibri" w:hAnsi="Calibri" w:eastAsia="Calibri" w:cs="Calibri"/>
          <w:noProof w:val="0"/>
          <w:sz w:val="22"/>
          <w:szCs w:val="22"/>
          <w:lang w:val="en-US"/>
        </w:rPr>
        <w:t>If we used NWEA RIT score data in goal setting for Title funding</w:t>
      </w:r>
      <w:proofErr w:type="gramStart"/>
      <w:r w:rsidRPr="1F4804E4" w:rsidR="15FCDF8C">
        <w:rPr>
          <w:rFonts w:ascii="Calibri" w:hAnsi="Calibri" w:eastAsia="Calibri" w:cs="Calibri"/>
          <w:noProof w:val="0"/>
          <w:sz w:val="22"/>
          <w:szCs w:val="22"/>
          <w:lang w:val="en-US"/>
        </w:rPr>
        <w:t>…</w:t>
      </w:r>
      <w:proofErr w:type="gramEnd"/>
      <w:r w:rsidRPr="1F4804E4" w:rsidR="15FCDF8C">
        <w:rPr>
          <w:rFonts w:ascii="Calibri" w:hAnsi="Calibri" w:eastAsia="Calibri" w:cs="Calibri"/>
          <w:noProof w:val="0"/>
          <w:sz w:val="22"/>
          <w:szCs w:val="22"/>
          <w:lang w:val="en-US"/>
        </w:rPr>
        <w:t xml:space="preserve"> will we be able to have RIT scores before the new Title application and/or Performance Reports are due? </w:t>
      </w:r>
    </w:p>
    <w:p w:rsidR="006C7569" w:rsidP="0EA7AEAC" w:rsidRDefault="006C7569" w14:paraId="551EE45B" w14:textId="19EAAF7A">
      <w:pPr>
        <w:rPr>
          <w:rFonts w:ascii="Calibri" w:hAnsi="Calibri" w:eastAsia="Calibri" w:cs="Calibri"/>
          <w:i w:val="0"/>
          <w:iCs w:val="0"/>
          <w:noProof w:val="0"/>
          <w:color w:val="2E75B6"/>
          <w:sz w:val="22"/>
          <w:szCs w:val="22"/>
          <w:lang w:val="en-US"/>
        </w:rPr>
      </w:pPr>
      <w:r w:rsidRPr="0EA7AEAC" w:rsidR="15FCDF8C">
        <w:rPr>
          <w:rFonts w:ascii="Calibri" w:hAnsi="Calibri" w:eastAsia="Calibri" w:cs="Calibri"/>
          <w:i w:val="0"/>
          <w:iCs w:val="0"/>
          <w:noProof w:val="0"/>
          <w:color w:val="2E75B6"/>
          <w:sz w:val="22"/>
          <w:szCs w:val="22"/>
          <w:lang w:val="en-US"/>
        </w:rPr>
        <w:t>Application is open in May and due August 1.</w:t>
      </w:r>
      <w:r w:rsidRPr="0EA7AEAC" w:rsidR="6A23CC43">
        <w:rPr>
          <w:rFonts w:ascii="Calibri" w:hAnsi="Calibri" w:eastAsia="Calibri" w:cs="Calibri"/>
          <w:i w:val="0"/>
          <w:iCs w:val="0"/>
          <w:noProof w:val="0"/>
          <w:color w:val="2E75B6"/>
          <w:sz w:val="22"/>
          <w:szCs w:val="22"/>
          <w:lang w:val="en-US"/>
        </w:rPr>
        <w:t xml:space="preserve"> Performance reports are due November 1.</w:t>
      </w:r>
      <w:r w:rsidRPr="0EA7AEAC" w:rsidR="15FCDF8C">
        <w:rPr>
          <w:rFonts w:ascii="Calibri" w:hAnsi="Calibri" w:eastAsia="Calibri" w:cs="Calibri"/>
          <w:i w:val="0"/>
          <w:iCs w:val="0"/>
          <w:noProof w:val="0"/>
          <w:color w:val="2E75B6"/>
          <w:sz w:val="22"/>
          <w:szCs w:val="22"/>
          <w:lang w:val="en-US"/>
        </w:rPr>
        <w:t xml:space="preserve"> RIT scores will be received during the summer. We anticipate receiving Through Year Assessment results from NWEA in August 2023, which will also be available at that time to SAUs and schools through the NWEA state platform.</w:t>
      </w:r>
    </w:p>
    <w:p w:rsidR="4A2F0D16" w:rsidP="006C7569" w:rsidRDefault="4A2F0D16" w14:paraId="3D41EBD8" w14:textId="229CD977">
      <w:pPr>
        <w:pStyle w:val="Normal"/>
        <w:rPr>
          <w:b w:val="1"/>
          <w:bCs w:val="1"/>
        </w:rPr>
      </w:pPr>
      <w:r w:rsidRPr="006C7569" w:rsidR="4A2F0D16">
        <w:rPr>
          <w:b w:val="1"/>
          <w:bCs w:val="1"/>
        </w:rPr>
        <w:t>Maine Science</w:t>
      </w:r>
    </w:p>
    <w:p w:rsidR="1FEB1634" w:rsidP="006C7569" w:rsidRDefault="1FEB1634" w14:paraId="5E03A32A" w14:textId="57BA4D92">
      <w:pPr>
        <w:pStyle w:val="Normal"/>
      </w:pPr>
      <w:r w:rsidRPr="006C7569" w:rsidR="1FEB1634">
        <w:rPr>
          <w:i w:val="1"/>
          <w:iCs w:val="1"/>
        </w:rPr>
        <w:t>No questions</w:t>
      </w:r>
    </w:p>
    <w:p w:rsidR="4A2F0D16" w:rsidP="006C7569" w:rsidRDefault="4A2F0D16" w14:paraId="28ACEF7F" w14:textId="517129C6">
      <w:pPr>
        <w:pStyle w:val="Normal"/>
        <w:rPr>
          <w:b w:val="1"/>
          <w:bCs w:val="1"/>
        </w:rPr>
      </w:pPr>
      <w:r w:rsidRPr="006C7569" w:rsidR="4A2F0D16">
        <w:rPr>
          <w:b w:val="1"/>
          <w:bCs w:val="1"/>
        </w:rPr>
        <w:t>ACCESS/ALT ACCESS</w:t>
      </w:r>
    </w:p>
    <w:p w:rsidR="119DFF39" w:rsidP="006C7569" w:rsidRDefault="119DFF39" w14:paraId="2707EA13" w14:textId="7564AA65">
      <w:pPr>
        <w:pStyle w:val="Normal"/>
      </w:pPr>
      <w:r w:rsidRPr="006C7569" w:rsidR="119DFF39">
        <w:rPr>
          <w:i w:val="1"/>
          <w:iCs w:val="1"/>
        </w:rPr>
        <w:t>No questions</w:t>
      </w:r>
    </w:p>
    <w:p w:rsidR="4A2F0D16" w:rsidP="006C7569" w:rsidRDefault="4A2F0D16" w14:paraId="482DB3D2" w14:textId="31C56F55">
      <w:pPr>
        <w:pStyle w:val="Normal"/>
      </w:pPr>
      <w:r w:rsidRPr="006C7569" w:rsidR="4A2F0D16">
        <w:rPr>
          <w:b w:val="1"/>
          <w:bCs w:val="1"/>
        </w:rPr>
        <w:t>MSAA</w:t>
      </w:r>
    </w:p>
    <w:p w:rsidR="3216751C" w:rsidP="006C7569" w:rsidRDefault="3216751C" w14:paraId="55A9CD1B" w14:textId="701480A4">
      <w:pPr>
        <w:pStyle w:val="Normal"/>
        <w:rPr>
          <w:i w:val="1"/>
          <w:iCs w:val="1"/>
        </w:rPr>
      </w:pPr>
      <w:r w:rsidRPr="006C7569" w:rsidR="3216751C">
        <w:rPr>
          <w:i w:val="1"/>
          <w:iCs w:val="1"/>
        </w:rPr>
        <w:t>No questions</w:t>
      </w:r>
    </w:p>
    <w:p w:rsidR="4A2F0D16" w:rsidP="006C7569" w:rsidRDefault="4A2F0D16" w14:paraId="770393DD" w14:textId="2876DBB7">
      <w:pPr>
        <w:pStyle w:val="Normal"/>
        <w:rPr>
          <w:b w:val="1"/>
          <w:bCs w:val="1"/>
        </w:rPr>
      </w:pPr>
      <w:r w:rsidRPr="006C7569" w:rsidR="4A2F0D16">
        <w:rPr>
          <w:b w:val="1"/>
          <w:bCs w:val="1"/>
        </w:rPr>
        <w:t>MSAA Science</w:t>
      </w:r>
    </w:p>
    <w:p w:rsidR="11CD51AA" w:rsidP="006C7569" w:rsidRDefault="11CD51AA" w14:paraId="472F45D0" w14:textId="47098749">
      <w:pPr>
        <w:pStyle w:val="Normal"/>
      </w:pPr>
      <w:r w:rsidRPr="006C7569" w:rsidR="11CD51AA">
        <w:rPr>
          <w:i w:val="1"/>
          <w:iCs w:val="1"/>
        </w:rPr>
        <w:t>No questions</w:t>
      </w:r>
    </w:p>
    <w:p w:rsidR="4A2F0D16" w:rsidP="006C7569" w:rsidRDefault="4A2F0D16" w14:paraId="5176B09A" w14:textId="0744693A">
      <w:pPr>
        <w:pStyle w:val="Normal"/>
        <w:rPr>
          <w:b w:val="1"/>
          <w:bCs w:val="1"/>
        </w:rPr>
      </w:pPr>
      <w:r w:rsidRPr="006C7569" w:rsidR="4A2F0D16">
        <w:rPr>
          <w:b w:val="1"/>
          <w:bCs w:val="1"/>
        </w:rPr>
        <w:t>NAEP &amp; International</w:t>
      </w:r>
    </w:p>
    <w:p w:rsidR="46C2565F" w:rsidP="006C7569" w:rsidRDefault="46C2565F" w14:paraId="0D7B41BE" w14:textId="4291274E">
      <w:pPr>
        <w:pStyle w:val="Normal"/>
      </w:pPr>
      <w:r w:rsidRPr="006C7569" w:rsidR="46C2565F">
        <w:rPr>
          <w:i w:val="1"/>
          <w:iCs w:val="1"/>
        </w:rPr>
        <w:t>No questions</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8a82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1ADAD0"/>
    <w:rsid w:val="006C7569"/>
    <w:rsid w:val="019F082D"/>
    <w:rsid w:val="0C71BEA1"/>
    <w:rsid w:val="0E6A7F5E"/>
    <w:rsid w:val="0E905E76"/>
    <w:rsid w:val="0EA7AEAC"/>
    <w:rsid w:val="119DFF39"/>
    <w:rsid w:val="11CD51AA"/>
    <w:rsid w:val="14B153C4"/>
    <w:rsid w:val="15FCDF8C"/>
    <w:rsid w:val="1F4804E4"/>
    <w:rsid w:val="1FEB1634"/>
    <w:rsid w:val="223FC950"/>
    <w:rsid w:val="22F9BF38"/>
    <w:rsid w:val="251DB14A"/>
    <w:rsid w:val="255EB1CC"/>
    <w:rsid w:val="3216751C"/>
    <w:rsid w:val="342BAA4E"/>
    <w:rsid w:val="35327918"/>
    <w:rsid w:val="36AB9662"/>
    <w:rsid w:val="38EBA5B5"/>
    <w:rsid w:val="391A14CE"/>
    <w:rsid w:val="39AA022C"/>
    <w:rsid w:val="3ACDC950"/>
    <w:rsid w:val="3E3F024A"/>
    <w:rsid w:val="3F2D303F"/>
    <w:rsid w:val="3F450A61"/>
    <w:rsid w:val="40C900A0"/>
    <w:rsid w:val="40C900A0"/>
    <w:rsid w:val="420DD951"/>
    <w:rsid w:val="43458722"/>
    <w:rsid w:val="4452A448"/>
    <w:rsid w:val="46C2565F"/>
    <w:rsid w:val="4A2F0D16"/>
    <w:rsid w:val="4D1ADAD0"/>
    <w:rsid w:val="4F5D9FC3"/>
    <w:rsid w:val="52F33798"/>
    <w:rsid w:val="5674634A"/>
    <w:rsid w:val="568D3023"/>
    <w:rsid w:val="57EC03ED"/>
    <w:rsid w:val="59D2D9F6"/>
    <w:rsid w:val="5BA9BB82"/>
    <w:rsid w:val="5C8326E7"/>
    <w:rsid w:val="5DBBAF34"/>
    <w:rsid w:val="5DBBAF34"/>
    <w:rsid w:val="5ED86807"/>
    <w:rsid w:val="5EE15C44"/>
    <w:rsid w:val="62556938"/>
    <w:rsid w:val="6A23CC43"/>
    <w:rsid w:val="6A710153"/>
    <w:rsid w:val="6A7F36B1"/>
    <w:rsid w:val="72B05CCF"/>
    <w:rsid w:val="78A2831C"/>
    <w:rsid w:val="7A4ED257"/>
    <w:rsid w:val="7AAAB3A2"/>
    <w:rsid w:val="7D609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DAD0"/>
  <w15:chartTrackingRefBased/>
  <w15:docId w15:val="{8FB5F9B4-A387-4F3D-AFDF-A0141C60E7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11/relationships/people" Target="people.xml" Id="Ra07c2b726fc34084" /><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11/relationships/commentsExtended" Target="commentsExtended.xml" Id="R1c241fea7da142d0"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16/09/relationships/commentsIds" Target="commentsIds.xml" Id="Rf5a330b770134d45" /><Relationship Type="http://schemas.openxmlformats.org/officeDocument/2006/relationships/fontTable" Target="fontTable.xml" Id="rId4" /><Relationship Type="http://schemas.openxmlformats.org/officeDocument/2006/relationships/hyperlink" Target="https://gcc02.safelinks.protection.outlook.com/?url=https%3A%2F%2Fdpdol.nwea.org%2Fpl%2Fsa%2FME%2FME_StatewidePL_Catalog_FY23.pdf&amp;data=05%7C01%7Ckrista.averill%40maine.gov%7Ce548a7e318044e1bfc5c08dadeee89f2%7C413fa8ab207d4b629bcdea1a8f2f864e%7C0%7C0%7C638067413479636094%7CUnknown%7CTWFpbGZsb3d8eyJWIjoiMC4wLjAwMDAiLCJQIjoiV2luMzIiLCJBTiI6Ik1haWwiLCJXVCI6Mn0%3D%7C3000%7C%7C%7C&amp;sdata=LPtshhr188Xmc9rhVxhasyzoLM8NLX1L3ATk6HeNTrM%3D&amp;reserved=0" TargetMode="External" Id="R00bdd5ddd15c407a" /><Relationship Type="http://schemas.openxmlformats.org/officeDocument/2006/relationships/numbering" Target="numbering.xml" Id="Re09a17a0098c45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6" ma:contentTypeDescription="Create a new document." ma:contentTypeScope="" ma:versionID="b2fabe995d6042154c1d1e2d83353db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b0e16be3f15cee196ef3fd46b16307d2"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2331d9-b082-47e8-9f9f-59d085010bb2}" ma:internalName="TaxCatchAll" ma:showField="CatchAllData" ma:web="84c01c9a-618d-4c42-99a5-206293691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4c01c9a-618d-4c42-99a5-20629369116a" xsi:nil="true"/>
    <lcf76f155ced4ddcb4097134ff3c332f xmlns="f2504363-5ef8-426c-bff7-6d35b5990f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0B5BF2-4E13-497F-89D5-142B70052102}"/>
</file>

<file path=customXml/itemProps2.xml><?xml version="1.0" encoding="utf-8"?>
<ds:datastoreItem xmlns:ds="http://schemas.openxmlformats.org/officeDocument/2006/customXml" ds:itemID="{B5281A4D-0F38-4C90-9A0F-DE46E4F5FF01}"/>
</file>

<file path=customXml/itemProps3.xml><?xml version="1.0" encoding="utf-8"?>
<ds:datastoreItem xmlns:ds="http://schemas.openxmlformats.org/officeDocument/2006/customXml" ds:itemID="{75CA29B7-D1ED-4C96-9DBA-C97721C992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Lewis, Regina</dc:creator>
  <keywords/>
  <dc:description/>
  <lastModifiedBy>Averill, Krista</lastModifiedBy>
  <dcterms:created xsi:type="dcterms:W3CDTF">2022-12-14T16:46:21.0000000Z</dcterms:created>
  <dcterms:modified xsi:type="dcterms:W3CDTF">2022-12-19T12:56:28.6149619Z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MediaServiceImageTags">
    <vt:lpwstr/>
  </property>
</Properties>
</file>