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ind w:left="0" w:firstLine="0"/>
        <w:jc w:val="left"/>
        <w:rPr>
          <w:b w:val="1"/>
          <w:u w:val="single"/>
          <w:shd w:fill="ff9900" w:val="clear"/>
        </w:rPr>
      </w:pPr>
      <w:r w:rsidDel="00000000" w:rsidR="00000000" w:rsidRPr="00000000">
        <w:rPr>
          <w:rtl w:val="0"/>
        </w:rPr>
      </w:r>
    </w:p>
    <w:p w:rsidR="00000000" w:rsidDel="00000000" w:rsidP="00000000" w:rsidRDefault="00000000" w:rsidRPr="00000000" w14:paraId="00000002">
      <w:pPr>
        <w:pageBreakBefore w:val="0"/>
        <w:ind w:left="0" w:firstLine="0"/>
        <w:jc w:val="left"/>
        <w:rPr>
          <w:b w:val="1"/>
          <w:u w:val="single"/>
        </w:rPr>
      </w:pPr>
      <w:r w:rsidDel="00000000" w:rsidR="00000000" w:rsidRPr="00000000">
        <w:rPr>
          <w:rtl w:val="0"/>
        </w:rPr>
      </w:r>
    </w:p>
    <w:p w:rsidR="00000000" w:rsidDel="00000000" w:rsidP="00000000" w:rsidRDefault="00000000" w:rsidRPr="00000000" w14:paraId="00000003">
      <w:pPr>
        <w:pageBreakBefore w:val="0"/>
        <w:ind w:left="0" w:firstLine="0"/>
        <w:jc w:val="left"/>
        <w:rPr>
          <w:b w:val="1"/>
          <w:u w:val="single"/>
        </w:rPr>
      </w:pPr>
      <w:r w:rsidDel="00000000" w:rsidR="00000000" w:rsidRPr="00000000">
        <w:rPr>
          <w:b w:val="1"/>
          <w:u w:val="single"/>
          <w:rtl w:val="0"/>
        </w:rPr>
        <w:t xml:space="preserve">Visual Art Standards Writing Recommendations</w:t>
      </w:r>
      <w:r w:rsidDel="00000000" w:rsidR="00000000" w:rsidRPr="00000000">
        <w:rPr>
          <w:rtl w:val="0"/>
        </w:rPr>
      </w:r>
    </w:p>
    <w:p w:rsidR="00000000" w:rsidDel="00000000" w:rsidP="00000000" w:rsidRDefault="00000000" w:rsidRPr="00000000" w14:paraId="00000004">
      <w:pPr>
        <w:pageBreakBefore w:val="0"/>
        <w:ind w:left="0" w:firstLine="0"/>
        <w:jc w:val="left"/>
        <w:rPr>
          <w:b w:val="1"/>
          <w:u w:val="single"/>
        </w:rPr>
      </w:pPr>
      <w:r w:rsidDel="00000000" w:rsidR="00000000" w:rsidRPr="00000000">
        <w:rPr>
          <w:rtl w:val="0"/>
        </w:rPr>
      </w:r>
    </w:p>
    <w:p w:rsidR="00000000" w:rsidDel="00000000" w:rsidP="00000000" w:rsidRDefault="00000000" w:rsidRPr="00000000" w14:paraId="00000005">
      <w:pPr>
        <w:pageBreakBefore w:val="0"/>
        <w:rPr>
          <w:i w:val="1"/>
        </w:rPr>
      </w:pPr>
      <w:r w:rsidDel="00000000" w:rsidR="00000000" w:rsidRPr="00000000">
        <w:rPr>
          <w:i w:val="1"/>
          <w:rtl w:val="0"/>
        </w:rPr>
        <w:t xml:space="preserve">The Steering Committee asks that the writing team for Visual art change the overall structure of the Maine Learning Results to reflect the work of the National Coalition for Core Arts Standards (NCCAS) from 2016. The Steering Committee believes the focus on the four artistic processes and eleven anchor standards, with the accompanying Essential Questions and Enduring Understandings that are included in the NCCAS model provide an</w:t>
      </w:r>
      <w:r w:rsidDel="00000000" w:rsidR="00000000" w:rsidRPr="00000000">
        <w:rPr>
          <w:i w:val="1"/>
          <w:rtl w:val="0"/>
        </w:rPr>
        <w:t xml:space="preserve"> excellent overall structure that would work well for Maine Visual Art students.  The NCAS model offers clarity of purpose and supports the Maine Guiding Principles. </w:t>
      </w:r>
      <w:r w:rsidDel="00000000" w:rsidR="00000000" w:rsidRPr="00000000">
        <w:rPr>
          <w:rtl w:val="0"/>
        </w:rPr>
      </w:r>
    </w:p>
    <w:p w:rsidR="00000000" w:rsidDel="00000000" w:rsidP="00000000" w:rsidRDefault="00000000" w:rsidRPr="00000000" w14:paraId="00000006">
      <w:pPr>
        <w:pageBreakBefore w:val="0"/>
        <w:ind w:left="0" w:firstLine="0"/>
        <w:jc w:val="left"/>
        <w:rPr>
          <w:b w:val="1"/>
          <w:i w:val="1"/>
          <w:u w:val="single"/>
        </w:rPr>
      </w:pPr>
      <w:r w:rsidDel="00000000" w:rsidR="00000000" w:rsidRPr="00000000">
        <w:rPr>
          <w:rtl w:val="0"/>
        </w:rPr>
      </w:r>
    </w:p>
    <w:p w:rsidR="00000000" w:rsidDel="00000000" w:rsidP="00000000" w:rsidRDefault="00000000" w:rsidRPr="00000000" w14:paraId="00000007">
      <w:pPr>
        <w:pageBreakBefore w:val="0"/>
        <w:rPr>
          <w:i w:val="1"/>
        </w:rPr>
      </w:pPr>
      <w:r w:rsidDel="00000000" w:rsidR="00000000" w:rsidRPr="00000000">
        <w:rPr>
          <w:i w:val="1"/>
          <w:rtl w:val="0"/>
        </w:rPr>
        <w:t xml:space="preserve">The  guidance for the visual art writing team was created after careful review of the MLR as well as new standards that have been developed since 2007.  </w:t>
      </w:r>
    </w:p>
    <w:p w:rsidR="00000000" w:rsidDel="00000000" w:rsidP="00000000" w:rsidRDefault="00000000" w:rsidRPr="00000000" w14:paraId="00000008">
      <w:pPr>
        <w:pageBreakBefore w:val="0"/>
        <w:rPr>
          <w:b w:val="1"/>
        </w:rPr>
      </w:pPr>
      <w:r w:rsidDel="00000000" w:rsidR="00000000" w:rsidRPr="00000000">
        <w:rPr>
          <w:rtl w:val="0"/>
        </w:rPr>
      </w:r>
    </w:p>
    <w:p w:rsidR="00000000" w:rsidDel="00000000" w:rsidP="00000000" w:rsidRDefault="00000000" w:rsidRPr="00000000" w14:paraId="00000009">
      <w:pPr>
        <w:pageBreakBefore w:val="0"/>
        <w:rPr>
          <w:b w:val="1"/>
          <w:color w:val="9900ff"/>
        </w:rPr>
      </w:pPr>
      <w:r w:rsidDel="00000000" w:rsidR="00000000" w:rsidRPr="00000000">
        <w:rPr>
          <w:b w:val="1"/>
          <w:rtl w:val="0"/>
        </w:rPr>
        <w:t xml:space="preserve">Visual Art Section Introduction:   </w:t>
      </w:r>
      <w:r w:rsidDel="00000000" w:rsidR="00000000" w:rsidRPr="00000000">
        <w:rPr>
          <w:rtl w:val="0"/>
        </w:rPr>
      </w:r>
    </w:p>
    <w:p w:rsidR="00000000" w:rsidDel="00000000" w:rsidP="00000000" w:rsidRDefault="00000000" w:rsidRPr="00000000" w14:paraId="0000000A">
      <w:pPr>
        <w:pageBreakBefore w:val="0"/>
        <w:rPr>
          <w:b w:val="1"/>
          <w:color w:val="9900ff"/>
        </w:rPr>
      </w:pPr>
      <w:r w:rsidDel="00000000" w:rsidR="00000000" w:rsidRPr="00000000">
        <w:rPr>
          <w:rtl w:val="0"/>
        </w:rPr>
      </w:r>
    </w:p>
    <w:p w:rsidR="00000000" w:rsidDel="00000000" w:rsidP="00000000" w:rsidRDefault="00000000" w:rsidRPr="00000000" w14:paraId="0000000B">
      <w:pPr>
        <w:pageBreakBefore w:val="0"/>
        <w:numPr>
          <w:ilvl w:val="0"/>
          <w:numId w:val="1"/>
        </w:numPr>
        <w:ind w:left="720" w:hanging="360"/>
        <w:rPr/>
      </w:pPr>
      <w:r w:rsidDel="00000000" w:rsidR="00000000" w:rsidRPr="00000000">
        <w:rPr>
          <w:rtl w:val="0"/>
        </w:rPr>
        <w:t xml:space="preserve">Include statements that indicate that study in Visual Arts includes creative problem solving, creative thinking, and the c</w:t>
      </w:r>
      <w:r w:rsidDel="00000000" w:rsidR="00000000" w:rsidRPr="00000000">
        <w:rPr>
          <w:rtl w:val="0"/>
        </w:rPr>
        <w:t xml:space="preserve">reative process,</w:t>
      </w:r>
      <w:r w:rsidDel="00000000" w:rsidR="00000000" w:rsidRPr="00000000">
        <w:rPr>
          <w:rtl w:val="0"/>
        </w:rPr>
        <w:t xml:space="preserve"> along with skill building with art media, exposure to a variety of media (traditional and emerging), and varied approaches to art making; and that decisions about very specific media and knowledge happen at the local level during curriculum design.  </w:t>
      </w:r>
      <w:r w:rsidDel="00000000" w:rsidR="00000000" w:rsidRPr="00000000">
        <w:rPr>
          <w:rtl w:val="0"/>
        </w:rPr>
      </w:r>
    </w:p>
    <w:p w:rsidR="00000000" w:rsidDel="00000000" w:rsidP="00000000" w:rsidRDefault="00000000" w:rsidRPr="00000000" w14:paraId="0000000C">
      <w:pPr>
        <w:pageBreakBefore w:val="0"/>
        <w:ind w:left="720" w:firstLine="0"/>
        <w:rPr>
          <w:color w:val="4c1130"/>
        </w:rPr>
      </w:pPr>
      <w:r w:rsidDel="00000000" w:rsidR="00000000" w:rsidRPr="00000000">
        <w:rPr>
          <w:rtl w:val="0"/>
        </w:rPr>
      </w:r>
    </w:p>
    <w:p w:rsidR="00000000" w:rsidDel="00000000" w:rsidP="00000000" w:rsidRDefault="00000000" w:rsidRPr="00000000" w14:paraId="0000000D">
      <w:pPr>
        <w:pageBreakBefore w:val="0"/>
        <w:numPr>
          <w:ilvl w:val="0"/>
          <w:numId w:val="3"/>
        </w:numPr>
        <w:ind w:left="720" w:hanging="360"/>
        <w:rPr/>
      </w:pPr>
      <w:r w:rsidDel="00000000" w:rsidR="00000000" w:rsidRPr="00000000">
        <w:rPr>
          <w:rtl w:val="0"/>
        </w:rPr>
        <w:t xml:space="preserve">Consult </w:t>
      </w:r>
      <w:r w:rsidDel="00000000" w:rsidR="00000000" w:rsidRPr="00000000">
        <w:rPr>
          <w:rtl w:val="0"/>
        </w:rPr>
        <w:t xml:space="preserve">NY language about visual literacy to include in Introduction.  Include keywords/ideas, </w:t>
      </w:r>
      <w:r w:rsidDel="00000000" w:rsidR="00000000" w:rsidRPr="00000000">
        <w:rPr>
          <w:color w:val="ff0000"/>
          <w:rtl w:val="0"/>
        </w:rPr>
        <w:t xml:space="preserve">highlighted in red</w:t>
      </w:r>
      <w:r w:rsidDel="00000000" w:rsidR="00000000" w:rsidRPr="00000000">
        <w:rPr>
          <w:color w:val="ff0000"/>
          <w:rtl w:val="0"/>
        </w:rPr>
        <w:t xml:space="preserve">:</w:t>
      </w:r>
      <w:r w:rsidDel="00000000" w:rsidR="00000000" w:rsidRPr="00000000">
        <w:rPr>
          <w:rtl w:val="0"/>
        </w:rPr>
      </w:r>
    </w:p>
    <w:p w:rsidR="00000000" w:rsidDel="00000000" w:rsidP="00000000" w:rsidRDefault="00000000" w:rsidRPr="00000000" w14:paraId="0000000E">
      <w:pPr>
        <w:pageBreakBefore w:val="0"/>
        <w:ind w:left="720" w:firstLine="0"/>
        <w:rPr>
          <w:color w:val="38761d"/>
        </w:rPr>
      </w:pPr>
      <w:r w:rsidDel="00000000" w:rsidR="00000000" w:rsidRPr="00000000">
        <w:rPr>
          <w:rtl w:val="0"/>
        </w:rPr>
      </w:r>
    </w:p>
    <w:p w:rsidR="00000000" w:rsidDel="00000000" w:rsidP="00000000" w:rsidRDefault="00000000" w:rsidRPr="00000000" w14:paraId="0000000F">
      <w:pPr>
        <w:pageBreakBefore w:val="0"/>
        <w:ind w:left="720" w:firstLine="0"/>
        <w:rPr>
          <w:color w:val="ff0000"/>
        </w:rPr>
      </w:pPr>
      <w:r w:rsidDel="00000000" w:rsidR="00000000" w:rsidRPr="00000000">
        <w:rPr>
          <w:rtl w:val="0"/>
        </w:rPr>
        <w:t xml:space="preserve"> “Tools for navigating the internal and external worlds Visual arts study is essential to developing another key </w:t>
      </w:r>
      <w:r w:rsidDel="00000000" w:rsidR="00000000" w:rsidRPr="00000000">
        <w:rPr>
          <w:rtl w:val="0"/>
        </w:rPr>
        <w:t xml:space="preserve">21st century skil</w:t>
      </w:r>
      <w:r w:rsidDel="00000000" w:rsidR="00000000" w:rsidRPr="00000000">
        <w:rPr>
          <w:rtl w:val="0"/>
        </w:rPr>
        <w:t xml:space="preserve">l, </w:t>
      </w:r>
      <w:r w:rsidDel="00000000" w:rsidR="00000000" w:rsidRPr="00000000">
        <w:rPr>
          <w:color w:val="ff0000"/>
          <w:rtl w:val="0"/>
        </w:rPr>
        <w:t xml:space="preserve">Visual Literacy.</w:t>
      </w:r>
      <w:r w:rsidDel="00000000" w:rsidR="00000000" w:rsidRPr="00000000">
        <w:rPr>
          <w:color w:val="38761d"/>
          <w:rtl w:val="0"/>
        </w:rPr>
        <w:t xml:space="preserve"> </w:t>
      </w:r>
      <w:r w:rsidDel="00000000" w:rsidR="00000000" w:rsidRPr="00000000">
        <w:rPr>
          <w:rtl w:val="0"/>
        </w:rPr>
        <w:t xml:space="preserve">Visual literacy permits students to become active initiators, rather than passive receivers, of image-based communication, and to understand how messages, information, and meaning are conveyed through organization and presentation of image(s) and images-with-text. Students become aware of how images are also used to influence ideas, sell products, etc. and are equipped to mediate imagery’s impact, and choose (or not) to be influenced. </w:t>
      </w:r>
      <w:r w:rsidDel="00000000" w:rsidR="00000000" w:rsidRPr="00000000">
        <w:rPr>
          <w:color w:val="ff0000"/>
          <w:rtl w:val="0"/>
        </w:rPr>
        <w:t xml:space="preserve">Creativity and innovation</w:t>
      </w:r>
      <w:r w:rsidDel="00000000" w:rsidR="00000000" w:rsidRPr="00000000">
        <w:rPr>
          <w:color w:val="38761d"/>
          <w:rtl w:val="0"/>
        </w:rPr>
        <w:t xml:space="preserve"> </w:t>
      </w:r>
      <w:r w:rsidDel="00000000" w:rsidR="00000000" w:rsidRPr="00000000">
        <w:rPr>
          <w:rtl w:val="0"/>
        </w:rPr>
        <w:t xml:space="preserve">are essential components of sequential instruction in the visual arts, and are critical to understanding the value of visual arts in the school curricula. Visual art fosters</w:t>
      </w:r>
      <w:r w:rsidDel="00000000" w:rsidR="00000000" w:rsidRPr="00000000">
        <w:rPr>
          <w:color w:val="38761d"/>
          <w:rtl w:val="0"/>
        </w:rPr>
        <w:t xml:space="preserve"> </w:t>
      </w:r>
      <w:r w:rsidDel="00000000" w:rsidR="00000000" w:rsidRPr="00000000">
        <w:rPr>
          <w:color w:val="ff0000"/>
          <w:rtl w:val="0"/>
        </w:rPr>
        <w:t xml:space="preserve">innovative thought. Innovations lead to new understandings, and help cultures to move </w:t>
      </w:r>
      <w:r w:rsidDel="00000000" w:rsidR="00000000" w:rsidRPr="00000000">
        <w:rPr>
          <w:rtl w:val="0"/>
        </w:rPr>
        <w:t xml:space="preserve">forward. The visual arts are essential to innovative,</w:t>
      </w:r>
      <w:r w:rsidDel="00000000" w:rsidR="00000000" w:rsidRPr="00000000">
        <w:rPr>
          <w:color w:val="38761d"/>
          <w:rtl w:val="0"/>
        </w:rPr>
        <w:t xml:space="preserve"> </w:t>
      </w:r>
      <w:r w:rsidDel="00000000" w:rsidR="00000000" w:rsidRPr="00000000">
        <w:rPr>
          <w:color w:val="ff0000"/>
          <w:rtl w:val="0"/>
        </w:rPr>
        <w:t xml:space="preserve">interdisciplinary problem-solving</w:t>
      </w:r>
      <w:r w:rsidDel="00000000" w:rsidR="00000000" w:rsidRPr="00000000">
        <w:rPr>
          <w:color w:val="38761d"/>
          <w:rtl w:val="0"/>
        </w:rPr>
        <w:t xml:space="preserve">. </w:t>
      </w:r>
      <w:r w:rsidDel="00000000" w:rsidR="00000000" w:rsidRPr="00000000">
        <w:rPr>
          <w:rtl w:val="0"/>
        </w:rPr>
        <w:t xml:space="preserve">A summary of innovative skills fostered by visual arts instruction includes: •</w:t>
        <w:tab/>
      </w:r>
      <w:r w:rsidDel="00000000" w:rsidR="00000000" w:rsidRPr="00000000">
        <w:rPr>
          <w:color w:val="38761d"/>
          <w:rtl w:val="0"/>
        </w:rPr>
        <w:t xml:space="preserve"> </w:t>
      </w:r>
      <w:r w:rsidDel="00000000" w:rsidR="00000000" w:rsidRPr="00000000">
        <w:rPr>
          <w:color w:val="ff0000"/>
          <w:rtl w:val="0"/>
        </w:rPr>
        <w:t xml:space="preserve">curiosity, which is a habit of asking good questions and a desire to understand more deeply; •</w:t>
      </w:r>
      <w:r w:rsidDel="00000000" w:rsidR="00000000" w:rsidRPr="00000000">
        <w:rPr>
          <w:color w:val="38761d"/>
          <w:rtl w:val="0"/>
        </w:rPr>
        <w:t xml:space="preserve"> </w:t>
      </w:r>
      <w:r w:rsidDel="00000000" w:rsidR="00000000" w:rsidRPr="00000000">
        <w:rPr>
          <w:color w:val="ff0000"/>
          <w:rtl w:val="0"/>
        </w:rPr>
        <w:t xml:space="preserve">collaboration</w:t>
      </w:r>
      <w:r w:rsidDel="00000000" w:rsidR="00000000" w:rsidRPr="00000000">
        <w:rPr>
          <w:color w:val="38761d"/>
          <w:rtl w:val="0"/>
        </w:rPr>
        <w:t xml:space="preserve">, </w:t>
      </w:r>
      <w:r w:rsidDel="00000000" w:rsidR="00000000" w:rsidRPr="00000000">
        <w:rPr>
          <w:rtl w:val="0"/>
        </w:rPr>
        <w:t xml:space="preserve">which begins with listening to and learning from others who have perspectives and expertise that are very different from your own; •associative or</w:t>
      </w:r>
      <w:r w:rsidDel="00000000" w:rsidR="00000000" w:rsidRPr="00000000">
        <w:rPr>
          <w:color w:val="38761d"/>
          <w:rtl w:val="0"/>
        </w:rPr>
        <w:t xml:space="preserve"> </w:t>
      </w:r>
      <w:r w:rsidDel="00000000" w:rsidR="00000000" w:rsidRPr="00000000">
        <w:rPr>
          <w:color w:val="ff0000"/>
          <w:rtl w:val="0"/>
        </w:rPr>
        <w:t xml:space="preserve">integrative thinking</w:t>
      </w:r>
      <w:r w:rsidDel="00000000" w:rsidR="00000000" w:rsidRPr="00000000">
        <w:rPr>
          <w:rtl w:val="0"/>
        </w:rPr>
        <w:t xml:space="preserve">; and • a tendency toward</w:t>
      </w:r>
      <w:r w:rsidDel="00000000" w:rsidR="00000000" w:rsidRPr="00000000">
        <w:rPr>
          <w:color w:val="ff0000"/>
          <w:rtl w:val="0"/>
        </w:rPr>
        <w:t xml:space="preserve"> action and experimentation.”</w:t>
      </w:r>
    </w:p>
    <w:p w:rsidR="00000000" w:rsidDel="00000000" w:rsidP="00000000" w:rsidRDefault="00000000" w:rsidRPr="00000000" w14:paraId="00000010">
      <w:pPr>
        <w:pageBreakBefore w:val="0"/>
        <w:ind w:left="0" w:firstLine="0"/>
        <w:rPr/>
      </w:pPr>
      <w:r w:rsidDel="00000000" w:rsidR="00000000" w:rsidRPr="00000000">
        <w:rPr>
          <w:rtl w:val="0"/>
        </w:rPr>
      </w:r>
    </w:p>
    <w:p w:rsidR="00000000" w:rsidDel="00000000" w:rsidP="00000000" w:rsidRDefault="00000000" w:rsidRPr="00000000" w14:paraId="00000011">
      <w:pPr>
        <w:pageBreakBefore w:val="0"/>
        <w:ind w:left="0" w:firstLine="0"/>
        <w:rPr>
          <w:color w:val="ff0000"/>
        </w:rPr>
      </w:pPr>
      <w:r w:rsidDel="00000000" w:rsidR="00000000" w:rsidRPr="00000000">
        <w:rPr>
          <w:rtl w:val="0"/>
        </w:rPr>
        <w:t xml:space="preserve">Though we think this above statement is comprehensive, avoid the use of jargon like “21st century Skills, etc.”  Include the terms reflection, </w:t>
      </w:r>
      <w:r w:rsidDel="00000000" w:rsidR="00000000" w:rsidRPr="00000000">
        <w:rPr>
          <w:b w:val="1"/>
          <w:rtl w:val="0"/>
        </w:rPr>
        <w:t xml:space="preserve">refinement</w:t>
      </w:r>
      <w:r w:rsidDel="00000000" w:rsidR="00000000" w:rsidRPr="00000000">
        <w:rPr>
          <w:rtl w:val="0"/>
        </w:rPr>
        <w:t xml:space="preserve">, and growth, where appropriate. </w:t>
      </w:r>
      <w:r w:rsidDel="00000000" w:rsidR="00000000" w:rsidRPr="00000000">
        <w:rPr>
          <w:color w:val="38761d"/>
          <w:rtl w:val="0"/>
        </w:rPr>
        <w:t xml:space="preserve">  </w:t>
      </w:r>
      <w:r w:rsidDel="00000000" w:rsidR="00000000" w:rsidRPr="00000000">
        <w:rPr>
          <w:rtl w:val="0"/>
        </w:rPr>
      </w:r>
    </w:p>
    <w:p w:rsidR="00000000" w:rsidDel="00000000" w:rsidP="00000000" w:rsidRDefault="00000000" w:rsidRPr="00000000" w14:paraId="00000012">
      <w:pPr>
        <w:pageBreakBefore w:val="0"/>
        <w:ind w:left="0" w:firstLine="0"/>
        <w:rPr>
          <w:b w:val="1"/>
          <w:color w:val="9900ff"/>
        </w:rPr>
      </w:pPr>
      <w:r w:rsidDel="00000000" w:rsidR="00000000" w:rsidRPr="00000000">
        <w:rPr>
          <w:rtl w:val="0"/>
        </w:rPr>
      </w:r>
    </w:p>
    <w:p w:rsidR="00000000" w:rsidDel="00000000" w:rsidP="00000000" w:rsidRDefault="00000000" w:rsidRPr="00000000" w14:paraId="00000013">
      <w:pPr>
        <w:pageBreakBefore w:val="0"/>
        <w:ind w:left="0" w:firstLine="0"/>
        <w:rPr>
          <w:b w:val="1"/>
          <w:color w:val="9900ff"/>
        </w:rPr>
      </w:pPr>
      <w:r w:rsidDel="00000000" w:rsidR="00000000" w:rsidRPr="00000000">
        <w:rPr>
          <w:rtl w:val="0"/>
        </w:rPr>
      </w:r>
    </w:p>
    <w:p w:rsidR="00000000" w:rsidDel="00000000" w:rsidP="00000000" w:rsidRDefault="00000000" w:rsidRPr="00000000" w14:paraId="00000014">
      <w:pPr>
        <w:pageBreakBefore w:val="0"/>
        <w:rPr>
          <w:b w:val="1"/>
        </w:rPr>
      </w:pPr>
      <w:r w:rsidDel="00000000" w:rsidR="00000000" w:rsidRPr="00000000">
        <w:rPr>
          <w:b w:val="1"/>
          <w:rtl w:val="0"/>
        </w:rPr>
        <w:t xml:space="preserve">The Visual Art Standards:</w:t>
      </w:r>
    </w:p>
    <w:p w:rsidR="00000000" w:rsidDel="00000000" w:rsidP="00000000" w:rsidRDefault="00000000" w:rsidRPr="00000000" w14:paraId="00000015">
      <w:pPr>
        <w:pageBreakBefore w:val="0"/>
        <w:rPr>
          <w:b w:val="1"/>
        </w:rPr>
      </w:pPr>
      <w:r w:rsidDel="00000000" w:rsidR="00000000" w:rsidRPr="00000000">
        <w:rPr>
          <w:rtl w:val="0"/>
        </w:rPr>
      </w:r>
    </w:p>
    <w:p w:rsidR="00000000" w:rsidDel="00000000" w:rsidP="00000000" w:rsidRDefault="00000000" w:rsidRPr="00000000" w14:paraId="00000016">
      <w:pPr>
        <w:pageBreakBefore w:val="0"/>
        <w:numPr>
          <w:ilvl w:val="0"/>
          <w:numId w:val="2"/>
        </w:numPr>
        <w:ind w:left="720" w:hanging="360"/>
        <w:rPr/>
      </w:pPr>
      <w:r w:rsidDel="00000000" w:rsidR="00000000" w:rsidRPr="00000000">
        <w:rPr>
          <w:rtl w:val="0"/>
        </w:rPr>
        <w:t xml:space="preserve">Adopt the</w:t>
      </w:r>
      <w:r w:rsidDel="00000000" w:rsidR="00000000" w:rsidRPr="00000000">
        <w:rPr>
          <w:rtl w:val="0"/>
        </w:rPr>
        <w:t xml:space="preserve"> structure</w:t>
      </w:r>
      <w:r w:rsidDel="00000000" w:rsidR="00000000" w:rsidRPr="00000000">
        <w:rPr>
          <w:rtl w:val="0"/>
        </w:rPr>
        <w:t xml:space="preserve"> and content of NCAS: the four “Artistic Processes” (Creating, Responding, Connecting, Presenting), the 11 “Anchor standards” with the accompanying Essential Questions and Understandings, as well as the performance indicators/expectations.</w:t>
      </w:r>
      <w:r w:rsidDel="00000000" w:rsidR="00000000" w:rsidRPr="00000000">
        <w:rPr>
          <w:rtl w:val="0"/>
        </w:rPr>
      </w:r>
    </w:p>
    <w:p w:rsidR="00000000" w:rsidDel="00000000" w:rsidP="00000000" w:rsidRDefault="00000000" w:rsidRPr="00000000" w14:paraId="00000017">
      <w:pPr>
        <w:pageBreakBefore w:val="0"/>
        <w:rPr>
          <w:color w:val="ff0000"/>
        </w:rPr>
      </w:pPr>
      <w:r w:rsidDel="00000000" w:rsidR="00000000" w:rsidRPr="00000000">
        <w:rPr>
          <w:rtl w:val="0"/>
        </w:rPr>
      </w:r>
    </w:p>
    <w:p w:rsidR="00000000" w:rsidDel="00000000" w:rsidP="00000000" w:rsidRDefault="00000000" w:rsidRPr="00000000" w14:paraId="00000018">
      <w:pPr>
        <w:pageBreakBefore w:val="0"/>
        <w:ind w:left="720" w:firstLine="0"/>
        <w:rPr>
          <w:b w:val="1"/>
          <w:i w:val="1"/>
          <w:color w:val="9900ff"/>
        </w:rPr>
      </w:pPr>
      <w:r w:rsidDel="00000000" w:rsidR="00000000" w:rsidRPr="00000000">
        <w:rPr>
          <w:color w:val="9900ff"/>
          <w:rtl w:val="0"/>
        </w:rPr>
        <w:t xml:space="preserve">Structure: Could go from 11 to 15 “grey” boxes to transfer NCAS to Green paper format required by </w:t>
      </w:r>
      <w:r w:rsidDel="00000000" w:rsidR="00000000" w:rsidRPr="00000000">
        <w:rPr>
          <w:color w:val="9900ff"/>
          <w:rtl w:val="0"/>
        </w:rPr>
        <w:t xml:space="preserve">MDOE</w:t>
      </w:r>
      <w:r w:rsidDel="00000000" w:rsidR="00000000" w:rsidRPr="00000000">
        <w:rPr>
          <w:color w:val="9900ff"/>
          <w:rtl w:val="0"/>
        </w:rPr>
        <w:t xml:space="preserve">. </w:t>
      </w:r>
      <w:r w:rsidDel="00000000" w:rsidR="00000000" w:rsidRPr="00000000">
        <w:rPr>
          <w:b w:val="1"/>
          <w:i w:val="1"/>
          <w:color w:val="9900ff"/>
          <w:rtl w:val="0"/>
        </w:rPr>
        <w:t xml:space="preserve">K</w:t>
      </w:r>
      <w:r w:rsidDel="00000000" w:rsidR="00000000" w:rsidRPr="00000000">
        <w:rPr>
          <w:b w:val="1"/>
          <w:i w:val="1"/>
          <w:color w:val="9900ff"/>
          <w:rtl w:val="0"/>
        </w:rPr>
        <w:t xml:space="preserve">eep both enduring understandings and EQ’s in the box with the standard in the final document.</w:t>
      </w:r>
    </w:p>
    <w:p w:rsidR="00000000" w:rsidDel="00000000" w:rsidP="00000000" w:rsidRDefault="00000000" w:rsidRPr="00000000" w14:paraId="00000019">
      <w:pPr>
        <w:pageBreakBefore w:val="0"/>
        <w:ind w:left="720" w:firstLine="0"/>
        <w:rPr>
          <w:color w:val="9900ff"/>
        </w:rPr>
      </w:pPr>
      <w:r w:rsidDel="00000000" w:rsidR="00000000" w:rsidRPr="00000000">
        <w:rPr>
          <w:rtl w:val="0"/>
        </w:rPr>
      </w:r>
    </w:p>
    <w:p w:rsidR="00000000" w:rsidDel="00000000" w:rsidP="00000000" w:rsidRDefault="00000000" w:rsidRPr="00000000" w14:paraId="0000001A">
      <w:pPr>
        <w:pageBreakBefore w:val="0"/>
        <w:ind w:left="720" w:firstLine="0"/>
        <w:rPr>
          <w:color w:val="9900ff"/>
        </w:rPr>
      </w:pPr>
      <w:r w:rsidDel="00000000" w:rsidR="00000000" w:rsidRPr="00000000">
        <w:rPr>
          <w:b w:val="1"/>
          <w:color w:val="9900ff"/>
          <w:rtl w:val="0"/>
        </w:rPr>
        <w:t xml:space="preserve">Strand</w:t>
      </w:r>
      <w:r w:rsidDel="00000000" w:rsidR="00000000" w:rsidRPr="00000000">
        <w:rPr>
          <w:color w:val="9900ff"/>
          <w:rtl w:val="0"/>
        </w:rPr>
        <w:t xml:space="preserve">: Visual Art</w:t>
      </w:r>
    </w:p>
    <w:p w:rsidR="00000000" w:rsidDel="00000000" w:rsidP="00000000" w:rsidRDefault="00000000" w:rsidRPr="00000000" w14:paraId="0000001B">
      <w:pPr>
        <w:pageBreakBefore w:val="0"/>
        <w:ind w:left="720" w:firstLine="0"/>
        <w:rPr>
          <w:color w:val="9900ff"/>
        </w:rPr>
      </w:pPr>
      <w:r w:rsidDel="00000000" w:rsidR="00000000" w:rsidRPr="00000000">
        <w:rPr>
          <w:rtl w:val="0"/>
        </w:rPr>
      </w:r>
    </w:p>
    <w:p w:rsidR="00000000" w:rsidDel="00000000" w:rsidP="00000000" w:rsidRDefault="00000000" w:rsidRPr="00000000" w14:paraId="0000001C">
      <w:pPr>
        <w:pageBreakBefore w:val="0"/>
        <w:ind w:left="720" w:firstLine="0"/>
        <w:rPr>
          <w:color w:val="9900ff"/>
        </w:rPr>
      </w:pPr>
      <w:r w:rsidDel="00000000" w:rsidR="00000000" w:rsidRPr="00000000">
        <w:rPr>
          <w:b w:val="1"/>
          <w:color w:val="9900ff"/>
          <w:rtl w:val="0"/>
        </w:rPr>
        <w:t xml:space="preserve">Standard</w:t>
      </w:r>
      <w:r w:rsidDel="00000000" w:rsidR="00000000" w:rsidRPr="00000000">
        <w:rPr>
          <w:color w:val="9900ff"/>
          <w:rtl w:val="0"/>
        </w:rPr>
        <w:t xml:space="preserve">:  Creating--</w:t>
      </w:r>
      <w:r w:rsidDel="00000000" w:rsidR="00000000" w:rsidRPr="00000000">
        <w:rPr>
          <w:i w:val="1"/>
          <w:color w:val="9900ff"/>
          <w:rtl w:val="0"/>
        </w:rPr>
        <w:t xml:space="preserve">Anchor standard 1</w:t>
      </w:r>
      <w:r w:rsidDel="00000000" w:rsidR="00000000" w:rsidRPr="00000000">
        <w:rPr>
          <w:color w:val="9900ff"/>
          <w:rtl w:val="0"/>
        </w:rPr>
        <w:t xml:space="preserve">, Understanding 1, EQ’s 1</w:t>
      </w:r>
    </w:p>
    <w:p w:rsidR="00000000" w:rsidDel="00000000" w:rsidP="00000000" w:rsidRDefault="00000000" w:rsidRPr="00000000" w14:paraId="0000001D">
      <w:pPr>
        <w:pageBreakBefore w:val="0"/>
        <w:ind w:left="2160" w:firstLine="0"/>
        <w:rPr>
          <w:color w:val="9900ff"/>
        </w:rPr>
      </w:pPr>
      <w:r w:rsidDel="00000000" w:rsidR="00000000" w:rsidRPr="00000000">
        <w:rPr>
          <w:color w:val="9900ff"/>
          <w:rtl w:val="0"/>
        </w:rPr>
        <w:t xml:space="preserve">       PE’s: K-12 (9-12 columns for Proficient, advanced, accomplished)</w:t>
      </w:r>
    </w:p>
    <w:p w:rsidR="00000000" w:rsidDel="00000000" w:rsidP="00000000" w:rsidRDefault="00000000" w:rsidRPr="00000000" w14:paraId="0000001E">
      <w:pPr>
        <w:pageBreakBefore w:val="0"/>
        <w:ind w:left="1440" w:firstLine="720"/>
        <w:rPr>
          <w:color w:val="9900ff"/>
        </w:rPr>
      </w:pPr>
      <w:r w:rsidDel="00000000" w:rsidR="00000000" w:rsidRPr="00000000">
        <w:rPr>
          <w:rtl w:val="0"/>
        </w:rPr>
      </w:r>
    </w:p>
    <w:p w:rsidR="00000000" w:rsidDel="00000000" w:rsidP="00000000" w:rsidRDefault="00000000" w:rsidRPr="00000000" w14:paraId="0000001F">
      <w:pPr>
        <w:pageBreakBefore w:val="0"/>
        <w:ind w:left="2160" w:firstLine="0"/>
        <w:rPr>
          <w:color w:val="9900ff"/>
        </w:rPr>
      </w:pPr>
      <w:r w:rsidDel="00000000" w:rsidR="00000000" w:rsidRPr="00000000">
        <w:rPr>
          <w:color w:val="9900ff"/>
          <w:rtl w:val="0"/>
        </w:rPr>
        <w:t xml:space="preserve">       </w:t>
      </w:r>
      <w:r w:rsidDel="00000000" w:rsidR="00000000" w:rsidRPr="00000000">
        <w:rPr>
          <w:i w:val="1"/>
          <w:color w:val="9900ff"/>
          <w:rtl w:val="0"/>
        </w:rPr>
        <w:t xml:space="preserve">Repeat Anchor standard 1</w:t>
      </w:r>
      <w:r w:rsidDel="00000000" w:rsidR="00000000" w:rsidRPr="00000000">
        <w:rPr>
          <w:color w:val="9900ff"/>
          <w:rtl w:val="0"/>
        </w:rPr>
        <w:t xml:space="preserve">: Understandings 2, EQ’s 2</w:t>
      </w:r>
    </w:p>
    <w:p w:rsidR="00000000" w:rsidDel="00000000" w:rsidP="00000000" w:rsidRDefault="00000000" w:rsidRPr="00000000" w14:paraId="00000020">
      <w:pPr>
        <w:pageBreakBefore w:val="0"/>
        <w:ind w:left="2160" w:firstLine="0"/>
        <w:rPr>
          <w:color w:val="9900ff"/>
        </w:rPr>
      </w:pPr>
      <w:r w:rsidDel="00000000" w:rsidR="00000000" w:rsidRPr="00000000">
        <w:rPr>
          <w:color w:val="9900ff"/>
          <w:rtl w:val="0"/>
        </w:rPr>
        <w:t xml:space="preserve">       PE’s; gr. K-12</w:t>
      </w:r>
    </w:p>
    <w:p w:rsidR="00000000" w:rsidDel="00000000" w:rsidP="00000000" w:rsidRDefault="00000000" w:rsidRPr="00000000" w14:paraId="00000021">
      <w:pPr>
        <w:pageBreakBefore w:val="0"/>
        <w:ind w:left="2160" w:firstLine="720"/>
        <w:rPr>
          <w:color w:val="9900ff"/>
        </w:rPr>
      </w:pPr>
      <w:r w:rsidDel="00000000" w:rsidR="00000000" w:rsidRPr="00000000">
        <w:rPr>
          <w:rtl w:val="0"/>
        </w:rPr>
      </w:r>
    </w:p>
    <w:p w:rsidR="00000000" w:rsidDel="00000000" w:rsidP="00000000" w:rsidRDefault="00000000" w:rsidRPr="00000000" w14:paraId="00000022">
      <w:pPr>
        <w:pageBreakBefore w:val="0"/>
        <w:ind w:firstLine="720"/>
        <w:rPr>
          <w:color w:val="9900ff"/>
        </w:rPr>
      </w:pPr>
      <w:r w:rsidDel="00000000" w:rsidR="00000000" w:rsidRPr="00000000">
        <w:rPr>
          <w:b w:val="1"/>
          <w:color w:val="9900ff"/>
          <w:rtl w:val="0"/>
        </w:rPr>
        <w:t xml:space="preserve">Standard:</w:t>
      </w:r>
      <w:r w:rsidDel="00000000" w:rsidR="00000000" w:rsidRPr="00000000">
        <w:rPr>
          <w:color w:val="9900ff"/>
          <w:rtl w:val="0"/>
        </w:rPr>
        <w:t xml:space="preserve">   Creating--</w:t>
      </w:r>
      <w:r w:rsidDel="00000000" w:rsidR="00000000" w:rsidRPr="00000000">
        <w:rPr>
          <w:i w:val="1"/>
          <w:color w:val="9900ff"/>
          <w:rtl w:val="0"/>
        </w:rPr>
        <w:t xml:space="preserve">Anchor Standard 2 </w:t>
      </w:r>
      <w:r w:rsidDel="00000000" w:rsidR="00000000" w:rsidRPr="00000000">
        <w:rPr>
          <w:color w:val="9900ff"/>
          <w:rtl w:val="0"/>
        </w:rPr>
        <w:t xml:space="preserve">Understandings 1, EQ’s 1</w:t>
      </w:r>
    </w:p>
    <w:p w:rsidR="00000000" w:rsidDel="00000000" w:rsidP="00000000" w:rsidRDefault="00000000" w:rsidRPr="00000000" w14:paraId="00000023">
      <w:pPr>
        <w:pageBreakBefore w:val="0"/>
        <w:ind w:left="2160" w:firstLine="0"/>
        <w:rPr>
          <w:color w:val="9900ff"/>
        </w:rPr>
      </w:pPr>
      <w:r w:rsidDel="00000000" w:rsidR="00000000" w:rsidRPr="00000000">
        <w:rPr>
          <w:color w:val="9900ff"/>
          <w:rtl w:val="0"/>
        </w:rPr>
        <w:t xml:space="preserve">          PE’s gr; K-12</w:t>
      </w:r>
    </w:p>
    <w:p w:rsidR="00000000" w:rsidDel="00000000" w:rsidP="00000000" w:rsidRDefault="00000000" w:rsidRPr="00000000" w14:paraId="00000024">
      <w:pPr>
        <w:pageBreakBefore w:val="0"/>
        <w:ind w:left="2160" w:firstLine="0"/>
        <w:rPr>
          <w:color w:val="9900ff"/>
        </w:rPr>
      </w:pPr>
      <w:r w:rsidDel="00000000" w:rsidR="00000000" w:rsidRPr="00000000">
        <w:rPr>
          <w:color w:val="9900ff"/>
          <w:rtl w:val="0"/>
        </w:rPr>
        <w:t xml:space="preserve">ETC…..</w:t>
      </w:r>
    </w:p>
    <w:p w:rsidR="00000000" w:rsidDel="00000000" w:rsidP="00000000" w:rsidRDefault="00000000" w:rsidRPr="00000000" w14:paraId="00000025">
      <w:pPr>
        <w:pageBreakBefore w:val="0"/>
        <w:rPr>
          <w:color w:val="ff0000"/>
        </w:rPr>
      </w:pPr>
      <w:r w:rsidDel="00000000" w:rsidR="00000000" w:rsidRPr="00000000">
        <w:rPr>
          <w:rtl w:val="0"/>
        </w:rPr>
      </w:r>
    </w:p>
    <w:p w:rsidR="00000000" w:rsidDel="00000000" w:rsidP="00000000" w:rsidRDefault="00000000" w:rsidRPr="00000000" w14:paraId="00000026">
      <w:pPr>
        <w:pageBreakBefore w:val="0"/>
        <w:rPr>
          <w:color w:val="ff0000"/>
        </w:rPr>
      </w:pPr>
      <w:r w:rsidDel="00000000" w:rsidR="00000000" w:rsidRPr="00000000">
        <w:rPr>
          <w:rtl w:val="0"/>
        </w:rPr>
      </w:r>
    </w:p>
    <w:p w:rsidR="00000000" w:rsidDel="00000000" w:rsidP="00000000" w:rsidRDefault="00000000" w:rsidRPr="00000000" w14:paraId="00000027">
      <w:pPr>
        <w:pageBreakBefore w:val="0"/>
        <w:numPr>
          <w:ilvl w:val="0"/>
          <w:numId w:val="2"/>
        </w:numPr>
        <w:ind w:left="720" w:hanging="360"/>
        <w:rPr/>
      </w:pPr>
      <w:r w:rsidDel="00000000" w:rsidR="00000000" w:rsidRPr="00000000">
        <w:rPr>
          <w:rtl w:val="0"/>
        </w:rPr>
        <w:t xml:space="preserve">NCAS need not be adopted wo</w:t>
      </w:r>
      <w:r w:rsidDel="00000000" w:rsidR="00000000" w:rsidRPr="00000000">
        <w:rPr>
          <w:rtl w:val="0"/>
        </w:rPr>
        <w:t xml:space="preserve">rd for word or verbatim.</w:t>
      </w:r>
      <w:r w:rsidDel="00000000" w:rsidR="00000000" w:rsidRPr="00000000">
        <w:rPr>
          <w:rtl w:val="0"/>
        </w:rPr>
        <w:t xml:space="preserve">  For example, look at California standards </w:t>
      </w:r>
      <w:r w:rsidDel="00000000" w:rsidR="00000000" w:rsidRPr="00000000">
        <w:rPr>
          <w:rtl w:val="0"/>
        </w:rPr>
        <w:t xml:space="preserve">document</w:t>
      </w:r>
      <w:r w:rsidDel="00000000" w:rsidR="00000000" w:rsidRPr="00000000">
        <w:rPr>
          <w:rtl w:val="0"/>
        </w:rPr>
        <w:t xml:space="preserve"> as a nice adaptation of the NCAS standards. Minor changes - especially at the K-5  level - would be good to reference:  e.g., ‘imagine’ is used instead of ‘investigate’ as a  process component. Another example... NCAS: “</w:t>
      </w:r>
      <w:r w:rsidDel="00000000" w:rsidR="00000000" w:rsidRPr="00000000">
        <w:rPr>
          <w:rtl w:val="0"/>
        </w:rPr>
        <w:t xml:space="preserve">Repurpose objects to make something new”, CA: “Repurpose found objects to make a new artwork or design”. </w:t>
      </w:r>
      <w:r w:rsidDel="00000000" w:rsidR="00000000" w:rsidRPr="00000000">
        <w:rPr>
          <w:rtl w:val="0"/>
        </w:rPr>
        <w:t xml:space="preserve">Remember context</w:t>
      </w:r>
      <w:r w:rsidDel="00000000" w:rsidR="00000000" w:rsidRPr="00000000">
        <w:rPr>
          <w:rtl w:val="0"/>
        </w:rPr>
        <w:t xml:space="preserve"> of Maine.  </w:t>
      </w:r>
    </w:p>
    <w:p w:rsidR="00000000" w:rsidDel="00000000" w:rsidP="00000000" w:rsidRDefault="00000000" w:rsidRPr="00000000" w14:paraId="00000028">
      <w:pPr>
        <w:pageBreakBefore w:val="0"/>
        <w:ind w:left="720" w:firstLine="0"/>
        <w:rPr/>
      </w:pPr>
      <w:r w:rsidDel="00000000" w:rsidR="00000000" w:rsidRPr="00000000">
        <w:rPr>
          <w:rtl w:val="0"/>
        </w:rPr>
      </w:r>
    </w:p>
    <w:p w:rsidR="00000000" w:rsidDel="00000000" w:rsidP="00000000" w:rsidRDefault="00000000" w:rsidRPr="00000000" w14:paraId="00000029">
      <w:pPr>
        <w:pageBreakBefore w:val="0"/>
        <w:numPr>
          <w:ilvl w:val="0"/>
          <w:numId w:val="2"/>
        </w:numPr>
        <w:ind w:left="720" w:hanging="360"/>
        <w:rPr/>
      </w:pPr>
      <w:r w:rsidDel="00000000" w:rsidR="00000000" w:rsidRPr="00000000">
        <w:rPr>
          <w:rtl w:val="0"/>
        </w:rPr>
        <w:t xml:space="preserve">Look to NCAS theatre standards as a model for how to expand and add rigor to performance indicators/expectations, especially Anchor standard 11.  </w:t>
      </w:r>
    </w:p>
    <w:p w:rsidR="00000000" w:rsidDel="00000000" w:rsidP="00000000" w:rsidRDefault="00000000" w:rsidRPr="00000000" w14:paraId="0000002A">
      <w:pPr>
        <w:pageBreakBefore w:val="0"/>
        <w:ind w:left="720" w:firstLine="0"/>
        <w:rPr/>
      </w:pPr>
      <w:r w:rsidDel="00000000" w:rsidR="00000000" w:rsidRPr="00000000">
        <w:rPr>
          <w:rtl w:val="0"/>
        </w:rPr>
      </w:r>
    </w:p>
    <w:p w:rsidR="00000000" w:rsidDel="00000000" w:rsidP="00000000" w:rsidRDefault="00000000" w:rsidRPr="00000000" w14:paraId="0000002B">
      <w:pPr>
        <w:pageBreakBefore w:val="0"/>
        <w:numPr>
          <w:ilvl w:val="0"/>
          <w:numId w:val="2"/>
        </w:numPr>
        <w:ind w:left="720" w:hanging="360"/>
        <w:rPr/>
      </w:pPr>
      <w:r w:rsidDel="00000000" w:rsidR="00000000" w:rsidRPr="00000000">
        <w:rPr>
          <w:rtl w:val="0"/>
        </w:rPr>
        <w:t xml:space="preserve">Add performance indicators where needed to increase </w:t>
      </w:r>
      <w:r w:rsidDel="00000000" w:rsidR="00000000" w:rsidRPr="00000000">
        <w:rPr>
          <w:rtl w:val="0"/>
        </w:rPr>
        <w:t xml:space="preserve">rigor</w:t>
      </w:r>
      <w:r w:rsidDel="00000000" w:rsidR="00000000" w:rsidRPr="00000000">
        <w:rPr>
          <w:rtl w:val="0"/>
        </w:rPr>
        <w:t xml:space="preserve">.  For example, under NCAS </w:t>
      </w:r>
      <w:r w:rsidDel="00000000" w:rsidR="00000000" w:rsidRPr="00000000">
        <w:rPr>
          <w:rtl w:val="0"/>
        </w:rPr>
        <w:t xml:space="preserve">anchor standard 1, second enduring understanding,</w:t>
      </w:r>
      <w:r w:rsidDel="00000000" w:rsidR="00000000" w:rsidRPr="00000000">
        <w:rPr>
          <w:rtl w:val="0"/>
        </w:rPr>
        <w:t xml:space="preserve"> </w:t>
      </w:r>
      <w:r w:rsidDel="00000000" w:rsidR="00000000" w:rsidRPr="00000000">
        <w:rPr>
          <w:rtl w:val="0"/>
        </w:rPr>
        <w:t xml:space="preserve">keep language</w:t>
      </w:r>
      <w:r w:rsidDel="00000000" w:rsidR="00000000" w:rsidRPr="00000000">
        <w:rPr>
          <w:rtl w:val="0"/>
        </w:rPr>
        <w:t xml:space="preserve"> from MLR B3 Meaning Making performance indicators e.g. 9-diploma: </w:t>
      </w:r>
      <w:r w:rsidDel="00000000" w:rsidR="00000000" w:rsidRPr="00000000">
        <w:rPr>
          <w:i w:val="1"/>
          <w:rtl w:val="0"/>
        </w:rPr>
        <w:t xml:space="preserve">students create a </w:t>
      </w:r>
      <w:r w:rsidDel="00000000" w:rsidR="00000000" w:rsidRPr="00000000">
        <w:rPr>
          <w:b w:val="1"/>
          <w:i w:val="1"/>
          <w:rtl w:val="0"/>
        </w:rPr>
        <w:t xml:space="preserve">body</w:t>
      </w:r>
      <w:r w:rsidDel="00000000" w:rsidR="00000000" w:rsidRPr="00000000">
        <w:rPr>
          <w:i w:val="1"/>
          <w:rtl w:val="0"/>
        </w:rPr>
        <w:t xml:space="preserve"> of original artwork</w:t>
      </w:r>
      <w:r w:rsidDel="00000000" w:rsidR="00000000" w:rsidRPr="00000000">
        <w:rPr>
          <w:i w:val="1"/>
          <w:rtl w:val="0"/>
        </w:rPr>
        <w:t xml:space="preserve">, and k-8: students create </w:t>
      </w:r>
      <w:r w:rsidDel="00000000" w:rsidR="00000000" w:rsidRPr="00000000">
        <w:rPr>
          <w:b w:val="1"/>
          <w:i w:val="1"/>
          <w:rtl w:val="0"/>
        </w:rPr>
        <w:t xml:space="preserve">artworks </w:t>
      </w:r>
      <w:r w:rsidDel="00000000" w:rsidR="00000000" w:rsidRPr="00000000">
        <w:rPr>
          <w:i w:val="1"/>
          <w:rtl w:val="0"/>
        </w:rPr>
        <w:t xml:space="preserve">that communicate, etc.</w:t>
      </w:r>
      <w:r w:rsidDel="00000000" w:rsidR="00000000" w:rsidRPr="00000000">
        <w:rPr>
          <w:rtl w:val="0"/>
        </w:rPr>
      </w:r>
    </w:p>
    <w:p w:rsidR="00000000" w:rsidDel="00000000" w:rsidP="00000000" w:rsidRDefault="00000000" w:rsidRPr="00000000" w14:paraId="0000002C">
      <w:pPr>
        <w:pageBreakBefore w:val="0"/>
        <w:ind w:left="720" w:firstLine="0"/>
        <w:rPr/>
      </w:pPr>
      <w:r w:rsidDel="00000000" w:rsidR="00000000" w:rsidRPr="00000000">
        <w:rPr>
          <w:rtl w:val="0"/>
        </w:rPr>
      </w:r>
    </w:p>
    <w:p w:rsidR="00000000" w:rsidDel="00000000" w:rsidP="00000000" w:rsidRDefault="00000000" w:rsidRPr="00000000" w14:paraId="0000002D">
      <w:pPr>
        <w:pageBreakBefore w:val="0"/>
        <w:numPr>
          <w:ilvl w:val="0"/>
          <w:numId w:val="2"/>
        </w:numPr>
        <w:ind w:left="720" w:hanging="360"/>
        <w:rPr/>
      </w:pPr>
      <w:r w:rsidDel="00000000" w:rsidR="00000000" w:rsidRPr="00000000">
        <w:rPr>
          <w:rtl w:val="0"/>
        </w:rPr>
        <w:t xml:space="preserve">Ensure that</w:t>
      </w:r>
      <w:r w:rsidDel="00000000" w:rsidR="00000000" w:rsidRPr="00000000">
        <w:rPr>
          <w:rtl w:val="0"/>
        </w:rPr>
        <w:t xml:space="preserve"> arts </w:t>
      </w:r>
      <w:r w:rsidDel="00000000" w:rsidR="00000000" w:rsidRPr="00000000">
        <w:rPr>
          <w:rtl w:val="0"/>
        </w:rPr>
        <w:t xml:space="preserve">language stays consistent</w:t>
      </w:r>
      <w:r w:rsidDel="00000000" w:rsidR="00000000" w:rsidRPr="00000000">
        <w:rPr>
          <w:rtl w:val="0"/>
        </w:rPr>
        <w:t xml:space="preserve"> </w:t>
      </w:r>
      <w:r w:rsidDel="00000000" w:rsidR="00000000" w:rsidRPr="00000000">
        <w:rPr>
          <w:rtl w:val="0"/>
        </w:rPr>
        <w:t xml:space="preserve">after consulting or combining language from other states or international standards documents</w:t>
      </w:r>
      <w:r w:rsidDel="00000000" w:rsidR="00000000" w:rsidRPr="00000000">
        <w:rPr>
          <w:rtl w:val="0"/>
        </w:rPr>
      </w:r>
    </w:p>
    <w:p w:rsidR="00000000" w:rsidDel="00000000" w:rsidP="00000000" w:rsidRDefault="00000000" w:rsidRPr="00000000" w14:paraId="0000002E">
      <w:pPr>
        <w:pageBreakBefore w:val="0"/>
        <w:ind w:left="2160" w:firstLine="0"/>
        <w:rPr>
          <w:color w:val="ff0000"/>
        </w:rPr>
      </w:pPr>
      <w:r w:rsidDel="00000000" w:rsidR="00000000" w:rsidRPr="00000000">
        <w:rPr>
          <w:rtl w:val="0"/>
        </w:rPr>
      </w:r>
    </w:p>
    <w:p w:rsidR="00000000" w:rsidDel="00000000" w:rsidP="00000000" w:rsidRDefault="00000000" w:rsidRPr="00000000" w14:paraId="0000002F">
      <w:pPr>
        <w:pageBreakBefore w:val="0"/>
        <w:numPr>
          <w:ilvl w:val="0"/>
          <w:numId w:val="2"/>
        </w:numPr>
        <w:ind w:left="720" w:hanging="360"/>
        <w:rPr/>
      </w:pPr>
      <w:r w:rsidDel="00000000" w:rsidR="00000000" w:rsidRPr="00000000">
        <w:rPr>
          <w:rtl w:val="0"/>
        </w:rPr>
        <w:t xml:space="preserve">Keep </w:t>
      </w:r>
      <w:r w:rsidDel="00000000" w:rsidR="00000000" w:rsidRPr="00000000">
        <w:rPr>
          <w:rtl w:val="0"/>
        </w:rPr>
        <w:t xml:space="preserve">separate columns of performance indicators/expectations for grades 6, 7, 8,</w:t>
      </w:r>
      <w:r w:rsidDel="00000000" w:rsidR="00000000" w:rsidRPr="00000000">
        <w:rPr>
          <w:rtl w:val="0"/>
        </w:rPr>
        <w:t xml:space="preserve">  like in NCAS</w:t>
      </w:r>
      <w:r w:rsidDel="00000000" w:rsidR="00000000" w:rsidRPr="00000000">
        <w:rPr>
          <w:color w:val="9900ff"/>
          <w:rtl w:val="0"/>
        </w:rPr>
        <w:t xml:space="preserve">, </w:t>
      </w:r>
      <w:r w:rsidDel="00000000" w:rsidR="00000000" w:rsidRPr="00000000">
        <w:rPr>
          <w:rtl w:val="0"/>
        </w:rPr>
        <w:t xml:space="preserve">as some schools in Maine are still k-8, k-12,  or still include 6th grade in elementary school. </w:t>
      </w:r>
      <w:r w:rsidDel="00000000" w:rsidR="00000000" w:rsidRPr="00000000">
        <w:rPr>
          <w:rtl w:val="0"/>
        </w:rPr>
      </w:r>
    </w:p>
    <w:p w:rsidR="00000000" w:rsidDel="00000000" w:rsidP="00000000" w:rsidRDefault="00000000" w:rsidRPr="00000000" w14:paraId="00000030">
      <w:pPr>
        <w:pageBreakBefore w:val="0"/>
        <w:ind w:left="2160" w:firstLine="0"/>
        <w:rPr>
          <w:color w:val="e69138"/>
        </w:rPr>
      </w:pPr>
      <w:r w:rsidDel="00000000" w:rsidR="00000000" w:rsidRPr="00000000">
        <w:rPr>
          <w:color w:val="9900ff"/>
          <w:rtl w:val="0"/>
        </w:rPr>
        <w:t xml:space="preserve">   </w:t>
      </w:r>
      <w:r w:rsidDel="00000000" w:rsidR="00000000" w:rsidRPr="00000000">
        <w:rPr>
          <w:rtl w:val="0"/>
        </w:rPr>
      </w:r>
    </w:p>
    <w:p w:rsidR="00000000" w:rsidDel="00000000" w:rsidP="00000000" w:rsidRDefault="00000000" w:rsidRPr="00000000" w14:paraId="00000031">
      <w:pPr>
        <w:pageBreakBefore w:val="0"/>
        <w:numPr>
          <w:ilvl w:val="0"/>
          <w:numId w:val="2"/>
        </w:numPr>
        <w:ind w:left="720" w:hanging="360"/>
        <w:rPr/>
      </w:pPr>
      <w:r w:rsidDel="00000000" w:rsidR="00000000" w:rsidRPr="00000000">
        <w:rPr>
          <w:rtl w:val="0"/>
        </w:rPr>
        <w:t xml:space="preserve">Include</w:t>
      </w:r>
      <w:r w:rsidDel="00000000" w:rsidR="00000000" w:rsidRPr="00000000">
        <w:rPr>
          <w:rtl w:val="0"/>
        </w:rPr>
        <w:t xml:space="preserve"> </w:t>
      </w:r>
      <w:r w:rsidDel="00000000" w:rsidR="00000000" w:rsidRPr="00000000">
        <w:rPr>
          <w:rtl w:val="0"/>
        </w:rPr>
        <w:t xml:space="preserve">the Secondary, 9</w:t>
      </w:r>
      <w:r w:rsidDel="00000000" w:rsidR="00000000" w:rsidRPr="00000000">
        <w:rPr>
          <w:i w:val="1"/>
          <w:rtl w:val="0"/>
        </w:rPr>
        <w:t xml:space="preserve">-12 </w:t>
      </w:r>
      <w:r w:rsidDel="00000000" w:rsidR="00000000" w:rsidRPr="00000000">
        <w:rPr>
          <w:rtl w:val="0"/>
        </w:rPr>
        <w:t xml:space="preserve"> </w:t>
      </w:r>
      <w:r w:rsidDel="00000000" w:rsidR="00000000" w:rsidRPr="00000000">
        <w:rPr>
          <w:rtl w:val="0"/>
        </w:rPr>
        <w:t xml:space="preserve">Proficient, Accomplished and Advanced language and performance indicators/expectations from NCAS</w:t>
      </w:r>
      <w:r w:rsidDel="00000000" w:rsidR="00000000" w:rsidRPr="00000000">
        <w:rPr>
          <w:rtl w:val="0"/>
        </w:rPr>
        <w:t xml:space="preserve">.  </w:t>
      </w:r>
    </w:p>
    <w:p w:rsidR="00000000" w:rsidDel="00000000" w:rsidP="00000000" w:rsidRDefault="00000000" w:rsidRPr="00000000" w14:paraId="00000032">
      <w:pPr>
        <w:pageBreakBefore w:val="0"/>
        <w:ind w:left="720" w:firstLine="0"/>
        <w:rPr/>
      </w:pPr>
      <w:r w:rsidDel="00000000" w:rsidR="00000000" w:rsidRPr="00000000">
        <w:rPr>
          <w:rtl w:val="0"/>
        </w:rPr>
      </w:r>
    </w:p>
    <w:p w:rsidR="00000000" w:rsidDel="00000000" w:rsidP="00000000" w:rsidRDefault="00000000" w:rsidRPr="00000000" w14:paraId="00000033">
      <w:pPr>
        <w:pageBreakBefore w:val="0"/>
        <w:numPr>
          <w:ilvl w:val="0"/>
          <w:numId w:val="2"/>
        </w:numPr>
        <w:ind w:left="720" w:hanging="360"/>
        <w:rPr/>
      </w:pPr>
      <w:r w:rsidDel="00000000" w:rsidR="00000000" w:rsidRPr="00000000">
        <w:rPr>
          <w:rtl w:val="0"/>
        </w:rPr>
        <w:t xml:space="preserve">Adopt NCAS glossary.</w:t>
      </w:r>
      <w:r w:rsidDel="00000000" w:rsidR="00000000" w:rsidRPr="00000000">
        <w:rPr>
          <w:rtl w:val="0"/>
        </w:rPr>
        <w:t xml:space="preserve"> Expand and clarify definitions when vague such as “traditional and contemporary characteristics of form.”</w:t>
      </w:r>
    </w:p>
    <w:p w:rsidR="00000000" w:rsidDel="00000000" w:rsidP="00000000" w:rsidRDefault="00000000" w:rsidRPr="00000000" w14:paraId="00000034">
      <w:pPr>
        <w:pageBreakBefore w:val="0"/>
        <w:ind w:left="720" w:firstLine="0"/>
        <w:rPr/>
      </w:pPr>
      <w:r w:rsidDel="00000000" w:rsidR="00000000" w:rsidRPr="00000000">
        <w:rPr>
          <w:rtl w:val="0"/>
        </w:rPr>
      </w:r>
    </w:p>
    <w:p w:rsidR="00000000" w:rsidDel="00000000" w:rsidP="00000000" w:rsidRDefault="00000000" w:rsidRPr="00000000" w14:paraId="00000035">
      <w:pPr>
        <w:pageBreakBefore w:val="0"/>
        <w:numPr>
          <w:ilvl w:val="0"/>
          <w:numId w:val="2"/>
        </w:numPr>
        <w:ind w:left="720" w:hanging="360"/>
        <w:rPr/>
      </w:pPr>
      <w:r w:rsidDel="00000000" w:rsidR="00000000" w:rsidRPr="00000000">
        <w:rPr>
          <w:rtl w:val="0"/>
        </w:rPr>
        <w:t xml:space="preserve">Ensure that user friendly formats are created where the revised standards can easily be viewed and printed by grade level (one grade per portrait formatted page) or grade spans to meet teacher needs. For high school: no grade levels but by Proficient, Accomplished, Advanced.</w:t>
      </w:r>
    </w:p>
    <w:p w:rsidR="00000000" w:rsidDel="00000000" w:rsidP="00000000" w:rsidRDefault="00000000" w:rsidRPr="00000000" w14:paraId="00000036">
      <w:pPr>
        <w:pageBreakBefore w:val="0"/>
        <w:ind w:left="0" w:firstLine="0"/>
        <w:rPr/>
      </w:pPr>
      <w:r w:rsidDel="00000000" w:rsidR="00000000" w:rsidRPr="00000000">
        <w:rPr>
          <w:rtl w:val="0"/>
        </w:rPr>
      </w:r>
    </w:p>
    <w:p w:rsidR="00000000" w:rsidDel="00000000" w:rsidP="00000000" w:rsidRDefault="00000000" w:rsidRPr="00000000" w14:paraId="00000037">
      <w:pPr>
        <w:pageBreakBefore w:val="0"/>
        <w:ind w:left="1440" w:firstLine="0"/>
        <w:rPr/>
      </w:pPr>
      <w:r w:rsidDel="00000000" w:rsidR="00000000" w:rsidRPr="00000000">
        <w:rPr>
          <w:rtl w:val="0"/>
        </w:rPr>
      </w:r>
    </w:p>
    <w:p w:rsidR="00000000" w:rsidDel="00000000" w:rsidP="00000000" w:rsidRDefault="00000000" w:rsidRPr="00000000" w14:paraId="00000038">
      <w:pPr>
        <w:pageBreakBefore w:val="0"/>
        <w:numPr>
          <w:ilvl w:val="0"/>
          <w:numId w:val="2"/>
        </w:numPr>
        <w:ind w:left="720" w:hanging="360"/>
        <w:rPr/>
      </w:pPr>
      <w:r w:rsidDel="00000000" w:rsidR="00000000" w:rsidRPr="00000000">
        <w:rPr>
          <w:rtl w:val="0"/>
        </w:rPr>
        <w:t xml:space="preserve">Ensure that a state-level </w:t>
      </w:r>
      <w:r w:rsidDel="00000000" w:rsidR="00000000" w:rsidRPr="00000000">
        <w:rPr>
          <w:rtl w:val="0"/>
        </w:rPr>
        <w:t xml:space="preserve">appendix o</w:t>
      </w:r>
      <w:r w:rsidDel="00000000" w:rsidR="00000000" w:rsidRPr="00000000">
        <w:rPr>
          <w:rtl w:val="0"/>
        </w:rPr>
        <w:t xml:space="preserve">f resources is created for teachers.  </w:t>
      </w:r>
      <w:r w:rsidDel="00000000" w:rsidR="00000000" w:rsidRPr="00000000">
        <w:rPr>
          <w:rtl w:val="0"/>
        </w:rPr>
        <w:t xml:space="preserve">In this appendix, include sample exemplary k-12 curricula, written in alignment with the revised standards for districts to use as exemplars when writing their own local curriculum (see Common core ELA standards appendices).  Appendix should also include a variety of </w:t>
      </w:r>
      <w:r w:rsidDel="00000000" w:rsidR="00000000" w:rsidRPr="00000000">
        <w:rPr>
          <w:rtl w:val="0"/>
        </w:rPr>
        <w:t xml:space="preserve">sample assessment approaches </w:t>
      </w:r>
      <w:r w:rsidDel="00000000" w:rsidR="00000000" w:rsidRPr="00000000">
        <w:rPr>
          <w:rtl w:val="0"/>
        </w:rPr>
        <w:t xml:space="preserve">in visual art such as approaches to critique, formative feedback, and ways to assess a body of work: portfolio assessment.  Include </w:t>
      </w:r>
      <w:r w:rsidDel="00000000" w:rsidR="00000000" w:rsidRPr="00000000">
        <w:rPr>
          <w:rtl w:val="0"/>
        </w:rPr>
        <w:t xml:space="preserve">benchmarking resources.  </w:t>
      </w:r>
      <w:r w:rsidDel="00000000" w:rsidR="00000000" w:rsidRPr="00000000">
        <w:rPr>
          <w:rtl w:val="0"/>
        </w:rPr>
      </w:r>
    </w:p>
    <w:p w:rsidR="00000000" w:rsidDel="00000000" w:rsidP="00000000" w:rsidRDefault="00000000" w:rsidRPr="00000000" w14:paraId="00000039">
      <w:pPr>
        <w:pageBreakBefore w:val="0"/>
        <w:ind w:left="1440" w:firstLine="0"/>
        <w:rPr>
          <w:color w:val="9900ff"/>
        </w:rPr>
      </w:pPr>
      <w:r w:rsidDel="00000000" w:rsidR="00000000" w:rsidRPr="00000000">
        <w:rPr>
          <w:rtl w:val="0"/>
        </w:rPr>
      </w:r>
    </w:p>
    <w:p w:rsidR="00000000" w:rsidDel="00000000" w:rsidP="00000000" w:rsidRDefault="00000000" w:rsidRPr="00000000" w14:paraId="0000003A">
      <w:pPr>
        <w:pageBreakBefore w:val="0"/>
        <w:numPr>
          <w:ilvl w:val="0"/>
          <w:numId w:val="2"/>
        </w:numPr>
        <w:ind w:left="720" w:hanging="360"/>
        <w:rPr/>
      </w:pPr>
      <w:r w:rsidDel="00000000" w:rsidR="00000000" w:rsidRPr="00000000">
        <w:rPr>
          <w:rtl w:val="0"/>
        </w:rPr>
        <w:t xml:space="preserve">Ensure that documents in </w:t>
      </w:r>
      <w:r w:rsidDel="00000000" w:rsidR="00000000" w:rsidRPr="00000000">
        <w:rPr>
          <w:rtl w:val="0"/>
        </w:rPr>
        <w:t xml:space="preserve">appendices</w:t>
      </w:r>
      <w:r w:rsidDel="00000000" w:rsidR="00000000" w:rsidRPr="00000000">
        <w:rPr>
          <w:rtl w:val="0"/>
        </w:rPr>
        <w:t xml:space="preserve"> show how standards and performance </w:t>
      </w:r>
      <w:r w:rsidDel="00000000" w:rsidR="00000000" w:rsidRPr="00000000">
        <w:rPr>
          <w:rtl w:val="0"/>
        </w:rPr>
        <w:t xml:space="preserve">indicators/expectations are designed to guide the writing of even more specific EQ’s,  objectives and targets in local curricula;</w:t>
      </w:r>
      <w:r w:rsidDel="00000000" w:rsidR="00000000" w:rsidRPr="00000000">
        <w:rPr>
          <w:rtl w:val="0"/>
        </w:rPr>
        <w:t xml:space="preserve"> information about spiral curriculum in the arts, a</w:t>
      </w:r>
      <w:r w:rsidDel="00000000" w:rsidR="00000000" w:rsidRPr="00000000">
        <w:rPr>
          <w:rtl w:val="0"/>
        </w:rPr>
        <w:t xml:space="preserve">nd includes </w:t>
      </w:r>
      <w:r w:rsidDel="00000000" w:rsidR="00000000" w:rsidRPr="00000000">
        <w:rPr>
          <w:rtl w:val="0"/>
        </w:rPr>
        <w:t xml:space="preserve">exemplar</w:t>
      </w:r>
      <w:r w:rsidDel="00000000" w:rsidR="00000000" w:rsidRPr="00000000">
        <w:rPr>
          <w:color w:val="3c78d8"/>
          <w:rtl w:val="0"/>
        </w:rPr>
        <w:t xml:space="preserve"> </w:t>
      </w:r>
      <w:r w:rsidDel="00000000" w:rsidR="00000000" w:rsidRPr="00000000">
        <w:rPr>
          <w:rtl w:val="0"/>
        </w:rPr>
        <w:t xml:space="preserve">samples and resources from around the world and nation, for local consideration, as there are a variety of models to draw from. </w:t>
      </w:r>
      <w:r w:rsidDel="00000000" w:rsidR="00000000" w:rsidRPr="00000000">
        <w:rPr>
          <w:color w:val="ff0000"/>
          <w:rtl w:val="0"/>
        </w:rPr>
        <w:t xml:space="preserve"> </w:t>
      </w:r>
      <w:r w:rsidDel="00000000" w:rsidR="00000000" w:rsidRPr="00000000">
        <w:rPr>
          <w:color w:val="9900ff"/>
          <w:rtl w:val="0"/>
        </w:rPr>
        <w:t xml:space="preserve"> </w:t>
      </w:r>
      <w:r w:rsidDel="00000000" w:rsidR="00000000" w:rsidRPr="00000000">
        <w:rPr>
          <w:rtl w:val="0"/>
        </w:rPr>
      </w:r>
    </w:p>
    <w:p w:rsidR="00000000" w:rsidDel="00000000" w:rsidP="00000000" w:rsidRDefault="00000000" w:rsidRPr="00000000" w14:paraId="0000003B">
      <w:pPr>
        <w:pageBreakBefore w:val="0"/>
        <w:ind w:left="720" w:firstLine="0"/>
        <w:rPr>
          <w:color w:val="ff0000"/>
        </w:rPr>
      </w:pPr>
      <w:r w:rsidDel="00000000" w:rsidR="00000000" w:rsidRPr="00000000">
        <w:rPr>
          <w:rtl w:val="0"/>
        </w:rPr>
      </w:r>
    </w:p>
    <w:p w:rsidR="00000000" w:rsidDel="00000000" w:rsidP="00000000" w:rsidRDefault="00000000" w:rsidRPr="00000000" w14:paraId="0000003C">
      <w:pPr>
        <w:pageBreakBefore w:val="0"/>
        <w:numPr>
          <w:ilvl w:val="0"/>
          <w:numId w:val="2"/>
        </w:numPr>
        <w:ind w:left="720" w:hanging="360"/>
        <w:rPr/>
      </w:pPr>
      <w:r w:rsidDel="00000000" w:rsidR="00000000" w:rsidRPr="00000000">
        <w:rPr>
          <w:rtl w:val="0"/>
        </w:rPr>
        <w:t xml:space="preserve">In appendices</w:t>
      </w:r>
      <w:r w:rsidDel="00000000" w:rsidR="00000000" w:rsidRPr="00000000">
        <w:rPr>
          <w:rtl w:val="0"/>
        </w:rPr>
        <w:t xml:space="preserve">, ensure that resources are created for teachers that include methods for infusing the teaching of art vocabulary and language/literacy in developmentally appropriate ways, across the arts standards and grade levels,</w:t>
      </w:r>
      <w:r w:rsidDel="00000000" w:rsidR="00000000" w:rsidRPr="00000000">
        <w:rPr>
          <w:rtl w:val="0"/>
        </w:rPr>
      </w:r>
    </w:p>
    <w:p w:rsidR="00000000" w:rsidDel="00000000" w:rsidP="00000000" w:rsidRDefault="00000000" w:rsidRPr="00000000" w14:paraId="0000003D">
      <w:pPr>
        <w:pageBreakBefore w:val="0"/>
        <w:ind w:left="720" w:firstLine="0"/>
        <w:rPr/>
      </w:pPr>
      <w:r w:rsidDel="00000000" w:rsidR="00000000" w:rsidRPr="00000000">
        <w:rPr>
          <w:rtl w:val="0"/>
        </w:rPr>
      </w:r>
    </w:p>
    <w:p w:rsidR="00000000" w:rsidDel="00000000" w:rsidP="00000000" w:rsidRDefault="00000000" w:rsidRPr="00000000" w14:paraId="0000003E">
      <w:pPr>
        <w:pageBreakBefore w:val="0"/>
        <w:numPr>
          <w:ilvl w:val="0"/>
          <w:numId w:val="2"/>
        </w:numPr>
        <w:ind w:left="720" w:hanging="360"/>
        <w:rPr/>
      </w:pPr>
      <w:r w:rsidDel="00000000" w:rsidR="00000000" w:rsidRPr="00000000">
        <w:rPr>
          <w:rtl w:val="0"/>
        </w:rPr>
        <w:t xml:space="preserve"> Think about any new performance expectations as “assessable” as the word “measurable” on its own implies quantification through numerical means while “assessable” creates room to think about the broad range of descriptive (more qualitative) assessment methods that may be utilized to describe and document student progress and growth in the arts.</w:t>
      </w:r>
    </w:p>
    <w:p w:rsidR="00000000" w:rsidDel="00000000" w:rsidP="00000000" w:rsidRDefault="00000000" w:rsidRPr="00000000" w14:paraId="0000003F">
      <w:pPr>
        <w:pageBreakBefore w:val="0"/>
        <w:ind w:left="720" w:firstLine="0"/>
        <w:rPr>
          <w:color w:val="9900ff"/>
        </w:rPr>
      </w:pPr>
      <w:r w:rsidDel="00000000" w:rsidR="00000000" w:rsidRPr="00000000">
        <w:rPr>
          <w:rtl w:val="0"/>
        </w:rPr>
      </w:r>
    </w:p>
    <w:p w:rsidR="00000000" w:rsidDel="00000000" w:rsidP="00000000" w:rsidRDefault="00000000" w:rsidRPr="00000000" w14:paraId="00000040">
      <w:pPr>
        <w:pageBreakBefore w:val="0"/>
        <w:ind w:left="720" w:firstLine="0"/>
        <w:rPr>
          <w:color w:val="9900ff"/>
        </w:rPr>
      </w:pPr>
      <w:r w:rsidDel="00000000" w:rsidR="00000000" w:rsidRPr="00000000">
        <w:rPr>
          <w:rtl w:val="0"/>
        </w:rPr>
      </w:r>
    </w:p>
    <w:p w:rsidR="00000000" w:rsidDel="00000000" w:rsidP="00000000" w:rsidRDefault="00000000" w:rsidRPr="00000000" w14:paraId="00000041">
      <w:pPr>
        <w:pageBreakBefore w:val="0"/>
        <w:ind w:left="720" w:firstLine="0"/>
        <w:rPr>
          <w:color w:val="9900ff"/>
        </w:rPr>
      </w:pPr>
      <w:r w:rsidDel="00000000" w:rsidR="00000000" w:rsidRPr="00000000">
        <w:rPr>
          <w:rtl w:val="0"/>
        </w:rPr>
      </w:r>
    </w:p>
    <w:p w:rsidR="00000000" w:rsidDel="00000000" w:rsidP="00000000" w:rsidRDefault="00000000" w:rsidRPr="00000000" w14:paraId="00000042">
      <w:pPr>
        <w:pageBreakBefore w:val="0"/>
        <w:ind w:left="720" w:firstLine="0"/>
        <w:rPr>
          <w:color w:val="9900ff"/>
        </w:rPr>
      </w:pPr>
      <w:r w:rsidDel="00000000" w:rsidR="00000000" w:rsidRPr="00000000">
        <w:rPr>
          <w:rtl w:val="0"/>
        </w:rPr>
      </w:r>
    </w:p>
    <w:p w:rsidR="00000000" w:rsidDel="00000000" w:rsidP="00000000" w:rsidRDefault="00000000" w:rsidRPr="00000000" w14:paraId="00000043">
      <w:pPr>
        <w:pageBreakBefore w:val="0"/>
        <w:ind w:left="0" w:firstLine="720"/>
        <w:rPr>
          <w:b w:val="1"/>
          <w:color w:val="9900ff"/>
          <w:u w:val="single"/>
        </w:rPr>
      </w:pPr>
      <w:r w:rsidDel="00000000" w:rsidR="00000000" w:rsidRPr="00000000">
        <w:rPr>
          <w:b w:val="1"/>
          <w:color w:val="9900ff"/>
          <w:u w:val="single"/>
          <w:rtl w:val="0"/>
        </w:rPr>
        <w:t xml:space="preserve">Additional Notes/ideas (probably not for writing team but for DOE to consider):</w:t>
      </w:r>
    </w:p>
    <w:p w:rsidR="00000000" w:rsidDel="00000000" w:rsidP="00000000" w:rsidRDefault="00000000" w:rsidRPr="00000000" w14:paraId="00000044">
      <w:pPr>
        <w:pageBreakBefore w:val="0"/>
        <w:ind w:left="720" w:firstLine="0"/>
        <w:rPr>
          <w:color w:val="9900ff"/>
        </w:rPr>
      </w:pPr>
      <w:r w:rsidDel="00000000" w:rsidR="00000000" w:rsidRPr="00000000">
        <w:rPr>
          <w:rtl w:val="0"/>
        </w:rPr>
      </w:r>
    </w:p>
    <w:p w:rsidR="00000000" w:rsidDel="00000000" w:rsidP="00000000" w:rsidRDefault="00000000" w:rsidRPr="00000000" w14:paraId="00000045">
      <w:pPr>
        <w:pageBreakBefore w:val="0"/>
        <w:ind w:left="720" w:firstLine="0"/>
        <w:rPr>
          <w:color w:val="9900ff"/>
        </w:rPr>
      </w:pPr>
      <w:r w:rsidDel="00000000" w:rsidR="00000000" w:rsidRPr="00000000">
        <w:rPr>
          <w:color w:val="9900ff"/>
          <w:rtl w:val="0"/>
        </w:rPr>
        <w:t xml:space="preserve">Ask the DOE to create a hover option over PDF text versions of all standards documents that indicates when a standard or performance indicator most clearly relates to or embeds aspects of a guiding principle.  Or, a symbol system or color coded system that can be placed in or overlaid on/in the “boxes” that does the same.  Viewing/overlay options for teachers. Create multiple user friendly versions.</w:t>
      </w: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6">
    <w:pPr>
      <w:pageBreakBefore w:val="0"/>
      <w:rPr/>
    </w:pPr>
    <w:r w:rsidDel="00000000" w:rsidR="00000000" w:rsidRPr="00000000">
      <w:rPr>
        <w:rtl w:val="0"/>
      </w:rPr>
      <w:tab/>
      <w:tab/>
      <w:tab/>
      <w:tab/>
      <w:tab/>
      <w:tab/>
      <w:tab/>
      <w:tab/>
      <w:tab/>
      <w:tab/>
      <w:tab/>
      <w:t xml:space="preserve">Visual Art </w:t>
    </w:r>
    <w:r w:rsidDel="00000000" w:rsidR="00000000" w:rsidRPr="00000000">
      <w:rPr/>
      <w:fldChar w:fldCharType="begin"/>
      <w:instrText xml:space="preserve">PAGE</w:instrText>
      <w:fldChar w:fldCharType="separate"/>
      <w:fldChar w:fldCharType="end"/>
    </w:r>
    <w:r w:rsidDel="00000000" w:rsidR="00000000" w:rsidRPr="00000000">
      <w:rPr>
        <w:rtl w:val="0"/>
      </w:rPr>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