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highlight w:val="white"/>
          <w:rtl w:val="0"/>
        </w:rPr>
        <w:t xml:space="preserve">Friends Together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Sing to the tune of “Mary Had a Little Lamb”</w:t>
      </w:r>
    </w:p>
    <w:p w:rsidR="00000000" w:rsidDel="00000000" w:rsidP="00000000" w:rsidRDefault="00000000" w:rsidRPr="00000000" w14:paraId="00000003">
      <w:pPr>
        <w:pageBreakBefore w:val="0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me, friend with me, friend with me?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have some fun together?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toss a ball together?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make some art together?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make a mess together?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Verdana" w:cs="Verdana" w:eastAsia="Verdana" w:hAnsi="Verdana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tell some jokes 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Century Gothic" w:cs="Century Gothic" w:eastAsia="Century Gothic" w:hAnsi="Century Gothic"/>
          <w:sz w:val="32"/>
          <w:szCs w:val="3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me,  friend with me, friend with me?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highlight w:val="white"/>
          <w:rtl w:val="0"/>
        </w:rPr>
        <w:t xml:space="preserve">Will you be a friend with me and have some fun 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ind w:right="172.79999999999973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Home Links - Shared Reading Unit 1 Week 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