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C025" w14:textId="77777777" w:rsidR="00FE6CB4" w:rsidRPr="00FE6CB4" w:rsidRDefault="00FE6CB4" w:rsidP="002F702B">
      <w:pPr>
        <w:pStyle w:val="NoSpacing"/>
      </w:pPr>
      <w:r w:rsidRPr="00FE6CB4">
        <w:t xml:space="preserve">Procurement is a multi-step process used to obtain goods and services. All entities using Federal Funds, including school nutrition programs, must follow procurement regulations found in </w:t>
      </w:r>
      <w:hyperlink r:id="rId7" w:history="1">
        <w:r w:rsidRPr="00FE6CB4">
          <w:rPr>
            <w:rStyle w:val="Hyperlink"/>
            <w:b/>
            <w:bCs/>
          </w:rPr>
          <w:t>2 CFR Part 200</w:t>
        </w:r>
      </w:hyperlink>
      <w:r w:rsidRPr="00FE6CB4">
        <w:t xml:space="preserve">. </w:t>
      </w:r>
    </w:p>
    <w:p w14:paraId="02AF3AEA" w14:textId="48F1EFDB" w:rsidR="00641710" w:rsidRPr="00067683" w:rsidRDefault="00FE6CB4" w:rsidP="002F702B">
      <w:pPr>
        <w:pStyle w:val="NoSpacing"/>
      </w:pPr>
      <w:r w:rsidRPr="00FE6CB4">
        <w:t xml:space="preserve">USDA School Nutrition Program regulations </w:t>
      </w:r>
      <w:hyperlink r:id="rId8" w:history="1">
        <w:r w:rsidRPr="00FE6CB4">
          <w:rPr>
            <w:rStyle w:val="Hyperlink"/>
            <w:b/>
            <w:bCs/>
          </w:rPr>
          <w:t>7 CFR Part</w:t>
        </w:r>
      </w:hyperlink>
      <w:r w:rsidRPr="00FE6CB4">
        <w:rPr>
          <w:b/>
          <w:bCs/>
        </w:rPr>
        <w:t xml:space="preserve"> </w:t>
      </w:r>
      <w:hyperlink r:id="rId9" w:history="1">
        <w:r w:rsidRPr="00FE6CB4">
          <w:rPr>
            <w:rStyle w:val="Hyperlink"/>
            <w:b/>
            <w:bCs/>
          </w:rPr>
          <w:t>210</w:t>
        </w:r>
      </w:hyperlink>
      <w:r w:rsidRPr="00FE6CB4">
        <w:rPr>
          <w:b/>
          <w:bCs/>
        </w:rPr>
        <w:t xml:space="preserve">, </w:t>
      </w:r>
      <w:hyperlink r:id="rId10" w:history="1">
        <w:r w:rsidRPr="00FE6CB4">
          <w:rPr>
            <w:rStyle w:val="Hyperlink"/>
            <w:b/>
            <w:bCs/>
          </w:rPr>
          <w:t>215</w:t>
        </w:r>
      </w:hyperlink>
      <w:r w:rsidRPr="00FE6CB4">
        <w:rPr>
          <w:b/>
          <w:bCs/>
        </w:rPr>
        <w:t xml:space="preserve">, </w:t>
      </w:r>
      <w:hyperlink r:id="rId11" w:history="1">
        <w:r w:rsidRPr="00FE6CB4">
          <w:rPr>
            <w:rStyle w:val="Hyperlink"/>
            <w:b/>
            <w:bCs/>
          </w:rPr>
          <w:t>220</w:t>
        </w:r>
      </w:hyperlink>
      <w:r w:rsidRPr="00FE6CB4">
        <w:rPr>
          <w:b/>
          <w:bCs/>
        </w:rPr>
        <w:t>.</w:t>
      </w:r>
      <w:r>
        <w:rPr>
          <w:b/>
          <w:bCs/>
        </w:rPr>
        <w:t xml:space="preserve"> </w:t>
      </w:r>
      <w:r w:rsidR="00166328">
        <w:t xml:space="preserve">Procurement Reviews </w:t>
      </w:r>
      <w:r w:rsidR="00F661E9">
        <w:t>are completed in the same cycle as Administrative Reviews</w:t>
      </w:r>
      <w:r w:rsidR="00350630">
        <w:t xml:space="preserve"> to ensure School Food Authorities </w:t>
      </w:r>
      <w:r w:rsidR="00222198">
        <w:t>(</w:t>
      </w:r>
      <w:r w:rsidR="00350630">
        <w:t>SFAs</w:t>
      </w:r>
      <w:r w:rsidR="00222198">
        <w:t>)</w:t>
      </w:r>
      <w:r w:rsidR="00350630">
        <w:t xml:space="preserve"> </w:t>
      </w:r>
      <w:proofErr w:type="gramStart"/>
      <w:r w:rsidR="00350630">
        <w:t>are</w:t>
      </w:r>
      <w:proofErr w:type="gramEnd"/>
      <w:r w:rsidR="00350630">
        <w:t xml:space="preserve"> compliance with </w:t>
      </w:r>
      <w:r w:rsidR="00222198">
        <w:t>procurement</w:t>
      </w:r>
      <w:r w:rsidR="00350630">
        <w:t xml:space="preserve"> regulations. </w:t>
      </w:r>
      <w:r w:rsidR="0052586D">
        <w:t xml:space="preserve">The review </w:t>
      </w:r>
      <w:r w:rsidR="002237C8">
        <w:t xml:space="preserve">may take place on-site or off-site at the </w:t>
      </w:r>
    </w:p>
    <w:p w14:paraId="695D40BA" w14:textId="77777777" w:rsidR="00AA1676" w:rsidRDefault="00AA1676" w:rsidP="002F702B">
      <w:pPr>
        <w:pStyle w:val="NoSpacing"/>
      </w:pPr>
    </w:p>
    <w:p w14:paraId="43A4D2E6" w14:textId="390B109B" w:rsidR="001A5DBB" w:rsidRDefault="00222198" w:rsidP="002F702B">
      <w:pPr>
        <w:pStyle w:val="NoSpacing"/>
      </w:pPr>
      <w:r w:rsidRPr="001F675F">
        <w:rPr>
          <w:b/>
          <w:bCs/>
          <w:sz w:val="28"/>
          <w:szCs w:val="28"/>
        </w:rPr>
        <w:t xml:space="preserve">Step 1: </w:t>
      </w:r>
      <w:r w:rsidR="002947F3" w:rsidRPr="001F675F">
        <w:rPr>
          <w:b/>
          <w:bCs/>
          <w:sz w:val="28"/>
          <w:szCs w:val="28"/>
        </w:rPr>
        <w:t>Review Notification</w:t>
      </w:r>
      <w:bookmarkStart w:id="0" w:name="_Hlk67044276"/>
      <w:r w:rsidR="001F675F">
        <w:br/>
        <w:t xml:space="preserve">Maine DOE Child Nutrition will notify SFAs of a procurement review.  </w:t>
      </w:r>
      <w:r w:rsidR="00CD0498">
        <w:t>The notification will include a list of required documents</w:t>
      </w:r>
      <w:r w:rsidR="008C2846">
        <w:t xml:space="preserve"> the SFA will need to submit to the reviewer. </w:t>
      </w:r>
      <w:bookmarkEnd w:id="0"/>
    </w:p>
    <w:p w14:paraId="412EEF54" w14:textId="77777777" w:rsidR="008C2846" w:rsidRPr="008C2846" w:rsidRDefault="008C2846" w:rsidP="002F702B">
      <w:pPr>
        <w:pStyle w:val="NoSpacing"/>
      </w:pPr>
    </w:p>
    <w:p w14:paraId="0DC9DAAB" w14:textId="44675C89" w:rsidR="002F702B" w:rsidRDefault="006A7948" w:rsidP="002F702B">
      <w:pPr>
        <w:pStyle w:val="NoSpacing"/>
        <w:rPr>
          <w:bCs/>
        </w:rPr>
      </w:pPr>
      <w:r w:rsidRPr="00B05033">
        <w:rPr>
          <w:b/>
          <w:sz w:val="28"/>
          <w:szCs w:val="28"/>
        </w:rPr>
        <w:t xml:space="preserve">Step 2: </w:t>
      </w:r>
      <w:r w:rsidR="00882D92">
        <w:rPr>
          <w:b/>
          <w:sz w:val="28"/>
          <w:szCs w:val="28"/>
        </w:rPr>
        <w:t xml:space="preserve">Submit </w:t>
      </w:r>
      <w:r w:rsidR="007F09DA">
        <w:rPr>
          <w:b/>
          <w:sz w:val="28"/>
          <w:szCs w:val="28"/>
        </w:rPr>
        <w:t xml:space="preserve">Procurement Information </w:t>
      </w:r>
      <w:r w:rsidR="007E75C5">
        <w:rPr>
          <w:b/>
          <w:sz w:val="28"/>
          <w:szCs w:val="28"/>
        </w:rPr>
        <w:t>to the Reviewer</w:t>
      </w:r>
      <w:r w:rsidR="00882D92">
        <w:rPr>
          <w:b/>
          <w:sz w:val="28"/>
          <w:szCs w:val="28"/>
        </w:rPr>
        <w:t xml:space="preserve"> </w:t>
      </w:r>
      <w:r w:rsidR="00B05033">
        <w:rPr>
          <w:b/>
          <w:sz w:val="28"/>
          <w:szCs w:val="28"/>
        </w:rPr>
        <w:br/>
      </w:r>
      <w:r w:rsidR="00467699">
        <w:rPr>
          <w:bCs/>
        </w:rPr>
        <w:t>The SFA wil</w:t>
      </w:r>
      <w:r w:rsidR="00882D92">
        <w:rPr>
          <w:bCs/>
        </w:rPr>
        <w:t>l</w:t>
      </w:r>
      <w:r w:rsidR="00467699">
        <w:rPr>
          <w:bCs/>
        </w:rPr>
        <w:t xml:space="preserve"> </w:t>
      </w:r>
      <w:r w:rsidR="002F702B">
        <w:rPr>
          <w:bCs/>
        </w:rPr>
        <w:t>submit the following documentation</w:t>
      </w:r>
      <w:r w:rsidR="00882D92">
        <w:rPr>
          <w:bCs/>
        </w:rPr>
        <w:t xml:space="preserve"> to the assigned reviewer at Maine DOE Child Nutrition</w:t>
      </w:r>
      <w:r w:rsidR="008C2846">
        <w:rPr>
          <w:bCs/>
        </w:rPr>
        <w:t>:</w:t>
      </w:r>
    </w:p>
    <w:p w14:paraId="6723D6B0" w14:textId="7A3C4D4B" w:rsidR="002F702B" w:rsidRDefault="002F702B" w:rsidP="002F702B">
      <w:pPr>
        <w:pStyle w:val="NoSpacing"/>
        <w:numPr>
          <w:ilvl w:val="0"/>
          <w:numId w:val="12"/>
        </w:numPr>
        <w:rPr>
          <w:bCs/>
        </w:rPr>
      </w:pPr>
      <w:r>
        <w:rPr>
          <w:bCs/>
        </w:rPr>
        <w:t xml:space="preserve">Completed </w:t>
      </w:r>
      <w:r w:rsidR="00DB1AEA">
        <w:rPr>
          <w:bCs/>
        </w:rPr>
        <w:t>Procurement Table</w:t>
      </w:r>
    </w:p>
    <w:p w14:paraId="7A1DCEB3" w14:textId="4259259F" w:rsidR="00DB1AEA" w:rsidRDefault="00DB1AEA" w:rsidP="002F702B">
      <w:pPr>
        <w:pStyle w:val="NoSpacing"/>
        <w:numPr>
          <w:ilvl w:val="0"/>
          <w:numId w:val="12"/>
        </w:numPr>
        <w:rPr>
          <w:bCs/>
        </w:rPr>
      </w:pPr>
      <w:r>
        <w:rPr>
          <w:bCs/>
        </w:rPr>
        <w:t>Vendor Paid List from prior school year</w:t>
      </w:r>
      <w:r w:rsidR="008C2846">
        <w:rPr>
          <w:bCs/>
        </w:rPr>
        <w:t xml:space="preserve"> – this is a </w:t>
      </w:r>
      <w:r w:rsidR="008C2846">
        <w:t xml:space="preserve">summary report of vendors paid from the nonprofit food service </w:t>
      </w:r>
      <w:proofErr w:type="gramStart"/>
      <w:r w:rsidR="008C2846">
        <w:t>account</w:t>
      </w:r>
      <w:proofErr w:type="gramEnd"/>
    </w:p>
    <w:p w14:paraId="4022166F" w14:textId="6A5718D4" w:rsidR="00DB1AEA" w:rsidRDefault="00DB1AEA" w:rsidP="002F702B">
      <w:pPr>
        <w:pStyle w:val="NoSpacing"/>
        <w:numPr>
          <w:ilvl w:val="0"/>
          <w:numId w:val="12"/>
        </w:numPr>
        <w:rPr>
          <w:bCs/>
        </w:rPr>
      </w:pPr>
      <w:r>
        <w:rPr>
          <w:bCs/>
        </w:rPr>
        <w:t>Code of Conduct policy</w:t>
      </w:r>
    </w:p>
    <w:p w14:paraId="4FC82083" w14:textId="282083C4" w:rsidR="00DB1AEA" w:rsidRDefault="00176020" w:rsidP="002F702B">
      <w:pPr>
        <w:pStyle w:val="NoSpacing"/>
        <w:numPr>
          <w:ilvl w:val="0"/>
          <w:numId w:val="12"/>
        </w:numPr>
        <w:rPr>
          <w:bCs/>
        </w:rPr>
      </w:pPr>
      <w:r>
        <w:rPr>
          <w:bCs/>
        </w:rPr>
        <w:t>Procurement Procedures/Policy</w:t>
      </w:r>
    </w:p>
    <w:p w14:paraId="77EA692C" w14:textId="77777777" w:rsidR="007F09DA" w:rsidRDefault="007F09DA" w:rsidP="007F09DA">
      <w:pPr>
        <w:pStyle w:val="NoSpacing"/>
        <w:rPr>
          <w:bCs/>
        </w:rPr>
      </w:pPr>
    </w:p>
    <w:p w14:paraId="64C449AB" w14:textId="492D357F" w:rsidR="007F09DA" w:rsidRDefault="007F09DA" w:rsidP="007F09DA">
      <w:pPr>
        <w:pStyle w:val="NoSpacing"/>
        <w:rPr>
          <w:b/>
          <w:sz w:val="28"/>
          <w:szCs w:val="28"/>
        </w:rPr>
      </w:pPr>
      <w:r w:rsidRPr="007E75C5">
        <w:rPr>
          <w:b/>
          <w:sz w:val="28"/>
          <w:szCs w:val="28"/>
        </w:rPr>
        <w:t xml:space="preserve">Step 3: </w:t>
      </w:r>
      <w:r w:rsidR="007E75C5">
        <w:rPr>
          <w:b/>
          <w:sz w:val="28"/>
          <w:szCs w:val="28"/>
        </w:rPr>
        <w:t>Submit Requested Documentation</w:t>
      </w:r>
      <w:r w:rsidR="004143D9">
        <w:rPr>
          <w:b/>
          <w:sz w:val="28"/>
          <w:szCs w:val="28"/>
        </w:rPr>
        <w:t xml:space="preserve"> to the Reviewer</w:t>
      </w:r>
    </w:p>
    <w:p w14:paraId="794DD0DE" w14:textId="0A49415A" w:rsidR="007E75C5" w:rsidRDefault="007E75C5" w:rsidP="007F09DA">
      <w:pPr>
        <w:pStyle w:val="NoSpacing"/>
        <w:rPr>
          <w:bCs/>
        </w:rPr>
      </w:pPr>
      <w:r w:rsidRPr="007E75C5">
        <w:rPr>
          <w:bCs/>
        </w:rPr>
        <w:t>After review of the documentation submitted in Step 2, the review will re</w:t>
      </w:r>
      <w:r>
        <w:rPr>
          <w:bCs/>
        </w:rPr>
        <w:t>quest</w:t>
      </w:r>
      <w:r w:rsidR="00DD690E">
        <w:rPr>
          <w:bCs/>
        </w:rPr>
        <w:t xml:space="preserve"> supporting procurement documentation for select vendors</w:t>
      </w:r>
      <w:r w:rsidR="00966AC3">
        <w:rPr>
          <w:bCs/>
        </w:rPr>
        <w:t xml:space="preserve"> </w:t>
      </w:r>
      <w:r w:rsidR="004143D9">
        <w:rPr>
          <w:bCs/>
        </w:rPr>
        <w:t>for micro-purchases, small purchases, and formal purchases if applicable.</w:t>
      </w:r>
      <w:r w:rsidR="001573FA">
        <w:rPr>
          <w:bCs/>
        </w:rPr>
        <w:t xml:space="preserve"> A lack of supporting documentation will result in a finding.</w:t>
      </w:r>
    </w:p>
    <w:p w14:paraId="7E4C01BF" w14:textId="77777777" w:rsidR="00966AC3" w:rsidRDefault="00966AC3" w:rsidP="007F09DA">
      <w:pPr>
        <w:pStyle w:val="NoSpacing"/>
        <w:rPr>
          <w:bCs/>
        </w:rPr>
      </w:pPr>
    </w:p>
    <w:p w14:paraId="54511ECB" w14:textId="28FC573E" w:rsidR="00966AC3" w:rsidRPr="00966AC3" w:rsidRDefault="00966AC3" w:rsidP="007F09DA">
      <w:pPr>
        <w:pStyle w:val="NoSpacing"/>
        <w:rPr>
          <w:b/>
          <w:u w:val="single"/>
        </w:rPr>
      </w:pPr>
      <w:r>
        <w:rPr>
          <w:bCs/>
        </w:rPr>
        <w:tab/>
      </w:r>
      <w:r w:rsidRPr="00966AC3">
        <w:rPr>
          <w:b/>
          <w:u w:val="single"/>
        </w:rPr>
        <w:t>Micro-purchases</w:t>
      </w:r>
    </w:p>
    <w:p w14:paraId="1BF665B2" w14:textId="1B9C02B3" w:rsidR="00966AC3" w:rsidRDefault="00966AC3" w:rsidP="00966AC3">
      <w:pPr>
        <w:pStyle w:val="NoSpacing"/>
        <w:numPr>
          <w:ilvl w:val="0"/>
          <w:numId w:val="13"/>
        </w:numPr>
        <w:rPr>
          <w:bCs/>
        </w:rPr>
      </w:pPr>
      <w:r>
        <w:rPr>
          <w:bCs/>
        </w:rPr>
        <w:t xml:space="preserve">Justification for using micro-purchase </w:t>
      </w:r>
      <w:proofErr w:type="gramStart"/>
      <w:r>
        <w:rPr>
          <w:bCs/>
        </w:rPr>
        <w:t>procedures</w:t>
      </w:r>
      <w:proofErr w:type="gramEnd"/>
    </w:p>
    <w:p w14:paraId="2F4EC6ED" w14:textId="3A8264CD" w:rsidR="00966AC3" w:rsidRDefault="00966AC3" w:rsidP="00966AC3">
      <w:pPr>
        <w:pStyle w:val="NoSpacing"/>
        <w:numPr>
          <w:ilvl w:val="0"/>
          <w:numId w:val="13"/>
        </w:numPr>
        <w:rPr>
          <w:bCs/>
        </w:rPr>
      </w:pPr>
      <w:r>
        <w:rPr>
          <w:bCs/>
        </w:rPr>
        <w:t>Receipts/invoices</w:t>
      </w:r>
    </w:p>
    <w:p w14:paraId="43150DFE" w14:textId="77777777" w:rsidR="00966AC3" w:rsidRDefault="00966AC3" w:rsidP="00966AC3">
      <w:pPr>
        <w:pStyle w:val="NoSpacing"/>
        <w:ind w:left="720"/>
        <w:rPr>
          <w:bCs/>
        </w:rPr>
      </w:pPr>
    </w:p>
    <w:p w14:paraId="72F0F246" w14:textId="1EACA9ED" w:rsidR="00966AC3" w:rsidRPr="00966AC3" w:rsidRDefault="00966AC3" w:rsidP="00966AC3">
      <w:pPr>
        <w:pStyle w:val="NoSpacing"/>
        <w:ind w:left="720"/>
        <w:rPr>
          <w:b/>
          <w:u w:val="single"/>
        </w:rPr>
      </w:pPr>
      <w:r w:rsidRPr="00966AC3">
        <w:rPr>
          <w:b/>
          <w:u w:val="single"/>
        </w:rPr>
        <w:t xml:space="preserve">Small </w:t>
      </w:r>
      <w:r>
        <w:rPr>
          <w:b/>
          <w:u w:val="single"/>
        </w:rPr>
        <w:t>Procurements</w:t>
      </w:r>
    </w:p>
    <w:p w14:paraId="3D40280C" w14:textId="1122B659" w:rsidR="00966AC3" w:rsidRDefault="00966AC3" w:rsidP="00966AC3">
      <w:pPr>
        <w:pStyle w:val="NoSpacing"/>
        <w:numPr>
          <w:ilvl w:val="0"/>
          <w:numId w:val="13"/>
        </w:numPr>
        <w:rPr>
          <w:bCs/>
        </w:rPr>
      </w:pPr>
      <w:r>
        <w:rPr>
          <w:bCs/>
        </w:rPr>
        <w:t>Solicitation document</w:t>
      </w:r>
    </w:p>
    <w:p w14:paraId="2F28C6C9" w14:textId="70A3088A" w:rsidR="00966AC3" w:rsidRDefault="00966AC3" w:rsidP="00966AC3">
      <w:pPr>
        <w:pStyle w:val="NoSpacing"/>
        <w:numPr>
          <w:ilvl w:val="0"/>
          <w:numId w:val="13"/>
        </w:numPr>
        <w:rPr>
          <w:bCs/>
        </w:rPr>
      </w:pPr>
      <w:r>
        <w:rPr>
          <w:bCs/>
        </w:rPr>
        <w:t>Quotes/responses</w:t>
      </w:r>
    </w:p>
    <w:p w14:paraId="3755FE21" w14:textId="7AC031D3" w:rsidR="00966AC3" w:rsidRDefault="00966AC3" w:rsidP="00966AC3">
      <w:pPr>
        <w:pStyle w:val="NoSpacing"/>
        <w:numPr>
          <w:ilvl w:val="0"/>
          <w:numId w:val="13"/>
        </w:numPr>
        <w:rPr>
          <w:bCs/>
        </w:rPr>
      </w:pPr>
      <w:r>
        <w:rPr>
          <w:bCs/>
        </w:rPr>
        <w:t>Evaluation</w:t>
      </w:r>
    </w:p>
    <w:p w14:paraId="6BD99A19" w14:textId="45BF6BC3" w:rsidR="00966AC3" w:rsidRDefault="00966AC3" w:rsidP="00966AC3">
      <w:pPr>
        <w:pStyle w:val="NoSpacing"/>
        <w:numPr>
          <w:ilvl w:val="0"/>
          <w:numId w:val="13"/>
        </w:numPr>
        <w:rPr>
          <w:bCs/>
        </w:rPr>
      </w:pPr>
      <w:r>
        <w:rPr>
          <w:bCs/>
        </w:rPr>
        <w:t>Receipts/invoices</w:t>
      </w:r>
    </w:p>
    <w:p w14:paraId="46303CE6" w14:textId="77777777" w:rsidR="00966AC3" w:rsidRDefault="00966AC3" w:rsidP="00966AC3">
      <w:pPr>
        <w:pStyle w:val="NoSpacing"/>
        <w:ind w:left="720"/>
        <w:rPr>
          <w:bCs/>
        </w:rPr>
      </w:pPr>
    </w:p>
    <w:p w14:paraId="7ADFBB7E" w14:textId="6B427544" w:rsidR="00966AC3" w:rsidRDefault="00966AC3" w:rsidP="00966AC3">
      <w:pPr>
        <w:pStyle w:val="NoSpacing"/>
        <w:ind w:left="720"/>
        <w:rPr>
          <w:b/>
          <w:u w:val="single"/>
        </w:rPr>
      </w:pPr>
      <w:r w:rsidRPr="00966AC3">
        <w:rPr>
          <w:b/>
          <w:u w:val="single"/>
        </w:rPr>
        <w:t>Formal Procurements</w:t>
      </w:r>
    </w:p>
    <w:p w14:paraId="766A81AD" w14:textId="076FC51C" w:rsidR="00966AC3" w:rsidRDefault="00966AC3" w:rsidP="00966AC3">
      <w:pPr>
        <w:pStyle w:val="NoSpacing"/>
        <w:numPr>
          <w:ilvl w:val="0"/>
          <w:numId w:val="14"/>
        </w:numPr>
        <w:rPr>
          <w:bCs/>
        </w:rPr>
      </w:pPr>
      <w:r>
        <w:rPr>
          <w:bCs/>
        </w:rPr>
        <w:t>Solicitation documents</w:t>
      </w:r>
    </w:p>
    <w:p w14:paraId="4B482FA5" w14:textId="4A2BA6F8" w:rsidR="00966AC3" w:rsidRDefault="00966AC3" w:rsidP="00966AC3">
      <w:pPr>
        <w:pStyle w:val="NoSpacing"/>
        <w:numPr>
          <w:ilvl w:val="0"/>
          <w:numId w:val="14"/>
        </w:numPr>
        <w:rPr>
          <w:bCs/>
        </w:rPr>
      </w:pPr>
      <w:r>
        <w:rPr>
          <w:bCs/>
        </w:rPr>
        <w:t>Vendor Responses</w:t>
      </w:r>
    </w:p>
    <w:p w14:paraId="37118179" w14:textId="252D1AC3" w:rsidR="00966AC3" w:rsidRDefault="00966AC3" w:rsidP="00966AC3">
      <w:pPr>
        <w:pStyle w:val="NoSpacing"/>
        <w:numPr>
          <w:ilvl w:val="0"/>
          <w:numId w:val="14"/>
        </w:numPr>
        <w:rPr>
          <w:bCs/>
        </w:rPr>
      </w:pPr>
      <w:r>
        <w:rPr>
          <w:bCs/>
        </w:rPr>
        <w:t>Evaluation</w:t>
      </w:r>
    </w:p>
    <w:p w14:paraId="159533FD" w14:textId="10A51D85" w:rsidR="00966AC3" w:rsidRDefault="00966AC3" w:rsidP="00966AC3">
      <w:pPr>
        <w:pStyle w:val="NoSpacing"/>
        <w:numPr>
          <w:ilvl w:val="0"/>
          <w:numId w:val="14"/>
        </w:numPr>
        <w:rPr>
          <w:bCs/>
        </w:rPr>
      </w:pPr>
      <w:r>
        <w:rPr>
          <w:bCs/>
        </w:rPr>
        <w:t xml:space="preserve">Contract/contract </w:t>
      </w:r>
      <w:proofErr w:type="gramStart"/>
      <w:r>
        <w:rPr>
          <w:bCs/>
        </w:rPr>
        <w:t>renewals</w:t>
      </w:r>
      <w:proofErr w:type="gramEnd"/>
    </w:p>
    <w:p w14:paraId="6C093C1C" w14:textId="26FC3639" w:rsidR="00966AC3" w:rsidRPr="00966AC3" w:rsidRDefault="00966AC3" w:rsidP="00966AC3">
      <w:pPr>
        <w:pStyle w:val="NoSpacing"/>
        <w:numPr>
          <w:ilvl w:val="0"/>
          <w:numId w:val="14"/>
        </w:numPr>
        <w:rPr>
          <w:bCs/>
        </w:rPr>
      </w:pPr>
      <w:r>
        <w:rPr>
          <w:bCs/>
        </w:rPr>
        <w:t>Receipts/invoices</w:t>
      </w:r>
    </w:p>
    <w:p w14:paraId="1375E3D8" w14:textId="77777777" w:rsidR="004143D9" w:rsidRDefault="004143D9" w:rsidP="007F09DA">
      <w:pPr>
        <w:pStyle w:val="NoSpacing"/>
        <w:rPr>
          <w:bCs/>
        </w:rPr>
      </w:pPr>
    </w:p>
    <w:p w14:paraId="5B477A8A" w14:textId="0B934CBC" w:rsidR="004143D9" w:rsidRDefault="004143D9" w:rsidP="007F09D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Step 4: State Agency Conducts the Review</w:t>
      </w:r>
    </w:p>
    <w:p w14:paraId="17050865" w14:textId="28E0E8BF" w:rsidR="004143D9" w:rsidRDefault="00F0405A" w:rsidP="007F09DA">
      <w:pPr>
        <w:pStyle w:val="NoSpacing"/>
        <w:rPr>
          <w:bCs/>
        </w:rPr>
      </w:pPr>
      <w:r>
        <w:rPr>
          <w:bCs/>
        </w:rPr>
        <w:t>The assigned reviewer will review the submitted information and documentation to complete the review</w:t>
      </w:r>
      <w:r w:rsidR="00D22523">
        <w:rPr>
          <w:bCs/>
        </w:rPr>
        <w:t xml:space="preserve"> and determine compliance with federal regulations. </w:t>
      </w:r>
    </w:p>
    <w:p w14:paraId="2235F4C9" w14:textId="77777777" w:rsidR="00127AF1" w:rsidRDefault="00127AF1" w:rsidP="007F09DA">
      <w:pPr>
        <w:pStyle w:val="NoSpacing"/>
        <w:rPr>
          <w:bCs/>
        </w:rPr>
      </w:pPr>
    </w:p>
    <w:p w14:paraId="68B829DD" w14:textId="4DCD5A17" w:rsidR="00127AF1" w:rsidRDefault="00127AF1" w:rsidP="007F09DA">
      <w:pPr>
        <w:pStyle w:val="NoSpacing"/>
        <w:rPr>
          <w:b/>
          <w:sz w:val="28"/>
          <w:szCs w:val="28"/>
        </w:rPr>
      </w:pPr>
      <w:r w:rsidRPr="00C36FE5">
        <w:rPr>
          <w:b/>
          <w:sz w:val="28"/>
          <w:szCs w:val="28"/>
        </w:rPr>
        <w:lastRenderedPageBreak/>
        <w:t xml:space="preserve">Step 5: </w:t>
      </w:r>
      <w:r w:rsidR="00C36FE5" w:rsidRPr="00C36FE5">
        <w:rPr>
          <w:b/>
          <w:sz w:val="28"/>
          <w:szCs w:val="28"/>
        </w:rPr>
        <w:t>Technical Assistance, Findings, and Required Corrective Action</w:t>
      </w:r>
    </w:p>
    <w:p w14:paraId="354E5ACF" w14:textId="5B53293C" w:rsidR="00C36FE5" w:rsidRDefault="00DC6E57" w:rsidP="007F09DA">
      <w:pPr>
        <w:pStyle w:val="NoSpacing"/>
        <w:rPr>
          <w:bCs/>
        </w:rPr>
      </w:pPr>
      <w:r>
        <w:rPr>
          <w:bCs/>
        </w:rPr>
        <w:t xml:space="preserve">When </w:t>
      </w:r>
      <w:r w:rsidR="00C342D8">
        <w:rPr>
          <w:bCs/>
        </w:rPr>
        <w:t xml:space="preserve">review of procurement documentation is complete, the </w:t>
      </w:r>
      <w:r w:rsidR="001A37E7">
        <w:rPr>
          <w:bCs/>
        </w:rPr>
        <w:t xml:space="preserve">SFA will receive a Procurement Review Report that will include applicable technical assistance, findings and </w:t>
      </w:r>
      <w:r w:rsidR="000F0577">
        <w:rPr>
          <w:bCs/>
        </w:rPr>
        <w:t>required corrective action</w:t>
      </w:r>
      <w:r w:rsidR="00333574">
        <w:rPr>
          <w:bCs/>
        </w:rPr>
        <w:t>,</w:t>
      </w:r>
      <w:r w:rsidR="002349F3">
        <w:rPr>
          <w:bCs/>
        </w:rPr>
        <w:t xml:space="preserve"> if applicable. </w:t>
      </w:r>
      <w:r w:rsidR="000902E6">
        <w:rPr>
          <w:bCs/>
        </w:rPr>
        <w:t xml:space="preserve">Corrective action may consist of updating policies and procedures, </w:t>
      </w:r>
      <w:r w:rsidR="001B42E9">
        <w:rPr>
          <w:bCs/>
        </w:rPr>
        <w:t xml:space="preserve">re-soliciting contracts, attending </w:t>
      </w:r>
      <w:r w:rsidR="000B2280">
        <w:rPr>
          <w:bCs/>
        </w:rPr>
        <w:t>training</w:t>
      </w:r>
      <w:r w:rsidR="001B42E9">
        <w:rPr>
          <w:bCs/>
        </w:rPr>
        <w:t xml:space="preserve"> or other</w:t>
      </w:r>
      <w:r w:rsidR="000B2280">
        <w:rPr>
          <w:bCs/>
        </w:rPr>
        <w:t xml:space="preserve"> action </w:t>
      </w:r>
      <w:r w:rsidR="00086CD8">
        <w:rPr>
          <w:bCs/>
        </w:rPr>
        <w:t xml:space="preserve">as assigned on a case-by-case basis. </w:t>
      </w:r>
      <w:r w:rsidR="00E549BC">
        <w:rPr>
          <w:bCs/>
        </w:rPr>
        <w:t xml:space="preserve">Corrective action will be emailed to the reviewer by the due date listed in the report. </w:t>
      </w:r>
      <w:r w:rsidR="008C340F">
        <w:rPr>
          <w:bCs/>
        </w:rPr>
        <w:t>Once t</w:t>
      </w:r>
      <w:r w:rsidR="00EA5F27">
        <w:rPr>
          <w:bCs/>
        </w:rPr>
        <w:t xml:space="preserve">he reviewer </w:t>
      </w:r>
      <w:r w:rsidR="00373F93">
        <w:rPr>
          <w:bCs/>
        </w:rPr>
        <w:t>has a</w:t>
      </w:r>
      <w:r w:rsidR="005E4E49">
        <w:rPr>
          <w:bCs/>
        </w:rPr>
        <w:t>pproved</w:t>
      </w:r>
      <w:r w:rsidR="00F07348">
        <w:rPr>
          <w:bCs/>
        </w:rPr>
        <w:t xml:space="preserve"> </w:t>
      </w:r>
      <w:r w:rsidR="005E4E49">
        <w:rPr>
          <w:bCs/>
        </w:rPr>
        <w:t xml:space="preserve">the corrective action, the review may be closed. </w:t>
      </w:r>
    </w:p>
    <w:p w14:paraId="3CE65540" w14:textId="77777777" w:rsidR="00F0096E" w:rsidRDefault="00F0096E" w:rsidP="007F09DA">
      <w:pPr>
        <w:pStyle w:val="NoSpacing"/>
        <w:rPr>
          <w:bCs/>
        </w:rPr>
      </w:pPr>
    </w:p>
    <w:p w14:paraId="0D806616" w14:textId="0C219C16" w:rsidR="00F0096E" w:rsidRDefault="00F0096E" w:rsidP="007F09DA">
      <w:pPr>
        <w:pStyle w:val="NoSpacing"/>
        <w:rPr>
          <w:sz w:val="28"/>
          <w:szCs w:val="28"/>
        </w:rPr>
      </w:pPr>
      <w:r w:rsidRPr="00975F04">
        <w:rPr>
          <w:b/>
          <w:sz w:val="28"/>
          <w:szCs w:val="28"/>
        </w:rPr>
        <w:t>Step</w:t>
      </w:r>
      <w:r w:rsidR="00D03FB6" w:rsidRPr="00975F04">
        <w:rPr>
          <w:b/>
          <w:sz w:val="28"/>
          <w:szCs w:val="28"/>
        </w:rPr>
        <w:t xml:space="preserve"> </w:t>
      </w:r>
      <w:r w:rsidRPr="00975F04">
        <w:rPr>
          <w:b/>
          <w:sz w:val="28"/>
          <w:szCs w:val="28"/>
        </w:rPr>
        <w:t>6</w:t>
      </w:r>
      <w:r w:rsidRPr="003B7F28">
        <w:rPr>
          <w:b/>
          <w:sz w:val="28"/>
          <w:szCs w:val="28"/>
        </w:rPr>
        <w:t>:</w:t>
      </w:r>
      <w:r w:rsidR="00975F04" w:rsidRPr="003B7F28">
        <w:rPr>
          <w:b/>
          <w:sz w:val="28"/>
          <w:szCs w:val="28"/>
        </w:rPr>
        <w:t xml:space="preserve"> </w:t>
      </w:r>
      <w:r w:rsidR="00BD166E" w:rsidRPr="003B7F28">
        <w:rPr>
          <w:b/>
          <w:sz w:val="28"/>
          <w:szCs w:val="28"/>
        </w:rPr>
        <w:t>C</w:t>
      </w:r>
      <w:r w:rsidR="003B7F28" w:rsidRPr="003B7F28">
        <w:rPr>
          <w:b/>
          <w:sz w:val="28"/>
          <w:szCs w:val="28"/>
        </w:rPr>
        <w:t>losure of Review</w:t>
      </w:r>
      <w:r w:rsidRPr="00975F04">
        <w:rPr>
          <w:sz w:val="28"/>
          <w:szCs w:val="28"/>
        </w:rPr>
        <w:t xml:space="preserve"> </w:t>
      </w:r>
    </w:p>
    <w:p w14:paraId="613B0320" w14:textId="7985833A" w:rsidR="00F07348" w:rsidRPr="00F07348" w:rsidRDefault="00033D65" w:rsidP="007F09DA">
      <w:pPr>
        <w:pStyle w:val="NoSpacing"/>
      </w:pPr>
      <w:r>
        <w:t xml:space="preserve">When the review is complete, a closure letter will be sent to the SFA concluding the procurement review. </w:t>
      </w:r>
    </w:p>
    <w:sectPr w:rsidR="00F07348" w:rsidRPr="00F0734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ABCAF" w14:textId="77777777" w:rsidR="00AB2E4B" w:rsidRDefault="00AB2E4B" w:rsidP="00412923">
      <w:pPr>
        <w:spacing w:after="0" w:line="240" w:lineRule="auto"/>
      </w:pPr>
      <w:r>
        <w:separator/>
      </w:r>
    </w:p>
  </w:endnote>
  <w:endnote w:type="continuationSeparator" w:id="0">
    <w:p w14:paraId="68CEF3C2" w14:textId="77777777" w:rsidR="00AB2E4B" w:rsidRDefault="00AB2E4B" w:rsidP="004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7A24" w14:textId="74A205D6" w:rsidR="00A72B44" w:rsidRPr="00AA1676" w:rsidRDefault="00AA1676" w:rsidP="00AA1676">
    <w:pPr>
      <w:pStyle w:val="Footer"/>
      <w:jc w:val="center"/>
    </w:pPr>
    <w: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98D86" w14:textId="77777777" w:rsidR="00AB2E4B" w:rsidRDefault="00AB2E4B" w:rsidP="00412923">
      <w:pPr>
        <w:spacing w:after="0" w:line="240" w:lineRule="auto"/>
      </w:pPr>
      <w:r>
        <w:separator/>
      </w:r>
    </w:p>
  </w:footnote>
  <w:footnote w:type="continuationSeparator" w:id="0">
    <w:p w14:paraId="2BFAF45C" w14:textId="77777777" w:rsidR="00AB2E4B" w:rsidRDefault="00AB2E4B" w:rsidP="004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0DDA" w14:textId="0FA98787" w:rsidR="00DF6E2F" w:rsidRPr="007E56B8" w:rsidRDefault="00A26EF1" w:rsidP="00DF6E2F">
    <w:pPr>
      <w:spacing w:after="0" w:line="240" w:lineRule="auto"/>
      <w:rPr>
        <w:b/>
        <w:sz w:val="40"/>
        <w:szCs w:val="32"/>
      </w:rPr>
    </w:pPr>
    <w:r w:rsidRPr="007E56B8">
      <w:rPr>
        <w:b/>
        <w:noProof/>
        <w:sz w:val="40"/>
        <w:szCs w:val="32"/>
      </w:rPr>
      <w:drawing>
        <wp:anchor distT="0" distB="0" distL="114300" distR="114300" simplePos="0" relativeHeight="251659264" behindDoc="1" locked="0" layoutInCell="1" allowOverlap="1" wp14:anchorId="7D6C5AD7" wp14:editId="1DD84D2B">
          <wp:simplePos x="0" y="0"/>
          <wp:positionH relativeFrom="rightMargin">
            <wp:posOffset>-358775</wp:posOffset>
          </wp:positionH>
          <wp:positionV relativeFrom="paragraph">
            <wp:posOffset>-297815</wp:posOffset>
          </wp:positionV>
          <wp:extent cx="806450" cy="971550"/>
          <wp:effectExtent l="0" t="0" r="0" b="0"/>
          <wp:wrapTight wrapText="bothSides">
            <wp:wrapPolygon edited="0">
              <wp:start x="0" y="0"/>
              <wp:lineTo x="0" y="21176"/>
              <wp:lineTo x="20920" y="21176"/>
              <wp:lineTo x="20920" y="0"/>
              <wp:lineTo x="0" y="0"/>
            </wp:wrapPolygon>
          </wp:wrapTight>
          <wp:docPr id="72862701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2701" name="Picture 3" descr="A picture containing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05"/>
                  <a:stretch/>
                </pic:blipFill>
                <pic:spPr bwMode="auto">
                  <a:xfrm>
                    <a:off x="0" y="0"/>
                    <a:ext cx="806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6B8">
      <w:rPr>
        <w:b/>
        <w:noProof/>
        <w:sz w:val="40"/>
        <w:szCs w:val="32"/>
      </w:rPr>
      <w:drawing>
        <wp:anchor distT="0" distB="0" distL="114300" distR="114300" simplePos="0" relativeHeight="251660288" behindDoc="1" locked="0" layoutInCell="1" allowOverlap="1" wp14:anchorId="4E29F827" wp14:editId="57B803C0">
          <wp:simplePos x="0" y="0"/>
          <wp:positionH relativeFrom="page">
            <wp:posOffset>5327980</wp:posOffset>
          </wp:positionH>
          <wp:positionV relativeFrom="paragraph">
            <wp:posOffset>-254457</wp:posOffset>
          </wp:positionV>
          <wp:extent cx="1209675" cy="440690"/>
          <wp:effectExtent l="0" t="0" r="9525" b="0"/>
          <wp:wrapTight wrapText="bothSides">
            <wp:wrapPolygon edited="0">
              <wp:start x="340" y="0"/>
              <wp:lineTo x="0" y="3735"/>
              <wp:lineTo x="0" y="20542"/>
              <wp:lineTo x="21430" y="20542"/>
              <wp:lineTo x="21430" y="11205"/>
              <wp:lineTo x="15307" y="4669"/>
              <wp:lineTo x="8164" y="0"/>
              <wp:lineTo x="340" y="0"/>
            </wp:wrapPolygon>
          </wp:wrapTight>
          <wp:docPr id="6482417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41789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6A4">
      <w:rPr>
        <w:b/>
        <w:noProof/>
        <w:sz w:val="40"/>
        <w:szCs w:val="32"/>
      </w:rPr>
      <w:t>Procurement Review Overview</w:t>
    </w:r>
    <w:r w:rsidR="00DF6E2F" w:rsidRPr="007E56B8">
      <w:rPr>
        <w:b/>
        <w:sz w:val="40"/>
        <w:szCs w:val="32"/>
      </w:rPr>
      <w:t xml:space="preserve"> </w:t>
    </w:r>
  </w:p>
  <w:p w14:paraId="362325C2" w14:textId="75249B69" w:rsidR="00DF6E2F" w:rsidRPr="009315CE" w:rsidRDefault="003816A4" w:rsidP="00DF6E2F">
    <w:pPr>
      <w:spacing w:after="0" w:line="240" w:lineRule="auto"/>
      <w:rPr>
        <w:b/>
        <w:sz w:val="36"/>
        <w:szCs w:val="28"/>
      </w:rPr>
    </w:pPr>
    <w:r>
      <w:rPr>
        <w:b/>
        <w:sz w:val="36"/>
        <w:szCs w:val="28"/>
      </w:rPr>
      <w:t xml:space="preserve">for </w:t>
    </w:r>
    <w:r w:rsidR="00DF6E2F" w:rsidRPr="009315CE">
      <w:rPr>
        <w:b/>
        <w:sz w:val="36"/>
        <w:szCs w:val="28"/>
      </w:rPr>
      <w:t>School Nutrition Programs</w:t>
    </w:r>
  </w:p>
  <w:p w14:paraId="092EC76E" w14:textId="186B0654" w:rsidR="00A72B44" w:rsidRPr="00DF6E2F" w:rsidRDefault="00A26EF1" w:rsidP="00DF6E2F">
    <w:pPr>
      <w:pStyle w:val="Header"/>
    </w:pPr>
    <w:r>
      <w:rPr>
        <w:b/>
        <w:noProof/>
        <w:sz w:val="36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2BB8B" wp14:editId="3422B14F">
              <wp:simplePos x="0" y="0"/>
              <wp:positionH relativeFrom="margin">
                <wp:posOffset>-160934</wp:posOffset>
              </wp:positionH>
              <wp:positionV relativeFrom="paragraph">
                <wp:posOffset>79730</wp:posOffset>
              </wp:positionV>
              <wp:extent cx="6638925" cy="0"/>
              <wp:effectExtent l="0" t="19050" r="28575" b="19050"/>
              <wp:wrapNone/>
              <wp:docPr id="57022934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D6EF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65pt,6.3pt" to="510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yKugEAAGgDAAAOAAAAZHJzL2Uyb0RvYy54bWysU9uO0zAQfUfiHyy/06SFlm7UdCW2Ki9c&#10;VoL9gKntJJZ8k8c07d8zdtruAm9oX5y5eI7PmZls7k/WsKOKqL1r+XxWc6ac8FK7vuVPP/fv1pxh&#10;AifBeKdaflbI77dv32zG0KiFH7yRKjICcdiMoeVDSqGpKhSDsoAzH5SjZOejhURu7CsZYSR0a6pF&#10;Xa+q0UcZohcKkaK7Kcm3Bb/rlEjfuw5VYqblxC2VM5bzkM9qu4GmjxAGLS404D9YWNCOHr1B7SAB&#10;+xX1P1BWi+jRd2kmvK1812mhigZSM6//UvNjgKCKFmoOhlub8PVgxbfjg3uM1IYxYIPhMWYVpy7a&#10;/CV+7FSadb41S50SExRcrd6v7xZLzsQ1Vz0Xhojps/KWZaPlRrusAxo4fsFEj9HV65Ucdn6vjSmz&#10;MI6NLV+slx8zNNBKdAYSmTbIlqPrOQPT066JFAskeqNlLs9AGPvDg4nsCDTvD/v1/NNuujSAVFP0&#10;blnXl7kjpK9eTuF5fY0TtwtM4fkHfia9AxymmpLKK0QlxuX3VVm5i8bnjmbr4OW5NLrKHo2zlF1W&#10;L+/LS5/slz/I9jcAAAD//wMAUEsDBBQABgAIAAAAIQDGNZZU3gAAAAoBAAAPAAAAZHJzL2Rvd25y&#10;ZXYueG1sTI/BbsIwDIbvk3iHyEi7QbJsQ1PXFKFKXNgudEgTt9CYtlrjlCZA+/YL2mEc7f/T78/p&#10;crAtu2DvG0cKnuYCGFLpTEOVgt3XevYGzAdNRreOUMGIHpbZ5CHViXFX2uKlCBWLJeQTraAOoUs4&#10;92WNVvu565BidnS91SGOfcVNr6+x3LZcCrHgVjcUL9S6w7zG8qc4WwWf436zy8Pm5fu0Hz/EsM79&#10;cVso9TgdVu/AAg7hH4abflSHLDod3JmMZ62CmXx9jmgM5ALYDRBSSGCHvw3PUn7/QvYLAAD//wMA&#10;UEsBAi0AFAAGAAgAAAAhALaDOJL+AAAA4QEAABMAAAAAAAAAAAAAAAAAAAAAAFtDb250ZW50X1R5&#10;cGVzXS54bWxQSwECLQAUAAYACAAAACEAOP0h/9YAAACUAQAACwAAAAAAAAAAAAAAAAAvAQAAX3Jl&#10;bHMvLnJlbHNQSwECLQAUAAYACAAAACEAzc5siroBAABoAwAADgAAAAAAAAAAAAAAAAAuAgAAZHJz&#10;L2Uyb0RvYy54bWxQSwECLQAUAAYACAAAACEAxjWWVN4AAAAKAQAADwAAAAAAAAAAAAAAAAAUBAAA&#10;ZHJzL2Rvd25yZXYueG1sUEsFBgAAAAAEAAQA8wAAAB8FAAAAAA==&#10;" strokecolor="#4a7ebb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39B7"/>
    <w:multiLevelType w:val="hybridMultilevel"/>
    <w:tmpl w:val="B59CB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C6326"/>
    <w:multiLevelType w:val="hybridMultilevel"/>
    <w:tmpl w:val="CF76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44B90"/>
    <w:multiLevelType w:val="hybridMultilevel"/>
    <w:tmpl w:val="0CAA44C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3E59"/>
    <w:multiLevelType w:val="hybridMultilevel"/>
    <w:tmpl w:val="2E18B1BA"/>
    <w:lvl w:ilvl="0" w:tplc="ED8C9AA2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5B60F4"/>
    <w:multiLevelType w:val="hybridMultilevel"/>
    <w:tmpl w:val="8C1EC0EA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128E"/>
    <w:multiLevelType w:val="hybridMultilevel"/>
    <w:tmpl w:val="19E01010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F3D11"/>
    <w:multiLevelType w:val="hybridMultilevel"/>
    <w:tmpl w:val="D7A8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8310C"/>
    <w:multiLevelType w:val="hybridMultilevel"/>
    <w:tmpl w:val="F310741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71108"/>
    <w:multiLevelType w:val="hybridMultilevel"/>
    <w:tmpl w:val="39DAB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A3A8C"/>
    <w:multiLevelType w:val="hybridMultilevel"/>
    <w:tmpl w:val="9D2C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1474"/>
    <w:multiLevelType w:val="hybridMultilevel"/>
    <w:tmpl w:val="3AA09030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F06F0A"/>
    <w:multiLevelType w:val="hybridMultilevel"/>
    <w:tmpl w:val="482A021C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E0103"/>
    <w:multiLevelType w:val="hybridMultilevel"/>
    <w:tmpl w:val="FBC2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3431C"/>
    <w:multiLevelType w:val="hybridMultilevel"/>
    <w:tmpl w:val="BD3665D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2300">
    <w:abstractNumId w:val="6"/>
  </w:num>
  <w:num w:numId="2" w16cid:durableId="892161667">
    <w:abstractNumId w:val="11"/>
  </w:num>
  <w:num w:numId="3" w16cid:durableId="1686904277">
    <w:abstractNumId w:val="2"/>
  </w:num>
  <w:num w:numId="4" w16cid:durableId="125515423">
    <w:abstractNumId w:val="4"/>
  </w:num>
  <w:num w:numId="5" w16cid:durableId="1642273317">
    <w:abstractNumId w:val="10"/>
  </w:num>
  <w:num w:numId="6" w16cid:durableId="376050742">
    <w:abstractNumId w:val="13"/>
  </w:num>
  <w:num w:numId="7" w16cid:durableId="1030762359">
    <w:abstractNumId w:val="7"/>
  </w:num>
  <w:num w:numId="8" w16cid:durableId="1637563396">
    <w:abstractNumId w:val="3"/>
  </w:num>
  <w:num w:numId="9" w16cid:durableId="1263343785">
    <w:abstractNumId w:val="5"/>
  </w:num>
  <w:num w:numId="10" w16cid:durableId="1027801397">
    <w:abstractNumId w:val="12"/>
  </w:num>
  <w:num w:numId="11" w16cid:durableId="2036953363">
    <w:abstractNumId w:val="9"/>
  </w:num>
  <w:num w:numId="12" w16cid:durableId="1821263713">
    <w:abstractNumId w:val="1"/>
  </w:num>
  <w:num w:numId="13" w16cid:durableId="286089075">
    <w:abstractNumId w:val="0"/>
  </w:num>
  <w:num w:numId="14" w16cid:durableId="2132481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D9"/>
    <w:rsid w:val="000130A5"/>
    <w:rsid w:val="00020E09"/>
    <w:rsid w:val="00033D65"/>
    <w:rsid w:val="00067683"/>
    <w:rsid w:val="00086CD8"/>
    <w:rsid w:val="000902E6"/>
    <w:rsid w:val="000B2280"/>
    <w:rsid w:val="000B736F"/>
    <w:rsid w:val="000F0577"/>
    <w:rsid w:val="001142D5"/>
    <w:rsid w:val="001236CE"/>
    <w:rsid w:val="00127AF1"/>
    <w:rsid w:val="00130A5D"/>
    <w:rsid w:val="001573FA"/>
    <w:rsid w:val="00166328"/>
    <w:rsid w:val="00176020"/>
    <w:rsid w:val="001A37E7"/>
    <w:rsid w:val="001A5DBB"/>
    <w:rsid w:val="001B42E9"/>
    <w:rsid w:val="001C46D9"/>
    <w:rsid w:val="001F675F"/>
    <w:rsid w:val="00222198"/>
    <w:rsid w:val="002237C8"/>
    <w:rsid w:val="00231FCA"/>
    <w:rsid w:val="002343BE"/>
    <w:rsid w:val="002349F3"/>
    <w:rsid w:val="00237EBA"/>
    <w:rsid w:val="002817AB"/>
    <w:rsid w:val="002947F3"/>
    <w:rsid w:val="002B320D"/>
    <w:rsid w:val="002F702B"/>
    <w:rsid w:val="00333574"/>
    <w:rsid w:val="003500CB"/>
    <w:rsid w:val="00350630"/>
    <w:rsid w:val="00373F93"/>
    <w:rsid w:val="003816A4"/>
    <w:rsid w:val="00383284"/>
    <w:rsid w:val="003859FB"/>
    <w:rsid w:val="003B7F28"/>
    <w:rsid w:val="00402E70"/>
    <w:rsid w:val="00412923"/>
    <w:rsid w:val="004143D9"/>
    <w:rsid w:val="00455B1B"/>
    <w:rsid w:val="00467699"/>
    <w:rsid w:val="004B4DAE"/>
    <w:rsid w:val="004D3EA8"/>
    <w:rsid w:val="004D6E2E"/>
    <w:rsid w:val="0052586D"/>
    <w:rsid w:val="0057699D"/>
    <w:rsid w:val="005E4E49"/>
    <w:rsid w:val="00641710"/>
    <w:rsid w:val="006A7948"/>
    <w:rsid w:val="007368B5"/>
    <w:rsid w:val="00757ADD"/>
    <w:rsid w:val="00792CA3"/>
    <w:rsid w:val="007B0DEE"/>
    <w:rsid w:val="007D4C63"/>
    <w:rsid w:val="007E75C5"/>
    <w:rsid w:val="007F09DA"/>
    <w:rsid w:val="00882D92"/>
    <w:rsid w:val="008C2846"/>
    <w:rsid w:val="008C340F"/>
    <w:rsid w:val="009315CE"/>
    <w:rsid w:val="00931953"/>
    <w:rsid w:val="00945824"/>
    <w:rsid w:val="00951A79"/>
    <w:rsid w:val="00966AC3"/>
    <w:rsid w:val="00975F04"/>
    <w:rsid w:val="009B0C60"/>
    <w:rsid w:val="00A26EF1"/>
    <w:rsid w:val="00A64FAA"/>
    <w:rsid w:val="00A72B44"/>
    <w:rsid w:val="00AA1676"/>
    <w:rsid w:val="00AB2E4B"/>
    <w:rsid w:val="00AF4256"/>
    <w:rsid w:val="00B05033"/>
    <w:rsid w:val="00B543E9"/>
    <w:rsid w:val="00BA0D51"/>
    <w:rsid w:val="00BB1D32"/>
    <w:rsid w:val="00BD166E"/>
    <w:rsid w:val="00C172A3"/>
    <w:rsid w:val="00C342D8"/>
    <w:rsid w:val="00C36FE5"/>
    <w:rsid w:val="00C8201E"/>
    <w:rsid w:val="00CD0498"/>
    <w:rsid w:val="00D03FB6"/>
    <w:rsid w:val="00D20115"/>
    <w:rsid w:val="00D22523"/>
    <w:rsid w:val="00DB1AEA"/>
    <w:rsid w:val="00DC6E57"/>
    <w:rsid w:val="00DD690E"/>
    <w:rsid w:val="00DF1762"/>
    <w:rsid w:val="00DF1DA5"/>
    <w:rsid w:val="00DF6E2F"/>
    <w:rsid w:val="00E549BC"/>
    <w:rsid w:val="00EA5F27"/>
    <w:rsid w:val="00EE6C38"/>
    <w:rsid w:val="00F0096E"/>
    <w:rsid w:val="00F0293F"/>
    <w:rsid w:val="00F0405A"/>
    <w:rsid w:val="00F07348"/>
    <w:rsid w:val="00F17539"/>
    <w:rsid w:val="00F661E9"/>
    <w:rsid w:val="00FE6CB4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47DA4"/>
  <w15:chartTrackingRefBased/>
  <w15:docId w15:val="{4B7A20C3-9462-43BE-8F06-4E031C4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23"/>
  </w:style>
  <w:style w:type="paragraph" w:styleId="Footer">
    <w:name w:val="footer"/>
    <w:basedOn w:val="Normal"/>
    <w:link w:val="FooterChar"/>
    <w:uiPriority w:val="99"/>
    <w:unhideWhenUsed/>
    <w:rsid w:val="004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23"/>
  </w:style>
  <w:style w:type="paragraph" w:styleId="NoSpacing">
    <w:name w:val="No Spacing"/>
    <w:uiPriority w:val="1"/>
    <w:qFormat/>
    <w:rsid w:val="006417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E6CB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6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7/subtitle-B/chapter-II/subchapter-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2/subtitle-A/chapter-II/part-20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7/subtitle-B/chapter-II/subchapter-A/part-220/section-220.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urrent/title-7/subtitle-B/chapter-II/subchapter-A/part-215/section-215.1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7/subtitle-B/chapter-II/subchapter-A/part-210/subpart-E/section-210.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Sarah D</dc:creator>
  <cp:keywords/>
  <dc:description/>
  <cp:lastModifiedBy>Platt, Sarah D</cp:lastModifiedBy>
  <cp:revision>70</cp:revision>
  <dcterms:created xsi:type="dcterms:W3CDTF">2021-03-17T14:52:00Z</dcterms:created>
  <dcterms:modified xsi:type="dcterms:W3CDTF">2024-05-21T17:29:00Z</dcterms:modified>
</cp:coreProperties>
</file>