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B77C" w14:textId="728B10D0" w:rsidR="00A516C1" w:rsidRPr="00A516C1" w:rsidRDefault="006B703D" w:rsidP="006B703D">
      <w:pPr>
        <w:tabs>
          <w:tab w:val="center" w:pos="4680"/>
        </w:tabs>
        <w:rPr>
          <w:rFonts w:ascii="CG Times" w:hAnsi="CG Times"/>
          <w:sz w:val="16"/>
          <w:szCs w:val="16"/>
        </w:rPr>
      </w:pPr>
      <w:r>
        <w:rPr>
          <w:rFonts w:ascii="CG Times" w:hAnsi="CG Times"/>
          <w:sz w:val="33"/>
        </w:rPr>
        <w:tab/>
      </w:r>
      <w:r>
        <w:rPr>
          <w:rFonts w:ascii="CG Times" w:hAnsi="CG Times"/>
          <w:sz w:val="33"/>
        </w:rPr>
        <w:tab/>
      </w:r>
      <w:r>
        <w:rPr>
          <w:rFonts w:ascii="CG Times" w:hAnsi="CG Times"/>
          <w:sz w:val="33"/>
        </w:rPr>
        <w:tab/>
      </w:r>
      <w:r>
        <w:rPr>
          <w:rFonts w:ascii="CG Times" w:hAnsi="CG Times"/>
          <w:sz w:val="33"/>
        </w:rPr>
        <w:tab/>
      </w:r>
      <w:r>
        <w:rPr>
          <w:rFonts w:ascii="CG Times" w:hAnsi="CG Times"/>
          <w:sz w:val="33"/>
        </w:rPr>
        <w:tab/>
      </w:r>
      <w:r>
        <w:rPr>
          <w:rFonts w:ascii="CG Times" w:hAnsi="CG Times"/>
          <w:sz w:val="33"/>
        </w:rPr>
        <w:tab/>
      </w:r>
      <w:r>
        <w:rPr>
          <w:rFonts w:ascii="CG Times" w:hAnsi="CG Times"/>
          <w:sz w:val="33"/>
        </w:rPr>
        <w:tab/>
      </w:r>
      <w:r>
        <w:rPr>
          <w:rFonts w:ascii="CG Times" w:hAnsi="CG Times"/>
          <w:sz w:val="33"/>
        </w:rPr>
        <w:tab/>
      </w:r>
      <w:r w:rsidR="00A516C1" w:rsidRPr="00A516C1">
        <w:rPr>
          <w:rFonts w:ascii="Times New Roman" w:hAnsi="Times New Roman"/>
          <w:sz w:val="16"/>
          <w:szCs w:val="16"/>
        </w:rPr>
        <w:t>revised 8-2019</w:t>
      </w:r>
    </w:p>
    <w:p w14:paraId="2537FA39" w14:textId="77777777" w:rsidR="00FF7839" w:rsidRDefault="00194290" w:rsidP="00FF7839">
      <w:pPr>
        <w:tabs>
          <w:tab w:val="center" w:pos="4680"/>
        </w:tabs>
        <w:jc w:val="center"/>
        <w:rPr>
          <w:rFonts w:ascii="CG Times" w:hAnsi="CG Times"/>
          <w:sz w:val="22"/>
        </w:rPr>
      </w:pPr>
      <w:r>
        <w:rPr>
          <w:rFonts w:ascii="CG Times" w:hAnsi="CG Times"/>
          <w:sz w:val="33"/>
        </w:rPr>
        <w:t>Rulem</w:t>
      </w:r>
      <w:r w:rsidR="00FF7839">
        <w:rPr>
          <w:rFonts w:ascii="CG Times" w:hAnsi="CG Times"/>
          <w:sz w:val="33"/>
        </w:rPr>
        <w:t>aking Fact Sheet</w:t>
      </w:r>
    </w:p>
    <w:p w14:paraId="6F871EF1" w14:textId="77777777" w:rsidR="00FF7839" w:rsidRDefault="00FF7839" w:rsidP="00FF7839">
      <w:pPr>
        <w:tabs>
          <w:tab w:val="center" w:pos="4680"/>
        </w:tabs>
        <w:spacing w:line="245" w:lineRule="exact"/>
        <w:jc w:val="center"/>
        <w:rPr>
          <w:rFonts w:ascii="CG Times" w:hAnsi="CG Times"/>
          <w:sz w:val="22"/>
        </w:rPr>
      </w:pPr>
      <w:r>
        <w:rPr>
          <w:rFonts w:ascii="CG Times" w:hAnsi="CG Times"/>
          <w:i/>
          <w:sz w:val="22"/>
        </w:rPr>
        <w:t>(5 MRSA §8057-A)</w:t>
      </w:r>
    </w:p>
    <w:p w14:paraId="2DBAF345"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7813714F" w14:textId="23A18A18"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AGENCY:</w:t>
      </w:r>
      <w:r w:rsidR="006B703D">
        <w:rPr>
          <w:rFonts w:ascii="CG Times" w:hAnsi="CG Times"/>
          <w:sz w:val="22"/>
        </w:rPr>
        <w:t xml:space="preserve"> Maine Department of Education</w:t>
      </w:r>
    </w:p>
    <w:p w14:paraId="1CEEDC56"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128793CE"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NAME, ADDRESS, PHONE NUMBER</w:t>
      </w:r>
      <w:r w:rsidR="008B3CF0">
        <w:rPr>
          <w:rFonts w:ascii="CG Times" w:hAnsi="CG Times"/>
          <w:sz w:val="22"/>
        </w:rPr>
        <w:t>, E</w:t>
      </w:r>
      <w:r w:rsidRPr="00474C2A">
        <w:rPr>
          <w:rFonts w:ascii="CG Times" w:hAnsi="CG Times"/>
          <w:sz w:val="22"/>
        </w:rPr>
        <w:t>MAIL</w:t>
      </w:r>
      <w:r>
        <w:rPr>
          <w:rFonts w:ascii="CG Times" w:hAnsi="CG Times"/>
          <w:sz w:val="22"/>
        </w:rPr>
        <w:t xml:space="preserve"> OF AGENCY CONTACT PERSON:</w:t>
      </w:r>
    </w:p>
    <w:p w14:paraId="763E0107" w14:textId="0011230F" w:rsidR="00FF7839" w:rsidRDefault="006B703D"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Style w:val="normaltextrun"/>
          <w:color w:val="000000"/>
          <w:sz w:val="22"/>
          <w:szCs w:val="22"/>
          <w:shd w:val="clear" w:color="auto" w:fill="FFFFFF"/>
        </w:rPr>
        <w:t xml:space="preserve">Laura Cyr, SHS 23, Augusta, Maine; 207-446-8791, </w:t>
      </w:r>
      <w:hyperlink r:id="rId9" w:tgtFrame="_blank" w:history="1">
        <w:r>
          <w:rPr>
            <w:rStyle w:val="normaltextrun"/>
            <w:color w:val="0563C1"/>
            <w:sz w:val="22"/>
            <w:szCs w:val="22"/>
            <w:u w:val="single"/>
            <w:shd w:val="clear" w:color="auto" w:fill="FFFFFF"/>
          </w:rPr>
          <w:t>lauracyr@maine.gov</w:t>
        </w:r>
      </w:hyperlink>
      <w:r>
        <w:rPr>
          <w:rStyle w:val="normaltextrun"/>
          <w:color w:val="000000"/>
          <w:sz w:val="22"/>
          <w:szCs w:val="22"/>
          <w:shd w:val="clear" w:color="auto" w:fill="FFFFFF"/>
        </w:rPr>
        <w:t> </w:t>
      </w:r>
    </w:p>
    <w:p w14:paraId="43BA566A"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5E91F77F"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CHAPTER NUMBER AND RULE TITLE:</w:t>
      </w:r>
    </w:p>
    <w:p w14:paraId="20D0BEEC" w14:textId="77777777" w:rsidR="008938D9" w:rsidRDefault="008938D9" w:rsidP="008938D9">
      <w:pPr>
        <w:tabs>
          <w:tab w:val="left" w:pos="-1440"/>
          <w:tab w:val="left" w:pos="-720"/>
          <w:tab w:val="left" w:pos="0"/>
          <w:tab w:val="left" w:pos="720"/>
          <w:tab w:val="left" w:pos="1440"/>
          <w:tab w:val="left" w:pos="1800"/>
          <w:tab w:val="left" w:pos="3060"/>
          <w:tab w:val="left" w:pos="3420"/>
          <w:tab w:val="left" w:pos="5400"/>
          <w:tab w:val="left" w:pos="5760"/>
        </w:tabs>
        <w:rPr>
          <w:rFonts w:ascii="Times New Roman" w:hAnsi="Times New Roman"/>
          <w:sz w:val="22"/>
          <w:szCs w:val="22"/>
        </w:rPr>
      </w:pPr>
    </w:p>
    <w:p w14:paraId="033919E9" w14:textId="189D4DA9" w:rsidR="008938D9" w:rsidRDefault="006B703D" w:rsidP="008938D9">
      <w:pPr>
        <w:tabs>
          <w:tab w:val="left" w:pos="-1440"/>
          <w:tab w:val="left" w:pos="-720"/>
          <w:tab w:val="left" w:pos="0"/>
          <w:tab w:val="left" w:pos="720"/>
          <w:tab w:val="left" w:pos="1440"/>
          <w:tab w:val="left" w:pos="1800"/>
          <w:tab w:val="left" w:pos="3060"/>
          <w:tab w:val="left" w:pos="3420"/>
          <w:tab w:val="left" w:pos="5400"/>
          <w:tab w:val="left" w:pos="5760"/>
        </w:tabs>
        <w:rPr>
          <w:rFonts w:ascii="Times New Roman" w:hAnsi="Times New Roman"/>
          <w:sz w:val="22"/>
          <w:szCs w:val="22"/>
        </w:rPr>
      </w:pPr>
      <w:r>
        <w:rPr>
          <w:rStyle w:val="normaltextrun"/>
          <w:color w:val="000000"/>
          <w:sz w:val="22"/>
          <w:szCs w:val="22"/>
          <w:shd w:val="clear" w:color="auto" w:fill="FFFFFF"/>
        </w:rPr>
        <w:t>Chapter 101: Maine Unified Special Education Regulation Birth to Age 20</w:t>
      </w:r>
      <w:r>
        <w:rPr>
          <w:rStyle w:val="eop"/>
          <w:color w:val="000000"/>
          <w:sz w:val="22"/>
          <w:szCs w:val="22"/>
          <w:shd w:val="clear" w:color="auto" w:fill="FFFFFF"/>
        </w:rPr>
        <w:t> </w:t>
      </w:r>
    </w:p>
    <w:p w14:paraId="40A3BFA2" w14:textId="11F2D044" w:rsidR="008938D9" w:rsidRPr="00B13DDD" w:rsidRDefault="008938D9" w:rsidP="008938D9">
      <w:pPr>
        <w:tabs>
          <w:tab w:val="left" w:pos="-1440"/>
          <w:tab w:val="left" w:pos="-720"/>
          <w:tab w:val="left" w:pos="0"/>
          <w:tab w:val="left" w:pos="720"/>
          <w:tab w:val="left" w:pos="1440"/>
          <w:tab w:val="left" w:pos="1800"/>
          <w:tab w:val="left" w:pos="3060"/>
          <w:tab w:val="left" w:pos="3420"/>
          <w:tab w:val="left" w:pos="5400"/>
          <w:tab w:val="left" w:pos="5760"/>
        </w:tabs>
        <w:rPr>
          <w:rFonts w:ascii="Times New Roman" w:hAnsi="Times New Roman"/>
          <w:sz w:val="22"/>
          <w:szCs w:val="22"/>
        </w:rPr>
      </w:pPr>
      <w:r>
        <w:rPr>
          <w:rFonts w:ascii="Times New Roman" w:hAnsi="Times New Roman"/>
          <w:sz w:val="22"/>
          <w:szCs w:val="22"/>
        </w:rPr>
        <w:t xml:space="preserve">TYPE OF RULE </w:t>
      </w:r>
      <w:r w:rsidRPr="00B13DDD">
        <w:rPr>
          <w:rFonts w:ascii="Times New Roman" w:hAnsi="Times New Roman"/>
          <w:i/>
          <w:sz w:val="22"/>
          <w:szCs w:val="22"/>
        </w:rPr>
        <w:t>(check one)</w:t>
      </w:r>
      <w:r>
        <w:rPr>
          <w:rFonts w:ascii="Times New Roman" w:hAnsi="Times New Roman"/>
          <w:sz w:val="22"/>
          <w:szCs w:val="22"/>
        </w:rPr>
        <w:t>:</w:t>
      </w:r>
      <w:r>
        <w:rPr>
          <w:rFonts w:ascii="Times New Roman" w:hAnsi="Times New Roman"/>
          <w:sz w:val="22"/>
          <w:szCs w:val="22"/>
        </w:rPr>
        <w:tab/>
      </w:r>
      <w:r w:rsidRPr="00B13DDD">
        <w:rPr>
          <w:rFonts w:ascii="Wingdings" w:hAnsi="Wingdings"/>
          <w:sz w:val="22"/>
          <w:szCs w:val="22"/>
        </w:rPr>
        <w:t></w:t>
      </w:r>
      <w:r w:rsidRPr="00B13DDD">
        <w:rPr>
          <w:rFonts w:ascii="Times New Roman" w:hAnsi="Times New Roman"/>
          <w:sz w:val="22"/>
          <w:szCs w:val="22"/>
        </w:rPr>
        <w:tab/>
      </w:r>
      <w:r>
        <w:rPr>
          <w:rFonts w:ascii="Times New Roman" w:hAnsi="Times New Roman"/>
          <w:sz w:val="22"/>
          <w:szCs w:val="22"/>
        </w:rPr>
        <w:t>Routine Technical</w:t>
      </w:r>
      <w:r w:rsidRPr="00B13DDD">
        <w:rPr>
          <w:rFonts w:ascii="Times New Roman" w:hAnsi="Times New Roman"/>
          <w:sz w:val="22"/>
          <w:szCs w:val="22"/>
        </w:rPr>
        <w:tab/>
      </w:r>
      <w:r w:rsidRPr="00B13DDD">
        <w:rPr>
          <w:rFonts w:ascii="Wingdings" w:hAnsi="Wingdings"/>
          <w:sz w:val="22"/>
          <w:szCs w:val="22"/>
        </w:rPr>
        <w:t></w:t>
      </w:r>
      <w:r w:rsidRPr="00B13DDD">
        <w:rPr>
          <w:rFonts w:ascii="Times New Roman" w:hAnsi="Times New Roman"/>
          <w:sz w:val="22"/>
          <w:szCs w:val="22"/>
        </w:rPr>
        <w:tab/>
      </w:r>
      <w:r>
        <w:rPr>
          <w:rFonts w:ascii="Times New Roman" w:hAnsi="Times New Roman"/>
          <w:sz w:val="22"/>
          <w:szCs w:val="22"/>
        </w:rPr>
        <w:t>Major Substantive</w:t>
      </w:r>
      <w:r w:rsidR="006B703D">
        <w:rPr>
          <w:rFonts w:ascii="Times New Roman" w:hAnsi="Times New Roman"/>
          <w:sz w:val="22"/>
          <w:szCs w:val="22"/>
        </w:rPr>
        <w:t xml:space="preserve"> </w:t>
      </w:r>
      <w:r w:rsidR="006B703D">
        <w:rPr>
          <w:rStyle w:val="normaltextrun"/>
          <w:rFonts w:ascii="Wingdings" w:eastAsia="Wingdings" w:hAnsi="Wingdings" w:cs="Wingdings"/>
          <w:color w:val="000000"/>
          <w:sz w:val="22"/>
          <w:szCs w:val="22"/>
          <w:shd w:val="clear" w:color="auto" w:fill="FFFFFF"/>
        </w:rPr>
        <w:t>x</w:t>
      </w:r>
      <w:r w:rsidR="006B703D">
        <w:rPr>
          <w:rStyle w:val="tabchar"/>
          <w:rFonts w:ascii="Calibri" w:hAnsi="Calibri" w:cs="Calibri"/>
          <w:color w:val="000000"/>
          <w:sz w:val="22"/>
          <w:szCs w:val="22"/>
          <w:shd w:val="clear" w:color="auto" w:fill="FFFFFF"/>
        </w:rPr>
        <w:tab/>
      </w:r>
      <w:r w:rsidR="006B703D">
        <w:rPr>
          <w:rStyle w:val="normaltextrun"/>
          <w:color w:val="000000"/>
          <w:sz w:val="22"/>
          <w:szCs w:val="22"/>
          <w:shd w:val="clear" w:color="auto" w:fill="FFFFFF"/>
        </w:rPr>
        <w:t>Emergency</w:t>
      </w:r>
    </w:p>
    <w:p w14:paraId="64FB8856"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20AA3DF6" w14:textId="2190F32F"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STATUTORY AUTHORITY:</w:t>
      </w:r>
      <w:r w:rsidR="006B703D">
        <w:rPr>
          <w:rFonts w:ascii="CG Times" w:hAnsi="CG Times"/>
          <w:sz w:val="22"/>
        </w:rPr>
        <w:t xml:space="preserve"> </w:t>
      </w:r>
      <w:r w:rsidR="006B703D">
        <w:rPr>
          <w:rStyle w:val="normaltextrun"/>
          <w:color w:val="000000"/>
          <w:sz w:val="22"/>
          <w:szCs w:val="22"/>
          <w:bdr w:val="none" w:sz="0" w:space="0" w:color="auto" w:frame="1"/>
        </w:rPr>
        <w:t>20-A §7005(1); §8054</w:t>
      </w:r>
    </w:p>
    <w:p w14:paraId="3E17BD5D"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2FC87F10" w14:textId="24F00DC6"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DATE, TIME AND PLACE OF PUBLIC HEARING:</w:t>
      </w:r>
      <w:r w:rsidR="006B703D">
        <w:rPr>
          <w:rFonts w:ascii="CG Times" w:hAnsi="CG Times"/>
          <w:sz w:val="22"/>
        </w:rPr>
        <w:t xml:space="preserve"> N/A</w:t>
      </w:r>
    </w:p>
    <w:p w14:paraId="39BF6054"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7DDF5658"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7C007A62"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3963EABA" w14:textId="0CD0646F"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COMMENT DEADLINE:</w:t>
      </w:r>
      <w:r w:rsidR="006B703D">
        <w:rPr>
          <w:rFonts w:ascii="CG Times" w:hAnsi="CG Times"/>
          <w:sz w:val="22"/>
        </w:rPr>
        <w:t xml:space="preserve"> </w:t>
      </w:r>
      <w:r w:rsidR="00CE4062">
        <w:rPr>
          <w:rFonts w:ascii="CG Times" w:hAnsi="CG Times"/>
          <w:sz w:val="22"/>
        </w:rPr>
        <w:t xml:space="preserve">June </w:t>
      </w:r>
      <w:r w:rsidR="00A35BA2">
        <w:rPr>
          <w:rFonts w:ascii="CG Times" w:hAnsi="CG Times"/>
          <w:sz w:val="22"/>
        </w:rPr>
        <w:t>26, 2023</w:t>
      </w:r>
    </w:p>
    <w:p w14:paraId="4930B56A"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6CAC8729"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PRINCIPAL REASON(S) OR PURPOSE FOR PROPOSING THIS RULE:  [</w:t>
      </w:r>
      <w:r w:rsidRPr="00213C9A">
        <w:rPr>
          <w:rFonts w:ascii="CG Times" w:hAnsi="CG Times"/>
          <w:i/>
          <w:sz w:val="22"/>
        </w:rPr>
        <w:t>see</w:t>
      </w:r>
      <w:r>
        <w:rPr>
          <w:rFonts w:ascii="CG Times" w:hAnsi="CG Times"/>
          <w:sz w:val="22"/>
        </w:rPr>
        <w:t xml:space="preserve"> §8057-A(1)(A)&amp;(C)]</w:t>
      </w:r>
    </w:p>
    <w:p w14:paraId="31CA2010"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323CDC81" w14:textId="7868BAC6" w:rsidR="00FF7839" w:rsidRPr="002D62FF" w:rsidRDefault="006B703D" w:rsidP="46FFDCF9">
      <w:pPr>
        <w:tabs>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szCs w:val="22"/>
        </w:rPr>
      </w:pPr>
      <w:r w:rsidRPr="002D62FF">
        <w:rPr>
          <w:rStyle w:val="normaltextrun"/>
          <w:color w:val="000000"/>
          <w:sz w:val="22"/>
          <w:szCs w:val="22"/>
          <w:shd w:val="clear" w:color="auto" w:fill="FFFFFF"/>
        </w:rPr>
        <w:t>The Department of Education has identified a barrier to its obligation pursuant to the Individuals with Disabilities Education Act (IDEA) and the Maine Unified Special Education Regulation (MUSER) to ensure the provision of a free, appropriate public education (FAPE) to all eligible students including the availability of a continuum of educational placements.  The current funding structure outlined in Section XVIII.3.C(2) of MUSER for private schools that serve exclusively students with disabilities (referred to throughout as “special purpose private schools”) is causing those schools to limit or cease operations, leaving some of Maine’s most significantly</w:t>
      </w:r>
      <w:r w:rsidRPr="002D62FF">
        <w:rPr>
          <w:rStyle w:val="normaltextrun"/>
          <w:b/>
          <w:bCs/>
          <w:color w:val="000000"/>
          <w:sz w:val="22"/>
          <w:szCs w:val="22"/>
          <w:shd w:val="clear" w:color="auto" w:fill="FFFFFF"/>
        </w:rPr>
        <w:t xml:space="preserve"> </w:t>
      </w:r>
      <w:r w:rsidRPr="002D62FF">
        <w:rPr>
          <w:rStyle w:val="normaltextrun"/>
          <w:color w:val="000000"/>
          <w:sz w:val="22"/>
          <w:szCs w:val="22"/>
          <w:shd w:val="clear" w:color="auto" w:fill="FFFFFF"/>
        </w:rPr>
        <w:t>impacted children without the educational placements they are entitled to by law.   Further breakdown of this critical component of the continuum of educational placements will leave the State unable to maintain compliance with IDEA and MUSER.</w:t>
      </w:r>
      <w:r w:rsidRPr="002D62FF">
        <w:rPr>
          <w:rStyle w:val="eop"/>
          <w:color w:val="000000"/>
          <w:sz w:val="22"/>
          <w:szCs w:val="22"/>
          <w:shd w:val="clear" w:color="auto" w:fill="FFFFFF"/>
        </w:rPr>
        <w:t> </w:t>
      </w:r>
    </w:p>
    <w:p w14:paraId="63E420C5"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41CA1296"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0037E95A"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7BFFC189" w14:textId="1BCEDD5F"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 xml:space="preserve">IS MATERIAL INCORPORATED BY REFERENCE IN THE RULE?  </w:t>
      </w:r>
      <w:r>
        <w:rPr>
          <w:rFonts w:ascii="CG Times" w:hAnsi="CG Times"/>
          <w:sz w:val="22"/>
          <w:u w:val="single"/>
        </w:rPr>
        <w:t xml:space="preserve">      </w:t>
      </w:r>
      <w:r>
        <w:rPr>
          <w:rFonts w:ascii="CG Times" w:hAnsi="CG Times"/>
          <w:sz w:val="22"/>
        </w:rPr>
        <w:t xml:space="preserve">YES </w:t>
      </w:r>
      <w:r>
        <w:rPr>
          <w:rFonts w:ascii="CG Times" w:hAnsi="CG Times"/>
          <w:sz w:val="22"/>
          <w:u w:val="single"/>
        </w:rPr>
        <w:t xml:space="preserve">   </w:t>
      </w:r>
      <w:r w:rsidR="006B703D">
        <w:rPr>
          <w:rFonts w:ascii="CG Times" w:hAnsi="CG Times"/>
          <w:sz w:val="22"/>
          <w:u w:val="single"/>
        </w:rPr>
        <w:t>X</w:t>
      </w:r>
      <w:r>
        <w:rPr>
          <w:rFonts w:ascii="CG Times" w:hAnsi="CG Times"/>
          <w:sz w:val="22"/>
          <w:u w:val="single"/>
        </w:rPr>
        <w:t xml:space="preserve">   </w:t>
      </w:r>
      <w:r>
        <w:rPr>
          <w:rFonts w:ascii="CG Times" w:hAnsi="CG Times"/>
          <w:sz w:val="22"/>
        </w:rPr>
        <w:t>NO  [§8056(1)(B)]</w:t>
      </w:r>
    </w:p>
    <w:p w14:paraId="1DB0AC8B"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1DD81775"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ANALYSIS AND EXPECTED OPERATION OF THE RULE:   [</w:t>
      </w:r>
      <w:r w:rsidRPr="00213C9A">
        <w:rPr>
          <w:rFonts w:ascii="CG Times" w:hAnsi="CG Times"/>
          <w:i/>
          <w:sz w:val="22"/>
        </w:rPr>
        <w:t>see</w:t>
      </w:r>
      <w:r>
        <w:rPr>
          <w:rFonts w:ascii="CG Times" w:hAnsi="CG Times"/>
          <w:sz w:val="22"/>
        </w:rPr>
        <w:t xml:space="preserve"> §8057-A(1)(B)&amp;(D)]</w:t>
      </w:r>
    </w:p>
    <w:p w14:paraId="06089782"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12A90BF4"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7A3C4C2E"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764377EB"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BRIEF SUMMARY OF RELEVANT INFORMATION CONSIDERED DURING DEVELOPMENT OF THE RULE (including up to 3 primary sources relied upon) [</w:t>
      </w:r>
      <w:r w:rsidRPr="00145A7C">
        <w:rPr>
          <w:rFonts w:ascii="CG Times" w:hAnsi="CG Times"/>
          <w:i/>
          <w:sz w:val="22"/>
        </w:rPr>
        <w:t>see</w:t>
      </w:r>
      <w:r>
        <w:rPr>
          <w:rFonts w:ascii="CG Times" w:hAnsi="CG Times"/>
          <w:sz w:val="22"/>
        </w:rPr>
        <w:t xml:space="preserve"> §§8057-A(1)(E) &amp; 8063-B]</w:t>
      </w:r>
    </w:p>
    <w:p w14:paraId="155C7247"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1698C3AB"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7D974199" w14:textId="20E053B8"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ESTIMATED FISCAL IMPACT OF THE RULE:   [</w:t>
      </w:r>
      <w:r w:rsidRPr="00213C9A">
        <w:rPr>
          <w:rFonts w:ascii="CG Times" w:hAnsi="CG Times"/>
          <w:i/>
          <w:sz w:val="22"/>
        </w:rPr>
        <w:t>see</w:t>
      </w:r>
      <w:r>
        <w:rPr>
          <w:rFonts w:ascii="CG Times" w:hAnsi="CG Times"/>
          <w:sz w:val="22"/>
        </w:rPr>
        <w:t xml:space="preserve"> §8057-A(1)(C)]</w:t>
      </w:r>
      <w:r w:rsidR="006B703D">
        <w:rPr>
          <w:rFonts w:ascii="CG Times" w:hAnsi="CG Times"/>
          <w:sz w:val="22"/>
        </w:rPr>
        <w:t xml:space="preserve"> None</w:t>
      </w:r>
    </w:p>
    <w:p w14:paraId="2EBC798D"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0F8FF084" w14:textId="77777777" w:rsidR="00FF7839" w:rsidRDefault="00FF7839" w:rsidP="00FF7839">
      <w:pPr>
        <w:tabs>
          <w:tab w:val="left" w:pos="-1440"/>
          <w:tab w:val="left" w:pos="-720"/>
          <w:tab w:val="left" w:pos="0"/>
          <w:tab w:val="left" w:pos="580"/>
          <w:tab w:val="left" w:pos="1152"/>
          <w:tab w:val="left" w:pos="1739"/>
          <w:tab w:val="left" w:pos="2400"/>
          <w:tab w:val="left" w:pos="3145"/>
          <w:tab w:val="left" w:pos="3892"/>
          <w:tab w:val="left" w:pos="4470"/>
          <w:tab w:val="left" w:pos="5040"/>
        </w:tabs>
        <w:spacing w:after="90" w:line="245" w:lineRule="exact"/>
        <w:jc w:val="both"/>
        <w:rPr>
          <w:rFonts w:ascii="CG Times" w:hAnsi="CG Times"/>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FF7839" w14:paraId="5A30DA6B" w14:textId="77777777" w:rsidTr="00E8227A">
        <w:trPr>
          <w:cantSplit/>
        </w:trPr>
        <w:tc>
          <w:tcPr>
            <w:tcW w:w="9360" w:type="dxa"/>
            <w:tcBorders>
              <w:top w:val="single" w:sz="6" w:space="0" w:color="auto"/>
              <w:left w:val="single" w:sz="6" w:space="0" w:color="auto"/>
              <w:bottom w:val="single" w:sz="6" w:space="0" w:color="auto"/>
              <w:right w:val="single" w:sz="6" w:space="0" w:color="auto"/>
            </w:tcBorders>
          </w:tcPr>
          <w:p w14:paraId="200AA6B6" w14:textId="77777777" w:rsidR="00FF7839" w:rsidRPr="00213C9A" w:rsidRDefault="00FF7839" w:rsidP="00E8227A">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before="90" w:line="245" w:lineRule="exact"/>
              <w:jc w:val="center"/>
              <w:rPr>
                <w:rFonts w:ascii="CG Times" w:hAnsi="CG Times"/>
              </w:rPr>
            </w:pPr>
            <w:r w:rsidRPr="00213C9A">
              <w:rPr>
                <w:rFonts w:ascii="CG Times" w:hAnsi="CG Times"/>
                <w:b/>
                <w:i/>
              </w:rPr>
              <w:lastRenderedPageBreak/>
              <w:t>FOR EXISTING RULES WITH FISCAL IMPACT OF $1 MILLION OR MORE, ALSO INCLUDE:</w:t>
            </w:r>
          </w:p>
          <w:p w14:paraId="53AA54C8" w14:textId="77777777" w:rsidR="00FF7839" w:rsidRDefault="00FF7839" w:rsidP="00E8227A">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center"/>
              <w:rPr>
                <w:rFonts w:ascii="CG Times" w:hAnsi="CG Times"/>
                <w:sz w:val="22"/>
              </w:rPr>
            </w:pPr>
          </w:p>
          <w:p w14:paraId="48834D21" w14:textId="77777777" w:rsidR="00FF7839" w:rsidRDefault="00FF7839" w:rsidP="00E8227A">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ECONOMIC IMPACT, WHETHER OR NOT QUANTIFIABLE IN MONETARY TERMS:</w:t>
            </w:r>
          </w:p>
          <w:p w14:paraId="7032C7F9" w14:textId="77777777" w:rsidR="00FF7839" w:rsidRDefault="00FF7839" w:rsidP="00E8227A">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r w:rsidRPr="00213C9A">
              <w:rPr>
                <w:rFonts w:ascii="CG Times" w:hAnsi="CG Times"/>
                <w:i/>
                <w:sz w:val="23"/>
              </w:rPr>
              <w:t>see</w:t>
            </w:r>
            <w:r>
              <w:rPr>
                <w:rFonts w:ascii="CG Times" w:hAnsi="CG Times"/>
                <w:sz w:val="23"/>
              </w:rPr>
              <w:t xml:space="preserve"> §8057-A(2)(A)]</w:t>
            </w:r>
          </w:p>
          <w:p w14:paraId="672E8541" w14:textId="77777777" w:rsidR="00FF7839" w:rsidRDefault="00FF7839" w:rsidP="00E8227A">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7EBAFABB" w14:textId="77777777" w:rsidR="00FF7839" w:rsidRDefault="00FF7839" w:rsidP="00E8227A">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6631DC41" w14:textId="77777777" w:rsidR="00FF7839" w:rsidRDefault="00FF7839" w:rsidP="00E8227A">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INDIVIDUALS, MAJOR INTEREST GROUPS AND TYPES OF BUSINESSES AFFECTED AND HOW THEY WILL BE AFFECTED:  [</w:t>
            </w:r>
            <w:r w:rsidRPr="00213C9A">
              <w:rPr>
                <w:rFonts w:ascii="CG Times" w:hAnsi="CG Times"/>
                <w:i/>
                <w:sz w:val="23"/>
              </w:rPr>
              <w:t>see</w:t>
            </w:r>
            <w:r>
              <w:rPr>
                <w:rFonts w:ascii="CG Times" w:hAnsi="CG Times"/>
                <w:sz w:val="23"/>
              </w:rPr>
              <w:t xml:space="preserve"> §8057-A(2)(B)]</w:t>
            </w:r>
          </w:p>
          <w:p w14:paraId="21DBA16D" w14:textId="77777777" w:rsidR="00FF7839" w:rsidRDefault="00FF7839" w:rsidP="00E8227A">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01CC9716" w14:textId="77777777" w:rsidR="00FF7839" w:rsidRDefault="00FF7839" w:rsidP="00E8227A">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20CCDB38" w14:textId="77777777" w:rsidR="00FF7839" w:rsidRDefault="00FF7839" w:rsidP="00E8227A">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6E02BDF9" w14:textId="77777777" w:rsidR="00FF7839" w:rsidRDefault="00FF7839" w:rsidP="00E8227A">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BENEFITS OF THE RULE:   [</w:t>
            </w:r>
            <w:r w:rsidRPr="00213C9A">
              <w:rPr>
                <w:rFonts w:ascii="CG Times" w:hAnsi="CG Times"/>
                <w:i/>
                <w:sz w:val="23"/>
              </w:rPr>
              <w:t>see</w:t>
            </w:r>
            <w:r>
              <w:rPr>
                <w:rFonts w:ascii="CG Times" w:hAnsi="CG Times"/>
                <w:sz w:val="23"/>
              </w:rPr>
              <w:t xml:space="preserve"> §8057-A(2)(C)]</w:t>
            </w:r>
          </w:p>
          <w:p w14:paraId="7A3EE700" w14:textId="77777777" w:rsidR="00FF7839" w:rsidRDefault="00FF7839" w:rsidP="00E8227A">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after="54" w:line="245" w:lineRule="exact"/>
              <w:jc w:val="both"/>
              <w:rPr>
                <w:rFonts w:ascii="CG Times" w:hAnsi="CG Times"/>
                <w:sz w:val="23"/>
              </w:rPr>
            </w:pPr>
            <w:r>
              <w:rPr>
                <w:rFonts w:ascii="CG Times" w:hAnsi="CG Times"/>
                <w:sz w:val="23"/>
              </w:rPr>
              <w:t xml:space="preserve"> </w:t>
            </w:r>
          </w:p>
        </w:tc>
      </w:tr>
    </w:tbl>
    <w:p w14:paraId="1F38189C" w14:textId="77777777" w:rsidR="00D260E2" w:rsidRDefault="00FF7839" w:rsidP="00FF7839">
      <w:pPr>
        <w:tabs>
          <w:tab w:val="center" w:pos="4680"/>
        </w:tabs>
        <w:spacing w:after="90" w:line="245" w:lineRule="exact"/>
        <w:jc w:val="center"/>
        <w:rPr>
          <w:rFonts w:ascii="CG Times" w:hAnsi="CG Times"/>
          <w:sz w:val="24"/>
        </w:rPr>
      </w:pPr>
      <w:r>
        <w:rPr>
          <w:rFonts w:ascii="CG Times" w:hAnsi="CG Times"/>
          <w:i/>
          <w:sz w:val="19"/>
        </w:rPr>
        <w:t>Note:  If necessary, additional pages may be used.</w:t>
      </w:r>
    </w:p>
    <w:p w14:paraId="5E548DDD" w14:textId="77777777" w:rsidR="00D260E2" w:rsidRDefault="00D260E2">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jc w:val="both"/>
      </w:pPr>
    </w:p>
    <w:sectPr w:rsidR="00D260E2" w:rsidSect="00B14FD4">
      <w:headerReference w:type="default" r:id="rId10"/>
      <w:footerReference w:type="default" r:id="rId11"/>
      <w:type w:val="continuous"/>
      <w:pgSz w:w="12240" w:h="15840"/>
      <w:pgMar w:top="720" w:right="720" w:bottom="720" w:left="720" w:header="576" w:footer="33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7493" w14:textId="77777777" w:rsidR="001F4421" w:rsidRDefault="001F4421">
      <w:r>
        <w:separator/>
      </w:r>
    </w:p>
  </w:endnote>
  <w:endnote w:type="continuationSeparator" w:id="0">
    <w:p w14:paraId="56C6DB7E" w14:textId="77777777" w:rsidR="001F4421" w:rsidRDefault="001F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0FE3" w14:textId="77777777" w:rsidR="00B3323E" w:rsidRDefault="00B332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6604" w14:textId="77777777" w:rsidR="001F4421" w:rsidRDefault="001F4421">
      <w:r>
        <w:rPr>
          <w:sz w:val="24"/>
        </w:rPr>
        <w:separator/>
      </w:r>
    </w:p>
  </w:footnote>
  <w:footnote w:type="continuationSeparator" w:id="0">
    <w:p w14:paraId="272B5AD9" w14:textId="77777777" w:rsidR="001F4421" w:rsidRDefault="001F4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78E1" w14:textId="77777777" w:rsidR="00B3323E" w:rsidRPr="00396F82" w:rsidRDefault="00B3323E" w:rsidP="00396F82">
    <w:pPr>
      <w:pStyle w:val="Header"/>
      <w:jc w:val="right"/>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02"/>
    <w:rsid w:val="001030D2"/>
    <w:rsid w:val="001201B9"/>
    <w:rsid w:val="00194290"/>
    <w:rsid w:val="001B1CC7"/>
    <w:rsid w:val="001F4421"/>
    <w:rsid w:val="00236A05"/>
    <w:rsid w:val="002736BC"/>
    <w:rsid w:val="00275E91"/>
    <w:rsid w:val="002D62FF"/>
    <w:rsid w:val="00362682"/>
    <w:rsid w:val="003755FD"/>
    <w:rsid w:val="00396F82"/>
    <w:rsid w:val="00430AED"/>
    <w:rsid w:val="00435191"/>
    <w:rsid w:val="00503D45"/>
    <w:rsid w:val="0051348D"/>
    <w:rsid w:val="0055216E"/>
    <w:rsid w:val="00593DE3"/>
    <w:rsid w:val="005C3D9A"/>
    <w:rsid w:val="005E0AE6"/>
    <w:rsid w:val="006B703D"/>
    <w:rsid w:val="00706902"/>
    <w:rsid w:val="00777527"/>
    <w:rsid w:val="007A532B"/>
    <w:rsid w:val="007F3A60"/>
    <w:rsid w:val="00812030"/>
    <w:rsid w:val="008276B5"/>
    <w:rsid w:val="00846999"/>
    <w:rsid w:val="00867988"/>
    <w:rsid w:val="008938D9"/>
    <w:rsid w:val="008B3CF0"/>
    <w:rsid w:val="0095400A"/>
    <w:rsid w:val="00A35BA2"/>
    <w:rsid w:val="00A516C1"/>
    <w:rsid w:val="00A51FF9"/>
    <w:rsid w:val="00A731B5"/>
    <w:rsid w:val="00B13DDD"/>
    <w:rsid w:val="00B14FD4"/>
    <w:rsid w:val="00B3206B"/>
    <w:rsid w:val="00B3323E"/>
    <w:rsid w:val="00B73C48"/>
    <w:rsid w:val="00BA13A3"/>
    <w:rsid w:val="00CE4062"/>
    <w:rsid w:val="00D260E2"/>
    <w:rsid w:val="00D96AC6"/>
    <w:rsid w:val="00E832E0"/>
    <w:rsid w:val="00E97346"/>
    <w:rsid w:val="00EB0297"/>
    <w:rsid w:val="00F748D8"/>
    <w:rsid w:val="00F91365"/>
    <w:rsid w:val="00FF7839"/>
    <w:rsid w:val="46FFD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9BC5A"/>
  <w15:docId w15:val="{E484E7E2-3687-4171-87C8-4300785A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table" w:styleId="TableGrid">
    <w:name w:val="Table Grid"/>
    <w:basedOn w:val="TableNormal"/>
    <w:rsid w:val="00D96AC6"/>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C3D9A"/>
  </w:style>
  <w:style w:type="character" w:customStyle="1" w:styleId="normaltextrun">
    <w:name w:val="normaltextrun"/>
    <w:basedOn w:val="DefaultParagraphFont"/>
    <w:rsid w:val="006B703D"/>
  </w:style>
  <w:style w:type="character" w:customStyle="1" w:styleId="eop">
    <w:name w:val="eop"/>
    <w:basedOn w:val="DefaultParagraphFont"/>
    <w:rsid w:val="006B703D"/>
  </w:style>
  <w:style w:type="character" w:customStyle="1" w:styleId="tabchar">
    <w:name w:val="tabchar"/>
    <w:basedOn w:val="DefaultParagraphFont"/>
    <w:rsid w:val="006B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uracyr@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0" ma:contentTypeDescription="Create a new document." ma:contentTypeScope="" ma:versionID="e6996c37eaa5e4c52520fa617acd7729">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df7d4d882441e9b747781dd2baff7ec1"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documentManagement>
</p:properties>
</file>

<file path=customXml/itemProps1.xml><?xml version="1.0" encoding="utf-8"?>
<ds:datastoreItem xmlns:ds="http://schemas.openxmlformats.org/officeDocument/2006/customXml" ds:itemID="{7C66EB66-52FF-4C08-9735-7D769D8AF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53B37-AC98-4094-8368-EFE1DACD9EBC}">
  <ds:schemaRefs>
    <ds:schemaRef ds:uri="http://schemas.microsoft.com/sharepoint/v3/contenttype/forms"/>
  </ds:schemaRefs>
</ds:datastoreItem>
</file>

<file path=customXml/itemProps3.xml><?xml version="1.0" encoding="utf-8"?>
<ds:datastoreItem xmlns:ds="http://schemas.openxmlformats.org/officeDocument/2006/customXml" ds:itemID="{EBA43D1C-626A-4CE2-8A9B-3E9B7A0D0906}">
  <ds:schemaRefs>
    <ds:schemaRef ds:uri="http://schemas.microsoft.com/office/2006/metadata/properties"/>
    <ds:schemaRef ds:uri="http://schemas.microsoft.com/office/infopath/2007/PartnerControls"/>
    <ds:schemaRef ds:uri="f08121d0-3b1f-4879-b879-601ee2be953f"/>
    <ds:schemaRef ds:uri="7b65e67b-ace1-4434-8be7-395ef48151a4"/>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353</Words>
  <Characters>2017</Characters>
  <Application>Microsoft Office Word</Application>
  <DocSecurity>0</DocSecurity>
  <Lines>16</Lines>
  <Paragraphs>4</Paragraphs>
  <ScaleCrop>false</ScaleCrop>
  <Company>Secretary of State</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COPY OF COVER PAGE AND MEMO PAGE</dc:title>
  <dc:creator>Secretary of State</dc:creator>
  <cp:lastModifiedBy>Mckay, Danielle</cp:lastModifiedBy>
  <cp:revision>5</cp:revision>
  <cp:lastPrinted>2019-08-14T14:23:00Z</cp:lastPrinted>
  <dcterms:created xsi:type="dcterms:W3CDTF">2023-06-09T18:05:00Z</dcterms:created>
  <dcterms:modified xsi:type="dcterms:W3CDTF">2023-06-09T19:00:00Z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