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3881" w14:textId="77777777" w:rsidR="003E16F6" w:rsidRDefault="003E16F6" w:rsidP="003E16F6">
      <w:pPr>
        <w:rPr>
          <w:rFonts w:ascii="Arial" w:hAnsi="Arial" w:cs="Arial"/>
          <w:sz w:val="24"/>
          <w:szCs w:val="24"/>
          <w:bdr w:val="none" w:sz="0" w:space="0" w:color="auto" w:frame="1"/>
        </w:rPr>
      </w:pPr>
      <w:r>
        <w:rPr>
          <w:rFonts w:ascii="Arial" w:hAnsi="Arial" w:cs="Arial"/>
          <w:sz w:val="24"/>
          <w:szCs w:val="24"/>
          <w:bdr w:val="none" w:sz="0" w:space="0" w:color="auto" w:frame="1"/>
        </w:rPr>
        <w:t>Good evening everyone,</w:t>
      </w:r>
    </w:p>
    <w:p w14:paraId="67355972" w14:textId="77777777" w:rsidR="003E16F6" w:rsidRDefault="003E16F6" w:rsidP="003E16F6">
      <w:pPr>
        <w:rPr>
          <w:rFonts w:ascii="Arial" w:hAnsi="Arial" w:cs="Arial"/>
          <w:sz w:val="24"/>
          <w:szCs w:val="24"/>
          <w:bdr w:val="none" w:sz="0" w:space="0" w:color="auto" w:frame="1"/>
        </w:rPr>
      </w:pPr>
    </w:p>
    <w:p w14:paraId="04B5472E" w14:textId="77777777" w:rsidR="003E16F6" w:rsidRDefault="003E16F6" w:rsidP="003E16F6">
      <w:pPr>
        <w:rPr>
          <w:rFonts w:ascii="Arial" w:hAnsi="Arial" w:cs="Arial"/>
          <w:sz w:val="24"/>
          <w:szCs w:val="24"/>
          <w:bdr w:val="none" w:sz="0" w:space="0" w:color="auto" w:frame="1"/>
        </w:rPr>
      </w:pPr>
      <w:r>
        <w:rPr>
          <w:rFonts w:ascii="Arial" w:hAnsi="Arial" w:cs="Arial"/>
          <w:sz w:val="24"/>
          <w:szCs w:val="24"/>
          <w:bdr w:val="none" w:sz="0" w:space="0" w:color="auto" w:frame="1"/>
        </w:rPr>
        <w:t>I hope you are all having a good week. Tomorrow we will touch on a few issues, including SPPS, ESY and a new series we are developing around data collection. We hope you can join us.</w:t>
      </w:r>
    </w:p>
    <w:p w14:paraId="39785E3E" w14:textId="77777777" w:rsidR="003E16F6" w:rsidRDefault="003E16F6" w:rsidP="003E16F6">
      <w:pPr>
        <w:rPr>
          <w:rFonts w:ascii="Arial" w:hAnsi="Arial" w:cs="Arial"/>
          <w:sz w:val="24"/>
          <w:szCs w:val="24"/>
          <w:bdr w:val="none" w:sz="0" w:space="0" w:color="auto" w:frame="1"/>
        </w:rPr>
      </w:pPr>
    </w:p>
    <w:p w14:paraId="59C442A5" w14:textId="77777777" w:rsidR="003E16F6" w:rsidRDefault="003E16F6" w:rsidP="003E16F6">
      <w:pPr>
        <w:rPr>
          <w:rFonts w:ascii="Arial" w:hAnsi="Arial" w:cs="Arial"/>
          <w:sz w:val="24"/>
          <w:szCs w:val="24"/>
          <w:bdr w:val="none" w:sz="0" w:space="0" w:color="auto" w:frame="1"/>
        </w:rPr>
      </w:pPr>
      <w:r>
        <w:rPr>
          <w:rFonts w:ascii="Arial" w:hAnsi="Arial" w:cs="Arial"/>
          <w:sz w:val="24"/>
          <w:szCs w:val="24"/>
          <w:bdr w:val="none" w:sz="0" w:space="0" w:color="auto" w:frame="1"/>
        </w:rPr>
        <w:t xml:space="preserve">Also, check out this </w:t>
      </w:r>
      <w:proofErr w:type="gramStart"/>
      <w:r>
        <w:rPr>
          <w:rFonts w:ascii="Arial" w:hAnsi="Arial" w:cs="Arial"/>
          <w:sz w:val="24"/>
          <w:szCs w:val="24"/>
          <w:bdr w:val="none" w:sz="0" w:space="0" w:color="auto" w:frame="1"/>
        </w:rPr>
        <w:t>webinar</w:t>
      </w:r>
      <w:proofErr w:type="gramEnd"/>
      <w:r>
        <w:rPr>
          <w:rFonts w:ascii="Arial" w:hAnsi="Arial" w:cs="Arial"/>
          <w:sz w:val="24"/>
          <w:szCs w:val="24"/>
          <w:bdr w:val="none" w:sz="0" w:space="0" w:color="auto" w:frame="1"/>
        </w:rPr>
        <w:t xml:space="preserve"> offered from CASE. You can register to </w:t>
      </w:r>
      <w:proofErr w:type="gramStart"/>
      <w:r>
        <w:rPr>
          <w:rFonts w:ascii="Arial" w:hAnsi="Arial" w:cs="Arial"/>
          <w:sz w:val="24"/>
          <w:szCs w:val="24"/>
          <w:bdr w:val="none" w:sz="0" w:space="0" w:color="auto" w:frame="1"/>
        </w:rPr>
        <w:t>participate</w:t>
      </w:r>
      <w:proofErr w:type="gramEnd"/>
      <w:r>
        <w:rPr>
          <w:rFonts w:ascii="Arial" w:hAnsi="Arial" w:cs="Arial"/>
          <w:sz w:val="24"/>
          <w:szCs w:val="24"/>
          <w:bdr w:val="none" w:sz="0" w:space="0" w:color="auto" w:frame="1"/>
        </w:rPr>
        <w:t xml:space="preserve"> in the link provided.</w:t>
      </w:r>
    </w:p>
    <w:p w14:paraId="593D90C7" w14:textId="77777777" w:rsidR="003E16F6" w:rsidRDefault="003E16F6" w:rsidP="003E16F6">
      <w:pPr>
        <w:jc w:val="center"/>
        <w:rPr>
          <w:rFonts w:ascii="Helvetica" w:hAnsi="Helvetica"/>
          <w:b/>
          <w:bCs/>
          <w:color w:val="FF0000"/>
          <w:sz w:val="24"/>
          <w:szCs w:val="24"/>
          <w:bdr w:val="none" w:sz="0" w:space="0" w:color="auto" w:frame="1"/>
        </w:rPr>
      </w:pPr>
    </w:p>
    <w:p w14:paraId="29E7FE28" w14:textId="77777777" w:rsidR="003E16F6" w:rsidRDefault="003E16F6" w:rsidP="003E16F6">
      <w:pPr>
        <w:jc w:val="center"/>
        <w:rPr>
          <w:b/>
          <w:bCs/>
          <w:color w:val="FF0000"/>
          <w:sz w:val="24"/>
          <w:szCs w:val="24"/>
        </w:rPr>
      </w:pPr>
      <w:r>
        <w:rPr>
          <w:rFonts w:ascii="Helvetica" w:hAnsi="Helvetica"/>
          <w:b/>
          <w:bCs/>
          <w:color w:val="FF0000"/>
          <w:sz w:val="24"/>
          <w:szCs w:val="24"/>
          <w:bdr w:val="none" w:sz="0" w:space="0" w:color="auto" w:frame="1"/>
        </w:rPr>
        <w:t>WEBINAR</w:t>
      </w:r>
      <w:r>
        <w:rPr>
          <w:rFonts w:ascii="Helvetica" w:hAnsi="Helvetica"/>
          <w:b/>
          <w:bCs/>
          <w:color w:val="4A4A4A"/>
          <w:sz w:val="21"/>
          <w:szCs w:val="21"/>
          <w:bdr w:val="none" w:sz="0" w:space="0" w:color="auto" w:frame="1"/>
        </w:rPr>
        <w:br/>
      </w:r>
      <w:r>
        <w:rPr>
          <w:rFonts w:ascii="Helvetica" w:hAnsi="Helvetica"/>
          <w:b/>
          <w:bCs/>
          <w:color w:val="FF0000"/>
          <w:sz w:val="24"/>
          <w:szCs w:val="24"/>
          <w:bdr w:val="none" w:sz="0" w:space="0" w:color="auto" w:frame="1"/>
        </w:rPr>
        <w:t>Planning for Success Post COVID-19</w:t>
      </w:r>
      <w:r>
        <w:rPr>
          <w:rFonts w:ascii="Helvetica" w:hAnsi="Helvetica"/>
          <w:b/>
          <w:bCs/>
          <w:color w:val="4A4A4A"/>
          <w:sz w:val="21"/>
          <w:szCs w:val="21"/>
          <w:bdr w:val="none" w:sz="0" w:space="0" w:color="auto" w:frame="1"/>
        </w:rPr>
        <w:br/>
      </w:r>
      <w:r>
        <w:rPr>
          <w:b/>
          <w:bCs/>
          <w:color w:val="FF0000"/>
          <w:sz w:val="24"/>
          <w:szCs w:val="24"/>
        </w:rPr>
        <w:t>May 12, 5:30 – 6:30 EDT</w:t>
      </w:r>
    </w:p>
    <w:p w14:paraId="440E1288" w14:textId="77777777" w:rsidR="003E16F6" w:rsidRDefault="003E16F6" w:rsidP="003E16F6">
      <w:pPr>
        <w:spacing w:after="240"/>
        <w:jc w:val="center"/>
        <w:rPr>
          <w:rFonts w:ascii="Courier New" w:hAnsi="Courier New" w:cs="Courier New"/>
          <w:color w:val="4A4A4A"/>
          <w:sz w:val="23"/>
          <w:szCs w:val="23"/>
        </w:rPr>
      </w:pPr>
    </w:p>
    <w:p w14:paraId="6AE9C89D" w14:textId="77777777" w:rsidR="003E16F6" w:rsidRDefault="003E16F6" w:rsidP="003E16F6">
      <w:pPr>
        <w:jc w:val="center"/>
        <w:rPr>
          <w:rFonts w:ascii="Arial" w:hAnsi="Arial" w:cs="Arial"/>
          <w:color w:val="4A4A4A"/>
          <w:sz w:val="23"/>
          <w:szCs w:val="23"/>
        </w:rPr>
      </w:pPr>
      <w:r>
        <w:rPr>
          <w:rFonts w:ascii="Helvetica" w:hAnsi="Helvetica"/>
          <w:color w:val="4A4A4A"/>
          <w:sz w:val="24"/>
          <w:szCs w:val="24"/>
          <w:bdr w:val="none" w:sz="0" w:space="0" w:color="auto" w:frame="1"/>
        </w:rPr>
        <w:t xml:space="preserve">When schools return to face-to-face instruction, students may have needs that are different from when they were last in buildings.  Plans to simplify double-dose instruction to make up for lost time may not have a significant impact.  Utilizing systems already in place, such as MTSS, can address the needs of all students, including those in special education.  In this </w:t>
      </w:r>
      <w:proofErr w:type="gramStart"/>
      <w:r>
        <w:rPr>
          <w:rFonts w:ascii="Helvetica" w:hAnsi="Helvetica"/>
          <w:color w:val="4A4A4A"/>
          <w:sz w:val="24"/>
          <w:szCs w:val="24"/>
          <w:bdr w:val="none" w:sz="0" w:space="0" w:color="auto" w:frame="1"/>
        </w:rPr>
        <w:t>webinar</w:t>
      </w:r>
      <w:proofErr w:type="gramEnd"/>
      <w:r>
        <w:rPr>
          <w:rFonts w:ascii="Helvetica" w:hAnsi="Helvetica"/>
          <w:color w:val="4A4A4A"/>
          <w:sz w:val="24"/>
          <w:szCs w:val="24"/>
          <w:bdr w:val="none" w:sz="0" w:space="0" w:color="auto" w:frame="1"/>
        </w:rPr>
        <w:t>, you will learn how to help your teachers and students take the next steps toward success either through MTSS or through the five key considerations discussed in the presentation, which can be applied to any situation.  </w:t>
      </w:r>
    </w:p>
    <w:p w14:paraId="25C22DBE" w14:textId="77777777" w:rsidR="003E16F6" w:rsidRDefault="003E16F6" w:rsidP="003E16F6"/>
    <w:p w14:paraId="25618B7F" w14:textId="77777777" w:rsidR="003E16F6" w:rsidRDefault="003E16F6" w:rsidP="003E16F6">
      <w:hyperlink r:id="rId7" w:history="1">
        <w:r>
          <w:rPr>
            <w:rStyle w:val="Hyperlink"/>
          </w:rPr>
          <w:t>https://www.casecec.org/</w:t>
        </w:r>
      </w:hyperlink>
    </w:p>
    <w:p w14:paraId="2A3146D4" w14:textId="77777777" w:rsidR="003E16F6" w:rsidRDefault="003E16F6" w:rsidP="003E16F6"/>
    <w:p w14:paraId="3F76F5A1" w14:textId="77777777" w:rsidR="003E16F6" w:rsidRDefault="003E16F6" w:rsidP="003E16F6">
      <w:r>
        <w:t>Hope to see you tomorrow!</w:t>
      </w:r>
    </w:p>
    <w:p w14:paraId="51B9E752" w14:textId="77777777" w:rsidR="003E16F6" w:rsidRDefault="003E16F6" w:rsidP="003E16F6"/>
    <w:p w14:paraId="63EC19B7" w14:textId="77777777" w:rsidR="003E16F6" w:rsidRDefault="003E16F6" w:rsidP="003E16F6">
      <w:r>
        <w:t>Erin and the Special Services team.</w:t>
      </w:r>
    </w:p>
    <w:p w14:paraId="73A37504" w14:textId="77777777" w:rsidR="00C623BD" w:rsidRDefault="00C623BD">
      <w:bookmarkStart w:id="0" w:name="_GoBack"/>
      <w:bookmarkEnd w:id="0"/>
    </w:p>
    <w:sectPr w:rsidR="00C623BD" w:rsidSect="003E16F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16F6"/>
    <w:rsid w:val="00036459"/>
    <w:rsid w:val="00382DCF"/>
    <w:rsid w:val="003E16F6"/>
    <w:rsid w:val="008E2557"/>
    <w:rsid w:val="00C623BD"/>
    <w:rsid w:val="00F32E7F"/>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0266"/>
  <w15:chartTrackingRefBased/>
  <w15:docId w15:val="{CB8E2CC5-8A28-4927-95C4-385480D3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6F6"/>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6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03.safelinks.protection.outlook.com/?url=https%3A%2F%2Fwww.casecec.org%2F&amp;data=02%7C01%7CColene.ONeill%40maine.gov%7C2651c2ddb7e84d370eb808d7f21043ea%7C413fa8ab207d4b629bcdea1a8f2f864e%7C0%7C0%7C637244023988741154&amp;sdata=n5SD26jSeDXU%2Bh47CulrtjgNkj5bJ9teQPz5XP1DDi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81CB1-01CB-4BD6-9628-B260AEAC9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CF1C7-C287-424A-8583-7A4D8A48289A}">
  <ds:schemaRefs>
    <ds:schemaRef ds:uri="http://schemas.microsoft.com/sharepoint/v3/contenttype/forms"/>
  </ds:schemaRefs>
</ds:datastoreItem>
</file>

<file path=customXml/itemProps3.xml><?xml version="1.0" encoding="utf-8"?>
<ds:datastoreItem xmlns:ds="http://schemas.openxmlformats.org/officeDocument/2006/customXml" ds:itemID="{15016F39-45E1-48BB-852B-F2B641087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1</cp:revision>
  <dcterms:created xsi:type="dcterms:W3CDTF">2020-05-07T13:26:00Z</dcterms:created>
  <dcterms:modified xsi:type="dcterms:W3CDTF">2020-05-07T13:28:00Z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