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A18B1" w14:textId="1CE3B64A" w:rsidR="00A9190B" w:rsidRPr="007B332E" w:rsidRDefault="005B357D" w:rsidP="00A9190B">
      <w:pPr>
        <w:pStyle w:val="paragraph"/>
        <w:ind w:left="360"/>
        <w:jc w:val="center"/>
        <w:textAlignment w:val="baseline"/>
        <w:rPr>
          <w:rStyle w:val="normaltextrun1"/>
          <w:rFonts w:ascii="Arial" w:hAnsi="Arial" w:cs="Arial"/>
          <w:b/>
          <w:bCs/>
          <w:sz w:val="28"/>
          <w:szCs w:val="20"/>
          <w:u w:val="single"/>
        </w:rPr>
      </w:pPr>
      <w:r w:rsidRPr="007B332E">
        <w:rPr>
          <w:rStyle w:val="normaltextrun1"/>
          <w:rFonts w:ascii="Arial" w:hAnsi="Arial" w:cs="Arial"/>
          <w:b/>
          <w:bCs/>
          <w:sz w:val="28"/>
          <w:szCs w:val="20"/>
          <w:u w:val="single"/>
        </w:rPr>
        <w:t>Riparian Notification</w:t>
      </w:r>
      <w:r w:rsidR="0078617A" w:rsidRPr="007B332E">
        <w:rPr>
          <w:rStyle w:val="normaltextrun1"/>
          <w:rFonts w:ascii="Arial" w:hAnsi="Arial" w:cs="Arial"/>
          <w:b/>
          <w:bCs/>
          <w:sz w:val="28"/>
          <w:szCs w:val="20"/>
          <w:u w:val="single"/>
        </w:rPr>
        <w:t xml:space="preserve"> Determination: Intertidal Lands</w:t>
      </w:r>
    </w:p>
    <w:p w14:paraId="66D4E3C9" w14:textId="77777777" w:rsidR="00932A8F" w:rsidRPr="0078617A" w:rsidRDefault="00932A8F" w:rsidP="00A9190B">
      <w:pPr>
        <w:pStyle w:val="paragraph"/>
        <w:ind w:left="360"/>
        <w:jc w:val="center"/>
        <w:textAlignment w:val="baseline"/>
        <w:rPr>
          <w:rStyle w:val="normaltextrun1"/>
          <w:rFonts w:ascii="Arial" w:hAnsi="Arial" w:cs="Arial"/>
          <w:b/>
          <w:bCs/>
          <w:szCs w:val="20"/>
          <w:u w:val="single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90"/>
      </w:tblGrid>
      <w:tr w:rsidR="00932A8F" w14:paraId="599F8A73" w14:textId="77777777" w:rsidTr="00932A8F">
        <w:tc>
          <w:tcPr>
            <w:tcW w:w="9350" w:type="dxa"/>
          </w:tcPr>
          <w:p w14:paraId="24212FA9" w14:textId="77777777" w:rsidR="008B4F6A" w:rsidRPr="008B4F6A" w:rsidRDefault="008B4F6A" w:rsidP="008B4F6A">
            <w:pPr>
              <w:pStyle w:val="paragraph"/>
              <w:ind w:left="-30"/>
              <w:jc w:val="both"/>
              <w:textAlignment w:val="baseline"/>
              <w:rPr>
                <w:rStyle w:val="normaltextrun1"/>
                <w:rFonts w:ascii="Arial" w:hAnsi="Arial" w:cs="Arial"/>
                <w:b/>
                <w:bCs/>
                <w:sz w:val="10"/>
                <w:szCs w:val="20"/>
              </w:rPr>
            </w:pPr>
          </w:p>
          <w:p w14:paraId="270C8C4D" w14:textId="3CE87816" w:rsidR="002B72B3" w:rsidRPr="002B72B3" w:rsidRDefault="00932A8F" w:rsidP="008B4F6A">
            <w:pPr>
              <w:pStyle w:val="paragraph"/>
              <w:ind w:left="-30"/>
              <w:jc w:val="both"/>
              <w:textAlignment w:val="baseline"/>
              <w:rPr>
                <w:rStyle w:val="normaltextrun1"/>
                <w:rFonts w:ascii="Arial" w:hAnsi="Arial" w:cs="Arial"/>
                <w:szCs w:val="20"/>
              </w:rPr>
            </w:pPr>
            <w:r w:rsidRPr="00881837">
              <w:rPr>
                <w:rStyle w:val="normaltextrun1"/>
                <w:rFonts w:ascii="Arial" w:hAnsi="Arial" w:cs="Arial"/>
                <w:b/>
                <w:bCs/>
                <w:szCs w:val="20"/>
              </w:rPr>
              <w:t>Policy:</w:t>
            </w:r>
            <w:r w:rsidRPr="00881837">
              <w:rPr>
                <w:rStyle w:val="normaltextrun1"/>
                <w:rFonts w:ascii="Arial" w:hAnsi="Arial" w:cs="Arial"/>
                <w:szCs w:val="20"/>
              </w:rPr>
              <w:t xml:space="preserve"> If the 1,000-foot radius around a proposed lease</w:t>
            </w:r>
            <w:r w:rsidR="008B344F">
              <w:rPr>
                <w:rStyle w:val="normaltextrun1"/>
                <w:rFonts w:ascii="Arial" w:hAnsi="Arial" w:cs="Arial"/>
                <w:szCs w:val="20"/>
              </w:rPr>
              <w:t xml:space="preserve"> or the 300-foot radius around an LPA</w:t>
            </w:r>
            <w:r w:rsidRPr="00881837">
              <w:rPr>
                <w:rStyle w:val="normaltextrun1"/>
                <w:rFonts w:ascii="Arial" w:hAnsi="Arial" w:cs="Arial"/>
                <w:szCs w:val="20"/>
              </w:rPr>
              <w:t xml:space="preserve"> overlaps with intertidal land at mean low water (MLW, 0.0’), the shorefront property owner associated with this intertidal land will receive notification.</w:t>
            </w:r>
            <w:r w:rsidRPr="00881837">
              <w:rPr>
                <w:rStyle w:val="normaltextrun1"/>
                <w:rFonts w:ascii="Arial" w:hAnsi="Arial" w:cs="Arial"/>
                <w:b/>
                <w:bCs/>
                <w:szCs w:val="20"/>
              </w:rPr>
              <w:t xml:space="preserve"> </w:t>
            </w:r>
            <w:r w:rsidR="008B344F" w:rsidRPr="008B344F">
              <w:rPr>
                <w:rStyle w:val="normaltextrun1"/>
                <w:rFonts w:ascii="Arial" w:hAnsi="Arial" w:cs="Arial"/>
                <w:szCs w:val="20"/>
              </w:rPr>
              <w:t>To</w:t>
            </w:r>
            <w:r w:rsidRPr="002B72B3">
              <w:rPr>
                <w:rStyle w:val="normaltextrun1"/>
                <w:rFonts w:ascii="Arial" w:hAnsi="Arial" w:cs="Arial"/>
                <w:szCs w:val="20"/>
              </w:rPr>
              <w:t xml:space="preserve"> ensure consistency, </w:t>
            </w:r>
            <w:r w:rsidR="008B344F">
              <w:rPr>
                <w:rStyle w:val="normaltextrun1"/>
                <w:rFonts w:ascii="Arial" w:hAnsi="Arial" w:cs="Arial"/>
                <w:szCs w:val="20"/>
              </w:rPr>
              <w:t>please</w:t>
            </w:r>
            <w:r w:rsidRPr="002B72B3">
              <w:rPr>
                <w:rStyle w:val="normaltextrun1"/>
                <w:rFonts w:ascii="Arial" w:hAnsi="Arial" w:cs="Arial"/>
                <w:szCs w:val="20"/>
              </w:rPr>
              <w:t xml:space="preserve"> use the latest version of the NOAA nautical charts as the base map from which to determine the mean low water line.</w:t>
            </w:r>
            <w:r w:rsidR="008B344F">
              <w:rPr>
                <w:rStyle w:val="normaltextrun1"/>
                <w:rFonts w:ascii="Arial" w:hAnsi="Arial" w:cs="Arial"/>
                <w:szCs w:val="20"/>
              </w:rPr>
              <w:t xml:space="preserve"> </w:t>
            </w:r>
            <w:r w:rsidR="008B344F" w:rsidRPr="008B344F">
              <w:rPr>
                <w:rStyle w:val="normaltextrun1"/>
                <w:rFonts w:ascii="Arial" w:hAnsi="Arial" w:cs="Arial"/>
                <w:b/>
                <w:bCs/>
                <w:szCs w:val="20"/>
              </w:rPr>
              <w:t>Do not</w:t>
            </w:r>
            <w:r w:rsidR="008B344F">
              <w:rPr>
                <w:rStyle w:val="normaltextrun1"/>
                <w:rFonts w:ascii="Arial" w:hAnsi="Arial" w:cs="Arial"/>
                <w:szCs w:val="20"/>
              </w:rPr>
              <w:t xml:space="preserve"> use aerial imagery. </w:t>
            </w:r>
          </w:p>
          <w:p w14:paraId="123A1760" w14:textId="77777777" w:rsidR="00932A8F" w:rsidRPr="008B4F6A" w:rsidRDefault="00932A8F" w:rsidP="008B344F">
            <w:pPr>
              <w:pStyle w:val="paragraph"/>
              <w:ind w:left="-30"/>
              <w:jc w:val="both"/>
              <w:textAlignment w:val="baseline"/>
              <w:rPr>
                <w:rStyle w:val="normaltextrun1"/>
                <w:rFonts w:ascii="Arial" w:hAnsi="Arial" w:cs="Arial"/>
                <w:b/>
                <w:bCs/>
                <w:sz w:val="10"/>
                <w:szCs w:val="20"/>
                <w:u w:val="single"/>
              </w:rPr>
            </w:pPr>
          </w:p>
        </w:tc>
      </w:tr>
    </w:tbl>
    <w:p w14:paraId="3E410717" w14:textId="77777777" w:rsidR="00943B8F" w:rsidRDefault="00943B8F" w:rsidP="00C35D85">
      <w:pPr>
        <w:pStyle w:val="paragraph"/>
        <w:textAlignment w:val="baseline"/>
        <w:rPr>
          <w:rStyle w:val="normaltextrun1"/>
          <w:rFonts w:ascii="Arial" w:hAnsi="Arial" w:cs="Arial"/>
          <w:b/>
          <w:bCs/>
          <w:szCs w:val="20"/>
        </w:rPr>
      </w:pPr>
    </w:p>
    <w:p w14:paraId="1195F34E" w14:textId="46EE0EC5" w:rsidR="005A21C3" w:rsidRPr="008B344F" w:rsidRDefault="00A9190B" w:rsidP="008B344F">
      <w:pPr>
        <w:pStyle w:val="paragraph"/>
        <w:ind w:left="360"/>
        <w:textAlignment w:val="baseline"/>
        <w:rPr>
          <w:rStyle w:val="normaltextrun1"/>
          <w:rFonts w:ascii="Arial" w:hAnsi="Arial" w:cs="Arial"/>
          <w:b/>
          <w:bCs/>
        </w:rPr>
      </w:pPr>
      <w:r w:rsidRPr="008B344F">
        <w:rPr>
          <w:rStyle w:val="normaltextrun1"/>
          <w:rFonts w:ascii="Arial" w:hAnsi="Arial" w:cs="Arial"/>
          <w:b/>
          <w:bCs/>
        </w:rPr>
        <w:t>To determine the</w:t>
      </w:r>
      <w:r w:rsidR="0078617A" w:rsidRPr="008B344F">
        <w:rPr>
          <w:rStyle w:val="normaltextrun1"/>
          <w:rFonts w:ascii="Arial" w:hAnsi="Arial" w:cs="Arial"/>
          <w:b/>
          <w:bCs/>
        </w:rPr>
        <w:t xml:space="preserve"> parcels that should be notified</w:t>
      </w:r>
      <w:r w:rsidRPr="008B344F">
        <w:rPr>
          <w:rStyle w:val="normaltextrun1"/>
          <w:rFonts w:ascii="Arial" w:hAnsi="Arial" w:cs="Arial"/>
          <w:b/>
          <w:bCs/>
        </w:rPr>
        <w:t xml:space="preserve">, use the following </w:t>
      </w:r>
      <w:r w:rsidR="008B344F" w:rsidRPr="008B344F">
        <w:rPr>
          <w:rStyle w:val="normaltextrun1"/>
          <w:rFonts w:ascii="Arial" w:hAnsi="Arial" w:cs="Arial"/>
          <w:b/>
          <w:bCs/>
        </w:rPr>
        <w:t>policy</w:t>
      </w:r>
      <w:r w:rsidRPr="008B344F">
        <w:rPr>
          <w:rStyle w:val="normaltextrun1"/>
          <w:rFonts w:ascii="Arial" w:hAnsi="Arial" w:cs="Arial"/>
          <w:b/>
          <w:bCs/>
        </w:rPr>
        <w:t>:</w:t>
      </w:r>
    </w:p>
    <w:p w14:paraId="6B93A6B9" w14:textId="1A700324" w:rsidR="008B344F" w:rsidRPr="008B344F" w:rsidRDefault="008B344F" w:rsidP="008B344F">
      <w:pPr>
        <w:pStyle w:val="paragraph"/>
        <w:ind w:left="360"/>
        <w:textAlignment w:val="baseline"/>
        <w:rPr>
          <w:rStyle w:val="normaltextrun1"/>
          <w:rFonts w:ascii="Arial" w:hAnsi="Arial" w:cs="Arial"/>
          <w:b/>
          <w:bCs/>
        </w:rPr>
      </w:pPr>
    </w:p>
    <w:p w14:paraId="56354056" w14:textId="1C5B93DD" w:rsidR="008B344F" w:rsidRPr="008B344F" w:rsidRDefault="008B344F" w:rsidP="008B344F">
      <w:pPr>
        <w:pStyle w:val="paragraph"/>
        <w:ind w:left="360"/>
        <w:textAlignment w:val="baseline"/>
        <w:rPr>
          <w:rFonts w:ascii="Arial" w:hAnsi="Arial" w:cs="Arial"/>
        </w:rPr>
      </w:pPr>
      <w:r w:rsidRPr="008B344F">
        <w:rPr>
          <w:rStyle w:val="normaltextrun1"/>
          <w:rFonts w:ascii="Arial" w:hAnsi="Arial" w:cs="Arial"/>
        </w:rPr>
        <w:t xml:space="preserve">(Note: These examples are geared toward leases, which have a 1,000-foot radius for notification. The same policy applies to LPAs, which have a </w:t>
      </w:r>
      <w:r w:rsidR="00E917FC" w:rsidRPr="008B344F">
        <w:rPr>
          <w:rStyle w:val="normaltextrun1"/>
          <w:rFonts w:ascii="Arial" w:hAnsi="Arial" w:cs="Arial"/>
        </w:rPr>
        <w:t>300-foot</w:t>
      </w:r>
      <w:r w:rsidRPr="008B344F">
        <w:rPr>
          <w:rStyle w:val="normaltextrun1"/>
          <w:rFonts w:ascii="Arial" w:hAnsi="Arial" w:cs="Arial"/>
        </w:rPr>
        <w:t xml:space="preserve"> radius for notification). </w:t>
      </w:r>
    </w:p>
    <w:p w14:paraId="40A3B920" w14:textId="6F2BB937" w:rsidR="005A21C3" w:rsidRDefault="005A21C3" w:rsidP="00C84F9F">
      <w:pPr>
        <w:pStyle w:val="paragraph"/>
        <w:ind w:left="1080"/>
        <w:jc w:val="center"/>
        <w:textAlignment w:val="baseline"/>
        <w:rPr>
          <w:rFonts w:ascii="Arial" w:hAnsi="Arial" w:cs="Arial"/>
          <w:sz w:val="20"/>
          <w:szCs w:val="20"/>
        </w:rPr>
      </w:pPr>
    </w:p>
    <w:p w14:paraId="0EA6E2AD" w14:textId="795201EF" w:rsidR="00810B1E" w:rsidRPr="00881837" w:rsidRDefault="00810B1E" w:rsidP="00810B1E">
      <w:pPr>
        <w:pStyle w:val="paragraph"/>
        <w:numPr>
          <w:ilvl w:val="0"/>
          <w:numId w:val="5"/>
        </w:numPr>
        <w:textAlignment w:val="baseline"/>
        <w:rPr>
          <w:rStyle w:val="eop"/>
          <w:rFonts w:ascii="Arial" w:hAnsi="Arial" w:cs="Arial"/>
          <w:sz w:val="22"/>
          <w:szCs w:val="20"/>
        </w:rPr>
      </w:pPr>
      <w:r w:rsidRPr="00881837">
        <w:rPr>
          <w:rFonts w:ascii="Arial" w:hAnsi="Arial" w:cs="Arial"/>
          <w:noProof/>
          <w:sz w:val="22"/>
          <w:szCs w:val="20"/>
        </w:rPr>
        <w:drawing>
          <wp:anchor distT="0" distB="0" distL="114300" distR="114300" simplePos="0" relativeHeight="251658240" behindDoc="0" locked="0" layoutInCell="1" allowOverlap="1" wp14:anchorId="718ED21C" wp14:editId="2917DEAD">
            <wp:simplePos x="0" y="0"/>
            <wp:positionH relativeFrom="column">
              <wp:posOffset>266700</wp:posOffset>
            </wp:positionH>
            <wp:positionV relativeFrom="paragraph">
              <wp:posOffset>15240</wp:posOffset>
            </wp:positionV>
            <wp:extent cx="3675888" cy="4754880"/>
            <wp:effectExtent l="19050" t="19050" r="20320" b="2667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udflat Cove_final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75888" cy="475488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190B" w:rsidRPr="00881837">
        <w:rPr>
          <w:rStyle w:val="normaltextrun1"/>
          <w:rFonts w:ascii="Arial" w:hAnsi="Arial" w:cs="Arial"/>
          <w:sz w:val="22"/>
          <w:szCs w:val="20"/>
        </w:rPr>
        <w:t>Riparian parcel lines are extended to the edge of the intertidal on the NOAA chart or the uplands of another parcel. The parcels whose boundaries extend into the 1,000-foot radius around a proposed lease will be notified</w:t>
      </w:r>
      <w:r w:rsidR="00F45EDE">
        <w:rPr>
          <w:rStyle w:val="normaltextrun1"/>
          <w:rFonts w:ascii="Arial" w:hAnsi="Arial" w:cs="Arial"/>
          <w:sz w:val="22"/>
          <w:szCs w:val="20"/>
        </w:rPr>
        <w:t xml:space="preserve"> (Figure 1).</w:t>
      </w:r>
      <w:r w:rsidR="00A9190B" w:rsidRPr="00881837">
        <w:rPr>
          <w:rStyle w:val="eop"/>
          <w:rFonts w:ascii="Arial" w:hAnsi="Arial" w:cs="Arial"/>
          <w:sz w:val="22"/>
          <w:szCs w:val="20"/>
        </w:rPr>
        <w:t> </w:t>
      </w:r>
    </w:p>
    <w:p w14:paraId="7E65CE39" w14:textId="22A564F5" w:rsidR="00810B1E" w:rsidRPr="00B86D02" w:rsidRDefault="00810B1E" w:rsidP="00810B1E">
      <w:pPr>
        <w:pStyle w:val="paragraph"/>
        <w:textAlignment w:val="baseline"/>
        <w:rPr>
          <w:rStyle w:val="eop"/>
          <w:rFonts w:ascii="Arial" w:hAnsi="Arial" w:cs="Arial"/>
          <w:szCs w:val="20"/>
        </w:rPr>
      </w:pPr>
    </w:p>
    <w:p w14:paraId="3E1ED568" w14:textId="77777777" w:rsidR="00810B1E" w:rsidRPr="00B86D02" w:rsidRDefault="00810B1E" w:rsidP="00810B1E">
      <w:pPr>
        <w:pStyle w:val="paragraph"/>
        <w:textAlignment w:val="baseline"/>
        <w:rPr>
          <w:rFonts w:ascii="Arial" w:hAnsi="Arial" w:cs="Arial"/>
          <w:szCs w:val="20"/>
        </w:rPr>
      </w:pPr>
    </w:p>
    <w:p w14:paraId="332A3B4E" w14:textId="77777777" w:rsidR="00CE03C5" w:rsidRPr="00B86D02" w:rsidRDefault="00CE03C5" w:rsidP="005A21C3">
      <w:pPr>
        <w:pStyle w:val="paragraph"/>
        <w:textAlignment w:val="baseline"/>
        <w:rPr>
          <w:rFonts w:ascii="Arial" w:hAnsi="Arial" w:cs="Arial"/>
          <w:szCs w:val="20"/>
        </w:rPr>
      </w:pPr>
    </w:p>
    <w:p w14:paraId="7631E863" w14:textId="0C0AAD55" w:rsidR="00A9190B" w:rsidRPr="00881837" w:rsidRDefault="00A9190B" w:rsidP="00810B1E">
      <w:pPr>
        <w:pStyle w:val="paragraph"/>
        <w:numPr>
          <w:ilvl w:val="0"/>
          <w:numId w:val="5"/>
        </w:numPr>
        <w:textAlignment w:val="baseline"/>
        <w:rPr>
          <w:rStyle w:val="eop"/>
          <w:rFonts w:ascii="Arial" w:hAnsi="Arial" w:cs="Arial"/>
          <w:sz w:val="18"/>
          <w:szCs w:val="20"/>
        </w:rPr>
      </w:pPr>
      <w:r w:rsidRPr="00881837">
        <w:rPr>
          <w:rStyle w:val="normaltextrun1"/>
          <w:rFonts w:ascii="Arial" w:hAnsi="Arial" w:cs="Arial"/>
          <w:sz w:val="22"/>
          <w:szCs w:val="20"/>
        </w:rPr>
        <w:t>When a parcel’s own boundaries intersect before reaching the 1,000-foot radius around a proposed lease, the parcel will not be notified</w:t>
      </w:r>
      <w:r w:rsidR="00F45EDE">
        <w:rPr>
          <w:rStyle w:val="normaltextrun1"/>
          <w:rFonts w:ascii="Arial" w:hAnsi="Arial" w:cs="Arial"/>
          <w:sz w:val="22"/>
          <w:szCs w:val="20"/>
        </w:rPr>
        <w:t xml:space="preserve"> (Figure 1). </w:t>
      </w:r>
    </w:p>
    <w:p w14:paraId="3998A369" w14:textId="77777777" w:rsidR="008C6A81" w:rsidRDefault="008C6A81" w:rsidP="008C6A81">
      <w:pPr>
        <w:pStyle w:val="paragraph"/>
        <w:textAlignment w:val="baseline"/>
        <w:rPr>
          <w:rStyle w:val="eop"/>
          <w:rFonts w:ascii="Arial" w:hAnsi="Arial" w:cs="Arial"/>
          <w:sz w:val="20"/>
          <w:szCs w:val="20"/>
        </w:rPr>
      </w:pPr>
    </w:p>
    <w:p w14:paraId="73AD21FC" w14:textId="434867D5" w:rsidR="0078617A" w:rsidRPr="0078617A" w:rsidRDefault="0078617A" w:rsidP="0078617A">
      <w:pPr>
        <w:pStyle w:val="paragraph"/>
        <w:ind w:left="1080"/>
        <w:textAlignment w:val="baseline"/>
        <w:rPr>
          <w:rStyle w:val="eop"/>
          <w:rFonts w:ascii="Arial" w:hAnsi="Arial" w:cs="Arial"/>
          <w:sz w:val="20"/>
          <w:szCs w:val="20"/>
        </w:rPr>
      </w:pPr>
    </w:p>
    <w:p w14:paraId="53FDC2D9" w14:textId="40EDA0D8" w:rsidR="00A9190B" w:rsidRDefault="00A9190B" w:rsidP="00C33B6D">
      <w:pPr>
        <w:pStyle w:val="paragraph"/>
        <w:ind w:left="360"/>
        <w:jc w:val="center"/>
        <w:textAlignment w:val="baseline"/>
        <w:rPr>
          <w:rFonts w:ascii="Arial" w:hAnsi="Arial" w:cs="Arial"/>
          <w:noProof/>
          <w:sz w:val="20"/>
          <w:szCs w:val="20"/>
        </w:rPr>
      </w:pPr>
    </w:p>
    <w:p w14:paraId="77404C77" w14:textId="63702D2E" w:rsidR="0052083A" w:rsidRDefault="0052083A" w:rsidP="00C33B6D">
      <w:pPr>
        <w:pStyle w:val="paragraph"/>
        <w:ind w:left="360"/>
        <w:jc w:val="center"/>
        <w:textAlignment w:val="baseline"/>
        <w:rPr>
          <w:rFonts w:ascii="Arial" w:hAnsi="Arial" w:cs="Arial"/>
          <w:noProof/>
          <w:sz w:val="20"/>
          <w:szCs w:val="20"/>
        </w:rPr>
      </w:pPr>
    </w:p>
    <w:p w14:paraId="618223C3" w14:textId="58A2D8D0" w:rsidR="0052083A" w:rsidRDefault="0052083A" w:rsidP="00C33B6D">
      <w:pPr>
        <w:pStyle w:val="paragraph"/>
        <w:ind w:left="360"/>
        <w:jc w:val="center"/>
        <w:textAlignment w:val="baseline"/>
        <w:rPr>
          <w:rFonts w:ascii="Arial" w:hAnsi="Arial" w:cs="Arial"/>
          <w:noProof/>
          <w:sz w:val="20"/>
          <w:szCs w:val="20"/>
        </w:rPr>
      </w:pPr>
    </w:p>
    <w:p w14:paraId="7A648FC1" w14:textId="7EEBEA67" w:rsidR="0052083A" w:rsidRDefault="0052083A" w:rsidP="00C33B6D">
      <w:pPr>
        <w:pStyle w:val="paragraph"/>
        <w:ind w:left="360"/>
        <w:jc w:val="center"/>
        <w:textAlignment w:val="baseline"/>
        <w:rPr>
          <w:rFonts w:ascii="Arial" w:hAnsi="Arial" w:cs="Arial"/>
          <w:noProof/>
          <w:sz w:val="20"/>
          <w:szCs w:val="20"/>
        </w:rPr>
      </w:pPr>
    </w:p>
    <w:p w14:paraId="3B8C6508" w14:textId="140CC83D" w:rsidR="0052083A" w:rsidRDefault="0052083A" w:rsidP="00C33B6D">
      <w:pPr>
        <w:pStyle w:val="paragraph"/>
        <w:ind w:left="360"/>
        <w:jc w:val="center"/>
        <w:textAlignment w:val="baseline"/>
        <w:rPr>
          <w:rFonts w:ascii="Arial" w:hAnsi="Arial" w:cs="Arial"/>
          <w:noProof/>
          <w:sz w:val="20"/>
          <w:szCs w:val="20"/>
        </w:rPr>
      </w:pPr>
    </w:p>
    <w:p w14:paraId="496A87F4" w14:textId="16EE7389" w:rsidR="0052083A" w:rsidRDefault="0052083A" w:rsidP="00C33B6D">
      <w:pPr>
        <w:pStyle w:val="paragraph"/>
        <w:ind w:left="360"/>
        <w:jc w:val="center"/>
        <w:textAlignment w:val="baseline"/>
        <w:rPr>
          <w:rFonts w:ascii="Arial" w:hAnsi="Arial" w:cs="Arial"/>
          <w:noProof/>
          <w:sz w:val="20"/>
          <w:szCs w:val="20"/>
        </w:rPr>
      </w:pPr>
    </w:p>
    <w:p w14:paraId="54D304B8" w14:textId="3E68D84B" w:rsidR="0052083A" w:rsidRDefault="0052083A" w:rsidP="00C33B6D">
      <w:pPr>
        <w:pStyle w:val="paragraph"/>
        <w:ind w:left="360"/>
        <w:jc w:val="center"/>
        <w:textAlignment w:val="baseline"/>
        <w:rPr>
          <w:rFonts w:ascii="Arial" w:hAnsi="Arial" w:cs="Arial"/>
          <w:noProof/>
          <w:sz w:val="20"/>
          <w:szCs w:val="20"/>
        </w:rPr>
      </w:pPr>
    </w:p>
    <w:p w14:paraId="573E79BB" w14:textId="12D0D586" w:rsidR="0052083A" w:rsidRDefault="0052083A" w:rsidP="00C33B6D">
      <w:pPr>
        <w:pStyle w:val="paragraph"/>
        <w:ind w:left="360"/>
        <w:jc w:val="center"/>
        <w:textAlignment w:val="baseline"/>
        <w:rPr>
          <w:rFonts w:ascii="Arial" w:hAnsi="Arial" w:cs="Arial"/>
          <w:noProof/>
          <w:sz w:val="20"/>
          <w:szCs w:val="20"/>
        </w:rPr>
      </w:pPr>
    </w:p>
    <w:p w14:paraId="709C404E" w14:textId="77777777" w:rsidR="0052083A" w:rsidRDefault="0052083A" w:rsidP="00C33B6D">
      <w:pPr>
        <w:pStyle w:val="paragraph"/>
        <w:ind w:left="360"/>
        <w:jc w:val="center"/>
        <w:textAlignment w:val="baseline"/>
        <w:rPr>
          <w:rStyle w:val="eop"/>
          <w:rFonts w:ascii="Arial" w:hAnsi="Arial" w:cs="Arial"/>
          <w:sz w:val="20"/>
          <w:szCs w:val="20"/>
        </w:rPr>
      </w:pPr>
    </w:p>
    <w:p w14:paraId="4928D3E0" w14:textId="4A52D3BA" w:rsidR="005A21C3" w:rsidRDefault="1C886D43" w:rsidP="0052083A">
      <w:pPr>
        <w:pStyle w:val="paragraph"/>
        <w:ind w:right="3150" w:firstLine="450"/>
        <w:jc w:val="center"/>
        <w:textAlignment w:val="baseline"/>
        <w:rPr>
          <w:rStyle w:val="eop"/>
          <w:rFonts w:ascii="Arial" w:hAnsi="Arial" w:cs="Arial"/>
          <w:sz w:val="20"/>
          <w:szCs w:val="20"/>
        </w:rPr>
      </w:pPr>
      <w:r w:rsidRPr="00C717E3">
        <w:rPr>
          <w:rStyle w:val="eop"/>
          <w:rFonts w:ascii="Arial" w:hAnsi="Arial" w:cs="Arial"/>
          <w:b/>
          <w:bCs/>
          <w:sz w:val="20"/>
          <w:szCs w:val="20"/>
        </w:rPr>
        <w:t>Figure 1</w:t>
      </w:r>
    </w:p>
    <w:p w14:paraId="3E55186F" w14:textId="77777777" w:rsidR="005A21C3" w:rsidRDefault="005A21C3" w:rsidP="00A9190B">
      <w:pPr>
        <w:pStyle w:val="paragraph"/>
        <w:jc w:val="center"/>
        <w:textAlignment w:val="baseline"/>
        <w:rPr>
          <w:rStyle w:val="eop"/>
          <w:rFonts w:ascii="Arial" w:hAnsi="Arial" w:cs="Arial"/>
          <w:sz w:val="20"/>
          <w:szCs w:val="20"/>
        </w:rPr>
      </w:pPr>
    </w:p>
    <w:p w14:paraId="61972EEB" w14:textId="1CF405B8" w:rsidR="005A21C3" w:rsidRDefault="005A21C3" w:rsidP="00A9190B">
      <w:pPr>
        <w:pStyle w:val="paragraph"/>
        <w:jc w:val="center"/>
        <w:textAlignment w:val="baseline"/>
        <w:rPr>
          <w:rStyle w:val="eop"/>
          <w:rFonts w:ascii="Arial" w:hAnsi="Arial" w:cs="Arial"/>
          <w:sz w:val="20"/>
          <w:szCs w:val="20"/>
        </w:rPr>
      </w:pPr>
    </w:p>
    <w:p w14:paraId="254A2327" w14:textId="77777777" w:rsidR="00BE7803" w:rsidRDefault="00BE7803" w:rsidP="00943B8F">
      <w:pPr>
        <w:pStyle w:val="paragraph"/>
        <w:textAlignment w:val="baseline"/>
        <w:rPr>
          <w:rStyle w:val="eop"/>
          <w:rFonts w:ascii="Arial" w:hAnsi="Arial" w:cs="Arial"/>
          <w:sz w:val="20"/>
          <w:szCs w:val="20"/>
        </w:rPr>
      </w:pPr>
    </w:p>
    <w:p w14:paraId="7FEFC9FB" w14:textId="138068CC" w:rsidR="00CE03C5" w:rsidRPr="00F45EDE" w:rsidRDefault="00CE03C5" w:rsidP="005E2E5A">
      <w:pPr>
        <w:pStyle w:val="Default"/>
        <w:numPr>
          <w:ilvl w:val="0"/>
          <w:numId w:val="4"/>
        </w:numPr>
        <w:ind w:left="1080" w:right="630"/>
        <w:jc w:val="both"/>
        <w:rPr>
          <w:rFonts w:asciiTheme="minorHAnsi" w:eastAsiaTheme="minorEastAsia" w:hAnsiTheme="minorHAnsi" w:cstheme="minorBidi"/>
          <w:color w:val="000000" w:themeColor="text1"/>
          <w:sz w:val="28"/>
        </w:rPr>
      </w:pPr>
      <w:r w:rsidRPr="00F45EDE">
        <w:rPr>
          <w:rStyle w:val="normaltextrun1"/>
          <w:rFonts w:ascii="Arial" w:hAnsi="Arial" w:cs="Arial"/>
          <w:sz w:val="22"/>
          <w:szCs w:val="20"/>
        </w:rPr>
        <w:lastRenderedPageBreak/>
        <w:t xml:space="preserve">In areas with extensive tidal flats, </w:t>
      </w:r>
      <w:r w:rsidR="44DEB244" w:rsidRPr="00F45EDE">
        <w:rPr>
          <w:rStyle w:val="normaltextrun1"/>
          <w:rFonts w:ascii="Arial" w:hAnsi="Arial" w:cs="Arial"/>
          <w:sz w:val="22"/>
          <w:szCs w:val="20"/>
        </w:rPr>
        <w:t xml:space="preserve">the limit of </w:t>
      </w:r>
      <w:r w:rsidR="00D43F2D" w:rsidRPr="00F45EDE">
        <w:rPr>
          <w:rStyle w:val="normaltextrun1"/>
          <w:rFonts w:ascii="Arial" w:hAnsi="Arial" w:cs="Arial"/>
          <w:sz w:val="22"/>
          <w:szCs w:val="20"/>
        </w:rPr>
        <w:t>shorefront property</w:t>
      </w:r>
      <w:r w:rsidR="1F403970" w:rsidRPr="00F45EDE">
        <w:rPr>
          <w:rStyle w:val="normaltextrun1"/>
          <w:rFonts w:ascii="Arial" w:hAnsi="Arial" w:cs="Arial"/>
          <w:sz w:val="22"/>
          <w:szCs w:val="20"/>
        </w:rPr>
        <w:t xml:space="preserve"> ownership</w:t>
      </w:r>
      <w:r w:rsidR="00D43F2D" w:rsidRPr="00F45EDE">
        <w:rPr>
          <w:rStyle w:val="normaltextrun1"/>
          <w:rFonts w:ascii="Arial" w:hAnsi="Arial" w:cs="Arial"/>
          <w:sz w:val="22"/>
          <w:szCs w:val="20"/>
        </w:rPr>
        <w:t xml:space="preserve"> </w:t>
      </w:r>
      <w:r w:rsidR="002342D3" w:rsidRPr="00F45EDE">
        <w:rPr>
          <w:rStyle w:val="normaltextrun1"/>
          <w:rFonts w:ascii="Arial" w:hAnsi="Arial" w:cs="Arial"/>
          <w:sz w:val="22"/>
          <w:szCs w:val="20"/>
        </w:rPr>
        <w:t>extend</w:t>
      </w:r>
      <w:r w:rsidR="00FC4338">
        <w:rPr>
          <w:rStyle w:val="normaltextrun1"/>
          <w:rFonts w:ascii="Arial" w:hAnsi="Arial" w:cs="Arial"/>
          <w:sz w:val="22"/>
          <w:szCs w:val="20"/>
        </w:rPr>
        <w:t>s</w:t>
      </w:r>
      <w:r w:rsidR="00D43F2D" w:rsidRPr="00F45EDE">
        <w:rPr>
          <w:rStyle w:val="normaltextrun1"/>
          <w:rFonts w:ascii="Arial" w:hAnsi="Arial" w:cs="Arial"/>
          <w:sz w:val="22"/>
          <w:szCs w:val="20"/>
        </w:rPr>
        <w:t xml:space="preserve"> 1,650 feet </w:t>
      </w:r>
      <w:r w:rsidR="006F5CB0" w:rsidRPr="00F45EDE">
        <w:rPr>
          <w:rStyle w:val="normaltextrun1"/>
          <w:rFonts w:ascii="Arial" w:hAnsi="Arial" w:cs="Arial"/>
          <w:sz w:val="22"/>
          <w:szCs w:val="20"/>
        </w:rPr>
        <w:t xml:space="preserve">into the intertidal </w:t>
      </w:r>
      <w:r w:rsidR="00D43F2D" w:rsidRPr="00F45EDE">
        <w:rPr>
          <w:rStyle w:val="normaltextrun1"/>
          <w:rFonts w:ascii="Arial" w:hAnsi="Arial" w:cs="Arial"/>
          <w:sz w:val="22"/>
          <w:szCs w:val="20"/>
        </w:rPr>
        <w:t>from the parcel’s uplands</w:t>
      </w:r>
      <w:r w:rsidR="799B5C88" w:rsidRPr="00F45EDE">
        <w:rPr>
          <w:rStyle w:val="normaltextrun1"/>
          <w:rFonts w:ascii="Arial" w:hAnsi="Arial" w:cs="Arial"/>
          <w:sz w:val="22"/>
          <w:szCs w:val="20"/>
        </w:rPr>
        <w:t xml:space="preserve"> at mean low water</w:t>
      </w:r>
      <w:r w:rsidR="00D43F2D" w:rsidRPr="00F45EDE">
        <w:rPr>
          <w:rStyle w:val="normaltextrun1"/>
          <w:rFonts w:ascii="Arial" w:hAnsi="Arial" w:cs="Arial"/>
          <w:sz w:val="22"/>
          <w:szCs w:val="20"/>
        </w:rPr>
        <w:t xml:space="preserve"> </w:t>
      </w:r>
      <w:r w:rsidRPr="00F45EDE">
        <w:rPr>
          <w:rStyle w:val="normaltextrun1"/>
          <w:rFonts w:ascii="Arial" w:hAnsi="Arial" w:cs="Arial"/>
          <w:sz w:val="22"/>
          <w:szCs w:val="20"/>
        </w:rPr>
        <w:t>(</w:t>
      </w:r>
      <w:r w:rsidR="00915D17" w:rsidRPr="00F45EDE">
        <w:rPr>
          <w:rStyle w:val="normaltextrun1"/>
          <w:rFonts w:ascii="Arial" w:hAnsi="Arial" w:cs="Arial"/>
          <w:sz w:val="22"/>
          <w:szCs w:val="20"/>
        </w:rPr>
        <w:t>per 12 MRS</w:t>
      </w:r>
      <w:r w:rsidR="009E0488" w:rsidRPr="00F45EDE">
        <w:rPr>
          <w:color w:val="auto"/>
          <w:sz w:val="28"/>
        </w:rPr>
        <w:t xml:space="preserve"> §</w:t>
      </w:r>
      <w:r w:rsidR="00915D17" w:rsidRPr="00F45EDE">
        <w:rPr>
          <w:rStyle w:val="normaltextrun1"/>
          <w:rFonts w:ascii="Arial" w:hAnsi="Arial" w:cs="Arial"/>
          <w:sz w:val="22"/>
          <w:szCs w:val="20"/>
        </w:rPr>
        <w:t xml:space="preserve"> 571</w:t>
      </w:r>
      <w:r w:rsidR="006F5CB0" w:rsidRPr="00F45EDE">
        <w:rPr>
          <w:rStyle w:val="normaltextrun1"/>
          <w:rFonts w:ascii="Arial" w:hAnsi="Arial" w:cs="Arial"/>
          <w:sz w:val="22"/>
          <w:szCs w:val="20"/>
        </w:rPr>
        <w:t xml:space="preserve"> </w:t>
      </w:r>
      <w:r w:rsidR="009E0488" w:rsidRPr="00F45EDE">
        <w:rPr>
          <w:rStyle w:val="normaltextrun1"/>
          <w:rFonts w:ascii="Arial" w:hAnsi="Arial" w:cs="Arial"/>
          <w:sz w:val="22"/>
          <w:szCs w:val="20"/>
        </w:rPr>
        <w:t xml:space="preserve">and </w:t>
      </w:r>
      <w:r w:rsidRPr="00F45EDE">
        <w:rPr>
          <w:rStyle w:val="normaltextrun1"/>
          <w:rFonts w:ascii="Arial" w:hAnsi="Arial" w:cs="Arial"/>
          <w:sz w:val="22"/>
          <w:szCs w:val="20"/>
        </w:rPr>
        <w:t>depicted in Figure 2).</w:t>
      </w:r>
      <w:r w:rsidR="00A55450">
        <w:rPr>
          <w:rStyle w:val="normaltextrun1"/>
          <w:rFonts w:ascii="Arial" w:hAnsi="Arial" w:cs="Arial"/>
          <w:sz w:val="22"/>
          <w:szCs w:val="20"/>
        </w:rPr>
        <w:t xml:space="preserve"> </w:t>
      </w:r>
      <w:r w:rsidRPr="00F45EDE">
        <w:rPr>
          <w:rStyle w:val="normaltextrun1"/>
          <w:rFonts w:ascii="Arial" w:hAnsi="Arial" w:cs="Arial"/>
          <w:sz w:val="22"/>
          <w:szCs w:val="20"/>
        </w:rPr>
        <w:t xml:space="preserve"> </w:t>
      </w:r>
      <w:r w:rsidR="00315BA4" w:rsidRPr="00F45EDE">
        <w:rPr>
          <w:rFonts w:ascii="Arial" w:eastAsia="Arial" w:hAnsi="Arial" w:cs="Arial"/>
          <w:sz w:val="22"/>
          <w:szCs w:val="20"/>
        </w:rPr>
        <w:t xml:space="preserve">When </w:t>
      </w:r>
      <w:r w:rsidR="00482A60" w:rsidRPr="00F45EDE">
        <w:rPr>
          <w:rFonts w:ascii="Arial" w:eastAsia="Arial" w:hAnsi="Arial" w:cs="Arial"/>
          <w:sz w:val="22"/>
          <w:szCs w:val="20"/>
        </w:rPr>
        <w:t>the 1,000</w:t>
      </w:r>
      <w:r w:rsidR="004526FC" w:rsidRPr="00F45EDE">
        <w:rPr>
          <w:rFonts w:ascii="Arial" w:eastAsia="Arial" w:hAnsi="Arial" w:cs="Arial"/>
          <w:sz w:val="22"/>
          <w:szCs w:val="20"/>
        </w:rPr>
        <w:t>-</w:t>
      </w:r>
      <w:r w:rsidR="00482A60" w:rsidRPr="00F45EDE">
        <w:rPr>
          <w:rFonts w:ascii="Arial" w:eastAsia="Arial" w:hAnsi="Arial" w:cs="Arial"/>
          <w:sz w:val="22"/>
          <w:szCs w:val="20"/>
        </w:rPr>
        <w:t xml:space="preserve">foot buffer around a proposed lease is more than 1,650 feet </w:t>
      </w:r>
      <w:r w:rsidR="008C170D" w:rsidRPr="00F45EDE">
        <w:rPr>
          <w:rFonts w:ascii="Arial" w:eastAsia="Arial" w:hAnsi="Arial" w:cs="Arial"/>
          <w:sz w:val="22"/>
          <w:szCs w:val="20"/>
        </w:rPr>
        <w:t xml:space="preserve">away from a parcel’s uplands, </w:t>
      </w:r>
      <w:r w:rsidR="00EA544F">
        <w:rPr>
          <w:rFonts w:ascii="Arial" w:eastAsia="Arial" w:hAnsi="Arial" w:cs="Arial"/>
          <w:sz w:val="22"/>
          <w:szCs w:val="20"/>
        </w:rPr>
        <w:t xml:space="preserve">and therefore outside the limits of riparian ownership, </w:t>
      </w:r>
      <w:r w:rsidR="008C170D" w:rsidRPr="00F45EDE">
        <w:rPr>
          <w:rFonts w:ascii="Arial" w:eastAsia="Arial" w:hAnsi="Arial" w:cs="Arial"/>
          <w:sz w:val="22"/>
          <w:szCs w:val="20"/>
        </w:rPr>
        <w:t>the parcel will not receive notification.</w:t>
      </w:r>
    </w:p>
    <w:p w14:paraId="55423B10" w14:textId="77777777" w:rsidR="00BE7803" w:rsidRPr="00C717E3" w:rsidRDefault="00BE7803" w:rsidP="00BE7803">
      <w:pPr>
        <w:pStyle w:val="Default"/>
        <w:ind w:left="1080"/>
        <w:rPr>
          <w:rFonts w:asciiTheme="minorHAnsi" w:eastAsiaTheme="minorEastAsia" w:hAnsiTheme="minorHAnsi" w:cstheme="minorBidi"/>
          <w:color w:val="000000" w:themeColor="text1"/>
        </w:rPr>
      </w:pPr>
    </w:p>
    <w:p w14:paraId="6EA2224D" w14:textId="669E34AB" w:rsidR="00CE03C5" w:rsidRDefault="00BE7803" w:rsidP="00F9109D">
      <w:pPr>
        <w:pStyle w:val="paragraph"/>
        <w:jc w:val="center"/>
        <w:textAlignment w:val="baseline"/>
        <w:rPr>
          <w:rStyle w:val="normaltextrun1"/>
          <w:rFonts w:ascii="Arial" w:hAnsi="Arial" w:cs="Arial"/>
          <w:sz w:val="20"/>
          <w:szCs w:val="20"/>
        </w:rPr>
      </w:pPr>
      <w:r w:rsidRPr="0078617A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025538D2" wp14:editId="6F0FE9E0">
            <wp:extent cx="5413248" cy="4178808"/>
            <wp:effectExtent l="19050" t="19050" r="16510" b="1270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650 Foot Buffer_Final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3248" cy="4178808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D0AC707" w14:textId="03B5C6D3" w:rsidR="00CE03C5" w:rsidRDefault="00C717E3" w:rsidP="00C33B6D">
      <w:pPr>
        <w:pStyle w:val="paragraph"/>
        <w:ind w:left="360"/>
        <w:jc w:val="center"/>
        <w:textAlignment w:val="baseline"/>
        <w:rPr>
          <w:rFonts w:ascii="Arial" w:hAnsi="Arial" w:cs="Arial"/>
          <w:b/>
          <w:noProof/>
          <w:sz w:val="20"/>
        </w:rPr>
      </w:pPr>
      <w:r w:rsidRPr="00C33B6D">
        <w:rPr>
          <w:rFonts w:ascii="Arial" w:hAnsi="Arial" w:cs="Arial"/>
          <w:b/>
          <w:noProof/>
          <w:sz w:val="20"/>
        </w:rPr>
        <w:t>Figure 2</w:t>
      </w:r>
    </w:p>
    <w:p w14:paraId="6F994EA9" w14:textId="508C2D36" w:rsidR="00C33B6D" w:rsidRDefault="00C33B6D" w:rsidP="00C33B6D">
      <w:pPr>
        <w:pStyle w:val="paragraph"/>
        <w:ind w:left="360"/>
        <w:jc w:val="center"/>
        <w:textAlignment w:val="baseline"/>
        <w:rPr>
          <w:rFonts w:ascii="Arial" w:hAnsi="Arial" w:cs="Arial"/>
          <w:b/>
          <w:noProof/>
          <w:sz w:val="20"/>
        </w:rPr>
      </w:pPr>
    </w:p>
    <w:p w14:paraId="2CAF4DC1" w14:textId="5C46B67C" w:rsidR="00943B8F" w:rsidRDefault="00943B8F" w:rsidP="00C33B6D">
      <w:pPr>
        <w:pStyle w:val="paragraph"/>
        <w:ind w:left="360"/>
        <w:jc w:val="center"/>
        <w:textAlignment w:val="baseline"/>
        <w:rPr>
          <w:rFonts w:ascii="Arial" w:hAnsi="Arial" w:cs="Arial"/>
          <w:b/>
          <w:noProof/>
          <w:sz w:val="20"/>
        </w:rPr>
      </w:pPr>
    </w:p>
    <w:p w14:paraId="1FD396EE" w14:textId="1351E0CF" w:rsidR="00943B8F" w:rsidRDefault="00943B8F" w:rsidP="00C33B6D">
      <w:pPr>
        <w:pStyle w:val="paragraph"/>
        <w:ind w:left="360"/>
        <w:jc w:val="center"/>
        <w:textAlignment w:val="baseline"/>
        <w:rPr>
          <w:rFonts w:ascii="Arial" w:hAnsi="Arial" w:cs="Arial"/>
          <w:b/>
          <w:noProof/>
          <w:sz w:val="20"/>
        </w:rPr>
      </w:pPr>
    </w:p>
    <w:p w14:paraId="472A2F74" w14:textId="386B4F35" w:rsidR="00943B8F" w:rsidRDefault="00943B8F" w:rsidP="00C33B6D">
      <w:pPr>
        <w:pStyle w:val="paragraph"/>
        <w:ind w:left="360"/>
        <w:jc w:val="center"/>
        <w:textAlignment w:val="baseline"/>
        <w:rPr>
          <w:rFonts w:ascii="Arial" w:hAnsi="Arial" w:cs="Arial"/>
          <w:b/>
          <w:noProof/>
          <w:sz w:val="20"/>
        </w:rPr>
      </w:pPr>
    </w:p>
    <w:p w14:paraId="07CA6479" w14:textId="7A7D1C9E" w:rsidR="00943B8F" w:rsidRDefault="00943B8F" w:rsidP="00C33B6D">
      <w:pPr>
        <w:pStyle w:val="paragraph"/>
        <w:ind w:left="360"/>
        <w:jc w:val="center"/>
        <w:textAlignment w:val="baseline"/>
        <w:rPr>
          <w:rFonts w:ascii="Arial" w:hAnsi="Arial" w:cs="Arial"/>
          <w:b/>
          <w:noProof/>
          <w:sz w:val="20"/>
        </w:rPr>
      </w:pPr>
    </w:p>
    <w:p w14:paraId="2CBFCF1D" w14:textId="55794CCC" w:rsidR="00943B8F" w:rsidRDefault="00943B8F" w:rsidP="00C33B6D">
      <w:pPr>
        <w:pStyle w:val="paragraph"/>
        <w:ind w:left="360"/>
        <w:jc w:val="center"/>
        <w:textAlignment w:val="baseline"/>
        <w:rPr>
          <w:rFonts w:ascii="Arial" w:hAnsi="Arial" w:cs="Arial"/>
          <w:b/>
          <w:noProof/>
          <w:sz w:val="20"/>
        </w:rPr>
      </w:pPr>
    </w:p>
    <w:p w14:paraId="29840FF8" w14:textId="4A65591C" w:rsidR="00943B8F" w:rsidRDefault="00943B8F" w:rsidP="00C33B6D">
      <w:pPr>
        <w:pStyle w:val="paragraph"/>
        <w:ind w:left="360"/>
        <w:jc w:val="center"/>
        <w:textAlignment w:val="baseline"/>
        <w:rPr>
          <w:rFonts w:ascii="Arial" w:hAnsi="Arial" w:cs="Arial"/>
          <w:b/>
          <w:noProof/>
          <w:sz w:val="20"/>
        </w:rPr>
      </w:pPr>
    </w:p>
    <w:p w14:paraId="2D1873F8" w14:textId="1E25C10B" w:rsidR="00943B8F" w:rsidRDefault="00943B8F" w:rsidP="00C33B6D">
      <w:pPr>
        <w:pStyle w:val="paragraph"/>
        <w:ind w:left="360"/>
        <w:jc w:val="center"/>
        <w:textAlignment w:val="baseline"/>
        <w:rPr>
          <w:rFonts w:ascii="Arial" w:hAnsi="Arial" w:cs="Arial"/>
          <w:b/>
          <w:noProof/>
          <w:sz w:val="20"/>
        </w:rPr>
      </w:pPr>
    </w:p>
    <w:p w14:paraId="296B9592" w14:textId="1F55BBF6" w:rsidR="00943B8F" w:rsidRDefault="00943B8F" w:rsidP="00C33B6D">
      <w:pPr>
        <w:pStyle w:val="paragraph"/>
        <w:ind w:left="360"/>
        <w:jc w:val="center"/>
        <w:textAlignment w:val="baseline"/>
        <w:rPr>
          <w:rFonts w:ascii="Arial" w:hAnsi="Arial" w:cs="Arial"/>
          <w:b/>
          <w:noProof/>
          <w:sz w:val="20"/>
        </w:rPr>
      </w:pPr>
    </w:p>
    <w:p w14:paraId="37188F81" w14:textId="4446181D" w:rsidR="00943B8F" w:rsidRDefault="00943B8F" w:rsidP="00C33B6D">
      <w:pPr>
        <w:pStyle w:val="paragraph"/>
        <w:ind w:left="360"/>
        <w:jc w:val="center"/>
        <w:textAlignment w:val="baseline"/>
        <w:rPr>
          <w:rFonts w:ascii="Arial" w:hAnsi="Arial" w:cs="Arial"/>
          <w:b/>
          <w:noProof/>
          <w:sz w:val="20"/>
        </w:rPr>
      </w:pPr>
    </w:p>
    <w:p w14:paraId="5017D89E" w14:textId="3DDDF533" w:rsidR="00943B8F" w:rsidRDefault="00943B8F" w:rsidP="00C33B6D">
      <w:pPr>
        <w:pStyle w:val="paragraph"/>
        <w:ind w:left="360"/>
        <w:jc w:val="center"/>
        <w:textAlignment w:val="baseline"/>
        <w:rPr>
          <w:rFonts w:ascii="Arial" w:hAnsi="Arial" w:cs="Arial"/>
          <w:b/>
          <w:noProof/>
          <w:sz w:val="20"/>
        </w:rPr>
      </w:pPr>
    </w:p>
    <w:p w14:paraId="07146A2A" w14:textId="35398F6C" w:rsidR="00943B8F" w:rsidRDefault="00943B8F" w:rsidP="00C33B6D">
      <w:pPr>
        <w:pStyle w:val="paragraph"/>
        <w:ind w:left="360"/>
        <w:jc w:val="center"/>
        <w:textAlignment w:val="baseline"/>
        <w:rPr>
          <w:rFonts w:ascii="Arial" w:hAnsi="Arial" w:cs="Arial"/>
          <w:b/>
          <w:noProof/>
          <w:sz w:val="20"/>
        </w:rPr>
      </w:pPr>
    </w:p>
    <w:p w14:paraId="7C3FE49E" w14:textId="0D7864BE" w:rsidR="00943B8F" w:rsidRDefault="00943B8F" w:rsidP="00C33B6D">
      <w:pPr>
        <w:pStyle w:val="paragraph"/>
        <w:ind w:left="360"/>
        <w:jc w:val="center"/>
        <w:textAlignment w:val="baseline"/>
        <w:rPr>
          <w:rFonts w:ascii="Arial" w:hAnsi="Arial" w:cs="Arial"/>
          <w:b/>
          <w:noProof/>
          <w:sz w:val="20"/>
        </w:rPr>
      </w:pPr>
    </w:p>
    <w:p w14:paraId="5EBD73D6" w14:textId="77777777" w:rsidR="00943B8F" w:rsidRPr="00C33B6D" w:rsidRDefault="00943B8F" w:rsidP="00C33B6D">
      <w:pPr>
        <w:pStyle w:val="paragraph"/>
        <w:ind w:left="360"/>
        <w:jc w:val="center"/>
        <w:textAlignment w:val="baseline"/>
        <w:rPr>
          <w:rFonts w:ascii="Arial" w:hAnsi="Arial" w:cs="Arial"/>
          <w:b/>
          <w:noProof/>
          <w:sz w:val="20"/>
        </w:rPr>
      </w:pPr>
    </w:p>
    <w:p w14:paraId="5E3BBF32" w14:textId="77777777" w:rsidR="0000590F" w:rsidRPr="0000590F" w:rsidRDefault="0000590F" w:rsidP="0000590F">
      <w:pPr>
        <w:pStyle w:val="paragraph"/>
        <w:ind w:left="720"/>
        <w:textAlignment w:val="baseline"/>
        <w:rPr>
          <w:rStyle w:val="normaltextrun1"/>
          <w:rFonts w:ascii="Arial" w:hAnsi="Arial" w:cs="Arial"/>
          <w:sz w:val="22"/>
          <w:szCs w:val="20"/>
        </w:rPr>
      </w:pPr>
    </w:p>
    <w:p w14:paraId="0182367B" w14:textId="0D215EAA" w:rsidR="005416A2" w:rsidRPr="00BA6697" w:rsidRDefault="00560569" w:rsidP="00C33B6D">
      <w:pPr>
        <w:pStyle w:val="paragraph"/>
        <w:numPr>
          <w:ilvl w:val="0"/>
          <w:numId w:val="3"/>
        </w:numPr>
        <w:textAlignment w:val="baseline"/>
        <w:rPr>
          <w:rStyle w:val="normaltextrun1"/>
          <w:rFonts w:ascii="Arial" w:hAnsi="Arial" w:cs="Arial"/>
          <w:sz w:val="22"/>
          <w:szCs w:val="20"/>
        </w:rPr>
      </w:pPr>
      <w:r w:rsidRPr="00BA6697">
        <w:rPr>
          <w:rFonts w:ascii="Arial" w:hAnsi="Arial" w:cs="Arial"/>
          <w:noProof/>
          <w:sz w:val="28"/>
        </w:rPr>
        <w:lastRenderedPageBreak/>
        <w:drawing>
          <wp:anchor distT="0" distB="0" distL="114300" distR="114300" simplePos="0" relativeHeight="251658241" behindDoc="0" locked="0" layoutInCell="1" allowOverlap="1" wp14:anchorId="67AAAC88" wp14:editId="5924E11D">
            <wp:simplePos x="0" y="0"/>
            <wp:positionH relativeFrom="column">
              <wp:posOffset>247650</wp:posOffset>
            </wp:positionH>
            <wp:positionV relativeFrom="paragraph">
              <wp:posOffset>19050</wp:posOffset>
            </wp:positionV>
            <wp:extent cx="3584448" cy="4663440"/>
            <wp:effectExtent l="19050" t="19050" r="16510" b="2286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ivermudflat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84448" cy="466344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16A2" w:rsidRPr="00BA6697">
        <w:rPr>
          <w:rStyle w:val="normaltextrun1"/>
          <w:rFonts w:ascii="Arial" w:hAnsi="Arial" w:cs="Arial"/>
          <w:sz w:val="22"/>
          <w:szCs w:val="20"/>
        </w:rPr>
        <w:t xml:space="preserve">Parcel lines </w:t>
      </w:r>
      <w:r w:rsidR="00DA6325">
        <w:rPr>
          <w:rStyle w:val="normaltextrun1"/>
          <w:rFonts w:ascii="Arial" w:hAnsi="Arial" w:cs="Arial"/>
          <w:sz w:val="22"/>
          <w:szCs w:val="20"/>
        </w:rPr>
        <w:t xml:space="preserve">are assumed to </w:t>
      </w:r>
      <w:r w:rsidR="005416A2" w:rsidRPr="00BA6697">
        <w:rPr>
          <w:rStyle w:val="normaltextrun1"/>
          <w:rFonts w:ascii="Arial" w:hAnsi="Arial" w:cs="Arial"/>
          <w:sz w:val="22"/>
          <w:szCs w:val="20"/>
        </w:rPr>
        <w:t>stop when they reach a river/stream shown on the NOAA chart that cuts through the intertidal (Figure 3).</w:t>
      </w:r>
    </w:p>
    <w:p w14:paraId="40581BEB" w14:textId="77777777" w:rsidR="00F61F64" w:rsidRPr="00BA6697" w:rsidRDefault="00F61F64" w:rsidP="00C33B6D">
      <w:pPr>
        <w:pStyle w:val="paragraph"/>
        <w:textAlignment w:val="baseline"/>
        <w:rPr>
          <w:rFonts w:ascii="Calibri" w:hAnsi="Calibri" w:cs="Calibri"/>
          <w:szCs w:val="22"/>
        </w:rPr>
      </w:pPr>
    </w:p>
    <w:p w14:paraId="0A4B14C0" w14:textId="7CB3EE12" w:rsidR="00255645" w:rsidRDefault="002342D3" w:rsidP="00C33B6D">
      <w:pPr>
        <w:pStyle w:val="paragraph"/>
        <w:numPr>
          <w:ilvl w:val="0"/>
          <w:numId w:val="3"/>
        </w:numPr>
        <w:rPr>
          <w:rStyle w:val="normaltextrun1"/>
          <w:rFonts w:ascii="Arial" w:eastAsia="Arial" w:hAnsi="Arial" w:cs="Arial"/>
          <w:sz w:val="22"/>
          <w:szCs w:val="22"/>
        </w:rPr>
      </w:pPr>
      <w:r w:rsidRPr="109864C2">
        <w:rPr>
          <w:rFonts w:ascii="Arial" w:eastAsia="Arial" w:hAnsi="Arial" w:cs="Arial"/>
          <w:sz w:val="22"/>
          <w:szCs w:val="22"/>
        </w:rPr>
        <w:t>In cases where it is difficult to determine if a parcel should be notified, MDMR</w:t>
      </w:r>
      <w:r w:rsidR="008B344F">
        <w:rPr>
          <w:rFonts w:ascii="Arial" w:eastAsia="Arial" w:hAnsi="Arial" w:cs="Arial"/>
          <w:sz w:val="22"/>
          <w:szCs w:val="22"/>
        </w:rPr>
        <w:t xml:space="preserve">/LPA applicants </w:t>
      </w:r>
      <w:r w:rsidR="008B344F" w:rsidRPr="109864C2">
        <w:rPr>
          <w:rFonts w:ascii="Arial" w:eastAsia="Arial" w:hAnsi="Arial" w:cs="Arial"/>
          <w:sz w:val="22"/>
          <w:szCs w:val="22"/>
        </w:rPr>
        <w:t>will</w:t>
      </w:r>
      <w:r w:rsidRPr="109864C2">
        <w:rPr>
          <w:rFonts w:ascii="Arial" w:eastAsia="Arial" w:hAnsi="Arial" w:cs="Arial"/>
          <w:sz w:val="22"/>
          <w:szCs w:val="22"/>
        </w:rPr>
        <w:t xml:space="preserve"> err on the side of caution and require notification.</w:t>
      </w:r>
      <w:r w:rsidRPr="109864C2">
        <w:rPr>
          <w:rStyle w:val="normaltextrun1"/>
          <w:rFonts w:ascii="Arial" w:eastAsia="Arial" w:hAnsi="Arial" w:cs="Arial"/>
          <w:sz w:val="22"/>
          <w:szCs w:val="22"/>
        </w:rPr>
        <w:t xml:space="preserve"> </w:t>
      </w:r>
      <w:r w:rsidR="6D648E5E" w:rsidRPr="109864C2">
        <w:rPr>
          <w:rStyle w:val="normaltextrun1"/>
          <w:rFonts w:ascii="Arial" w:eastAsia="Arial" w:hAnsi="Arial" w:cs="Arial"/>
          <w:sz w:val="22"/>
          <w:szCs w:val="22"/>
        </w:rPr>
        <w:t>F</w:t>
      </w:r>
      <w:r w:rsidR="5C706DF5" w:rsidRPr="109864C2">
        <w:rPr>
          <w:rStyle w:val="normaltextrun1"/>
          <w:rFonts w:ascii="Arial" w:eastAsia="Arial" w:hAnsi="Arial" w:cs="Arial"/>
          <w:sz w:val="22"/>
          <w:szCs w:val="22"/>
        </w:rPr>
        <w:t xml:space="preserve">ailing to provide notice can result in </w:t>
      </w:r>
      <w:r w:rsidR="75C9BFA1" w:rsidRPr="109864C2">
        <w:rPr>
          <w:rStyle w:val="normaltextrun1"/>
          <w:rFonts w:ascii="Arial" w:eastAsia="Arial" w:hAnsi="Arial" w:cs="Arial"/>
          <w:sz w:val="22"/>
          <w:szCs w:val="22"/>
        </w:rPr>
        <w:t xml:space="preserve">having to start </w:t>
      </w:r>
      <w:r w:rsidR="2686D6CB" w:rsidRPr="109864C2">
        <w:rPr>
          <w:rStyle w:val="normaltextrun1"/>
          <w:rFonts w:ascii="Arial" w:eastAsia="Arial" w:hAnsi="Arial" w:cs="Arial"/>
          <w:sz w:val="22"/>
          <w:szCs w:val="22"/>
        </w:rPr>
        <w:t>the application process over</w:t>
      </w:r>
      <w:r w:rsidR="5AE66CB6" w:rsidRPr="109864C2">
        <w:rPr>
          <w:rStyle w:val="normaltextrun1"/>
          <w:rFonts w:ascii="Arial" w:eastAsia="Arial" w:hAnsi="Arial" w:cs="Arial"/>
          <w:sz w:val="22"/>
          <w:szCs w:val="22"/>
        </w:rPr>
        <w:t>, which can create</w:t>
      </w:r>
      <w:r w:rsidR="008B344F">
        <w:rPr>
          <w:rStyle w:val="normaltextrun1"/>
          <w:rFonts w:ascii="Arial" w:eastAsia="Arial" w:hAnsi="Arial" w:cs="Arial"/>
          <w:sz w:val="22"/>
          <w:szCs w:val="22"/>
        </w:rPr>
        <w:t xml:space="preserve"> significant processing</w:t>
      </w:r>
      <w:r w:rsidR="5AE66CB6" w:rsidRPr="109864C2">
        <w:rPr>
          <w:rStyle w:val="normaltextrun1"/>
          <w:rFonts w:ascii="Arial" w:eastAsia="Arial" w:hAnsi="Arial" w:cs="Arial"/>
          <w:sz w:val="22"/>
          <w:szCs w:val="22"/>
        </w:rPr>
        <w:t xml:space="preserve"> delays</w:t>
      </w:r>
      <w:r w:rsidR="2686D6CB" w:rsidRPr="109864C2">
        <w:rPr>
          <w:rStyle w:val="normaltextrun1"/>
          <w:rFonts w:ascii="Arial" w:eastAsia="Arial" w:hAnsi="Arial" w:cs="Arial"/>
          <w:sz w:val="22"/>
          <w:szCs w:val="22"/>
        </w:rPr>
        <w:t xml:space="preserve">. </w:t>
      </w:r>
    </w:p>
    <w:p w14:paraId="2F1EAA98" w14:textId="4683440A" w:rsidR="00946764" w:rsidRDefault="00946764" w:rsidP="00946764">
      <w:pPr>
        <w:pStyle w:val="paragraph"/>
        <w:rPr>
          <w:rStyle w:val="normaltextrun1"/>
          <w:rFonts w:ascii="Arial" w:eastAsia="Arial" w:hAnsi="Arial" w:cs="Arial"/>
          <w:sz w:val="22"/>
          <w:szCs w:val="20"/>
        </w:rPr>
      </w:pPr>
    </w:p>
    <w:p w14:paraId="48BDBCE9" w14:textId="77777777" w:rsidR="00946764" w:rsidRDefault="00946764" w:rsidP="00946764">
      <w:pPr>
        <w:pStyle w:val="paragraph"/>
        <w:rPr>
          <w:rStyle w:val="normaltextrun1"/>
          <w:rFonts w:ascii="Arial" w:eastAsia="Arial" w:hAnsi="Arial" w:cs="Arial"/>
          <w:b/>
          <w:sz w:val="20"/>
          <w:szCs w:val="20"/>
        </w:rPr>
      </w:pPr>
    </w:p>
    <w:p w14:paraId="066A8154" w14:textId="77777777" w:rsidR="00946764" w:rsidRDefault="00946764" w:rsidP="00946764">
      <w:pPr>
        <w:pStyle w:val="paragraph"/>
        <w:rPr>
          <w:rStyle w:val="normaltextrun1"/>
          <w:rFonts w:ascii="Arial" w:eastAsia="Arial" w:hAnsi="Arial" w:cs="Arial"/>
          <w:b/>
          <w:sz w:val="20"/>
          <w:szCs w:val="20"/>
        </w:rPr>
      </w:pPr>
    </w:p>
    <w:p w14:paraId="1CE9BD66" w14:textId="77777777" w:rsidR="00946764" w:rsidRDefault="00946764" w:rsidP="00946764">
      <w:pPr>
        <w:pStyle w:val="paragraph"/>
        <w:rPr>
          <w:rStyle w:val="normaltextrun1"/>
          <w:rFonts w:ascii="Arial" w:eastAsia="Arial" w:hAnsi="Arial" w:cs="Arial"/>
          <w:b/>
          <w:sz w:val="20"/>
          <w:szCs w:val="20"/>
        </w:rPr>
      </w:pPr>
    </w:p>
    <w:p w14:paraId="63ADD979" w14:textId="77777777" w:rsidR="00946764" w:rsidRDefault="00946764" w:rsidP="00946764">
      <w:pPr>
        <w:pStyle w:val="paragraph"/>
        <w:rPr>
          <w:rStyle w:val="normaltextrun1"/>
          <w:rFonts w:ascii="Arial" w:eastAsia="Arial" w:hAnsi="Arial" w:cs="Arial"/>
          <w:b/>
          <w:sz w:val="20"/>
          <w:szCs w:val="20"/>
        </w:rPr>
      </w:pPr>
    </w:p>
    <w:p w14:paraId="136B67E3" w14:textId="77777777" w:rsidR="00946764" w:rsidRDefault="00946764" w:rsidP="00946764">
      <w:pPr>
        <w:pStyle w:val="paragraph"/>
        <w:rPr>
          <w:rStyle w:val="normaltextrun1"/>
          <w:rFonts w:ascii="Arial" w:eastAsia="Arial" w:hAnsi="Arial" w:cs="Arial"/>
          <w:b/>
          <w:sz w:val="20"/>
          <w:szCs w:val="20"/>
        </w:rPr>
      </w:pPr>
    </w:p>
    <w:p w14:paraId="4E4D823D" w14:textId="77777777" w:rsidR="00946764" w:rsidRDefault="00946764" w:rsidP="00946764">
      <w:pPr>
        <w:pStyle w:val="paragraph"/>
        <w:rPr>
          <w:rStyle w:val="normaltextrun1"/>
          <w:rFonts w:ascii="Arial" w:eastAsia="Arial" w:hAnsi="Arial" w:cs="Arial"/>
          <w:b/>
          <w:sz w:val="20"/>
          <w:szCs w:val="20"/>
        </w:rPr>
      </w:pPr>
    </w:p>
    <w:p w14:paraId="68A71D41" w14:textId="77777777" w:rsidR="00946764" w:rsidRDefault="00946764" w:rsidP="00946764">
      <w:pPr>
        <w:pStyle w:val="paragraph"/>
        <w:rPr>
          <w:rStyle w:val="normaltextrun1"/>
          <w:rFonts w:ascii="Arial" w:eastAsia="Arial" w:hAnsi="Arial" w:cs="Arial"/>
          <w:b/>
          <w:sz w:val="20"/>
          <w:szCs w:val="20"/>
        </w:rPr>
      </w:pPr>
    </w:p>
    <w:p w14:paraId="7F3E6710" w14:textId="77777777" w:rsidR="00946764" w:rsidRDefault="00946764" w:rsidP="00946764">
      <w:pPr>
        <w:pStyle w:val="paragraph"/>
        <w:rPr>
          <w:rStyle w:val="normaltextrun1"/>
          <w:rFonts w:ascii="Arial" w:eastAsia="Arial" w:hAnsi="Arial" w:cs="Arial"/>
          <w:b/>
          <w:sz w:val="20"/>
          <w:szCs w:val="20"/>
        </w:rPr>
      </w:pPr>
    </w:p>
    <w:p w14:paraId="0ACAE41A" w14:textId="77777777" w:rsidR="00946764" w:rsidRDefault="00946764" w:rsidP="00946764">
      <w:pPr>
        <w:pStyle w:val="paragraph"/>
        <w:rPr>
          <w:rStyle w:val="normaltextrun1"/>
          <w:rFonts w:ascii="Arial" w:eastAsia="Arial" w:hAnsi="Arial" w:cs="Arial"/>
          <w:b/>
          <w:sz w:val="20"/>
          <w:szCs w:val="20"/>
        </w:rPr>
      </w:pPr>
    </w:p>
    <w:p w14:paraId="46B607EA" w14:textId="77777777" w:rsidR="00946764" w:rsidRDefault="00946764" w:rsidP="00946764">
      <w:pPr>
        <w:pStyle w:val="paragraph"/>
        <w:rPr>
          <w:rStyle w:val="normaltextrun1"/>
          <w:rFonts w:ascii="Arial" w:eastAsia="Arial" w:hAnsi="Arial" w:cs="Arial"/>
          <w:b/>
          <w:sz w:val="20"/>
          <w:szCs w:val="20"/>
        </w:rPr>
      </w:pPr>
    </w:p>
    <w:p w14:paraId="39E931AF" w14:textId="77777777" w:rsidR="00946764" w:rsidRDefault="00946764" w:rsidP="00946764">
      <w:pPr>
        <w:pStyle w:val="paragraph"/>
        <w:rPr>
          <w:rStyle w:val="normaltextrun1"/>
          <w:rFonts w:ascii="Arial" w:eastAsia="Arial" w:hAnsi="Arial" w:cs="Arial"/>
          <w:b/>
          <w:sz w:val="20"/>
          <w:szCs w:val="20"/>
        </w:rPr>
      </w:pPr>
    </w:p>
    <w:p w14:paraId="764829F6" w14:textId="77777777" w:rsidR="00946764" w:rsidRDefault="00946764" w:rsidP="00946764">
      <w:pPr>
        <w:pStyle w:val="paragraph"/>
        <w:rPr>
          <w:rStyle w:val="normaltextrun1"/>
          <w:rFonts w:ascii="Arial" w:eastAsia="Arial" w:hAnsi="Arial" w:cs="Arial"/>
          <w:b/>
          <w:sz w:val="20"/>
          <w:szCs w:val="20"/>
        </w:rPr>
      </w:pPr>
    </w:p>
    <w:p w14:paraId="685F58BC" w14:textId="77777777" w:rsidR="00946764" w:rsidRDefault="00946764" w:rsidP="00946764">
      <w:pPr>
        <w:pStyle w:val="paragraph"/>
        <w:rPr>
          <w:rStyle w:val="normaltextrun1"/>
          <w:rFonts w:ascii="Arial" w:eastAsia="Arial" w:hAnsi="Arial" w:cs="Arial"/>
          <w:b/>
          <w:sz w:val="20"/>
          <w:szCs w:val="20"/>
        </w:rPr>
      </w:pPr>
    </w:p>
    <w:p w14:paraId="34D5FDAA" w14:textId="29276BCD" w:rsidR="00946764" w:rsidRPr="00946764" w:rsidRDefault="00946764" w:rsidP="00946764">
      <w:pPr>
        <w:pStyle w:val="paragraph"/>
        <w:ind w:right="3780" w:firstLine="450"/>
        <w:jc w:val="center"/>
        <w:rPr>
          <w:rStyle w:val="eop"/>
          <w:rFonts w:ascii="Arial" w:eastAsia="Arial" w:hAnsi="Arial" w:cs="Arial"/>
          <w:b/>
          <w:sz w:val="20"/>
          <w:szCs w:val="20"/>
        </w:rPr>
      </w:pPr>
      <w:r w:rsidRPr="00946764">
        <w:rPr>
          <w:rStyle w:val="normaltextrun1"/>
          <w:rFonts w:ascii="Arial" w:eastAsia="Arial" w:hAnsi="Arial" w:cs="Arial"/>
          <w:b/>
          <w:sz w:val="20"/>
          <w:szCs w:val="20"/>
        </w:rPr>
        <w:t>Figure 3</w:t>
      </w:r>
    </w:p>
    <w:sectPr w:rsidR="00946764" w:rsidRPr="009467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D6775"/>
    <w:multiLevelType w:val="hybridMultilevel"/>
    <w:tmpl w:val="574435FC"/>
    <w:lvl w:ilvl="0" w:tplc="03DEC754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BE25B5D"/>
    <w:multiLevelType w:val="hybridMultilevel"/>
    <w:tmpl w:val="747AFF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EFB13CF"/>
    <w:multiLevelType w:val="hybridMultilevel"/>
    <w:tmpl w:val="32F0A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74790D"/>
    <w:multiLevelType w:val="multilevel"/>
    <w:tmpl w:val="89423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8DE2054"/>
    <w:multiLevelType w:val="hybridMultilevel"/>
    <w:tmpl w:val="CCD6DC30"/>
    <w:lvl w:ilvl="0" w:tplc="F69671EC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90B"/>
    <w:rsid w:val="0000590F"/>
    <w:rsid w:val="00026554"/>
    <w:rsid w:val="000364C8"/>
    <w:rsid w:val="00055DAB"/>
    <w:rsid w:val="00071CF5"/>
    <w:rsid w:val="000A3290"/>
    <w:rsid w:val="000C02E0"/>
    <w:rsid w:val="000D3E39"/>
    <w:rsid w:val="000D5442"/>
    <w:rsid w:val="00163FF7"/>
    <w:rsid w:val="001A56C1"/>
    <w:rsid w:val="001F6F98"/>
    <w:rsid w:val="00216247"/>
    <w:rsid w:val="002342D3"/>
    <w:rsid w:val="00255645"/>
    <w:rsid w:val="00264678"/>
    <w:rsid w:val="002B72B3"/>
    <w:rsid w:val="002E795F"/>
    <w:rsid w:val="00315BA4"/>
    <w:rsid w:val="00321D50"/>
    <w:rsid w:val="00346F1B"/>
    <w:rsid w:val="0036541C"/>
    <w:rsid w:val="003A3E10"/>
    <w:rsid w:val="003C3963"/>
    <w:rsid w:val="00405B95"/>
    <w:rsid w:val="00437FD7"/>
    <w:rsid w:val="004526FC"/>
    <w:rsid w:val="00473FE3"/>
    <w:rsid w:val="00482A60"/>
    <w:rsid w:val="004863CB"/>
    <w:rsid w:val="004E3786"/>
    <w:rsid w:val="0052083A"/>
    <w:rsid w:val="005416A2"/>
    <w:rsid w:val="00557324"/>
    <w:rsid w:val="00560569"/>
    <w:rsid w:val="005A21C3"/>
    <w:rsid w:val="005B357D"/>
    <w:rsid w:val="005B703D"/>
    <w:rsid w:val="005E2E5A"/>
    <w:rsid w:val="0062051D"/>
    <w:rsid w:val="006C4805"/>
    <w:rsid w:val="006C730A"/>
    <w:rsid w:val="006D6FC0"/>
    <w:rsid w:val="006F5CB0"/>
    <w:rsid w:val="00700AF2"/>
    <w:rsid w:val="0073597F"/>
    <w:rsid w:val="00762FD2"/>
    <w:rsid w:val="00770E35"/>
    <w:rsid w:val="0078617A"/>
    <w:rsid w:val="007B332E"/>
    <w:rsid w:val="007C1CCE"/>
    <w:rsid w:val="007D62AA"/>
    <w:rsid w:val="007D6E4A"/>
    <w:rsid w:val="00810B1E"/>
    <w:rsid w:val="00841758"/>
    <w:rsid w:val="00857395"/>
    <w:rsid w:val="00881837"/>
    <w:rsid w:val="008A61CF"/>
    <w:rsid w:val="008B0657"/>
    <w:rsid w:val="008B344F"/>
    <w:rsid w:val="008B4F6A"/>
    <w:rsid w:val="008B702E"/>
    <w:rsid w:val="008C170D"/>
    <w:rsid w:val="008C6A81"/>
    <w:rsid w:val="008D644B"/>
    <w:rsid w:val="00915D17"/>
    <w:rsid w:val="00932A8F"/>
    <w:rsid w:val="00943B8F"/>
    <w:rsid w:val="00946764"/>
    <w:rsid w:val="00946FFE"/>
    <w:rsid w:val="00984DF6"/>
    <w:rsid w:val="009E0488"/>
    <w:rsid w:val="00A55450"/>
    <w:rsid w:val="00A763B1"/>
    <w:rsid w:val="00A845C0"/>
    <w:rsid w:val="00A9190B"/>
    <w:rsid w:val="00B61AEB"/>
    <w:rsid w:val="00B86D02"/>
    <w:rsid w:val="00BA6697"/>
    <w:rsid w:val="00BE7803"/>
    <w:rsid w:val="00C10E41"/>
    <w:rsid w:val="00C33B6D"/>
    <w:rsid w:val="00C35D85"/>
    <w:rsid w:val="00C717E3"/>
    <w:rsid w:val="00C84F9F"/>
    <w:rsid w:val="00CD3055"/>
    <w:rsid w:val="00CE03C5"/>
    <w:rsid w:val="00D344DD"/>
    <w:rsid w:val="00D43F2D"/>
    <w:rsid w:val="00D836F9"/>
    <w:rsid w:val="00D9228A"/>
    <w:rsid w:val="00DA6325"/>
    <w:rsid w:val="00DC234F"/>
    <w:rsid w:val="00E917FC"/>
    <w:rsid w:val="00EA544F"/>
    <w:rsid w:val="00F27B8F"/>
    <w:rsid w:val="00F45EDE"/>
    <w:rsid w:val="00F61F64"/>
    <w:rsid w:val="00F9109D"/>
    <w:rsid w:val="00FA70CB"/>
    <w:rsid w:val="00FC4338"/>
    <w:rsid w:val="00FD5812"/>
    <w:rsid w:val="00FE69E1"/>
    <w:rsid w:val="0115C37C"/>
    <w:rsid w:val="057BC230"/>
    <w:rsid w:val="0825307B"/>
    <w:rsid w:val="0E0420C2"/>
    <w:rsid w:val="109864C2"/>
    <w:rsid w:val="11F9D811"/>
    <w:rsid w:val="1C886D43"/>
    <w:rsid w:val="1F15607F"/>
    <w:rsid w:val="1F403970"/>
    <w:rsid w:val="20E5C5AE"/>
    <w:rsid w:val="231948D4"/>
    <w:rsid w:val="23755F42"/>
    <w:rsid w:val="24607EF3"/>
    <w:rsid w:val="2686D6CB"/>
    <w:rsid w:val="2B044C48"/>
    <w:rsid w:val="36EB7463"/>
    <w:rsid w:val="406F2473"/>
    <w:rsid w:val="41AC9FB1"/>
    <w:rsid w:val="423059CA"/>
    <w:rsid w:val="42A4633B"/>
    <w:rsid w:val="44DEB244"/>
    <w:rsid w:val="4D3314B1"/>
    <w:rsid w:val="4F8F57B1"/>
    <w:rsid w:val="52A6B3DF"/>
    <w:rsid w:val="550A80F7"/>
    <w:rsid w:val="556B150D"/>
    <w:rsid w:val="595B05BC"/>
    <w:rsid w:val="597647E2"/>
    <w:rsid w:val="5A54D214"/>
    <w:rsid w:val="5AE66CB6"/>
    <w:rsid w:val="5C706DF5"/>
    <w:rsid w:val="665ADC60"/>
    <w:rsid w:val="6AEA79D2"/>
    <w:rsid w:val="6D648E5E"/>
    <w:rsid w:val="6D973C1C"/>
    <w:rsid w:val="6F54E0D4"/>
    <w:rsid w:val="748EFB52"/>
    <w:rsid w:val="74E92FB5"/>
    <w:rsid w:val="753429A6"/>
    <w:rsid w:val="75C9BFA1"/>
    <w:rsid w:val="7864A561"/>
    <w:rsid w:val="7916C670"/>
    <w:rsid w:val="799B5C88"/>
    <w:rsid w:val="7D52B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343F1"/>
  <w15:chartTrackingRefBased/>
  <w15:docId w15:val="{A12FA29F-0B94-4E32-82BC-0975FD12A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A919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1">
    <w:name w:val="normaltextrun1"/>
    <w:basedOn w:val="DefaultParagraphFont"/>
    <w:rsid w:val="00A9190B"/>
  </w:style>
  <w:style w:type="character" w:customStyle="1" w:styleId="eop">
    <w:name w:val="eop"/>
    <w:basedOn w:val="DefaultParagraphFont"/>
    <w:rsid w:val="00A9190B"/>
  </w:style>
  <w:style w:type="paragraph" w:styleId="BalloonText">
    <w:name w:val="Balloon Text"/>
    <w:basedOn w:val="Normal"/>
    <w:link w:val="BalloonTextChar"/>
    <w:uiPriority w:val="99"/>
    <w:semiHidden/>
    <w:unhideWhenUsed/>
    <w:rsid w:val="00A919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90B"/>
    <w:rPr>
      <w:rFonts w:ascii="Segoe UI" w:hAnsi="Segoe UI" w:cs="Segoe UI"/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5A21C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E69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69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69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69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69E1"/>
    <w:rPr>
      <w:b/>
      <w:bCs/>
      <w:sz w:val="20"/>
      <w:szCs w:val="20"/>
    </w:rPr>
  </w:style>
  <w:style w:type="paragraph" w:customStyle="1" w:styleId="Default">
    <w:name w:val="Default"/>
    <w:rsid w:val="009E04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932A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B72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72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0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30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95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0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09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674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53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770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647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62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381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8194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4188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363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4564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73081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43867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82058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69132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9708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94216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44399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294743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807396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755901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877536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79780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jpeg"/><Relationship Id="rId5" Type="http://schemas.openxmlformats.org/officeDocument/2006/relationships/numbering" Target="numbering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zbp xmlns="de52eb3d-35a3-4453-823b-7cb988251e4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2977E7AE522246AD198EF61191A485" ma:contentTypeVersion="11" ma:contentTypeDescription="Create a new document." ma:contentTypeScope="" ma:versionID="a87a8bb9eefbeba5af5f3625e8ae4c94">
  <xsd:schema xmlns:xsd="http://www.w3.org/2001/XMLSchema" xmlns:xs="http://www.w3.org/2001/XMLSchema" xmlns:p="http://schemas.microsoft.com/office/2006/metadata/properties" xmlns:ns2="de52eb3d-35a3-4453-823b-7cb988251e40" xmlns:ns3="4a77d6b0-f1a9-4394-9687-bd16961d8e58" targetNamespace="http://schemas.microsoft.com/office/2006/metadata/properties" ma:root="true" ma:fieldsID="e76b929f80e2e67f73e05f9fc6fefa00" ns2:_="" ns3:_="">
    <xsd:import namespace="de52eb3d-35a3-4453-823b-7cb988251e40"/>
    <xsd:import namespace="4a77d6b0-f1a9-4394-9687-bd16961d8e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izbp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52eb3d-35a3-4453-823b-7cb988251e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izbp" ma:index="17" nillable="true" ma:displayName="TEST" ma:internalName="izbp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77d6b0-f1a9-4394-9687-bd16961d8e5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BB4A4F-25A6-4CA5-8BD4-946CA3282446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de52eb3d-35a3-4453-823b-7cb988251e40"/>
    <ds:schemaRef ds:uri="http://purl.org/dc/elements/1.1/"/>
    <ds:schemaRef ds:uri="http://schemas.microsoft.com/office/2006/metadata/properties"/>
    <ds:schemaRef ds:uri="4a77d6b0-f1a9-4394-9687-bd16961d8e58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3D81C65-03C3-4C3B-B98B-848C5FE379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FED235-E066-4527-947E-6A6C51E2AA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52eb3d-35a3-4453-823b-7cb988251e40"/>
    <ds:schemaRef ds:uri="4a77d6b0-f1a9-4394-9687-bd16961d8e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4D6A542-5401-4030-B2D4-F762CD579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303</Words>
  <Characters>1732</Characters>
  <Application>Microsoft Office Word</Application>
  <DocSecurity>0</DocSecurity>
  <Lines>14</Lines>
  <Paragraphs>4</Paragraphs>
  <ScaleCrop>false</ScaleCrop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Drury, Flora M</dc:creator>
  <cp:keywords/>
  <dc:description/>
  <cp:lastModifiedBy>Ellis, Amanda</cp:lastModifiedBy>
  <cp:revision>6</cp:revision>
  <cp:lastPrinted>2022-01-14T14:04:00Z</cp:lastPrinted>
  <dcterms:created xsi:type="dcterms:W3CDTF">2022-01-14T13:49:00Z</dcterms:created>
  <dcterms:modified xsi:type="dcterms:W3CDTF">2023-02-09T14:59:00Z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0x0101007B2977E7AE522246AD198EF61191A485</vt:lpwstr>
  </property>
</Properties>
</file>