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6F" w:rsidRDefault="00AA256F" w:rsidP="00AA256F">
      <w:pPr>
        <w:rPr>
          <w:b/>
          <w:color w:val="4F6228" w:themeColor="accent3" w:themeShade="80"/>
          <w:spacing w:val="20"/>
          <w:sz w:val="28"/>
          <w:szCs w:val="28"/>
        </w:rPr>
      </w:pPr>
      <w:bookmarkStart w:id="0" w:name="_GoBack"/>
      <w:bookmarkEnd w:id="0"/>
      <w:r w:rsidRPr="00E167E7">
        <w:rPr>
          <w:b/>
          <w:spacing w:val="20"/>
          <w:sz w:val="28"/>
          <w:szCs w:val="28"/>
        </w:rPr>
        <w:t xml:space="preserve">MAINE HEALTH CARE INNOVATION MODEL: DRIVERS FOR </w:t>
      </w:r>
      <w:r w:rsidR="0020146D">
        <w:rPr>
          <w:b/>
          <w:spacing w:val="20"/>
          <w:sz w:val="28"/>
          <w:szCs w:val="28"/>
        </w:rPr>
        <w:t xml:space="preserve">SUSTAINABLE </w:t>
      </w:r>
      <w:r w:rsidR="0020146D" w:rsidRPr="00074DB1">
        <w:rPr>
          <w:b/>
          <w:color w:val="4F6228" w:themeColor="accent3" w:themeShade="80"/>
          <w:spacing w:val="20"/>
          <w:sz w:val="28"/>
          <w:szCs w:val="28"/>
        </w:rPr>
        <w:t>PAYMENT REFORM</w:t>
      </w:r>
    </w:p>
    <w:tbl>
      <w:tblPr>
        <w:tblStyle w:val="TableGrid"/>
        <w:tblW w:w="18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
        <w:gridCol w:w="6805"/>
        <w:gridCol w:w="236"/>
        <w:gridCol w:w="1834"/>
        <w:gridCol w:w="720"/>
        <w:gridCol w:w="672"/>
        <w:gridCol w:w="2096"/>
        <w:gridCol w:w="726"/>
        <w:gridCol w:w="2224"/>
        <w:gridCol w:w="720"/>
        <w:gridCol w:w="2079"/>
      </w:tblGrid>
      <w:tr w:rsidR="00E67910" w:rsidRPr="00EC7F6A" w:rsidTr="00B2408F">
        <w:tc>
          <w:tcPr>
            <w:tcW w:w="233" w:type="dxa"/>
          </w:tcPr>
          <w:p w:rsidR="00E67910" w:rsidRPr="00EC7F6A" w:rsidRDefault="00E67910" w:rsidP="00892EBA">
            <w:pPr>
              <w:rPr>
                <w:rFonts w:cstheme="minorHAnsi"/>
                <w:sz w:val="16"/>
                <w:szCs w:val="16"/>
              </w:rPr>
            </w:pPr>
          </w:p>
        </w:tc>
        <w:tc>
          <w:tcPr>
            <w:tcW w:w="6805" w:type="dxa"/>
            <w:shd w:val="clear" w:color="auto" w:fill="B8CCE4" w:themeFill="accent1" w:themeFillTint="66"/>
          </w:tcPr>
          <w:p w:rsidR="00E67910" w:rsidRPr="009276B0" w:rsidRDefault="00E67910" w:rsidP="00892EBA">
            <w:pPr>
              <w:rPr>
                <w:rFonts w:cstheme="minorHAnsi"/>
                <w:b/>
              </w:rPr>
            </w:pPr>
            <w:r w:rsidRPr="009276B0">
              <w:rPr>
                <w:rFonts w:cstheme="minorHAnsi"/>
                <w:b/>
              </w:rPr>
              <w:t>ACTIONS</w:t>
            </w:r>
          </w:p>
        </w:tc>
        <w:tc>
          <w:tcPr>
            <w:tcW w:w="236" w:type="dxa"/>
            <w:shd w:val="clear" w:color="auto" w:fill="B8CCE4" w:themeFill="accent1" w:themeFillTint="66"/>
          </w:tcPr>
          <w:p w:rsidR="00E67910" w:rsidRPr="009276B0" w:rsidRDefault="00E67910" w:rsidP="00892EBA">
            <w:pPr>
              <w:rPr>
                <w:rFonts w:cstheme="minorHAnsi"/>
                <w:b/>
              </w:rPr>
            </w:pPr>
          </w:p>
        </w:tc>
        <w:tc>
          <w:tcPr>
            <w:tcW w:w="1834" w:type="dxa"/>
            <w:shd w:val="clear" w:color="auto" w:fill="B8CCE4" w:themeFill="accent1" w:themeFillTint="66"/>
          </w:tcPr>
          <w:p w:rsidR="00E67910" w:rsidRPr="009276B0" w:rsidRDefault="00E67910" w:rsidP="00912C9F">
            <w:pPr>
              <w:jc w:val="center"/>
              <w:rPr>
                <w:rFonts w:cstheme="minorHAnsi"/>
                <w:b/>
              </w:rPr>
            </w:pPr>
          </w:p>
        </w:tc>
        <w:tc>
          <w:tcPr>
            <w:tcW w:w="720" w:type="dxa"/>
          </w:tcPr>
          <w:p w:rsidR="00E67910" w:rsidRPr="009276B0" w:rsidRDefault="00B2408F" w:rsidP="00892EBA">
            <w:pPr>
              <w:rPr>
                <w:rFonts w:cstheme="minorHAnsi"/>
                <w:b/>
              </w:rPr>
            </w:pPr>
            <w:r w:rsidRPr="00F42A9B">
              <w:rPr>
                <w:rFonts w:cstheme="minorHAnsi"/>
                <w:noProof/>
                <w:sz w:val="24"/>
                <w:szCs w:val="24"/>
              </w:rPr>
              <mc:AlternateContent>
                <mc:Choice Requires="wpg">
                  <w:drawing>
                    <wp:anchor distT="0" distB="0" distL="114300" distR="114300" simplePos="0" relativeHeight="251830272" behindDoc="0" locked="0" layoutInCell="1" allowOverlap="1" wp14:anchorId="68A28F6F" wp14:editId="3F657ADA">
                      <wp:simplePos x="0" y="0"/>
                      <wp:positionH relativeFrom="column">
                        <wp:posOffset>-57785</wp:posOffset>
                      </wp:positionH>
                      <wp:positionV relativeFrom="paragraph">
                        <wp:posOffset>200025</wp:posOffset>
                      </wp:positionV>
                      <wp:extent cx="571500" cy="4552950"/>
                      <wp:effectExtent l="57150" t="76200" r="57150" b="152400"/>
                      <wp:wrapNone/>
                      <wp:docPr id="2" name="Group 2"/>
                      <wp:cNvGraphicFramePr/>
                      <a:graphic xmlns:a="http://schemas.openxmlformats.org/drawingml/2006/main">
                        <a:graphicData uri="http://schemas.microsoft.com/office/word/2010/wordprocessingGroup">
                          <wpg:wgp>
                            <wpg:cNvGrpSpPr/>
                            <wpg:grpSpPr>
                              <a:xfrm>
                                <a:off x="0" y="0"/>
                                <a:ext cx="571500" cy="4552950"/>
                                <a:chOff x="0" y="0"/>
                                <a:chExt cx="571500" cy="4552950"/>
                              </a:xfrm>
                            </wpg:grpSpPr>
                            <wps:wsp>
                              <wps:cNvPr id="23" name="Straight Arrow Connector 23"/>
                              <wps:cNvCnPr/>
                              <wps:spPr>
                                <a:xfrm flipV="1">
                                  <a:off x="57150" y="253365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 name="Straight Arrow Connector 5"/>
                              <wps:cNvCnPr/>
                              <wps:spPr>
                                <a:xfrm flipV="1">
                                  <a:off x="57150" y="2724150"/>
                                  <a:ext cx="456565" cy="108839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2" name="Straight Arrow Connector 12"/>
                              <wps:cNvCnPr/>
                              <wps:spPr>
                                <a:xfrm flipV="1">
                                  <a:off x="11430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 name="Straight Arrow Connector 1"/>
                              <wps:cNvCnPr/>
                              <wps:spPr>
                                <a:xfrm>
                                  <a:off x="0" y="1238250"/>
                                  <a:ext cx="499745" cy="10464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 name="Straight Arrow Connector 27"/>
                              <wps:cNvCnPr/>
                              <wps:spPr>
                                <a:xfrm flipV="1">
                                  <a:off x="114300" y="455295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2" o:spid="_x0000_s1026" style="position:absolute;margin-left:-4.55pt;margin-top:15.75pt;width:45pt;height:358.5pt;z-index:251830272" coordsize="5715,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">
                      <v:shapetype id="_x0000_t32" coordsize="21600,21600" o:spt="32" o:oned="t" path="m,l21600,21600e" filled="f">
                        <v:path arrowok="t" fillok="f" o:connecttype="none"/>
                        <o:lock v:ext="edit" shapetype="t"/>
                      </v:shapetype>
                      <v:shape id="Straight Arrow Connector 23" o:spid="_x0000_s1027" type="#_x0000_t32" style="position:absolute;left:571;top:25336;width:457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oZRsUAAADbAAAADwAAAGRycy9kb3ducmV2LnhtbESPQWvCQBSE7wX/w/IEb3Wj0iKpq4ig&#10;8VCssT14fGRfk2D2bciuMfHXu0Khx2FmvmEWq85UoqXGlZYVTMYRCOLM6pJzBT/f29c5COeRNVaW&#10;SUFPDlbLwcsCY21vnFJ78rkIEHYxKii8r2MpXVaQQTe2NXHwfm1j0AfZ5FI3eAtwU8lpFL1LgyWH&#10;hQJr2hSUXU5XoyBPzfmY9P1XvzvfD5+tSd58lyg1GnbrDxCeOv8f/mvvtYLp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oZRsUAAADbAAAADwAAAAAAAAAA&#10;AAAAAAChAgAAZHJzL2Rvd25yZXYueG1sUEsFBgAAAAAEAAQA+QAAAJMDAAAAAA==&#10;" strokecolor="#4f81bd [3204]" strokeweight="2pt">
                        <v:stroke endarrow="open"/>
                        <v:shadow on="t" color="black" opacity="24903f" origin=",.5" offset="0,.55556mm"/>
                      </v:shape>
                      <v:shape id="Straight Arrow Connector 5" o:spid="_x0000_s1028" type="#_x0000_t32" style="position:absolute;left:571;top:27241;width:4566;height:108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g8QAAADaAAAADwAAAGRycy9kb3ducmV2LnhtbESPQWvCQBSE74X+h+UVvNWNgiFEVxFL&#10;QSqF1PSgt0f2mQSzb0N2m8T+elco9DjMzDfMajOaRvTUudqygtk0AkFcWF1zqeA7f39NQDiPrLGx&#10;TApu5GCzfn5aYartwF/UH30pAoRdigoq79tUSldUZNBNbUscvIvtDPogu1LqDocAN42cR1EsDdYc&#10;FipsaVdRcT3+GAVZ1A9J/XHI40u8PfHbZ3nOfzOlJi/jdgnC0+j/w3/tvVawgMeVc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f66DxAAAANoAAAAPAAAAAAAAAAAA&#10;AAAAAKECAABkcnMvZG93bnJldi54bWxQSwUGAAAAAAQABAD5AAAAkgMAAAAA&#10;" strokecolor="#4f81bd" strokeweight="2pt">
                        <v:stroke endarrow="open"/>
                        <v:shadow on="t" color="black" opacity="24903f" origin=",.5" offset="0,.55556mm"/>
                      </v:shape>
                      <v:shape id="Straight Arrow Connector 12" o:spid="_x0000_s1029" type="#_x0000_t32" style="position:absolute;left:1143;width:457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p2YMEAAADbAAAADwAAAGRycy9kb3ducmV2LnhtbERPS4vCMBC+C/sfwizsTVOFFalGEWG3&#10;exDfB49DM7bFZlKabG399UYQvM3H95zZojWlaKh2hWUFw0EEgji1uuBMwen405+AcB5ZY2mZFHTk&#10;YDH/6M0w1vbGe2oOPhMhhF2MCnLvq1hKl+Zk0A1sRRy4i60N+gDrTOoabyHclHIURWNpsODQkGNF&#10;q5zS6+HfKMj25rxLum7b/Z7vm3Vjkm/fJkp9fbbLKQhPrX+LX+4/HeaP4PlLO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enZgwQAAANsAAAAPAAAAAAAAAAAAAAAA&#10;AKECAABkcnMvZG93bnJldi54bWxQSwUGAAAAAAQABAD5AAAAjwMAAAAA&#10;" strokecolor="#4f81bd [3204]" strokeweight="2pt">
                        <v:stroke endarrow="open"/>
                        <v:shadow on="t" color="black" opacity="24903f" origin=",.5" offset="0,.55556mm"/>
                      </v:shape>
                      <v:shape id="Straight Arrow Connector 1" o:spid="_x0000_s1030" type="#_x0000_t32" style="position:absolute;top:12382;width:4997;height:10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KjL4AAADaAAAADwAAAGRycy9kb3ducmV2LnhtbERP24rCMBB9F/yHMIJvmiooSzWKiMLC&#10;6oK397EZ22ozKUnU+vcbYcGn4XCuM503phIPcr60rGDQT0AQZ1aXnCs4Hta9LxA+IGusLJOCF3mY&#10;z9qtKabaPnlHj33IRQxhn6KCIoQ6ldJnBRn0fVsTR+5incEQoculdviM4aaSwyQZS4Mlx4YCa1oW&#10;lN32d6NgtHK7RX3dHH5Pzq/vtjy77fVHqW6nWUxABGrCR/zv/tZxPrxfeV8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4gqMvgAAANoAAAAPAAAAAAAAAAAAAAAAAKEC&#10;AABkcnMvZG93bnJldi54bWxQSwUGAAAAAAQABAD5AAAAjAMAAAAA&#10;" strokecolor="#4f81bd [3204]" strokeweight="2pt">
                        <v:stroke endarrow="open"/>
                        <v:shadow on="t" color="black" opacity="24903f" origin=",.5" offset="0,.55556mm"/>
                      </v:shape>
                      <v:shape id="Straight Arrow Connector 27" o:spid="_x0000_s1031" type="#_x0000_t32" style="position:absolute;left:1143;top:45529;width:457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EfRcUAAADbAAAADwAAAGRycy9kb3ducmV2LnhtbESPQWvCQBSE7wX/w/IEb3WjYCupq4ig&#10;8VCssT14fGRfk2D2bciuMfHXu0Khx2FmvmEWq85UoqXGlZYVTMYRCOLM6pJzBT/f29c5COeRNVaW&#10;SUFPDlbLwcsCY21vnFJ78rkIEHYxKii8r2MpXVaQQTe2NXHwfm1j0AfZ5FI3eAtwU8lpFL1JgyWH&#10;hQJr2hSUXU5XoyBPzfmY9P1XvzvfD5+tSWa+S5QaDbv1BwhPnf8P/7X3WsH0HZ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EfRcUAAADbAAAADwAAAAAAAAAA&#10;AAAAAAChAgAAZHJzL2Rvd25yZXYueG1sUEsFBgAAAAAEAAQA+QAAAJMDAAAAAA==&#10;" strokecolor="#4f81bd [3204]" strokeweight="2pt">
                        <v:stroke endarrow="open"/>
                        <v:shadow on="t" color="black" opacity="24903f" origin=",.5" offset="0,.55556mm"/>
                      </v:shape>
                    </v:group>
                  </w:pict>
                </mc:Fallback>
              </mc:AlternateContent>
            </w:r>
          </w:p>
        </w:tc>
        <w:tc>
          <w:tcPr>
            <w:tcW w:w="672" w:type="dxa"/>
          </w:tcPr>
          <w:p w:rsidR="00E67910" w:rsidRPr="009276B0" w:rsidRDefault="00E67910" w:rsidP="00892EBA">
            <w:pPr>
              <w:rPr>
                <w:rFonts w:cstheme="minorHAnsi"/>
                <w:b/>
              </w:rPr>
            </w:pPr>
          </w:p>
        </w:tc>
        <w:tc>
          <w:tcPr>
            <w:tcW w:w="2096" w:type="dxa"/>
            <w:shd w:val="clear" w:color="auto" w:fill="95B3D7" w:themeFill="accent1" w:themeFillTint="99"/>
          </w:tcPr>
          <w:p w:rsidR="00E67910" w:rsidRPr="009276B0" w:rsidRDefault="00E67910" w:rsidP="00912C9F">
            <w:pPr>
              <w:jc w:val="center"/>
              <w:rPr>
                <w:rFonts w:cstheme="minorHAnsi"/>
                <w:b/>
              </w:rPr>
            </w:pPr>
            <w:r>
              <w:rPr>
                <w:rFonts w:cstheme="minorHAnsi"/>
                <w:b/>
              </w:rPr>
              <w:t>SECONDARY</w:t>
            </w:r>
            <w:r w:rsidRPr="009276B0">
              <w:rPr>
                <w:rFonts w:cstheme="minorHAnsi"/>
                <w:b/>
              </w:rPr>
              <w:t xml:space="preserve"> DRIVER</w:t>
            </w:r>
            <w:r>
              <w:rPr>
                <w:rFonts w:cstheme="minorHAnsi"/>
                <w:b/>
              </w:rPr>
              <w:t>S</w:t>
            </w:r>
          </w:p>
        </w:tc>
        <w:tc>
          <w:tcPr>
            <w:tcW w:w="726" w:type="dxa"/>
          </w:tcPr>
          <w:p w:rsidR="00E67910" w:rsidRPr="009276B0" w:rsidRDefault="00E67910" w:rsidP="00892EBA">
            <w:pPr>
              <w:rPr>
                <w:rFonts w:cstheme="minorHAnsi"/>
                <w:b/>
              </w:rPr>
            </w:pPr>
          </w:p>
        </w:tc>
        <w:tc>
          <w:tcPr>
            <w:tcW w:w="2224" w:type="dxa"/>
            <w:shd w:val="clear" w:color="auto" w:fill="95B3D7" w:themeFill="accent1" w:themeFillTint="99"/>
          </w:tcPr>
          <w:p w:rsidR="00E67910" w:rsidRPr="009276B0" w:rsidRDefault="00E67910" w:rsidP="00912C9F">
            <w:pPr>
              <w:jc w:val="center"/>
              <w:rPr>
                <w:rFonts w:cstheme="minorHAnsi"/>
                <w:b/>
              </w:rPr>
            </w:pPr>
            <w:r>
              <w:rPr>
                <w:rFonts w:cstheme="minorHAnsi"/>
                <w:b/>
              </w:rPr>
              <w:t>PRIMARY DRIVER</w:t>
            </w:r>
          </w:p>
        </w:tc>
        <w:tc>
          <w:tcPr>
            <w:tcW w:w="720" w:type="dxa"/>
            <w:shd w:val="clear" w:color="auto" w:fill="auto"/>
          </w:tcPr>
          <w:p w:rsidR="00E67910" w:rsidRDefault="00E67910" w:rsidP="00912C9F">
            <w:pPr>
              <w:jc w:val="center"/>
              <w:rPr>
                <w:rFonts w:cstheme="minorHAnsi"/>
                <w:b/>
              </w:rPr>
            </w:pPr>
          </w:p>
        </w:tc>
        <w:tc>
          <w:tcPr>
            <w:tcW w:w="2079" w:type="dxa"/>
            <w:shd w:val="clear" w:color="auto" w:fill="000000" w:themeFill="text1"/>
          </w:tcPr>
          <w:p w:rsidR="00E67910" w:rsidRDefault="00E67910" w:rsidP="00912C9F">
            <w:pPr>
              <w:jc w:val="center"/>
              <w:rPr>
                <w:rFonts w:cstheme="minorHAnsi"/>
                <w:b/>
              </w:rPr>
            </w:pPr>
            <w:r>
              <w:rPr>
                <w:rFonts w:cstheme="minorHAnsi"/>
                <w:b/>
              </w:rPr>
              <w:t>TRIPLE AIM GOAL</w:t>
            </w:r>
          </w:p>
        </w:tc>
      </w:tr>
      <w:tr w:rsidR="00E67910" w:rsidRPr="00EC7F6A" w:rsidTr="00B2408F">
        <w:tc>
          <w:tcPr>
            <w:tcW w:w="233" w:type="dxa"/>
          </w:tcPr>
          <w:p w:rsidR="00E67910" w:rsidRPr="00EC7F6A" w:rsidRDefault="00E67910" w:rsidP="00892EBA">
            <w:pPr>
              <w:rPr>
                <w:rFonts w:cstheme="minorHAnsi"/>
                <w:sz w:val="16"/>
                <w:szCs w:val="16"/>
              </w:rPr>
            </w:pPr>
          </w:p>
        </w:tc>
        <w:tc>
          <w:tcPr>
            <w:tcW w:w="6805" w:type="dxa"/>
          </w:tcPr>
          <w:p w:rsidR="00E67910" w:rsidRPr="00EC7F6A" w:rsidRDefault="00E67910" w:rsidP="00892EBA">
            <w:pPr>
              <w:rPr>
                <w:rFonts w:cstheme="minorHAnsi"/>
                <w:sz w:val="16"/>
                <w:szCs w:val="16"/>
              </w:rPr>
            </w:pPr>
          </w:p>
        </w:tc>
        <w:tc>
          <w:tcPr>
            <w:tcW w:w="236" w:type="dxa"/>
          </w:tcPr>
          <w:p w:rsidR="00E67910" w:rsidRPr="00EC7F6A" w:rsidRDefault="00E67910" w:rsidP="00892EBA">
            <w:pPr>
              <w:rPr>
                <w:rFonts w:cstheme="minorHAnsi"/>
                <w:sz w:val="16"/>
                <w:szCs w:val="16"/>
              </w:rPr>
            </w:pPr>
          </w:p>
        </w:tc>
        <w:tc>
          <w:tcPr>
            <w:tcW w:w="1834" w:type="dxa"/>
            <w:shd w:val="clear" w:color="auto" w:fill="auto"/>
          </w:tcPr>
          <w:p w:rsidR="00E67910" w:rsidRPr="00EC7F6A" w:rsidRDefault="00E67910" w:rsidP="00892EBA">
            <w:pPr>
              <w:rPr>
                <w:rFonts w:cstheme="minorHAnsi"/>
                <w:sz w:val="16"/>
                <w:szCs w:val="16"/>
              </w:rPr>
            </w:pPr>
          </w:p>
        </w:tc>
        <w:tc>
          <w:tcPr>
            <w:tcW w:w="720" w:type="dxa"/>
          </w:tcPr>
          <w:p w:rsidR="00E67910" w:rsidRPr="00EC7F6A" w:rsidRDefault="00E67910" w:rsidP="00892EBA">
            <w:pPr>
              <w:rPr>
                <w:rFonts w:cstheme="minorHAnsi"/>
                <w:sz w:val="16"/>
                <w:szCs w:val="16"/>
              </w:rPr>
            </w:pPr>
          </w:p>
        </w:tc>
        <w:tc>
          <w:tcPr>
            <w:tcW w:w="672" w:type="dxa"/>
          </w:tcPr>
          <w:p w:rsidR="00E67910" w:rsidRPr="00EC7F6A" w:rsidRDefault="00E67910" w:rsidP="00892EBA">
            <w:pPr>
              <w:rPr>
                <w:rFonts w:cstheme="minorHAnsi"/>
                <w:sz w:val="16"/>
                <w:szCs w:val="16"/>
              </w:rPr>
            </w:pPr>
          </w:p>
        </w:tc>
        <w:tc>
          <w:tcPr>
            <w:tcW w:w="2096" w:type="dxa"/>
          </w:tcPr>
          <w:p w:rsidR="00E67910" w:rsidRPr="00EC7F6A" w:rsidRDefault="00E67910" w:rsidP="00892EBA">
            <w:pPr>
              <w:rPr>
                <w:rFonts w:cstheme="minorHAnsi"/>
                <w:sz w:val="16"/>
                <w:szCs w:val="16"/>
              </w:rPr>
            </w:pPr>
          </w:p>
        </w:tc>
        <w:tc>
          <w:tcPr>
            <w:tcW w:w="726" w:type="dxa"/>
          </w:tcPr>
          <w:p w:rsidR="00E67910" w:rsidRPr="00EC7F6A" w:rsidRDefault="00E67910" w:rsidP="00892EBA">
            <w:pPr>
              <w:rPr>
                <w:rFonts w:cstheme="minorHAnsi"/>
                <w:sz w:val="16"/>
                <w:szCs w:val="16"/>
              </w:rPr>
            </w:pPr>
          </w:p>
        </w:tc>
        <w:tc>
          <w:tcPr>
            <w:tcW w:w="2224" w:type="dxa"/>
          </w:tcPr>
          <w:p w:rsidR="00E67910" w:rsidRPr="00EC7F6A" w:rsidRDefault="00E67910" w:rsidP="00892EBA">
            <w:pPr>
              <w:rPr>
                <w:rFonts w:cstheme="minorHAnsi"/>
                <w:sz w:val="16"/>
                <w:szCs w:val="16"/>
              </w:rPr>
            </w:pPr>
          </w:p>
        </w:tc>
        <w:tc>
          <w:tcPr>
            <w:tcW w:w="720" w:type="dxa"/>
          </w:tcPr>
          <w:p w:rsidR="00E67910" w:rsidRPr="00EC7F6A" w:rsidRDefault="00E67910" w:rsidP="00892EBA">
            <w:pPr>
              <w:rPr>
                <w:rFonts w:cstheme="minorHAnsi"/>
                <w:sz w:val="16"/>
                <w:szCs w:val="16"/>
              </w:rPr>
            </w:pPr>
          </w:p>
        </w:tc>
        <w:tc>
          <w:tcPr>
            <w:tcW w:w="2079" w:type="dxa"/>
          </w:tcPr>
          <w:p w:rsidR="00E67910" w:rsidRPr="00EC7F6A" w:rsidRDefault="00E67910" w:rsidP="00892EBA">
            <w:pPr>
              <w:rPr>
                <w:rFonts w:cstheme="minorHAnsi"/>
                <w:sz w:val="16"/>
                <w:szCs w:val="16"/>
              </w:rPr>
            </w:pPr>
          </w:p>
        </w:tc>
      </w:tr>
      <w:tr w:rsidR="00E67910" w:rsidRPr="00EC7F6A" w:rsidTr="00B2408F">
        <w:trPr>
          <w:trHeight w:val="422"/>
        </w:trPr>
        <w:tc>
          <w:tcPr>
            <w:tcW w:w="233" w:type="dxa"/>
          </w:tcPr>
          <w:p w:rsidR="00E67910" w:rsidRPr="00EC7F6A" w:rsidRDefault="00E67910" w:rsidP="00892EBA">
            <w:pPr>
              <w:rPr>
                <w:rFonts w:cstheme="minorHAnsi"/>
                <w:sz w:val="16"/>
                <w:szCs w:val="16"/>
              </w:rPr>
            </w:pPr>
          </w:p>
        </w:tc>
        <w:tc>
          <w:tcPr>
            <w:tcW w:w="6805" w:type="dxa"/>
            <w:shd w:val="clear" w:color="auto" w:fill="EAF1DD" w:themeFill="accent3" w:themeFillTint="33"/>
          </w:tcPr>
          <w:p w:rsidR="00E67910" w:rsidRPr="00B2408F" w:rsidRDefault="00E67910" w:rsidP="001C5E69">
            <w:pPr>
              <w:ind w:left="305" w:hanging="305"/>
              <w:rPr>
                <w:rFonts w:cstheme="minorHAnsi"/>
                <w:sz w:val="18"/>
                <w:szCs w:val="18"/>
              </w:rPr>
            </w:pPr>
            <w:r w:rsidRPr="00B2408F">
              <w:rPr>
                <w:rFonts w:cstheme="minorHAnsi"/>
                <w:sz w:val="18"/>
                <w:szCs w:val="18"/>
              </w:rPr>
              <w:t>Identification of common metrics across payers for public reporting and alignment with payment via the work of the Accountable Communities Implementation (ACI) workgroup, the Value Based Insurance Design (VBID) workgroup, the Health Care Cost Workgroups and Pathways to Excellence process</w:t>
            </w:r>
          </w:p>
          <w:p w:rsidR="00E67910" w:rsidRPr="00B2408F" w:rsidRDefault="00E67910" w:rsidP="001C5E69">
            <w:pPr>
              <w:ind w:left="305" w:hanging="305"/>
              <w:rPr>
                <w:rFonts w:cstheme="minorHAnsi"/>
                <w:sz w:val="18"/>
                <w:szCs w:val="18"/>
              </w:rPr>
            </w:pPr>
            <w:r w:rsidRPr="00B2408F">
              <w:rPr>
                <w:rFonts w:cstheme="minorHAnsi"/>
                <w:sz w:val="18"/>
                <w:szCs w:val="18"/>
              </w:rPr>
              <w:t xml:space="preserve">Health care cost tracking </w:t>
            </w:r>
          </w:p>
          <w:p w:rsidR="00E67910" w:rsidRPr="00B2408F" w:rsidRDefault="00E67910" w:rsidP="001C5E69">
            <w:pPr>
              <w:ind w:left="305" w:hanging="305"/>
              <w:rPr>
                <w:rFonts w:cstheme="minorHAnsi"/>
                <w:sz w:val="18"/>
                <w:szCs w:val="18"/>
              </w:rPr>
            </w:pPr>
            <w:r w:rsidRPr="00B2408F">
              <w:rPr>
                <w:rFonts w:cstheme="minorHAnsi"/>
                <w:sz w:val="18"/>
                <w:szCs w:val="18"/>
              </w:rPr>
              <w:t>Analysis to tailor programs and policy to target high cost populations and variable/ high cost service utilization</w:t>
            </w:r>
          </w:p>
          <w:p w:rsidR="00E67910" w:rsidRPr="00B2408F" w:rsidRDefault="00E67910" w:rsidP="001C5E69">
            <w:pPr>
              <w:ind w:left="305" w:hanging="305"/>
              <w:rPr>
                <w:rFonts w:cstheme="minorHAnsi"/>
                <w:sz w:val="18"/>
                <w:szCs w:val="18"/>
              </w:rPr>
            </w:pPr>
            <w:r w:rsidRPr="00B2408F">
              <w:rPr>
                <w:rFonts w:cstheme="minorHAnsi"/>
                <w:sz w:val="18"/>
                <w:szCs w:val="18"/>
              </w:rPr>
              <w:t xml:space="preserve">Alignment across payers of metrics and a focus on progressive value-based purchasing </w:t>
            </w:r>
          </w:p>
          <w:p w:rsidR="00E67910" w:rsidRPr="00B2408F" w:rsidRDefault="00E67910" w:rsidP="001C5E69">
            <w:pPr>
              <w:ind w:left="305" w:hanging="305"/>
              <w:rPr>
                <w:rFonts w:cstheme="minorHAnsi"/>
                <w:sz w:val="18"/>
                <w:szCs w:val="18"/>
              </w:rPr>
            </w:pPr>
            <w:r w:rsidRPr="00B2408F">
              <w:rPr>
                <w:rFonts w:cstheme="minorHAnsi"/>
                <w:sz w:val="18"/>
                <w:szCs w:val="18"/>
              </w:rPr>
              <w:t>Alignment of clinical and population outcomes with Public Health performance measures</w:t>
            </w:r>
          </w:p>
          <w:p w:rsidR="00E67910" w:rsidRPr="00B2408F" w:rsidRDefault="00E67910" w:rsidP="001C5E69">
            <w:pPr>
              <w:ind w:left="305" w:hanging="305"/>
              <w:rPr>
                <w:rFonts w:cstheme="minorHAnsi"/>
                <w:sz w:val="18"/>
                <w:szCs w:val="18"/>
              </w:rPr>
            </w:pPr>
            <w:r w:rsidRPr="00B2408F">
              <w:rPr>
                <w:rFonts w:cstheme="minorHAnsi"/>
                <w:sz w:val="18"/>
                <w:szCs w:val="18"/>
              </w:rPr>
              <w:t xml:space="preserve">Data analysis and support for VBID, multi-payer Accountable Care Organization (ACO) Initiatives </w:t>
            </w:r>
          </w:p>
          <w:p w:rsidR="00E67910" w:rsidRPr="00B2408F" w:rsidRDefault="00E67910" w:rsidP="00F42A9B">
            <w:pPr>
              <w:ind w:left="305" w:hanging="305"/>
              <w:rPr>
                <w:rFonts w:cstheme="minorHAnsi"/>
                <w:sz w:val="18"/>
                <w:szCs w:val="18"/>
              </w:rPr>
            </w:pPr>
            <w:r w:rsidRPr="00B2408F">
              <w:rPr>
                <w:rFonts w:cstheme="minorHAnsi"/>
                <w:sz w:val="18"/>
                <w:szCs w:val="18"/>
              </w:rPr>
              <w:t>Addition of Behavioral Health Subgroup to Health Care Cost Workgroup</w:t>
            </w:r>
          </w:p>
        </w:tc>
        <w:tc>
          <w:tcPr>
            <w:tcW w:w="236" w:type="dxa"/>
            <w:shd w:val="clear" w:color="auto" w:fill="EAF1DD" w:themeFill="accent3" w:themeFillTint="33"/>
          </w:tcPr>
          <w:p w:rsidR="00E67910" w:rsidRPr="00EC7F6A" w:rsidRDefault="00E67910" w:rsidP="00EC7F6A">
            <w:pPr>
              <w:jc w:val="center"/>
              <w:rPr>
                <w:rFonts w:cstheme="minorHAnsi"/>
                <w:sz w:val="16"/>
                <w:szCs w:val="16"/>
              </w:rPr>
            </w:pPr>
          </w:p>
        </w:tc>
        <w:tc>
          <w:tcPr>
            <w:tcW w:w="1834" w:type="dxa"/>
            <w:shd w:val="clear" w:color="auto" w:fill="EAF1DD" w:themeFill="accent3" w:themeFillTint="33"/>
            <w:vAlign w:val="center"/>
          </w:tcPr>
          <w:p w:rsidR="00E67910" w:rsidRPr="00F42A9B" w:rsidRDefault="00E67910" w:rsidP="001C5E69">
            <w:pPr>
              <w:jc w:val="center"/>
              <w:rPr>
                <w:rFonts w:cstheme="minorHAnsi"/>
                <w:b/>
                <w:sz w:val="24"/>
                <w:szCs w:val="24"/>
              </w:rPr>
            </w:pPr>
          </w:p>
          <w:p w:rsidR="00E67910" w:rsidRPr="00F42A9B" w:rsidRDefault="00E67910" w:rsidP="001C5E69">
            <w:pPr>
              <w:jc w:val="center"/>
              <w:rPr>
                <w:rFonts w:cstheme="minorHAnsi"/>
                <w:b/>
                <w:sz w:val="24"/>
                <w:szCs w:val="24"/>
              </w:rPr>
            </w:pPr>
            <w:r w:rsidRPr="00F42A9B">
              <w:rPr>
                <w:rFonts w:cstheme="minorHAnsi"/>
                <w:b/>
                <w:sz w:val="24"/>
                <w:szCs w:val="24"/>
              </w:rPr>
              <w:t>Health Information to Influence Market Forces and Inform Policy</w:t>
            </w:r>
          </w:p>
        </w:tc>
        <w:tc>
          <w:tcPr>
            <w:tcW w:w="720" w:type="dxa"/>
          </w:tcPr>
          <w:p w:rsidR="00E67910" w:rsidRPr="00F42A9B" w:rsidRDefault="00E67910" w:rsidP="00EC7F6A">
            <w:pPr>
              <w:jc w:val="center"/>
              <w:rPr>
                <w:rFonts w:cstheme="minorHAnsi"/>
                <w:noProof/>
                <w:sz w:val="24"/>
                <w:szCs w:val="24"/>
              </w:rPr>
            </w:pPr>
          </w:p>
        </w:tc>
        <w:tc>
          <w:tcPr>
            <w:tcW w:w="672" w:type="dxa"/>
          </w:tcPr>
          <w:p w:rsidR="00E67910" w:rsidRPr="00EC7F6A" w:rsidRDefault="00E67910" w:rsidP="00EC7F6A">
            <w:pPr>
              <w:jc w:val="center"/>
              <w:rPr>
                <w:rFonts w:cstheme="minorHAnsi"/>
                <w:sz w:val="16"/>
                <w:szCs w:val="16"/>
              </w:rPr>
            </w:pPr>
          </w:p>
        </w:tc>
        <w:tc>
          <w:tcPr>
            <w:tcW w:w="2096" w:type="dxa"/>
            <w:shd w:val="clear" w:color="auto" w:fill="C2D69B" w:themeFill="accent3" w:themeFillTint="99"/>
            <w:vAlign w:val="center"/>
          </w:tcPr>
          <w:p w:rsidR="00E67910" w:rsidRPr="009276B0" w:rsidRDefault="00E67910" w:rsidP="009276B0">
            <w:pPr>
              <w:jc w:val="center"/>
              <w:rPr>
                <w:rFonts w:cstheme="minorHAnsi"/>
                <w:b/>
                <w:sz w:val="20"/>
                <w:szCs w:val="20"/>
              </w:rPr>
            </w:pPr>
            <w:r w:rsidRPr="009276B0">
              <w:rPr>
                <w:rFonts w:cstheme="minorHAnsi"/>
                <w:b/>
                <w:sz w:val="20"/>
                <w:szCs w:val="20"/>
              </w:rPr>
              <w:t>Data-Informed Policy, Practice and Payment Decisions</w:t>
            </w:r>
          </w:p>
          <w:p w:rsidR="00E67910" w:rsidRPr="009276B0" w:rsidRDefault="00E67910" w:rsidP="009276B0">
            <w:pPr>
              <w:jc w:val="center"/>
              <w:rPr>
                <w:rFonts w:cstheme="minorHAnsi"/>
                <w:b/>
                <w:sz w:val="20"/>
                <w:szCs w:val="20"/>
              </w:rPr>
            </w:pPr>
          </w:p>
        </w:tc>
        <w:tc>
          <w:tcPr>
            <w:tcW w:w="726" w:type="dxa"/>
          </w:tcPr>
          <w:p w:rsidR="00E67910" w:rsidRPr="00EC7F6A" w:rsidRDefault="00E67910" w:rsidP="00892EBA">
            <w:pPr>
              <w:rPr>
                <w:rFonts w:cstheme="minorHAnsi"/>
                <w:color w:val="333333"/>
                <w:sz w:val="16"/>
                <w:szCs w:val="16"/>
              </w:rPr>
            </w:pPr>
            <w:r>
              <w:rPr>
                <w:rFonts w:cstheme="minorHAnsi"/>
                <w:b/>
                <w:noProof/>
                <w:sz w:val="20"/>
                <w:szCs w:val="20"/>
              </w:rPr>
              <mc:AlternateContent>
                <mc:Choice Requires="wps">
                  <w:drawing>
                    <wp:anchor distT="0" distB="0" distL="114300" distR="114300" simplePos="0" relativeHeight="251816960" behindDoc="0" locked="0" layoutInCell="1" allowOverlap="1" wp14:anchorId="42B358BC" wp14:editId="756006F9">
                      <wp:simplePos x="0" y="0"/>
                      <wp:positionH relativeFrom="margin">
                        <wp:posOffset>32385</wp:posOffset>
                      </wp:positionH>
                      <wp:positionV relativeFrom="margin">
                        <wp:posOffset>242570</wp:posOffset>
                      </wp:positionV>
                      <wp:extent cx="314325" cy="359410"/>
                      <wp:effectExtent l="0" t="0" r="9525" b="2540"/>
                      <wp:wrapSquare wrapText="bothSides"/>
                      <wp:docPr id="38" name="Right Arrow 38"/>
                      <wp:cNvGraphicFramePr/>
                      <a:graphic xmlns:a="http://schemas.openxmlformats.org/drawingml/2006/main">
                        <a:graphicData uri="http://schemas.microsoft.com/office/word/2010/wordprocessingShape">
                          <wps:wsp>
                            <wps:cNvSpPr/>
                            <wps:spPr>
                              <a:xfrm>
                                <a:off x="0" y="0"/>
                                <a:ext cx="314325" cy="359410"/>
                              </a:xfrm>
                              <a:prstGeom prst="rightArrow">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26" type="#_x0000_t13" style="position:absolute;margin-left:2.55pt;margin-top:19.1pt;width:24.75pt;height:28.3pt;z-index:25181696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" adj="10800" fillcolor="#c2d69b [1942]" stroked="f" strokeweight="2pt">
                      <w10:wrap type="square" anchorx="margin" anchory="margin"/>
                    </v:shape>
                  </w:pict>
                </mc:Fallback>
              </mc:AlternateContent>
            </w:r>
          </w:p>
        </w:tc>
        <w:tc>
          <w:tcPr>
            <w:tcW w:w="2224" w:type="dxa"/>
            <w:vMerge w:val="restart"/>
            <w:shd w:val="clear" w:color="auto" w:fill="C2D69B" w:themeFill="accent3" w:themeFillTint="99"/>
            <w:vAlign w:val="center"/>
          </w:tcPr>
          <w:p w:rsidR="00E67910" w:rsidRDefault="00E67910" w:rsidP="009276B0">
            <w:pPr>
              <w:jc w:val="center"/>
              <w:rPr>
                <w:rFonts w:cstheme="minorHAnsi"/>
                <w:b/>
                <w:sz w:val="36"/>
                <w:szCs w:val="36"/>
              </w:rPr>
            </w:pPr>
            <w:r>
              <w:rPr>
                <w:rFonts w:cstheme="minorHAnsi"/>
                <w:b/>
                <w:sz w:val="36"/>
                <w:szCs w:val="36"/>
              </w:rPr>
              <w:t>PAYMENT REFORM</w:t>
            </w:r>
          </w:p>
          <w:p w:rsidR="00E67910" w:rsidRPr="009276B0" w:rsidRDefault="00E67910" w:rsidP="009276B0">
            <w:pPr>
              <w:jc w:val="center"/>
              <w:rPr>
                <w:rFonts w:cstheme="minorHAnsi"/>
                <w:b/>
                <w:sz w:val="36"/>
                <w:szCs w:val="36"/>
              </w:rPr>
            </w:pPr>
          </w:p>
          <w:p w:rsidR="00E67910" w:rsidRPr="005B47C1" w:rsidRDefault="00E67910" w:rsidP="005B47C1">
            <w:pPr>
              <w:pStyle w:val="NoSpacing"/>
              <w:jc w:val="center"/>
              <w:rPr>
                <w:i/>
              </w:rPr>
            </w:pPr>
          </w:p>
        </w:tc>
        <w:tc>
          <w:tcPr>
            <w:tcW w:w="720" w:type="dxa"/>
            <w:shd w:val="clear" w:color="auto" w:fill="auto"/>
          </w:tcPr>
          <w:p w:rsidR="00E67910" w:rsidRDefault="00E67910" w:rsidP="009276B0">
            <w:pPr>
              <w:jc w:val="center"/>
              <w:rPr>
                <w:rFonts w:cstheme="minorHAnsi"/>
                <w:b/>
                <w:sz w:val="36"/>
                <w:szCs w:val="36"/>
              </w:rPr>
            </w:pPr>
          </w:p>
        </w:tc>
        <w:tc>
          <w:tcPr>
            <w:tcW w:w="2079" w:type="dxa"/>
            <w:vMerge w:val="restart"/>
            <w:shd w:val="clear" w:color="auto" w:fill="F2F2F2" w:themeFill="background1" w:themeFillShade="F2"/>
            <w:vAlign w:val="center"/>
          </w:tcPr>
          <w:p w:rsidR="00E67910" w:rsidRPr="00E67910" w:rsidRDefault="00E67910" w:rsidP="001C5E69">
            <w:pPr>
              <w:jc w:val="center"/>
              <w:rPr>
                <w:i/>
              </w:rPr>
            </w:pPr>
            <w:r w:rsidRPr="00E67910">
              <w:rPr>
                <w:i/>
              </w:rPr>
              <w:t>By 2017, the total cost of care and commercial health care premiums in Maine will fall to the national average</w:t>
            </w:r>
          </w:p>
          <w:p w:rsidR="00E67910" w:rsidRPr="00E67910" w:rsidRDefault="00E67910" w:rsidP="001C5E69">
            <w:pPr>
              <w:jc w:val="center"/>
              <w:rPr>
                <w:i/>
              </w:rPr>
            </w:pPr>
          </w:p>
          <w:p w:rsidR="00E67910" w:rsidRPr="00E67910" w:rsidRDefault="00E67910" w:rsidP="001C5E69">
            <w:pPr>
              <w:jc w:val="center"/>
              <w:rPr>
                <w:i/>
              </w:rPr>
            </w:pPr>
          </w:p>
          <w:p w:rsidR="00E67910" w:rsidRPr="00E67910" w:rsidRDefault="00E67910" w:rsidP="001C5E69">
            <w:pPr>
              <w:jc w:val="center"/>
              <w:rPr>
                <w:i/>
              </w:rPr>
            </w:pPr>
          </w:p>
          <w:p w:rsidR="00E67910" w:rsidRPr="00E67910" w:rsidRDefault="00E67910" w:rsidP="001C5E69">
            <w:pPr>
              <w:jc w:val="center"/>
              <w:rPr>
                <w:i/>
              </w:rPr>
            </w:pPr>
          </w:p>
          <w:p w:rsidR="00E67910" w:rsidRDefault="00E67910" w:rsidP="00E44AFB">
            <w:pPr>
              <w:jc w:val="center"/>
            </w:pPr>
            <w:r w:rsidRPr="00E67910">
              <w:rPr>
                <w:i/>
              </w:rPr>
              <w:t xml:space="preserve">By 2017, Maine will improve the health of its population in at least four categories of disease prevalence (such as </w:t>
            </w:r>
            <w:r w:rsidR="00E44AFB">
              <w:rPr>
                <w:i/>
              </w:rPr>
              <w:t>diabetes, mental health, obesity, tobacco usage</w:t>
            </w:r>
            <w:r w:rsidRPr="00E67910">
              <w:rPr>
                <w:i/>
              </w:rPr>
              <w:t>)</w:t>
            </w:r>
          </w:p>
        </w:tc>
      </w:tr>
      <w:tr w:rsidR="00E67910" w:rsidRPr="00EC7F6A" w:rsidTr="00B2408F">
        <w:tc>
          <w:tcPr>
            <w:tcW w:w="233" w:type="dxa"/>
          </w:tcPr>
          <w:p w:rsidR="00E67910" w:rsidRPr="00EC7F6A" w:rsidRDefault="00E67910" w:rsidP="00892EBA">
            <w:pPr>
              <w:rPr>
                <w:rFonts w:cstheme="minorHAnsi"/>
                <w:sz w:val="16"/>
                <w:szCs w:val="16"/>
              </w:rPr>
            </w:pPr>
          </w:p>
        </w:tc>
        <w:tc>
          <w:tcPr>
            <w:tcW w:w="6805" w:type="dxa"/>
          </w:tcPr>
          <w:p w:rsidR="00E67910" w:rsidRPr="00B2408F" w:rsidRDefault="00E67910" w:rsidP="001C5E69">
            <w:pPr>
              <w:ind w:left="305" w:hanging="305"/>
              <w:rPr>
                <w:rFonts w:cstheme="minorHAnsi"/>
                <w:sz w:val="18"/>
                <w:szCs w:val="18"/>
              </w:rPr>
            </w:pPr>
          </w:p>
        </w:tc>
        <w:tc>
          <w:tcPr>
            <w:tcW w:w="236" w:type="dxa"/>
          </w:tcPr>
          <w:p w:rsidR="00E67910" w:rsidRPr="00EC7F6A" w:rsidRDefault="00E67910" w:rsidP="00892EBA">
            <w:pPr>
              <w:rPr>
                <w:rFonts w:cstheme="minorHAnsi"/>
                <w:sz w:val="16"/>
                <w:szCs w:val="16"/>
              </w:rPr>
            </w:pPr>
          </w:p>
        </w:tc>
        <w:tc>
          <w:tcPr>
            <w:tcW w:w="1834" w:type="dxa"/>
            <w:shd w:val="clear" w:color="auto" w:fill="auto"/>
            <w:vAlign w:val="center"/>
          </w:tcPr>
          <w:p w:rsidR="00E67910" w:rsidRPr="00F42A9B" w:rsidRDefault="00E67910" w:rsidP="00AA256F">
            <w:pPr>
              <w:jc w:val="center"/>
              <w:rPr>
                <w:rFonts w:cstheme="minorHAnsi"/>
                <w:b/>
                <w:sz w:val="24"/>
                <w:szCs w:val="24"/>
              </w:rPr>
            </w:pPr>
          </w:p>
        </w:tc>
        <w:tc>
          <w:tcPr>
            <w:tcW w:w="720" w:type="dxa"/>
          </w:tcPr>
          <w:p w:rsidR="00E67910" w:rsidRPr="00F42A9B" w:rsidRDefault="00E67910" w:rsidP="00AA256F">
            <w:pPr>
              <w:jc w:val="center"/>
              <w:rPr>
                <w:rFonts w:cstheme="minorHAnsi"/>
                <w:sz w:val="24"/>
                <w:szCs w:val="24"/>
              </w:rPr>
            </w:pPr>
          </w:p>
        </w:tc>
        <w:tc>
          <w:tcPr>
            <w:tcW w:w="672" w:type="dxa"/>
            <w:vAlign w:val="center"/>
          </w:tcPr>
          <w:p w:rsidR="00E67910" w:rsidRPr="00EC7F6A" w:rsidRDefault="00E67910" w:rsidP="00AA256F">
            <w:pPr>
              <w:jc w:val="center"/>
              <w:rPr>
                <w:rFonts w:cstheme="minorHAnsi"/>
                <w:sz w:val="16"/>
                <w:szCs w:val="16"/>
              </w:rPr>
            </w:pPr>
          </w:p>
        </w:tc>
        <w:tc>
          <w:tcPr>
            <w:tcW w:w="2096" w:type="dxa"/>
            <w:shd w:val="clear" w:color="auto" w:fill="auto"/>
            <w:vAlign w:val="center"/>
          </w:tcPr>
          <w:p w:rsidR="00E67910" w:rsidRPr="009276B0" w:rsidRDefault="00E67910" w:rsidP="00006D45">
            <w:pPr>
              <w:jc w:val="center"/>
              <w:rPr>
                <w:rFonts w:cstheme="minorHAnsi"/>
                <w:b/>
                <w:sz w:val="20"/>
                <w:szCs w:val="20"/>
              </w:rPr>
            </w:pPr>
          </w:p>
        </w:tc>
        <w:tc>
          <w:tcPr>
            <w:tcW w:w="726" w:type="dxa"/>
          </w:tcPr>
          <w:p w:rsidR="00E67910" w:rsidRPr="00EC7F6A" w:rsidRDefault="00E67910" w:rsidP="00892EBA">
            <w:pPr>
              <w:rPr>
                <w:rFonts w:cstheme="minorHAnsi"/>
                <w:sz w:val="16"/>
                <w:szCs w:val="16"/>
              </w:rPr>
            </w:pPr>
          </w:p>
        </w:tc>
        <w:tc>
          <w:tcPr>
            <w:tcW w:w="2224" w:type="dxa"/>
            <w:vMerge/>
            <w:shd w:val="clear" w:color="auto" w:fill="C2D69B" w:themeFill="accent3" w:themeFillTint="99"/>
          </w:tcPr>
          <w:p w:rsidR="00E67910" w:rsidRPr="00EC7F6A" w:rsidRDefault="00E67910" w:rsidP="00892EBA">
            <w:pPr>
              <w:rPr>
                <w:rFonts w:cstheme="minorHAnsi"/>
                <w:sz w:val="16"/>
                <w:szCs w:val="16"/>
              </w:rPr>
            </w:pPr>
          </w:p>
        </w:tc>
        <w:tc>
          <w:tcPr>
            <w:tcW w:w="720" w:type="dxa"/>
            <w:shd w:val="clear" w:color="auto" w:fill="auto"/>
          </w:tcPr>
          <w:p w:rsidR="00E67910" w:rsidRPr="00EC7F6A" w:rsidRDefault="00E67910" w:rsidP="00892EBA">
            <w:pPr>
              <w:rPr>
                <w:rFonts w:cstheme="minorHAnsi"/>
                <w:sz w:val="16"/>
                <w:szCs w:val="16"/>
              </w:rPr>
            </w:pPr>
          </w:p>
        </w:tc>
        <w:tc>
          <w:tcPr>
            <w:tcW w:w="2079" w:type="dxa"/>
            <w:vMerge/>
            <w:shd w:val="clear" w:color="auto" w:fill="F2F2F2" w:themeFill="background1" w:themeFillShade="F2"/>
          </w:tcPr>
          <w:p w:rsidR="00E67910" w:rsidRPr="00EC7F6A" w:rsidRDefault="00E67910" w:rsidP="00892EBA">
            <w:pPr>
              <w:rPr>
                <w:rFonts w:cstheme="minorHAnsi"/>
                <w:sz w:val="16"/>
                <w:szCs w:val="16"/>
              </w:rPr>
            </w:pPr>
          </w:p>
        </w:tc>
      </w:tr>
      <w:tr w:rsidR="00E67910" w:rsidRPr="00EC7F6A" w:rsidTr="00B2408F">
        <w:tc>
          <w:tcPr>
            <w:tcW w:w="233" w:type="dxa"/>
          </w:tcPr>
          <w:p w:rsidR="00E67910" w:rsidRPr="00EC7F6A" w:rsidRDefault="00E67910" w:rsidP="00892EBA">
            <w:pPr>
              <w:rPr>
                <w:rFonts w:cstheme="minorHAnsi"/>
                <w:sz w:val="16"/>
                <w:szCs w:val="16"/>
              </w:rPr>
            </w:pPr>
          </w:p>
        </w:tc>
        <w:tc>
          <w:tcPr>
            <w:tcW w:w="6805" w:type="dxa"/>
            <w:shd w:val="clear" w:color="auto" w:fill="EAF1DD" w:themeFill="accent3" w:themeFillTint="33"/>
          </w:tcPr>
          <w:p w:rsidR="00E67910" w:rsidRPr="00B2408F" w:rsidRDefault="00E67910" w:rsidP="001C5E69">
            <w:pPr>
              <w:ind w:left="305" w:hanging="305"/>
              <w:rPr>
                <w:rFonts w:cstheme="minorHAnsi"/>
                <w:sz w:val="18"/>
                <w:szCs w:val="18"/>
              </w:rPr>
            </w:pPr>
            <w:r w:rsidRPr="00B2408F">
              <w:rPr>
                <w:rFonts w:cstheme="minorHAnsi"/>
                <w:sz w:val="18"/>
                <w:szCs w:val="18"/>
              </w:rPr>
              <w:t>Facilitation and support for the linkage of payment to cost and quality metrics, and value-based system redesign efforts through the adoption of:</w:t>
            </w:r>
          </w:p>
          <w:p w:rsidR="00E67910" w:rsidRPr="00B2408F" w:rsidRDefault="00E67910" w:rsidP="00F00096">
            <w:pPr>
              <w:pStyle w:val="ListParagraph"/>
              <w:numPr>
                <w:ilvl w:val="0"/>
                <w:numId w:val="14"/>
              </w:numPr>
              <w:ind w:left="305" w:hanging="178"/>
              <w:rPr>
                <w:rFonts w:cstheme="minorHAnsi"/>
                <w:sz w:val="18"/>
                <w:szCs w:val="18"/>
              </w:rPr>
            </w:pPr>
            <w:r w:rsidRPr="00B2408F">
              <w:rPr>
                <w:rFonts w:cstheme="minorHAnsi"/>
                <w:sz w:val="18"/>
                <w:szCs w:val="18"/>
              </w:rPr>
              <w:t>VBID, including linkage with Shared Decision Making</w:t>
            </w:r>
          </w:p>
          <w:p w:rsidR="00E67910" w:rsidRPr="00B2408F" w:rsidRDefault="00E67910" w:rsidP="00F00096">
            <w:pPr>
              <w:pStyle w:val="ListParagraph"/>
              <w:numPr>
                <w:ilvl w:val="0"/>
                <w:numId w:val="14"/>
              </w:numPr>
              <w:ind w:left="305" w:hanging="178"/>
              <w:rPr>
                <w:rFonts w:cstheme="minorHAnsi"/>
                <w:sz w:val="18"/>
                <w:szCs w:val="18"/>
              </w:rPr>
            </w:pPr>
            <w:r w:rsidRPr="00B2408F">
              <w:rPr>
                <w:rFonts w:cstheme="minorHAnsi"/>
                <w:sz w:val="18"/>
                <w:szCs w:val="18"/>
              </w:rPr>
              <w:t>Risk Sharing Arrangements</w:t>
            </w:r>
          </w:p>
          <w:p w:rsidR="00E67910" w:rsidRPr="00B2408F" w:rsidRDefault="00E67910" w:rsidP="00F00096">
            <w:pPr>
              <w:pStyle w:val="ListParagraph"/>
              <w:numPr>
                <w:ilvl w:val="0"/>
                <w:numId w:val="14"/>
              </w:numPr>
              <w:ind w:left="305" w:hanging="178"/>
              <w:rPr>
                <w:rFonts w:cstheme="minorHAnsi"/>
                <w:sz w:val="18"/>
                <w:szCs w:val="18"/>
              </w:rPr>
            </w:pPr>
            <w:r w:rsidRPr="00B2408F">
              <w:rPr>
                <w:rFonts w:cstheme="minorHAnsi"/>
                <w:sz w:val="18"/>
                <w:szCs w:val="18"/>
              </w:rPr>
              <w:t>Patient Centered Medical Home (PCMH)/Health Home Enhanced Payments</w:t>
            </w:r>
          </w:p>
          <w:p w:rsidR="00E67910" w:rsidRPr="00B2408F" w:rsidRDefault="00E67910" w:rsidP="00F00096">
            <w:pPr>
              <w:pStyle w:val="ListParagraph"/>
              <w:numPr>
                <w:ilvl w:val="0"/>
                <w:numId w:val="14"/>
              </w:numPr>
              <w:ind w:left="305" w:hanging="178"/>
              <w:rPr>
                <w:rFonts w:cstheme="minorHAnsi"/>
                <w:sz w:val="18"/>
                <w:szCs w:val="18"/>
              </w:rPr>
            </w:pPr>
            <w:proofErr w:type="spellStart"/>
            <w:r w:rsidRPr="00B2408F">
              <w:rPr>
                <w:rFonts w:cstheme="minorHAnsi"/>
                <w:sz w:val="18"/>
                <w:szCs w:val="18"/>
              </w:rPr>
              <w:t>MaineCare</w:t>
            </w:r>
            <w:proofErr w:type="spellEnd"/>
            <w:r w:rsidRPr="00B2408F">
              <w:rPr>
                <w:rFonts w:cstheme="minorHAnsi"/>
                <w:sz w:val="18"/>
                <w:szCs w:val="18"/>
              </w:rPr>
              <w:t xml:space="preserve"> (Medicaid) Accountable Communities shared savings ACO</w:t>
            </w:r>
          </w:p>
          <w:p w:rsidR="00E67910" w:rsidRPr="00B2408F" w:rsidRDefault="00E67910" w:rsidP="00F42A9B">
            <w:pPr>
              <w:ind w:left="305" w:hanging="305"/>
              <w:rPr>
                <w:rFonts w:cstheme="minorHAnsi"/>
                <w:sz w:val="18"/>
                <w:szCs w:val="18"/>
              </w:rPr>
            </w:pPr>
            <w:r w:rsidRPr="00B2408F">
              <w:rPr>
                <w:rFonts w:cstheme="minorHAnsi"/>
                <w:sz w:val="18"/>
                <w:szCs w:val="18"/>
              </w:rPr>
              <w:t>Facilitation and support to encourage progressive movement toward additional models such as bundled payments and partial or full capitation</w:t>
            </w:r>
          </w:p>
        </w:tc>
        <w:tc>
          <w:tcPr>
            <w:tcW w:w="236" w:type="dxa"/>
            <w:shd w:val="clear" w:color="auto" w:fill="EAF1DD" w:themeFill="accent3" w:themeFillTint="33"/>
          </w:tcPr>
          <w:p w:rsidR="00E67910" w:rsidRPr="00EC7F6A" w:rsidRDefault="00E67910" w:rsidP="006D1F06">
            <w:pPr>
              <w:rPr>
                <w:rFonts w:cstheme="minorHAnsi"/>
                <w:sz w:val="16"/>
                <w:szCs w:val="16"/>
              </w:rPr>
            </w:pPr>
          </w:p>
        </w:tc>
        <w:tc>
          <w:tcPr>
            <w:tcW w:w="1834" w:type="dxa"/>
            <w:shd w:val="clear" w:color="auto" w:fill="EAF1DD" w:themeFill="accent3" w:themeFillTint="33"/>
            <w:vAlign w:val="center"/>
          </w:tcPr>
          <w:p w:rsidR="00E67910" w:rsidRPr="00F42A9B" w:rsidRDefault="00E67910" w:rsidP="00157F21">
            <w:pPr>
              <w:jc w:val="center"/>
              <w:rPr>
                <w:rFonts w:cstheme="minorHAnsi"/>
                <w:b/>
                <w:sz w:val="24"/>
                <w:szCs w:val="24"/>
              </w:rPr>
            </w:pPr>
            <w:r w:rsidRPr="00F42A9B">
              <w:rPr>
                <w:rFonts w:cstheme="minorHAnsi"/>
                <w:b/>
                <w:sz w:val="24"/>
                <w:szCs w:val="24"/>
              </w:rPr>
              <w:t>Value-Based Payment</w:t>
            </w:r>
          </w:p>
        </w:tc>
        <w:tc>
          <w:tcPr>
            <w:tcW w:w="720" w:type="dxa"/>
          </w:tcPr>
          <w:p w:rsidR="00E67910" w:rsidRPr="00F42A9B" w:rsidRDefault="00E67910" w:rsidP="00AA256F">
            <w:pPr>
              <w:jc w:val="center"/>
              <w:rPr>
                <w:rFonts w:cstheme="minorHAnsi"/>
                <w:noProof/>
                <w:sz w:val="24"/>
                <w:szCs w:val="24"/>
              </w:rPr>
            </w:pPr>
          </w:p>
        </w:tc>
        <w:tc>
          <w:tcPr>
            <w:tcW w:w="672" w:type="dxa"/>
            <w:vAlign w:val="center"/>
          </w:tcPr>
          <w:p w:rsidR="00E67910" w:rsidRPr="00EC7F6A" w:rsidRDefault="00E67910" w:rsidP="00AA256F">
            <w:pPr>
              <w:jc w:val="center"/>
              <w:rPr>
                <w:rFonts w:cstheme="minorHAnsi"/>
                <w:sz w:val="16"/>
                <w:szCs w:val="16"/>
              </w:rPr>
            </w:pPr>
          </w:p>
        </w:tc>
        <w:tc>
          <w:tcPr>
            <w:tcW w:w="2096" w:type="dxa"/>
            <w:shd w:val="clear" w:color="auto" w:fill="C2D69B" w:themeFill="accent3" w:themeFillTint="99"/>
            <w:vAlign w:val="center"/>
          </w:tcPr>
          <w:p w:rsidR="00E67910" w:rsidRPr="009276B0" w:rsidRDefault="00E67910" w:rsidP="00006D45">
            <w:pPr>
              <w:jc w:val="center"/>
              <w:rPr>
                <w:rFonts w:cstheme="minorHAnsi"/>
                <w:b/>
                <w:sz w:val="20"/>
                <w:szCs w:val="20"/>
              </w:rPr>
            </w:pPr>
            <w:r>
              <w:rPr>
                <w:rFonts w:cstheme="minorHAnsi"/>
                <w:b/>
                <w:sz w:val="20"/>
                <w:szCs w:val="20"/>
              </w:rPr>
              <w:t>Aligned Payment Models</w:t>
            </w:r>
          </w:p>
          <w:p w:rsidR="00E67910" w:rsidRPr="009276B0" w:rsidRDefault="00E67910" w:rsidP="009276B0">
            <w:pPr>
              <w:jc w:val="center"/>
              <w:rPr>
                <w:rFonts w:cstheme="minorHAnsi"/>
                <w:b/>
                <w:sz w:val="20"/>
                <w:szCs w:val="20"/>
              </w:rPr>
            </w:pPr>
          </w:p>
        </w:tc>
        <w:tc>
          <w:tcPr>
            <w:tcW w:w="726" w:type="dxa"/>
          </w:tcPr>
          <w:p w:rsidR="00E67910" w:rsidRPr="00EC7F6A" w:rsidRDefault="00E67910" w:rsidP="00892EBA">
            <w:pPr>
              <w:rPr>
                <w:rFonts w:cstheme="minorHAnsi"/>
                <w:sz w:val="16"/>
                <w:szCs w:val="16"/>
              </w:rPr>
            </w:pPr>
            <w:r>
              <w:rPr>
                <w:rFonts w:cstheme="minorHAnsi"/>
                <w:b/>
                <w:noProof/>
                <w:sz w:val="20"/>
                <w:szCs w:val="20"/>
              </w:rPr>
              <mc:AlternateContent>
                <mc:Choice Requires="wps">
                  <w:drawing>
                    <wp:anchor distT="0" distB="0" distL="114300" distR="114300" simplePos="0" relativeHeight="251813888" behindDoc="0" locked="0" layoutInCell="1" allowOverlap="1" wp14:anchorId="11431293" wp14:editId="552C3CA3">
                      <wp:simplePos x="0" y="0"/>
                      <wp:positionH relativeFrom="margin">
                        <wp:posOffset>32385</wp:posOffset>
                      </wp:positionH>
                      <wp:positionV relativeFrom="margin">
                        <wp:posOffset>146685</wp:posOffset>
                      </wp:positionV>
                      <wp:extent cx="314325" cy="359410"/>
                      <wp:effectExtent l="0" t="0" r="9525" b="2540"/>
                      <wp:wrapSquare wrapText="bothSides"/>
                      <wp:docPr id="40" name="Right Arrow 40"/>
                      <wp:cNvGraphicFramePr/>
                      <a:graphic xmlns:a="http://schemas.openxmlformats.org/drawingml/2006/main">
                        <a:graphicData uri="http://schemas.microsoft.com/office/word/2010/wordprocessingShape">
                          <wps:wsp>
                            <wps:cNvSpPr/>
                            <wps:spPr>
                              <a:xfrm>
                                <a:off x="0" y="0"/>
                                <a:ext cx="314325" cy="359410"/>
                              </a:xfrm>
                              <a:prstGeom prst="rightArrow">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0" o:spid="_x0000_s1026" type="#_x0000_t13" style="position:absolute;margin-left:2.55pt;margin-top:11.55pt;width:24.75pt;height:28.3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" adj="10800" fillcolor="#c2d69b [1942]" stroked="f" strokeweight="2pt">
                      <w10:wrap type="square" anchorx="margin" anchory="margin"/>
                    </v:shape>
                  </w:pict>
                </mc:Fallback>
              </mc:AlternateContent>
            </w:r>
          </w:p>
        </w:tc>
        <w:tc>
          <w:tcPr>
            <w:tcW w:w="2224" w:type="dxa"/>
            <w:vMerge/>
            <w:shd w:val="clear" w:color="auto" w:fill="C2D69B" w:themeFill="accent3" w:themeFillTint="99"/>
          </w:tcPr>
          <w:p w:rsidR="00E67910" w:rsidRPr="00EC7F6A" w:rsidRDefault="00E67910" w:rsidP="00892EBA">
            <w:pPr>
              <w:rPr>
                <w:rFonts w:cstheme="minorHAnsi"/>
                <w:sz w:val="16"/>
                <w:szCs w:val="16"/>
              </w:rPr>
            </w:pPr>
          </w:p>
        </w:tc>
        <w:tc>
          <w:tcPr>
            <w:tcW w:w="720" w:type="dxa"/>
            <w:shd w:val="clear" w:color="auto" w:fill="auto"/>
          </w:tcPr>
          <w:p w:rsidR="00E67910" w:rsidRPr="00EC7F6A" w:rsidRDefault="00E67910" w:rsidP="00892EBA">
            <w:pPr>
              <w:rPr>
                <w:rFonts w:cstheme="minorHAnsi"/>
                <w:sz w:val="16"/>
                <w:szCs w:val="16"/>
              </w:rPr>
            </w:pPr>
          </w:p>
        </w:tc>
        <w:tc>
          <w:tcPr>
            <w:tcW w:w="2079" w:type="dxa"/>
            <w:vMerge/>
            <w:shd w:val="clear" w:color="auto" w:fill="F2F2F2" w:themeFill="background1" w:themeFillShade="F2"/>
          </w:tcPr>
          <w:p w:rsidR="00E67910" w:rsidRPr="00EC7F6A" w:rsidRDefault="00E67910" w:rsidP="00892EBA">
            <w:pPr>
              <w:rPr>
                <w:rFonts w:cstheme="minorHAnsi"/>
                <w:sz w:val="16"/>
                <w:szCs w:val="16"/>
              </w:rPr>
            </w:pPr>
          </w:p>
        </w:tc>
      </w:tr>
      <w:tr w:rsidR="00E67910" w:rsidRPr="00EC7F6A" w:rsidTr="00B2408F">
        <w:tc>
          <w:tcPr>
            <w:tcW w:w="233" w:type="dxa"/>
          </w:tcPr>
          <w:p w:rsidR="00E67910" w:rsidRPr="00EC7F6A" w:rsidRDefault="00E67910" w:rsidP="00892EBA">
            <w:pPr>
              <w:rPr>
                <w:rFonts w:cstheme="minorHAnsi"/>
                <w:sz w:val="16"/>
                <w:szCs w:val="16"/>
              </w:rPr>
            </w:pPr>
          </w:p>
        </w:tc>
        <w:tc>
          <w:tcPr>
            <w:tcW w:w="6805" w:type="dxa"/>
          </w:tcPr>
          <w:p w:rsidR="00E67910" w:rsidRPr="00B2408F" w:rsidRDefault="00E67910" w:rsidP="001C5E69">
            <w:pPr>
              <w:ind w:left="305" w:hanging="305"/>
              <w:rPr>
                <w:rFonts w:cstheme="minorHAnsi"/>
                <w:sz w:val="18"/>
                <w:szCs w:val="18"/>
              </w:rPr>
            </w:pPr>
          </w:p>
        </w:tc>
        <w:tc>
          <w:tcPr>
            <w:tcW w:w="236" w:type="dxa"/>
          </w:tcPr>
          <w:p w:rsidR="00E67910" w:rsidRPr="00EC7F6A" w:rsidRDefault="00E67910" w:rsidP="00892EBA">
            <w:pPr>
              <w:rPr>
                <w:rFonts w:cstheme="minorHAnsi"/>
                <w:sz w:val="16"/>
                <w:szCs w:val="16"/>
              </w:rPr>
            </w:pPr>
          </w:p>
        </w:tc>
        <w:tc>
          <w:tcPr>
            <w:tcW w:w="1834" w:type="dxa"/>
            <w:shd w:val="clear" w:color="auto" w:fill="auto"/>
            <w:vAlign w:val="center"/>
          </w:tcPr>
          <w:p w:rsidR="00E67910" w:rsidRPr="00F42A9B" w:rsidRDefault="00E67910" w:rsidP="00AA256F">
            <w:pPr>
              <w:jc w:val="center"/>
              <w:rPr>
                <w:rFonts w:cstheme="minorHAnsi"/>
                <w:b/>
                <w:sz w:val="24"/>
                <w:szCs w:val="24"/>
              </w:rPr>
            </w:pPr>
          </w:p>
        </w:tc>
        <w:tc>
          <w:tcPr>
            <w:tcW w:w="720" w:type="dxa"/>
          </w:tcPr>
          <w:p w:rsidR="00E67910" w:rsidRPr="00F42A9B" w:rsidRDefault="00E67910" w:rsidP="00AA256F">
            <w:pPr>
              <w:jc w:val="center"/>
              <w:rPr>
                <w:rFonts w:cstheme="minorHAnsi"/>
                <w:sz w:val="24"/>
                <w:szCs w:val="24"/>
              </w:rPr>
            </w:pPr>
          </w:p>
        </w:tc>
        <w:tc>
          <w:tcPr>
            <w:tcW w:w="672" w:type="dxa"/>
            <w:vAlign w:val="center"/>
          </w:tcPr>
          <w:p w:rsidR="00E67910" w:rsidRPr="00EC7F6A" w:rsidRDefault="00E67910" w:rsidP="00AA256F">
            <w:pPr>
              <w:jc w:val="center"/>
              <w:rPr>
                <w:rFonts w:cstheme="minorHAnsi"/>
                <w:sz w:val="16"/>
                <w:szCs w:val="16"/>
              </w:rPr>
            </w:pPr>
          </w:p>
        </w:tc>
        <w:tc>
          <w:tcPr>
            <w:tcW w:w="2096" w:type="dxa"/>
            <w:shd w:val="clear" w:color="auto" w:fill="FFFFFF" w:themeFill="background1"/>
            <w:vAlign w:val="center"/>
          </w:tcPr>
          <w:p w:rsidR="00E67910" w:rsidRPr="009276B0" w:rsidRDefault="00E67910" w:rsidP="009276B0">
            <w:pPr>
              <w:jc w:val="center"/>
              <w:rPr>
                <w:rFonts w:cstheme="minorHAnsi"/>
                <w:b/>
                <w:sz w:val="20"/>
                <w:szCs w:val="20"/>
              </w:rPr>
            </w:pPr>
          </w:p>
        </w:tc>
        <w:tc>
          <w:tcPr>
            <w:tcW w:w="726" w:type="dxa"/>
          </w:tcPr>
          <w:p w:rsidR="00E67910" w:rsidRPr="00EC7F6A" w:rsidRDefault="00E67910" w:rsidP="00892EBA">
            <w:pPr>
              <w:rPr>
                <w:rFonts w:cstheme="minorHAnsi"/>
                <w:sz w:val="16"/>
                <w:szCs w:val="16"/>
              </w:rPr>
            </w:pPr>
          </w:p>
        </w:tc>
        <w:tc>
          <w:tcPr>
            <w:tcW w:w="2224" w:type="dxa"/>
            <w:vMerge/>
            <w:shd w:val="clear" w:color="auto" w:fill="C2D69B" w:themeFill="accent3" w:themeFillTint="99"/>
          </w:tcPr>
          <w:p w:rsidR="00E67910" w:rsidRPr="00EC7F6A" w:rsidRDefault="00E67910" w:rsidP="00892EBA">
            <w:pPr>
              <w:rPr>
                <w:rFonts w:cstheme="minorHAnsi"/>
                <w:sz w:val="16"/>
                <w:szCs w:val="16"/>
              </w:rPr>
            </w:pPr>
          </w:p>
        </w:tc>
        <w:tc>
          <w:tcPr>
            <w:tcW w:w="720" w:type="dxa"/>
            <w:shd w:val="clear" w:color="auto" w:fill="auto"/>
          </w:tcPr>
          <w:p w:rsidR="00E67910" w:rsidRPr="00EC7F6A" w:rsidRDefault="00E67910" w:rsidP="00892EBA">
            <w:pPr>
              <w:rPr>
                <w:rFonts w:cstheme="minorHAnsi"/>
                <w:sz w:val="16"/>
                <w:szCs w:val="16"/>
              </w:rPr>
            </w:pPr>
          </w:p>
        </w:tc>
        <w:tc>
          <w:tcPr>
            <w:tcW w:w="2079" w:type="dxa"/>
            <w:vMerge/>
            <w:shd w:val="clear" w:color="auto" w:fill="F2F2F2" w:themeFill="background1" w:themeFillShade="F2"/>
          </w:tcPr>
          <w:p w:rsidR="00E67910" w:rsidRPr="00EC7F6A" w:rsidRDefault="00E67910" w:rsidP="00892EBA">
            <w:pPr>
              <w:rPr>
                <w:rFonts w:cstheme="minorHAnsi"/>
                <w:sz w:val="16"/>
                <w:szCs w:val="16"/>
              </w:rPr>
            </w:pPr>
          </w:p>
        </w:tc>
      </w:tr>
      <w:tr w:rsidR="00E67910" w:rsidRPr="00EC7F6A" w:rsidTr="00B2408F">
        <w:trPr>
          <w:trHeight w:val="195"/>
        </w:trPr>
        <w:tc>
          <w:tcPr>
            <w:tcW w:w="233" w:type="dxa"/>
            <w:vMerge w:val="restart"/>
          </w:tcPr>
          <w:p w:rsidR="00E67910" w:rsidRPr="00EC7F6A" w:rsidRDefault="00E67910" w:rsidP="00892EBA">
            <w:pPr>
              <w:rPr>
                <w:rFonts w:cstheme="minorHAnsi"/>
                <w:sz w:val="16"/>
                <w:szCs w:val="16"/>
              </w:rPr>
            </w:pPr>
          </w:p>
        </w:tc>
        <w:tc>
          <w:tcPr>
            <w:tcW w:w="6805" w:type="dxa"/>
            <w:vMerge w:val="restart"/>
            <w:shd w:val="clear" w:color="auto" w:fill="EAF1DD" w:themeFill="accent3" w:themeFillTint="33"/>
          </w:tcPr>
          <w:p w:rsidR="00E67910" w:rsidRPr="00B2408F" w:rsidRDefault="00E67910" w:rsidP="001C5E69">
            <w:pPr>
              <w:ind w:left="305" w:hanging="305"/>
              <w:rPr>
                <w:rFonts w:cstheme="minorHAnsi"/>
                <w:sz w:val="18"/>
                <w:szCs w:val="18"/>
              </w:rPr>
            </w:pPr>
            <w:r w:rsidRPr="00B2408F">
              <w:rPr>
                <w:rFonts w:cstheme="minorHAnsi"/>
                <w:sz w:val="18"/>
                <w:szCs w:val="18"/>
              </w:rPr>
              <w:t>Multi-Payer ACOs Coordination and Peer Support</w:t>
            </w:r>
          </w:p>
          <w:p w:rsidR="00E67910" w:rsidRPr="00B2408F" w:rsidRDefault="00E67910" w:rsidP="001C5E69">
            <w:pPr>
              <w:ind w:left="305" w:hanging="305"/>
              <w:rPr>
                <w:rFonts w:cstheme="minorHAnsi"/>
                <w:sz w:val="18"/>
                <w:szCs w:val="18"/>
              </w:rPr>
            </w:pPr>
            <w:r w:rsidRPr="00B2408F">
              <w:rPr>
                <w:rFonts w:cstheme="minorHAnsi"/>
                <w:sz w:val="18"/>
                <w:szCs w:val="18"/>
              </w:rPr>
              <w:t xml:space="preserve">VBID Facilitation </w:t>
            </w:r>
          </w:p>
          <w:p w:rsidR="00E67910" w:rsidRPr="00B2408F" w:rsidRDefault="00E67910" w:rsidP="001C5E69">
            <w:pPr>
              <w:ind w:left="305" w:hanging="305"/>
              <w:rPr>
                <w:rFonts w:cstheme="minorHAnsi"/>
                <w:sz w:val="18"/>
                <w:szCs w:val="18"/>
              </w:rPr>
            </w:pPr>
            <w:r w:rsidRPr="00B2408F">
              <w:rPr>
                <w:rFonts w:cstheme="minorHAnsi"/>
                <w:sz w:val="18"/>
                <w:szCs w:val="18"/>
              </w:rPr>
              <w:t xml:space="preserve">Broaden </w:t>
            </w:r>
            <w:r w:rsidR="00E44AFB">
              <w:rPr>
                <w:rFonts w:cstheme="minorHAnsi"/>
                <w:sz w:val="18"/>
                <w:szCs w:val="18"/>
              </w:rPr>
              <w:t xml:space="preserve">Maine Health Management Coalition </w:t>
            </w:r>
            <w:r w:rsidRPr="00B2408F">
              <w:rPr>
                <w:rFonts w:cstheme="minorHAnsi"/>
                <w:sz w:val="18"/>
                <w:szCs w:val="18"/>
              </w:rPr>
              <w:t xml:space="preserve">Employee Activation Group </w:t>
            </w:r>
          </w:p>
          <w:p w:rsidR="00E67910" w:rsidRPr="00B2408F" w:rsidRDefault="00E67910" w:rsidP="001C5E69">
            <w:pPr>
              <w:ind w:left="305" w:hanging="305"/>
              <w:rPr>
                <w:rFonts w:cstheme="minorHAnsi"/>
                <w:sz w:val="18"/>
                <w:szCs w:val="18"/>
              </w:rPr>
            </w:pPr>
            <w:r w:rsidRPr="00B2408F">
              <w:rPr>
                <w:rFonts w:cstheme="minorHAnsi"/>
                <w:sz w:val="18"/>
                <w:szCs w:val="18"/>
              </w:rPr>
              <w:t>CEO Summit</w:t>
            </w:r>
          </w:p>
          <w:p w:rsidR="00E67910" w:rsidRPr="00B2408F" w:rsidRDefault="00E67910" w:rsidP="001C5E69">
            <w:pPr>
              <w:ind w:left="305" w:hanging="305"/>
              <w:rPr>
                <w:rFonts w:cstheme="minorHAnsi"/>
                <w:sz w:val="18"/>
                <w:szCs w:val="18"/>
                <w:vertAlign w:val="superscript"/>
              </w:rPr>
            </w:pPr>
            <w:r w:rsidRPr="00B2408F">
              <w:rPr>
                <w:rFonts w:cstheme="minorHAnsi"/>
                <w:sz w:val="18"/>
                <w:szCs w:val="18"/>
              </w:rPr>
              <w:t>ACI Workgroup</w:t>
            </w:r>
          </w:p>
          <w:p w:rsidR="00E67910" w:rsidRPr="00B2408F" w:rsidRDefault="00E67910" w:rsidP="001C5E69">
            <w:pPr>
              <w:ind w:left="305" w:hanging="305"/>
              <w:rPr>
                <w:rFonts w:cstheme="minorHAnsi"/>
                <w:sz w:val="18"/>
                <w:szCs w:val="18"/>
              </w:rPr>
            </w:pPr>
            <w:r w:rsidRPr="00B2408F">
              <w:rPr>
                <w:rFonts w:cstheme="minorHAnsi"/>
                <w:sz w:val="18"/>
                <w:szCs w:val="18"/>
              </w:rPr>
              <w:t>Consumer Engagement forums and education regarding Payment and System Delivery Reform</w:t>
            </w:r>
          </w:p>
          <w:p w:rsidR="00E67910" w:rsidRPr="00B2408F" w:rsidRDefault="00E67910" w:rsidP="001C5E69">
            <w:pPr>
              <w:ind w:left="305" w:hanging="305"/>
              <w:rPr>
                <w:rFonts w:cstheme="minorHAnsi"/>
                <w:sz w:val="18"/>
                <w:szCs w:val="18"/>
              </w:rPr>
            </w:pPr>
            <w:r w:rsidRPr="00B2408F">
              <w:rPr>
                <w:rFonts w:cstheme="minorHAnsi"/>
                <w:sz w:val="18"/>
                <w:szCs w:val="18"/>
              </w:rPr>
              <w:t xml:space="preserve">Leverage Existing Work/Best Practices with Partners, such as: Improving Health Outcomes for Children (IHOC), Child Health Insurance Program (CHIP-RA) and Advisory Board, Balancing Incentives (Office of </w:t>
            </w:r>
            <w:r w:rsidR="00876490">
              <w:rPr>
                <w:rFonts w:cstheme="minorHAnsi"/>
                <w:sz w:val="18"/>
                <w:szCs w:val="18"/>
              </w:rPr>
              <w:t>Aging</w:t>
            </w:r>
            <w:r w:rsidRPr="00B2408F">
              <w:rPr>
                <w:rFonts w:cstheme="minorHAnsi"/>
                <w:sz w:val="18"/>
                <w:szCs w:val="18"/>
              </w:rPr>
              <w:t xml:space="preserve"> and Disability Services), Health Information Technology (HIT-SC )and State Coordinator</w:t>
            </w:r>
          </w:p>
          <w:p w:rsidR="00E67910" w:rsidRPr="00B2408F" w:rsidRDefault="00E67910" w:rsidP="001C5E69">
            <w:pPr>
              <w:ind w:left="305" w:hanging="305"/>
              <w:rPr>
                <w:rFonts w:cstheme="minorHAnsi"/>
                <w:sz w:val="18"/>
                <w:szCs w:val="18"/>
              </w:rPr>
            </w:pPr>
          </w:p>
        </w:tc>
        <w:tc>
          <w:tcPr>
            <w:tcW w:w="236" w:type="dxa"/>
            <w:vMerge w:val="restart"/>
            <w:shd w:val="clear" w:color="auto" w:fill="EAF1DD" w:themeFill="accent3" w:themeFillTint="33"/>
          </w:tcPr>
          <w:p w:rsidR="00E67910" w:rsidRPr="00EC7F6A" w:rsidRDefault="00E67910" w:rsidP="006D1F06">
            <w:pPr>
              <w:rPr>
                <w:rFonts w:cstheme="minorHAnsi"/>
                <w:sz w:val="16"/>
                <w:szCs w:val="16"/>
              </w:rPr>
            </w:pPr>
          </w:p>
        </w:tc>
        <w:tc>
          <w:tcPr>
            <w:tcW w:w="1834" w:type="dxa"/>
            <w:vMerge w:val="restart"/>
            <w:shd w:val="clear" w:color="auto" w:fill="EAF1DD" w:themeFill="accent3" w:themeFillTint="33"/>
            <w:vAlign w:val="center"/>
          </w:tcPr>
          <w:p w:rsidR="00E67910" w:rsidRPr="00F42A9B" w:rsidRDefault="00E67910" w:rsidP="009276B0">
            <w:pPr>
              <w:jc w:val="center"/>
              <w:rPr>
                <w:rFonts w:cstheme="minorHAnsi"/>
                <w:b/>
                <w:sz w:val="24"/>
                <w:szCs w:val="24"/>
              </w:rPr>
            </w:pPr>
            <w:r w:rsidRPr="00F42A9B">
              <w:rPr>
                <w:rFonts w:cstheme="minorHAnsi"/>
                <w:b/>
                <w:sz w:val="24"/>
                <w:szCs w:val="24"/>
              </w:rPr>
              <w:t>Multi-Stakeholder Coalition Building and Support</w:t>
            </w:r>
          </w:p>
        </w:tc>
        <w:tc>
          <w:tcPr>
            <w:tcW w:w="720" w:type="dxa"/>
            <w:vMerge w:val="restart"/>
          </w:tcPr>
          <w:p w:rsidR="00E67910" w:rsidRPr="00F42A9B" w:rsidRDefault="00E67910" w:rsidP="00AA256F">
            <w:pPr>
              <w:jc w:val="center"/>
              <w:rPr>
                <w:rFonts w:cstheme="minorHAnsi"/>
                <w:sz w:val="24"/>
                <w:szCs w:val="24"/>
              </w:rPr>
            </w:pPr>
          </w:p>
        </w:tc>
        <w:tc>
          <w:tcPr>
            <w:tcW w:w="672" w:type="dxa"/>
            <w:vMerge w:val="restart"/>
            <w:vAlign w:val="center"/>
          </w:tcPr>
          <w:p w:rsidR="00E67910" w:rsidRPr="00EC7F6A" w:rsidRDefault="00E67910" w:rsidP="00AA256F">
            <w:pPr>
              <w:jc w:val="center"/>
              <w:rPr>
                <w:rFonts w:cstheme="minorHAnsi"/>
                <w:sz w:val="16"/>
                <w:szCs w:val="16"/>
              </w:rPr>
            </w:pPr>
          </w:p>
          <w:p w:rsidR="00E67910" w:rsidRPr="00EC7F6A" w:rsidRDefault="00E67910" w:rsidP="00AA256F">
            <w:pPr>
              <w:jc w:val="center"/>
              <w:rPr>
                <w:rFonts w:cstheme="minorHAnsi"/>
                <w:sz w:val="16"/>
                <w:szCs w:val="16"/>
              </w:rPr>
            </w:pPr>
          </w:p>
        </w:tc>
        <w:tc>
          <w:tcPr>
            <w:tcW w:w="2096" w:type="dxa"/>
            <w:vMerge w:val="restart"/>
            <w:shd w:val="clear" w:color="auto" w:fill="C2D69B" w:themeFill="accent3" w:themeFillTint="99"/>
            <w:vAlign w:val="center"/>
          </w:tcPr>
          <w:p w:rsidR="00E67910" w:rsidRPr="009276B0" w:rsidRDefault="00E67910" w:rsidP="001471F0">
            <w:pPr>
              <w:jc w:val="center"/>
              <w:rPr>
                <w:rFonts w:cstheme="minorHAnsi"/>
                <w:b/>
                <w:sz w:val="20"/>
                <w:szCs w:val="20"/>
              </w:rPr>
            </w:pPr>
            <w:r w:rsidRPr="009276B0">
              <w:rPr>
                <w:rFonts w:cstheme="minorHAnsi"/>
                <w:b/>
                <w:sz w:val="20"/>
                <w:szCs w:val="20"/>
              </w:rPr>
              <w:t>Consumer Engagement</w:t>
            </w:r>
          </w:p>
        </w:tc>
        <w:tc>
          <w:tcPr>
            <w:tcW w:w="726" w:type="dxa"/>
            <w:vMerge w:val="restart"/>
          </w:tcPr>
          <w:p w:rsidR="00E67910" w:rsidRPr="00EC7F6A" w:rsidRDefault="00E67910" w:rsidP="00892EBA">
            <w:pPr>
              <w:rPr>
                <w:rFonts w:cstheme="minorHAnsi"/>
                <w:sz w:val="16"/>
                <w:szCs w:val="16"/>
              </w:rPr>
            </w:pPr>
          </w:p>
        </w:tc>
        <w:tc>
          <w:tcPr>
            <w:tcW w:w="2224" w:type="dxa"/>
            <w:vMerge/>
            <w:shd w:val="clear" w:color="auto" w:fill="C2D69B" w:themeFill="accent3" w:themeFillTint="99"/>
          </w:tcPr>
          <w:p w:rsidR="00E67910" w:rsidRPr="00EC7F6A" w:rsidRDefault="00E67910" w:rsidP="00892EBA">
            <w:pPr>
              <w:rPr>
                <w:rFonts w:cstheme="minorHAnsi"/>
                <w:sz w:val="16"/>
                <w:szCs w:val="16"/>
              </w:rPr>
            </w:pPr>
          </w:p>
        </w:tc>
        <w:tc>
          <w:tcPr>
            <w:tcW w:w="720" w:type="dxa"/>
            <w:shd w:val="clear" w:color="auto" w:fill="auto"/>
          </w:tcPr>
          <w:p w:rsidR="00E67910" w:rsidRPr="00EC7F6A" w:rsidRDefault="00E67910" w:rsidP="00892EBA">
            <w:pPr>
              <w:rPr>
                <w:rFonts w:cstheme="minorHAnsi"/>
                <w:sz w:val="16"/>
                <w:szCs w:val="16"/>
              </w:rPr>
            </w:pPr>
          </w:p>
        </w:tc>
        <w:tc>
          <w:tcPr>
            <w:tcW w:w="2079" w:type="dxa"/>
            <w:vMerge/>
            <w:shd w:val="clear" w:color="auto" w:fill="F2F2F2" w:themeFill="background1" w:themeFillShade="F2"/>
          </w:tcPr>
          <w:p w:rsidR="00E67910" w:rsidRPr="00EC7F6A" w:rsidRDefault="00E67910" w:rsidP="00892EBA">
            <w:pPr>
              <w:rPr>
                <w:rFonts w:cstheme="minorHAnsi"/>
                <w:sz w:val="16"/>
                <w:szCs w:val="16"/>
              </w:rPr>
            </w:pPr>
          </w:p>
        </w:tc>
      </w:tr>
      <w:tr w:rsidR="00E67910" w:rsidRPr="00EC7F6A" w:rsidTr="00B2408F">
        <w:trPr>
          <w:trHeight w:val="130"/>
        </w:trPr>
        <w:tc>
          <w:tcPr>
            <w:tcW w:w="233" w:type="dxa"/>
            <w:vMerge/>
          </w:tcPr>
          <w:p w:rsidR="00E67910" w:rsidRPr="00EC7F6A" w:rsidRDefault="00E67910" w:rsidP="00892EBA">
            <w:pPr>
              <w:rPr>
                <w:rFonts w:cstheme="minorHAnsi"/>
                <w:sz w:val="16"/>
                <w:szCs w:val="16"/>
              </w:rPr>
            </w:pPr>
          </w:p>
        </w:tc>
        <w:tc>
          <w:tcPr>
            <w:tcW w:w="6805" w:type="dxa"/>
            <w:vMerge/>
            <w:shd w:val="clear" w:color="auto" w:fill="EAF1DD" w:themeFill="accent3" w:themeFillTint="33"/>
          </w:tcPr>
          <w:p w:rsidR="00E67910" w:rsidRPr="00AA256F" w:rsidRDefault="00E67910" w:rsidP="00AC4EBD">
            <w:pPr>
              <w:rPr>
                <w:rFonts w:cstheme="minorHAnsi"/>
                <w:sz w:val="16"/>
                <w:szCs w:val="16"/>
              </w:rPr>
            </w:pPr>
          </w:p>
        </w:tc>
        <w:tc>
          <w:tcPr>
            <w:tcW w:w="236" w:type="dxa"/>
            <w:vMerge/>
            <w:shd w:val="clear" w:color="auto" w:fill="EAF1DD" w:themeFill="accent3" w:themeFillTint="33"/>
          </w:tcPr>
          <w:p w:rsidR="00E67910" w:rsidRPr="00EC7F6A" w:rsidRDefault="00E67910" w:rsidP="00892EBA">
            <w:pPr>
              <w:rPr>
                <w:rFonts w:cstheme="minorHAnsi"/>
                <w:sz w:val="16"/>
                <w:szCs w:val="16"/>
              </w:rPr>
            </w:pPr>
          </w:p>
        </w:tc>
        <w:tc>
          <w:tcPr>
            <w:tcW w:w="1834" w:type="dxa"/>
            <w:vMerge/>
            <w:shd w:val="clear" w:color="auto" w:fill="EAF1DD" w:themeFill="accent3" w:themeFillTint="33"/>
            <w:vAlign w:val="center"/>
          </w:tcPr>
          <w:p w:rsidR="00E67910" w:rsidRPr="009276B0" w:rsidRDefault="00E67910" w:rsidP="009276B0">
            <w:pPr>
              <w:jc w:val="center"/>
              <w:rPr>
                <w:rFonts w:cstheme="minorHAnsi"/>
                <w:b/>
                <w:sz w:val="20"/>
                <w:szCs w:val="20"/>
              </w:rPr>
            </w:pPr>
          </w:p>
        </w:tc>
        <w:tc>
          <w:tcPr>
            <w:tcW w:w="720" w:type="dxa"/>
            <w:vMerge/>
          </w:tcPr>
          <w:p w:rsidR="00E67910" w:rsidRPr="00EC7F6A" w:rsidRDefault="00E67910" w:rsidP="00AA256F">
            <w:pPr>
              <w:jc w:val="center"/>
              <w:rPr>
                <w:rFonts w:cstheme="minorHAnsi"/>
                <w:sz w:val="16"/>
                <w:szCs w:val="16"/>
              </w:rPr>
            </w:pPr>
          </w:p>
        </w:tc>
        <w:tc>
          <w:tcPr>
            <w:tcW w:w="672" w:type="dxa"/>
            <w:vMerge/>
            <w:vAlign w:val="center"/>
          </w:tcPr>
          <w:p w:rsidR="00E67910" w:rsidRPr="00EC7F6A" w:rsidRDefault="00E67910" w:rsidP="00AA256F">
            <w:pPr>
              <w:jc w:val="center"/>
              <w:rPr>
                <w:rFonts w:cstheme="minorHAnsi"/>
                <w:sz w:val="16"/>
                <w:szCs w:val="16"/>
              </w:rPr>
            </w:pPr>
          </w:p>
        </w:tc>
        <w:tc>
          <w:tcPr>
            <w:tcW w:w="2096" w:type="dxa"/>
            <w:vMerge/>
            <w:vAlign w:val="center"/>
          </w:tcPr>
          <w:p w:rsidR="00E67910" w:rsidRPr="009276B0" w:rsidRDefault="00E67910" w:rsidP="001471F0">
            <w:pPr>
              <w:jc w:val="center"/>
              <w:rPr>
                <w:rFonts w:cstheme="minorHAnsi"/>
                <w:b/>
                <w:sz w:val="20"/>
                <w:szCs w:val="20"/>
              </w:rPr>
            </w:pPr>
          </w:p>
        </w:tc>
        <w:tc>
          <w:tcPr>
            <w:tcW w:w="726" w:type="dxa"/>
            <w:vMerge/>
          </w:tcPr>
          <w:p w:rsidR="00E67910" w:rsidRPr="00EC7F6A" w:rsidRDefault="00E67910" w:rsidP="00892EBA">
            <w:pPr>
              <w:rPr>
                <w:rFonts w:cstheme="minorHAnsi"/>
                <w:sz w:val="16"/>
                <w:szCs w:val="16"/>
              </w:rPr>
            </w:pPr>
          </w:p>
        </w:tc>
        <w:tc>
          <w:tcPr>
            <w:tcW w:w="2224" w:type="dxa"/>
            <w:vMerge/>
            <w:shd w:val="clear" w:color="auto" w:fill="C2D69B" w:themeFill="accent3" w:themeFillTint="99"/>
          </w:tcPr>
          <w:p w:rsidR="00E67910" w:rsidRPr="00EC7F6A" w:rsidRDefault="00E67910" w:rsidP="00892EBA">
            <w:pPr>
              <w:rPr>
                <w:rFonts w:cstheme="minorHAnsi"/>
                <w:sz w:val="16"/>
                <w:szCs w:val="16"/>
              </w:rPr>
            </w:pPr>
          </w:p>
        </w:tc>
        <w:tc>
          <w:tcPr>
            <w:tcW w:w="720" w:type="dxa"/>
            <w:shd w:val="clear" w:color="auto" w:fill="auto"/>
          </w:tcPr>
          <w:p w:rsidR="00E67910" w:rsidRPr="00EC7F6A" w:rsidRDefault="00E67910" w:rsidP="00892EBA">
            <w:pPr>
              <w:rPr>
                <w:rFonts w:cstheme="minorHAnsi"/>
                <w:sz w:val="16"/>
                <w:szCs w:val="16"/>
              </w:rPr>
            </w:pPr>
          </w:p>
        </w:tc>
        <w:tc>
          <w:tcPr>
            <w:tcW w:w="2079" w:type="dxa"/>
            <w:vMerge/>
            <w:shd w:val="clear" w:color="auto" w:fill="F2F2F2" w:themeFill="background1" w:themeFillShade="F2"/>
          </w:tcPr>
          <w:p w:rsidR="00E67910" w:rsidRPr="00EC7F6A" w:rsidRDefault="00E67910" w:rsidP="00892EBA">
            <w:pPr>
              <w:rPr>
                <w:rFonts w:cstheme="minorHAnsi"/>
                <w:sz w:val="16"/>
                <w:szCs w:val="16"/>
              </w:rPr>
            </w:pPr>
          </w:p>
        </w:tc>
      </w:tr>
      <w:tr w:rsidR="00E67910" w:rsidRPr="00EC7F6A" w:rsidTr="00B2408F">
        <w:trPr>
          <w:trHeight w:val="1448"/>
        </w:trPr>
        <w:tc>
          <w:tcPr>
            <w:tcW w:w="233" w:type="dxa"/>
            <w:vMerge/>
          </w:tcPr>
          <w:p w:rsidR="00E67910" w:rsidRPr="00EC7F6A" w:rsidRDefault="00E67910" w:rsidP="00892EBA">
            <w:pPr>
              <w:rPr>
                <w:rFonts w:cstheme="minorHAnsi"/>
                <w:sz w:val="16"/>
                <w:szCs w:val="16"/>
              </w:rPr>
            </w:pPr>
          </w:p>
        </w:tc>
        <w:tc>
          <w:tcPr>
            <w:tcW w:w="6805" w:type="dxa"/>
            <w:vMerge/>
            <w:shd w:val="clear" w:color="auto" w:fill="EAF1DD" w:themeFill="accent3" w:themeFillTint="33"/>
          </w:tcPr>
          <w:p w:rsidR="00E67910" w:rsidRPr="00AA256F" w:rsidRDefault="00E67910" w:rsidP="00AC4EBD">
            <w:pPr>
              <w:rPr>
                <w:rFonts w:cstheme="minorHAnsi"/>
                <w:sz w:val="16"/>
                <w:szCs w:val="16"/>
              </w:rPr>
            </w:pPr>
          </w:p>
        </w:tc>
        <w:tc>
          <w:tcPr>
            <w:tcW w:w="236" w:type="dxa"/>
            <w:vMerge/>
            <w:shd w:val="clear" w:color="auto" w:fill="EAF1DD" w:themeFill="accent3" w:themeFillTint="33"/>
          </w:tcPr>
          <w:p w:rsidR="00E67910" w:rsidRPr="00EC7F6A" w:rsidRDefault="00E67910" w:rsidP="00892EBA">
            <w:pPr>
              <w:rPr>
                <w:rFonts w:cstheme="minorHAnsi"/>
                <w:sz w:val="16"/>
                <w:szCs w:val="16"/>
              </w:rPr>
            </w:pPr>
          </w:p>
        </w:tc>
        <w:tc>
          <w:tcPr>
            <w:tcW w:w="1834" w:type="dxa"/>
            <w:vMerge/>
            <w:shd w:val="clear" w:color="auto" w:fill="EAF1DD" w:themeFill="accent3" w:themeFillTint="33"/>
            <w:vAlign w:val="center"/>
          </w:tcPr>
          <w:p w:rsidR="00E67910" w:rsidRPr="009276B0" w:rsidRDefault="00E67910" w:rsidP="009276B0">
            <w:pPr>
              <w:jc w:val="center"/>
              <w:rPr>
                <w:rFonts w:cstheme="minorHAnsi"/>
                <w:b/>
                <w:sz w:val="20"/>
                <w:szCs w:val="20"/>
              </w:rPr>
            </w:pPr>
          </w:p>
        </w:tc>
        <w:tc>
          <w:tcPr>
            <w:tcW w:w="720" w:type="dxa"/>
            <w:vMerge/>
          </w:tcPr>
          <w:p w:rsidR="00E67910" w:rsidRPr="00EC7F6A" w:rsidRDefault="00E67910" w:rsidP="00AA256F">
            <w:pPr>
              <w:jc w:val="center"/>
              <w:rPr>
                <w:rFonts w:cstheme="minorHAnsi"/>
                <w:sz w:val="16"/>
                <w:szCs w:val="16"/>
              </w:rPr>
            </w:pPr>
          </w:p>
        </w:tc>
        <w:tc>
          <w:tcPr>
            <w:tcW w:w="672" w:type="dxa"/>
            <w:vMerge/>
            <w:vAlign w:val="center"/>
          </w:tcPr>
          <w:p w:rsidR="00E67910" w:rsidRPr="00EC7F6A" w:rsidRDefault="00E67910" w:rsidP="00AA256F">
            <w:pPr>
              <w:jc w:val="center"/>
              <w:rPr>
                <w:rFonts w:cstheme="minorHAnsi"/>
                <w:sz w:val="16"/>
                <w:szCs w:val="16"/>
              </w:rPr>
            </w:pPr>
          </w:p>
        </w:tc>
        <w:tc>
          <w:tcPr>
            <w:tcW w:w="2096" w:type="dxa"/>
            <w:vMerge/>
            <w:shd w:val="clear" w:color="auto" w:fill="C2D69B" w:themeFill="accent3" w:themeFillTint="99"/>
            <w:vAlign w:val="center"/>
          </w:tcPr>
          <w:p w:rsidR="00E67910" w:rsidRPr="009276B0" w:rsidRDefault="00E67910" w:rsidP="001471F0">
            <w:pPr>
              <w:jc w:val="center"/>
              <w:rPr>
                <w:rFonts w:cstheme="minorHAnsi"/>
                <w:b/>
                <w:sz w:val="20"/>
                <w:szCs w:val="20"/>
              </w:rPr>
            </w:pPr>
          </w:p>
        </w:tc>
        <w:tc>
          <w:tcPr>
            <w:tcW w:w="726" w:type="dxa"/>
          </w:tcPr>
          <w:p w:rsidR="00E67910" w:rsidRPr="00EC7F6A" w:rsidRDefault="00E67910" w:rsidP="00892EBA">
            <w:pPr>
              <w:rPr>
                <w:rFonts w:cstheme="minorHAnsi"/>
                <w:sz w:val="16"/>
                <w:szCs w:val="16"/>
              </w:rPr>
            </w:pPr>
            <w:r>
              <w:rPr>
                <w:rFonts w:cstheme="minorHAnsi"/>
                <w:b/>
                <w:noProof/>
                <w:sz w:val="20"/>
                <w:szCs w:val="20"/>
              </w:rPr>
              <mc:AlternateContent>
                <mc:Choice Requires="wps">
                  <w:drawing>
                    <wp:anchor distT="0" distB="0" distL="114300" distR="114300" simplePos="0" relativeHeight="251829248" behindDoc="0" locked="0" layoutInCell="1" allowOverlap="1" wp14:anchorId="71F22221" wp14:editId="71143376">
                      <wp:simplePos x="0" y="0"/>
                      <wp:positionH relativeFrom="margin">
                        <wp:posOffset>31750</wp:posOffset>
                      </wp:positionH>
                      <wp:positionV relativeFrom="margin">
                        <wp:posOffset>254635</wp:posOffset>
                      </wp:positionV>
                      <wp:extent cx="314325" cy="359410"/>
                      <wp:effectExtent l="0" t="0" r="9525" b="2540"/>
                      <wp:wrapSquare wrapText="bothSides"/>
                      <wp:docPr id="41" name="Right Arrow 41"/>
                      <wp:cNvGraphicFramePr/>
                      <a:graphic xmlns:a="http://schemas.openxmlformats.org/drawingml/2006/main">
                        <a:graphicData uri="http://schemas.microsoft.com/office/word/2010/wordprocessingShape">
                          <wps:wsp>
                            <wps:cNvSpPr/>
                            <wps:spPr>
                              <a:xfrm>
                                <a:off x="0" y="0"/>
                                <a:ext cx="314325" cy="359410"/>
                              </a:xfrm>
                              <a:prstGeom prst="rightArrow">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1" o:spid="_x0000_s1026" type="#_x0000_t13" style="position:absolute;margin-left:2.5pt;margin-top:20.05pt;width:24.75pt;height:28.3pt;z-index:25182924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" adj="10800" fillcolor="#c2d69b [1942]" stroked="f" strokeweight="2pt">
                      <w10:wrap type="square" anchorx="margin" anchory="margin"/>
                    </v:shape>
                  </w:pict>
                </mc:Fallback>
              </mc:AlternateContent>
            </w:r>
          </w:p>
        </w:tc>
        <w:tc>
          <w:tcPr>
            <w:tcW w:w="2224" w:type="dxa"/>
            <w:vMerge/>
            <w:shd w:val="clear" w:color="auto" w:fill="C2D69B" w:themeFill="accent3" w:themeFillTint="99"/>
          </w:tcPr>
          <w:p w:rsidR="00E67910" w:rsidRPr="00EC7F6A" w:rsidRDefault="00E67910" w:rsidP="00892EBA">
            <w:pPr>
              <w:rPr>
                <w:rFonts w:cstheme="minorHAnsi"/>
                <w:sz w:val="16"/>
                <w:szCs w:val="16"/>
              </w:rPr>
            </w:pPr>
          </w:p>
        </w:tc>
        <w:tc>
          <w:tcPr>
            <w:tcW w:w="720" w:type="dxa"/>
            <w:shd w:val="clear" w:color="auto" w:fill="auto"/>
          </w:tcPr>
          <w:p w:rsidR="00E67910" w:rsidRPr="00EC7F6A" w:rsidRDefault="00E67910" w:rsidP="00892EBA">
            <w:pPr>
              <w:rPr>
                <w:rFonts w:cstheme="minorHAnsi"/>
                <w:sz w:val="16"/>
                <w:szCs w:val="16"/>
              </w:rPr>
            </w:pPr>
          </w:p>
        </w:tc>
        <w:tc>
          <w:tcPr>
            <w:tcW w:w="2079" w:type="dxa"/>
            <w:vMerge/>
            <w:shd w:val="clear" w:color="auto" w:fill="F2F2F2" w:themeFill="background1" w:themeFillShade="F2"/>
          </w:tcPr>
          <w:p w:rsidR="00E67910" w:rsidRPr="00EC7F6A" w:rsidRDefault="00E67910" w:rsidP="00892EBA">
            <w:pPr>
              <w:rPr>
                <w:rFonts w:cstheme="minorHAnsi"/>
                <w:sz w:val="16"/>
                <w:szCs w:val="16"/>
              </w:rPr>
            </w:pPr>
          </w:p>
        </w:tc>
      </w:tr>
      <w:tr w:rsidR="00E67910" w:rsidRPr="00EC7F6A" w:rsidTr="00B2408F">
        <w:tc>
          <w:tcPr>
            <w:tcW w:w="233" w:type="dxa"/>
          </w:tcPr>
          <w:p w:rsidR="00E67910" w:rsidRPr="00EC7F6A" w:rsidRDefault="00E67910" w:rsidP="00892EBA">
            <w:pPr>
              <w:rPr>
                <w:rFonts w:cstheme="minorHAnsi"/>
                <w:sz w:val="16"/>
                <w:szCs w:val="16"/>
              </w:rPr>
            </w:pPr>
          </w:p>
        </w:tc>
        <w:tc>
          <w:tcPr>
            <w:tcW w:w="6805" w:type="dxa"/>
          </w:tcPr>
          <w:p w:rsidR="00E67910" w:rsidRPr="00EC7F6A" w:rsidRDefault="00E67910" w:rsidP="00064A7A">
            <w:pPr>
              <w:rPr>
                <w:rFonts w:cstheme="minorHAnsi"/>
                <w:sz w:val="16"/>
                <w:szCs w:val="16"/>
              </w:rPr>
            </w:pPr>
          </w:p>
        </w:tc>
        <w:tc>
          <w:tcPr>
            <w:tcW w:w="236" w:type="dxa"/>
          </w:tcPr>
          <w:p w:rsidR="00E67910" w:rsidRPr="00EC7F6A" w:rsidRDefault="00E67910" w:rsidP="00892EBA">
            <w:pPr>
              <w:rPr>
                <w:rFonts w:cstheme="minorHAnsi"/>
                <w:sz w:val="16"/>
                <w:szCs w:val="16"/>
              </w:rPr>
            </w:pPr>
          </w:p>
        </w:tc>
        <w:tc>
          <w:tcPr>
            <w:tcW w:w="1834" w:type="dxa"/>
            <w:vAlign w:val="center"/>
          </w:tcPr>
          <w:p w:rsidR="00E67910" w:rsidRPr="00EC7F6A" w:rsidRDefault="00E67910" w:rsidP="00AA256F">
            <w:pPr>
              <w:jc w:val="center"/>
              <w:rPr>
                <w:rFonts w:cstheme="minorHAnsi"/>
                <w:sz w:val="16"/>
                <w:szCs w:val="16"/>
              </w:rPr>
            </w:pPr>
          </w:p>
        </w:tc>
        <w:tc>
          <w:tcPr>
            <w:tcW w:w="720" w:type="dxa"/>
          </w:tcPr>
          <w:p w:rsidR="00E67910" w:rsidRPr="00EC7F6A" w:rsidRDefault="00E67910" w:rsidP="00AA256F">
            <w:pPr>
              <w:jc w:val="center"/>
              <w:rPr>
                <w:rFonts w:cstheme="minorHAnsi"/>
                <w:sz w:val="16"/>
                <w:szCs w:val="16"/>
              </w:rPr>
            </w:pPr>
          </w:p>
        </w:tc>
        <w:tc>
          <w:tcPr>
            <w:tcW w:w="672" w:type="dxa"/>
            <w:vAlign w:val="center"/>
          </w:tcPr>
          <w:p w:rsidR="00E67910" w:rsidRPr="00EC7F6A" w:rsidRDefault="00E67910" w:rsidP="00AA256F">
            <w:pPr>
              <w:jc w:val="center"/>
              <w:rPr>
                <w:rFonts w:cstheme="minorHAnsi"/>
                <w:sz w:val="16"/>
                <w:szCs w:val="16"/>
              </w:rPr>
            </w:pPr>
          </w:p>
        </w:tc>
        <w:tc>
          <w:tcPr>
            <w:tcW w:w="2096" w:type="dxa"/>
            <w:vAlign w:val="center"/>
          </w:tcPr>
          <w:p w:rsidR="00E67910" w:rsidRPr="00EC7F6A" w:rsidRDefault="00E67910" w:rsidP="00AA256F">
            <w:pPr>
              <w:jc w:val="center"/>
              <w:rPr>
                <w:rFonts w:cstheme="minorHAnsi"/>
                <w:sz w:val="16"/>
                <w:szCs w:val="16"/>
              </w:rPr>
            </w:pPr>
          </w:p>
        </w:tc>
        <w:tc>
          <w:tcPr>
            <w:tcW w:w="726" w:type="dxa"/>
          </w:tcPr>
          <w:p w:rsidR="00E67910" w:rsidRPr="00EC7F6A" w:rsidRDefault="00E67910" w:rsidP="00892EBA">
            <w:pPr>
              <w:rPr>
                <w:rFonts w:cstheme="minorHAnsi"/>
                <w:sz w:val="16"/>
                <w:szCs w:val="16"/>
              </w:rPr>
            </w:pPr>
          </w:p>
        </w:tc>
        <w:tc>
          <w:tcPr>
            <w:tcW w:w="2224" w:type="dxa"/>
          </w:tcPr>
          <w:p w:rsidR="00E67910" w:rsidRPr="00EC7F6A" w:rsidRDefault="00E67910" w:rsidP="00892EBA">
            <w:pPr>
              <w:rPr>
                <w:rFonts w:cstheme="minorHAnsi"/>
                <w:sz w:val="16"/>
                <w:szCs w:val="16"/>
              </w:rPr>
            </w:pPr>
          </w:p>
        </w:tc>
        <w:tc>
          <w:tcPr>
            <w:tcW w:w="720" w:type="dxa"/>
          </w:tcPr>
          <w:p w:rsidR="00E67910" w:rsidRPr="00EC7F6A" w:rsidRDefault="00E67910" w:rsidP="00892EBA">
            <w:pPr>
              <w:rPr>
                <w:rFonts w:cstheme="minorHAnsi"/>
                <w:sz w:val="16"/>
                <w:szCs w:val="16"/>
              </w:rPr>
            </w:pPr>
          </w:p>
        </w:tc>
        <w:tc>
          <w:tcPr>
            <w:tcW w:w="2079" w:type="dxa"/>
          </w:tcPr>
          <w:p w:rsidR="00E67910" w:rsidRPr="00EC7F6A" w:rsidRDefault="00E67910" w:rsidP="00892EBA">
            <w:pPr>
              <w:rPr>
                <w:rFonts w:cstheme="minorHAnsi"/>
                <w:sz w:val="16"/>
                <w:szCs w:val="16"/>
              </w:rPr>
            </w:pPr>
          </w:p>
        </w:tc>
      </w:tr>
    </w:tbl>
    <w:p w:rsidR="00FD4BE2" w:rsidRDefault="00FD4BE2" w:rsidP="00B2408F"/>
    <w:sectPr w:rsidR="00FD4BE2" w:rsidSect="00B2408F">
      <w:footerReference w:type="default" r:id="rId9"/>
      <w:endnotePr>
        <w:numFmt w:val="decimal"/>
      </w:endnotePr>
      <w:pgSz w:w="20160" w:h="12240" w:orient="landscape" w:code="5"/>
      <w:pgMar w:top="1170" w:right="126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49" w:rsidRDefault="002E7849" w:rsidP="00CD06C1">
      <w:pPr>
        <w:spacing w:after="0" w:line="240" w:lineRule="auto"/>
      </w:pPr>
      <w:r>
        <w:separator/>
      </w:r>
    </w:p>
  </w:endnote>
  <w:endnote w:type="continuationSeparator" w:id="0">
    <w:p w:rsidR="002E7849" w:rsidRDefault="002E7849" w:rsidP="00CD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B9" w:rsidRDefault="009D74B9">
    <w:pPr>
      <w:pStyle w:val="Footer"/>
    </w:pPr>
    <w:r>
      <w:t>Draft Document for SIM: 07-</w:t>
    </w:r>
    <w:r w:rsidR="001471F0">
      <w:t>2</w:t>
    </w:r>
    <w:r w:rsidR="00C43389">
      <w:t>5</w:t>
    </w:r>
    <w:r>
      <w:t>-2103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49" w:rsidRDefault="002E7849" w:rsidP="00CD06C1">
      <w:pPr>
        <w:spacing w:after="0" w:line="240" w:lineRule="auto"/>
      </w:pPr>
      <w:r>
        <w:separator/>
      </w:r>
    </w:p>
  </w:footnote>
  <w:footnote w:type="continuationSeparator" w:id="0">
    <w:p w:rsidR="002E7849" w:rsidRDefault="002E7849" w:rsidP="00CD0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D29"/>
    <w:multiLevelType w:val="hybridMultilevel"/>
    <w:tmpl w:val="9608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517F8D"/>
    <w:multiLevelType w:val="hybridMultilevel"/>
    <w:tmpl w:val="7B003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C56DA"/>
    <w:multiLevelType w:val="hybridMultilevel"/>
    <w:tmpl w:val="7E1C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12F55"/>
    <w:multiLevelType w:val="hybridMultilevel"/>
    <w:tmpl w:val="1994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D0391"/>
    <w:multiLevelType w:val="hybridMultilevel"/>
    <w:tmpl w:val="01A44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991A50"/>
    <w:multiLevelType w:val="hybridMultilevel"/>
    <w:tmpl w:val="66BA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D2689"/>
    <w:multiLevelType w:val="hybridMultilevel"/>
    <w:tmpl w:val="22CC2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272D02"/>
    <w:multiLevelType w:val="hybridMultilevel"/>
    <w:tmpl w:val="D1A4FF66"/>
    <w:lvl w:ilvl="0" w:tplc="04090001">
      <w:start w:val="1"/>
      <w:numFmt w:val="bullet"/>
      <w:lvlText w:val=""/>
      <w:lvlJc w:val="left"/>
      <w:pPr>
        <w:ind w:left="1330" w:hanging="360"/>
      </w:pPr>
      <w:rPr>
        <w:rFonts w:ascii="Symbol" w:hAnsi="Symbol"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8">
    <w:nsid w:val="4B3730F9"/>
    <w:multiLevelType w:val="hybridMultilevel"/>
    <w:tmpl w:val="F4D6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71C69"/>
    <w:multiLevelType w:val="hybridMultilevel"/>
    <w:tmpl w:val="90185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974C2"/>
    <w:multiLevelType w:val="hybridMultilevel"/>
    <w:tmpl w:val="2674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A384B"/>
    <w:multiLevelType w:val="hybridMultilevel"/>
    <w:tmpl w:val="89480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BB4593"/>
    <w:multiLevelType w:val="hybridMultilevel"/>
    <w:tmpl w:val="FB2A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240F3C"/>
    <w:multiLevelType w:val="hybridMultilevel"/>
    <w:tmpl w:val="57B6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2D44D0"/>
    <w:multiLevelType w:val="hybridMultilevel"/>
    <w:tmpl w:val="58CA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12"/>
  </w:num>
  <w:num w:numId="6">
    <w:abstractNumId w:val="11"/>
  </w:num>
  <w:num w:numId="7">
    <w:abstractNumId w:val="4"/>
  </w:num>
  <w:num w:numId="8">
    <w:abstractNumId w:val="6"/>
  </w:num>
  <w:num w:numId="9">
    <w:abstractNumId w:val="5"/>
  </w:num>
  <w:num w:numId="10">
    <w:abstractNumId w:val="14"/>
  </w:num>
  <w:num w:numId="11">
    <w:abstractNumId w:val="13"/>
  </w:num>
  <w:num w:numId="12">
    <w:abstractNumId w:val="10"/>
  </w:num>
  <w:num w:numId="13">
    <w:abstractNumId w:va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4F"/>
    <w:rsid w:val="00006D45"/>
    <w:rsid w:val="000378CF"/>
    <w:rsid w:val="00063D0F"/>
    <w:rsid w:val="00066B94"/>
    <w:rsid w:val="000713DA"/>
    <w:rsid w:val="00074DB1"/>
    <w:rsid w:val="0012092E"/>
    <w:rsid w:val="001471F0"/>
    <w:rsid w:val="00152C18"/>
    <w:rsid w:val="00157F21"/>
    <w:rsid w:val="001C5E69"/>
    <w:rsid w:val="0020146D"/>
    <w:rsid w:val="00203D0D"/>
    <w:rsid w:val="00213BDC"/>
    <w:rsid w:val="00295152"/>
    <w:rsid w:val="002E7849"/>
    <w:rsid w:val="00326DFA"/>
    <w:rsid w:val="003474D5"/>
    <w:rsid w:val="003E174F"/>
    <w:rsid w:val="00454C27"/>
    <w:rsid w:val="004C6C78"/>
    <w:rsid w:val="004D182C"/>
    <w:rsid w:val="005A4BE6"/>
    <w:rsid w:val="005B47C1"/>
    <w:rsid w:val="005F1413"/>
    <w:rsid w:val="005F1427"/>
    <w:rsid w:val="00611B1A"/>
    <w:rsid w:val="006525EE"/>
    <w:rsid w:val="006876DA"/>
    <w:rsid w:val="00701194"/>
    <w:rsid w:val="00707629"/>
    <w:rsid w:val="00777F9B"/>
    <w:rsid w:val="0078776E"/>
    <w:rsid w:val="0082793B"/>
    <w:rsid w:val="00876490"/>
    <w:rsid w:val="00892EBA"/>
    <w:rsid w:val="008A09A4"/>
    <w:rsid w:val="008F2268"/>
    <w:rsid w:val="00912C9F"/>
    <w:rsid w:val="009276B0"/>
    <w:rsid w:val="00934D18"/>
    <w:rsid w:val="00942577"/>
    <w:rsid w:val="009A0D48"/>
    <w:rsid w:val="009C0D6F"/>
    <w:rsid w:val="009D74B9"/>
    <w:rsid w:val="00A10E3E"/>
    <w:rsid w:val="00A62E96"/>
    <w:rsid w:val="00AA256F"/>
    <w:rsid w:val="00AA588B"/>
    <w:rsid w:val="00AA7A26"/>
    <w:rsid w:val="00AC4EBD"/>
    <w:rsid w:val="00AD7D10"/>
    <w:rsid w:val="00AE2A2C"/>
    <w:rsid w:val="00AF2818"/>
    <w:rsid w:val="00B2359D"/>
    <w:rsid w:val="00B2408F"/>
    <w:rsid w:val="00B329B3"/>
    <w:rsid w:val="00B46175"/>
    <w:rsid w:val="00C1131E"/>
    <w:rsid w:val="00C34E6C"/>
    <w:rsid w:val="00C35E7B"/>
    <w:rsid w:val="00C43389"/>
    <w:rsid w:val="00C46D79"/>
    <w:rsid w:val="00CB50D8"/>
    <w:rsid w:val="00CB5B0F"/>
    <w:rsid w:val="00CD06C1"/>
    <w:rsid w:val="00D718AF"/>
    <w:rsid w:val="00D82E65"/>
    <w:rsid w:val="00D8651E"/>
    <w:rsid w:val="00DA5589"/>
    <w:rsid w:val="00DD4B05"/>
    <w:rsid w:val="00E0785A"/>
    <w:rsid w:val="00E1489C"/>
    <w:rsid w:val="00E42547"/>
    <w:rsid w:val="00E44AFB"/>
    <w:rsid w:val="00E67910"/>
    <w:rsid w:val="00EC7F6A"/>
    <w:rsid w:val="00F00096"/>
    <w:rsid w:val="00F024EF"/>
    <w:rsid w:val="00F0356E"/>
    <w:rsid w:val="00F40BB0"/>
    <w:rsid w:val="00F42A9B"/>
    <w:rsid w:val="00F50312"/>
    <w:rsid w:val="00FD3878"/>
    <w:rsid w:val="00FD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312"/>
    <w:pPr>
      <w:ind w:left="720"/>
      <w:contextualSpacing/>
    </w:pPr>
  </w:style>
  <w:style w:type="character" w:styleId="CommentReference">
    <w:name w:val="annotation reference"/>
    <w:basedOn w:val="DefaultParagraphFont"/>
    <w:uiPriority w:val="99"/>
    <w:semiHidden/>
    <w:unhideWhenUsed/>
    <w:rsid w:val="00892EBA"/>
    <w:rPr>
      <w:sz w:val="16"/>
      <w:szCs w:val="16"/>
    </w:rPr>
  </w:style>
  <w:style w:type="paragraph" w:styleId="CommentText">
    <w:name w:val="annotation text"/>
    <w:basedOn w:val="Normal"/>
    <w:link w:val="CommentTextChar"/>
    <w:uiPriority w:val="99"/>
    <w:unhideWhenUsed/>
    <w:rsid w:val="00892EBA"/>
    <w:pPr>
      <w:spacing w:line="240" w:lineRule="auto"/>
    </w:pPr>
    <w:rPr>
      <w:sz w:val="20"/>
      <w:szCs w:val="20"/>
    </w:rPr>
  </w:style>
  <w:style w:type="character" w:customStyle="1" w:styleId="CommentTextChar">
    <w:name w:val="Comment Text Char"/>
    <w:basedOn w:val="DefaultParagraphFont"/>
    <w:link w:val="CommentText"/>
    <w:uiPriority w:val="99"/>
    <w:rsid w:val="00892EBA"/>
    <w:rPr>
      <w:sz w:val="20"/>
      <w:szCs w:val="20"/>
    </w:rPr>
  </w:style>
  <w:style w:type="paragraph" w:styleId="CommentSubject">
    <w:name w:val="annotation subject"/>
    <w:basedOn w:val="CommentText"/>
    <w:next w:val="CommentText"/>
    <w:link w:val="CommentSubjectChar"/>
    <w:uiPriority w:val="99"/>
    <w:semiHidden/>
    <w:unhideWhenUsed/>
    <w:rsid w:val="00892EBA"/>
    <w:rPr>
      <w:b/>
      <w:bCs/>
    </w:rPr>
  </w:style>
  <w:style w:type="character" w:customStyle="1" w:styleId="CommentSubjectChar">
    <w:name w:val="Comment Subject Char"/>
    <w:basedOn w:val="CommentTextChar"/>
    <w:link w:val="CommentSubject"/>
    <w:uiPriority w:val="99"/>
    <w:semiHidden/>
    <w:rsid w:val="00892EBA"/>
    <w:rPr>
      <w:b/>
      <w:bCs/>
      <w:sz w:val="20"/>
      <w:szCs w:val="20"/>
    </w:rPr>
  </w:style>
  <w:style w:type="paragraph" w:styleId="BalloonText">
    <w:name w:val="Balloon Text"/>
    <w:basedOn w:val="Normal"/>
    <w:link w:val="BalloonTextChar"/>
    <w:uiPriority w:val="99"/>
    <w:semiHidden/>
    <w:unhideWhenUsed/>
    <w:rsid w:val="0089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BA"/>
    <w:rPr>
      <w:rFonts w:ascii="Tahoma" w:hAnsi="Tahoma" w:cs="Tahoma"/>
      <w:sz w:val="16"/>
      <w:szCs w:val="16"/>
    </w:rPr>
  </w:style>
  <w:style w:type="paragraph" w:styleId="NoSpacing">
    <w:name w:val="No Spacing"/>
    <w:uiPriority w:val="1"/>
    <w:qFormat/>
    <w:rsid w:val="00AA256F"/>
    <w:pPr>
      <w:spacing w:after="0" w:line="240" w:lineRule="auto"/>
    </w:pPr>
  </w:style>
  <w:style w:type="paragraph" w:styleId="Revision">
    <w:name w:val="Revision"/>
    <w:hidden/>
    <w:uiPriority w:val="99"/>
    <w:semiHidden/>
    <w:rsid w:val="00CD06C1"/>
    <w:pPr>
      <w:spacing w:after="0" w:line="240" w:lineRule="auto"/>
    </w:pPr>
  </w:style>
  <w:style w:type="paragraph" w:styleId="EndnoteText">
    <w:name w:val="endnote text"/>
    <w:basedOn w:val="Normal"/>
    <w:link w:val="EndnoteTextChar"/>
    <w:uiPriority w:val="99"/>
    <w:semiHidden/>
    <w:unhideWhenUsed/>
    <w:rsid w:val="00CD0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C1"/>
    <w:rPr>
      <w:sz w:val="20"/>
      <w:szCs w:val="20"/>
    </w:rPr>
  </w:style>
  <w:style w:type="character" w:styleId="EndnoteReference">
    <w:name w:val="endnote reference"/>
    <w:basedOn w:val="DefaultParagraphFont"/>
    <w:uiPriority w:val="99"/>
    <w:semiHidden/>
    <w:unhideWhenUsed/>
    <w:rsid w:val="00CD06C1"/>
    <w:rPr>
      <w:vertAlign w:val="superscript"/>
    </w:rPr>
  </w:style>
  <w:style w:type="paragraph" w:styleId="Header">
    <w:name w:val="header"/>
    <w:basedOn w:val="Normal"/>
    <w:link w:val="HeaderChar"/>
    <w:uiPriority w:val="99"/>
    <w:unhideWhenUsed/>
    <w:rsid w:val="009D7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4B9"/>
  </w:style>
  <w:style w:type="paragraph" w:styleId="Footer">
    <w:name w:val="footer"/>
    <w:basedOn w:val="Normal"/>
    <w:link w:val="FooterChar"/>
    <w:uiPriority w:val="99"/>
    <w:unhideWhenUsed/>
    <w:rsid w:val="009D7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312"/>
    <w:pPr>
      <w:ind w:left="720"/>
      <w:contextualSpacing/>
    </w:pPr>
  </w:style>
  <w:style w:type="character" w:styleId="CommentReference">
    <w:name w:val="annotation reference"/>
    <w:basedOn w:val="DefaultParagraphFont"/>
    <w:uiPriority w:val="99"/>
    <w:semiHidden/>
    <w:unhideWhenUsed/>
    <w:rsid w:val="00892EBA"/>
    <w:rPr>
      <w:sz w:val="16"/>
      <w:szCs w:val="16"/>
    </w:rPr>
  </w:style>
  <w:style w:type="paragraph" w:styleId="CommentText">
    <w:name w:val="annotation text"/>
    <w:basedOn w:val="Normal"/>
    <w:link w:val="CommentTextChar"/>
    <w:uiPriority w:val="99"/>
    <w:unhideWhenUsed/>
    <w:rsid w:val="00892EBA"/>
    <w:pPr>
      <w:spacing w:line="240" w:lineRule="auto"/>
    </w:pPr>
    <w:rPr>
      <w:sz w:val="20"/>
      <w:szCs w:val="20"/>
    </w:rPr>
  </w:style>
  <w:style w:type="character" w:customStyle="1" w:styleId="CommentTextChar">
    <w:name w:val="Comment Text Char"/>
    <w:basedOn w:val="DefaultParagraphFont"/>
    <w:link w:val="CommentText"/>
    <w:uiPriority w:val="99"/>
    <w:rsid w:val="00892EBA"/>
    <w:rPr>
      <w:sz w:val="20"/>
      <w:szCs w:val="20"/>
    </w:rPr>
  </w:style>
  <w:style w:type="paragraph" w:styleId="CommentSubject">
    <w:name w:val="annotation subject"/>
    <w:basedOn w:val="CommentText"/>
    <w:next w:val="CommentText"/>
    <w:link w:val="CommentSubjectChar"/>
    <w:uiPriority w:val="99"/>
    <w:semiHidden/>
    <w:unhideWhenUsed/>
    <w:rsid w:val="00892EBA"/>
    <w:rPr>
      <w:b/>
      <w:bCs/>
    </w:rPr>
  </w:style>
  <w:style w:type="character" w:customStyle="1" w:styleId="CommentSubjectChar">
    <w:name w:val="Comment Subject Char"/>
    <w:basedOn w:val="CommentTextChar"/>
    <w:link w:val="CommentSubject"/>
    <w:uiPriority w:val="99"/>
    <w:semiHidden/>
    <w:rsid w:val="00892EBA"/>
    <w:rPr>
      <w:b/>
      <w:bCs/>
      <w:sz w:val="20"/>
      <w:szCs w:val="20"/>
    </w:rPr>
  </w:style>
  <w:style w:type="paragraph" w:styleId="BalloonText">
    <w:name w:val="Balloon Text"/>
    <w:basedOn w:val="Normal"/>
    <w:link w:val="BalloonTextChar"/>
    <w:uiPriority w:val="99"/>
    <w:semiHidden/>
    <w:unhideWhenUsed/>
    <w:rsid w:val="0089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BA"/>
    <w:rPr>
      <w:rFonts w:ascii="Tahoma" w:hAnsi="Tahoma" w:cs="Tahoma"/>
      <w:sz w:val="16"/>
      <w:szCs w:val="16"/>
    </w:rPr>
  </w:style>
  <w:style w:type="paragraph" w:styleId="NoSpacing">
    <w:name w:val="No Spacing"/>
    <w:uiPriority w:val="1"/>
    <w:qFormat/>
    <w:rsid w:val="00AA256F"/>
    <w:pPr>
      <w:spacing w:after="0" w:line="240" w:lineRule="auto"/>
    </w:pPr>
  </w:style>
  <w:style w:type="paragraph" w:styleId="Revision">
    <w:name w:val="Revision"/>
    <w:hidden/>
    <w:uiPriority w:val="99"/>
    <w:semiHidden/>
    <w:rsid w:val="00CD06C1"/>
    <w:pPr>
      <w:spacing w:after="0" w:line="240" w:lineRule="auto"/>
    </w:pPr>
  </w:style>
  <w:style w:type="paragraph" w:styleId="EndnoteText">
    <w:name w:val="endnote text"/>
    <w:basedOn w:val="Normal"/>
    <w:link w:val="EndnoteTextChar"/>
    <w:uiPriority w:val="99"/>
    <w:semiHidden/>
    <w:unhideWhenUsed/>
    <w:rsid w:val="00CD0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C1"/>
    <w:rPr>
      <w:sz w:val="20"/>
      <w:szCs w:val="20"/>
    </w:rPr>
  </w:style>
  <w:style w:type="character" w:styleId="EndnoteReference">
    <w:name w:val="endnote reference"/>
    <w:basedOn w:val="DefaultParagraphFont"/>
    <w:uiPriority w:val="99"/>
    <w:semiHidden/>
    <w:unhideWhenUsed/>
    <w:rsid w:val="00CD06C1"/>
    <w:rPr>
      <w:vertAlign w:val="superscript"/>
    </w:rPr>
  </w:style>
  <w:style w:type="paragraph" w:styleId="Header">
    <w:name w:val="header"/>
    <w:basedOn w:val="Normal"/>
    <w:link w:val="HeaderChar"/>
    <w:uiPriority w:val="99"/>
    <w:unhideWhenUsed/>
    <w:rsid w:val="009D7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4B9"/>
  </w:style>
  <w:style w:type="paragraph" w:styleId="Footer">
    <w:name w:val="footer"/>
    <w:basedOn w:val="Normal"/>
    <w:link w:val="FooterChar"/>
    <w:uiPriority w:val="99"/>
    <w:unhideWhenUsed/>
    <w:rsid w:val="009D7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1737-C55E-461A-9F01-C3B1354E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Peavey, Sheryl</dc:creator>
  <cp:lastModifiedBy>michael.morin</cp:lastModifiedBy>
  <cp:revision>2</cp:revision>
  <cp:lastPrinted>2013-07-17T22:32:00Z</cp:lastPrinted>
  <dcterms:created xsi:type="dcterms:W3CDTF">2013-07-26T17:44:00Z</dcterms:created>
  <dcterms:modified xsi:type="dcterms:W3CDTF">2013-07-26T17:44:00Z</dcterms:modified>
</cp:coreProperties>
</file>