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3C78F65F" w:rsidR="00274DDC" w:rsidRPr="00863BBD" w:rsidRDefault="00735F05" w:rsidP="00274DDC">
      <w:r>
        <w:t>October</w:t>
      </w:r>
      <w:r w:rsidR="00274DDC">
        <w:t xml:space="preserve"> </w:t>
      </w:r>
      <w:r w:rsidR="006F677F">
        <w:t>22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4911F1CB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B953C7">
        <w:rPr>
          <w:b/>
        </w:rPr>
        <w:t>October</w:t>
      </w:r>
      <w:r w:rsidR="006A01D7">
        <w:rPr>
          <w:b/>
        </w:rPr>
        <w:t xml:space="preserve"> </w:t>
      </w:r>
      <w:r w:rsidR="00EA1935">
        <w:rPr>
          <w:b/>
        </w:rPr>
        <w:t>1</w:t>
      </w:r>
      <w:r w:rsidR="006F677F">
        <w:rPr>
          <w:b/>
        </w:rPr>
        <w:t>9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17E3E99B" w:rsidR="00C24EE5" w:rsidRPr="00616684" w:rsidRDefault="006F677F" w:rsidP="00820A1D">
            <w:pPr>
              <w:jc w:val="center"/>
            </w:pPr>
            <w:r>
              <w:t>6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0D7BA678" w:rsidR="00C24EE5" w:rsidRPr="00616684" w:rsidRDefault="006F677F" w:rsidP="00820A1D">
            <w:pPr>
              <w:jc w:val="center"/>
            </w:pPr>
            <w:r>
              <w:t>93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504D3514" w:rsidR="00C8364E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2CFA38E4" w:rsidR="00C8364E" w:rsidRPr="00616684" w:rsidRDefault="00FD06F2" w:rsidP="00820A1D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53A3B016" w:rsidR="00274DDC" w:rsidRPr="00616684" w:rsidRDefault="006F677F" w:rsidP="00820A1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63D05A79" w:rsidR="00274DDC" w:rsidRPr="00616684" w:rsidRDefault="006F677F" w:rsidP="00820A1D">
            <w:pPr>
              <w:jc w:val="center"/>
            </w:pPr>
            <w:r>
              <w:t>1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29A44210" w:rsidR="00274DDC" w:rsidRPr="00616684" w:rsidRDefault="00304EC8" w:rsidP="00820A1D">
            <w:pPr>
              <w:jc w:val="center"/>
            </w:pPr>
            <w:r>
              <w:t>9</w:t>
            </w:r>
            <w:r w:rsidR="006F677F">
              <w:t>5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64FBC243" w:rsidR="00274DDC" w:rsidRPr="00616684" w:rsidRDefault="006F677F" w:rsidP="00820A1D">
            <w:pPr>
              <w:jc w:val="center"/>
            </w:pPr>
            <w:r>
              <w:t>20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7B1DE263" w:rsidR="00831631" w:rsidRPr="00616684" w:rsidRDefault="006F677F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0DC12D4" w:rsidR="00831631" w:rsidRPr="00616684" w:rsidRDefault="00617C3E" w:rsidP="00820A1D">
            <w:pPr>
              <w:jc w:val="center"/>
            </w:pPr>
            <w:r>
              <w:t>1</w:t>
            </w:r>
            <w:r w:rsidR="00EA1935">
              <w:t>35</w:t>
            </w:r>
            <w:r>
              <w:t>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>OROV = Oropouche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r w:rsidRPr="00B20CC6">
              <w:rPr>
                <w:i/>
                <w:iCs/>
                <w:color w:val="000000"/>
              </w:rPr>
              <w:t>Culiseta melanura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44DA3F19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</w:t>
            </w:r>
            <w:r w:rsidR="006F677F">
              <w:rPr>
                <w:color w:val="000000"/>
              </w:rPr>
              <w:t>3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2F8DDEEA" w:rsidR="00EA1935" w:rsidRDefault="006F677F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6F677F" w14:paraId="701EE66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7A8BD8F" w14:textId="1AA7FCAE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F7CF548" w14:textId="15AAB194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DABF4B" w14:textId="22B12608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E98EE9" w14:textId="77777777" w:rsidR="006F677F" w:rsidRDefault="006F677F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41C8BB7" w14:textId="010CD2BB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28A3C0" w14:textId="63FD10E5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723CE8DE" w:rsidR="00533C00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02F64AA4" w:rsidR="009D12B2" w:rsidRPr="00615C0B" w:rsidRDefault="00C93DF8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7DE4">
              <w:rPr>
                <w:color w:val="000000"/>
              </w:rPr>
              <w:t>7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r w:rsidR="009D12B2">
        <w:rPr>
          <w:bCs/>
          <w:sz w:val="20"/>
          <w:szCs w:val="20"/>
        </w:rPr>
        <w:t xml:space="preserve">Oropouche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48A16174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4CF95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 xml:space="preserve">Central African Republic,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>,</w:t>
            </w:r>
            <w:r w:rsidR="00477DE4">
              <w:rPr>
                <w:color w:val="000000"/>
              </w:rPr>
              <w:t xml:space="preserve"> Ethiopia,</w:t>
            </w:r>
            <w:r w:rsidR="00615C0B"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477DE4">
              <w:rPr>
                <w:color w:val="000000"/>
              </w:rPr>
              <w:t xml:space="preserve">Pakistan,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>Philippines, Saint Lucia</w:t>
            </w:r>
            <w:r>
              <w:rPr>
                <w:color w:val="000000"/>
              </w:rPr>
              <w:t xml:space="preserve">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90A13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77DE4"/>
    <w:rsid w:val="00480762"/>
    <w:rsid w:val="004849F9"/>
    <w:rsid w:val="004872D0"/>
    <w:rsid w:val="00495ED1"/>
    <w:rsid w:val="004A222D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6F677F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60225"/>
    <w:rsid w:val="00D87FB6"/>
    <w:rsid w:val="00D94C88"/>
    <w:rsid w:val="00DB0BF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C5DA3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2024-09-24T18:13:00Z</cp:lastPrinted>
  <dcterms:created xsi:type="dcterms:W3CDTF">2024-10-22T19:32:00Z</dcterms:created>
  <dcterms:modified xsi:type="dcterms:W3CDTF">2024-10-22T19:46:00Z</dcterms:modified>
</cp:coreProperties>
</file>