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6660"/>
      </w:tblGrid>
      <w:tr w:rsidR="003B4E4E" w:rsidRPr="0006521F" w14:paraId="3F25C057" w14:textId="77777777" w:rsidTr="00E560DE">
        <w:trPr>
          <w:trHeight w:val="300"/>
          <w:tblHeader/>
          <w:jc w:val="center"/>
        </w:trPr>
        <w:tc>
          <w:tcPr>
            <w:tcW w:w="1795" w:type="dxa"/>
            <w:shd w:val="clear" w:color="auto" w:fill="BFBFBF" w:themeFill="background1" w:themeFillShade="BF"/>
            <w:noWrap/>
            <w:vAlign w:val="bottom"/>
            <w:hideMark/>
          </w:tcPr>
          <w:p w14:paraId="5E13A1F1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US"/>
              </w:rPr>
              <w:t>Term</w:t>
            </w:r>
          </w:p>
        </w:tc>
        <w:tc>
          <w:tcPr>
            <w:tcW w:w="6660" w:type="dxa"/>
            <w:shd w:val="clear" w:color="auto" w:fill="BFBFBF" w:themeFill="background1" w:themeFillShade="BF"/>
            <w:noWrap/>
            <w:vAlign w:val="bottom"/>
            <w:hideMark/>
          </w:tcPr>
          <w:p w14:paraId="3238912A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US"/>
              </w:rPr>
              <w:t>Definition</w:t>
            </w:r>
          </w:p>
        </w:tc>
      </w:tr>
      <w:tr w:rsidR="003B4E4E" w:rsidRPr="0006521F" w14:paraId="67029E08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26509968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EPA </w:t>
            </w:r>
          </w:p>
        </w:tc>
        <w:tc>
          <w:tcPr>
            <w:tcW w:w="6660" w:type="dxa"/>
            <w:noWrap/>
            <w:vAlign w:val="bottom"/>
            <w:hideMark/>
          </w:tcPr>
          <w:p w14:paraId="7D19EF6A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Environmental Protection Agency</w:t>
            </w:r>
          </w:p>
        </w:tc>
      </w:tr>
      <w:tr w:rsidR="003B4E4E" w:rsidRPr="0006521F" w14:paraId="204661F9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6A7581BB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CDC </w:t>
            </w:r>
          </w:p>
        </w:tc>
        <w:tc>
          <w:tcPr>
            <w:tcW w:w="6660" w:type="dxa"/>
            <w:noWrap/>
            <w:vAlign w:val="bottom"/>
            <w:hideMark/>
          </w:tcPr>
          <w:p w14:paraId="38FEC132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Centers for Disease Control and Prevention</w:t>
            </w:r>
          </w:p>
        </w:tc>
      </w:tr>
      <w:tr w:rsidR="003B4E4E" w:rsidRPr="0006521F" w14:paraId="3911B91E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472959E2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SDWA </w:t>
            </w:r>
          </w:p>
        </w:tc>
        <w:tc>
          <w:tcPr>
            <w:tcW w:w="6660" w:type="dxa"/>
            <w:noWrap/>
            <w:vAlign w:val="bottom"/>
            <w:hideMark/>
          </w:tcPr>
          <w:p w14:paraId="186A176F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Safe Drinking Water Act</w:t>
            </w:r>
          </w:p>
        </w:tc>
      </w:tr>
      <w:tr w:rsidR="003B4E4E" w:rsidRPr="0006521F" w14:paraId="08B39E1D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77F78BC9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CWA </w:t>
            </w:r>
          </w:p>
        </w:tc>
        <w:tc>
          <w:tcPr>
            <w:tcW w:w="6660" w:type="dxa"/>
            <w:noWrap/>
            <w:vAlign w:val="bottom"/>
            <w:hideMark/>
          </w:tcPr>
          <w:p w14:paraId="6EBAA0B1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Clean Water Act</w:t>
            </w:r>
          </w:p>
        </w:tc>
      </w:tr>
      <w:tr w:rsidR="003B4E4E" w:rsidRPr="0006521F" w14:paraId="20FA9774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6DC58318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SM </w:t>
            </w:r>
          </w:p>
        </w:tc>
        <w:tc>
          <w:tcPr>
            <w:tcW w:w="6660" w:type="dxa"/>
            <w:noWrap/>
            <w:vAlign w:val="bottom"/>
            <w:hideMark/>
          </w:tcPr>
          <w:p w14:paraId="4D431146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Standard Methods</w:t>
            </w: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for the Examination of Water and Wastewater</w:t>
            </w:r>
          </w:p>
        </w:tc>
      </w:tr>
      <w:tr w:rsidR="003B4E4E" w:rsidRPr="0006521F" w14:paraId="3F96ECDB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4890FBA1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QC </w:t>
            </w:r>
          </w:p>
        </w:tc>
        <w:tc>
          <w:tcPr>
            <w:tcW w:w="6660" w:type="dxa"/>
            <w:noWrap/>
            <w:vAlign w:val="bottom"/>
            <w:hideMark/>
          </w:tcPr>
          <w:p w14:paraId="7D123C0E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Quality Control</w:t>
            </w:r>
          </w:p>
        </w:tc>
      </w:tr>
      <w:tr w:rsidR="003B4E4E" w:rsidRPr="0006521F" w14:paraId="385B2A87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C096C7F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QA </w:t>
            </w:r>
          </w:p>
        </w:tc>
        <w:tc>
          <w:tcPr>
            <w:tcW w:w="6660" w:type="dxa"/>
            <w:noWrap/>
            <w:vAlign w:val="bottom"/>
            <w:hideMark/>
          </w:tcPr>
          <w:p w14:paraId="3093FCEF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Quality Assurance</w:t>
            </w:r>
          </w:p>
        </w:tc>
      </w:tr>
      <w:tr w:rsidR="003B4E4E" w:rsidRPr="0006521F" w14:paraId="227D5C1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C7B3E62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MDL </w:t>
            </w:r>
          </w:p>
        </w:tc>
        <w:tc>
          <w:tcPr>
            <w:tcW w:w="6660" w:type="dxa"/>
            <w:noWrap/>
            <w:vAlign w:val="bottom"/>
            <w:hideMark/>
          </w:tcPr>
          <w:p w14:paraId="3F14F810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Method Detection Limit</w:t>
            </w:r>
          </w:p>
        </w:tc>
      </w:tr>
      <w:tr w:rsidR="003B4E4E" w:rsidRPr="0006521F" w14:paraId="4455E5D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E420BB6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LOQ </w:t>
            </w:r>
          </w:p>
        </w:tc>
        <w:tc>
          <w:tcPr>
            <w:tcW w:w="6660" w:type="dxa"/>
            <w:noWrap/>
            <w:vAlign w:val="bottom"/>
            <w:hideMark/>
          </w:tcPr>
          <w:p w14:paraId="06C8118C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Limit of Quantitation</w:t>
            </w:r>
          </w:p>
        </w:tc>
      </w:tr>
      <w:tr w:rsidR="003B4E4E" w:rsidRPr="0006521F" w14:paraId="5CD390AA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2E5EB1CF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LOD </w:t>
            </w:r>
          </w:p>
        </w:tc>
        <w:tc>
          <w:tcPr>
            <w:tcW w:w="6660" w:type="dxa"/>
            <w:noWrap/>
            <w:vAlign w:val="bottom"/>
            <w:hideMark/>
          </w:tcPr>
          <w:p w14:paraId="01D82A18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Limit of Detection</w:t>
            </w:r>
          </w:p>
        </w:tc>
      </w:tr>
      <w:tr w:rsidR="003B4E4E" w:rsidRPr="0006521F" w14:paraId="68E4E190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B61C192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RPD </w:t>
            </w:r>
          </w:p>
        </w:tc>
        <w:tc>
          <w:tcPr>
            <w:tcW w:w="6660" w:type="dxa"/>
            <w:noWrap/>
            <w:vAlign w:val="bottom"/>
            <w:hideMark/>
          </w:tcPr>
          <w:p w14:paraId="304BD987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Relative Percent Difference</w:t>
            </w:r>
          </w:p>
        </w:tc>
      </w:tr>
      <w:tr w:rsidR="003B4E4E" w:rsidRPr="0006521F" w14:paraId="288D968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2FAE4321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MS </w:t>
            </w:r>
          </w:p>
        </w:tc>
        <w:tc>
          <w:tcPr>
            <w:tcW w:w="6660" w:type="dxa"/>
            <w:noWrap/>
            <w:vAlign w:val="bottom"/>
            <w:hideMark/>
          </w:tcPr>
          <w:p w14:paraId="4B521F75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Matrix Spike</w:t>
            </w:r>
          </w:p>
        </w:tc>
      </w:tr>
      <w:tr w:rsidR="003B4E4E" w:rsidRPr="0006521F" w14:paraId="24A02E2C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5AD3CC3F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MSD </w:t>
            </w:r>
          </w:p>
        </w:tc>
        <w:tc>
          <w:tcPr>
            <w:tcW w:w="6660" w:type="dxa"/>
            <w:noWrap/>
            <w:vAlign w:val="bottom"/>
            <w:hideMark/>
          </w:tcPr>
          <w:p w14:paraId="0A4F709F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Matrix Spike Duplicate</w:t>
            </w:r>
          </w:p>
        </w:tc>
      </w:tr>
      <w:tr w:rsidR="003B4E4E" w:rsidRPr="0006521F" w14:paraId="0CAB0F4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018207B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S</w:t>
            </w: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RM </w:t>
            </w:r>
          </w:p>
        </w:tc>
        <w:tc>
          <w:tcPr>
            <w:tcW w:w="6660" w:type="dxa"/>
            <w:noWrap/>
            <w:vAlign w:val="bottom"/>
            <w:hideMark/>
          </w:tcPr>
          <w:p w14:paraId="28A2E800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Standard </w:t>
            </w: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>Reference Material</w:t>
            </w:r>
          </w:p>
        </w:tc>
      </w:tr>
      <w:tr w:rsidR="003B4E4E" w:rsidRPr="0006521F" w14:paraId="0E3C2A84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97526DA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ICP-MS </w:t>
            </w:r>
          </w:p>
        </w:tc>
        <w:tc>
          <w:tcPr>
            <w:tcW w:w="6660" w:type="dxa"/>
            <w:noWrap/>
            <w:vAlign w:val="bottom"/>
            <w:hideMark/>
          </w:tcPr>
          <w:p w14:paraId="3E6044CC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Inductively Coupled Plasma Mass Spectrometry</w:t>
            </w:r>
          </w:p>
        </w:tc>
      </w:tr>
      <w:tr w:rsidR="003B4E4E" w:rsidRPr="0006521F" w14:paraId="20A0DFF0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537CCB7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GC-MS </w:t>
            </w:r>
          </w:p>
        </w:tc>
        <w:tc>
          <w:tcPr>
            <w:tcW w:w="6660" w:type="dxa"/>
            <w:noWrap/>
            <w:vAlign w:val="bottom"/>
            <w:hideMark/>
          </w:tcPr>
          <w:p w14:paraId="38B55C40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Gas Chromatography-Mass Spectrometry</w:t>
            </w:r>
          </w:p>
        </w:tc>
      </w:tr>
      <w:tr w:rsidR="003B4E4E" w:rsidRPr="0006521F" w14:paraId="71546CC0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56BBC81D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IC </w:t>
            </w:r>
          </w:p>
        </w:tc>
        <w:tc>
          <w:tcPr>
            <w:tcW w:w="6660" w:type="dxa"/>
            <w:noWrap/>
            <w:vAlign w:val="bottom"/>
            <w:hideMark/>
          </w:tcPr>
          <w:p w14:paraId="7CF8D6C6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Ion Chromatography</w:t>
            </w:r>
          </w:p>
        </w:tc>
      </w:tr>
      <w:tr w:rsidR="003B4E4E" w:rsidRPr="0006521F" w14:paraId="61C2890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4EDD07A5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UV-Vis </w:t>
            </w:r>
          </w:p>
        </w:tc>
        <w:tc>
          <w:tcPr>
            <w:tcW w:w="6660" w:type="dxa"/>
            <w:noWrap/>
            <w:vAlign w:val="bottom"/>
            <w:hideMark/>
          </w:tcPr>
          <w:p w14:paraId="107B3590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Ultraviolet-Visible Spectrophotometry</w:t>
            </w:r>
          </w:p>
        </w:tc>
      </w:tr>
      <w:tr w:rsidR="003B4E4E" w:rsidRPr="0006521F" w14:paraId="7A3AA827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7F0F1EAA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TOC </w:t>
            </w:r>
          </w:p>
        </w:tc>
        <w:tc>
          <w:tcPr>
            <w:tcW w:w="6660" w:type="dxa"/>
            <w:noWrap/>
            <w:vAlign w:val="bottom"/>
            <w:hideMark/>
          </w:tcPr>
          <w:p w14:paraId="02185327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Total Organic Carbon</w:t>
            </w:r>
          </w:p>
        </w:tc>
      </w:tr>
      <w:tr w:rsidR="003B4E4E" w:rsidRPr="0006521F" w14:paraId="449C1C9A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751C7B9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TSS </w:t>
            </w:r>
          </w:p>
        </w:tc>
        <w:tc>
          <w:tcPr>
            <w:tcW w:w="6660" w:type="dxa"/>
            <w:noWrap/>
            <w:vAlign w:val="bottom"/>
            <w:hideMark/>
          </w:tcPr>
          <w:p w14:paraId="5767CFCF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Total Suspended Solids</w:t>
            </w:r>
          </w:p>
        </w:tc>
      </w:tr>
      <w:tr w:rsidR="003B4E4E" w:rsidRPr="0006521F" w14:paraId="4297926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4022912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TKN </w:t>
            </w:r>
          </w:p>
        </w:tc>
        <w:tc>
          <w:tcPr>
            <w:tcW w:w="6660" w:type="dxa"/>
            <w:noWrap/>
            <w:vAlign w:val="bottom"/>
            <w:hideMark/>
          </w:tcPr>
          <w:p w14:paraId="51EE6B4F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Total Kjeldahl Nitrogen</w:t>
            </w:r>
          </w:p>
        </w:tc>
      </w:tr>
      <w:tr w:rsidR="003B4E4E" w:rsidRPr="0006521F" w14:paraId="4F58C100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4BD7ADE4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VOC </w:t>
            </w:r>
          </w:p>
        </w:tc>
        <w:tc>
          <w:tcPr>
            <w:tcW w:w="6660" w:type="dxa"/>
            <w:noWrap/>
            <w:vAlign w:val="bottom"/>
            <w:hideMark/>
          </w:tcPr>
          <w:p w14:paraId="2C36DA12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Volatile Organic Compounds</w:t>
            </w:r>
          </w:p>
        </w:tc>
      </w:tr>
      <w:tr w:rsidR="003B4E4E" w:rsidRPr="0006521F" w14:paraId="2106B298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AF0FC63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SVOC </w:t>
            </w:r>
          </w:p>
        </w:tc>
        <w:tc>
          <w:tcPr>
            <w:tcW w:w="6660" w:type="dxa"/>
            <w:noWrap/>
            <w:vAlign w:val="bottom"/>
            <w:hideMark/>
          </w:tcPr>
          <w:p w14:paraId="2A0F1E35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Semi-Volatile Organic Compounds</w:t>
            </w:r>
          </w:p>
        </w:tc>
      </w:tr>
      <w:tr w:rsidR="003B4E4E" w:rsidRPr="0006521F" w14:paraId="0E67B521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8FE34CF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PFAS </w:t>
            </w:r>
          </w:p>
        </w:tc>
        <w:tc>
          <w:tcPr>
            <w:tcW w:w="6660" w:type="dxa"/>
            <w:noWrap/>
            <w:vAlign w:val="bottom"/>
            <w:hideMark/>
          </w:tcPr>
          <w:p w14:paraId="6B3C9687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Per- and Polyfluoroalkyl Substances</w:t>
            </w:r>
          </w:p>
        </w:tc>
      </w:tr>
      <w:tr w:rsidR="003B4E4E" w:rsidRPr="0006521F" w14:paraId="1474D6AE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B9C5EAC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DBP </w:t>
            </w:r>
          </w:p>
        </w:tc>
        <w:tc>
          <w:tcPr>
            <w:tcW w:w="6660" w:type="dxa"/>
            <w:noWrap/>
            <w:vAlign w:val="bottom"/>
            <w:hideMark/>
          </w:tcPr>
          <w:p w14:paraId="78E8C259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Disinfection Byproducts</w:t>
            </w:r>
          </w:p>
        </w:tc>
      </w:tr>
      <w:tr w:rsidR="003B4E4E" w:rsidRPr="0006521F" w14:paraId="490370CB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615C9EE9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THM </w:t>
            </w:r>
          </w:p>
        </w:tc>
        <w:tc>
          <w:tcPr>
            <w:tcW w:w="6660" w:type="dxa"/>
            <w:noWrap/>
            <w:vAlign w:val="bottom"/>
            <w:hideMark/>
          </w:tcPr>
          <w:p w14:paraId="39493859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Trihalomethanes</w:t>
            </w:r>
          </w:p>
        </w:tc>
      </w:tr>
      <w:tr w:rsidR="003B4E4E" w:rsidRPr="0006521F" w14:paraId="4CE3853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240AFA02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HAA </w:t>
            </w:r>
          </w:p>
        </w:tc>
        <w:tc>
          <w:tcPr>
            <w:tcW w:w="6660" w:type="dxa"/>
            <w:noWrap/>
            <w:vAlign w:val="bottom"/>
            <w:hideMark/>
          </w:tcPr>
          <w:p w14:paraId="5425E588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>Haloacetic</w:t>
            </w:r>
            <w:proofErr w:type="spellEnd"/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Acids</w:t>
            </w:r>
          </w:p>
        </w:tc>
      </w:tr>
      <w:tr w:rsidR="003B4E4E" w:rsidRPr="0006521F" w14:paraId="7960E459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4F79B37E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MTBE </w:t>
            </w:r>
          </w:p>
        </w:tc>
        <w:tc>
          <w:tcPr>
            <w:tcW w:w="6660" w:type="dxa"/>
            <w:noWrap/>
            <w:vAlign w:val="bottom"/>
            <w:hideMark/>
          </w:tcPr>
          <w:p w14:paraId="0AE7CAEF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Methyl Tert-Butyl Ether</w:t>
            </w:r>
          </w:p>
        </w:tc>
      </w:tr>
      <w:tr w:rsidR="003B4E4E" w:rsidRPr="0006521F" w14:paraId="00B4BDD6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5252D03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PCBs </w:t>
            </w:r>
          </w:p>
        </w:tc>
        <w:tc>
          <w:tcPr>
            <w:tcW w:w="6660" w:type="dxa"/>
            <w:noWrap/>
            <w:vAlign w:val="bottom"/>
            <w:hideMark/>
          </w:tcPr>
          <w:p w14:paraId="4E3C772C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Polychlorinated Biphenyls</w:t>
            </w:r>
          </w:p>
        </w:tc>
      </w:tr>
      <w:tr w:rsidR="003B4E4E" w:rsidRPr="0006521F" w14:paraId="434D9D40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0E36EF8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PAHs </w:t>
            </w:r>
          </w:p>
        </w:tc>
        <w:tc>
          <w:tcPr>
            <w:tcW w:w="6660" w:type="dxa"/>
            <w:noWrap/>
            <w:vAlign w:val="bottom"/>
            <w:hideMark/>
          </w:tcPr>
          <w:p w14:paraId="2024EABA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Polycyclic Aromatic Hydrocarbons</w:t>
            </w:r>
          </w:p>
        </w:tc>
      </w:tr>
      <w:tr w:rsidR="003B4E4E" w:rsidRPr="0006521F" w14:paraId="5529631A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39680E0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MCL </w:t>
            </w:r>
          </w:p>
        </w:tc>
        <w:tc>
          <w:tcPr>
            <w:tcW w:w="6660" w:type="dxa"/>
            <w:noWrap/>
            <w:vAlign w:val="bottom"/>
            <w:hideMark/>
          </w:tcPr>
          <w:p w14:paraId="0FDABA4A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Maximum Contaminant Level</w:t>
            </w:r>
          </w:p>
        </w:tc>
      </w:tr>
      <w:tr w:rsidR="003B4E4E" w:rsidRPr="0006521F" w14:paraId="68CC1BA5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2FCBBB75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MEG</w:t>
            </w:r>
          </w:p>
        </w:tc>
        <w:tc>
          <w:tcPr>
            <w:tcW w:w="6660" w:type="dxa"/>
            <w:noWrap/>
            <w:vAlign w:val="bottom"/>
          </w:tcPr>
          <w:p w14:paraId="35E33745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Maximum Exposure Guideline (Maine-based MCL)</w:t>
            </w:r>
          </w:p>
        </w:tc>
      </w:tr>
      <w:tr w:rsidR="003B4E4E" w:rsidRPr="0006521F" w14:paraId="28FF5B2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794D7103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MRL </w:t>
            </w:r>
          </w:p>
        </w:tc>
        <w:tc>
          <w:tcPr>
            <w:tcW w:w="6660" w:type="dxa"/>
            <w:noWrap/>
            <w:vAlign w:val="bottom"/>
            <w:hideMark/>
          </w:tcPr>
          <w:p w14:paraId="2AF58BC2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Minimum Reporting Level</w:t>
            </w:r>
          </w:p>
        </w:tc>
      </w:tr>
      <w:tr w:rsidR="003B4E4E" w:rsidRPr="0006521F" w14:paraId="2660F06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6757F008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pH </w:t>
            </w:r>
          </w:p>
        </w:tc>
        <w:tc>
          <w:tcPr>
            <w:tcW w:w="6660" w:type="dxa"/>
            <w:noWrap/>
            <w:vAlign w:val="bottom"/>
            <w:hideMark/>
          </w:tcPr>
          <w:p w14:paraId="33A04417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Potential of Hydrogen (acidity/alkalinity)</w:t>
            </w: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; USEPA range is 6.5-8.5</w:t>
            </w:r>
          </w:p>
        </w:tc>
      </w:tr>
      <w:tr w:rsidR="003B4E4E" w:rsidRPr="0006521F" w14:paraId="278931F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6FF2CB1F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Pb </w:t>
            </w:r>
          </w:p>
        </w:tc>
        <w:tc>
          <w:tcPr>
            <w:tcW w:w="6660" w:type="dxa"/>
            <w:noWrap/>
            <w:vAlign w:val="bottom"/>
            <w:hideMark/>
          </w:tcPr>
          <w:p w14:paraId="50675733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Lead</w:t>
            </w:r>
          </w:p>
        </w:tc>
      </w:tr>
      <w:tr w:rsidR="003B4E4E" w:rsidRPr="0006521F" w14:paraId="41ECECF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554DD267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CFU </w:t>
            </w:r>
          </w:p>
        </w:tc>
        <w:tc>
          <w:tcPr>
            <w:tcW w:w="6660" w:type="dxa"/>
            <w:noWrap/>
            <w:vAlign w:val="bottom"/>
            <w:hideMark/>
          </w:tcPr>
          <w:p w14:paraId="258D89D1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Colony Forming Units</w:t>
            </w:r>
          </w:p>
        </w:tc>
      </w:tr>
      <w:tr w:rsidR="003B4E4E" w:rsidRPr="0006521F" w14:paraId="353F1517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94AC779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MPN </w:t>
            </w:r>
          </w:p>
        </w:tc>
        <w:tc>
          <w:tcPr>
            <w:tcW w:w="6660" w:type="dxa"/>
            <w:noWrap/>
            <w:vAlign w:val="bottom"/>
            <w:hideMark/>
          </w:tcPr>
          <w:p w14:paraId="04D33258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Most Probable Number</w:t>
            </w:r>
          </w:p>
        </w:tc>
      </w:tr>
      <w:tr w:rsidR="003B4E4E" w:rsidRPr="0006521F" w14:paraId="6047838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5018D2E5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E. coli </w:t>
            </w:r>
          </w:p>
        </w:tc>
        <w:tc>
          <w:tcPr>
            <w:tcW w:w="6660" w:type="dxa"/>
            <w:noWrap/>
            <w:vAlign w:val="bottom"/>
            <w:hideMark/>
          </w:tcPr>
          <w:p w14:paraId="635F763A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Escherichia coli</w:t>
            </w:r>
          </w:p>
        </w:tc>
      </w:tr>
      <w:tr w:rsidR="003B4E4E" w:rsidRPr="0006521F" w14:paraId="78668821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28CF668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HPC </w:t>
            </w:r>
          </w:p>
        </w:tc>
        <w:tc>
          <w:tcPr>
            <w:tcW w:w="6660" w:type="dxa"/>
            <w:noWrap/>
            <w:vAlign w:val="bottom"/>
            <w:hideMark/>
          </w:tcPr>
          <w:p w14:paraId="64D5C800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Heterotrophic Plate Count</w:t>
            </w:r>
          </w:p>
        </w:tc>
      </w:tr>
      <w:tr w:rsidR="003B4E4E" w:rsidRPr="0006521F" w14:paraId="72E2CD92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10815BEB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LIMS </w:t>
            </w:r>
          </w:p>
        </w:tc>
        <w:tc>
          <w:tcPr>
            <w:tcW w:w="6660" w:type="dxa"/>
            <w:noWrap/>
            <w:vAlign w:val="bottom"/>
            <w:hideMark/>
          </w:tcPr>
          <w:p w14:paraId="4DAFF8A6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Laboratory Information Management System</w:t>
            </w:r>
          </w:p>
        </w:tc>
      </w:tr>
      <w:tr w:rsidR="003B4E4E" w:rsidRPr="0006521F" w14:paraId="701B01D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01F54F02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lastRenderedPageBreak/>
              <w:t xml:space="preserve">COC </w:t>
            </w:r>
          </w:p>
        </w:tc>
        <w:tc>
          <w:tcPr>
            <w:tcW w:w="6660" w:type="dxa"/>
            <w:noWrap/>
            <w:vAlign w:val="bottom"/>
            <w:hideMark/>
          </w:tcPr>
          <w:p w14:paraId="3AE4A1AB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Chain of Custody</w:t>
            </w:r>
          </w:p>
        </w:tc>
      </w:tr>
      <w:tr w:rsidR="003B4E4E" w:rsidRPr="0006521F" w14:paraId="491667FB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5721F14A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ID </w:t>
            </w:r>
          </w:p>
        </w:tc>
        <w:tc>
          <w:tcPr>
            <w:tcW w:w="6660" w:type="dxa"/>
            <w:noWrap/>
            <w:vAlign w:val="bottom"/>
            <w:hideMark/>
          </w:tcPr>
          <w:p w14:paraId="4C32849D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Identification</w:t>
            </w:r>
          </w:p>
        </w:tc>
      </w:tr>
      <w:tr w:rsidR="003B4E4E" w:rsidRPr="0006521F" w14:paraId="738FC7AE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7B9FE611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RL </w:t>
            </w:r>
          </w:p>
        </w:tc>
        <w:tc>
          <w:tcPr>
            <w:tcW w:w="6660" w:type="dxa"/>
            <w:noWrap/>
            <w:vAlign w:val="bottom"/>
            <w:hideMark/>
          </w:tcPr>
          <w:p w14:paraId="404A0ADE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Reporting Limit</w:t>
            </w:r>
          </w:p>
        </w:tc>
      </w:tr>
      <w:tr w:rsidR="003B4E4E" w:rsidRPr="0006521F" w14:paraId="26087953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6DEC40AA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DL </w:t>
            </w:r>
          </w:p>
        </w:tc>
        <w:tc>
          <w:tcPr>
            <w:tcW w:w="6660" w:type="dxa"/>
            <w:noWrap/>
            <w:vAlign w:val="bottom"/>
            <w:hideMark/>
          </w:tcPr>
          <w:p w14:paraId="1B79ADAD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Detection Limit</w:t>
            </w:r>
          </w:p>
        </w:tc>
      </w:tr>
      <w:tr w:rsidR="003B4E4E" w:rsidRPr="0006521F" w14:paraId="16897239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2E2336D3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ND </w:t>
            </w:r>
          </w:p>
        </w:tc>
        <w:tc>
          <w:tcPr>
            <w:tcW w:w="6660" w:type="dxa"/>
            <w:noWrap/>
            <w:vAlign w:val="bottom"/>
            <w:hideMark/>
          </w:tcPr>
          <w:p w14:paraId="17FB160B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Non-Detect</w:t>
            </w:r>
          </w:p>
        </w:tc>
      </w:tr>
      <w:tr w:rsidR="003B4E4E" w:rsidRPr="0006521F" w14:paraId="71595159" w14:textId="77777777" w:rsidTr="00E560DE">
        <w:trPr>
          <w:trHeight w:val="300"/>
          <w:jc w:val="center"/>
        </w:trPr>
        <w:tc>
          <w:tcPr>
            <w:tcW w:w="1795" w:type="dxa"/>
            <w:vAlign w:val="center"/>
            <w:hideMark/>
          </w:tcPr>
          <w:p w14:paraId="31EFC076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 w:rsidRPr="0006521F">
              <w:rPr>
                <w:rFonts w:eastAsia="Times New Roman" w:cs="Arial"/>
                <w:color w:val="000000"/>
                <w:lang w:eastAsia="en-US"/>
              </w:rPr>
              <w:t xml:space="preserve">NR </w:t>
            </w:r>
          </w:p>
        </w:tc>
        <w:tc>
          <w:tcPr>
            <w:tcW w:w="6660" w:type="dxa"/>
            <w:noWrap/>
            <w:vAlign w:val="bottom"/>
            <w:hideMark/>
          </w:tcPr>
          <w:p w14:paraId="55B73AD8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 w:rsidRPr="0006521F"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Not Reported</w:t>
            </w:r>
          </w:p>
        </w:tc>
      </w:tr>
      <w:tr w:rsidR="003B4E4E" w:rsidRPr="0006521F" w14:paraId="781BDA33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0A92BE38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DW</w:t>
            </w:r>
          </w:p>
        </w:tc>
        <w:tc>
          <w:tcPr>
            <w:tcW w:w="6660" w:type="dxa"/>
            <w:noWrap/>
            <w:vAlign w:val="bottom"/>
          </w:tcPr>
          <w:p w14:paraId="3A9819A0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Drinking Water</w:t>
            </w:r>
          </w:p>
        </w:tc>
      </w:tr>
      <w:tr w:rsidR="003B4E4E" w:rsidRPr="0006521F" w14:paraId="0A97E85B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5F8ED6E1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NP</w:t>
            </w:r>
          </w:p>
        </w:tc>
        <w:tc>
          <w:tcPr>
            <w:tcW w:w="6660" w:type="dxa"/>
            <w:noWrap/>
            <w:vAlign w:val="bottom"/>
          </w:tcPr>
          <w:p w14:paraId="05D6556D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Non-potable</w:t>
            </w:r>
          </w:p>
        </w:tc>
      </w:tr>
      <w:tr w:rsidR="003B4E4E" w:rsidRPr="0006521F" w14:paraId="3FD1714F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00B98F8E" w14:textId="77777777" w:rsidR="003B4E4E" w:rsidRPr="0006521F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H</w:t>
            </w:r>
            <w:r w:rsidRPr="007F4B21">
              <w:rPr>
                <w:rFonts w:eastAsia="Times New Roman" w:cs="Arial"/>
                <w:color w:val="000000"/>
                <w:vertAlign w:val="subscript"/>
                <w:lang w:eastAsia="en-US"/>
              </w:rPr>
              <w:t>2</w:t>
            </w:r>
            <w:r>
              <w:rPr>
                <w:rFonts w:eastAsia="Times New Roman" w:cs="Arial"/>
                <w:color w:val="000000"/>
                <w:lang w:eastAsia="en-US"/>
              </w:rPr>
              <w:t>O</w:t>
            </w:r>
          </w:p>
        </w:tc>
        <w:tc>
          <w:tcPr>
            <w:tcW w:w="6660" w:type="dxa"/>
            <w:noWrap/>
            <w:vAlign w:val="bottom"/>
          </w:tcPr>
          <w:p w14:paraId="69C4D94E" w14:textId="77777777" w:rsidR="003B4E4E" w:rsidRPr="0006521F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Dihydrogen monoxide/water</w:t>
            </w:r>
          </w:p>
        </w:tc>
      </w:tr>
      <w:tr w:rsidR="003B4E4E" w:rsidRPr="0006521F" w14:paraId="3BEF59D2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60F4BF2F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ug/L</w:t>
            </w:r>
          </w:p>
        </w:tc>
        <w:tc>
          <w:tcPr>
            <w:tcW w:w="6660" w:type="dxa"/>
            <w:noWrap/>
            <w:vAlign w:val="bottom"/>
          </w:tcPr>
          <w:p w14:paraId="285765F6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Micrograms per liter</w:t>
            </w:r>
          </w:p>
        </w:tc>
      </w:tr>
      <w:tr w:rsidR="003B4E4E" w:rsidRPr="0006521F" w14:paraId="71B685B4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6855A3C1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proofErr w:type="spellStart"/>
            <w:r>
              <w:rPr>
                <w:rFonts w:eastAsia="Times New Roman" w:cs="Arial"/>
                <w:color w:val="000000"/>
                <w:lang w:eastAsia="en-US"/>
              </w:rPr>
              <w:t>pCi</w:t>
            </w:r>
            <w:proofErr w:type="spellEnd"/>
            <w:r>
              <w:rPr>
                <w:rFonts w:eastAsia="Times New Roman" w:cs="Arial"/>
                <w:color w:val="000000"/>
                <w:lang w:eastAsia="en-US"/>
              </w:rPr>
              <w:t>/L</w:t>
            </w:r>
          </w:p>
        </w:tc>
        <w:tc>
          <w:tcPr>
            <w:tcW w:w="6660" w:type="dxa"/>
            <w:noWrap/>
            <w:vAlign w:val="bottom"/>
          </w:tcPr>
          <w:p w14:paraId="3878147B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picoCuries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 xml:space="preserve"> per liter</w:t>
            </w:r>
          </w:p>
        </w:tc>
      </w:tr>
      <w:tr w:rsidR="003B4E4E" w:rsidRPr="0006521F" w14:paraId="1ADB07A4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02342E20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mg/L</w:t>
            </w:r>
          </w:p>
        </w:tc>
        <w:tc>
          <w:tcPr>
            <w:tcW w:w="6660" w:type="dxa"/>
            <w:noWrap/>
            <w:vAlign w:val="bottom"/>
          </w:tcPr>
          <w:p w14:paraId="26DA2C1C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Milligrams per liter</w:t>
            </w:r>
          </w:p>
        </w:tc>
      </w:tr>
      <w:tr w:rsidR="003B4E4E" w:rsidRPr="0006521F" w14:paraId="67232714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5FC0E469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S.U.</w:t>
            </w:r>
          </w:p>
        </w:tc>
        <w:tc>
          <w:tcPr>
            <w:tcW w:w="6660" w:type="dxa"/>
            <w:noWrap/>
            <w:vAlign w:val="bottom"/>
          </w:tcPr>
          <w:p w14:paraId="06077514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Standard Units</w:t>
            </w:r>
          </w:p>
        </w:tc>
      </w:tr>
      <w:tr w:rsidR="003B4E4E" w:rsidRPr="0006521F" w14:paraId="3A82BC0B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4A9F078D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mL</w:t>
            </w:r>
          </w:p>
        </w:tc>
        <w:tc>
          <w:tcPr>
            <w:tcW w:w="6660" w:type="dxa"/>
            <w:noWrap/>
            <w:vAlign w:val="bottom"/>
          </w:tcPr>
          <w:p w14:paraId="51F18B88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Milliliters</w:t>
            </w:r>
          </w:p>
        </w:tc>
      </w:tr>
      <w:tr w:rsidR="003B4E4E" w:rsidRPr="0006521F" w14:paraId="61509BB2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4474D174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PCU</w:t>
            </w:r>
          </w:p>
        </w:tc>
        <w:tc>
          <w:tcPr>
            <w:tcW w:w="6660" w:type="dxa"/>
            <w:noWrap/>
            <w:vAlign w:val="bottom"/>
          </w:tcPr>
          <w:p w14:paraId="509438B7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Platinum Color unit</w:t>
            </w:r>
          </w:p>
        </w:tc>
      </w:tr>
      <w:tr w:rsidR="003B4E4E" w:rsidRPr="0006521F" w14:paraId="1A976C42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6C71E5FC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NTU</w:t>
            </w:r>
          </w:p>
        </w:tc>
        <w:tc>
          <w:tcPr>
            <w:tcW w:w="6660" w:type="dxa"/>
            <w:noWrap/>
            <w:vAlign w:val="bottom"/>
          </w:tcPr>
          <w:p w14:paraId="6890EB15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Nephelometric Turbidity unit</w:t>
            </w:r>
          </w:p>
        </w:tc>
      </w:tr>
      <w:tr w:rsidR="003B4E4E" w:rsidRPr="0006521F" w14:paraId="78B17940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3E20DB78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ppm</w:t>
            </w:r>
          </w:p>
        </w:tc>
        <w:tc>
          <w:tcPr>
            <w:tcW w:w="6660" w:type="dxa"/>
            <w:noWrap/>
            <w:vAlign w:val="bottom"/>
          </w:tcPr>
          <w:p w14:paraId="0D906CFA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Parts per million</w:t>
            </w:r>
          </w:p>
        </w:tc>
      </w:tr>
      <w:tr w:rsidR="003B4E4E" w:rsidRPr="0006521F" w14:paraId="6CA1BE41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4B858290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ppb</w:t>
            </w:r>
          </w:p>
        </w:tc>
        <w:tc>
          <w:tcPr>
            <w:tcW w:w="6660" w:type="dxa"/>
            <w:noWrap/>
            <w:vAlign w:val="bottom"/>
          </w:tcPr>
          <w:p w14:paraId="5BEEA0F5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Parts per billion</w:t>
            </w:r>
          </w:p>
        </w:tc>
      </w:tr>
      <w:tr w:rsidR="003B4E4E" w:rsidRPr="0006521F" w14:paraId="77E563FB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140CA8FF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ppt</w:t>
            </w:r>
          </w:p>
        </w:tc>
        <w:tc>
          <w:tcPr>
            <w:tcW w:w="6660" w:type="dxa"/>
            <w:noWrap/>
            <w:vAlign w:val="bottom"/>
          </w:tcPr>
          <w:p w14:paraId="44BBE8F9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Parts per trillion</w:t>
            </w:r>
          </w:p>
        </w:tc>
      </w:tr>
      <w:tr w:rsidR="003B4E4E" w:rsidRPr="0006521F" w14:paraId="3DAAE03A" w14:textId="77777777" w:rsidTr="00E560DE">
        <w:trPr>
          <w:trHeight w:val="300"/>
          <w:jc w:val="center"/>
        </w:trPr>
        <w:tc>
          <w:tcPr>
            <w:tcW w:w="1795" w:type="dxa"/>
            <w:vAlign w:val="center"/>
          </w:tcPr>
          <w:p w14:paraId="363997FC" w14:textId="77777777" w:rsidR="003B4E4E" w:rsidRDefault="003B4E4E" w:rsidP="00E560DE">
            <w:pPr>
              <w:spacing w:after="0"/>
              <w:rPr>
                <w:rFonts w:eastAsia="Times New Roman" w:cs="Arial"/>
                <w:color w:val="000000"/>
                <w:lang w:eastAsia="en-US"/>
              </w:rPr>
            </w:pPr>
            <w:r>
              <w:rPr>
                <w:rFonts w:eastAsia="Times New Roman" w:cs="Arial"/>
                <w:color w:val="000000"/>
                <w:lang w:eastAsia="en-US"/>
              </w:rPr>
              <w:t>PWSID</w:t>
            </w:r>
          </w:p>
        </w:tc>
        <w:tc>
          <w:tcPr>
            <w:tcW w:w="6660" w:type="dxa"/>
            <w:noWrap/>
            <w:vAlign w:val="bottom"/>
          </w:tcPr>
          <w:p w14:paraId="5A886581" w14:textId="77777777" w:rsidR="003B4E4E" w:rsidRDefault="003B4E4E" w:rsidP="00E560DE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US"/>
              </w:rPr>
              <w:t>Public water system identification</w:t>
            </w:r>
          </w:p>
        </w:tc>
      </w:tr>
    </w:tbl>
    <w:p w14:paraId="26F835CC" w14:textId="77777777" w:rsidR="00CB1A50" w:rsidRDefault="00CB1A50"/>
    <w:sectPr w:rsidR="00CB1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F0"/>
    <w:rsid w:val="00245E6F"/>
    <w:rsid w:val="003449F0"/>
    <w:rsid w:val="003B4E4E"/>
    <w:rsid w:val="004253C5"/>
    <w:rsid w:val="00733BAA"/>
    <w:rsid w:val="00CB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73972-8934-485E-B137-A96D8CA1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E4E"/>
    <w:pPr>
      <w:spacing w:after="240" w:line="240" w:lineRule="auto"/>
    </w:pPr>
    <w:rPr>
      <w:rFonts w:ascii="Arial" w:eastAsiaTheme="minorEastAsia" w:hAnsi="Arial"/>
      <w:kern w:val="0"/>
      <w:sz w:val="22"/>
      <w:szCs w:val="22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9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9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9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9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9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9F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9F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9F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9F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9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9F0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4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9F0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Patrick</dc:creator>
  <cp:keywords/>
  <dc:description/>
  <cp:lastModifiedBy>Andrews, Patrick</cp:lastModifiedBy>
  <cp:revision>2</cp:revision>
  <dcterms:created xsi:type="dcterms:W3CDTF">2025-09-08T15:55:00Z</dcterms:created>
  <dcterms:modified xsi:type="dcterms:W3CDTF">2025-09-08T15:56:00Z</dcterms:modified>
</cp:coreProperties>
</file>