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B86C" w14:textId="77777777" w:rsidR="00304D20" w:rsidRPr="00E06AC6" w:rsidRDefault="00304D20" w:rsidP="00304D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b/>
          <w:bCs/>
          <w:sz w:val="28"/>
          <w:szCs w:val="28"/>
        </w:rPr>
        <w:t>Clinical Microbiology Notification of Laboratory Move</w:t>
      </w:r>
      <w:r w:rsidRPr="00E06AC6">
        <w:rPr>
          <w:rFonts w:ascii="Calibri" w:eastAsia="Times New Roman" w:hAnsi="Calibri" w:cs="Calibri"/>
          <w:sz w:val="28"/>
          <w:szCs w:val="28"/>
        </w:rPr>
        <w:t> </w:t>
      </w:r>
    </w:p>
    <w:p w14:paraId="121AEBCB" w14:textId="77777777" w:rsidR="00304D20" w:rsidRPr="00E06AC6" w:rsidRDefault="00304D20" w:rsidP="00304D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 </w:t>
      </w:r>
    </w:p>
    <w:p w14:paraId="26CAC445" w14:textId="67A0D788" w:rsidR="002C2062" w:rsidRDefault="00AE0C69" w:rsidP="00304D20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 xml:space="preserve">On </w:t>
      </w:r>
      <w:r w:rsidR="002C2062">
        <w:rPr>
          <w:rFonts w:ascii="Calibri" w:eastAsia="Times New Roman" w:hAnsi="Calibri" w:cs="Calibri"/>
          <w:sz w:val="28"/>
          <w:szCs w:val="28"/>
        </w:rPr>
        <w:t>January 8</w:t>
      </w:r>
      <w:r w:rsidRPr="00E06AC6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D23CEA" w:rsidRPr="00E06AC6">
        <w:rPr>
          <w:rFonts w:ascii="Calibri" w:eastAsia="Times New Roman" w:hAnsi="Calibri" w:cs="Calibri"/>
          <w:sz w:val="28"/>
          <w:szCs w:val="28"/>
        </w:rPr>
        <w:t>, 202</w:t>
      </w:r>
      <w:r w:rsidR="002C2062">
        <w:rPr>
          <w:rFonts w:ascii="Calibri" w:eastAsia="Times New Roman" w:hAnsi="Calibri" w:cs="Calibri"/>
          <w:sz w:val="28"/>
          <w:szCs w:val="28"/>
        </w:rPr>
        <w:t>4</w:t>
      </w:r>
      <w:r w:rsidRPr="00E06AC6">
        <w:rPr>
          <w:rFonts w:ascii="Calibri" w:eastAsia="Times New Roman" w:hAnsi="Calibri" w:cs="Calibri"/>
          <w:sz w:val="28"/>
          <w:szCs w:val="28"/>
        </w:rPr>
        <w:t xml:space="preserve">, </w:t>
      </w:r>
      <w:r w:rsidR="00304D20" w:rsidRPr="00E06AC6">
        <w:rPr>
          <w:rFonts w:ascii="Calibri" w:eastAsia="Times New Roman" w:hAnsi="Calibri" w:cs="Calibri"/>
          <w:sz w:val="28"/>
          <w:szCs w:val="28"/>
        </w:rPr>
        <w:t xml:space="preserve">the </w:t>
      </w:r>
      <w:r w:rsidR="002C2062">
        <w:rPr>
          <w:rFonts w:ascii="Calibri" w:eastAsia="Times New Roman" w:hAnsi="Calibri" w:cs="Calibri"/>
          <w:sz w:val="28"/>
          <w:szCs w:val="28"/>
        </w:rPr>
        <w:t xml:space="preserve">CLIA </w:t>
      </w:r>
      <w:r w:rsidR="0019566B">
        <w:rPr>
          <w:rFonts w:ascii="Calibri" w:eastAsia="Times New Roman" w:hAnsi="Calibri" w:cs="Calibri"/>
          <w:sz w:val="28"/>
          <w:szCs w:val="28"/>
        </w:rPr>
        <w:t>C</w:t>
      </w:r>
      <w:r w:rsidR="002C2062">
        <w:rPr>
          <w:rFonts w:ascii="Calibri" w:eastAsia="Times New Roman" w:hAnsi="Calibri" w:cs="Calibri"/>
          <w:sz w:val="28"/>
          <w:szCs w:val="28"/>
        </w:rPr>
        <w:t xml:space="preserve">linical </w:t>
      </w:r>
      <w:r w:rsidR="0019566B">
        <w:rPr>
          <w:rFonts w:ascii="Calibri" w:eastAsia="Times New Roman" w:hAnsi="Calibri" w:cs="Calibri"/>
          <w:sz w:val="28"/>
          <w:szCs w:val="28"/>
        </w:rPr>
        <w:t>M</w:t>
      </w:r>
      <w:r w:rsidR="002C2062">
        <w:rPr>
          <w:rFonts w:ascii="Calibri" w:eastAsia="Times New Roman" w:hAnsi="Calibri" w:cs="Calibri"/>
          <w:sz w:val="28"/>
          <w:szCs w:val="28"/>
        </w:rPr>
        <w:t xml:space="preserve">icrobiology </w:t>
      </w:r>
      <w:r w:rsidR="002D576A">
        <w:rPr>
          <w:rFonts w:ascii="Calibri" w:eastAsia="Times New Roman" w:hAnsi="Calibri" w:cs="Calibri"/>
          <w:sz w:val="28"/>
          <w:szCs w:val="28"/>
        </w:rPr>
        <w:t xml:space="preserve">section of </w:t>
      </w:r>
      <w:r w:rsidR="00304D20" w:rsidRPr="00E06AC6">
        <w:rPr>
          <w:rFonts w:ascii="Calibri" w:eastAsia="Times New Roman" w:hAnsi="Calibri" w:cs="Calibri"/>
          <w:sz w:val="28"/>
          <w:szCs w:val="28"/>
        </w:rPr>
        <w:t xml:space="preserve">Health and Environmental Testing Laboratory will </w:t>
      </w:r>
      <w:r w:rsidR="00E06AC6">
        <w:rPr>
          <w:rFonts w:ascii="Calibri" w:eastAsia="Times New Roman" w:hAnsi="Calibri" w:cs="Calibri"/>
          <w:sz w:val="28"/>
          <w:szCs w:val="28"/>
        </w:rPr>
        <w:t xml:space="preserve">begin </w:t>
      </w:r>
      <w:r w:rsidR="004D2F82">
        <w:rPr>
          <w:rFonts w:ascii="Calibri" w:eastAsia="Times New Roman" w:hAnsi="Calibri" w:cs="Calibri"/>
          <w:sz w:val="28"/>
          <w:szCs w:val="28"/>
        </w:rPr>
        <w:t>the</w:t>
      </w:r>
      <w:r w:rsidR="00E06AC6">
        <w:rPr>
          <w:rFonts w:ascii="Calibri" w:eastAsia="Times New Roman" w:hAnsi="Calibri" w:cs="Calibri"/>
          <w:sz w:val="28"/>
          <w:szCs w:val="28"/>
        </w:rPr>
        <w:t xml:space="preserve"> move from </w:t>
      </w:r>
      <w:r w:rsidR="00304D20" w:rsidRPr="00E06AC6">
        <w:rPr>
          <w:rFonts w:ascii="Calibri" w:eastAsia="Times New Roman" w:hAnsi="Calibri" w:cs="Calibri"/>
          <w:sz w:val="28"/>
          <w:szCs w:val="28"/>
        </w:rPr>
        <w:t>221 State Street, Augusta, Maine, 04333, to 47 Independence Drive, Augusta, Maine, 0433</w:t>
      </w:r>
      <w:r w:rsidR="002C2062">
        <w:rPr>
          <w:rFonts w:ascii="Calibri" w:eastAsia="Times New Roman" w:hAnsi="Calibri" w:cs="Calibri"/>
          <w:sz w:val="28"/>
          <w:szCs w:val="28"/>
        </w:rPr>
        <w:t>3</w:t>
      </w:r>
      <w:r w:rsidR="002D576A">
        <w:rPr>
          <w:rFonts w:ascii="Calibri" w:eastAsia="Times New Roman" w:hAnsi="Calibri" w:cs="Calibri"/>
          <w:sz w:val="28"/>
          <w:szCs w:val="28"/>
        </w:rPr>
        <w:t xml:space="preserve">. </w:t>
      </w:r>
    </w:p>
    <w:p w14:paraId="431D9513" w14:textId="7282237C" w:rsidR="002C2062" w:rsidRDefault="0019566B" w:rsidP="00304D20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Starting on November 28</w:t>
      </w:r>
      <w:r w:rsidRPr="0019566B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sz w:val="28"/>
          <w:szCs w:val="28"/>
        </w:rPr>
        <w:t xml:space="preserve">, </w:t>
      </w:r>
      <w:r w:rsidR="00A6601D">
        <w:rPr>
          <w:rFonts w:ascii="Calibri" w:eastAsia="Times New Roman" w:hAnsi="Calibri" w:cs="Calibri"/>
          <w:sz w:val="28"/>
          <w:szCs w:val="28"/>
        </w:rPr>
        <w:t>2023,</w:t>
      </w:r>
      <w:r>
        <w:rPr>
          <w:rFonts w:ascii="Calibri" w:eastAsia="Times New Roman" w:hAnsi="Calibri" w:cs="Calibri"/>
          <w:sz w:val="28"/>
          <w:szCs w:val="28"/>
        </w:rPr>
        <w:t xml:space="preserve"> the Mycobacteri</w:t>
      </w:r>
      <w:r w:rsidR="007460BA">
        <w:rPr>
          <w:rFonts w:ascii="Calibri" w:eastAsia="Times New Roman" w:hAnsi="Calibri" w:cs="Calibri"/>
          <w:sz w:val="28"/>
          <w:szCs w:val="28"/>
        </w:rPr>
        <w:t>ology</w:t>
      </w:r>
      <w:r>
        <w:rPr>
          <w:rFonts w:ascii="Calibri" w:eastAsia="Times New Roman" w:hAnsi="Calibri" w:cs="Calibri"/>
          <w:sz w:val="28"/>
          <w:szCs w:val="28"/>
        </w:rPr>
        <w:t xml:space="preserve"> Laboratory will forward all samples to ARUP until</w:t>
      </w:r>
      <w:r w:rsidR="007460BA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 xml:space="preserve">protocols associated with Mycobacterium diagnostics are validated at the new </w:t>
      </w:r>
      <w:r w:rsidR="007460BA">
        <w:rPr>
          <w:rFonts w:ascii="Calibri" w:eastAsia="Times New Roman" w:hAnsi="Calibri" w:cs="Calibri"/>
          <w:sz w:val="28"/>
          <w:szCs w:val="28"/>
        </w:rPr>
        <w:t>facility</w:t>
      </w:r>
      <w:r>
        <w:rPr>
          <w:rFonts w:ascii="Calibri" w:eastAsia="Times New Roman" w:hAnsi="Calibri" w:cs="Calibri"/>
          <w:sz w:val="28"/>
          <w:szCs w:val="28"/>
        </w:rPr>
        <w:t xml:space="preserve">.  </w:t>
      </w:r>
    </w:p>
    <w:p w14:paraId="4A9C7228" w14:textId="5E693D7D" w:rsidR="00304D20" w:rsidRPr="00E06AC6" w:rsidRDefault="00304D20" w:rsidP="00304D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 xml:space="preserve">While we are taking steps to minimize a break in continuity of operations, </w:t>
      </w:r>
      <w:r w:rsidR="00E06AC6">
        <w:rPr>
          <w:rFonts w:ascii="Calibri" w:eastAsia="Times New Roman" w:hAnsi="Calibri" w:cs="Calibri"/>
          <w:sz w:val="28"/>
          <w:szCs w:val="28"/>
        </w:rPr>
        <w:t>the</w:t>
      </w:r>
      <w:r w:rsidRPr="00E06AC6">
        <w:rPr>
          <w:rFonts w:ascii="Calibri" w:eastAsia="Times New Roman" w:hAnsi="Calibri" w:cs="Calibri"/>
          <w:sz w:val="28"/>
          <w:szCs w:val="28"/>
        </w:rPr>
        <w:t xml:space="preserve"> turnaround times for </w:t>
      </w:r>
      <w:r w:rsidR="00E06AC6">
        <w:rPr>
          <w:rFonts w:ascii="Calibri" w:eastAsia="Times New Roman" w:hAnsi="Calibri" w:cs="Calibri"/>
          <w:sz w:val="28"/>
          <w:szCs w:val="28"/>
        </w:rPr>
        <w:t xml:space="preserve">our </w:t>
      </w:r>
      <w:r w:rsidRPr="00E06AC6">
        <w:rPr>
          <w:rFonts w:ascii="Calibri" w:eastAsia="Times New Roman" w:hAnsi="Calibri" w:cs="Calibri"/>
          <w:sz w:val="28"/>
          <w:szCs w:val="28"/>
        </w:rPr>
        <w:t xml:space="preserve">assays may increase during this transition.  </w:t>
      </w:r>
      <w:r w:rsidR="009E7DCD" w:rsidRPr="007A5892">
        <w:rPr>
          <w:rFonts w:ascii="Calibri" w:eastAsia="Times New Roman" w:hAnsi="Calibri" w:cs="Calibri"/>
          <w:sz w:val="28"/>
          <w:szCs w:val="28"/>
        </w:rPr>
        <w:t>For more information</w:t>
      </w:r>
      <w:r w:rsidR="001A55B1" w:rsidRPr="007A5892">
        <w:rPr>
          <w:rFonts w:ascii="Calibri" w:eastAsia="Times New Roman" w:hAnsi="Calibri" w:cs="Calibri"/>
          <w:sz w:val="28"/>
          <w:szCs w:val="28"/>
        </w:rPr>
        <w:t xml:space="preserve"> about specific subject matter</w:t>
      </w:r>
      <w:r w:rsidR="006E4300" w:rsidRPr="007A5892">
        <w:rPr>
          <w:rFonts w:ascii="Calibri" w:eastAsia="Times New Roman" w:hAnsi="Calibri" w:cs="Calibri"/>
          <w:sz w:val="28"/>
          <w:szCs w:val="28"/>
        </w:rPr>
        <w:t xml:space="preserve"> or testing</w:t>
      </w:r>
      <w:r w:rsidR="009E7DCD" w:rsidRPr="007A5892">
        <w:rPr>
          <w:rFonts w:ascii="Calibri" w:eastAsia="Times New Roman" w:hAnsi="Calibri" w:cs="Calibri"/>
          <w:sz w:val="28"/>
          <w:szCs w:val="28"/>
        </w:rPr>
        <w:t xml:space="preserve">, please contact the </w:t>
      </w:r>
      <w:r w:rsidR="001A55B1" w:rsidRPr="007A5892">
        <w:rPr>
          <w:rFonts w:ascii="Calibri" w:eastAsia="Times New Roman" w:hAnsi="Calibri" w:cs="Calibri"/>
          <w:sz w:val="28"/>
          <w:szCs w:val="28"/>
        </w:rPr>
        <w:t xml:space="preserve">appropriate </w:t>
      </w:r>
      <w:r w:rsidR="009E7DCD" w:rsidRPr="007A5892">
        <w:rPr>
          <w:rFonts w:ascii="Calibri" w:eastAsia="Times New Roman" w:hAnsi="Calibri" w:cs="Calibri"/>
          <w:sz w:val="28"/>
          <w:szCs w:val="28"/>
        </w:rPr>
        <w:t>staff listed.</w:t>
      </w:r>
      <w:r w:rsidR="009E7DCD">
        <w:rPr>
          <w:rFonts w:ascii="Calibri" w:eastAsia="Times New Roman" w:hAnsi="Calibri" w:cs="Calibri"/>
          <w:sz w:val="28"/>
          <w:szCs w:val="28"/>
        </w:rPr>
        <w:t xml:space="preserve">  </w:t>
      </w:r>
      <w:r w:rsidRPr="00E06AC6">
        <w:rPr>
          <w:rFonts w:ascii="Calibri" w:eastAsia="Times New Roman" w:hAnsi="Calibri" w:cs="Calibri"/>
          <w:sz w:val="28"/>
          <w:szCs w:val="28"/>
        </w:rPr>
        <w:t>We will send an update closer to the move date. </w:t>
      </w:r>
    </w:p>
    <w:p w14:paraId="3B362E10" w14:textId="482D77D4" w:rsidR="00C071BA" w:rsidRPr="00E06AC6" w:rsidRDefault="00304D20" w:rsidP="00304D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2970"/>
        <w:gridCol w:w="2880"/>
        <w:gridCol w:w="1615"/>
      </w:tblGrid>
      <w:tr w:rsidR="00017A87" w:rsidRPr="00017A87" w14:paraId="60D11E14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049E95E8" w14:textId="6587572B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CLIA Laboratory Director</w:t>
            </w:r>
          </w:p>
        </w:tc>
        <w:tc>
          <w:tcPr>
            <w:tcW w:w="2970" w:type="dxa"/>
            <w:vAlign w:val="center"/>
            <w:hideMark/>
          </w:tcPr>
          <w:p w14:paraId="52E99B3B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Dr. Daniel Jones</w:t>
            </w:r>
          </w:p>
        </w:tc>
        <w:tc>
          <w:tcPr>
            <w:tcW w:w="2880" w:type="dxa"/>
            <w:vAlign w:val="center"/>
            <w:hideMark/>
          </w:tcPr>
          <w:p w14:paraId="66F4F7E1" w14:textId="77777777" w:rsidR="00017A87" w:rsidRPr="00D514BC" w:rsidRDefault="007A5892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5" w:history="1">
              <w:r w:rsidR="00017A87" w:rsidRPr="00D514BC">
                <w:rPr>
                  <w:rFonts w:eastAsia="Times New Roman" w:cstheme="minorHAnsi"/>
                  <w:color w:val="3366CC"/>
                  <w:sz w:val="20"/>
                  <w:szCs w:val="20"/>
                </w:rPr>
                <w:t>daniel.jones@maine.gov</w:t>
              </w:r>
            </w:hyperlink>
          </w:p>
        </w:tc>
        <w:tc>
          <w:tcPr>
            <w:tcW w:w="1615" w:type="dxa"/>
            <w:vAlign w:val="center"/>
            <w:hideMark/>
          </w:tcPr>
          <w:p w14:paraId="5ED65D96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215-6948</w:t>
            </w:r>
          </w:p>
        </w:tc>
      </w:tr>
      <w:tr w:rsidR="00017A87" w:rsidRPr="00017A87" w14:paraId="694325C2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517BD642" w14:textId="0FA1103A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CLIA Technical </w:t>
            </w:r>
            <w:r w:rsidR="006640A6">
              <w:rPr>
                <w:rFonts w:eastAsia="Times New Roman" w:cstheme="minorHAnsi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2970" w:type="dxa"/>
            <w:vAlign w:val="center"/>
            <w:hideMark/>
          </w:tcPr>
          <w:p w14:paraId="16D77886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Nick Matluk MS, MB (ASCP)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CM</w:t>
            </w:r>
          </w:p>
        </w:tc>
        <w:tc>
          <w:tcPr>
            <w:tcW w:w="2880" w:type="dxa"/>
            <w:vAlign w:val="center"/>
            <w:hideMark/>
          </w:tcPr>
          <w:p w14:paraId="63375849" w14:textId="77777777" w:rsidR="00017A87" w:rsidRPr="00D514BC" w:rsidRDefault="007A5892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6" w:history="1">
              <w:r w:rsidR="00017A87" w:rsidRPr="00D514BC">
                <w:rPr>
                  <w:rFonts w:eastAsia="Times New Roman" w:cstheme="minorHAnsi"/>
                  <w:color w:val="3366CC"/>
                  <w:sz w:val="20"/>
                  <w:szCs w:val="20"/>
                </w:rPr>
                <w:t>Nicholas.Matluk@maine.gov</w:t>
              </w:r>
            </w:hyperlink>
          </w:p>
        </w:tc>
        <w:tc>
          <w:tcPr>
            <w:tcW w:w="1615" w:type="dxa"/>
            <w:vAlign w:val="center"/>
            <w:hideMark/>
          </w:tcPr>
          <w:p w14:paraId="5D42DDC8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287-6736</w:t>
            </w:r>
          </w:p>
        </w:tc>
      </w:tr>
      <w:tr w:rsidR="00017A87" w:rsidRPr="00017A87" w14:paraId="46B97BC3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500C7717" w14:textId="1427E8A3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CLIA Quality Assurance Officer</w:t>
            </w:r>
          </w:p>
        </w:tc>
        <w:tc>
          <w:tcPr>
            <w:tcW w:w="2970" w:type="dxa"/>
            <w:vAlign w:val="center"/>
            <w:hideMark/>
          </w:tcPr>
          <w:p w14:paraId="0941919D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Sarah Carey</w:t>
            </w:r>
          </w:p>
        </w:tc>
        <w:tc>
          <w:tcPr>
            <w:tcW w:w="2880" w:type="dxa"/>
            <w:vAlign w:val="center"/>
            <w:hideMark/>
          </w:tcPr>
          <w:p w14:paraId="337BE8DC" w14:textId="77777777" w:rsidR="00017A87" w:rsidRPr="00D514BC" w:rsidRDefault="007A5892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7" w:history="1">
              <w:r w:rsidR="00017A87" w:rsidRPr="00D514BC">
                <w:rPr>
                  <w:rFonts w:eastAsia="Times New Roman" w:cstheme="minorHAnsi"/>
                  <w:color w:val="3366CC"/>
                  <w:sz w:val="20"/>
                  <w:szCs w:val="20"/>
                </w:rPr>
                <w:t>Sarah.Carey@maine.gov</w:t>
              </w:r>
            </w:hyperlink>
          </w:p>
        </w:tc>
        <w:tc>
          <w:tcPr>
            <w:tcW w:w="1615" w:type="dxa"/>
            <w:vAlign w:val="center"/>
            <w:hideMark/>
          </w:tcPr>
          <w:p w14:paraId="33A11BEF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287-5679</w:t>
            </w:r>
          </w:p>
        </w:tc>
      </w:tr>
      <w:tr w:rsidR="00017A87" w:rsidRPr="00017A87" w14:paraId="5325C0C4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54CDBCCF" w14:textId="59008AB0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Virology/Serology/Respiratory</w:t>
            </w:r>
            <w:r w:rsidR="00AE027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/STI 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970" w:type="dxa"/>
            <w:vAlign w:val="center"/>
            <w:hideMark/>
          </w:tcPr>
          <w:p w14:paraId="73D12A49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Lori Webber</w:t>
            </w:r>
          </w:p>
        </w:tc>
        <w:tc>
          <w:tcPr>
            <w:tcW w:w="2880" w:type="dxa"/>
            <w:vAlign w:val="center"/>
            <w:hideMark/>
          </w:tcPr>
          <w:p w14:paraId="3A503199" w14:textId="77777777" w:rsidR="00017A87" w:rsidRPr="00D514BC" w:rsidRDefault="007A5892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8" w:history="1">
              <w:r w:rsidR="00017A87" w:rsidRPr="00D514BC">
                <w:rPr>
                  <w:rFonts w:eastAsia="Times New Roman" w:cstheme="minorHAnsi"/>
                  <w:color w:val="3366CC"/>
                  <w:sz w:val="20"/>
                  <w:szCs w:val="20"/>
                </w:rPr>
                <w:t>Lori.Webber@maine.gov</w:t>
              </w:r>
            </w:hyperlink>
          </w:p>
        </w:tc>
        <w:tc>
          <w:tcPr>
            <w:tcW w:w="1615" w:type="dxa"/>
            <w:vAlign w:val="center"/>
            <w:hideMark/>
          </w:tcPr>
          <w:p w14:paraId="318B96D2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287-1722</w:t>
            </w:r>
          </w:p>
        </w:tc>
      </w:tr>
      <w:tr w:rsidR="00017A87" w:rsidRPr="00017A87" w14:paraId="79C04BE2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6A610E2B" w14:textId="4140980F" w:rsidR="00017A87" w:rsidRPr="00017A87" w:rsidRDefault="007460BA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Mycobacteriology</w:t>
            </w:r>
            <w:r w:rsidR="00017A87"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/Rabies Section</w:t>
            </w:r>
          </w:p>
        </w:tc>
        <w:tc>
          <w:tcPr>
            <w:tcW w:w="2970" w:type="dxa"/>
            <w:vAlign w:val="center"/>
            <w:hideMark/>
          </w:tcPr>
          <w:p w14:paraId="28698833" w14:textId="5CAAF271" w:rsidR="00017A87" w:rsidRPr="00017A87" w:rsidRDefault="00473253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Jared Peters</w:t>
            </w:r>
          </w:p>
        </w:tc>
        <w:tc>
          <w:tcPr>
            <w:tcW w:w="2880" w:type="dxa"/>
            <w:vAlign w:val="center"/>
            <w:hideMark/>
          </w:tcPr>
          <w:p w14:paraId="739ADAAD" w14:textId="473CF297" w:rsidR="00017A87" w:rsidRPr="00D514BC" w:rsidRDefault="00473253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r w:rsidRPr="00D514BC">
              <w:rPr>
                <w:rFonts w:eastAsia="Times New Roman" w:cstheme="minorHAnsi"/>
                <w:color w:val="3366CC"/>
                <w:sz w:val="20"/>
                <w:szCs w:val="20"/>
              </w:rPr>
              <w:t>Jared.Peters@maine.gov</w:t>
            </w:r>
          </w:p>
        </w:tc>
        <w:tc>
          <w:tcPr>
            <w:tcW w:w="1615" w:type="dxa"/>
            <w:vAlign w:val="center"/>
            <w:hideMark/>
          </w:tcPr>
          <w:p w14:paraId="16C409FF" w14:textId="6A0EDC45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</w:t>
            </w:r>
            <w:r w:rsidR="00D514BC">
              <w:rPr>
                <w:rFonts w:eastAsia="Times New Roman" w:cstheme="minorHAnsi"/>
                <w:color w:val="000000"/>
                <w:sz w:val="20"/>
                <w:szCs w:val="20"/>
              </w:rPr>
              <w:t>9529</w:t>
            </w:r>
          </w:p>
        </w:tc>
      </w:tr>
      <w:tr w:rsidR="00017A87" w:rsidRPr="00017A87" w14:paraId="39999B26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612C0B8B" w14:textId="2079666F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Bacteriology/Blood Lead Section</w:t>
            </w:r>
          </w:p>
        </w:tc>
        <w:tc>
          <w:tcPr>
            <w:tcW w:w="2970" w:type="dxa"/>
            <w:vAlign w:val="center"/>
            <w:hideMark/>
          </w:tcPr>
          <w:p w14:paraId="71C3C9CE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Heather Grieser BS, MB (ASCP) 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CM</w:t>
            </w:r>
          </w:p>
        </w:tc>
        <w:tc>
          <w:tcPr>
            <w:tcW w:w="2880" w:type="dxa"/>
            <w:vAlign w:val="center"/>
            <w:hideMark/>
          </w:tcPr>
          <w:p w14:paraId="7F21DCC4" w14:textId="6AF5AE9C" w:rsidR="00017A87" w:rsidRPr="00D514BC" w:rsidRDefault="007A5892" w:rsidP="00017A87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9" w:history="1">
              <w:r w:rsidR="00473253" w:rsidRPr="00D514BC">
                <w:rPr>
                  <w:color w:val="3366CC"/>
                  <w:sz w:val="20"/>
                  <w:szCs w:val="20"/>
                </w:rPr>
                <w:t>Heather.Grieser@maine.gov</w:t>
              </w:r>
            </w:hyperlink>
          </w:p>
        </w:tc>
        <w:tc>
          <w:tcPr>
            <w:tcW w:w="1615" w:type="dxa"/>
            <w:vAlign w:val="center"/>
            <w:hideMark/>
          </w:tcPr>
          <w:p w14:paraId="511F5200" w14:textId="77777777" w:rsidR="00017A87" w:rsidRPr="00017A87" w:rsidRDefault="00017A87" w:rsidP="00017A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287-5769</w:t>
            </w:r>
          </w:p>
        </w:tc>
      </w:tr>
      <w:tr w:rsidR="008A7AFF" w:rsidRPr="00017A87" w14:paraId="29B635E7" w14:textId="77777777" w:rsidTr="00AE027E">
        <w:trPr>
          <w:trHeight w:hRule="exact" w:val="720"/>
        </w:trPr>
        <w:tc>
          <w:tcPr>
            <w:tcW w:w="3325" w:type="dxa"/>
            <w:vAlign w:val="center"/>
            <w:hideMark/>
          </w:tcPr>
          <w:p w14:paraId="54E1CFC7" w14:textId="77777777" w:rsidR="008A7AFF" w:rsidRPr="00017A87" w:rsidRDefault="008A7AFF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LRN-B Program Advisor/Biological Terrorism Coordinator</w:t>
            </w:r>
          </w:p>
        </w:tc>
        <w:tc>
          <w:tcPr>
            <w:tcW w:w="2970" w:type="dxa"/>
            <w:vAlign w:val="center"/>
            <w:hideMark/>
          </w:tcPr>
          <w:p w14:paraId="75ECF05D" w14:textId="5A9C637D" w:rsidR="008A7AFF" w:rsidRPr="00017A87" w:rsidRDefault="008A7AFF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Nick Matluk MS, MB (ASCP)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CM</w:t>
            </w:r>
          </w:p>
        </w:tc>
        <w:tc>
          <w:tcPr>
            <w:tcW w:w="2880" w:type="dxa"/>
            <w:vAlign w:val="center"/>
            <w:hideMark/>
          </w:tcPr>
          <w:p w14:paraId="1DCE0F48" w14:textId="384C60D5" w:rsidR="008A7AFF" w:rsidRPr="00D514BC" w:rsidRDefault="008A7AFF" w:rsidP="008A7AFF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r w:rsidRPr="00D514BC">
              <w:rPr>
                <w:rFonts w:eastAsia="Times New Roman" w:cstheme="minorHAnsi"/>
                <w:color w:val="3366CC"/>
                <w:sz w:val="20"/>
                <w:szCs w:val="20"/>
              </w:rPr>
              <w:t>Nicholas.Matluk@maine.gov</w:t>
            </w:r>
          </w:p>
        </w:tc>
        <w:tc>
          <w:tcPr>
            <w:tcW w:w="1615" w:type="dxa"/>
            <w:vAlign w:val="center"/>
            <w:hideMark/>
          </w:tcPr>
          <w:p w14:paraId="052CFB6D" w14:textId="77777777" w:rsidR="008A7AFF" w:rsidRPr="00017A87" w:rsidRDefault="008A7AFF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(207) 287-6736</w:t>
            </w:r>
          </w:p>
        </w:tc>
      </w:tr>
      <w:tr w:rsidR="00E87661" w:rsidRPr="00017A87" w14:paraId="051481EB" w14:textId="77777777" w:rsidTr="00AE027E">
        <w:trPr>
          <w:trHeight w:hRule="exact" w:val="720"/>
        </w:trPr>
        <w:tc>
          <w:tcPr>
            <w:tcW w:w="3325" w:type="dxa"/>
            <w:vAlign w:val="center"/>
          </w:tcPr>
          <w:p w14:paraId="3F016906" w14:textId="2EBA6C07" w:rsidR="00E87661" w:rsidRPr="00017A87" w:rsidRDefault="00E87661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Whole Genome Sequencing</w:t>
            </w:r>
          </w:p>
        </w:tc>
        <w:tc>
          <w:tcPr>
            <w:tcW w:w="2970" w:type="dxa"/>
            <w:vAlign w:val="center"/>
          </w:tcPr>
          <w:p w14:paraId="3426D536" w14:textId="62229EFD" w:rsidR="00E87661" w:rsidRPr="00017A87" w:rsidRDefault="00E87661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Sim Meak</w:t>
            </w:r>
            <w:r w:rsidR="00DF62A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</w:rPr>
              <w:t>MB (ASCP) </w:t>
            </w:r>
            <w:r w:rsidRPr="00017A8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CM</w:t>
            </w:r>
          </w:p>
        </w:tc>
        <w:tc>
          <w:tcPr>
            <w:tcW w:w="2880" w:type="dxa"/>
            <w:vAlign w:val="center"/>
          </w:tcPr>
          <w:p w14:paraId="50CE3DC6" w14:textId="7404C347" w:rsidR="00E87661" w:rsidRPr="00D514BC" w:rsidRDefault="007A5892" w:rsidP="008A7AFF">
            <w:pPr>
              <w:jc w:val="center"/>
              <w:rPr>
                <w:rFonts w:eastAsia="Times New Roman" w:cstheme="minorHAnsi"/>
                <w:color w:val="3366CC"/>
                <w:sz w:val="20"/>
                <w:szCs w:val="20"/>
              </w:rPr>
            </w:pPr>
            <w:hyperlink r:id="rId10" w:history="1">
              <w:r w:rsidR="00E87661" w:rsidRPr="00D514BC">
                <w:rPr>
                  <w:rFonts w:eastAsia="Times New Roman" w:cstheme="minorHAnsi"/>
                  <w:color w:val="3366CC"/>
                  <w:sz w:val="20"/>
                  <w:szCs w:val="20"/>
                </w:rPr>
                <w:t>Sim.Meak@maine.gov</w:t>
              </w:r>
            </w:hyperlink>
          </w:p>
        </w:tc>
        <w:tc>
          <w:tcPr>
            <w:tcW w:w="1615" w:type="dxa"/>
            <w:vAlign w:val="center"/>
          </w:tcPr>
          <w:p w14:paraId="1324C7DF" w14:textId="04057DFE" w:rsidR="00E87661" w:rsidRPr="00017A87" w:rsidRDefault="00E87661" w:rsidP="008A7A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(207) 287-9575</w:t>
            </w:r>
          </w:p>
        </w:tc>
      </w:tr>
    </w:tbl>
    <w:p w14:paraId="495177F8" w14:textId="7F799BC7" w:rsidR="00017A87" w:rsidRDefault="00017A87" w:rsidP="00017A87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4C851AC7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OLD ADDRESS</w:t>
      </w:r>
    </w:p>
    <w:p w14:paraId="29612062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Clinical Microbiology</w:t>
      </w:r>
    </w:p>
    <w:p w14:paraId="0E240C26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Health and Environmental Testing Laboratory</w:t>
      </w:r>
    </w:p>
    <w:p w14:paraId="17F2B84B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221 State Street</w:t>
      </w:r>
    </w:p>
    <w:p w14:paraId="5594C859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Augusta, Maine, 04333</w:t>
      </w:r>
    </w:p>
    <w:p w14:paraId="47D6D386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AE31E33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NEW ADDRESS</w:t>
      </w:r>
    </w:p>
    <w:p w14:paraId="060A67E4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Clinical Microbiology</w:t>
      </w:r>
    </w:p>
    <w:p w14:paraId="584055BE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Health and Environmental Testing Laboratory</w:t>
      </w:r>
    </w:p>
    <w:p w14:paraId="3726318A" w14:textId="77777777" w:rsidR="00CE1CCD" w:rsidRPr="00E06AC6" w:rsidRDefault="00CE1CCD" w:rsidP="00CE1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AC6">
        <w:rPr>
          <w:rFonts w:ascii="Calibri" w:eastAsia="Times New Roman" w:hAnsi="Calibri" w:cs="Calibri"/>
          <w:sz w:val="28"/>
          <w:szCs w:val="28"/>
        </w:rPr>
        <w:t>47 Independence Drive</w:t>
      </w:r>
    </w:p>
    <w:p w14:paraId="7FB13682" w14:textId="61545D41" w:rsidR="00CE1CCD" w:rsidRPr="00E06AC6" w:rsidRDefault="00CE1CCD" w:rsidP="006D2F83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E06AC6">
        <w:rPr>
          <w:rFonts w:ascii="Calibri" w:eastAsia="Times New Roman" w:hAnsi="Calibri" w:cs="Calibri"/>
          <w:sz w:val="28"/>
          <w:szCs w:val="28"/>
        </w:rPr>
        <w:t>Augusta, Maine, 0433</w:t>
      </w:r>
      <w:r w:rsidR="002C2062">
        <w:rPr>
          <w:rFonts w:ascii="Calibri" w:eastAsia="Times New Roman" w:hAnsi="Calibri" w:cs="Calibri"/>
          <w:sz w:val="28"/>
          <w:szCs w:val="28"/>
        </w:rPr>
        <w:t>3</w:t>
      </w:r>
    </w:p>
    <w:sectPr w:rsidR="00CE1CCD" w:rsidRPr="00E06AC6" w:rsidSect="00A20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A"/>
    <w:rsid w:val="00017A87"/>
    <w:rsid w:val="00040F95"/>
    <w:rsid w:val="0007654C"/>
    <w:rsid w:val="000A35F5"/>
    <w:rsid w:val="001105E7"/>
    <w:rsid w:val="00116C23"/>
    <w:rsid w:val="001213C5"/>
    <w:rsid w:val="00136A5A"/>
    <w:rsid w:val="00180ACD"/>
    <w:rsid w:val="0019566B"/>
    <w:rsid w:val="001A55B1"/>
    <w:rsid w:val="001D723A"/>
    <w:rsid w:val="001F10FD"/>
    <w:rsid w:val="0023774A"/>
    <w:rsid w:val="00257215"/>
    <w:rsid w:val="00260FD4"/>
    <w:rsid w:val="002A0A43"/>
    <w:rsid w:val="002C2062"/>
    <w:rsid w:val="002D576A"/>
    <w:rsid w:val="002F0CD6"/>
    <w:rsid w:val="00304D20"/>
    <w:rsid w:val="00310589"/>
    <w:rsid w:val="00373C3B"/>
    <w:rsid w:val="003B66E7"/>
    <w:rsid w:val="004129C5"/>
    <w:rsid w:val="00473253"/>
    <w:rsid w:val="004825A4"/>
    <w:rsid w:val="004B62CF"/>
    <w:rsid w:val="004C19C4"/>
    <w:rsid w:val="004D16E4"/>
    <w:rsid w:val="004D2F82"/>
    <w:rsid w:val="005337B8"/>
    <w:rsid w:val="005C3705"/>
    <w:rsid w:val="005D7C8C"/>
    <w:rsid w:val="006640A6"/>
    <w:rsid w:val="006D2F83"/>
    <w:rsid w:val="006E4300"/>
    <w:rsid w:val="006E56B0"/>
    <w:rsid w:val="00701648"/>
    <w:rsid w:val="00705598"/>
    <w:rsid w:val="00740BBD"/>
    <w:rsid w:val="007460BA"/>
    <w:rsid w:val="00777650"/>
    <w:rsid w:val="00780B22"/>
    <w:rsid w:val="007A5892"/>
    <w:rsid w:val="0089465C"/>
    <w:rsid w:val="00894DFD"/>
    <w:rsid w:val="00897FD8"/>
    <w:rsid w:val="008A7AFF"/>
    <w:rsid w:val="00953E31"/>
    <w:rsid w:val="009A6F3A"/>
    <w:rsid w:val="009E7DCD"/>
    <w:rsid w:val="009F2B06"/>
    <w:rsid w:val="00A2050A"/>
    <w:rsid w:val="00A57F4B"/>
    <w:rsid w:val="00A6601D"/>
    <w:rsid w:val="00A713F6"/>
    <w:rsid w:val="00A95FF0"/>
    <w:rsid w:val="00AA369E"/>
    <w:rsid w:val="00AD06BC"/>
    <w:rsid w:val="00AE027E"/>
    <w:rsid w:val="00AE0C69"/>
    <w:rsid w:val="00AF4841"/>
    <w:rsid w:val="00B32405"/>
    <w:rsid w:val="00B441D0"/>
    <w:rsid w:val="00B53274"/>
    <w:rsid w:val="00BF7303"/>
    <w:rsid w:val="00C071BA"/>
    <w:rsid w:val="00C1594E"/>
    <w:rsid w:val="00C17476"/>
    <w:rsid w:val="00CE1CCD"/>
    <w:rsid w:val="00D23CEA"/>
    <w:rsid w:val="00D514BC"/>
    <w:rsid w:val="00DB47C2"/>
    <w:rsid w:val="00DC5420"/>
    <w:rsid w:val="00DF1AD0"/>
    <w:rsid w:val="00DF41A0"/>
    <w:rsid w:val="00DF62AD"/>
    <w:rsid w:val="00E06AC6"/>
    <w:rsid w:val="00E22C69"/>
    <w:rsid w:val="00E66475"/>
    <w:rsid w:val="00E66E58"/>
    <w:rsid w:val="00E87661"/>
    <w:rsid w:val="00ED7ED3"/>
    <w:rsid w:val="00EE0C22"/>
    <w:rsid w:val="00F87B66"/>
    <w:rsid w:val="12C86FCE"/>
    <w:rsid w:val="24E50A29"/>
    <w:rsid w:val="64A79B9B"/>
    <w:rsid w:val="6A8412C4"/>
    <w:rsid w:val="79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41A2"/>
  <w15:chartTrackingRefBased/>
  <w15:docId w15:val="{3AFFB13E-B6BD-432D-83B9-C1EC54A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589"/>
    <w:pPr>
      <w:spacing w:after="0" w:line="240" w:lineRule="auto"/>
    </w:pPr>
  </w:style>
  <w:style w:type="paragraph" w:customStyle="1" w:styleId="paragraph">
    <w:name w:val="paragraph"/>
    <w:basedOn w:val="Normal"/>
    <w:rsid w:val="0030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04D20"/>
  </w:style>
  <w:style w:type="character" w:customStyle="1" w:styleId="eop">
    <w:name w:val="eop"/>
    <w:basedOn w:val="DefaultParagraphFont"/>
    <w:rsid w:val="00304D20"/>
  </w:style>
  <w:style w:type="character" w:customStyle="1" w:styleId="contextualspellingandgrammarerror">
    <w:name w:val="contextualspellingandgrammarerror"/>
    <w:basedOn w:val="DefaultParagraphFont"/>
    <w:rsid w:val="00304D20"/>
  </w:style>
  <w:style w:type="character" w:customStyle="1" w:styleId="spellingerror">
    <w:name w:val="spellingerror"/>
    <w:basedOn w:val="DefaultParagraphFont"/>
    <w:rsid w:val="00304D2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1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A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Webber@main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Carey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holas.Matluk@maine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niel.jones@maine.gov" TargetMode="External"/><Relationship Id="rId10" Type="http://schemas.openxmlformats.org/officeDocument/2006/relationships/hyperlink" Target="mailto:Sim.Meak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ther.Grieser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00F5-84D3-4A35-BE6C-E399C6E6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Matluk, Nicholas</dc:creator>
  <cp:keywords/>
  <dc:description/>
  <cp:lastModifiedBy>Webber, Lori</cp:lastModifiedBy>
  <cp:revision>90</cp:revision>
  <cp:lastPrinted>2022-07-25T15:16:00Z</cp:lastPrinted>
  <dcterms:created xsi:type="dcterms:W3CDTF">2022-07-20T09:36:00Z</dcterms:created>
  <dcterms:modified xsi:type="dcterms:W3CDTF">2023-11-14T15:18:00Z</dcterms:modified>
</cp:coreProperties>
</file>