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C1" w:rsidRDefault="005C57C1">
      <w:pPr>
        <w:rPr>
          <w:rFonts w:ascii="Georgia" w:eastAsia="Times New Roman" w:hAnsi="Georgia" w:cs="Times New Roman"/>
          <w:b/>
          <w:bCs/>
          <w:color w:val="000000"/>
          <w:sz w:val="28"/>
          <w:szCs w:val="28"/>
        </w:rPr>
      </w:pPr>
    </w:p>
    <w:p w:rsidR="003F67D4" w:rsidRDefault="003F67D4" w:rsidP="003F67D4">
      <w:pPr>
        <w:spacing w:after="0" w:line="240" w:lineRule="auto"/>
        <w:jc w:val="center"/>
        <w:outlineLvl w:val="1"/>
        <w:rPr>
          <w:rFonts w:ascii="Georgia" w:eastAsia="Times New Roman" w:hAnsi="Georgia" w:cs="Times New Roman"/>
          <w:b/>
          <w:bCs/>
          <w:color w:val="000000"/>
          <w:sz w:val="28"/>
          <w:szCs w:val="28"/>
        </w:rPr>
      </w:pPr>
      <w:r>
        <w:rPr>
          <w:noProof/>
          <w:color w:val="003366"/>
        </w:rPr>
        <w:drawing>
          <wp:inline distT="0" distB="0" distL="0" distR="0" wp14:anchorId="569FC89C" wp14:editId="4ADFDBEB">
            <wp:extent cx="2984500" cy="1168400"/>
            <wp:effectExtent l="19050" t="0" r="6350" b="0"/>
            <wp:docPr id="4" name="Picture 4" descr="MCDC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logo-color"/>
                    <pic:cNvPicPr>
                      <a:picLocks noChangeAspect="1" noChangeArrowheads="1"/>
                    </pic:cNvPicPr>
                  </pic:nvPicPr>
                  <pic:blipFill>
                    <a:blip r:embed="rId7" cstate="print"/>
                    <a:srcRect/>
                    <a:stretch>
                      <a:fillRect/>
                    </a:stretch>
                  </pic:blipFill>
                  <pic:spPr bwMode="auto">
                    <a:xfrm>
                      <a:off x="0" y="0"/>
                      <a:ext cx="2984500" cy="1168400"/>
                    </a:xfrm>
                    <a:prstGeom prst="rect">
                      <a:avLst/>
                    </a:prstGeom>
                    <a:noFill/>
                    <a:ln w="9525">
                      <a:noFill/>
                      <a:miter lim="800000"/>
                      <a:headEnd/>
                      <a:tailEnd/>
                    </a:ln>
                  </pic:spPr>
                </pic:pic>
              </a:graphicData>
            </a:graphic>
          </wp:inline>
        </w:drawing>
      </w:r>
    </w:p>
    <w:p w:rsidR="003F67D4" w:rsidRDefault="003F67D4" w:rsidP="005D4878">
      <w:pPr>
        <w:spacing w:after="0" w:line="240" w:lineRule="auto"/>
        <w:outlineLvl w:val="1"/>
        <w:rPr>
          <w:rFonts w:ascii="Georgia" w:eastAsia="Times New Roman" w:hAnsi="Georgia" w:cs="Times New Roman"/>
          <w:b/>
          <w:bCs/>
          <w:color w:val="000000"/>
          <w:sz w:val="28"/>
          <w:szCs w:val="28"/>
        </w:rPr>
      </w:pPr>
    </w:p>
    <w:p w:rsidR="00C25427" w:rsidRDefault="00C25427" w:rsidP="00C25427">
      <w:pPr>
        <w:spacing w:after="0" w:line="240" w:lineRule="auto"/>
        <w:jc w:val="center"/>
        <w:rPr>
          <w:rStyle w:val="Strong"/>
          <w:rFonts w:cstheme="minorHAnsi"/>
          <w:color w:val="000000"/>
          <w:sz w:val="28"/>
          <w:szCs w:val="17"/>
        </w:rPr>
      </w:pPr>
      <w:r w:rsidRPr="009B0B7D">
        <w:rPr>
          <w:rStyle w:val="Strong"/>
          <w:rFonts w:cstheme="minorHAnsi"/>
          <w:color w:val="000000"/>
          <w:sz w:val="28"/>
          <w:szCs w:val="17"/>
        </w:rPr>
        <w:t xml:space="preserve">Summary of </w:t>
      </w:r>
      <w:proofErr w:type="spellStart"/>
      <w:r w:rsidRPr="009B0B7D">
        <w:rPr>
          <w:rStyle w:val="Strong"/>
          <w:rFonts w:cstheme="minorHAnsi"/>
          <w:color w:val="000000"/>
          <w:sz w:val="28"/>
          <w:szCs w:val="17"/>
        </w:rPr>
        <w:t>DTaP</w:t>
      </w:r>
      <w:proofErr w:type="spellEnd"/>
      <w:r w:rsidRPr="009B0B7D">
        <w:rPr>
          <w:rStyle w:val="Strong"/>
          <w:rFonts w:cstheme="minorHAnsi"/>
          <w:color w:val="000000"/>
          <w:sz w:val="28"/>
          <w:szCs w:val="17"/>
        </w:rPr>
        <w:t xml:space="preserve"> and </w:t>
      </w:r>
      <w:proofErr w:type="spellStart"/>
      <w:r w:rsidRPr="009B0B7D">
        <w:rPr>
          <w:rStyle w:val="Strong"/>
          <w:rFonts w:cstheme="minorHAnsi"/>
          <w:color w:val="000000"/>
          <w:sz w:val="28"/>
          <w:szCs w:val="17"/>
        </w:rPr>
        <w:t>Tdap</w:t>
      </w:r>
      <w:proofErr w:type="spellEnd"/>
      <w:r w:rsidRPr="009B0B7D">
        <w:rPr>
          <w:rStyle w:val="Strong"/>
          <w:rFonts w:cstheme="minorHAnsi"/>
          <w:color w:val="000000"/>
          <w:sz w:val="28"/>
          <w:szCs w:val="17"/>
        </w:rPr>
        <w:t xml:space="preserve"> Vaccine Recommendations across the Lifespan</w:t>
      </w:r>
    </w:p>
    <w:p w:rsidR="00C25427" w:rsidRDefault="000005C7" w:rsidP="00C25427">
      <w:pPr>
        <w:spacing w:after="0" w:line="240" w:lineRule="auto"/>
        <w:jc w:val="center"/>
        <w:rPr>
          <w:rFonts w:cstheme="minorHAnsi"/>
          <w:szCs w:val="28"/>
        </w:rPr>
      </w:pPr>
      <w:hyperlink r:id="rId8" w:history="1">
        <w:r w:rsidR="00C25427" w:rsidRPr="00E80D97">
          <w:rPr>
            <w:rStyle w:val="Hyperlink"/>
            <w:rFonts w:cstheme="minorHAnsi"/>
          </w:rPr>
          <w:t>http://www.cdc.gov/vaccines/vpd-vac/pertussis/recs-summary.htm</w:t>
        </w:r>
      </w:hyperlink>
      <w:r w:rsidR="00C25427" w:rsidRPr="00E80D97">
        <w:rPr>
          <w:rFonts w:cstheme="minorHAnsi"/>
          <w:szCs w:val="28"/>
        </w:rPr>
        <w:t xml:space="preserve"> </w:t>
      </w:r>
    </w:p>
    <w:p w:rsidR="00C25427" w:rsidRPr="00E80D97" w:rsidRDefault="00C25427" w:rsidP="00C25427">
      <w:pPr>
        <w:spacing w:after="0" w:line="240" w:lineRule="auto"/>
        <w:jc w:val="center"/>
        <w:rPr>
          <w:rFonts w:cstheme="minorHAnsi"/>
          <w:szCs w:val="28"/>
        </w:rPr>
      </w:pPr>
    </w:p>
    <w:tbl>
      <w:tblPr>
        <w:tblW w:w="10080"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Description w:val="summary or vaccine reommendations"/>
      </w:tblPr>
      <w:tblGrid>
        <w:gridCol w:w="1416"/>
        <w:gridCol w:w="8664"/>
      </w:tblGrid>
      <w:tr w:rsidR="00C25427" w:rsidTr="00C25427">
        <w:trPr>
          <w:tblCellSpacing w:w="0" w:type="dxa"/>
        </w:trPr>
        <w:tc>
          <w:tcPr>
            <w:tcW w:w="1650" w:type="dxa"/>
            <w:tcBorders>
              <w:top w:val="outset" w:sz="6" w:space="0" w:color="CCCCCC"/>
              <w:left w:val="outset" w:sz="6" w:space="0" w:color="CCCCCC"/>
              <w:bottom w:val="outset" w:sz="6" w:space="0" w:color="CCCCCC"/>
              <w:right w:val="outset" w:sz="6" w:space="0" w:color="CCCCCC"/>
            </w:tcBorders>
            <w:shd w:val="clear" w:color="auto" w:fill="ECFFEC"/>
            <w:vAlign w:val="center"/>
            <w:hideMark/>
          </w:tcPr>
          <w:p w:rsidR="00C25427" w:rsidRDefault="00C25427" w:rsidP="00C25427">
            <w:pPr>
              <w:spacing w:after="0" w:line="240" w:lineRule="auto"/>
              <w:rPr>
                <w:rFonts w:ascii="Verdana" w:hAnsi="Verdana" w:cs="Arial"/>
                <w:b/>
                <w:bCs/>
                <w:color w:val="000000"/>
                <w:sz w:val="14"/>
                <w:szCs w:val="14"/>
              </w:rPr>
            </w:pPr>
            <w:r>
              <w:rPr>
                <w:rFonts w:ascii="Verdana" w:hAnsi="Verdana" w:cs="Arial"/>
                <w:b/>
                <w:bCs/>
                <w:color w:val="000000"/>
                <w:sz w:val="14"/>
                <w:szCs w:val="14"/>
              </w:rPr>
              <w:t xml:space="preserve">Age/Status </w:t>
            </w:r>
          </w:p>
        </w:tc>
        <w:tc>
          <w:tcPr>
            <w:tcW w:w="4800" w:type="dxa"/>
            <w:tcBorders>
              <w:top w:val="outset" w:sz="6" w:space="0" w:color="CCCCCC"/>
              <w:left w:val="outset" w:sz="6" w:space="0" w:color="CCCCCC"/>
              <w:bottom w:val="outset" w:sz="6" w:space="0" w:color="CCCCCC"/>
              <w:right w:val="outset" w:sz="6" w:space="0" w:color="CCCCCC"/>
            </w:tcBorders>
            <w:shd w:val="clear" w:color="auto" w:fill="ECFFEC"/>
            <w:vAlign w:val="center"/>
            <w:hideMark/>
          </w:tcPr>
          <w:p w:rsidR="00C25427" w:rsidRDefault="00C25427" w:rsidP="00C25427">
            <w:pPr>
              <w:spacing w:after="0" w:line="240" w:lineRule="auto"/>
              <w:rPr>
                <w:rFonts w:ascii="Verdana" w:hAnsi="Verdana" w:cs="Arial"/>
                <w:b/>
                <w:bCs/>
                <w:color w:val="000000"/>
                <w:sz w:val="14"/>
                <w:szCs w:val="14"/>
              </w:rPr>
            </w:pPr>
            <w:r>
              <w:rPr>
                <w:rFonts w:ascii="Verdana" w:hAnsi="Verdana" w:cs="Arial"/>
                <w:b/>
                <w:bCs/>
                <w:color w:val="000000"/>
                <w:sz w:val="14"/>
                <w:szCs w:val="14"/>
              </w:rPr>
              <w:t xml:space="preserve">Recommendations </w:t>
            </w:r>
          </w:p>
        </w:tc>
      </w:tr>
      <w:tr w:rsidR="00C25427" w:rsidTr="00C2542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Birth through 6 years</w:t>
            </w:r>
          </w:p>
        </w:tc>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proofErr w:type="spellStart"/>
            <w:r>
              <w:rPr>
                <w:rFonts w:ascii="Verdana" w:hAnsi="Verdana" w:cs="Arial"/>
                <w:color w:val="000000"/>
                <w:sz w:val="14"/>
                <w:szCs w:val="14"/>
              </w:rPr>
              <w:t>DTaP</w:t>
            </w:r>
            <w:proofErr w:type="spellEnd"/>
            <w:r>
              <w:rPr>
                <w:rFonts w:ascii="Verdana" w:hAnsi="Verdana" w:cs="Arial"/>
                <w:color w:val="000000"/>
                <w:sz w:val="14"/>
                <w:szCs w:val="14"/>
              </w:rPr>
              <w:t xml:space="preserve"> is routinely recommended at 2, 4, and 6 months, at 15 through 18 months, and at 4 through 6 years.</w:t>
            </w:r>
          </w:p>
        </w:tc>
      </w:tr>
      <w:tr w:rsidR="00C25427" w:rsidTr="00C2542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7 through 10 years</w:t>
            </w: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r>
              <w:rPr>
                <w:rStyle w:val="moreinfo1"/>
                <w:rFonts w:ascii="Verdana" w:hAnsi="Verdana" w:cs="Arial"/>
                <w:sz w:val="12"/>
                <w:szCs w:val="12"/>
              </w:rPr>
              <w:t>UPDATED JAN 2011</w:t>
            </w:r>
          </w:p>
        </w:tc>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is recommended for children ages 7 through 10 years who are not fully vaccinated (</w:t>
            </w:r>
            <w:hyperlink r:id="rId9" w:anchor="note1" w:history="1">
              <w:r>
                <w:rPr>
                  <w:rStyle w:val="Hyperlink"/>
                  <w:rFonts w:ascii="Verdana" w:hAnsi="Verdana" w:cs="Arial"/>
                  <w:sz w:val="14"/>
                  <w:szCs w:val="14"/>
                </w:rPr>
                <w:t>see note 1</w:t>
              </w:r>
            </w:hyperlink>
            <w:r>
              <w:rPr>
                <w:rFonts w:ascii="Verdana" w:hAnsi="Verdana" w:cs="Arial"/>
                <w:color w:val="000000"/>
                <w:sz w:val="14"/>
                <w:szCs w:val="14"/>
              </w:rPr>
              <w:t>) against pertussis:</w:t>
            </w:r>
          </w:p>
          <w:p w:rsidR="00C25427" w:rsidRDefault="00C25427" w:rsidP="00C25427">
            <w:pPr>
              <w:numPr>
                <w:ilvl w:val="0"/>
                <w:numId w:val="7"/>
              </w:numPr>
              <w:spacing w:after="0" w:line="240" w:lineRule="auto"/>
              <w:ind w:left="300" w:hanging="186"/>
              <w:rPr>
                <w:rFonts w:ascii="Verdana" w:hAnsi="Verdana" w:cs="Arial"/>
                <w:color w:val="000000"/>
                <w:sz w:val="14"/>
                <w:szCs w:val="14"/>
              </w:rPr>
            </w:pPr>
            <w:r>
              <w:rPr>
                <w:rFonts w:ascii="Verdana" w:hAnsi="Verdana" w:cs="Arial"/>
                <w:color w:val="000000"/>
                <w:sz w:val="14"/>
                <w:szCs w:val="14"/>
              </w:rPr>
              <w:t xml:space="preserve">Single dose of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for those not fully vaccinated (</w:t>
            </w:r>
            <w:hyperlink r:id="rId10" w:anchor="note1" w:history="1">
              <w:r>
                <w:rPr>
                  <w:rStyle w:val="Hyperlink"/>
                  <w:rFonts w:ascii="Verdana" w:hAnsi="Verdana" w:cs="Arial"/>
                  <w:sz w:val="14"/>
                  <w:szCs w:val="14"/>
                </w:rPr>
                <w:t>see note 1</w:t>
              </w:r>
            </w:hyperlink>
            <w:r>
              <w:rPr>
                <w:rFonts w:ascii="Verdana" w:hAnsi="Verdana" w:cs="Arial"/>
                <w:color w:val="000000"/>
                <w:sz w:val="14"/>
                <w:szCs w:val="14"/>
              </w:rPr>
              <w:t xml:space="preserve">) </w:t>
            </w:r>
            <w:r>
              <w:rPr>
                <w:rStyle w:val="Strong"/>
                <w:rFonts w:ascii="Verdana" w:hAnsi="Verdana" w:cs="Arial"/>
                <w:color w:val="000000"/>
                <w:sz w:val="14"/>
                <w:szCs w:val="14"/>
              </w:rPr>
              <w:t>or</w:t>
            </w:r>
            <w:r>
              <w:rPr>
                <w:rFonts w:ascii="Verdana" w:hAnsi="Verdana" w:cs="Arial"/>
                <w:color w:val="000000"/>
                <w:sz w:val="14"/>
                <w:szCs w:val="14"/>
              </w:rPr>
              <w:t xml:space="preserve"> </w:t>
            </w:r>
          </w:p>
          <w:p w:rsidR="00C25427" w:rsidRPr="00E80D97" w:rsidRDefault="00C25427" w:rsidP="00C25427">
            <w:pPr>
              <w:numPr>
                <w:ilvl w:val="0"/>
                <w:numId w:val="7"/>
              </w:numPr>
              <w:spacing w:after="0" w:line="240" w:lineRule="auto"/>
              <w:ind w:left="300" w:hanging="186"/>
              <w:rPr>
                <w:rFonts w:ascii="Verdana" w:hAnsi="Verdana" w:cs="Arial"/>
                <w:color w:val="000000"/>
                <w:sz w:val="14"/>
                <w:szCs w:val="14"/>
              </w:rPr>
            </w:pPr>
            <w:r>
              <w:rPr>
                <w:rFonts w:ascii="Verdana" w:hAnsi="Verdana" w:cs="Arial"/>
                <w:color w:val="000000"/>
                <w:sz w:val="14"/>
                <w:szCs w:val="14"/>
              </w:rPr>
              <w:t xml:space="preserve">If additional doses of tetanus and diphtheria toxoid-containing vaccines are needed, then children aged 7 through 10 years should be vaccinated according to the </w:t>
            </w:r>
            <w:hyperlink r:id="rId11" w:anchor="printable" w:history="1">
              <w:r>
                <w:rPr>
                  <w:rStyle w:val="Hyperlink"/>
                  <w:rFonts w:ascii="Verdana" w:hAnsi="Verdana" w:cs="Arial"/>
                  <w:sz w:val="14"/>
                  <w:szCs w:val="14"/>
                </w:rPr>
                <w:t>catch-up schedule</w:t>
              </w:r>
            </w:hyperlink>
            <w:r>
              <w:rPr>
                <w:rFonts w:ascii="Verdana" w:hAnsi="Verdana" w:cs="Arial"/>
                <w:color w:val="000000"/>
                <w:sz w:val="14"/>
                <w:szCs w:val="14"/>
              </w:rPr>
              <w:t xml:space="preserve">, with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preferred as the first dose. </w:t>
            </w:r>
          </w:p>
        </w:tc>
      </w:tr>
      <w:tr w:rsidR="00C25427" w:rsidTr="00C2542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11 through 18 years</w:t>
            </w:r>
          </w:p>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 </w:t>
            </w:r>
          </w:p>
        </w:tc>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is routinely recommended as a single dose for those 11 through 18 years of age with preferred administration at 11 through 12 years of age. </w:t>
            </w:r>
          </w:p>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If adolescent was not fully vaccinated (</w:t>
            </w:r>
            <w:hyperlink r:id="rId12" w:anchor="note1" w:history="1">
              <w:r>
                <w:rPr>
                  <w:rStyle w:val="Hyperlink"/>
                  <w:rFonts w:ascii="Verdana" w:hAnsi="Verdana" w:cs="Arial"/>
                  <w:sz w:val="14"/>
                  <w:szCs w:val="14"/>
                </w:rPr>
                <w:t>see note 1</w:t>
              </w:r>
            </w:hyperlink>
            <w:r>
              <w:rPr>
                <w:rFonts w:ascii="Verdana" w:hAnsi="Verdana" w:cs="Arial"/>
                <w:color w:val="000000"/>
                <w:sz w:val="14"/>
                <w:szCs w:val="14"/>
              </w:rPr>
              <w:t xml:space="preserve">) as a child, check the </w:t>
            </w:r>
            <w:hyperlink r:id="rId13" w:history="1">
              <w:r>
                <w:rPr>
                  <w:rStyle w:val="Hyperlink"/>
                  <w:rFonts w:ascii="Verdana" w:hAnsi="Verdana" w:cs="Arial"/>
                  <w:sz w:val="14"/>
                  <w:szCs w:val="14"/>
                </w:rPr>
                <w:t>ACIP recommendations</w:t>
              </w:r>
            </w:hyperlink>
            <w:r>
              <w:rPr>
                <w:rFonts w:ascii="Verdana" w:hAnsi="Verdana" w:cs="Arial"/>
                <w:color w:val="000000"/>
                <w:sz w:val="14"/>
                <w:szCs w:val="14"/>
              </w:rPr>
              <w:t xml:space="preserve"> and </w:t>
            </w:r>
            <w:hyperlink r:id="rId14" w:anchor="printable" w:history="1">
              <w:r>
                <w:rPr>
                  <w:rStyle w:val="Hyperlink"/>
                  <w:rFonts w:ascii="Verdana" w:hAnsi="Verdana" w:cs="Arial"/>
                  <w:sz w:val="14"/>
                  <w:szCs w:val="14"/>
                </w:rPr>
                <w:t>catch-up schedule</w:t>
              </w:r>
            </w:hyperlink>
            <w:r>
              <w:rPr>
                <w:rFonts w:ascii="Verdana" w:hAnsi="Verdana" w:cs="Arial"/>
                <w:color w:val="000000"/>
                <w:sz w:val="14"/>
                <w:szCs w:val="14"/>
              </w:rPr>
              <w:t xml:space="preserve"> to determine what’s indicated. </w:t>
            </w:r>
          </w:p>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 xml:space="preserve">If adolescents (13 through 18 years) missed getting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at 11 to 12 years of age, administer at the next patient encounter or sooner if adolescent will have close contact with infants.</w:t>
            </w:r>
          </w:p>
        </w:tc>
      </w:tr>
      <w:tr w:rsidR="00C25427" w:rsidTr="00C2542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19 years and older</w:t>
            </w: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r>
              <w:rPr>
                <w:rStyle w:val="moreinfo1"/>
                <w:rFonts w:ascii="Verdana" w:hAnsi="Verdana" w:cs="Arial"/>
                <w:sz w:val="12"/>
                <w:szCs w:val="12"/>
              </w:rPr>
              <w:t>UPDATED JUN 2012</w:t>
            </w:r>
          </w:p>
        </w:tc>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 xml:space="preserve">Any adult 19 years of age and older who has not received a dose of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should get one as soon as feasible – to protect themselves and infants. This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booster dose can replace one of the 10-year Td booster doses.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can be administered regardless of interval since the previous Td dose. Shorter intervals between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and last Td may increase the risk of mild local </w:t>
            </w:r>
            <w:proofErr w:type="spellStart"/>
            <w:r>
              <w:rPr>
                <w:rFonts w:ascii="Verdana" w:hAnsi="Verdana" w:cs="Arial"/>
                <w:color w:val="000000"/>
                <w:sz w:val="14"/>
                <w:szCs w:val="14"/>
              </w:rPr>
              <w:t>reactogenicity</w:t>
            </w:r>
            <w:proofErr w:type="spellEnd"/>
            <w:r>
              <w:rPr>
                <w:rFonts w:ascii="Verdana" w:hAnsi="Verdana" w:cs="Arial"/>
                <w:color w:val="000000"/>
                <w:sz w:val="14"/>
                <w:szCs w:val="14"/>
              </w:rPr>
              <w:t xml:space="preserve"> but may be appropriate if your patient is at high risk for contracting pertussis, such as during an outbreak, or has close contact with infants.</w:t>
            </w:r>
          </w:p>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 xml:space="preserve">When feasible, </w:t>
            </w:r>
            <w:proofErr w:type="spellStart"/>
            <w:r>
              <w:rPr>
                <w:rFonts w:ascii="Verdana" w:hAnsi="Verdana" w:cs="Arial"/>
                <w:color w:val="000000"/>
                <w:sz w:val="14"/>
                <w:szCs w:val="14"/>
              </w:rPr>
              <w:t>Boostrix</w:t>
            </w:r>
            <w:proofErr w:type="spellEnd"/>
            <w:r>
              <w:rPr>
                <w:rFonts w:ascii="Verdana" w:hAnsi="Verdana" w:cs="Arial"/>
                <w:color w:val="000000"/>
                <w:sz w:val="14"/>
                <w:szCs w:val="14"/>
              </w:rPr>
              <w:t xml:space="preserve"> (GSK) should be used for adults 65 years and older; however, either vaccine product administered to a person 65 years or older provides protection and may be considered valid. Providers should not miss an opportunity to vaccinate persons aged 65 years and older with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Therefore, providers may administer the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vaccine they have available.</w:t>
            </w:r>
          </w:p>
        </w:tc>
      </w:tr>
      <w:tr w:rsidR="00C25427" w:rsidTr="00C2542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Pregnant women</w:t>
            </w: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p>
          <w:p w:rsidR="00C25427" w:rsidRDefault="00C25427" w:rsidP="00C25427">
            <w:pPr>
              <w:spacing w:after="0" w:line="240" w:lineRule="auto"/>
              <w:rPr>
                <w:rFonts w:ascii="Verdana" w:hAnsi="Verdana" w:cs="Arial"/>
                <w:color w:val="000000"/>
                <w:sz w:val="14"/>
                <w:szCs w:val="14"/>
              </w:rPr>
            </w:pPr>
            <w:r>
              <w:rPr>
                <w:rStyle w:val="moreinfo1"/>
                <w:rFonts w:ascii="Verdana" w:hAnsi="Verdana" w:cs="Arial"/>
                <w:sz w:val="12"/>
                <w:szCs w:val="12"/>
              </w:rPr>
              <w:t>UPDATED OCT 2011</w:t>
            </w:r>
          </w:p>
        </w:tc>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 xml:space="preserve">Pregnant women who have not been previously vaccinated with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should get one dose of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during the third trimester or late second trimester.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is recommended in the immediate postpartum period before discharge from hospital or birthing center for new mothers who were not previously vaccinated or whose vaccination status is unknown. By getting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during pregnancy, maternal pertussis antibodies transfer to the newborn, </w:t>
            </w:r>
            <w:proofErr w:type="gramStart"/>
            <w:r>
              <w:rPr>
                <w:rFonts w:ascii="Verdana" w:hAnsi="Verdana" w:cs="Arial"/>
                <w:color w:val="000000"/>
                <w:sz w:val="14"/>
                <w:szCs w:val="14"/>
              </w:rPr>
              <w:t>likely</w:t>
            </w:r>
            <w:proofErr w:type="gramEnd"/>
            <w:r>
              <w:rPr>
                <w:rFonts w:ascii="Verdana" w:hAnsi="Verdana" w:cs="Arial"/>
                <w:color w:val="000000"/>
                <w:sz w:val="14"/>
                <w:szCs w:val="14"/>
              </w:rPr>
              <w:t xml:space="preserve"> providing protection against pertussis in early life, before the baby starts getting </w:t>
            </w:r>
            <w:proofErr w:type="spellStart"/>
            <w:r>
              <w:rPr>
                <w:rFonts w:ascii="Verdana" w:hAnsi="Verdana" w:cs="Arial"/>
                <w:color w:val="000000"/>
                <w:sz w:val="14"/>
                <w:szCs w:val="14"/>
              </w:rPr>
              <w:t>DTaP</w:t>
            </w:r>
            <w:proofErr w:type="spellEnd"/>
            <w:r>
              <w:rPr>
                <w:rFonts w:ascii="Verdana" w:hAnsi="Verdana" w:cs="Arial"/>
                <w:color w:val="000000"/>
                <w:sz w:val="14"/>
                <w:szCs w:val="14"/>
              </w:rPr>
              <w:t xml:space="preserve"> vaccines.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will also protect the mother at time of delivery, making her less likely to transmit pertussis to her infant. </w:t>
            </w:r>
            <w:proofErr w:type="spellStart"/>
            <w:r>
              <w:rPr>
                <w:rFonts w:ascii="Verdana" w:hAnsi="Verdana" w:cs="Arial"/>
                <w:color w:val="000000"/>
                <w:sz w:val="14"/>
                <w:szCs w:val="14"/>
              </w:rPr>
              <w:t>DTaP</w:t>
            </w:r>
            <w:proofErr w:type="spellEnd"/>
            <w:r>
              <w:rPr>
                <w:rFonts w:ascii="Verdana" w:hAnsi="Verdana" w:cs="Arial"/>
                <w:color w:val="000000"/>
                <w:sz w:val="14"/>
                <w:szCs w:val="14"/>
              </w:rPr>
              <w:t xml:space="preserve"> or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(depending on age) is recommended for all family members and caregivers of the infant – at least two weeks before coming into close contact with the infant.</w:t>
            </w:r>
          </w:p>
        </w:tc>
      </w:tr>
      <w:tr w:rsidR="00C25427" w:rsidTr="00C2542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Health care personnel (</w:t>
            </w:r>
            <w:hyperlink r:id="rId15" w:anchor="note2" w:history="1">
              <w:r>
                <w:rPr>
                  <w:rStyle w:val="Hyperlink"/>
                  <w:rFonts w:ascii="Verdana" w:hAnsi="Verdana" w:cs="Arial"/>
                  <w:sz w:val="14"/>
                  <w:szCs w:val="14"/>
                </w:rPr>
                <w:t>see note 2</w:t>
              </w:r>
            </w:hyperlink>
            <w:r>
              <w:rPr>
                <w:rFonts w:ascii="Verdana" w:hAnsi="Verdana" w:cs="Arial"/>
                <w:color w:val="000000"/>
                <w:sz w:val="14"/>
                <w:szCs w:val="14"/>
              </w:rPr>
              <w:t>)</w:t>
            </w:r>
          </w:p>
        </w:tc>
        <w:tc>
          <w:tcPr>
            <w:tcW w:w="0" w:type="auto"/>
            <w:tcBorders>
              <w:top w:val="single" w:sz="6" w:space="0" w:color="000000"/>
              <w:left w:val="single" w:sz="6" w:space="0" w:color="000000"/>
              <w:bottom w:val="single" w:sz="6" w:space="0" w:color="000000"/>
              <w:right w:val="single" w:sz="6" w:space="0" w:color="000000"/>
            </w:tcBorders>
            <w:hideMark/>
          </w:tcPr>
          <w:p w:rsidR="00C25427" w:rsidRDefault="00C25427" w:rsidP="00C25427">
            <w:pPr>
              <w:spacing w:after="0" w:line="240" w:lineRule="auto"/>
              <w:rPr>
                <w:rFonts w:ascii="Verdana" w:hAnsi="Verdana" w:cs="Arial"/>
                <w:color w:val="000000"/>
                <w:sz w:val="14"/>
                <w:szCs w:val="14"/>
              </w:rPr>
            </w:pPr>
            <w:r>
              <w:rPr>
                <w:rFonts w:ascii="Verdana" w:hAnsi="Verdana" w:cs="Arial"/>
                <w:color w:val="000000"/>
                <w:sz w:val="14"/>
                <w:szCs w:val="14"/>
              </w:rPr>
              <w:t xml:space="preserve">A single dose of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is recommended for health care personnel who have not previously received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as an adult and who have direct patient contact.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vaccination can protect health care personnel against pertussis and help reduce transmission to others. Priority should be given to vaccinating those who have direct contact with babies younger than 12 months of age.</w:t>
            </w:r>
          </w:p>
          <w:p w:rsidR="00C25427" w:rsidRDefault="00C25427" w:rsidP="00C25427">
            <w:pPr>
              <w:spacing w:after="0" w:line="240" w:lineRule="auto"/>
              <w:rPr>
                <w:rFonts w:ascii="Verdana" w:hAnsi="Verdana" w:cs="Arial"/>
                <w:color w:val="000000"/>
                <w:sz w:val="14"/>
                <w:szCs w:val="14"/>
              </w:rPr>
            </w:pP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can be administered regardless of interval since the previous Td dose. However, shorter intervals between </w:t>
            </w:r>
            <w:proofErr w:type="spellStart"/>
            <w:r>
              <w:rPr>
                <w:rFonts w:ascii="Verdana" w:hAnsi="Verdana" w:cs="Arial"/>
                <w:color w:val="000000"/>
                <w:sz w:val="14"/>
                <w:szCs w:val="14"/>
              </w:rPr>
              <w:t>Tdap</w:t>
            </w:r>
            <w:proofErr w:type="spellEnd"/>
            <w:r>
              <w:rPr>
                <w:rFonts w:ascii="Verdana" w:hAnsi="Verdana" w:cs="Arial"/>
                <w:color w:val="000000"/>
                <w:sz w:val="14"/>
                <w:szCs w:val="14"/>
              </w:rPr>
              <w:t xml:space="preserve"> and last Td may increase the risk of mild local </w:t>
            </w:r>
            <w:proofErr w:type="spellStart"/>
            <w:r>
              <w:rPr>
                <w:rFonts w:ascii="Verdana" w:hAnsi="Verdana" w:cs="Arial"/>
                <w:color w:val="000000"/>
                <w:sz w:val="14"/>
                <w:szCs w:val="14"/>
              </w:rPr>
              <w:t>reactogenicity</w:t>
            </w:r>
            <w:proofErr w:type="spellEnd"/>
            <w:r>
              <w:rPr>
                <w:rFonts w:ascii="Verdana" w:hAnsi="Verdana" w:cs="Arial"/>
                <w:color w:val="000000"/>
                <w:sz w:val="14"/>
                <w:szCs w:val="14"/>
              </w:rPr>
              <w:t>.</w:t>
            </w:r>
          </w:p>
        </w:tc>
        <w:bookmarkStart w:id="0" w:name="_GoBack"/>
        <w:bookmarkEnd w:id="0"/>
      </w:tr>
    </w:tbl>
    <w:p w:rsidR="00C25427" w:rsidRPr="00E80D97" w:rsidRDefault="00C25427" w:rsidP="00C25427">
      <w:pPr>
        <w:spacing w:after="0" w:line="240" w:lineRule="auto"/>
        <w:rPr>
          <w:rFonts w:ascii="Verdana" w:hAnsi="Verdana" w:cs="Arial"/>
          <w:color w:val="000000"/>
          <w:sz w:val="16"/>
          <w:szCs w:val="17"/>
        </w:rPr>
      </w:pPr>
      <w:r>
        <w:rPr>
          <w:rFonts w:ascii="Verdana" w:hAnsi="Verdana" w:cs="Arial"/>
          <w:color w:val="000000"/>
          <w:sz w:val="17"/>
          <w:szCs w:val="17"/>
        </w:rPr>
        <w:br/>
      </w:r>
      <w:r w:rsidRPr="00E80D97">
        <w:rPr>
          <w:rFonts w:ascii="Verdana" w:hAnsi="Verdana" w:cs="Arial"/>
          <w:color w:val="000000"/>
          <w:sz w:val="16"/>
          <w:szCs w:val="17"/>
        </w:rPr>
        <w:t xml:space="preserve">Abbreviation: ACIP - </w:t>
      </w:r>
      <w:hyperlink r:id="rId16" w:history="1">
        <w:r w:rsidRPr="00E80D97">
          <w:rPr>
            <w:rStyle w:val="Hyperlink"/>
            <w:rFonts w:ascii="Verdana" w:hAnsi="Verdana" w:cs="Arial"/>
            <w:sz w:val="16"/>
            <w:szCs w:val="17"/>
          </w:rPr>
          <w:t>Advisory Committee on Immunization Practices</w:t>
        </w:r>
      </w:hyperlink>
      <w:r w:rsidRPr="00E80D97">
        <w:rPr>
          <w:rFonts w:ascii="Verdana" w:hAnsi="Verdana" w:cs="Arial"/>
          <w:color w:val="000000"/>
          <w:sz w:val="16"/>
          <w:szCs w:val="17"/>
        </w:rPr>
        <w:t xml:space="preserve"> </w:t>
      </w:r>
    </w:p>
    <w:p w:rsidR="00C25427" w:rsidRPr="00E80D97" w:rsidRDefault="00C25427" w:rsidP="00C25427">
      <w:pPr>
        <w:spacing w:after="0" w:line="240" w:lineRule="auto"/>
        <w:rPr>
          <w:rFonts w:ascii="Verdana" w:hAnsi="Verdana" w:cs="Arial"/>
          <w:color w:val="000000"/>
          <w:sz w:val="14"/>
          <w:szCs w:val="17"/>
        </w:rPr>
      </w:pPr>
      <w:bookmarkStart w:id="1" w:name="note1"/>
      <w:bookmarkEnd w:id="1"/>
      <w:r w:rsidRPr="00E80D97">
        <w:rPr>
          <w:rStyle w:val="Strong"/>
          <w:rFonts w:ascii="Verdana" w:hAnsi="Verdana" w:cs="Arial"/>
          <w:color w:val="000000"/>
          <w:sz w:val="14"/>
          <w:szCs w:val="17"/>
        </w:rPr>
        <w:t>Note 1:</w:t>
      </w:r>
      <w:r w:rsidRPr="00E80D97">
        <w:rPr>
          <w:rFonts w:ascii="Verdana" w:hAnsi="Verdana" w:cs="Arial"/>
          <w:color w:val="000000"/>
          <w:sz w:val="14"/>
          <w:szCs w:val="17"/>
        </w:rPr>
        <w:t xml:space="preserve"> Fully vaccinated is defined as 5 doses of </w:t>
      </w:r>
      <w:proofErr w:type="spellStart"/>
      <w:r w:rsidRPr="00E80D97">
        <w:rPr>
          <w:rFonts w:ascii="Verdana" w:hAnsi="Verdana" w:cs="Arial"/>
          <w:color w:val="000000"/>
          <w:sz w:val="14"/>
          <w:szCs w:val="17"/>
        </w:rPr>
        <w:t>DTaP</w:t>
      </w:r>
      <w:proofErr w:type="spellEnd"/>
      <w:r w:rsidRPr="00E80D97">
        <w:rPr>
          <w:rFonts w:ascii="Verdana" w:hAnsi="Verdana" w:cs="Arial"/>
          <w:color w:val="000000"/>
          <w:sz w:val="14"/>
          <w:szCs w:val="17"/>
        </w:rPr>
        <w:t xml:space="preserve"> or 4 doses of </w:t>
      </w:r>
      <w:proofErr w:type="spellStart"/>
      <w:r w:rsidRPr="00E80D97">
        <w:rPr>
          <w:rFonts w:ascii="Verdana" w:hAnsi="Verdana" w:cs="Arial"/>
          <w:color w:val="000000"/>
          <w:sz w:val="14"/>
          <w:szCs w:val="17"/>
        </w:rPr>
        <w:t>DTaP</w:t>
      </w:r>
      <w:proofErr w:type="spellEnd"/>
      <w:r w:rsidRPr="00E80D97">
        <w:rPr>
          <w:rFonts w:ascii="Verdana" w:hAnsi="Verdana" w:cs="Arial"/>
          <w:color w:val="000000"/>
          <w:sz w:val="14"/>
          <w:szCs w:val="17"/>
        </w:rPr>
        <w:t xml:space="preserve"> if the fourth dose was administered on or after the fourth birthday. </w:t>
      </w:r>
    </w:p>
    <w:p w:rsidR="00C25427" w:rsidRPr="00E80D97" w:rsidRDefault="00C25427" w:rsidP="00C25427">
      <w:pPr>
        <w:spacing w:after="0" w:line="240" w:lineRule="auto"/>
        <w:rPr>
          <w:rFonts w:ascii="Verdana" w:hAnsi="Verdana" w:cs="Arial"/>
          <w:color w:val="000000"/>
          <w:sz w:val="14"/>
          <w:szCs w:val="17"/>
        </w:rPr>
      </w:pPr>
      <w:bookmarkStart w:id="2" w:name="note2"/>
      <w:bookmarkEnd w:id="2"/>
      <w:r w:rsidRPr="00E80D97">
        <w:rPr>
          <w:rStyle w:val="Strong"/>
          <w:rFonts w:ascii="Verdana" w:hAnsi="Verdana" w:cs="Arial"/>
          <w:color w:val="000000"/>
          <w:sz w:val="14"/>
          <w:szCs w:val="17"/>
        </w:rPr>
        <w:t xml:space="preserve">Note 2: </w:t>
      </w:r>
      <w:r w:rsidRPr="00E80D97">
        <w:rPr>
          <w:rFonts w:ascii="Verdana" w:hAnsi="Verdana" w:cs="Arial"/>
          <w:color w:val="000000"/>
          <w:sz w:val="14"/>
          <w:szCs w:val="17"/>
        </w:rPr>
        <w:t xml:space="preserve">Health care personnel include but are not limited to physicians, other primary care providers, nurses, aides, respiratory therapists, radiology technicians, students (e.g., medical, nursing, and pharmaceutical), dentists, social workers, chaplains, volunteers, and dietary and clerical workers. For more detailed information, see </w:t>
      </w:r>
      <w:bookmarkStart w:id="3" w:name="rec"/>
      <w:bookmarkEnd w:id="3"/>
      <w:r w:rsidRPr="00E80D97">
        <w:rPr>
          <w:rFonts w:ascii="Verdana" w:hAnsi="Verdana" w:cs="Arial"/>
          <w:color w:val="000000"/>
          <w:sz w:val="14"/>
          <w:szCs w:val="17"/>
        </w:rPr>
        <w:fldChar w:fldCharType="begin"/>
      </w:r>
      <w:r w:rsidRPr="00E80D97">
        <w:rPr>
          <w:rFonts w:ascii="Verdana" w:hAnsi="Verdana" w:cs="Arial"/>
          <w:color w:val="000000"/>
          <w:sz w:val="14"/>
          <w:szCs w:val="17"/>
        </w:rPr>
        <w:instrText xml:space="preserve"> HYPERLINK "http://www.cdc.gov/mmwr/preview/mmwrhtml/00050577.htm" </w:instrText>
      </w:r>
      <w:r w:rsidRPr="00E80D97">
        <w:rPr>
          <w:rFonts w:ascii="Verdana" w:hAnsi="Verdana" w:cs="Arial"/>
          <w:color w:val="000000"/>
          <w:sz w:val="14"/>
          <w:szCs w:val="17"/>
        </w:rPr>
        <w:fldChar w:fldCharType="separate"/>
      </w:r>
      <w:r w:rsidRPr="00E80D97">
        <w:rPr>
          <w:rStyle w:val="Hyperlink"/>
          <w:rFonts w:ascii="Verdana" w:hAnsi="Verdana" w:cs="Arial"/>
          <w:sz w:val="14"/>
          <w:szCs w:val="17"/>
        </w:rPr>
        <w:t>Immunization of Health-Care Workers: Recommendations of the Advisory Committee for Immunization Practices (ACIP) and the Hospital Infection Control Practices Advisory Committee (HICPAC)</w:t>
      </w:r>
      <w:r w:rsidRPr="00E80D97">
        <w:rPr>
          <w:rFonts w:ascii="Verdana" w:hAnsi="Verdana" w:cs="Arial"/>
          <w:color w:val="000000"/>
          <w:sz w:val="14"/>
          <w:szCs w:val="17"/>
        </w:rPr>
        <w:fldChar w:fldCharType="end"/>
      </w:r>
      <w:r w:rsidRPr="00E80D97">
        <w:rPr>
          <w:rFonts w:ascii="Verdana" w:hAnsi="Verdana" w:cs="Arial"/>
          <w:color w:val="000000"/>
          <w:sz w:val="14"/>
          <w:szCs w:val="17"/>
        </w:rPr>
        <w:t xml:space="preserve">. </w:t>
      </w:r>
    </w:p>
    <w:p w:rsidR="00A202B3" w:rsidRPr="00585CA7" w:rsidRDefault="00A202B3" w:rsidP="00585CA7">
      <w:pPr>
        <w:rPr>
          <w:rFonts w:ascii="Georgia" w:eastAsia="Times New Roman" w:hAnsi="Georgia" w:cs="Times New Roman"/>
          <w:b/>
          <w:bCs/>
          <w:color w:val="000000"/>
          <w:sz w:val="28"/>
          <w:szCs w:val="28"/>
        </w:rPr>
      </w:pPr>
    </w:p>
    <w:sectPr w:rsidR="00A202B3" w:rsidRPr="00585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73C4"/>
    <w:multiLevelType w:val="hybridMultilevel"/>
    <w:tmpl w:val="C810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3015D"/>
    <w:multiLevelType w:val="hybridMultilevel"/>
    <w:tmpl w:val="094889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5BF0314"/>
    <w:multiLevelType w:val="hybridMultilevel"/>
    <w:tmpl w:val="A29A6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91696"/>
    <w:multiLevelType w:val="hybridMultilevel"/>
    <w:tmpl w:val="35FC70A6"/>
    <w:lvl w:ilvl="0" w:tplc="EB4673BA">
      <w:start w:val="3"/>
      <w:numFmt w:val="bullet"/>
      <w:lvlText w:val="-"/>
      <w:lvlJc w:val="left"/>
      <w:pPr>
        <w:ind w:left="435" w:hanging="360"/>
      </w:pPr>
      <w:rPr>
        <w:rFonts w:ascii="Georgia" w:eastAsia="Times New Roman" w:hAnsi="Georgi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596423A2"/>
    <w:multiLevelType w:val="hybridMultilevel"/>
    <w:tmpl w:val="E58482B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5">
    <w:nsid w:val="6BB70930"/>
    <w:multiLevelType w:val="multilevel"/>
    <w:tmpl w:val="2AA4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9D0562"/>
    <w:multiLevelType w:val="hybridMultilevel"/>
    <w:tmpl w:val="49886292"/>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3"/>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5F8"/>
    <w:rsid w:val="000005C7"/>
    <w:rsid w:val="0027138D"/>
    <w:rsid w:val="002D1FE8"/>
    <w:rsid w:val="0030615D"/>
    <w:rsid w:val="003F5BFC"/>
    <w:rsid w:val="003F67D4"/>
    <w:rsid w:val="00441C3F"/>
    <w:rsid w:val="005509A9"/>
    <w:rsid w:val="00585CA7"/>
    <w:rsid w:val="005C57C1"/>
    <w:rsid w:val="005D4878"/>
    <w:rsid w:val="00742B4C"/>
    <w:rsid w:val="0075482B"/>
    <w:rsid w:val="007641D2"/>
    <w:rsid w:val="00773D73"/>
    <w:rsid w:val="008815F8"/>
    <w:rsid w:val="008A4292"/>
    <w:rsid w:val="008C5A3F"/>
    <w:rsid w:val="00982FF6"/>
    <w:rsid w:val="00A202B3"/>
    <w:rsid w:val="00A649F3"/>
    <w:rsid w:val="00C0081F"/>
    <w:rsid w:val="00C25427"/>
    <w:rsid w:val="00FE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15F8"/>
    <w:pPr>
      <w:spacing w:before="100" w:beforeAutospacing="1" w:after="96" w:line="280" w:lineRule="atLeast"/>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5F8"/>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8815F8"/>
    <w:rPr>
      <w:color w:val="3366CC"/>
      <w:u w:val="single"/>
    </w:rPr>
  </w:style>
  <w:style w:type="character" w:styleId="Emphasis">
    <w:name w:val="Emphasis"/>
    <w:basedOn w:val="DefaultParagraphFont"/>
    <w:uiPriority w:val="20"/>
    <w:qFormat/>
    <w:rsid w:val="008815F8"/>
    <w:rPr>
      <w:i/>
      <w:iCs/>
    </w:rPr>
  </w:style>
  <w:style w:type="character" w:styleId="CommentReference">
    <w:name w:val="annotation reference"/>
    <w:basedOn w:val="DefaultParagraphFont"/>
    <w:uiPriority w:val="99"/>
    <w:semiHidden/>
    <w:unhideWhenUsed/>
    <w:rsid w:val="002D1FE8"/>
    <w:rPr>
      <w:sz w:val="16"/>
      <w:szCs w:val="16"/>
    </w:rPr>
  </w:style>
  <w:style w:type="paragraph" w:styleId="CommentText">
    <w:name w:val="annotation text"/>
    <w:basedOn w:val="Normal"/>
    <w:link w:val="CommentTextChar"/>
    <w:uiPriority w:val="99"/>
    <w:semiHidden/>
    <w:unhideWhenUsed/>
    <w:rsid w:val="002D1FE8"/>
    <w:pPr>
      <w:spacing w:line="240" w:lineRule="auto"/>
    </w:pPr>
    <w:rPr>
      <w:sz w:val="20"/>
      <w:szCs w:val="20"/>
    </w:rPr>
  </w:style>
  <w:style w:type="character" w:customStyle="1" w:styleId="CommentTextChar">
    <w:name w:val="Comment Text Char"/>
    <w:basedOn w:val="DefaultParagraphFont"/>
    <w:link w:val="CommentText"/>
    <w:uiPriority w:val="99"/>
    <w:semiHidden/>
    <w:rsid w:val="002D1FE8"/>
    <w:rPr>
      <w:sz w:val="20"/>
      <w:szCs w:val="20"/>
    </w:rPr>
  </w:style>
  <w:style w:type="paragraph" w:styleId="CommentSubject">
    <w:name w:val="annotation subject"/>
    <w:basedOn w:val="CommentText"/>
    <w:next w:val="CommentText"/>
    <w:link w:val="CommentSubjectChar"/>
    <w:uiPriority w:val="99"/>
    <w:semiHidden/>
    <w:unhideWhenUsed/>
    <w:rsid w:val="002D1FE8"/>
    <w:rPr>
      <w:b/>
      <w:bCs/>
    </w:rPr>
  </w:style>
  <w:style w:type="character" w:customStyle="1" w:styleId="CommentSubjectChar">
    <w:name w:val="Comment Subject Char"/>
    <w:basedOn w:val="CommentTextChar"/>
    <w:link w:val="CommentSubject"/>
    <w:uiPriority w:val="99"/>
    <w:semiHidden/>
    <w:rsid w:val="002D1FE8"/>
    <w:rPr>
      <w:b/>
      <w:bCs/>
      <w:sz w:val="20"/>
      <w:szCs w:val="20"/>
    </w:rPr>
  </w:style>
  <w:style w:type="paragraph" w:styleId="BalloonText">
    <w:name w:val="Balloon Text"/>
    <w:basedOn w:val="Normal"/>
    <w:link w:val="BalloonTextChar"/>
    <w:uiPriority w:val="99"/>
    <w:semiHidden/>
    <w:unhideWhenUsed/>
    <w:rsid w:val="002D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E8"/>
    <w:rPr>
      <w:rFonts w:ascii="Tahoma" w:hAnsi="Tahoma" w:cs="Tahoma"/>
      <w:sz w:val="16"/>
      <w:szCs w:val="16"/>
    </w:rPr>
  </w:style>
  <w:style w:type="paragraph" w:styleId="ListParagraph">
    <w:name w:val="List Paragraph"/>
    <w:basedOn w:val="Normal"/>
    <w:uiPriority w:val="34"/>
    <w:qFormat/>
    <w:rsid w:val="005D4878"/>
    <w:pPr>
      <w:ind w:left="720"/>
      <w:contextualSpacing/>
    </w:pPr>
  </w:style>
  <w:style w:type="paragraph" w:customStyle="1" w:styleId="Default">
    <w:name w:val="Default"/>
    <w:rsid w:val="005D4878"/>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5">
    <w:name w:val="Pa5"/>
    <w:basedOn w:val="Default"/>
    <w:next w:val="Default"/>
    <w:uiPriority w:val="99"/>
    <w:rsid w:val="005D4878"/>
    <w:pPr>
      <w:spacing w:line="321" w:lineRule="atLeast"/>
    </w:pPr>
    <w:rPr>
      <w:rFonts w:cstheme="minorBidi"/>
      <w:color w:val="auto"/>
    </w:rPr>
  </w:style>
  <w:style w:type="character" w:styleId="Strong">
    <w:name w:val="Strong"/>
    <w:basedOn w:val="DefaultParagraphFont"/>
    <w:uiPriority w:val="22"/>
    <w:qFormat/>
    <w:rsid w:val="00C25427"/>
    <w:rPr>
      <w:b/>
      <w:bCs/>
    </w:rPr>
  </w:style>
  <w:style w:type="character" w:customStyle="1" w:styleId="moreinfo1">
    <w:name w:val="more_info1"/>
    <w:basedOn w:val="DefaultParagraphFont"/>
    <w:rsid w:val="00C25427"/>
    <w:rPr>
      <w:b w:val="0"/>
      <w:bCs w:val="0"/>
      <w:color w:val="99999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15F8"/>
    <w:pPr>
      <w:spacing w:before="100" w:beforeAutospacing="1" w:after="96" w:line="280" w:lineRule="atLeast"/>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15F8"/>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8815F8"/>
    <w:rPr>
      <w:color w:val="3366CC"/>
      <w:u w:val="single"/>
    </w:rPr>
  </w:style>
  <w:style w:type="character" w:styleId="Emphasis">
    <w:name w:val="Emphasis"/>
    <w:basedOn w:val="DefaultParagraphFont"/>
    <w:uiPriority w:val="20"/>
    <w:qFormat/>
    <w:rsid w:val="008815F8"/>
    <w:rPr>
      <w:i/>
      <w:iCs/>
    </w:rPr>
  </w:style>
  <w:style w:type="character" w:styleId="CommentReference">
    <w:name w:val="annotation reference"/>
    <w:basedOn w:val="DefaultParagraphFont"/>
    <w:uiPriority w:val="99"/>
    <w:semiHidden/>
    <w:unhideWhenUsed/>
    <w:rsid w:val="002D1FE8"/>
    <w:rPr>
      <w:sz w:val="16"/>
      <w:szCs w:val="16"/>
    </w:rPr>
  </w:style>
  <w:style w:type="paragraph" w:styleId="CommentText">
    <w:name w:val="annotation text"/>
    <w:basedOn w:val="Normal"/>
    <w:link w:val="CommentTextChar"/>
    <w:uiPriority w:val="99"/>
    <w:semiHidden/>
    <w:unhideWhenUsed/>
    <w:rsid w:val="002D1FE8"/>
    <w:pPr>
      <w:spacing w:line="240" w:lineRule="auto"/>
    </w:pPr>
    <w:rPr>
      <w:sz w:val="20"/>
      <w:szCs w:val="20"/>
    </w:rPr>
  </w:style>
  <w:style w:type="character" w:customStyle="1" w:styleId="CommentTextChar">
    <w:name w:val="Comment Text Char"/>
    <w:basedOn w:val="DefaultParagraphFont"/>
    <w:link w:val="CommentText"/>
    <w:uiPriority w:val="99"/>
    <w:semiHidden/>
    <w:rsid w:val="002D1FE8"/>
    <w:rPr>
      <w:sz w:val="20"/>
      <w:szCs w:val="20"/>
    </w:rPr>
  </w:style>
  <w:style w:type="paragraph" w:styleId="CommentSubject">
    <w:name w:val="annotation subject"/>
    <w:basedOn w:val="CommentText"/>
    <w:next w:val="CommentText"/>
    <w:link w:val="CommentSubjectChar"/>
    <w:uiPriority w:val="99"/>
    <w:semiHidden/>
    <w:unhideWhenUsed/>
    <w:rsid w:val="002D1FE8"/>
    <w:rPr>
      <w:b/>
      <w:bCs/>
    </w:rPr>
  </w:style>
  <w:style w:type="character" w:customStyle="1" w:styleId="CommentSubjectChar">
    <w:name w:val="Comment Subject Char"/>
    <w:basedOn w:val="CommentTextChar"/>
    <w:link w:val="CommentSubject"/>
    <w:uiPriority w:val="99"/>
    <w:semiHidden/>
    <w:rsid w:val="002D1FE8"/>
    <w:rPr>
      <w:b/>
      <w:bCs/>
      <w:sz w:val="20"/>
      <w:szCs w:val="20"/>
    </w:rPr>
  </w:style>
  <w:style w:type="paragraph" w:styleId="BalloonText">
    <w:name w:val="Balloon Text"/>
    <w:basedOn w:val="Normal"/>
    <w:link w:val="BalloonTextChar"/>
    <w:uiPriority w:val="99"/>
    <w:semiHidden/>
    <w:unhideWhenUsed/>
    <w:rsid w:val="002D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E8"/>
    <w:rPr>
      <w:rFonts w:ascii="Tahoma" w:hAnsi="Tahoma" w:cs="Tahoma"/>
      <w:sz w:val="16"/>
      <w:szCs w:val="16"/>
    </w:rPr>
  </w:style>
  <w:style w:type="paragraph" w:styleId="ListParagraph">
    <w:name w:val="List Paragraph"/>
    <w:basedOn w:val="Normal"/>
    <w:uiPriority w:val="34"/>
    <w:qFormat/>
    <w:rsid w:val="005D4878"/>
    <w:pPr>
      <w:ind w:left="720"/>
      <w:contextualSpacing/>
    </w:pPr>
  </w:style>
  <w:style w:type="paragraph" w:customStyle="1" w:styleId="Default">
    <w:name w:val="Default"/>
    <w:rsid w:val="005D4878"/>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5">
    <w:name w:val="Pa5"/>
    <w:basedOn w:val="Default"/>
    <w:next w:val="Default"/>
    <w:uiPriority w:val="99"/>
    <w:rsid w:val="005D4878"/>
    <w:pPr>
      <w:spacing w:line="321" w:lineRule="atLeast"/>
    </w:pPr>
    <w:rPr>
      <w:rFonts w:cstheme="minorBidi"/>
      <w:color w:val="auto"/>
    </w:rPr>
  </w:style>
  <w:style w:type="character" w:styleId="Strong">
    <w:name w:val="Strong"/>
    <w:basedOn w:val="DefaultParagraphFont"/>
    <w:uiPriority w:val="22"/>
    <w:qFormat/>
    <w:rsid w:val="00C25427"/>
    <w:rPr>
      <w:b/>
      <w:bCs/>
    </w:rPr>
  </w:style>
  <w:style w:type="character" w:customStyle="1" w:styleId="moreinfo1">
    <w:name w:val="more_info1"/>
    <w:basedOn w:val="DefaultParagraphFont"/>
    <w:rsid w:val="00C25427"/>
    <w:rPr>
      <w:b w:val="0"/>
      <w:bCs w:val="0"/>
      <w:color w:val="99999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2705">
      <w:bodyDiv w:val="1"/>
      <w:marLeft w:val="0"/>
      <w:marRight w:val="0"/>
      <w:marTop w:val="0"/>
      <w:marBottom w:val="0"/>
      <w:divBdr>
        <w:top w:val="none" w:sz="0" w:space="0" w:color="auto"/>
        <w:left w:val="none" w:sz="0" w:space="0" w:color="auto"/>
        <w:bottom w:val="none" w:sz="0" w:space="0" w:color="auto"/>
        <w:right w:val="none" w:sz="0" w:space="0" w:color="auto"/>
      </w:divBdr>
    </w:div>
    <w:div w:id="1139151162">
      <w:bodyDiv w:val="1"/>
      <w:marLeft w:val="4"/>
      <w:marRight w:val="4"/>
      <w:marTop w:val="4"/>
      <w:marBottom w:val="4"/>
      <w:divBdr>
        <w:top w:val="none" w:sz="0" w:space="0" w:color="auto"/>
        <w:left w:val="none" w:sz="0" w:space="0" w:color="auto"/>
        <w:bottom w:val="none" w:sz="0" w:space="0" w:color="auto"/>
        <w:right w:val="none" w:sz="0" w:space="0" w:color="auto"/>
      </w:divBdr>
      <w:divsChild>
        <w:div w:id="601957977">
          <w:marLeft w:val="0"/>
          <w:marRight w:val="0"/>
          <w:marTop w:val="0"/>
          <w:marBottom w:val="0"/>
          <w:divBdr>
            <w:top w:val="none" w:sz="0" w:space="0" w:color="auto"/>
            <w:left w:val="none" w:sz="0" w:space="0" w:color="auto"/>
            <w:bottom w:val="none" w:sz="0" w:space="0" w:color="auto"/>
            <w:right w:val="none" w:sz="0" w:space="0" w:color="auto"/>
          </w:divBdr>
          <w:divsChild>
            <w:div w:id="1485660771">
              <w:marLeft w:val="0"/>
              <w:marRight w:val="0"/>
              <w:marTop w:val="0"/>
              <w:marBottom w:val="0"/>
              <w:divBdr>
                <w:top w:val="none" w:sz="0" w:space="0" w:color="auto"/>
                <w:left w:val="none" w:sz="0" w:space="0" w:color="auto"/>
                <w:bottom w:val="none" w:sz="0" w:space="0" w:color="auto"/>
                <w:right w:val="none" w:sz="0" w:space="0" w:color="auto"/>
              </w:divBdr>
              <w:divsChild>
                <w:div w:id="854079681">
                  <w:marLeft w:val="0"/>
                  <w:marRight w:val="0"/>
                  <w:marTop w:val="0"/>
                  <w:marBottom w:val="180"/>
                  <w:divBdr>
                    <w:top w:val="none" w:sz="0" w:space="0" w:color="auto"/>
                    <w:left w:val="none" w:sz="0" w:space="0" w:color="auto"/>
                    <w:bottom w:val="none" w:sz="0" w:space="0" w:color="auto"/>
                    <w:right w:val="none" w:sz="0" w:space="0" w:color="auto"/>
                  </w:divBdr>
                  <w:divsChild>
                    <w:div w:id="2141989896">
                      <w:marLeft w:val="0"/>
                      <w:marRight w:val="0"/>
                      <w:marTop w:val="0"/>
                      <w:marBottom w:val="0"/>
                      <w:divBdr>
                        <w:top w:val="none" w:sz="0" w:space="0" w:color="auto"/>
                        <w:left w:val="none" w:sz="0" w:space="0" w:color="auto"/>
                        <w:bottom w:val="none" w:sz="0" w:space="0" w:color="auto"/>
                        <w:right w:val="none" w:sz="0" w:space="0" w:color="auto"/>
                      </w:divBdr>
                      <w:divsChild>
                        <w:div w:id="268196850">
                          <w:marLeft w:val="0"/>
                          <w:marRight w:val="0"/>
                          <w:marTop w:val="150"/>
                          <w:marBottom w:val="0"/>
                          <w:divBdr>
                            <w:top w:val="none" w:sz="0" w:space="0" w:color="auto"/>
                            <w:left w:val="none" w:sz="0" w:space="0" w:color="auto"/>
                            <w:bottom w:val="none" w:sz="0" w:space="0" w:color="auto"/>
                            <w:right w:val="none" w:sz="0" w:space="0" w:color="auto"/>
                          </w:divBdr>
                          <w:divsChild>
                            <w:div w:id="2069961403">
                              <w:marLeft w:val="0"/>
                              <w:marRight w:val="0"/>
                              <w:marTop w:val="0"/>
                              <w:marBottom w:val="0"/>
                              <w:divBdr>
                                <w:top w:val="none" w:sz="0" w:space="0" w:color="auto"/>
                                <w:left w:val="none" w:sz="0" w:space="0" w:color="auto"/>
                                <w:bottom w:val="none" w:sz="0" w:space="0" w:color="auto"/>
                                <w:right w:val="none" w:sz="0" w:space="0" w:color="auto"/>
                              </w:divBdr>
                              <w:divsChild>
                                <w:div w:id="110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504359">
      <w:bodyDiv w:val="1"/>
      <w:marLeft w:val="0"/>
      <w:marRight w:val="0"/>
      <w:marTop w:val="0"/>
      <w:marBottom w:val="0"/>
      <w:divBdr>
        <w:top w:val="none" w:sz="0" w:space="0" w:color="auto"/>
        <w:left w:val="none" w:sz="0" w:space="0" w:color="auto"/>
        <w:bottom w:val="none" w:sz="0" w:space="0" w:color="auto"/>
        <w:right w:val="none" w:sz="0" w:space="0" w:color="auto"/>
      </w:divBdr>
      <w:divsChild>
        <w:div w:id="1907451264">
          <w:marLeft w:val="0"/>
          <w:marRight w:val="0"/>
          <w:marTop w:val="0"/>
          <w:marBottom w:val="0"/>
          <w:divBdr>
            <w:top w:val="none" w:sz="0" w:space="0" w:color="auto"/>
            <w:left w:val="none" w:sz="0" w:space="0" w:color="auto"/>
            <w:bottom w:val="none" w:sz="0" w:space="0" w:color="auto"/>
            <w:right w:val="none" w:sz="0" w:space="0" w:color="auto"/>
          </w:divBdr>
        </w:div>
      </w:divsChild>
    </w:div>
    <w:div w:id="1881357583">
      <w:bodyDiv w:val="1"/>
      <w:marLeft w:val="0"/>
      <w:marRight w:val="0"/>
      <w:marTop w:val="0"/>
      <w:marBottom w:val="0"/>
      <w:divBdr>
        <w:top w:val="none" w:sz="0" w:space="0" w:color="auto"/>
        <w:left w:val="none" w:sz="0" w:space="0" w:color="auto"/>
        <w:bottom w:val="none" w:sz="0" w:space="0" w:color="auto"/>
        <w:right w:val="none" w:sz="0" w:space="0" w:color="auto"/>
      </w:divBdr>
    </w:div>
    <w:div w:id="2144811788">
      <w:bodyDiv w:val="1"/>
      <w:marLeft w:val="4"/>
      <w:marRight w:val="4"/>
      <w:marTop w:val="4"/>
      <w:marBottom w:val="4"/>
      <w:divBdr>
        <w:top w:val="none" w:sz="0" w:space="0" w:color="auto"/>
        <w:left w:val="none" w:sz="0" w:space="0" w:color="auto"/>
        <w:bottom w:val="none" w:sz="0" w:space="0" w:color="auto"/>
        <w:right w:val="none" w:sz="0" w:space="0" w:color="auto"/>
      </w:divBdr>
      <w:divsChild>
        <w:div w:id="1869491860">
          <w:marLeft w:val="0"/>
          <w:marRight w:val="0"/>
          <w:marTop w:val="0"/>
          <w:marBottom w:val="0"/>
          <w:divBdr>
            <w:top w:val="none" w:sz="0" w:space="0" w:color="auto"/>
            <w:left w:val="none" w:sz="0" w:space="0" w:color="auto"/>
            <w:bottom w:val="none" w:sz="0" w:space="0" w:color="auto"/>
            <w:right w:val="none" w:sz="0" w:space="0" w:color="auto"/>
          </w:divBdr>
          <w:divsChild>
            <w:div w:id="1250579802">
              <w:marLeft w:val="0"/>
              <w:marRight w:val="0"/>
              <w:marTop w:val="0"/>
              <w:marBottom w:val="0"/>
              <w:divBdr>
                <w:top w:val="none" w:sz="0" w:space="0" w:color="auto"/>
                <w:left w:val="none" w:sz="0" w:space="0" w:color="auto"/>
                <w:bottom w:val="none" w:sz="0" w:space="0" w:color="auto"/>
                <w:right w:val="none" w:sz="0" w:space="0" w:color="auto"/>
              </w:divBdr>
              <w:divsChild>
                <w:div w:id="456870962">
                  <w:marLeft w:val="0"/>
                  <w:marRight w:val="0"/>
                  <w:marTop w:val="0"/>
                  <w:marBottom w:val="180"/>
                  <w:divBdr>
                    <w:top w:val="none" w:sz="0" w:space="0" w:color="auto"/>
                    <w:left w:val="none" w:sz="0" w:space="0" w:color="auto"/>
                    <w:bottom w:val="none" w:sz="0" w:space="0" w:color="auto"/>
                    <w:right w:val="none" w:sz="0" w:space="0" w:color="auto"/>
                  </w:divBdr>
                  <w:divsChild>
                    <w:div w:id="1542939802">
                      <w:marLeft w:val="0"/>
                      <w:marRight w:val="0"/>
                      <w:marTop w:val="0"/>
                      <w:marBottom w:val="0"/>
                      <w:divBdr>
                        <w:top w:val="none" w:sz="0" w:space="0" w:color="auto"/>
                        <w:left w:val="none" w:sz="0" w:space="0" w:color="auto"/>
                        <w:bottom w:val="none" w:sz="0" w:space="0" w:color="auto"/>
                        <w:right w:val="none" w:sz="0" w:space="0" w:color="auto"/>
                      </w:divBdr>
                      <w:divsChild>
                        <w:div w:id="1625237486">
                          <w:marLeft w:val="0"/>
                          <w:marRight w:val="0"/>
                          <w:marTop w:val="150"/>
                          <w:marBottom w:val="0"/>
                          <w:divBdr>
                            <w:top w:val="none" w:sz="0" w:space="0" w:color="auto"/>
                            <w:left w:val="none" w:sz="0" w:space="0" w:color="auto"/>
                            <w:bottom w:val="none" w:sz="0" w:space="0" w:color="auto"/>
                            <w:right w:val="none" w:sz="0" w:space="0" w:color="auto"/>
                          </w:divBdr>
                          <w:divsChild>
                            <w:div w:id="2107923745">
                              <w:marLeft w:val="0"/>
                              <w:marRight w:val="0"/>
                              <w:marTop w:val="0"/>
                              <w:marBottom w:val="0"/>
                              <w:divBdr>
                                <w:top w:val="none" w:sz="0" w:space="0" w:color="auto"/>
                                <w:left w:val="none" w:sz="0" w:space="0" w:color="auto"/>
                                <w:bottom w:val="none" w:sz="0" w:space="0" w:color="auto"/>
                                <w:right w:val="none" w:sz="0" w:space="0" w:color="auto"/>
                              </w:divBdr>
                              <w:divsChild>
                                <w:div w:id="5083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vaccines/vpd-vac/pertussis/recs-summary.htm" TargetMode="External"/><Relationship Id="rId13" Type="http://schemas.openxmlformats.org/officeDocument/2006/relationships/hyperlink" Target="http://www.cdc.gov/mmwr/preview/mmwrhtml/rr5503a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cdc.gov/vaccines/vpd-vac/pertussis/recs-summary.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dc.gov/vaccines/acip/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vaccines/schedules/hcp/child-adolescent.html" TargetMode="External"/><Relationship Id="rId5" Type="http://schemas.openxmlformats.org/officeDocument/2006/relationships/settings" Target="settings.xml"/><Relationship Id="rId15" Type="http://schemas.openxmlformats.org/officeDocument/2006/relationships/hyperlink" Target="http://www.cdc.gov/vaccines/vpd-vac/pertussis/recs-summary.htm" TargetMode="External"/><Relationship Id="rId10" Type="http://schemas.openxmlformats.org/officeDocument/2006/relationships/hyperlink" Target="http://www.cdc.gov/vaccines/vpd-vac/pertussis/recs-summary.htm" TargetMode="External"/><Relationship Id="rId4" Type="http://schemas.microsoft.com/office/2007/relationships/stylesWithEffects" Target="stylesWithEffects.xml"/><Relationship Id="rId9" Type="http://schemas.openxmlformats.org/officeDocument/2006/relationships/hyperlink" Target="http://www.cdc.gov/vaccines/vpd-vac/pertussis/recs-summary.htm" TargetMode="External"/><Relationship Id="rId14" Type="http://schemas.openxmlformats.org/officeDocument/2006/relationships/hyperlink" Target="http://www.cdc.gov/vaccines/schedules/hcp/child-adolesc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3940E-BEED-4E31-9F62-753238B7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Lauren.Ball</dc:creator>
  <cp:keywords/>
  <dc:description/>
  <cp:lastModifiedBy>Lauren.Ball</cp:lastModifiedBy>
  <cp:revision>3</cp:revision>
  <dcterms:created xsi:type="dcterms:W3CDTF">2012-12-04T15:07:00Z</dcterms:created>
  <dcterms:modified xsi:type="dcterms:W3CDTF">2012-12-04T15:09:00Z</dcterms:modified>
</cp:coreProperties>
</file>