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4B" w:rsidRDefault="005E314B" w:rsidP="005E314B">
      <w:pPr>
        <w:pStyle w:val="ListParagraph"/>
        <w:spacing w:after="0" w:line="240" w:lineRule="auto"/>
        <w:ind w:left="795"/>
        <w:jc w:val="center"/>
        <w:rPr>
          <w:rFonts w:ascii="Georgia" w:eastAsia="Times New Roman" w:hAnsi="Georgia" w:cs="Times New Roman"/>
          <w:b/>
          <w:sz w:val="36"/>
          <w:szCs w:val="24"/>
        </w:rPr>
      </w:pPr>
    </w:p>
    <w:p w:rsidR="005E314B" w:rsidRDefault="005E314B" w:rsidP="005E314B">
      <w:pPr>
        <w:pStyle w:val="ListParagraph"/>
        <w:spacing w:after="0" w:line="240" w:lineRule="auto"/>
        <w:ind w:left="795"/>
        <w:jc w:val="center"/>
        <w:rPr>
          <w:rFonts w:ascii="Georgia" w:eastAsia="Times New Roman" w:hAnsi="Georgia" w:cs="Times New Roman"/>
          <w:b/>
          <w:sz w:val="36"/>
          <w:szCs w:val="24"/>
        </w:rPr>
      </w:pPr>
      <w:r w:rsidRPr="005E314B">
        <w:rPr>
          <w:rFonts w:ascii="Georgia" w:eastAsia="Times New Roman" w:hAnsi="Georgia" w:cs="Times New Roman"/>
          <w:b/>
          <w:sz w:val="36"/>
          <w:szCs w:val="24"/>
        </w:rPr>
        <w:t xml:space="preserve">ACIP </w:t>
      </w:r>
      <w:proofErr w:type="spellStart"/>
      <w:r w:rsidRPr="005E314B">
        <w:rPr>
          <w:rFonts w:ascii="Georgia" w:eastAsia="Times New Roman" w:hAnsi="Georgia" w:cs="Times New Roman"/>
          <w:b/>
          <w:sz w:val="36"/>
          <w:szCs w:val="24"/>
        </w:rPr>
        <w:t>Tdap</w:t>
      </w:r>
      <w:proofErr w:type="spellEnd"/>
      <w:r w:rsidRPr="005E314B">
        <w:rPr>
          <w:rFonts w:ascii="Georgia" w:eastAsia="Times New Roman" w:hAnsi="Georgia" w:cs="Times New Roman"/>
          <w:b/>
          <w:sz w:val="36"/>
          <w:szCs w:val="24"/>
        </w:rPr>
        <w:t xml:space="preserve"> Vaccine Recommendations</w:t>
      </w:r>
    </w:p>
    <w:p w:rsidR="005E314B" w:rsidRPr="005E314B" w:rsidRDefault="005E314B" w:rsidP="005E314B">
      <w:pPr>
        <w:pStyle w:val="ListParagraph"/>
        <w:spacing w:after="0" w:line="240" w:lineRule="auto"/>
        <w:ind w:left="795"/>
        <w:jc w:val="center"/>
        <w:rPr>
          <w:rFonts w:ascii="Georgia" w:eastAsia="Times New Roman" w:hAnsi="Georgia" w:cs="Times New Roman"/>
          <w:b/>
          <w:sz w:val="18"/>
          <w:szCs w:val="24"/>
        </w:rPr>
      </w:pPr>
    </w:p>
    <w:tbl>
      <w:tblPr>
        <w:tblW w:w="10440" w:type="dxa"/>
        <w:tblCellSpacing w:w="1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5E314B" w:rsidTr="005E314B">
        <w:trPr>
          <w:trHeight w:val="586"/>
          <w:tblCellSpacing w:w="15" w:type="dxa"/>
        </w:trPr>
        <w:tc>
          <w:tcPr>
            <w:tcW w:w="10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14B" w:rsidRPr="005E314B" w:rsidRDefault="005E314B" w:rsidP="007A6A24">
            <w:pPr>
              <w:rPr>
                <w:rFonts w:ascii="Verdana" w:hAnsi="Verdana" w:cs="Arial"/>
                <w:color w:val="000000"/>
                <w:sz w:val="24"/>
                <w:szCs w:val="14"/>
              </w:rPr>
            </w:pPr>
            <w:proofErr w:type="spellStart"/>
            <w:r w:rsidRPr="005E314B">
              <w:rPr>
                <w:rStyle w:val="style51"/>
                <w:rFonts w:ascii="Verdana" w:hAnsi="Verdana" w:cs="Arial"/>
                <w:sz w:val="24"/>
              </w:rPr>
              <w:t>Tdap</w:t>
            </w:r>
            <w:proofErr w:type="spellEnd"/>
            <w:r w:rsidRPr="005E314B">
              <w:rPr>
                <w:rStyle w:val="style51"/>
                <w:rFonts w:ascii="Verdana" w:hAnsi="Verdana" w:cs="Arial"/>
                <w:sz w:val="24"/>
              </w:rPr>
              <w:t xml:space="preserve"> Vaccine Recommendations</w:t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    (2006, 2010, 2012) </w:t>
            </w:r>
          </w:p>
          <w:p w:rsidR="005E314B" w:rsidRPr="005E314B" w:rsidRDefault="005E314B" w:rsidP="005E314B">
            <w:pPr>
              <w:numPr>
                <w:ilvl w:val="0"/>
                <w:numId w:val="1"/>
              </w:numPr>
              <w:spacing w:after="165" w:line="240" w:lineRule="auto"/>
              <w:ind w:left="300"/>
              <w:rPr>
                <w:rFonts w:ascii="Verdana" w:hAnsi="Verdana" w:cs="Arial"/>
                <w:color w:val="000000"/>
                <w:sz w:val="24"/>
                <w:szCs w:val="14"/>
              </w:rPr>
            </w:pPr>
            <w:hyperlink r:id="rId6" w:history="1">
              <w:r w:rsidRPr="005E314B">
                <w:rPr>
                  <w:rStyle w:val="Strong"/>
                  <w:rFonts w:ascii="Verdana" w:hAnsi="Verdana" w:cs="Arial"/>
                  <w:color w:val="552200"/>
                  <w:sz w:val="24"/>
                  <w:szCs w:val="14"/>
                  <w:u w:val="single"/>
                </w:rPr>
                <w:t xml:space="preserve">Updated </w:t>
              </w:r>
              <w:proofErr w:type="spellStart"/>
              <w:r w:rsidRPr="005E314B">
                <w:rPr>
                  <w:rStyle w:val="Strong"/>
                  <w:rFonts w:ascii="Verdana" w:hAnsi="Verdana" w:cs="Arial"/>
                  <w:color w:val="552200"/>
                  <w:sz w:val="24"/>
                  <w:szCs w:val="14"/>
                  <w:u w:val="single"/>
                </w:rPr>
                <w:t>Tdap</w:t>
              </w:r>
              <w:proofErr w:type="spellEnd"/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 xml:space="preserve"> Vaccine Recommendations</w:t>
              </w:r>
            </w:hyperlink>
            <w:hyperlink r:id="rId7" w:history="1"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 xml:space="preserve"> from the ACIP, 2010</w:t>
              </w:r>
            </w:hyperlink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</w:t>
            </w:r>
            <w:r w:rsidRPr="005E314B">
              <w:rPr>
                <w:rStyle w:val="moreinfo1"/>
                <w:rFonts w:ascii="Verdana" w:hAnsi="Verdana" w:cs="Arial"/>
                <w:sz w:val="24"/>
                <w:szCs w:val="12"/>
              </w:rPr>
              <w:t>NEW Jan 2011</w:t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</w:t>
            </w:r>
          </w:p>
          <w:p w:rsidR="005E314B" w:rsidRPr="005E314B" w:rsidRDefault="005E314B" w:rsidP="005E314B">
            <w:pPr>
              <w:numPr>
                <w:ilvl w:val="0"/>
                <w:numId w:val="1"/>
              </w:numPr>
              <w:spacing w:after="165" w:line="240" w:lineRule="auto"/>
              <w:ind w:left="300"/>
              <w:rPr>
                <w:rFonts w:ascii="Verdana" w:hAnsi="Verdana" w:cs="Arial"/>
                <w:color w:val="000000"/>
                <w:sz w:val="24"/>
                <w:szCs w:val="14"/>
              </w:rPr>
            </w:pPr>
            <w:r w:rsidRPr="005E314B">
              <w:rPr>
                <w:rStyle w:val="Strong"/>
                <w:rFonts w:ascii="Verdana" w:hAnsi="Verdana" w:cs="Arial"/>
                <w:color w:val="000000"/>
                <w:sz w:val="24"/>
                <w:szCs w:val="14"/>
              </w:rPr>
              <w:t>Adolescents</w:t>
            </w:r>
            <w:r w:rsidRPr="005E314B">
              <w:rPr>
                <w:rStyle w:val="moreinfo1"/>
                <w:rFonts w:ascii="Verdana" w:hAnsi="Verdana" w:cs="Arial"/>
                <w:sz w:val="24"/>
                <w:szCs w:val="12"/>
              </w:rPr>
              <w:t xml:space="preserve"> </w:t>
            </w:r>
            <w:r w:rsidRPr="005E314B">
              <w:rPr>
                <w:rStyle w:val="Strong"/>
                <w:rFonts w:ascii="Verdana" w:hAnsi="Verdana" w:cs="Arial"/>
                <w:color w:val="999999"/>
                <w:sz w:val="24"/>
                <w:szCs w:val="12"/>
              </w:rPr>
              <w:t>(3/24/06)</w:t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br/>
            </w:r>
            <w:hyperlink r:id="rId8" w:history="1"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 xml:space="preserve">Preventing Tetanus, Diphtheria, and Pertussis Among ADOLESCENTS: Use of Tetanus Toxoid, Reduced Diphtheria Toxoid and </w:t>
              </w:r>
              <w:proofErr w:type="spellStart"/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>Acellular</w:t>
              </w:r>
              <w:proofErr w:type="spellEnd"/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 xml:space="preserve"> Pertussis Vaccines</w:t>
              </w:r>
            </w:hyperlink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</w:t>
            </w:r>
          </w:p>
          <w:p w:rsidR="005E314B" w:rsidRPr="005E314B" w:rsidRDefault="005E314B" w:rsidP="005E314B">
            <w:pPr>
              <w:numPr>
                <w:ilvl w:val="1"/>
                <w:numId w:val="1"/>
              </w:numPr>
              <w:spacing w:after="165" w:line="240" w:lineRule="auto"/>
              <w:ind w:left="525"/>
              <w:rPr>
                <w:rFonts w:ascii="Verdana" w:hAnsi="Verdana" w:cs="Arial"/>
                <w:color w:val="000000"/>
                <w:sz w:val="24"/>
                <w:szCs w:val="14"/>
              </w:rPr>
            </w:pPr>
            <w:hyperlink r:id="rId9" w:history="1"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>Appendix A</w:t>
              </w:r>
            </w:hyperlink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| </w:t>
            </w:r>
            <w:hyperlink r:id="rId10" w:history="1">
              <w:proofErr w:type="spellStart"/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>Appx</w:t>
              </w:r>
              <w:proofErr w:type="spellEnd"/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 xml:space="preserve"> B</w:t>
              </w:r>
            </w:hyperlink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| </w:t>
            </w:r>
            <w:proofErr w:type="spellStart"/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fldChar w:fldCharType="begin"/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instrText xml:space="preserve"> HYPERLINK "http://www.cdc.gov/mmwr/preview/mmwrhtml/rr5503a4.htm" </w:instrText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fldChar w:fldCharType="separate"/>
            </w:r>
            <w:r w:rsidRPr="005E314B">
              <w:rPr>
                <w:rStyle w:val="Hyperlink"/>
                <w:rFonts w:ascii="Verdana" w:hAnsi="Verdana" w:cs="Arial"/>
                <w:sz w:val="24"/>
                <w:szCs w:val="14"/>
              </w:rPr>
              <w:t>Appx</w:t>
            </w:r>
            <w:proofErr w:type="spellEnd"/>
            <w:r w:rsidRPr="005E314B">
              <w:rPr>
                <w:rStyle w:val="Hyperlink"/>
                <w:rFonts w:ascii="Verdana" w:hAnsi="Verdana" w:cs="Arial"/>
                <w:sz w:val="24"/>
                <w:szCs w:val="14"/>
              </w:rPr>
              <w:t xml:space="preserve"> C</w:t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fldChar w:fldCharType="end"/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| </w:t>
            </w:r>
            <w:hyperlink r:id="rId11" w:history="1">
              <w:proofErr w:type="spellStart"/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>Appx</w:t>
              </w:r>
              <w:proofErr w:type="spellEnd"/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 xml:space="preserve"> D</w:t>
              </w:r>
            </w:hyperlink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| </w:t>
            </w:r>
            <w:hyperlink r:id="rId12" w:history="1">
              <w:proofErr w:type="spellStart"/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>Appx</w:t>
              </w:r>
              <w:proofErr w:type="spellEnd"/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 xml:space="preserve"> E</w:t>
              </w:r>
            </w:hyperlink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| </w:t>
            </w:r>
            <w:hyperlink r:id="rId13" w:history="1">
              <w:proofErr w:type="spellStart"/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>Appx</w:t>
              </w:r>
              <w:proofErr w:type="spellEnd"/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 xml:space="preserve"> F</w:t>
              </w:r>
            </w:hyperlink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</w:t>
            </w:r>
          </w:p>
          <w:p w:rsidR="005E314B" w:rsidRPr="005E314B" w:rsidRDefault="005E314B" w:rsidP="007A6A24">
            <w:pPr>
              <w:spacing w:before="75" w:after="150" w:line="312" w:lineRule="atLeast"/>
              <w:ind w:left="525"/>
              <w:rPr>
                <w:rFonts w:ascii="Verdana" w:hAnsi="Verdana" w:cs="Arial"/>
                <w:color w:val="000000"/>
                <w:sz w:val="24"/>
                <w:szCs w:val="14"/>
              </w:rPr>
            </w:pPr>
            <w:r w:rsidRPr="005E314B">
              <w:rPr>
                <w:rStyle w:val="notehead1"/>
                <w:rFonts w:ascii="Verdana" w:hAnsi="Verdana" w:cs="Arial"/>
                <w:sz w:val="24"/>
                <w:szCs w:val="14"/>
              </w:rPr>
              <w:t>Note:</w:t>
            </w:r>
            <w:r w:rsidRPr="005E314B">
              <w:rPr>
                <w:rStyle w:val="note1"/>
                <w:rFonts w:ascii="Verdana" w:hAnsi="Verdana" w:cs="Arial"/>
                <w:color w:val="000000"/>
                <w:sz w:val="24"/>
                <w:szCs w:val="14"/>
              </w:rPr>
              <w:t xml:space="preserve"> If you are using the HTML version of this document, be sure to access all links to get the complete content of the document, which includes 6 important appendices.</w:t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br/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br/>
            </w:r>
            <w:hyperlink r:id="rId14" w:history="1"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>Print version</w:t>
              </w:r>
            </w:hyperlink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</w:t>
            </w:r>
            <w:r w:rsidRPr="005E314B">
              <w:rPr>
                <w:rFonts w:ascii="Verdana" w:hAnsi="Verdana" w:cs="Arial"/>
                <w:noProof/>
                <w:color w:val="000000"/>
                <w:sz w:val="24"/>
                <w:szCs w:val="14"/>
              </w:rPr>
              <w:drawing>
                <wp:inline distT="0" distB="0" distL="0" distR="0" wp14:anchorId="5E4A9C91" wp14:editId="6F65520C">
                  <wp:extent cx="152400" cy="152400"/>
                  <wp:effectExtent l="0" t="0" r="0" b="0"/>
                  <wp:docPr id="3" name="Picture 3" descr="Adobe Acrobat print-friendly PDF 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obe Acrobat print-friendly PDF 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14B">
              <w:rPr>
                <w:rStyle w:val="moreinfo1"/>
                <w:rFonts w:ascii="Verdana" w:hAnsi="Verdana" w:cs="Arial"/>
                <w:sz w:val="24"/>
                <w:szCs w:val="12"/>
              </w:rPr>
              <w:t>(includes appendices)</w:t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</w:t>
            </w:r>
            <w:r w:rsidRPr="005E314B">
              <w:rPr>
                <w:rStyle w:val="moreinfo1"/>
                <w:rFonts w:ascii="Verdana" w:hAnsi="Verdana" w:cs="Arial"/>
                <w:sz w:val="24"/>
                <w:szCs w:val="12"/>
              </w:rPr>
              <w:t>[PDF-473KB / 50 pages]</w:t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> (</w:t>
            </w:r>
            <w:hyperlink r:id="rId16" w:history="1"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>summary</w:t>
              </w:r>
            </w:hyperlink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) </w:t>
            </w:r>
          </w:p>
          <w:p w:rsidR="005E314B" w:rsidRPr="005E314B" w:rsidRDefault="005E314B" w:rsidP="005E314B">
            <w:pPr>
              <w:numPr>
                <w:ilvl w:val="0"/>
                <w:numId w:val="1"/>
              </w:numPr>
              <w:spacing w:after="165" w:line="240" w:lineRule="auto"/>
              <w:ind w:left="300"/>
              <w:rPr>
                <w:rFonts w:ascii="Verdana" w:hAnsi="Verdana" w:cs="Arial"/>
                <w:color w:val="000000"/>
                <w:sz w:val="24"/>
                <w:szCs w:val="14"/>
              </w:rPr>
            </w:pPr>
            <w:bookmarkStart w:id="0" w:name="Tdapadults"/>
            <w:bookmarkEnd w:id="0"/>
            <w:r w:rsidRPr="005E314B">
              <w:rPr>
                <w:rStyle w:val="Strong"/>
                <w:rFonts w:ascii="Verdana" w:hAnsi="Verdana" w:cs="Arial"/>
                <w:color w:val="000000"/>
                <w:sz w:val="24"/>
                <w:szCs w:val="14"/>
              </w:rPr>
              <w:t>Adults (under 65 years old)</w:t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  </w:t>
            </w:r>
            <w:r w:rsidRPr="005E314B">
              <w:rPr>
                <w:rStyle w:val="exit1"/>
                <w:rFonts w:ascii="Verdana" w:hAnsi="Verdana" w:cs="Arial"/>
                <w:sz w:val="24"/>
                <w:szCs w:val="11"/>
              </w:rPr>
              <w:t>(12/15/06)</w:t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br/>
            </w:r>
            <w:hyperlink r:id="rId17" w:history="1"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 xml:space="preserve">Preventing Tetanus, Diphtheria, and Pertussis Among ADULTS: Use of Tetanus Toxoid, Reduced Diphtheria Toxoid and </w:t>
              </w:r>
              <w:proofErr w:type="spellStart"/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>Acellular</w:t>
              </w:r>
              <w:proofErr w:type="spellEnd"/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 xml:space="preserve"> Pertussis Vaccines</w:t>
              </w:r>
            </w:hyperlink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</w:t>
            </w:r>
          </w:p>
          <w:p w:rsidR="005E314B" w:rsidRPr="005E314B" w:rsidRDefault="005E314B" w:rsidP="005E314B">
            <w:pPr>
              <w:numPr>
                <w:ilvl w:val="1"/>
                <w:numId w:val="1"/>
              </w:numPr>
              <w:spacing w:after="240" w:line="240" w:lineRule="auto"/>
              <w:ind w:left="525"/>
              <w:rPr>
                <w:rFonts w:ascii="Verdana" w:hAnsi="Verdana" w:cs="Arial"/>
                <w:color w:val="000000"/>
                <w:sz w:val="24"/>
                <w:szCs w:val="14"/>
              </w:rPr>
            </w:pPr>
            <w:hyperlink r:id="rId18" w:history="1"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>Appendix A</w:t>
              </w:r>
            </w:hyperlink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| </w:t>
            </w:r>
            <w:hyperlink r:id="rId19" w:history="1"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>Appendix B</w:t>
              </w:r>
            </w:hyperlink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| </w:t>
            </w:r>
            <w:hyperlink r:id="rId20" w:history="1"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>Appendix C</w:t>
              </w:r>
            </w:hyperlink>
          </w:p>
          <w:p w:rsidR="005E314B" w:rsidRPr="005E314B" w:rsidRDefault="005E314B" w:rsidP="007A6A24">
            <w:pPr>
              <w:spacing w:before="75" w:after="150" w:line="312" w:lineRule="atLeast"/>
              <w:ind w:left="525"/>
              <w:rPr>
                <w:rFonts w:ascii="Verdana" w:hAnsi="Verdana" w:cs="Arial"/>
                <w:color w:val="000000"/>
                <w:sz w:val="24"/>
                <w:szCs w:val="14"/>
              </w:rPr>
            </w:pPr>
            <w:r w:rsidRPr="005E314B">
              <w:rPr>
                <w:rStyle w:val="notehead1"/>
                <w:rFonts w:ascii="Verdana" w:hAnsi="Verdana" w:cs="Arial"/>
                <w:sz w:val="24"/>
                <w:szCs w:val="14"/>
              </w:rPr>
              <w:t>Note:</w:t>
            </w:r>
            <w:r w:rsidRPr="005E314B">
              <w:rPr>
                <w:rStyle w:val="note1"/>
                <w:rFonts w:ascii="Verdana" w:hAnsi="Verdana" w:cs="Arial"/>
                <w:color w:val="000000"/>
                <w:sz w:val="24"/>
                <w:szCs w:val="14"/>
              </w:rPr>
              <w:t xml:space="preserve"> If you are using the HTML version of this document, be sure to access all links to get the complete content of the document, which includes 6 important appendices.</w:t>
            </w:r>
          </w:p>
          <w:p w:rsidR="005E314B" w:rsidRPr="005E314B" w:rsidRDefault="005E314B" w:rsidP="007A6A24">
            <w:pPr>
              <w:spacing w:after="0" w:line="240" w:lineRule="auto"/>
              <w:ind w:left="525"/>
              <w:rPr>
                <w:rFonts w:ascii="Verdana" w:hAnsi="Verdana" w:cs="Arial"/>
                <w:color w:val="000000"/>
                <w:sz w:val="24"/>
                <w:szCs w:val="14"/>
              </w:rPr>
            </w:pPr>
            <w:hyperlink r:id="rId21" w:history="1"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>Print version</w:t>
              </w:r>
            </w:hyperlink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</w:t>
            </w:r>
            <w:r w:rsidRPr="005E314B">
              <w:rPr>
                <w:rFonts w:ascii="Verdana" w:hAnsi="Verdana" w:cs="Arial"/>
                <w:noProof/>
                <w:color w:val="000000"/>
                <w:sz w:val="24"/>
                <w:szCs w:val="14"/>
              </w:rPr>
              <w:drawing>
                <wp:inline distT="0" distB="0" distL="0" distR="0" wp14:anchorId="1D097B5D" wp14:editId="0FCE72EF">
                  <wp:extent cx="152400" cy="152400"/>
                  <wp:effectExtent l="0" t="0" r="0" b="0"/>
                  <wp:docPr id="2" name="Picture 2" descr="Adobe Acrobat print-friendly PDF 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obe Acrobat print-friendly PDF 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14B">
              <w:rPr>
                <w:rStyle w:val="moreinfo1"/>
                <w:rFonts w:ascii="Verdana" w:hAnsi="Verdana" w:cs="Arial"/>
                <w:sz w:val="24"/>
                <w:szCs w:val="12"/>
              </w:rPr>
              <w:t>[PDF-418KB / 44 pages]</w:t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</w:t>
            </w:r>
          </w:p>
          <w:p w:rsidR="005E314B" w:rsidRPr="005E314B" w:rsidRDefault="005E314B" w:rsidP="005E314B">
            <w:pPr>
              <w:numPr>
                <w:ilvl w:val="0"/>
                <w:numId w:val="1"/>
              </w:numPr>
              <w:spacing w:after="165" w:line="240" w:lineRule="auto"/>
              <w:ind w:left="300"/>
              <w:rPr>
                <w:rFonts w:ascii="Verdana" w:hAnsi="Verdana" w:cs="Arial"/>
                <w:color w:val="000000"/>
                <w:sz w:val="24"/>
                <w:szCs w:val="14"/>
              </w:rPr>
            </w:pPr>
            <w:r w:rsidRPr="005E314B">
              <w:rPr>
                <w:rStyle w:val="Strong"/>
                <w:rFonts w:ascii="Verdana" w:hAnsi="Verdana" w:cs="Arial"/>
                <w:color w:val="000000"/>
                <w:sz w:val="24"/>
                <w:szCs w:val="14"/>
              </w:rPr>
              <w:t>Adults 65 years and older</w:t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  </w:t>
            </w:r>
            <w:r w:rsidRPr="005E314B">
              <w:rPr>
                <w:rStyle w:val="exit1"/>
                <w:rFonts w:ascii="Verdana" w:hAnsi="Verdana" w:cs="Arial"/>
                <w:sz w:val="24"/>
                <w:szCs w:val="11"/>
              </w:rPr>
              <w:t>(6/28/12)</w:t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br/>
            </w:r>
            <w:hyperlink r:id="rId22" w:history="1"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 xml:space="preserve">Updated Recommendations for Use of Tetanus Toxoid, Reduced Diphtheria Toxoid, and </w:t>
              </w:r>
              <w:proofErr w:type="spellStart"/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>Acellular</w:t>
              </w:r>
              <w:proofErr w:type="spellEnd"/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 xml:space="preserve"> Pertussis (</w:t>
              </w:r>
              <w:proofErr w:type="spellStart"/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>Tdap</w:t>
              </w:r>
              <w:proofErr w:type="spellEnd"/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>) Vaccine in Adults Aged 65 Years and Older, ACIP 2012</w:t>
              </w:r>
            </w:hyperlink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</w:t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br/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br/>
            </w:r>
            <w:hyperlink r:id="rId23" w:history="1"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>Print version</w:t>
              </w:r>
            </w:hyperlink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</w:t>
            </w:r>
            <w:r w:rsidRPr="005E314B">
              <w:rPr>
                <w:rFonts w:ascii="Verdana" w:hAnsi="Verdana" w:cs="Arial"/>
                <w:noProof/>
                <w:color w:val="000000"/>
                <w:sz w:val="24"/>
                <w:szCs w:val="14"/>
              </w:rPr>
              <w:drawing>
                <wp:inline distT="0" distB="0" distL="0" distR="0" wp14:anchorId="7E1BED9F" wp14:editId="1077F2D0">
                  <wp:extent cx="152400" cy="152400"/>
                  <wp:effectExtent l="0" t="0" r="0" b="0"/>
                  <wp:docPr id="1" name="Picture 1" descr="Adobe Acrobat print-friendly PDF 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obe Acrobat print-friendly PDF 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14B">
              <w:rPr>
                <w:rStyle w:val="moreinfo1"/>
                <w:rFonts w:ascii="Verdana" w:hAnsi="Verdana" w:cs="Arial"/>
                <w:sz w:val="24"/>
                <w:szCs w:val="12"/>
              </w:rPr>
              <w:t>[PDF-541KB / 20 pages]</w:t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</w:t>
            </w:r>
          </w:p>
          <w:p w:rsidR="005E314B" w:rsidRPr="005E314B" w:rsidRDefault="005E314B" w:rsidP="005E314B">
            <w:pPr>
              <w:numPr>
                <w:ilvl w:val="0"/>
                <w:numId w:val="1"/>
              </w:numPr>
              <w:spacing w:after="165" w:line="240" w:lineRule="auto"/>
              <w:ind w:left="300"/>
              <w:rPr>
                <w:rFonts w:ascii="Verdana" w:hAnsi="Verdana" w:cs="Arial"/>
                <w:color w:val="000000"/>
                <w:sz w:val="24"/>
                <w:szCs w:val="14"/>
              </w:rPr>
            </w:pP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See also: </w:t>
            </w:r>
          </w:p>
          <w:p w:rsidR="005E314B" w:rsidRPr="005E314B" w:rsidRDefault="005E314B" w:rsidP="005E314B">
            <w:pPr>
              <w:numPr>
                <w:ilvl w:val="1"/>
                <w:numId w:val="1"/>
              </w:numPr>
              <w:spacing w:after="165" w:line="240" w:lineRule="auto"/>
              <w:ind w:left="525"/>
              <w:rPr>
                <w:rFonts w:ascii="Verdana" w:hAnsi="Verdana" w:cs="Arial"/>
                <w:color w:val="000000"/>
                <w:sz w:val="24"/>
                <w:szCs w:val="14"/>
              </w:rPr>
            </w:pPr>
            <w:hyperlink r:id="rId24" w:history="1"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 xml:space="preserve">Supplemental </w:t>
              </w:r>
              <w:proofErr w:type="spellStart"/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>Tdap</w:t>
              </w:r>
              <w:proofErr w:type="spellEnd"/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 xml:space="preserve"> MMWR publications</w:t>
              </w:r>
            </w:hyperlink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br/>
            </w:r>
            <w:r w:rsidRPr="005E314B">
              <w:rPr>
                <w:rStyle w:val="moreinfo1"/>
                <w:rFonts w:ascii="Verdana" w:hAnsi="Verdana" w:cs="Arial"/>
                <w:sz w:val="24"/>
                <w:szCs w:val="12"/>
              </w:rPr>
              <w:t>(policy notes, updated recommendations, notices to readers)</w:t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</w:t>
            </w:r>
          </w:p>
        </w:tc>
      </w:tr>
      <w:tr w:rsidR="005E314B" w:rsidTr="005E314B">
        <w:trPr>
          <w:trHeight w:val="1054"/>
          <w:tblCellSpacing w:w="15" w:type="dxa"/>
        </w:trPr>
        <w:tc>
          <w:tcPr>
            <w:tcW w:w="10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14B" w:rsidRPr="005E314B" w:rsidRDefault="005E314B" w:rsidP="005E314B">
            <w:pPr>
              <w:numPr>
                <w:ilvl w:val="0"/>
                <w:numId w:val="2"/>
              </w:numPr>
              <w:spacing w:after="165" w:line="240" w:lineRule="auto"/>
              <w:ind w:left="300"/>
              <w:rPr>
                <w:rFonts w:ascii="Verdana" w:hAnsi="Verdana" w:cs="Arial"/>
                <w:color w:val="000000"/>
                <w:sz w:val="24"/>
                <w:szCs w:val="14"/>
              </w:rPr>
            </w:pPr>
            <w:proofErr w:type="spellStart"/>
            <w:r w:rsidRPr="005E314B">
              <w:rPr>
                <w:rStyle w:val="Strong"/>
                <w:rFonts w:ascii="Verdana" w:hAnsi="Verdana" w:cs="Arial"/>
                <w:color w:val="000000"/>
                <w:sz w:val="24"/>
                <w:szCs w:val="14"/>
              </w:rPr>
              <w:t>Tdap</w:t>
            </w:r>
            <w:proofErr w:type="spellEnd"/>
            <w:r w:rsidRPr="005E314B">
              <w:rPr>
                <w:rStyle w:val="Strong"/>
                <w:rFonts w:ascii="Verdana" w:hAnsi="Verdana" w:cs="Arial"/>
                <w:color w:val="000000"/>
                <w:sz w:val="24"/>
                <w:szCs w:val="14"/>
              </w:rPr>
              <w:t xml:space="preserve"> and Td Vaccines and Pregnancy</w:t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  </w:t>
            </w:r>
            <w:r w:rsidRPr="005E314B">
              <w:rPr>
                <w:rStyle w:val="exit1"/>
                <w:rFonts w:ascii="Verdana" w:hAnsi="Verdana" w:cs="Arial"/>
                <w:sz w:val="24"/>
                <w:szCs w:val="11"/>
              </w:rPr>
              <w:t>(10/21/11)</w:t>
            </w: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br/>
            </w:r>
            <w:hyperlink r:id="rId25" w:history="1"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 xml:space="preserve">Updated Recommendations for Use of </w:t>
              </w:r>
              <w:proofErr w:type="spellStart"/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>Tdap</w:t>
              </w:r>
              <w:proofErr w:type="spellEnd"/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 xml:space="preserve"> in Pregnant Women and Persons Who Have or Anticipate Having Close Contact with an Infant Aged &lt;12 Months -- ACIP, 2011</w:t>
              </w:r>
            </w:hyperlink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</w:t>
            </w:r>
          </w:p>
          <w:p w:rsidR="005E314B" w:rsidRPr="005E314B" w:rsidRDefault="005E314B" w:rsidP="005E314B">
            <w:pPr>
              <w:numPr>
                <w:ilvl w:val="0"/>
                <w:numId w:val="2"/>
              </w:numPr>
              <w:spacing w:after="165" w:line="240" w:lineRule="auto"/>
              <w:ind w:left="300"/>
              <w:rPr>
                <w:rFonts w:ascii="Verdana" w:hAnsi="Verdana" w:cs="Arial"/>
                <w:color w:val="000000"/>
                <w:sz w:val="24"/>
                <w:szCs w:val="14"/>
              </w:rPr>
            </w:pPr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Historical: </w:t>
            </w:r>
            <w:hyperlink r:id="rId26" w:anchor="tdappreg" w:history="1">
              <w:r w:rsidRPr="005E314B">
                <w:rPr>
                  <w:rStyle w:val="Hyperlink"/>
                  <w:rFonts w:ascii="Verdana" w:hAnsi="Verdana" w:cs="Arial"/>
                  <w:sz w:val="24"/>
                  <w:szCs w:val="14"/>
                </w:rPr>
                <w:t>Archived recommendations</w:t>
              </w:r>
            </w:hyperlink>
            <w:r w:rsidRPr="005E314B">
              <w:rPr>
                <w:rFonts w:ascii="Verdana" w:hAnsi="Verdana" w:cs="Arial"/>
                <w:color w:val="000000"/>
                <w:sz w:val="24"/>
                <w:szCs w:val="14"/>
              </w:rPr>
              <w:t xml:space="preserve"> (previous version) </w:t>
            </w:r>
          </w:p>
        </w:tc>
      </w:tr>
    </w:tbl>
    <w:p w:rsidR="0001762E" w:rsidRDefault="005E314B"/>
    <w:p w:rsidR="005E314B" w:rsidRDefault="005E314B">
      <w:hyperlink r:id="rId27" w:history="1">
        <w:r w:rsidRPr="000E3103">
          <w:rPr>
            <w:rStyle w:val="Hyperlink"/>
          </w:rPr>
          <w:t>http://www.cdc.gov/vaccines/pubs/acip-list.htm#tdap</w:t>
        </w:r>
      </w:hyperlink>
      <w:bookmarkStart w:id="1" w:name="_GoBack"/>
      <w:bookmarkEnd w:id="1"/>
    </w:p>
    <w:sectPr w:rsidR="005E314B" w:rsidSect="005E31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952A6"/>
    <w:multiLevelType w:val="multilevel"/>
    <w:tmpl w:val="D85C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346A9E"/>
    <w:multiLevelType w:val="multilevel"/>
    <w:tmpl w:val="DAD2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D0562"/>
    <w:multiLevelType w:val="hybridMultilevel"/>
    <w:tmpl w:val="4988629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4B"/>
    <w:rsid w:val="005E314B"/>
    <w:rsid w:val="00742B4C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314B"/>
    <w:rPr>
      <w:color w:val="3366CC"/>
      <w:u w:val="single"/>
    </w:rPr>
  </w:style>
  <w:style w:type="character" w:styleId="Strong">
    <w:name w:val="Strong"/>
    <w:basedOn w:val="DefaultParagraphFont"/>
    <w:uiPriority w:val="22"/>
    <w:qFormat/>
    <w:rsid w:val="005E314B"/>
    <w:rPr>
      <w:b/>
      <w:bCs/>
    </w:rPr>
  </w:style>
  <w:style w:type="character" w:customStyle="1" w:styleId="style51">
    <w:name w:val="style51"/>
    <w:basedOn w:val="DefaultParagraphFont"/>
    <w:rsid w:val="005E314B"/>
    <w:rPr>
      <w:b/>
      <w:bCs/>
      <w:color w:val="33CC66"/>
      <w:sz w:val="27"/>
      <w:szCs w:val="27"/>
    </w:rPr>
  </w:style>
  <w:style w:type="character" w:customStyle="1" w:styleId="moreinfo1">
    <w:name w:val="more_info1"/>
    <w:basedOn w:val="DefaultParagraphFont"/>
    <w:rsid w:val="005E314B"/>
    <w:rPr>
      <w:b w:val="0"/>
      <w:bCs w:val="0"/>
      <w:color w:val="999999"/>
      <w:sz w:val="20"/>
      <w:szCs w:val="20"/>
    </w:rPr>
  </w:style>
  <w:style w:type="character" w:customStyle="1" w:styleId="notehead1">
    <w:name w:val="note_head1"/>
    <w:basedOn w:val="DefaultParagraphFont"/>
    <w:rsid w:val="005E314B"/>
    <w:rPr>
      <w:b/>
      <w:bCs/>
      <w:color w:val="000099"/>
    </w:rPr>
  </w:style>
  <w:style w:type="character" w:customStyle="1" w:styleId="note1">
    <w:name w:val="note1"/>
    <w:basedOn w:val="DefaultParagraphFont"/>
    <w:rsid w:val="005E314B"/>
  </w:style>
  <w:style w:type="character" w:customStyle="1" w:styleId="exit1">
    <w:name w:val="exit1"/>
    <w:basedOn w:val="DefaultParagraphFont"/>
    <w:rsid w:val="005E314B"/>
    <w:rPr>
      <w:b/>
      <w:bCs/>
      <w:color w:val="999999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3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314B"/>
    <w:rPr>
      <w:color w:val="3366CC"/>
      <w:u w:val="single"/>
    </w:rPr>
  </w:style>
  <w:style w:type="character" w:styleId="Strong">
    <w:name w:val="Strong"/>
    <w:basedOn w:val="DefaultParagraphFont"/>
    <w:uiPriority w:val="22"/>
    <w:qFormat/>
    <w:rsid w:val="005E314B"/>
    <w:rPr>
      <w:b/>
      <w:bCs/>
    </w:rPr>
  </w:style>
  <w:style w:type="character" w:customStyle="1" w:styleId="style51">
    <w:name w:val="style51"/>
    <w:basedOn w:val="DefaultParagraphFont"/>
    <w:rsid w:val="005E314B"/>
    <w:rPr>
      <w:b/>
      <w:bCs/>
      <w:color w:val="33CC66"/>
      <w:sz w:val="27"/>
      <w:szCs w:val="27"/>
    </w:rPr>
  </w:style>
  <w:style w:type="character" w:customStyle="1" w:styleId="moreinfo1">
    <w:name w:val="more_info1"/>
    <w:basedOn w:val="DefaultParagraphFont"/>
    <w:rsid w:val="005E314B"/>
    <w:rPr>
      <w:b w:val="0"/>
      <w:bCs w:val="0"/>
      <w:color w:val="999999"/>
      <w:sz w:val="20"/>
      <w:szCs w:val="20"/>
    </w:rPr>
  </w:style>
  <w:style w:type="character" w:customStyle="1" w:styleId="notehead1">
    <w:name w:val="note_head1"/>
    <w:basedOn w:val="DefaultParagraphFont"/>
    <w:rsid w:val="005E314B"/>
    <w:rPr>
      <w:b/>
      <w:bCs/>
      <w:color w:val="000099"/>
    </w:rPr>
  </w:style>
  <w:style w:type="character" w:customStyle="1" w:styleId="note1">
    <w:name w:val="note1"/>
    <w:basedOn w:val="DefaultParagraphFont"/>
    <w:rsid w:val="005E314B"/>
  </w:style>
  <w:style w:type="character" w:customStyle="1" w:styleId="exit1">
    <w:name w:val="exit1"/>
    <w:basedOn w:val="DefaultParagraphFont"/>
    <w:rsid w:val="005E314B"/>
    <w:rPr>
      <w:b/>
      <w:bCs/>
      <w:color w:val="999999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mmwr/preview/mmwrhtml/rr5503a1.htm" TargetMode="External"/><Relationship Id="rId13" Type="http://schemas.openxmlformats.org/officeDocument/2006/relationships/hyperlink" Target="http://www.cdc.gov/mmwr/preview/mmwrhtml/rr5503a7.htm" TargetMode="External"/><Relationship Id="rId18" Type="http://schemas.openxmlformats.org/officeDocument/2006/relationships/hyperlink" Target="http://www.cdc.gov/mmwr/preview/mmwrhtml/rr5517a2.htm" TargetMode="External"/><Relationship Id="rId26" Type="http://schemas.openxmlformats.org/officeDocument/2006/relationships/hyperlink" Target="http://www.cdc.gov/vaccines/pubs/ACIP-list-archived-recs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dc.gov/mmwr/PDF/rr/rr5517.pdf" TargetMode="External"/><Relationship Id="rId7" Type="http://schemas.openxmlformats.org/officeDocument/2006/relationships/hyperlink" Target="http://www.cdc.gov/mmwr/preview/mmwrhtml/mm6001a4.htm?s_cid=mm6001a4_w" TargetMode="External"/><Relationship Id="rId12" Type="http://schemas.openxmlformats.org/officeDocument/2006/relationships/hyperlink" Target="http://www.cdc.gov/mmwr/preview/mmwrhtml/rr5503a6.htm" TargetMode="External"/><Relationship Id="rId17" Type="http://schemas.openxmlformats.org/officeDocument/2006/relationships/hyperlink" Target="http://www.cdc.gov/mmwr/preview/mmwrhtml/rr5517a1.htm" TargetMode="External"/><Relationship Id="rId25" Type="http://schemas.openxmlformats.org/officeDocument/2006/relationships/hyperlink" Target="http://www.cdc.gov/mmwr/preview/mmwrhtml/mm6041a4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dc.gov/mmwr/preview/mmwrhtml/rr5503a1.htm" TargetMode="External"/><Relationship Id="rId20" Type="http://schemas.openxmlformats.org/officeDocument/2006/relationships/hyperlink" Target="http://www.cdc.gov/mmwr/preview/mmwrhtml/rr5517a4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dc.gov/mmwr/preview/mmwrhtml/mm6001a4.htm" TargetMode="External"/><Relationship Id="rId11" Type="http://schemas.openxmlformats.org/officeDocument/2006/relationships/hyperlink" Target="http://www.cdc.gov/mmwr/preview/mmwrhtml/rr5503a5.htm" TargetMode="External"/><Relationship Id="rId24" Type="http://schemas.openxmlformats.org/officeDocument/2006/relationships/hyperlink" Target="http://www.cdc.gov/vaccines/pubs/acip-list-sup/acip-sup-tdap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gif"/><Relationship Id="rId23" Type="http://schemas.openxmlformats.org/officeDocument/2006/relationships/hyperlink" Target="http://www.cdc.gov/mmwr/pdf/wk/mm6125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dc.gov/mmwr/preview/mmwrhtml/rr5503a3.htm" TargetMode="External"/><Relationship Id="rId19" Type="http://schemas.openxmlformats.org/officeDocument/2006/relationships/hyperlink" Target="http://www.cdc.gov/mmwr/preview/mmwrhtml/rr5517a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.gov/mmwr/preview/mmwrhtml/rr5503a2.htm?s_cid=rr5503a2_e" TargetMode="External"/><Relationship Id="rId14" Type="http://schemas.openxmlformats.org/officeDocument/2006/relationships/hyperlink" Target="http://www.cdc.gov/mmwr/PDF/rr/rr5503.pdf" TargetMode="External"/><Relationship Id="rId22" Type="http://schemas.openxmlformats.org/officeDocument/2006/relationships/hyperlink" Target="http://www.cdc.gov/mmwr/preview/mmwrhtml/mm6125a4.htm" TargetMode="External"/><Relationship Id="rId27" Type="http://schemas.openxmlformats.org/officeDocument/2006/relationships/hyperlink" Target="http://www.cdc.gov/vaccines/pubs/acip-list.htm#td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Lauren.Ball</dc:creator>
  <cp:keywords/>
  <dc:description/>
  <cp:lastModifiedBy>Lauren.Ball</cp:lastModifiedBy>
  <cp:revision>1</cp:revision>
  <dcterms:created xsi:type="dcterms:W3CDTF">2012-12-04T15:19:00Z</dcterms:created>
  <dcterms:modified xsi:type="dcterms:W3CDTF">2012-12-04T15:24:00Z</dcterms:modified>
</cp:coreProperties>
</file>