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46A2" w14:textId="4F24B2FC" w:rsidR="0086718C" w:rsidRPr="006E0E3D" w:rsidRDefault="00C26BE3" w:rsidP="008671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F03E5F" wp14:editId="6EF266E4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533400" cy="496570"/>
            <wp:effectExtent l="0" t="0" r="0" b="0"/>
            <wp:wrapTight wrapText="bothSides">
              <wp:wrapPolygon edited="0">
                <wp:start x="0" y="0"/>
                <wp:lineTo x="0" y="20716"/>
                <wp:lineTo x="20829" y="20716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BB8">
        <w:rPr>
          <w:b/>
          <w:sz w:val="28"/>
          <w:szCs w:val="28"/>
        </w:rPr>
        <w:t>Tularemia</w:t>
      </w:r>
    </w:p>
    <w:p w14:paraId="17379549" w14:textId="77777777" w:rsidR="0086718C" w:rsidRDefault="0086718C" w:rsidP="0086718C">
      <w:pPr>
        <w:rPr>
          <w:b/>
          <w:szCs w:val="24"/>
        </w:rPr>
      </w:pPr>
    </w:p>
    <w:p w14:paraId="4A66E297" w14:textId="77777777" w:rsidR="00AC3B16" w:rsidRDefault="00AC3B16" w:rsidP="00785BB8">
      <w:pPr>
        <w:rPr>
          <w:b/>
          <w:szCs w:val="24"/>
        </w:rPr>
      </w:pPr>
    </w:p>
    <w:p w14:paraId="680FA939" w14:textId="77777777" w:rsidR="00785BB8" w:rsidRPr="00785BB8" w:rsidRDefault="0086718C" w:rsidP="00785BB8">
      <w:pPr>
        <w:rPr>
          <w:szCs w:val="24"/>
        </w:rPr>
      </w:pPr>
      <w:r w:rsidRPr="006E0E3D">
        <w:rPr>
          <w:b/>
          <w:szCs w:val="24"/>
        </w:rPr>
        <w:t>Definition:</w:t>
      </w:r>
      <w:r>
        <w:rPr>
          <w:b/>
          <w:szCs w:val="24"/>
        </w:rPr>
        <w:t xml:space="preserve"> </w:t>
      </w:r>
    </w:p>
    <w:p w14:paraId="3BDBDEE7" w14:textId="77777777" w:rsidR="00795303" w:rsidRPr="00795303" w:rsidRDefault="00785BB8" w:rsidP="00795303">
      <w:pPr>
        <w:rPr>
          <w:szCs w:val="24"/>
        </w:rPr>
      </w:pPr>
      <w:r w:rsidRPr="00785BB8">
        <w:rPr>
          <w:szCs w:val="24"/>
        </w:rPr>
        <w:t xml:space="preserve">Tularemia is a potentially serious illness </w:t>
      </w:r>
      <w:r w:rsidR="0014090D">
        <w:rPr>
          <w:szCs w:val="24"/>
        </w:rPr>
        <w:t xml:space="preserve">that </w:t>
      </w:r>
      <w:r w:rsidRPr="00785BB8">
        <w:rPr>
          <w:szCs w:val="24"/>
        </w:rPr>
        <w:t xml:space="preserve">is caused by </w:t>
      </w:r>
      <w:r w:rsidR="00795303">
        <w:rPr>
          <w:szCs w:val="24"/>
        </w:rPr>
        <w:t xml:space="preserve">the bacterium </w:t>
      </w:r>
      <w:proofErr w:type="spellStart"/>
      <w:r w:rsidR="00795303" w:rsidRPr="00795303">
        <w:rPr>
          <w:i/>
          <w:szCs w:val="24"/>
        </w:rPr>
        <w:t>Francisella</w:t>
      </w:r>
      <w:proofErr w:type="spellEnd"/>
      <w:r w:rsidR="00795303" w:rsidRPr="00795303">
        <w:rPr>
          <w:i/>
          <w:szCs w:val="24"/>
        </w:rPr>
        <w:t xml:space="preserve"> tularensis</w:t>
      </w:r>
      <w:r w:rsidR="005F5BBA">
        <w:rPr>
          <w:szCs w:val="24"/>
        </w:rPr>
        <w:t>.</w:t>
      </w:r>
      <w:r w:rsidR="00795303" w:rsidRPr="00795303">
        <w:rPr>
          <w:szCs w:val="24"/>
        </w:rPr>
        <w:t xml:space="preserve"> </w:t>
      </w:r>
      <w:r w:rsidR="00A9340F">
        <w:rPr>
          <w:szCs w:val="24"/>
        </w:rPr>
        <w:t xml:space="preserve">Tularemia occurs naturally in the United States and is found in animals, especially rodents, rabbits, and hares. </w:t>
      </w:r>
      <w:r w:rsidR="00170A6E">
        <w:rPr>
          <w:szCs w:val="24"/>
        </w:rPr>
        <w:t xml:space="preserve"> </w:t>
      </w:r>
      <w:r w:rsidR="00795303" w:rsidRPr="00795303">
        <w:rPr>
          <w:i/>
          <w:szCs w:val="24"/>
        </w:rPr>
        <w:t>F. tularensis</w:t>
      </w:r>
      <w:r w:rsidR="00795303" w:rsidRPr="00795303">
        <w:rPr>
          <w:szCs w:val="24"/>
        </w:rPr>
        <w:t xml:space="preserve"> can be airborne and weaponized</w:t>
      </w:r>
      <w:r w:rsidR="001A025D">
        <w:rPr>
          <w:szCs w:val="24"/>
        </w:rPr>
        <w:t xml:space="preserve"> and is therefore</w:t>
      </w:r>
      <w:r w:rsidR="00795303" w:rsidRPr="00795303">
        <w:rPr>
          <w:szCs w:val="24"/>
        </w:rPr>
        <w:t xml:space="preserve"> considered a </w:t>
      </w:r>
      <w:r w:rsidR="00463688">
        <w:rPr>
          <w:szCs w:val="24"/>
        </w:rPr>
        <w:t xml:space="preserve">potential </w:t>
      </w:r>
      <w:r w:rsidR="00795303" w:rsidRPr="00795303">
        <w:rPr>
          <w:szCs w:val="24"/>
        </w:rPr>
        <w:t>bioterrorism agent.</w:t>
      </w:r>
    </w:p>
    <w:p w14:paraId="7D030CAC" w14:textId="77777777" w:rsidR="00785BB8" w:rsidRPr="006E0E3D" w:rsidRDefault="00785BB8" w:rsidP="00785BB8">
      <w:pPr>
        <w:rPr>
          <w:i/>
          <w:szCs w:val="24"/>
        </w:rPr>
      </w:pPr>
    </w:p>
    <w:p w14:paraId="790A0AA2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  <w:r>
        <w:rPr>
          <w:b/>
          <w:szCs w:val="24"/>
        </w:rPr>
        <w:t xml:space="preserve">  </w:t>
      </w:r>
    </w:p>
    <w:p w14:paraId="1146D547" w14:textId="77777777" w:rsidR="00795303" w:rsidRPr="00795303" w:rsidRDefault="00795303" w:rsidP="00795303">
      <w:pPr>
        <w:rPr>
          <w:szCs w:val="24"/>
        </w:rPr>
      </w:pPr>
      <w:r w:rsidRPr="00795303">
        <w:rPr>
          <w:szCs w:val="24"/>
        </w:rPr>
        <w:t xml:space="preserve">Most </w:t>
      </w:r>
      <w:r w:rsidR="00463688">
        <w:rPr>
          <w:szCs w:val="24"/>
        </w:rPr>
        <w:t>cases</w:t>
      </w:r>
      <w:r w:rsidR="00463688" w:rsidRPr="00795303">
        <w:rPr>
          <w:szCs w:val="24"/>
        </w:rPr>
        <w:t xml:space="preserve"> </w:t>
      </w:r>
      <w:r w:rsidRPr="00795303">
        <w:rPr>
          <w:szCs w:val="24"/>
        </w:rPr>
        <w:t xml:space="preserve">will present with sudden </w:t>
      </w:r>
      <w:r w:rsidR="005F5BBA">
        <w:rPr>
          <w:szCs w:val="24"/>
        </w:rPr>
        <w:t>fever, chills, fatigue, myalgia</w:t>
      </w:r>
      <w:r w:rsidRPr="00795303">
        <w:rPr>
          <w:szCs w:val="24"/>
        </w:rPr>
        <w:t>, nausea, and headach</w:t>
      </w:r>
      <w:r w:rsidR="005F5BBA">
        <w:rPr>
          <w:szCs w:val="24"/>
        </w:rPr>
        <w:t>e.</w:t>
      </w:r>
      <w:r w:rsidRPr="00795303">
        <w:rPr>
          <w:szCs w:val="24"/>
        </w:rPr>
        <w:t xml:space="preserve"> Illness often conforms to</w:t>
      </w:r>
      <w:r w:rsidR="001729A1">
        <w:rPr>
          <w:szCs w:val="24"/>
        </w:rPr>
        <w:t xml:space="preserve"> one of several syndromes </w:t>
      </w:r>
      <w:r w:rsidRPr="00795303">
        <w:rPr>
          <w:szCs w:val="24"/>
        </w:rPr>
        <w:t>depending o</w:t>
      </w:r>
      <w:r w:rsidR="005F5BBA">
        <w:rPr>
          <w:szCs w:val="24"/>
        </w:rPr>
        <w:t>n how an individual is exposed.</w:t>
      </w:r>
      <w:r w:rsidRPr="00795303">
        <w:rPr>
          <w:szCs w:val="24"/>
        </w:rPr>
        <w:t xml:space="preserve"> The most common of these syndromes </w:t>
      </w:r>
      <w:r w:rsidR="00A9340F">
        <w:rPr>
          <w:szCs w:val="24"/>
        </w:rPr>
        <w:t xml:space="preserve">is </w:t>
      </w:r>
      <w:proofErr w:type="spellStart"/>
      <w:r w:rsidR="005F5BBA">
        <w:rPr>
          <w:szCs w:val="24"/>
        </w:rPr>
        <w:t>ulceroglandular</w:t>
      </w:r>
      <w:proofErr w:type="spellEnd"/>
      <w:r w:rsidR="005F5BBA">
        <w:rPr>
          <w:szCs w:val="24"/>
        </w:rPr>
        <w:t>.</w:t>
      </w:r>
      <w:r w:rsidRPr="00795303">
        <w:rPr>
          <w:szCs w:val="24"/>
        </w:rPr>
        <w:t xml:space="preserve"> A bioterrorist event would likely manifest as pneumonic.</w:t>
      </w:r>
    </w:p>
    <w:p w14:paraId="6570B1F9" w14:textId="77777777" w:rsidR="008462CA" w:rsidRDefault="008462CA" w:rsidP="0086718C">
      <w:pPr>
        <w:rPr>
          <w:b/>
          <w:szCs w:val="24"/>
        </w:rPr>
      </w:pPr>
    </w:p>
    <w:p w14:paraId="2F688B9A" w14:textId="77777777" w:rsidR="00156A5F" w:rsidRDefault="0086718C" w:rsidP="00156A5F">
      <w:pPr>
        <w:rPr>
          <w:b/>
          <w:szCs w:val="24"/>
        </w:rPr>
      </w:pPr>
      <w:r w:rsidRPr="006E0E3D">
        <w:rPr>
          <w:b/>
          <w:szCs w:val="24"/>
        </w:rPr>
        <w:t>Transmission:</w:t>
      </w:r>
      <w:r>
        <w:rPr>
          <w:b/>
          <w:szCs w:val="24"/>
        </w:rPr>
        <w:t xml:space="preserve"> </w:t>
      </w:r>
    </w:p>
    <w:p w14:paraId="58C06D3C" w14:textId="77777777" w:rsidR="00795303" w:rsidRPr="00795303" w:rsidRDefault="00795303" w:rsidP="00795303">
      <w:pPr>
        <w:rPr>
          <w:szCs w:val="24"/>
        </w:rPr>
      </w:pPr>
      <w:r w:rsidRPr="00795303">
        <w:rPr>
          <w:szCs w:val="24"/>
        </w:rPr>
        <w:t xml:space="preserve">Typically, transmission occurs through the bite of an infected </w:t>
      </w:r>
      <w:r w:rsidR="00A9340F">
        <w:rPr>
          <w:szCs w:val="24"/>
        </w:rPr>
        <w:t>tick or deer fly</w:t>
      </w:r>
      <w:r w:rsidRPr="00795303">
        <w:rPr>
          <w:szCs w:val="24"/>
        </w:rPr>
        <w:t xml:space="preserve">, ingestion of contaminated water or food, </w:t>
      </w:r>
      <w:r w:rsidR="00A9340F">
        <w:rPr>
          <w:szCs w:val="24"/>
        </w:rPr>
        <w:t>skin contact with infected animals, including carcasses</w:t>
      </w:r>
      <w:r w:rsidR="00463688">
        <w:rPr>
          <w:szCs w:val="24"/>
        </w:rPr>
        <w:t>,</w:t>
      </w:r>
      <w:r w:rsidRPr="00795303">
        <w:rPr>
          <w:szCs w:val="24"/>
        </w:rPr>
        <w:t xml:space="preserve"> or inhalation of airborne bacteria </w:t>
      </w:r>
      <w:r w:rsidR="005F5BBA">
        <w:rPr>
          <w:szCs w:val="24"/>
        </w:rPr>
        <w:t xml:space="preserve">in </w:t>
      </w:r>
      <w:r w:rsidR="00FE795D">
        <w:rPr>
          <w:szCs w:val="24"/>
        </w:rPr>
        <w:t xml:space="preserve">aerosols or </w:t>
      </w:r>
      <w:r w:rsidR="005F5BBA">
        <w:rPr>
          <w:szCs w:val="24"/>
        </w:rPr>
        <w:t>dust.</w:t>
      </w:r>
      <w:r w:rsidRPr="00795303">
        <w:rPr>
          <w:szCs w:val="24"/>
        </w:rPr>
        <w:t xml:space="preserve"> </w:t>
      </w:r>
      <w:r w:rsidR="00F65CA1">
        <w:rPr>
          <w:szCs w:val="24"/>
        </w:rPr>
        <w:t>L</w:t>
      </w:r>
      <w:r w:rsidRPr="00795303">
        <w:rPr>
          <w:szCs w:val="24"/>
        </w:rPr>
        <w:t>aboratory infections</w:t>
      </w:r>
      <w:r w:rsidR="00F65CA1">
        <w:rPr>
          <w:szCs w:val="24"/>
        </w:rPr>
        <w:t xml:space="preserve"> have been documented</w:t>
      </w:r>
      <w:r w:rsidRPr="00795303">
        <w:rPr>
          <w:szCs w:val="24"/>
        </w:rPr>
        <w:t>. There is no direct person</w:t>
      </w:r>
      <w:r w:rsidR="00463688">
        <w:rPr>
          <w:szCs w:val="24"/>
        </w:rPr>
        <w:t>-</w:t>
      </w:r>
      <w:r w:rsidRPr="00795303">
        <w:rPr>
          <w:szCs w:val="24"/>
        </w:rPr>
        <w:t>to</w:t>
      </w:r>
      <w:r w:rsidR="00463688">
        <w:rPr>
          <w:szCs w:val="24"/>
        </w:rPr>
        <w:t>-</w:t>
      </w:r>
      <w:r w:rsidRPr="00795303">
        <w:rPr>
          <w:szCs w:val="24"/>
        </w:rPr>
        <w:t xml:space="preserve">person transmission.  </w:t>
      </w:r>
    </w:p>
    <w:p w14:paraId="692B6BEA" w14:textId="77777777" w:rsidR="0086718C" w:rsidRPr="008462CA" w:rsidRDefault="0086718C" w:rsidP="0086718C">
      <w:pPr>
        <w:rPr>
          <w:szCs w:val="24"/>
        </w:rPr>
      </w:pPr>
    </w:p>
    <w:p w14:paraId="41D7D709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Diagnosis:</w:t>
      </w:r>
      <w:r>
        <w:rPr>
          <w:b/>
          <w:szCs w:val="24"/>
        </w:rPr>
        <w:t xml:space="preserve"> </w:t>
      </w:r>
    </w:p>
    <w:p w14:paraId="106144BF" w14:textId="77777777" w:rsidR="0086718C" w:rsidRPr="006E0E3D" w:rsidRDefault="004D01C1" w:rsidP="0086718C">
      <w:pPr>
        <w:rPr>
          <w:b/>
          <w:szCs w:val="24"/>
        </w:rPr>
      </w:pPr>
      <w:r>
        <w:rPr>
          <w:szCs w:val="24"/>
        </w:rPr>
        <w:t>Tularemia</w:t>
      </w:r>
      <w:r w:rsidR="0086718C" w:rsidRPr="004025D0">
        <w:rPr>
          <w:szCs w:val="24"/>
        </w:rPr>
        <w:t xml:space="preserve"> is </w:t>
      </w:r>
      <w:r w:rsidR="0086718C">
        <w:rPr>
          <w:szCs w:val="24"/>
        </w:rPr>
        <w:t>diagnosed b</w:t>
      </w:r>
      <w:r w:rsidR="006A271D">
        <w:rPr>
          <w:szCs w:val="24"/>
        </w:rPr>
        <w:t>ased on</w:t>
      </w:r>
      <w:r w:rsidR="0086718C">
        <w:rPr>
          <w:szCs w:val="24"/>
        </w:rPr>
        <w:t xml:space="preserve"> clinical symptoms and laboratory tests.  </w:t>
      </w:r>
    </w:p>
    <w:p w14:paraId="7E970A02" w14:textId="77777777" w:rsidR="00ED7AC2" w:rsidRDefault="00ED7AC2" w:rsidP="0086718C">
      <w:pPr>
        <w:rPr>
          <w:b/>
          <w:szCs w:val="24"/>
        </w:rPr>
      </w:pPr>
    </w:p>
    <w:p w14:paraId="0367D888" w14:textId="77777777" w:rsidR="0086718C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1EA78CD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B292E6E" w14:textId="77777777" w:rsidR="0086718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Educat</w:t>
      </w:r>
      <w:r w:rsidR="00463688">
        <w:rPr>
          <w:szCs w:val="24"/>
        </w:rPr>
        <w:t>e students and staff</w:t>
      </w:r>
      <w:r>
        <w:rPr>
          <w:szCs w:val="24"/>
        </w:rPr>
        <w:t xml:space="preserve"> about risks associated with </w:t>
      </w:r>
      <w:r w:rsidR="001729A1">
        <w:rPr>
          <w:szCs w:val="24"/>
        </w:rPr>
        <w:t>insect bites, ingesting contaminated food or water, and handling animal</w:t>
      </w:r>
      <w:r w:rsidR="00FE795D">
        <w:rPr>
          <w:szCs w:val="24"/>
        </w:rPr>
        <w:t>s</w:t>
      </w:r>
      <w:r w:rsidR="00F65CA1">
        <w:rPr>
          <w:szCs w:val="24"/>
        </w:rPr>
        <w:t>.</w:t>
      </w:r>
    </w:p>
    <w:p w14:paraId="55E7299F" w14:textId="77777777" w:rsidR="001729A1" w:rsidRDefault="001729A1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Encourage the use of </w:t>
      </w:r>
      <w:r w:rsidRPr="001729A1">
        <w:rPr>
          <w:szCs w:val="24"/>
        </w:rPr>
        <w:t>r</w:t>
      </w:r>
      <w:r w:rsidR="00780A06">
        <w:rPr>
          <w:szCs w:val="24"/>
        </w:rPr>
        <w:t>epellent containing DEET on</w:t>
      </w:r>
      <w:r w:rsidRPr="001729A1">
        <w:rPr>
          <w:szCs w:val="24"/>
        </w:rPr>
        <w:t xml:space="preserve"> skin or </w:t>
      </w:r>
      <w:r w:rsidR="005F5BBA">
        <w:rPr>
          <w:szCs w:val="24"/>
        </w:rPr>
        <w:t>permethrin on clothing</w:t>
      </w:r>
      <w:r w:rsidRPr="001729A1">
        <w:rPr>
          <w:szCs w:val="24"/>
        </w:rPr>
        <w:t xml:space="preserve"> to prevent insect bites</w:t>
      </w:r>
      <w:r w:rsidR="00F65CA1">
        <w:rPr>
          <w:szCs w:val="24"/>
        </w:rPr>
        <w:t>.</w:t>
      </w:r>
    </w:p>
    <w:p w14:paraId="203495AD" w14:textId="77777777" w:rsidR="00156A5F" w:rsidRDefault="0086718C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Encourage frequent </w:t>
      </w:r>
      <w:r w:rsidR="004A5929">
        <w:rPr>
          <w:szCs w:val="24"/>
        </w:rPr>
        <w:t>hand washing</w:t>
      </w:r>
      <w:r w:rsidR="00156A5F">
        <w:rPr>
          <w:szCs w:val="24"/>
        </w:rPr>
        <w:t>, especially after c</w:t>
      </w:r>
      <w:r w:rsidR="001729A1">
        <w:rPr>
          <w:szCs w:val="24"/>
        </w:rPr>
        <w:t>ontact with animals</w:t>
      </w:r>
      <w:r w:rsidR="00F65CA1">
        <w:rPr>
          <w:szCs w:val="24"/>
        </w:rPr>
        <w:t>.</w:t>
      </w:r>
    </w:p>
    <w:p w14:paraId="1C5ECA51" w14:textId="77777777" w:rsidR="001729A1" w:rsidRDefault="001729A1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Encourage cooking food thoroughly and drinking water from a safe source</w:t>
      </w:r>
      <w:r w:rsidR="00F65CA1">
        <w:rPr>
          <w:szCs w:val="24"/>
        </w:rPr>
        <w:t>.</w:t>
      </w:r>
    </w:p>
    <w:p w14:paraId="7B844F4D" w14:textId="77777777" w:rsidR="0086718C" w:rsidRDefault="00156A5F" w:rsidP="0086718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Encourage appropriate use of protective equipment (</w:t>
      </w:r>
      <w:proofErr w:type="gramStart"/>
      <w:r w:rsidR="0088149D">
        <w:rPr>
          <w:szCs w:val="24"/>
        </w:rPr>
        <w:t>i.e.</w:t>
      </w:r>
      <w:proofErr w:type="gramEnd"/>
      <w:r>
        <w:rPr>
          <w:szCs w:val="24"/>
        </w:rPr>
        <w:t xml:space="preserve"> rubber gloves) when hunting</w:t>
      </w:r>
      <w:r w:rsidR="0086718C">
        <w:rPr>
          <w:szCs w:val="24"/>
        </w:rPr>
        <w:t xml:space="preserve"> </w:t>
      </w:r>
      <w:r>
        <w:rPr>
          <w:szCs w:val="24"/>
        </w:rPr>
        <w:t xml:space="preserve">or </w:t>
      </w:r>
      <w:r w:rsidR="00463688">
        <w:rPr>
          <w:szCs w:val="24"/>
        </w:rPr>
        <w:t>in contact with</w:t>
      </w:r>
      <w:r>
        <w:rPr>
          <w:szCs w:val="24"/>
        </w:rPr>
        <w:t xml:space="preserve"> animal blood or secretions</w:t>
      </w:r>
      <w:r w:rsidR="00F65CA1">
        <w:rPr>
          <w:szCs w:val="24"/>
        </w:rPr>
        <w:t>.</w:t>
      </w:r>
    </w:p>
    <w:p w14:paraId="1DE340EC" w14:textId="77777777" w:rsidR="001729A1" w:rsidRDefault="001729A1" w:rsidP="0086718C">
      <w:pPr>
        <w:rPr>
          <w:b/>
          <w:szCs w:val="24"/>
        </w:rPr>
      </w:pPr>
    </w:p>
    <w:p w14:paraId="323E72A1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20C05C9D" w14:textId="77777777" w:rsidR="0086718C" w:rsidRPr="009F198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>If symptoms are noted, the child should see a provider for testing and treatment</w:t>
      </w:r>
      <w:r w:rsidR="00FE795D">
        <w:rPr>
          <w:szCs w:val="24"/>
        </w:rPr>
        <w:t>.</w:t>
      </w:r>
    </w:p>
    <w:p w14:paraId="0EADA983" w14:textId="77777777" w:rsidR="0086718C" w:rsidRPr="00156A5F" w:rsidRDefault="0086718C" w:rsidP="0086718C">
      <w:pPr>
        <w:pStyle w:val="ListParagraph"/>
        <w:numPr>
          <w:ilvl w:val="0"/>
          <w:numId w:val="3"/>
        </w:numPr>
        <w:rPr>
          <w:b/>
          <w:szCs w:val="24"/>
        </w:rPr>
      </w:pPr>
      <w:r w:rsidRPr="00156A5F">
        <w:rPr>
          <w:szCs w:val="24"/>
        </w:rPr>
        <w:t xml:space="preserve">Antibiotic treatment is available. </w:t>
      </w:r>
    </w:p>
    <w:p w14:paraId="374CBC17" w14:textId="77777777" w:rsidR="00156A5F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</w:r>
    </w:p>
    <w:p w14:paraId="15D88C5C" w14:textId="77777777" w:rsidR="0086718C" w:rsidRPr="006E0E3D" w:rsidRDefault="0086718C" w:rsidP="00156A5F">
      <w:pPr>
        <w:ind w:firstLine="72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2F8D5C45" w14:textId="77777777" w:rsidR="0086718C" w:rsidRPr="003E0211" w:rsidRDefault="0086718C" w:rsidP="0086718C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Children who are sick should remain at home and see a provider if the disease is suspected</w:t>
      </w:r>
      <w:r w:rsidR="00FE795D">
        <w:rPr>
          <w:szCs w:val="24"/>
        </w:rPr>
        <w:t>.</w:t>
      </w:r>
    </w:p>
    <w:p w14:paraId="5D199B68" w14:textId="77777777" w:rsidR="0086718C" w:rsidRPr="00CC376C" w:rsidRDefault="0086718C" w:rsidP="0086718C">
      <w:pPr>
        <w:pStyle w:val="ListParagraph"/>
        <w:ind w:left="1440"/>
        <w:rPr>
          <w:b/>
          <w:szCs w:val="24"/>
        </w:rPr>
      </w:pPr>
    </w:p>
    <w:p w14:paraId="3A6BC48A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535FC137" w14:textId="77777777" w:rsidR="0086718C" w:rsidRDefault="001729A1" w:rsidP="0086718C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Tularemia</w:t>
      </w:r>
      <w:r w:rsidR="0086718C" w:rsidRPr="006E0E3D">
        <w:rPr>
          <w:szCs w:val="24"/>
        </w:rPr>
        <w:t xml:space="preserve"> is </w:t>
      </w:r>
      <w:r w:rsidR="0086718C">
        <w:rPr>
          <w:szCs w:val="24"/>
        </w:rPr>
        <w:t xml:space="preserve">reportable </w:t>
      </w:r>
      <w:r w:rsidR="006457B1">
        <w:rPr>
          <w:szCs w:val="24"/>
        </w:rPr>
        <w:t xml:space="preserve">immediately by phone </w:t>
      </w:r>
      <w:r w:rsidR="00463688">
        <w:rPr>
          <w:szCs w:val="24"/>
        </w:rPr>
        <w:t xml:space="preserve">(1-800-821-5821) </w:t>
      </w:r>
      <w:r w:rsidR="006457B1">
        <w:rPr>
          <w:szCs w:val="24"/>
        </w:rPr>
        <w:t>upon</w:t>
      </w:r>
      <w:r w:rsidR="0086718C">
        <w:rPr>
          <w:szCs w:val="24"/>
        </w:rPr>
        <w:t xml:space="preserve"> recognition or strong suspicion of illness</w:t>
      </w:r>
      <w:r w:rsidR="00FE795D">
        <w:rPr>
          <w:szCs w:val="24"/>
        </w:rPr>
        <w:t>.</w:t>
      </w:r>
    </w:p>
    <w:p w14:paraId="1B844814" w14:textId="77777777" w:rsidR="0086718C" w:rsidRPr="006E0E3D" w:rsidRDefault="0086718C" w:rsidP="0086718C">
      <w:pPr>
        <w:rPr>
          <w:b/>
          <w:szCs w:val="24"/>
        </w:rPr>
      </w:pPr>
    </w:p>
    <w:p w14:paraId="3CCDECBA" w14:textId="77777777" w:rsidR="0086718C" w:rsidRPr="006E0E3D" w:rsidRDefault="0086718C" w:rsidP="0086718C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14:paraId="42FF5DA8" w14:textId="77777777" w:rsidR="009A0DC2" w:rsidRDefault="0086718C" w:rsidP="00170A6E">
      <w:pPr>
        <w:pStyle w:val="ListParagraph"/>
        <w:numPr>
          <w:ilvl w:val="0"/>
          <w:numId w:val="1"/>
        </w:numPr>
      </w:pPr>
      <w:r w:rsidRPr="00170A6E">
        <w:rPr>
          <w:szCs w:val="24"/>
        </w:rPr>
        <w:t xml:space="preserve">Federal CDC </w:t>
      </w:r>
      <w:r w:rsidR="00170A6E" w:rsidRPr="00170A6E">
        <w:rPr>
          <w:szCs w:val="24"/>
        </w:rPr>
        <w:t>Tularemia</w:t>
      </w:r>
      <w:r w:rsidRPr="00170A6E">
        <w:rPr>
          <w:i/>
          <w:szCs w:val="24"/>
        </w:rPr>
        <w:t xml:space="preserve"> </w:t>
      </w:r>
      <w:r w:rsidRPr="00170A6E">
        <w:rPr>
          <w:szCs w:val="24"/>
        </w:rPr>
        <w:t xml:space="preserve">website: </w:t>
      </w:r>
      <w:hyperlink r:id="rId8" w:history="1">
        <w:r w:rsidR="00170A6E" w:rsidRPr="00871F6B">
          <w:rPr>
            <w:rStyle w:val="Hyperlink"/>
          </w:rPr>
          <w:t>http://www.cdc.gov/Tularemia/</w:t>
        </w:r>
      </w:hyperlink>
      <w:r w:rsidR="00170A6E">
        <w:t xml:space="preserve"> </w:t>
      </w:r>
    </w:p>
    <w:p w14:paraId="59B8D7D0" w14:textId="77777777" w:rsidR="00E27CF1" w:rsidRDefault="00E27CF1" w:rsidP="00170A6E">
      <w:pPr>
        <w:pStyle w:val="ListParagraph"/>
        <w:numPr>
          <w:ilvl w:val="0"/>
          <w:numId w:val="1"/>
        </w:numPr>
      </w:pPr>
      <w:r>
        <w:t xml:space="preserve">EPA </w:t>
      </w:r>
      <w:r w:rsidR="00EF0860">
        <w:t xml:space="preserve">insect repellent website: </w:t>
      </w:r>
      <w:hyperlink r:id="rId9" w:history="1">
        <w:r w:rsidR="00EF0860">
          <w:rPr>
            <w:rStyle w:val="Hyperlink"/>
          </w:rPr>
          <w:t>https://www.epa.gov/insect-repellents</w:t>
        </w:r>
      </w:hyperlink>
    </w:p>
    <w:p w14:paraId="233C21FA" w14:textId="77777777" w:rsidR="00EF0860" w:rsidRDefault="00EF0860" w:rsidP="00EF0860">
      <w:pPr>
        <w:pStyle w:val="ListParagraph"/>
      </w:pPr>
    </w:p>
    <w:sectPr w:rsidR="00EF0860" w:rsidSect="004D01C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A58B" w14:textId="77777777" w:rsidR="00330304" w:rsidRDefault="00330304">
      <w:r>
        <w:separator/>
      </w:r>
    </w:p>
  </w:endnote>
  <w:endnote w:type="continuationSeparator" w:id="0">
    <w:p w14:paraId="0E9FE709" w14:textId="77777777" w:rsidR="00330304" w:rsidRDefault="0033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11A" w14:textId="77777777" w:rsidR="00170A6E" w:rsidRDefault="005F5BBA">
    <w:pPr>
      <w:pStyle w:val="Footer"/>
    </w:pPr>
    <w:r>
      <w:t xml:space="preserve">Updated </w:t>
    </w:r>
    <w:r w:rsidR="005D49F2">
      <w:t>08/22/2022</w:t>
    </w:r>
  </w:p>
  <w:p w14:paraId="7EA3F319" w14:textId="77777777" w:rsidR="00170A6E" w:rsidRDefault="0017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B873" w14:textId="77777777" w:rsidR="00330304" w:rsidRDefault="00330304">
      <w:r>
        <w:separator/>
      </w:r>
    </w:p>
  </w:footnote>
  <w:footnote w:type="continuationSeparator" w:id="0">
    <w:p w14:paraId="0905DE8A" w14:textId="77777777" w:rsidR="00330304" w:rsidRDefault="0033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402"/>
    <w:multiLevelType w:val="multilevel"/>
    <w:tmpl w:val="1BA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DE0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4882383">
    <w:abstractNumId w:val="3"/>
  </w:num>
  <w:num w:numId="2" w16cid:durableId="48656647">
    <w:abstractNumId w:val="4"/>
  </w:num>
  <w:num w:numId="3" w16cid:durableId="1551840771">
    <w:abstractNumId w:val="2"/>
  </w:num>
  <w:num w:numId="4" w16cid:durableId="1650359132">
    <w:abstractNumId w:val="1"/>
  </w:num>
  <w:num w:numId="5" w16cid:durableId="132677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8C"/>
    <w:rsid w:val="000C34AB"/>
    <w:rsid w:val="0014090D"/>
    <w:rsid w:val="00156A5F"/>
    <w:rsid w:val="00170A6E"/>
    <w:rsid w:val="001729A1"/>
    <w:rsid w:val="001A025D"/>
    <w:rsid w:val="002144E1"/>
    <w:rsid w:val="00241733"/>
    <w:rsid w:val="002739EF"/>
    <w:rsid w:val="002866E0"/>
    <w:rsid w:val="00330304"/>
    <w:rsid w:val="003B135C"/>
    <w:rsid w:val="00463688"/>
    <w:rsid w:val="004A5929"/>
    <w:rsid w:val="004D01C1"/>
    <w:rsid w:val="005837DB"/>
    <w:rsid w:val="005D49F2"/>
    <w:rsid w:val="005F5BBA"/>
    <w:rsid w:val="00627247"/>
    <w:rsid w:val="006457B1"/>
    <w:rsid w:val="006A271D"/>
    <w:rsid w:val="006E7BE3"/>
    <w:rsid w:val="006F3D15"/>
    <w:rsid w:val="00705AF8"/>
    <w:rsid w:val="007463C7"/>
    <w:rsid w:val="00780A06"/>
    <w:rsid w:val="00785BB8"/>
    <w:rsid w:val="00795303"/>
    <w:rsid w:val="007D7F65"/>
    <w:rsid w:val="008403A3"/>
    <w:rsid w:val="008462CA"/>
    <w:rsid w:val="0086718C"/>
    <w:rsid w:val="0088149D"/>
    <w:rsid w:val="0097602B"/>
    <w:rsid w:val="0098331D"/>
    <w:rsid w:val="009A0DC2"/>
    <w:rsid w:val="009C39C0"/>
    <w:rsid w:val="00A418E9"/>
    <w:rsid w:val="00A9340F"/>
    <w:rsid w:val="00A97D67"/>
    <w:rsid w:val="00AC3B16"/>
    <w:rsid w:val="00BB3A95"/>
    <w:rsid w:val="00BD5D78"/>
    <w:rsid w:val="00BE3878"/>
    <w:rsid w:val="00C26BE3"/>
    <w:rsid w:val="00D707A9"/>
    <w:rsid w:val="00E27CF1"/>
    <w:rsid w:val="00EA399C"/>
    <w:rsid w:val="00EA477C"/>
    <w:rsid w:val="00ED7AC2"/>
    <w:rsid w:val="00EF0860"/>
    <w:rsid w:val="00F4328B"/>
    <w:rsid w:val="00F65CA1"/>
    <w:rsid w:val="00FD1E44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4F6DA3"/>
  <w15:chartTrackingRefBased/>
  <w15:docId w15:val="{7818F788-AC9F-44D1-BAA0-CEB6EF1F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8C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8C"/>
    <w:pPr>
      <w:ind w:left="720"/>
      <w:contextualSpacing/>
    </w:pPr>
  </w:style>
  <w:style w:type="character" w:styleId="Hyperlink">
    <w:name w:val="Hyperlink"/>
    <w:uiPriority w:val="99"/>
    <w:unhideWhenUsed/>
    <w:rsid w:val="008671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71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718C"/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6457B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D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5D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5D7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14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Tularem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insect-repell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2272</CharactersWithSpaces>
  <SharedDoc>false</SharedDoc>
  <HLinks>
    <vt:vector size="12" baseType="variant"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https://www.epa.gov/insect-repellents</vt:lpwstr>
      </vt:variant>
      <vt:variant>
        <vt:lpwstr/>
      </vt:variant>
      <vt:variant>
        <vt:i4>6029378</vt:i4>
      </vt:variant>
      <vt:variant>
        <vt:i4>0</vt:i4>
      </vt:variant>
      <vt:variant>
        <vt:i4>0</vt:i4>
      </vt:variant>
      <vt:variant>
        <vt:i4>5</vt:i4>
      </vt:variant>
      <vt:variant>
        <vt:lpwstr>http://www.cdc.gov/Tularemia/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Colby, Kate</dc:creator>
  <cp:keywords/>
  <cp:lastModifiedBy>Porter, Megan</cp:lastModifiedBy>
  <cp:revision>3</cp:revision>
  <dcterms:created xsi:type="dcterms:W3CDTF">2023-11-20T15:09:00Z</dcterms:created>
  <dcterms:modified xsi:type="dcterms:W3CDTF">2023-11-20T15:09:00Z</dcterms:modified>
</cp:coreProperties>
</file>