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B8" w:rsidRDefault="007A01B8" w:rsidP="00220702">
      <w:pPr>
        <w:pStyle w:val="Header"/>
        <w:tabs>
          <w:tab w:val="clear" w:pos="4680"/>
          <w:tab w:val="clear" w:pos="9360"/>
          <w:tab w:val="left" w:pos="5520"/>
        </w:tabs>
        <w:jc w:val="center"/>
        <w:rPr>
          <w:b/>
          <w:sz w:val="40"/>
          <w:szCs w:val="40"/>
        </w:rPr>
      </w:pPr>
      <w:bookmarkStart w:id="0" w:name="_GoBack"/>
      <w:bookmarkEnd w:id="0"/>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p>
    <w:p w:rsidR="007A01B8" w:rsidRDefault="007A01B8" w:rsidP="00220702">
      <w:pPr>
        <w:pStyle w:val="Header"/>
        <w:tabs>
          <w:tab w:val="clear" w:pos="4680"/>
          <w:tab w:val="clear" w:pos="9360"/>
          <w:tab w:val="left" w:pos="5520"/>
        </w:tabs>
        <w:jc w:val="center"/>
        <w:rPr>
          <w:b/>
          <w:sz w:val="40"/>
          <w:szCs w:val="40"/>
        </w:rPr>
      </w:pPr>
      <w:r w:rsidRPr="00220702">
        <w:rPr>
          <w:b/>
          <w:sz w:val="40"/>
          <w:szCs w:val="40"/>
        </w:rPr>
        <w:t xml:space="preserve">Initial Health Assessment and Management for </w:t>
      </w:r>
    </w:p>
    <w:p w:rsidR="007A01B8" w:rsidRDefault="007A01B8" w:rsidP="00220702">
      <w:pPr>
        <w:pStyle w:val="Header"/>
        <w:tabs>
          <w:tab w:val="clear" w:pos="4680"/>
          <w:tab w:val="clear" w:pos="9360"/>
          <w:tab w:val="left" w:pos="5520"/>
        </w:tabs>
        <w:jc w:val="center"/>
        <w:rPr>
          <w:b/>
          <w:sz w:val="40"/>
          <w:szCs w:val="40"/>
        </w:rPr>
      </w:pPr>
      <w:r w:rsidRPr="00220702">
        <w:rPr>
          <w:b/>
          <w:sz w:val="40"/>
          <w:szCs w:val="40"/>
        </w:rPr>
        <w:t xml:space="preserve">Special Foreign-Born Populations in </w:t>
      </w:r>
      <w:smartTag w:uri="urn:schemas-microsoft-com:office:smarttags" w:element="State">
        <w:smartTag w:uri="urn:schemas-microsoft-com:office:smarttags" w:element="place">
          <w:r w:rsidRPr="00220702">
            <w:rPr>
              <w:b/>
              <w:sz w:val="40"/>
              <w:szCs w:val="40"/>
            </w:rPr>
            <w:t>Maine</w:t>
          </w:r>
        </w:smartTag>
      </w:smartTag>
    </w:p>
    <w:p w:rsidR="007A01B8" w:rsidRDefault="007A01B8" w:rsidP="00220702">
      <w:pPr>
        <w:pStyle w:val="Header"/>
        <w:tabs>
          <w:tab w:val="clear" w:pos="4680"/>
          <w:tab w:val="clear" w:pos="9360"/>
          <w:tab w:val="left" w:pos="5520"/>
        </w:tabs>
        <w:jc w:val="center"/>
        <w:rPr>
          <w:b/>
          <w:sz w:val="40"/>
          <w:szCs w:val="40"/>
        </w:rPr>
      </w:pPr>
    </w:p>
    <w:p w:rsidR="007A01B8" w:rsidRPr="00220702" w:rsidRDefault="007A01B8" w:rsidP="00220702">
      <w:pPr>
        <w:pStyle w:val="Header"/>
        <w:tabs>
          <w:tab w:val="clear" w:pos="4680"/>
          <w:tab w:val="clear" w:pos="9360"/>
          <w:tab w:val="left" w:pos="5520"/>
        </w:tabs>
        <w:jc w:val="center"/>
        <w:rPr>
          <w:b/>
          <w:i/>
          <w:sz w:val="40"/>
          <w:szCs w:val="40"/>
        </w:rPr>
      </w:pPr>
      <w:r>
        <w:rPr>
          <w:b/>
          <w:sz w:val="40"/>
          <w:szCs w:val="40"/>
        </w:rPr>
        <w:t>October 2012</w:t>
      </w:r>
    </w:p>
    <w:p w:rsidR="007A01B8" w:rsidRDefault="007A01B8" w:rsidP="00EE2D40">
      <w:pPr>
        <w:spacing w:after="0"/>
      </w:pPr>
    </w:p>
    <w:p w:rsidR="007A01B8" w:rsidRDefault="007A01B8" w:rsidP="00EE2D40">
      <w:pPr>
        <w:spacing w:after="0"/>
      </w:pPr>
    </w:p>
    <w:p w:rsidR="007A01B8" w:rsidRDefault="007A01B8" w:rsidP="00EE2D40">
      <w:pPr>
        <w:spacing w:after="0"/>
      </w:pPr>
    </w:p>
    <w:p w:rsidR="007A01B8" w:rsidRDefault="007A01B8" w:rsidP="00EE2D40">
      <w:pPr>
        <w:spacing w:after="0"/>
      </w:pPr>
    </w:p>
    <w:p w:rsidR="007A01B8" w:rsidRDefault="007A01B8" w:rsidP="00EE2D40">
      <w:pPr>
        <w:spacing w:after="0"/>
      </w:pPr>
    </w:p>
    <w:p w:rsidR="007A01B8" w:rsidRDefault="007A01B8" w:rsidP="00EE2D40">
      <w:pPr>
        <w:spacing w:after="0"/>
      </w:pPr>
    </w:p>
    <w:p w:rsidR="007A01B8" w:rsidRDefault="007A01B8" w:rsidP="00EE2D40">
      <w:pPr>
        <w:spacing w:after="0"/>
      </w:pPr>
    </w:p>
    <w:p w:rsidR="00C93556" w:rsidRDefault="00F71441" w:rsidP="00220702">
      <w:pPr>
        <w:spacing w:after="0"/>
        <w:jc w:val="center"/>
      </w:pPr>
      <w:r>
        <w:rPr>
          <w:noProof/>
        </w:rPr>
        <w:drawing>
          <wp:inline distT="0" distB="0" distL="0" distR="0">
            <wp:extent cx="34385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343025"/>
                    </a:xfrm>
                    <a:prstGeom prst="rect">
                      <a:avLst/>
                    </a:prstGeom>
                    <a:noFill/>
                    <a:ln>
                      <a:noFill/>
                    </a:ln>
                  </pic:spPr>
                </pic:pic>
              </a:graphicData>
            </a:graphic>
          </wp:inline>
        </w:drawing>
      </w:r>
    </w:p>
    <w:p w:rsidR="00C93556" w:rsidRDefault="00C93556" w:rsidP="00220702">
      <w:pPr>
        <w:spacing w:after="0"/>
        <w:jc w:val="center"/>
      </w:pPr>
    </w:p>
    <w:p w:rsidR="00C93556" w:rsidRDefault="00C93556" w:rsidP="00220702">
      <w:pPr>
        <w:spacing w:after="0"/>
        <w:jc w:val="center"/>
      </w:pPr>
    </w:p>
    <w:p w:rsidR="00C93556" w:rsidRDefault="00C93556" w:rsidP="00220702">
      <w:pPr>
        <w:spacing w:after="0"/>
        <w:jc w:val="center"/>
      </w:pPr>
    </w:p>
    <w:p w:rsidR="00C93556" w:rsidRDefault="00C93556" w:rsidP="00220702">
      <w:pPr>
        <w:spacing w:after="0"/>
        <w:jc w:val="center"/>
      </w:pPr>
    </w:p>
    <w:p w:rsidR="00C93556" w:rsidRDefault="00C93556" w:rsidP="00220702">
      <w:pPr>
        <w:spacing w:after="0"/>
        <w:jc w:val="center"/>
      </w:pPr>
    </w:p>
    <w:p w:rsidR="00C93556" w:rsidRDefault="00C93556" w:rsidP="00220702">
      <w:pPr>
        <w:spacing w:after="0"/>
        <w:jc w:val="center"/>
      </w:pPr>
    </w:p>
    <w:p w:rsidR="007A01B8" w:rsidRDefault="00C93556" w:rsidP="00C93556">
      <w:pPr>
        <w:spacing w:after="0"/>
      </w:pPr>
      <w:r>
        <w:t xml:space="preserve">This report is available online at </w:t>
      </w:r>
      <w:hyperlink r:id="rId10" w:history="1">
        <w:r w:rsidRPr="00A54164">
          <w:rPr>
            <w:rStyle w:val="Hyperlink"/>
          </w:rPr>
          <w:t>http://go.usa.gov/YdkQ</w:t>
        </w:r>
      </w:hyperlink>
      <w:r>
        <w:t xml:space="preserve"> </w:t>
      </w:r>
      <w:r w:rsidR="007A01B8">
        <w:br w:type="page"/>
      </w:r>
      <w:r w:rsidR="007A01B8">
        <w:lastRenderedPageBreak/>
        <w:t>This document contains recommendations for a standardized approach to the initial health assessment and health management of all recently arrived foreign-born people in the following categories:</w:t>
      </w:r>
    </w:p>
    <w:p w:rsidR="007A01B8" w:rsidRDefault="007A01B8" w:rsidP="00EE2D40">
      <w:pPr>
        <w:pStyle w:val="ListParagraph"/>
        <w:numPr>
          <w:ilvl w:val="0"/>
          <w:numId w:val="6"/>
        </w:numPr>
        <w:spacing w:after="0"/>
      </w:pPr>
      <w:r>
        <w:t xml:space="preserve">Refugees (primarily resettled in </w:t>
      </w:r>
      <w:smartTag w:uri="urn:schemas-microsoft-com:office:smarttags" w:element="State">
        <w:smartTag w:uri="urn:schemas-microsoft-com:office:smarttags" w:element="place">
          <w:r>
            <w:t>Maine</w:t>
          </w:r>
        </w:smartTag>
      </w:smartTag>
      <w:r>
        <w:t xml:space="preserve"> by a Maine-based refugee resettlement program)</w:t>
      </w:r>
    </w:p>
    <w:p w:rsidR="007A01B8" w:rsidRDefault="007A01B8" w:rsidP="00EE2D40">
      <w:pPr>
        <w:pStyle w:val="ListParagraph"/>
        <w:numPr>
          <w:ilvl w:val="0"/>
          <w:numId w:val="6"/>
        </w:numPr>
        <w:spacing w:after="0"/>
      </w:pPr>
      <w:r>
        <w:t xml:space="preserve">Secondary migrants (refugees who have moved to </w:t>
      </w:r>
      <w:smartTag w:uri="urn:schemas-microsoft-com:office:smarttags" w:element="State">
        <w:smartTag w:uri="urn:schemas-microsoft-com:office:smarttags" w:element="place">
          <w:r>
            <w:t>Maine</w:t>
          </w:r>
        </w:smartTag>
      </w:smartTag>
      <w:r>
        <w:t xml:space="preserve"> from another state)</w:t>
      </w:r>
    </w:p>
    <w:p w:rsidR="007A01B8" w:rsidRDefault="007A01B8" w:rsidP="00EE2D40">
      <w:pPr>
        <w:pStyle w:val="ListParagraph"/>
        <w:numPr>
          <w:ilvl w:val="0"/>
          <w:numId w:val="6"/>
        </w:numPr>
        <w:spacing w:after="0"/>
      </w:pPr>
      <w:r>
        <w:t>People seeking asylum and asylees</w:t>
      </w:r>
    </w:p>
    <w:p w:rsidR="007A01B8" w:rsidRDefault="00F71441" w:rsidP="006F36C1">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6249670" cy="4974590"/>
                <wp:effectExtent l="9525" t="9525" r="82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4974590"/>
                        </a:xfrm>
                        <a:prstGeom prst="rect">
                          <a:avLst/>
                        </a:prstGeom>
                        <a:solidFill>
                          <a:srgbClr val="FFFFFF"/>
                        </a:solidFill>
                        <a:ln w="9525">
                          <a:solidFill>
                            <a:srgbClr val="000000"/>
                          </a:solidFill>
                          <a:miter lim="800000"/>
                          <a:headEnd/>
                          <a:tailEnd/>
                        </a:ln>
                      </wps:spPr>
                      <wps:txbx>
                        <w:txbxContent>
                          <w:p w:rsidR="007A01B8" w:rsidRPr="000E527C" w:rsidRDefault="007A01B8" w:rsidP="00492F5F">
                            <w:pPr>
                              <w:pStyle w:val="Heading3"/>
                              <w:rPr>
                                <w:sz w:val="24"/>
                                <w:szCs w:val="24"/>
                              </w:rPr>
                            </w:pPr>
                            <w:r w:rsidRPr="000E527C">
                              <w:rPr>
                                <w:sz w:val="24"/>
                                <w:szCs w:val="24"/>
                              </w:rPr>
                              <w:t>Table 1 – Recommendations</w:t>
                            </w:r>
                          </w:p>
                          <w:p w:rsidR="007A01B8" w:rsidRDefault="007A01B8" w:rsidP="007D4604">
                            <w:pPr>
                              <w:pStyle w:val="NoSpacing"/>
                              <w:numPr>
                                <w:ilvl w:val="0"/>
                                <w:numId w:val="12"/>
                              </w:numPr>
                            </w:pPr>
                            <w:r>
                              <w:t xml:space="preserve"> Complete History and Physical Exam</w:t>
                            </w:r>
                          </w:p>
                          <w:p w:rsidR="007A01B8" w:rsidRDefault="007A01B8" w:rsidP="00D0659E">
                            <w:pPr>
                              <w:pStyle w:val="NoSpacing"/>
                              <w:numPr>
                                <w:ilvl w:val="0"/>
                                <w:numId w:val="12"/>
                              </w:numPr>
                            </w:pPr>
                            <w:r>
                              <w:t>Tests and Procedures</w:t>
                            </w:r>
                          </w:p>
                          <w:p w:rsidR="007A01B8" w:rsidRDefault="007A01B8" w:rsidP="006166FE">
                            <w:pPr>
                              <w:pStyle w:val="NoSpacing"/>
                              <w:numPr>
                                <w:ilvl w:val="0"/>
                                <w:numId w:val="22"/>
                              </w:numPr>
                            </w:pPr>
                            <w:r w:rsidRPr="00192E18">
                              <w:t>Tuberculin Skin Test (TST) or Interferon Gamma Release Assay (IGRA)</w:t>
                            </w:r>
                          </w:p>
                          <w:p w:rsidR="007A01B8" w:rsidRDefault="007A01B8" w:rsidP="006166FE">
                            <w:pPr>
                              <w:pStyle w:val="NoSpacing"/>
                              <w:numPr>
                                <w:ilvl w:val="0"/>
                                <w:numId w:val="22"/>
                              </w:numPr>
                            </w:pPr>
                            <w:r>
                              <w:t>Complete Blood Count (CBC) with Differential</w:t>
                            </w:r>
                          </w:p>
                          <w:p w:rsidR="007A01B8" w:rsidRDefault="007A01B8" w:rsidP="006166FE">
                            <w:pPr>
                              <w:pStyle w:val="NoSpacing"/>
                              <w:numPr>
                                <w:ilvl w:val="0"/>
                                <w:numId w:val="22"/>
                              </w:numPr>
                            </w:pPr>
                            <w:r>
                              <w:t>Sickle Prep (Black African)</w:t>
                            </w:r>
                          </w:p>
                          <w:p w:rsidR="007A01B8" w:rsidRDefault="007A01B8" w:rsidP="006166FE">
                            <w:pPr>
                              <w:pStyle w:val="NoSpacing"/>
                              <w:numPr>
                                <w:ilvl w:val="0"/>
                                <w:numId w:val="22"/>
                              </w:numPr>
                            </w:pPr>
                            <w:r>
                              <w:t>Lead Screening (</w:t>
                            </w:r>
                            <w:r w:rsidRPr="00192E18">
                              <w:t>Lead Level</w:t>
                            </w:r>
                            <w:r>
                              <w:t xml:space="preserve">) (age 6 months-16 years, per </w:t>
                            </w:r>
                            <w:hyperlink r:id="rId11" w:history="1">
                              <w:r w:rsidRPr="00AA794E">
                                <w:rPr>
                                  <w:rStyle w:val="Hyperlink"/>
                                </w:rPr>
                                <w:t xml:space="preserve">Maine </w:t>
                              </w:r>
                              <w:r>
                                <w:rPr>
                                  <w:rStyle w:val="Hyperlink"/>
                                </w:rPr>
                                <w:t>Healthy Homes</w:t>
                              </w:r>
                              <w:r w:rsidRPr="00AA794E">
                                <w:rPr>
                                  <w:rStyle w:val="Hyperlink"/>
                                </w:rPr>
                                <w:t xml:space="preserve"> Program</w:t>
                              </w:r>
                            </w:hyperlink>
                            <w:r>
                              <w:t>)</w:t>
                            </w:r>
                          </w:p>
                          <w:p w:rsidR="007A01B8" w:rsidRDefault="007A01B8" w:rsidP="006166FE">
                            <w:pPr>
                              <w:pStyle w:val="NoSpacing"/>
                              <w:numPr>
                                <w:ilvl w:val="0"/>
                                <w:numId w:val="22"/>
                              </w:numPr>
                            </w:pPr>
                            <w:r w:rsidRPr="00192E18">
                              <w:t>Hepatitis B Surface Antigen (HB</w:t>
                            </w:r>
                            <w:r>
                              <w:t>S</w:t>
                            </w:r>
                            <w:r w:rsidRPr="00192E18">
                              <w:t>Ag)</w:t>
                            </w:r>
                            <w:r>
                              <w:t xml:space="preserve"> and </w:t>
                            </w:r>
                            <w:r w:rsidRPr="00192E18">
                              <w:t>Hepatitis B Surface Antibody (HBSAb)</w:t>
                            </w:r>
                          </w:p>
                          <w:p w:rsidR="007A01B8" w:rsidRDefault="007A01B8" w:rsidP="006166FE">
                            <w:pPr>
                              <w:pStyle w:val="NoSpacing"/>
                              <w:numPr>
                                <w:ilvl w:val="0"/>
                                <w:numId w:val="22"/>
                              </w:numPr>
                            </w:pPr>
                            <w:r w:rsidRPr="00192E18">
                              <w:t>Rapid Plasma Reagin (RPR)</w:t>
                            </w:r>
                            <w:r>
                              <w:t xml:space="preserve"> </w:t>
                            </w:r>
                          </w:p>
                          <w:p w:rsidR="007A01B8" w:rsidRDefault="007A01B8" w:rsidP="006166FE">
                            <w:pPr>
                              <w:pStyle w:val="NoSpacing"/>
                              <w:numPr>
                                <w:ilvl w:val="0"/>
                                <w:numId w:val="22"/>
                              </w:numPr>
                            </w:pPr>
                            <w:r w:rsidRPr="00192E18">
                              <w:t>HIV 1 and 2 Antibody</w:t>
                            </w:r>
                          </w:p>
                          <w:p w:rsidR="007A01B8" w:rsidRDefault="007A01B8" w:rsidP="006166FE">
                            <w:pPr>
                              <w:pStyle w:val="NoSpacing"/>
                              <w:numPr>
                                <w:ilvl w:val="0"/>
                                <w:numId w:val="22"/>
                              </w:numPr>
                            </w:pPr>
                            <w:r>
                              <w:t>Varicella Titer</w:t>
                            </w:r>
                          </w:p>
                          <w:p w:rsidR="007A01B8" w:rsidRPr="0020338B" w:rsidRDefault="007A01B8" w:rsidP="0020338B">
                            <w:pPr>
                              <w:pStyle w:val="NoSpacing"/>
                              <w:numPr>
                                <w:ilvl w:val="0"/>
                                <w:numId w:val="22"/>
                              </w:numPr>
                            </w:pPr>
                            <w:r w:rsidRPr="0020338B">
                              <w:t>O &amp; P</w:t>
                            </w:r>
                            <w:r>
                              <w:t xml:space="preserve"> to be considered in symptomatic patients, check treatment history</w:t>
                            </w:r>
                          </w:p>
                          <w:p w:rsidR="007A01B8" w:rsidRDefault="007A01B8" w:rsidP="006166FE">
                            <w:pPr>
                              <w:pStyle w:val="NoSpacing"/>
                              <w:numPr>
                                <w:ilvl w:val="0"/>
                                <w:numId w:val="22"/>
                              </w:numPr>
                            </w:pPr>
                            <w:r w:rsidRPr="00192E18">
                              <w:t xml:space="preserve">Pap </w:t>
                            </w:r>
                            <w:r>
                              <w:t>S</w:t>
                            </w:r>
                            <w:r w:rsidRPr="00192E18">
                              <w:t>mear</w:t>
                            </w:r>
                            <w:r>
                              <w:t xml:space="preserve"> (age per </w:t>
                            </w:r>
                            <w:hyperlink r:id="rId12" w:history="1">
                              <w:r>
                                <w:rPr>
                                  <w:rStyle w:val="Hyperlink"/>
                                  <w:rFonts w:cs="Arial"/>
                                </w:rPr>
                                <w:t>USPTF recommendations</w:t>
                              </w:r>
                            </w:hyperlink>
                            <w:r>
                              <w:rPr>
                                <w:rFonts w:ascii="Arial" w:hAnsi="Arial" w:cs="Arial"/>
                                <w:color w:val="1F497D"/>
                                <w:sz w:val="16"/>
                                <w:szCs w:val="16"/>
                              </w:rPr>
                              <w:t>)</w:t>
                            </w:r>
                          </w:p>
                          <w:p w:rsidR="007A01B8" w:rsidRDefault="007A01B8" w:rsidP="006166FE">
                            <w:pPr>
                              <w:pStyle w:val="NoSpacing"/>
                              <w:numPr>
                                <w:ilvl w:val="0"/>
                                <w:numId w:val="22"/>
                              </w:numPr>
                            </w:pPr>
                            <w:r w:rsidRPr="00497DB0">
                              <w:t>Chlamydia trachomatis and Neisseria gonorrhea</w:t>
                            </w:r>
                            <w:r w:rsidRPr="00192E18">
                              <w:t xml:space="preserve"> screening </w:t>
                            </w:r>
                            <w:r>
                              <w:t>(NAAT) (age-appropriate)</w:t>
                            </w:r>
                          </w:p>
                          <w:p w:rsidR="007A01B8" w:rsidRDefault="007A01B8" w:rsidP="006166FE">
                            <w:pPr>
                              <w:pStyle w:val="NoSpacing"/>
                              <w:numPr>
                                <w:ilvl w:val="0"/>
                                <w:numId w:val="22"/>
                              </w:numPr>
                            </w:pPr>
                            <w:r>
                              <w:t>Newborns</w:t>
                            </w:r>
                            <w:r w:rsidRPr="00192E18">
                              <w:t>: per</w:t>
                            </w:r>
                            <w:r>
                              <w:t xml:space="preserve"> </w:t>
                            </w:r>
                            <w:hyperlink r:id="rId13" w:history="1">
                              <w:r>
                                <w:rPr>
                                  <w:rStyle w:val="Hyperlink"/>
                                </w:rPr>
                                <w:t>Maine Newborn Screening Recommendations</w:t>
                              </w:r>
                            </w:hyperlink>
                            <w:r>
                              <w:t xml:space="preserve"> (&lt;= 30 days)</w:t>
                            </w:r>
                          </w:p>
                          <w:p w:rsidR="007A01B8" w:rsidRDefault="007A01B8" w:rsidP="006166FE">
                            <w:pPr>
                              <w:pStyle w:val="NoSpacing"/>
                              <w:numPr>
                                <w:ilvl w:val="0"/>
                                <w:numId w:val="22"/>
                              </w:numPr>
                            </w:pPr>
                            <w:r>
                              <w:t xml:space="preserve">Mental Health Screening </w:t>
                            </w:r>
                          </w:p>
                          <w:p w:rsidR="007A01B8" w:rsidRDefault="007A01B8" w:rsidP="00973199">
                            <w:pPr>
                              <w:pStyle w:val="NoSpacing"/>
                              <w:numPr>
                                <w:ilvl w:val="0"/>
                                <w:numId w:val="16"/>
                              </w:numPr>
                            </w:pPr>
                            <w:r>
                              <w:t>Management</w:t>
                            </w:r>
                          </w:p>
                          <w:p w:rsidR="007A01B8" w:rsidRDefault="007A01B8" w:rsidP="006166FE">
                            <w:pPr>
                              <w:pStyle w:val="NoSpacing"/>
                              <w:numPr>
                                <w:ilvl w:val="0"/>
                                <w:numId w:val="24"/>
                              </w:numPr>
                            </w:pPr>
                            <w:r>
                              <w:t>Establish and prioritize problem list</w:t>
                            </w:r>
                          </w:p>
                          <w:p w:rsidR="007A01B8" w:rsidRDefault="007A01B8" w:rsidP="006166FE">
                            <w:pPr>
                              <w:pStyle w:val="NoSpacing"/>
                              <w:numPr>
                                <w:ilvl w:val="0"/>
                                <w:numId w:val="24"/>
                              </w:numPr>
                            </w:pPr>
                            <w:r>
                              <w:t xml:space="preserve">Update and order completion of all immunization series per </w:t>
                            </w:r>
                            <w:hyperlink r:id="rId14" w:history="1">
                              <w:r>
                                <w:rPr>
                                  <w:rStyle w:val="Hyperlink"/>
                                </w:rPr>
                                <w:t>CDC ACIP Guidelines</w:t>
                              </w:r>
                            </w:hyperlink>
                            <w:r>
                              <w:t xml:space="preserve"> (remind patients that influenza vaccine is recommended yearly during the fall and early winter months and is available at school clinics and public clinics if they don’t have an appointment scheduled during flu season) </w:t>
                            </w:r>
                          </w:p>
                          <w:p w:rsidR="007A01B8" w:rsidRDefault="007A01B8" w:rsidP="006166FE">
                            <w:pPr>
                              <w:pStyle w:val="NoSpacing"/>
                              <w:numPr>
                                <w:ilvl w:val="0"/>
                                <w:numId w:val="24"/>
                              </w:numPr>
                            </w:pPr>
                            <w:r>
                              <w:t>Identify age and sex-specific health maintenance delays (e.g. mammography)</w:t>
                            </w:r>
                          </w:p>
                          <w:p w:rsidR="007A01B8" w:rsidRDefault="007A01B8" w:rsidP="006166FE">
                            <w:pPr>
                              <w:pStyle w:val="NoSpacing"/>
                              <w:numPr>
                                <w:ilvl w:val="0"/>
                                <w:numId w:val="24"/>
                              </w:numPr>
                            </w:pPr>
                            <w:r>
                              <w:t>Identify condition-specific evaluation and management delays (e.g. for Diabetes)</w:t>
                            </w:r>
                          </w:p>
                          <w:p w:rsidR="007A01B8" w:rsidRDefault="007A01B8" w:rsidP="006166FE">
                            <w:pPr>
                              <w:pStyle w:val="NoSpacing"/>
                              <w:numPr>
                                <w:ilvl w:val="0"/>
                                <w:numId w:val="24"/>
                              </w:numPr>
                            </w:pPr>
                            <w:r>
                              <w:t>Establish Patient-Centered Medical Home (Primary Care) follow-up plan</w:t>
                            </w:r>
                          </w:p>
                          <w:p w:rsidR="007A01B8" w:rsidRDefault="007A01B8" w:rsidP="006166FE">
                            <w:pPr>
                              <w:pStyle w:val="NoSpacing"/>
                              <w:numPr>
                                <w:ilvl w:val="0"/>
                                <w:numId w:val="24"/>
                              </w:numPr>
                            </w:pPr>
                            <w:r>
                              <w:t>Make referrals for medical, surgical, rehab, and / or mental health problems</w:t>
                            </w:r>
                          </w:p>
                          <w:p w:rsidR="007A01B8" w:rsidRDefault="007A01B8" w:rsidP="006166FE">
                            <w:pPr>
                              <w:pStyle w:val="NoSpacing"/>
                              <w:numPr>
                                <w:ilvl w:val="0"/>
                                <w:numId w:val="24"/>
                              </w:numPr>
                            </w:pPr>
                            <w:r>
                              <w:t>Other referrals: dental, optometry, nutrition education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92.1pt;height:39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">
                <v:textbox style="mso-fit-shape-to-text:t">
                  <w:txbxContent>
                    <w:p w:rsidR="007A01B8" w:rsidRPr="000E527C" w:rsidRDefault="007A01B8" w:rsidP="00492F5F">
                      <w:pPr>
                        <w:pStyle w:val="Heading3"/>
                        <w:rPr>
                          <w:sz w:val="24"/>
                          <w:szCs w:val="24"/>
                        </w:rPr>
                      </w:pPr>
                      <w:r w:rsidRPr="000E527C">
                        <w:rPr>
                          <w:sz w:val="24"/>
                          <w:szCs w:val="24"/>
                        </w:rPr>
                        <w:t>Table 1 – Recommendations</w:t>
                      </w:r>
                    </w:p>
                    <w:p w:rsidR="007A01B8" w:rsidRDefault="007A01B8" w:rsidP="007D4604">
                      <w:pPr>
                        <w:pStyle w:val="NoSpacing"/>
                        <w:numPr>
                          <w:ilvl w:val="0"/>
                          <w:numId w:val="12"/>
                        </w:numPr>
                      </w:pPr>
                      <w:r>
                        <w:t xml:space="preserve"> Complete History and Physical Exam</w:t>
                      </w:r>
                    </w:p>
                    <w:p w:rsidR="007A01B8" w:rsidRDefault="007A01B8" w:rsidP="00D0659E">
                      <w:pPr>
                        <w:pStyle w:val="NoSpacing"/>
                        <w:numPr>
                          <w:ilvl w:val="0"/>
                          <w:numId w:val="12"/>
                        </w:numPr>
                      </w:pPr>
                      <w:r>
                        <w:t>Tests and Procedures</w:t>
                      </w:r>
                    </w:p>
                    <w:p w:rsidR="007A01B8" w:rsidRDefault="007A01B8" w:rsidP="006166FE">
                      <w:pPr>
                        <w:pStyle w:val="NoSpacing"/>
                        <w:numPr>
                          <w:ilvl w:val="0"/>
                          <w:numId w:val="22"/>
                        </w:numPr>
                      </w:pPr>
                      <w:r w:rsidRPr="00192E18">
                        <w:t>Tuberculin Skin Test (TST) or Interferon Gamma Release Assay (IGRA)</w:t>
                      </w:r>
                    </w:p>
                    <w:p w:rsidR="007A01B8" w:rsidRDefault="007A01B8" w:rsidP="006166FE">
                      <w:pPr>
                        <w:pStyle w:val="NoSpacing"/>
                        <w:numPr>
                          <w:ilvl w:val="0"/>
                          <w:numId w:val="22"/>
                        </w:numPr>
                      </w:pPr>
                      <w:r>
                        <w:t>Complete Blood Count (CBC) with Differential</w:t>
                      </w:r>
                    </w:p>
                    <w:p w:rsidR="007A01B8" w:rsidRDefault="007A01B8" w:rsidP="006166FE">
                      <w:pPr>
                        <w:pStyle w:val="NoSpacing"/>
                        <w:numPr>
                          <w:ilvl w:val="0"/>
                          <w:numId w:val="22"/>
                        </w:numPr>
                      </w:pPr>
                      <w:r>
                        <w:t>Sickle Prep (Black African)</w:t>
                      </w:r>
                    </w:p>
                    <w:p w:rsidR="007A01B8" w:rsidRDefault="007A01B8" w:rsidP="006166FE">
                      <w:pPr>
                        <w:pStyle w:val="NoSpacing"/>
                        <w:numPr>
                          <w:ilvl w:val="0"/>
                          <w:numId w:val="22"/>
                        </w:numPr>
                      </w:pPr>
                      <w:r>
                        <w:t>Lead Screening (</w:t>
                      </w:r>
                      <w:r w:rsidRPr="00192E18">
                        <w:t>Lead Level</w:t>
                      </w:r>
                      <w:r>
                        <w:t xml:space="preserve">) (age 6 months-16 years, per </w:t>
                      </w:r>
                      <w:hyperlink r:id="rId15" w:history="1">
                        <w:r w:rsidRPr="00AA794E">
                          <w:rPr>
                            <w:rStyle w:val="Hyperlink"/>
                          </w:rPr>
                          <w:t xml:space="preserve">Maine </w:t>
                        </w:r>
                        <w:r>
                          <w:rPr>
                            <w:rStyle w:val="Hyperlink"/>
                          </w:rPr>
                          <w:t>Healthy Homes</w:t>
                        </w:r>
                        <w:r w:rsidRPr="00AA794E">
                          <w:rPr>
                            <w:rStyle w:val="Hyperlink"/>
                          </w:rPr>
                          <w:t xml:space="preserve"> Program</w:t>
                        </w:r>
                      </w:hyperlink>
                      <w:r>
                        <w:t>)</w:t>
                      </w:r>
                    </w:p>
                    <w:p w:rsidR="007A01B8" w:rsidRDefault="007A01B8" w:rsidP="006166FE">
                      <w:pPr>
                        <w:pStyle w:val="NoSpacing"/>
                        <w:numPr>
                          <w:ilvl w:val="0"/>
                          <w:numId w:val="22"/>
                        </w:numPr>
                      </w:pPr>
                      <w:r w:rsidRPr="00192E18">
                        <w:t>Hepatitis B Surface Antigen (HB</w:t>
                      </w:r>
                      <w:r>
                        <w:t>S</w:t>
                      </w:r>
                      <w:r w:rsidRPr="00192E18">
                        <w:t>Ag)</w:t>
                      </w:r>
                      <w:r>
                        <w:t xml:space="preserve"> and </w:t>
                      </w:r>
                      <w:r w:rsidRPr="00192E18">
                        <w:t>Hepatitis B Surface Antibody (HBSAb)</w:t>
                      </w:r>
                    </w:p>
                    <w:p w:rsidR="007A01B8" w:rsidRDefault="007A01B8" w:rsidP="006166FE">
                      <w:pPr>
                        <w:pStyle w:val="NoSpacing"/>
                        <w:numPr>
                          <w:ilvl w:val="0"/>
                          <w:numId w:val="22"/>
                        </w:numPr>
                      </w:pPr>
                      <w:r w:rsidRPr="00192E18">
                        <w:t>Rapid Plasma Reagin (RPR)</w:t>
                      </w:r>
                      <w:r>
                        <w:t xml:space="preserve"> </w:t>
                      </w:r>
                    </w:p>
                    <w:p w:rsidR="007A01B8" w:rsidRDefault="007A01B8" w:rsidP="006166FE">
                      <w:pPr>
                        <w:pStyle w:val="NoSpacing"/>
                        <w:numPr>
                          <w:ilvl w:val="0"/>
                          <w:numId w:val="22"/>
                        </w:numPr>
                      </w:pPr>
                      <w:r w:rsidRPr="00192E18">
                        <w:t>HIV 1 and 2 Antibody</w:t>
                      </w:r>
                    </w:p>
                    <w:p w:rsidR="007A01B8" w:rsidRDefault="007A01B8" w:rsidP="006166FE">
                      <w:pPr>
                        <w:pStyle w:val="NoSpacing"/>
                        <w:numPr>
                          <w:ilvl w:val="0"/>
                          <w:numId w:val="22"/>
                        </w:numPr>
                      </w:pPr>
                      <w:r>
                        <w:t>Varicella Titer</w:t>
                      </w:r>
                    </w:p>
                    <w:p w:rsidR="007A01B8" w:rsidRPr="0020338B" w:rsidRDefault="007A01B8" w:rsidP="0020338B">
                      <w:pPr>
                        <w:pStyle w:val="NoSpacing"/>
                        <w:numPr>
                          <w:ilvl w:val="0"/>
                          <w:numId w:val="22"/>
                        </w:numPr>
                      </w:pPr>
                      <w:r w:rsidRPr="0020338B">
                        <w:t>O &amp; P</w:t>
                      </w:r>
                      <w:r>
                        <w:t xml:space="preserve"> to be considered in symptomatic patients, check treatment history</w:t>
                      </w:r>
                    </w:p>
                    <w:p w:rsidR="007A01B8" w:rsidRDefault="007A01B8" w:rsidP="006166FE">
                      <w:pPr>
                        <w:pStyle w:val="NoSpacing"/>
                        <w:numPr>
                          <w:ilvl w:val="0"/>
                          <w:numId w:val="22"/>
                        </w:numPr>
                      </w:pPr>
                      <w:r w:rsidRPr="00192E18">
                        <w:t xml:space="preserve">Pap </w:t>
                      </w:r>
                      <w:r>
                        <w:t>S</w:t>
                      </w:r>
                      <w:r w:rsidRPr="00192E18">
                        <w:t>mear</w:t>
                      </w:r>
                      <w:r>
                        <w:t xml:space="preserve"> (age per </w:t>
                      </w:r>
                      <w:hyperlink r:id="rId16" w:history="1">
                        <w:r>
                          <w:rPr>
                            <w:rStyle w:val="Hyperlink"/>
                            <w:rFonts w:cs="Arial"/>
                          </w:rPr>
                          <w:t>USPTF recommendations</w:t>
                        </w:r>
                      </w:hyperlink>
                      <w:r>
                        <w:rPr>
                          <w:rFonts w:ascii="Arial" w:hAnsi="Arial" w:cs="Arial"/>
                          <w:color w:val="1F497D"/>
                          <w:sz w:val="16"/>
                          <w:szCs w:val="16"/>
                        </w:rPr>
                        <w:t>)</w:t>
                      </w:r>
                    </w:p>
                    <w:p w:rsidR="007A01B8" w:rsidRDefault="007A01B8" w:rsidP="006166FE">
                      <w:pPr>
                        <w:pStyle w:val="NoSpacing"/>
                        <w:numPr>
                          <w:ilvl w:val="0"/>
                          <w:numId w:val="22"/>
                        </w:numPr>
                      </w:pPr>
                      <w:r w:rsidRPr="00497DB0">
                        <w:t>Chlamydia trachomatis and Neisseria gonorrhea</w:t>
                      </w:r>
                      <w:r w:rsidRPr="00192E18">
                        <w:t xml:space="preserve"> screening </w:t>
                      </w:r>
                      <w:r>
                        <w:t>(NAAT) (age-appropriate)</w:t>
                      </w:r>
                    </w:p>
                    <w:p w:rsidR="007A01B8" w:rsidRDefault="007A01B8" w:rsidP="006166FE">
                      <w:pPr>
                        <w:pStyle w:val="NoSpacing"/>
                        <w:numPr>
                          <w:ilvl w:val="0"/>
                          <w:numId w:val="22"/>
                        </w:numPr>
                      </w:pPr>
                      <w:r>
                        <w:t>Newborns</w:t>
                      </w:r>
                      <w:r w:rsidRPr="00192E18">
                        <w:t>: per</w:t>
                      </w:r>
                      <w:r>
                        <w:t xml:space="preserve"> </w:t>
                      </w:r>
                      <w:hyperlink r:id="rId17" w:history="1">
                        <w:r>
                          <w:rPr>
                            <w:rStyle w:val="Hyperlink"/>
                          </w:rPr>
                          <w:t>Maine Newborn Screening Recommendations</w:t>
                        </w:r>
                      </w:hyperlink>
                      <w:r>
                        <w:t xml:space="preserve"> (&lt;= 30 days)</w:t>
                      </w:r>
                    </w:p>
                    <w:p w:rsidR="007A01B8" w:rsidRDefault="007A01B8" w:rsidP="006166FE">
                      <w:pPr>
                        <w:pStyle w:val="NoSpacing"/>
                        <w:numPr>
                          <w:ilvl w:val="0"/>
                          <w:numId w:val="22"/>
                        </w:numPr>
                      </w:pPr>
                      <w:r>
                        <w:t xml:space="preserve">Mental Health Screening </w:t>
                      </w:r>
                    </w:p>
                    <w:p w:rsidR="007A01B8" w:rsidRDefault="007A01B8" w:rsidP="00973199">
                      <w:pPr>
                        <w:pStyle w:val="NoSpacing"/>
                        <w:numPr>
                          <w:ilvl w:val="0"/>
                          <w:numId w:val="16"/>
                        </w:numPr>
                      </w:pPr>
                      <w:r>
                        <w:t>Management</w:t>
                      </w:r>
                    </w:p>
                    <w:p w:rsidR="007A01B8" w:rsidRDefault="007A01B8" w:rsidP="006166FE">
                      <w:pPr>
                        <w:pStyle w:val="NoSpacing"/>
                        <w:numPr>
                          <w:ilvl w:val="0"/>
                          <w:numId w:val="24"/>
                        </w:numPr>
                      </w:pPr>
                      <w:r>
                        <w:t>Establish and prioritize problem list</w:t>
                      </w:r>
                    </w:p>
                    <w:p w:rsidR="007A01B8" w:rsidRDefault="007A01B8" w:rsidP="006166FE">
                      <w:pPr>
                        <w:pStyle w:val="NoSpacing"/>
                        <w:numPr>
                          <w:ilvl w:val="0"/>
                          <w:numId w:val="24"/>
                        </w:numPr>
                      </w:pPr>
                      <w:r>
                        <w:t xml:space="preserve">Update and order completion of all immunization series per </w:t>
                      </w:r>
                      <w:hyperlink r:id="rId18" w:history="1">
                        <w:r>
                          <w:rPr>
                            <w:rStyle w:val="Hyperlink"/>
                          </w:rPr>
                          <w:t>CDC ACIP Guidelines</w:t>
                        </w:r>
                      </w:hyperlink>
                      <w:r>
                        <w:t xml:space="preserve"> (remind patients that influenza vaccine is recommended yearly during the fall and early winter months and is available at school clinics and public clinics if they don’t have an appointment scheduled during flu season) </w:t>
                      </w:r>
                    </w:p>
                    <w:p w:rsidR="007A01B8" w:rsidRDefault="007A01B8" w:rsidP="006166FE">
                      <w:pPr>
                        <w:pStyle w:val="NoSpacing"/>
                        <w:numPr>
                          <w:ilvl w:val="0"/>
                          <w:numId w:val="24"/>
                        </w:numPr>
                      </w:pPr>
                      <w:r>
                        <w:t>Identify age and sex-specific health maintenance delays (e.g. mammography)</w:t>
                      </w:r>
                    </w:p>
                    <w:p w:rsidR="007A01B8" w:rsidRDefault="007A01B8" w:rsidP="006166FE">
                      <w:pPr>
                        <w:pStyle w:val="NoSpacing"/>
                        <w:numPr>
                          <w:ilvl w:val="0"/>
                          <w:numId w:val="24"/>
                        </w:numPr>
                      </w:pPr>
                      <w:r>
                        <w:t>Identify condition-specific evaluation and management delays (e.g. for Diabetes)</w:t>
                      </w:r>
                    </w:p>
                    <w:p w:rsidR="007A01B8" w:rsidRDefault="007A01B8" w:rsidP="006166FE">
                      <w:pPr>
                        <w:pStyle w:val="NoSpacing"/>
                        <w:numPr>
                          <w:ilvl w:val="0"/>
                          <w:numId w:val="24"/>
                        </w:numPr>
                      </w:pPr>
                      <w:r>
                        <w:t>Establish Patient-Centered Medical Home (Primary Care) follow-up plan</w:t>
                      </w:r>
                    </w:p>
                    <w:p w:rsidR="007A01B8" w:rsidRDefault="007A01B8" w:rsidP="006166FE">
                      <w:pPr>
                        <w:pStyle w:val="NoSpacing"/>
                        <w:numPr>
                          <w:ilvl w:val="0"/>
                          <w:numId w:val="24"/>
                        </w:numPr>
                      </w:pPr>
                      <w:r>
                        <w:t>Make referrals for medical, surgical, rehab, and / or mental health problems</w:t>
                      </w:r>
                    </w:p>
                    <w:p w:rsidR="007A01B8" w:rsidRDefault="007A01B8" w:rsidP="006166FE">
                      <w:pPr>
                        <w:pStyle w:val="NoSpacing"/>
                        <w:numPr>
                          <w:ilvl w:val="0"/>
                          <w:numId w:val="24"/>
                        </w:numPr>
                      </w:pPr>
                      <w:r>
                        <w:t>Other referrals: dental, optometry, nutrition education</w:t>
                      </w:r>
                    </w:p>
                  </w:txbxContent>
                </v:textbox>
              </v:shape>
            </w:pict>
          </mc:Fallback>
        </mc:AlternateContent>
      </w:r>
    </w:p>
    <w:p w:rsidR="007A01B8" w:rsidRDefault="007A01B8" w:rsidP="006F36C1"/>
    <w:p w:rsidR="007A01B8" w:rsidRDefault="007A01B8" w:rsidP="00414A84"/>
    <w:p w:rsidR="007A01B8" w:rsidRDefault="007A01B8" w:rsidP="00414A84"/>
    <w:p w:rsidR="007A01B8" w:rsidRDefault="007A01B8" w:rsidP="00414A84"/>
    <w:p w:rsidR="007A01B8" w:rsidRDefault="007A01B8" w:rsidP="00414A84"/>
    <w:p w:rsidR="007A01B8" w:rsidRDefault="007A01B8" w:rsidP="00414A84"/>
    <w:p w:rsidR="007A01B8" w:rsidRDefault="007A01B8" w:rsidP="00414A84"/>
    <w:p w:rsidR="007A01B8" w:rsidRDefault="007A01B8"/>
    <w:p w:rsidR="007A01B8" w:rsidRDefault="007A01B8"/>
    <w:p w:rsidR="007A01B8" w:rsidRDefault="007A01B8"/>
    <w:p w:rsidR="007A01B8" w:rsidRDefault="007A01B8"/>
    <w:p w:rsidR="007A01B8" w:rsidRDefault="007A01B8"/>
    <w:p w:rsidR="007A01B8" w:rsidRDefault="007A01B8" w:rsidP="00D0659E">
      <w:pPr>
        <w:rPr>
          <w:b/>
        </w:rPr>
      </w:pPr>
      <w:r>
        <w:rPr>
          <w:b/>
        </w:rPr>
        <w:br/>
      </w:r>
    </w:p>
    <w:p w:rsidR="007A01B8" w:rsidRDefault="007A01B8" w:rsidP="00D0659E">
      <w:pPr>
        <w:rPr>
          <w:b/>
        </w:rPr>
      </w:pPr>
    </w:p>
    <w:p w:rsidR="007A01B8" w:rsidRDefault="00F71441" w:rsidP="00D0659E">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244475</wp:posOffset>
                </wp:positionV>
                <wp:extent cx="6400800" cy="2032000"/>
                <wp:effectExtent l="9525"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32000"/>
                        </a:xfrm>
                        <a:prstGeom prst="rect">
                          <a:avLst/>
                        </a:prstGeom>
                        <a:solidFill>
                          <a:srgbClr val="FFFFFF"/>
                        </a:solidFill>
                        <a:ln w="9525">
                          <a:solidFill>
                            <a:srgbClr val="000000"/>
                          </a:solidFill>
                          <a:miter lim="800000"/>
                          <a:headEnd/>
                          <a:tailEnd/>
                        </a:ln>
                      </wps:spPr>
                      <wps:txbx>
                        <w:txbxContent>
                          <w:p w:rsidR="007A01B8" w:rsidRDefault="007A01B8" w:rsidP="00973199">
                            <w:pPr>
                              <w:pStyle w:val="Heading2"/>
                            </w:pPr>
                            <w:smartTag w:uri="urn:schemas-microsoft-com:office:smarttags" w:element="State">
                              <w:smartTag w:uri="urn:schemas-microsoft-com:office:smarttags" w:element="place">
                                <w:r>
                                  <w:t>Maine</w:t>
                                </w:r>
                              </w:smartTag>
                            </w:smartTag>
                            <w:r>
                              <w:t xml:space="preserve"> CDC Disease reporting and provider consultation (including TB):</w:t>
                            </w:r>
                          </w:p>
                          <w:p w:rsidR="007A01B8" w:rsidRPr="00D315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Phone: 1 - 800 - 821 - 5821 (24 hours a day) </w:t>
                            </w:r>
                          </w:p>
                          <w:p w:rsidR="007A01B8" w:rsidRPr="00D315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FAX: 1-800-293-7534 (24 hours a day) </w:t>
                            </w:r>
                          </w:p>
                          <w:p w:rsidR="007A01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E-mail: </w:t>
                            </w:r>
                            <w:hyperlink r:id="rId19" w:history="1">
                              <w:r w:rsidRPr="00D315B8">
                                <w:rPr>
                                  <w:rStyle w:val="Hyperlink"/>
                                  <w:b/>
                                  <w:sz w:val="24"/>
                                  <w:szCs w:val="24"/>
                                </w:rPr>
                                <w:t>disease.reporting@maine.gov</w:t>
                              </w:r>
                            </w:hyperlink>
                          </w:p>
                          <w:p w:rsidR="007A01B8" w:rsidRDefault="007A01B8" w:rsidP="00A73F26">
                            <w:pPr>
                              <w:spacing w:before="100" w:beforeAutospacing="1" w:after="100" w:afterAutospacing="1" w:line="240" w:lineRule="auto"/>
                              <w:ind w:left="360"/>
                              <w:rPr>
                                <w:b/>
                                <w:sz w:val="24"/>
                                <w:szCs w:val="24"/>
                              </w:rPr>
                            </w:pPr>
                            <w:r w:rsidRPr="004D536C">
                              <w:rPr>
                                <w:b/>
                                <w:sz w:val="24"/>
                                <w:szCs w:val="24"/>
                              </w:rPr>
                              <w:t>http://www.maine.gov/dhhs/mecdc/infectious-disease/epi/disease-reporting/index.shtml</w:t>
                            </w:r>
                          </w:p>
                          <w:p w:rsidR="007A01B8" w:rsidRDefault="007A01B8" w:rsidP="00A73F26">
                            <w:pPr>
                              <w:spacing w:before="100" w:beforeAutospacing="1" w:after="100" w:afterAutospacing="1" w:line="240" w:lineRule="auto"/>
                              <w:ind w:left="360"/>
                            </w:pPr>
                            <w:r>
                              <w:t xml:space="preserve">Notifiable Conditions Reporting Form: </w:t>
                            </w:r>
                            <w:hyperlink r:id="rId20" w:history="1">
                              <w:r w:rsidRPr="00A73F26">
                                <w:rPr>
                                  <w:rStyle w:val="Hyperlink"/>
                                  <w:b/>
                                </w:rPr>
                                <w:t>Microsoft Word</w:t>
                              </w:r>
                            </w:hyperlink>
                            <w:r w:rsidRPr="00A73F26">
                              <w:rPr>
                                <w:b/>
                                <w:u w:val="single"/>
                              </w:rPr>
                              <w:t>*</w:t>
                            </w:r>
                            <w:r w:rsidRPr="00A73F26">
                              <w:rPr>
                                <w:b/>
                              </w:rPr>
                              <w:t xml:space="preserve"> </w:t>
                            </w:r>
                            <w:r>
                              <w:t xml:space="preserve">or </w:t>
                            </w:r>
                            <w:hyperlink r:id="rId21" w:history="1">
                              <w:r w:rsidRPr="00A73F26">
                                <w:rPr>
                                  <w:rStyle w:val="Hyperlink"/>
                                  <w:b/>
                                </w:rPr>
                                <w:t>Adobe PDF</w:t>
                              </w:r>
                            </w:hyperlink>
                            <w:r w:rsidRPr="00A73F26">
                              <w:rPr>
                                <w:b/>
                                <w:u w:val="single"/>
                              </w:rPr>
                              <w:t>*</w:t>
                            </w:r>
                          </w:p>
                          <w:p w:rsidR="007A01B8" w:rsidRDefault="007A01B8" w:rsidP="004D536C">
                            <w:pPr>
                              <w:spacing w:before="100" w:beforeAutospacing="1" w:after="100" w:afterAutospacing="1" w:line="24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9.25pt;width:7in;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">
                <v:textbox>
                  <w:txbxContent>
                    <w:p w:rsidR="007A01B8" w:rsidRDefault="007A01B8" w:rsidP="00973199">
                      <w:pPr>
                        <w:pStyle w:val="Heading2"/>
                      </w:pPr>
                      <w:smartTag w:uri="urn:schemas-microsoft-com:office:smarttags" w:element="State">
                        <w:smartTag w:uri="urn:schemas-microsoft-com:office:smarttags" w:element="place">
                          <w:r>
                            <w:t>Maine</w:t>
                          </w:r>
                        </w:smartTag>
                      </w:smartTag>
                      <w:r>
                        <w:t xml:space="preserve"> CDC Disease reporting and provider consultation (including TB):</w:t>
                      </w:r>
                    </w:p>
                    <w:p w:rsidR="007A01B8" w:rsidRPr="00D315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Phone: 1 - 800 - 821 - 5821 (24 hours a day) </w:t>
                      </w:r>
                    </w:p>
                    <w:p w:rsidR="007A01B8" w:rsidRPr="00D315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FAX: 1-800-293-7534 (24 hours a day) </w:t>
                      </w:r>
                    </w:p>
                    <w:p w:rsidR="007A01B8" w:rsidRDefault="007A01B8" w:rsidP="00973199">
                      <w:pPr>
                        <w:numPr>
                          <w:ilvl w:val="0"/>
                          <w:numId w:val="20"/>
                        </w:numPr>
                        <w:spacing w:before="100" w:beforeAutospacing="1" w:after="100" w:afterAutospacing="1" w:line="240" w:lineRule="auto"/>
                        <w:rPr>
                          <w:b/>
                          <w:sz w:val="24"/>
                          <w:szCs w:val="24"/>
                        </w:rPr>
                      </w:pPr>
                      <w:r w:rsidRPr="00D315B8">
                        <w:rPr>
                          <w:b/>
                          <w:sz w:val="24"/>
                          <w:szCs w:val="24"/>
                        </w:rPr>
                        <w:t xml:space="preserve">E-mail: </w:t>
                      </w:r>
                      <w:hyperlink r:id="rId22" w:history="1">
                        <w:r w:rsidRPr="00D315B8">
                          <w:rPr>
                            <w:rStyle w:val="Hyperlink"/>
                            <w:b/>
                            <w:sz w:val="24"/>
                            <w:szCs w:val="24"/>
                          </w:rPr>
                          <w:t>disease.reporting@maine.gov</w:t>
                        </w:r>
                      </w:hyperlink>
                    </w:p>
                    <w:p w:rsidR="007A01B8" w:rsidRDefault="007A01B8" w:rsidP="00A73F26">
                      <w:pPr>
                        <w:spacing w:before="100" w:beforeAutospacing="1" w:after="100" w:afterAutospacing="1" w:line="240" w:lineRule="auto"/>
                        <w:ind w:left="360"/>
                        <w:rPr>
                          <w:b/>
                          <w:sz w:val="24"/>
                          <w:szCs w:val="24"/>
                        </w:rPr>
                      </w:pPr>
                      <w:r w:rsidRPr="004D536C">
                        <w:rPr>
                          <w:b/>
                          <w:sz w:val="24"/>
                          <w:szCs w:val="24"/>
                        </w:rPr>
                        <w:t>http://www.maine.gov/dhhs/mecdc/infectious-disease/epi/disease-reporting/index.shtml</w:t>
                      </w:r>
                    </w:p>
                    <w:p w:rsidR="007A01B8" w:rsidRDefault="007A01B8" w:rsidP="00A73F26">
                      <w:pPr>
                        <w:spacing w:before="100" w:beforeAutospacing="1" w:after="100" w:afterAutospacing="1" w:line="240" w:lineRule="auto"/>
                        <w:ind w:left="360"/>
                      </w:pPr>
                      <w:r>
                        <w:t xml:space="preserve">Notifiable Conditions Reporting Form: </w:t>
                      </w:r>
                      <w:hyperlink r:id="rId23" w:history="1">
                        <w:r w:rsidRPr="00A73F26">
                          <w:rPr>
                            <w:rStyle w:val="Hyperlink"/>
                            <w:b/>
                          </w:rPr>
                          <w:t>Microsoft Word</w:t>
                        </w:r>
                      </w:hyperlink>
                      <w:r w:rsidRPr="00A73F26">
                        <w:rPr>
                          <w:b/>
                          <w:u w:val="single"/>
                        </w:rPr>
                        <w:t>*</w:t>
                      </w:r>
                      <w:r w:rsidRPr="00A73F26">
                        <w:rPr>
                          <w:b/>
                        </w:rPr>
                        <w:t xml:space="preserve"> </w:t>
                      </w:r>
                      <w:r>
                        <w:t xml:space="preserve">or </w:t>
                      </w:r>
                      <w:hyperlink r:id="rId24" w:history="1">
                        <w:r w:rsidRPr="00A73F26">
                          <w:rPr>
                            <w:rStyle w:val="Hyperlink"/>
                            <w:b/>
                          </w:rPr>
                          <w:t>Adobe PDF</w:t>
                        </w:r>
                      </w:hyperlink>
                      <w:r w:rsidRPr="00A73F26">
                        <w:rPr>
                          <w:b/>
                          <w:u w:val="single"/>
                        </w:rPr>
                        <w:t>*</w:t>
                      </w:r>
                    </w:p>
                    <w:p w:rsidR="007A01B8" w:rsidRDefault="007A01B8" w:rsidP="004D536C">
                      <w:pPr>
                        <w:spacing w:before="100" w:beforeAutospacing="1" w:after="100" w:afterAutospacing="1" w:line="240" w:lineRule="auto"/>
                        <w:ind w:left="360"/>
                      </w:pPr>
                    </w:p>
                  </w:txbxContent>
                </v:textbox>
              </v:shape>
            </w:pict>
          </mc:Fallback>
        </mc:AlternateContent>
      </w:r>
    </w:p>
    <w:p w:rsidR="007A01B8" w:rsidRDefault="007A01B8" w:rsidP="00D0659E"/>
    <w:p w:rsidR="007A01B8" w:rsidRDefault="007A01B8" w:rsidP="00D0659E"/>
    <w:p w:rsidR="007A01B8" w:rsidRDefault="007A01B8" w:rsidP="00D0659E"/>
    <w:p w:rsidR="007A01B8" w:rsidRDefault="007A01B8" w:rsidP="00E83EAD">
      <w:pPr>
        <w:spacing w:after="0"/>
      </w:pPr>
      <w:r>
        <w:br w:type="page"/>
      </w:r>
      <w:r w:rsidRPr="006A1A2D">
        <w:lastRenderedPageBreak/>
        <w:t xml:space="preserve">Be aware of the following possible barriers to effective </w:t>
      </w:r>
      <w:r>
        <w:t>health care delivery and plan for how you will address:</w:t>
      </w:r>
    </w:p>
    <w:p w:rsidR="007A01B8" w:rsidRDefault="007A01B8" w:rsidP="00E83EAD">
      <w:pPr>
        <w:pStyle w:val="ListParagraph"/>
        <w:numPr>
          <w:ilvl w:val="0"/>
          <w:numId w:val="7"/>
        </w:numPr>
        <w:spacing w:after="0"/>
      </w:pPr>
      <w:r>
        <w:t>Language</w:t>
      </w:r>
    </w:p>
    <w:p w:rsidR="007A01B8" w:rsidRDefault="007A01B8" w:rsidP="00E83EAD">
      <w:pPr>
        <w:pStyle w:val="ListParagraph"/>
        <w:numPr>
          <w:ilvl w:val="0"/>
          <w:numId w:val="7"/>
        </w:numPr>
        <w:spacing w:after="0"/>
      </w:pPr>
      <w:r>
        <w:t>Health Literacy</w:t>
      </w:r>
    </w:p>
    <w:p w:rsidR="007A01B8" w:rsidRDefault="007A01B8" w:rsidP="00E83EAD">
      <w:pPr>
        <w:pStyle w:val="ListParagraph"/>
        <w:numPr>
          <w:ilvl w:val="0"/>
          <w:numId w:val="7"/>
        </w:numPr>
        <w:spacing w:after="0"/>
      </w:pPr>
      <w:r>
        <w:t>Culture / Religion</w:t>
      </w:r>
    </w:p>
    <w:p w:rsidR="007A01B8" w:rsidRDefault="007A01B8" w:rsidP="00D0659E">
      <w:r>
        <w:t xml:space="preserve">To address languages barriers, employ appropriate, trained, adult interpreters or telephone language line. Be aware of the possibility that your patient may have had no prior exposure to health care as it is practiced in the </w:t>
      </w:r>
      <w:smartTag w:uri="urn:schemas-microsoft-com:office:smarttags" w:element="State">
        <w:smartTag w:uri="urn:schemas-microsoft-com:office:smarttags" w:element="country-region">
          <w:smartTag w:uri="urn:schemas-microsoft-com:office:smarttags" w:element="place">
            <w:r>
              <w:t>U.S.</w:t>
            </w:r>
          </w:smartTag>
        </w:smartTag>
      </w:smartTag>
      <w:r>
        <w:t>, and cultural or religious differences may create uncomfortable situations for your patient.</w:t>
      </w:r>
    </w:p>
    <w:p w:rsidR="007A01B8" w:rsidRDefault="007A01B8">
      <w:r>
        <w:rPr>
          <w:b/>
        </w:rPr>
        <w:t>Previous Medical Records</w:t>
      </w:r>
      <w:r w:rsidRPr="005A4B94">
        <w:rPr>
          <w:b/>
        </w:rPr>
        <w:t>:</w:t>
      </w:r>
      <w:r>
        <w:t xml:space="preserve"> If the patient is a refugee ask him or her for any overseas health screening documentation. This should include the Department of State form </w:t>
      </w:r>
      <w:hyperlink r:id="rId25" w:history="1">
        <w:r w:rsidRPr="00AB1C66">
          <w:rPr>
            <w:rStyle w:val="Hyperlink"/>
          </w:rPr>
          <w:t>DS-2053</w:t>
        </w:r>
      </w:hyperlink>
      <w:r>
        <w:t xml:space="preserve"> and possibly immunization and pre-departure records containing additional immunization information and records of empiric treatments for malaria and parasites (“deworming”). Asylees and asylum seekers will not have these records. Secondary migrants, asylum seekers, and asylees may have other </w:t>
      </w:r>
      <w:smartTag w:uri="urn:schemas-microsoft-com:office:smarttags" w:element="State">
        <w:smartTag w:uri="urn:schemas-microsoft-com:office:smarttags" w:element="country-region">
          <w:smartTag w:uri="urn:schemas-microsoft-com:office:smarttags" w:element="place">
            <w:r>
              <w:t>U.S.</w:t>
            </w:r>
          </w:smartTag>
        </w:smartTag>
      </w:smartTag>
      <w:r>
        <w:t xml:space="preserve"> health records. Upon first arrival in the </w:t>
      </w:r>
      <w:smartTag w:uri="urn:schemas-microsoft-com:office:smarttags" w:element="State">
        <w:smartTag w:uri="urn:schemas-microsoft-com:office:smarttags" w:element="country-region">
          <w:smartTag w:uri="urn:schemas-microsoft-com:office:smarttags" w:element="place">
            <w:r>
              <w:t>U.S.</w:t>
            </w:r>
          </w:smartTag>
        </w:smartTag>
      </w:smartTag>
      <w:r>
        <w:t xml:space="preserve">, all refugees are referred to state public health programs for evaluation for tuberculosis. You should be aware of this and obtain records when possible from the TB program in whatever state the person first settled. </w:t>
      </w:r>
    </w:p>
    <w:p w:rsidR="007A01B8" w:rsidRDefault="007A01B8" w:rsidP="00006339">
      <w:r>
        <w:rPr>
          <w:b/>
        </w:rPr>
        <w:t>History</w:t>
      </w:r>
      <w:r w:rsidRPr="00FE2044">
        <w:rPr>
          <w:b/>
        </w:rPr>
        <w:t xml:space="preserve"> </w:t>
      </w:r>
      <w:r>
        <w:rPr>
          <w:b/>
        </w:rPr>
        <w:t xml:space="preserve">and </w:t>
      </w:r>
      <w:r w:rsidRPr="00FE2044">
        <w:rPr>
          <w:b/>
        </w:rPr>
        <w:t>Physical Exam:</w:t>
      </w:r>
      <w:r>
        <w:t xml:space="preserve"> Every patient should undergo a comprehensive H&amp;P (History and Physical Exam). Experience suggests that most patients have had little or no prior primary health or dental care. Most patients have had no medical care at all except for the emigration medical exam. The H&amp;P and choices of specific screening tests should take into consideration the background of the patient with regard to country of origin, migration history, political turmoil, exposure to war, and refugee camp experiences. Patients should be asked about prior war-related trauma, incarceration, torture, rape, or other atrocities. Language, health literacy, and cultural barriers make the physical exam all the more important. Remember to screen adults carefully for conditions that pediatricians in the </w:t>
      </w:r>
      <w:smartTag w:uri="urn:schemas-microsoft-com:office:smarttags" w:element="State">
        <w:smartTag w:uri="urn:schemas-microsoft-com:office:smarttags" w:element="country-region">
          <w:smartTag w:uri="urn:schemas-microsoft-com:office:smarttags" w:element="place">
            <w:r>
              <w:t>United States</w:t>
            </w:r>
          </w:smartTag>
        </w:smartTag>
      </w:smartTag>
      <w:r>
        <w:t xml:space="preserve"> normally identify early in life in U.S.-born populations (e.g. vision and hearing). Any suspicion of risk for prior rape should be cause for doing a pelvic exam earlier than would otherwise be recommended under USPSTF guidelines.</w:t>
      </w:r>
    </w:p>
    <w:p w:rsidR="007A01B8" w:rsidRDefault="007A01B8" w:rsidP="00006339">
      <w:r w:rsidRPr="003F3324">
        <w:rPr>
          <w:b/>
        </w:rPr>
        <w:t>Tuberculin Skin Test (TST) or Interferon Gamma Release Assay (IGRA):</w:t>
      </w:r>
      <w:r>
        <w:t xml:space="preserve"> Either of these tests is generally recommended for &gt;= age 5, TST for &gt;= age 6 months. For more information, see </w:t>
      </w:r>
      <w:hyperlink r:id="rId26" w:history="1">
        <w:r w:rsidRPr="00A73F26">
          <w:rPr>
            <w:rStyle w:val="Hyperlink"/>
            <w:b/>
          </w:rPr>
          <w:t>TST &amp; IGRA Tests: Recommendations for Use</w:t>
        </w:r>
      </w:hyperlink>
      <w:r>
        <w:t xml:space="preserve"> (PDF*) or </w:t>
      </w:r>
      <w:hyperlink r:id="rId27" w:history="1">
        <w:r w:rsidRPr="008D7910">
          <w:rPr>
            <w:rStyle w:val="Hyperlink"/>
          </w:rPr>
          <w:t>http://www.maine.gov/dhhs/mecdc/infectious-disease/epi/tuberculosis/health-care.shtml</w:t>
        </w:r>
      </w:hyperlink>
      <w:r>
        <w:t xml:space="preserve">.   A positive test should be followed-up with a chest x-ray (PA and Lateral) and a referral to a TB clinic. A negative chest x-ray is suggestive of Latent Tuberculosis (TB) Infection (LTBI). A positive chest x-ray or patient with possible symptoms of active pulmonary tuberculosis should prompt a call to the </w:t>
      </w:r>
      <w:hyperlink r:id="rId28" w:history="1">
        <w:r w:rsidRPr="00AA794E">
          <w:rPr>
            <w:rStyle w:val="Hyperlink"/>
          </w:rPr>
          <w:t>Maine TB Control Program</w:t>
        </w:r>
      </w:hyperlink>
      <w:r>
        <w:t xml:space="preserve"> (1-800-821-5821). All new refugee arrivals in the State of </w:t>
      </w:r>
      <w:smartTag w:uri="urn:schemas-microsoft-com:office:smarttags" w:element="State">
        <w:r>
          <w:t>Maine</w:t>
        </w:r>
      </w:smartTag>
      <w:r>
        <w:t xml:space="preserve"> are referred to State of </w:t>
      </w:r>
      <w:smartTag w:uri="urn:schemas-microsoft-com:office:smarttags" w:element="State">
        <w:smartTag w:uri="urn:schemas-microsoft-com:office:smarttags" w:element="place">
          <w:r>
            <w:t>Maine Public Health Nurses</w:t>
          </w:r>
        </w:smartTag>
      </w:smartTag>
      <w:r>
        <w:t xml:space="preserve"> for initial TB screening. Other non-refugee immigrants may also be monitored by State of </w:t>
      </w:r>
      <w:smartTag w:uri="urn:schemas-microsoft-com:office:smarttags" w:element="State">
        <w:smartTag w:uri="urn:schemas-microsoft-com:office:smarttags" w:element="place">
          <w:r>
            <w:t>Maine Public Health Nursing</w:t>
          </w:r>
        </w:smartTag>
      </w:smartTag>
      <w:r>
        <w:t xml:space="preserve">. If in doubt, before conducting TST or IGRA testing, contact the Maine TB Control Program. </w:t>
      </w:r>
    </w:p>
    <w:p w:rsidR="007A01B8" w:rsidRDefault="007A01B8">
      <w:r w:rsidRPr="003F3324">
        <w:rPr>
          <w:b/>
        </w:rPr>
        <w:t>CBC with Differential:</w:t>
      </w:r>
      <w:r>
        <w:t xml:space="preserve"> (Rationale) This test is used to screen for anemia and eosinophilia. A finding of a low MCV anemia is common and should be followed-up with screening for iron deficiency. If the patient is not iron deficient, further evaluation with hemoglobin electrophoresis may reveal hemoglobinopathy. Eosinophilia should prompt for possible empiric treatment for strongyloidiasis and schistosomiasis, or an investigation for presence of other parasites.</w:t>
      </w:r>
    </w:p>
    <w:p w:rsidR="007A01B8" w:rsidRDefault="007A01B8">
      <w:r w:rsidRPr="00696879">
        <w:rPr>
          <w:b/>
        </w:rPr>
        <w:t>Hepatitis B Surface Antigen (HB</w:t>
      </w:r>
      <w:r>
        <w:rPr>
          <w:b/>
        </w:rPr>
        <w:t>S</w:t>
      </w:r>
      <w:r w:rsidRPr="00696879">
        <w:rPr>
          <w:b/>
        </w:rPr>
        <w:t>Ag) and Hepatitis B Surface Antibody (HBSAb, anti-HBs):</w:t>
      </w:r>
      <w:r>
        <w:rPr>
          <w:b/>
        </w:rPr>
        <w:t xml:space="preserve"> </w:t>
      </w:r>
      <w:r>
        <w:rPr>
          <w:b/>
        </w:rPr>
        <w:br/>
      </w:r>
      <w:r w:rsidRPr="0083524C">
        <w:t xml:space="preserve">(Rationale) </w:t>
      </w:r>
      <w:r>
        <w:t xml:space="preserve">This patient population has a higher prevalence of past and present viral hepatitis B infection. </w:t>
      </w:r>
      <w:r>
        <w:lastRenderedPageBreak/>
        <w:t xml:space="preserve">These two tests provide adequate hepatitis B screening and help to determine if vaccine is required or if referral is needed to a viral hepatitis clinic.  </w:t>
      </w:r>
    </w:p>
    <w:p w:rsidR="007A01B8" w:rsidRDefault="007A01B8" w:rsidP="0091547A">
      <w:pPr>
        <w:spacing w:after="120"/>
        <w:rPr>
          <w:b/>
        </w:rPr>
      </w:pPr>
      <w:r>
        <w:t xml:space="preserve"> Interpretation of Test Results:</w:t>
      </w:r>
    </w:p>
    <w:p w:rsidR="007A01B8" w:rsidRDefault="007A01B8" w:rsidP="0091547A">
      <w:pPr>
        <w:spacing w:after="120"/>
        <w:ind w:left="360"/>
      </w:pPr>
      <w:r w:rsidRPr="006B2763">
        <w:rPr>
          <w:b/>
        </w:rPr>
        <w:t>HBSAg+:</w:t>
      </w:r>
      <w:r>
        <w:t xml:space="preserve"> In the asymptomatic patient, suggest patient is a “carrier” for hepatitis B (actively infected). The patient requires further management / intervention based on comprehensive knowledge of management of chronic hepatitis B infection (referral to hepatitis B clinic). Patient does not require hepatitis B immunization (consider Hepatitis A vaccine).</w:t>
      </w:r>
    </w:p>
    <w:p w:rsidR="007A01B8" w:rsidRDefault="007A01B8" w:rsidP="0091547A">
      <w:pPr>
        <w:spacing w:after="120"/>
        <w:ind w:left="360"/>
      </w:pPr>
      <w:r w:rsidRPr="006B2763">
        <w:rPr>
          <w:b/>
        </w:rPr>
        <w:t>HBSAb+:</w:t>
      </w:r>
      <w:r>
        <w:t xml:space="preserve"> Patient is immune to hepatitis B, most likely from past infection. Patient does not require hepatitis B immunization.</w:t>
      </w:r>
    </w:p>
    <w:p w:rsidR="007A01B8" w:rsidRDefault="007A01B8" w:rsidP="0091547A">
      <w:pPr>
        <w:spacing w:after="120"/>
        <w:ind w:left="360"/>
      </w:pPr>
      <w:r w:rsidRPr="00696879">
        <w:rPr>
          <w:b/>
        </w:rPr>
        <w:t>HBSAb-:</w:t>
      </w:r>
      <w:r>
        <w:t xml:space="preserve"> Patient may require hepatitis B immunization (complete series) based on risk of exposure or CDC (ACIP) guidelines.</w:t>
      </w:r>
    </w:p>
    <w:p w:rsidR="007A01B8" w:rsidRPr="00C903DC" w:rsidRDefault="007A01B8" w:rsidP="00C903DC">
      <w:r w:rsidRPr="00970C3E">
        <w:rPr>
          <w:b/>
        </w:rPr>
        <w:t>Hepatitis C Antibody:</w:t>
      </w:r>
      <w:r>
        <w:t xml:space="preserve">  Consider Hepatitis C screening in certain foreign-born populations, as there is recent evidence that Hepatitis C may be substantially more prevalent in some parts of the world, including northern and central Africa and the </w:t>
      </w:r>
      <w:smartTag w:uri="urn:schemas-microsoft-com:office:smarttags" w:element="State">
        <w:smartTag w:uri="urn:schemas-microsoft-com:office:smarttags" w:element="place">
          <w:r>
            <w:t>Middle East</w:t>
          </w:r>
        </w:smartTag>
      </w:smartTag>
      <w:r>
        <w:t xml:space="preserve">.  (Averhoff FM, Glass N, Holtzman D (2012), Global burden of hepatitis C: considerations for healthcare providers in the </w:t>
      </w:r>
      <w:smartTag w:uri="urn:schemas-microsoft-com:office:smarttags" w:element="State">
        <w:smartTag w:uri="urn:schemas-microsoft-com:office:smarttags" w:element="country-region">
          <w:smartTag w:uri="urn:schemas-microsoft-com:office:smarttags" w:element="place">
            <w:r>
              <w:t>United States</w:t>
            </w:r>
          </w:smartTag>
        </w:smartTag>
      </w:smartTag>
      <w:r>
        <w:t xml:space="preserve">. </w:t>
      </w:r>
      <w:hyperlink r:id="rId29" w:anchor="#" w:tooltip="Clinical infectious diseases : an official publication of the Infectious Diseases Society of America." w:history="1">
        <w:r>
          <w:rPr>
            <w:rStyle w:val="Hyperlink"/>
          </w:rPr>
          <w:t>Clin Infect Dis.</w:t>
        </w:r>
      </w:hyperlink>
      <w:r>
        <w:t xml:space="preserve"> 2012 Jul;55 Suppl 1:S10-5.  </w:t>
      </w:r>
      <w:hyperlink r:id="rId30" w:history="1">
        <w:r w:rsidRPr="00DD6B61">
          <w:rPr>
            <w:rStyle w:val="Hyperlink"/>
          </w:rPr>
          <w:t>http://www.ncbi.nlm.nih.gov/pubmed/22715208</w:t>
        </w:r>
      </w:hyperlink>
      <w:r>
        <w:t xml:space="preserve">). </w:t>
      </w:r>
    </w:p>
    <w:p w:rsidR="007A01B8" w:rsidRPr="00B2202C" w:rsidRDefault="007A01B8">
      <w:pPr>
        <w:rPr>
          <w:b/>
        </w:rPr>
      </w:pPr>
      <w:r w:rsidRPr="00B2202C">
        <w:rPr>
          <w:b/>
        </w:rPr>
        <w:t>Rapid Plasma Reagin (RPR):</w:t>
      </w:r>
      <w:r>
        <w:rPr>
          <w:b/>
        </w:rPr>
        <w:t xml:space="preserve"> </w:t>
      </w:r>
      <w:r w:rsidRPr="0083524C">
        <w:t>(Rationale)</w:t>
      </w:r>
      <w:r>
        <w:t xml:space="preserve"> </w:t>
      </w:r>
      <w:r w:rsidRPr="0083524C">
        <w:t xml:space="preserve">This patient population may be at increased risk for </w:t>
      </w:r>
      <w:r w:rsidRPr="0083524C">
        <w:rPr>
          <w:i/>
        </w:rPr>
        <w:t>Treponema pallidum</w:t>
      </w:r>
      <w:r>
        <w:t xml:space="preserve"> </w:t>
      </w:r>
      <w:r w:rsidRPr="0083524C">
        <w:t>infection.</w:t>
      </w:r>
      <w:r>
        <w:t xml:space="preserve"> This condition can be asymptomatic and lead to harm if left undetected. This condition is screened-for as part of the overseas medical exam for immigrants age 15 and older. Patients who test positive and have a positive confirmatory test are treated prior to being permitted to travel to the </w:t>
      </w:r>
      <w:smartTag w:uri="urn:schemas-microsoft-com:office:smarttags" w:element="PersonName">
        <w:smartTag w:uri="urn:schemas-microsoft-com:office:smarttags" w:element="place">
          <w:smartTag w:uri="urn:schemas-microsoft-com:office:smarttags" w:element="country-region">
            <w:r>
              <w:t>United States</w:t>
            </w:r>
          </w:smartTag>
        </w:smartTag>
      </w:smartTag>
      <w:r>
        <w:t xml:space="preserve">. Overseas testing and treatment is recorded on Department of State form </w:t>
      </w:r>
      <w:hyperlink r:id="rId31" w:history="1">
        <w:r w:rsidRPr="00AB1C66">
          <w:rPr>
            <w:rStyle w:val="Hyperlink"/>
          </w:rPr>
          <w:t>DS-2053</w:t>
        </w:r>
      </w:hyperlink>
      <w:r>
        <w:t xml:space="preserve">. A positive test is normally reflexed by the performing laboratory to the State of </w:t>
      </w:r>
      <w:smartTag w:uri="urn:schemas-microsoft-com:office:smarttags" w:element="PersonName">
        <w:smartTag w:uri="urn:schemas-microsoft-com:office:smarttags" w:element="place">
          <w:smartTag w:uri="urn:schemas-microsoft-com:office:smarttags" w:element="State">
            <w:r>
              <w:t>Maine CDC Laboratory</w:t>
            </w:r>
          </w:smartTag>
        </w:smartTag>
      </w:smartTag>
      <w:r>
        <w:t xml:space="preserve"> for confirmatory testing (TP-PA). If both the RPR and TP-PA are positive, and the patient has not had treatment documented on the DS-2053, the patient should be considered for treatment for latent syphilis.</w:t>
      </w:r>
    </w:p>
    <w:p w:rsidR="007A01B8" w:rsidRDefault="007A01B8">
      <w:r w:rsidRPr="00B2202C">
        <w:rPr>
          <w:b/>
        </w:rPr>
        <w:t>HIV 1 and 2 Antibody</w:t>
      </w:r>
      <w:r>
        <w:rPr>
          <w:b/>
        </w:rPr>
        <w:t>:</w:t>
      </w:r>
      <w:r w:rsidRPr="0083524C">
        <w:t xml:space="preserve"> (Rationale) The CDC recommends universal screening</w:t>
      </w:r>
      <w:r>
        <w:t xml:space="preserve"> (see </w:t>
      </w:r>
      <w:hyperlink r:id="rId32" w:history="1">
        <w:r w:rsidRPr="00CC0845">
          <w:rPr>
            <w:rStyle w:val="Hyperlink"/>
          </w:rPr>
          <w:t>MMWR 2006</w:t>
        </w:r>
      </w:hyperlink>
      <w:r>
        <w:t>)</w:t>
      </w:r>
      <w:r w:rsidRPr="0083524C">
        <w:t>. This patient population may be at increased risk for H</w:t>
      </w:r>
      <w:r>
        <w:t>IV infection. HIV is not screened for as part of the overseas medical exam for immigrants.</w:t>
      </w:r>
    </w:p>
    <w:p w:rsidR="007A01B8" w:rsidRDefault="007A01B8">
      <w:r w:rsidRPr="00326D9B">
        <w:rPr>
          <w:b/>
        </w:rPr>
        <w:t>Varicella Titer:</w:t>
      </w:r>
      <w:r>
        <w:t xml:space="preserve"> (Rationale) Most immigrant patients have a positive varicella titer and do not need to be further immunized for varicella. It may be more cost-effective to test than vaccinate all patients.</w:t>
      </w:r>
    </w:p>
    <w:p w:rsidR="007A01B8" w:rsidRDefault="007A01B8">
      <w:r w:rsidRPr="00006339">
        <w:rPr>
          <w:b/>
        </w:rPr>
        <w:t>O&amp;P and Other Parasite Screening:</w:t>
      </w:r>
      <w:r>
        <w:t xml:space="preserve"> (Rationale) Pre-departure presumptive treatment of malaria and other parasites has increased in recent years. Current CDC domestic guidelines can vary depending on pre-departure presumptive treatment. Please refer to CDC guidelines:</w:t>
      </w:r>
      <w:r>
        <w:br/>
      </w:r>
      <w:hyperlink r:id="rId33" w:history="1">
        <w:r w:rsidRPr="00FE72A4">
          <w:rPr>
            <w:rStyle w:val="Hyperlink"/>
          </w:rPr>
          <w:t>http://www.cdc.gov/immigrantrefugeehealth/pdf/intestinal-parasites-domestic.pdf</w:t>
        </w:r>
      </w:hyperlink>
    </w:p>
    <w:p w:rsidR="007A01B8" w:rsidRDefault="007A01B8">
      <w:r w:rsidRPr="00326D9B">
        <w:rPr>
          <w:b/>
          <w:i/>
        </w:rPr>
        <w:t>Chlamydia trachomatis</w:t>
      </w:r>
      <w:r w:rsidRPr="00326D9B">
        <w:rPr>
          <w:b/>
        </w:rPr>
        <w:t xml:space="preserve"> and </w:t>
      </w:r>
      <w:r w:rsidRPr="00326D9B">
        <w:rPr>
          <w:b/>
          <w:i/>
        </w:rPr>
        <w:t>Neisseria gonorrhea</w:t>
      </w:r>
      <w:r w:rsidRPr="00326D9B">
        <w:rPr>
          <w:b/>
        </w:rPr>
        <w:t xml:space="preserve"> Screening (Female Patients): </w:t>
      </w:r>
      <w:r>
        <w:t>(Rationale) These conditions can be asymptomatic and cause harm if left undetected.</w:t>
      </w:r>
      <w:r w:rsidRPr="004E31B6">
        <w:t xml:space="preserve"> </w:t>
      </w:r>
      <w:r>
        <w:t>Suspicion of risk for prior rape should be cause for doing a pelvic exam and screening for these conditions earlier than USPSTF guidelines otherwise recommend.</w:t>
      </w:r>
    </w:p>
    <w:p w:rsidR="007A01B8" w:rsidRDefault="007A01B8" w:rsidP="000F2F96">
      <w:pPr>
        <w:rPr>
          <w:b/>
          <w:bCs/>
        </w:rPr>
      </w:pPr>
      <w:r>
        <w:rPr>
          <w:b/>
        </w:rPr>
        <w:br w:type="page"/>
      </w:r>
      <w:r>
        <w:rPr>
          <w:b/>
          <w:bCs/>
        </w:rPr>
        <w:lastRenderedPageBreak/>
        <w:t xml:space="preserve">Mental Health Screening: </w:t>
      </w:r>
    </w:p>
    <w:p w:rsidR="007A01B8" w:rsidRDefault="007A01B8" w:rsidP="000F2F96">
      <w:r>
        <w:t xml:space="preserve"> The following tool, the Refugee Health Screener-15 (RHS-15) is used at Catholic Charities Maine Refugee and Immigration Services for new arrivals (i.e. primary refugees and asylees). This tool was developed for use in a community public health or clinical setting as an efficient and effective way to sensitively detect the range of emotional distress common across refugee groups. This tool screens for PTSD, anxiety and depression which are the most common mental symptoms in refugees. It can be self-administered if the patient reads in their language and translated copies are available in 8 languages.  For those who screen positive, a referral for counseling services can be made.</w:t>
      </w:r>
    </w:p>
    <w:p w:rsidR="007A01B8" w:rsidRDefault="00147B48" w:rsidP="000F2F96">
      <w:hyperlink r:id="rId34" w:history="1">
        <w:r w:rsidR="007A01B8">
          <w:rPr>
            <w:rStyle w:val="Hyperlink"/>
          </w:rPr>
          <w:t>http://wordpress-test.jsi.com/refugeehealthta/files/2012/02/RHS15_Packet_PathwaysToWellness.pdf</w:t>
        </w:r>
      </w:hyperlink>
    </w:p>
    <w:p w:rsidR="007A01B8" w:rsidRDefault="007A01B8">
      <w:r>
        <w:t xml:space="preserve">As of 2012, there is a Survivors of Torture grant (SOT) through a collaborative partnership which provides services to victims of torture in the Portland area. If you are working with a patient who you think could be a survivor of torture and might benefit from additional case management and or counseling you can make a referral for screening to Abdullahi Alibare-SOT Case Manager, Catholic Charities Maine, 210-1503 </w:t>
      </w:r>
      <w:hyperlink r:id="rId35" w:history="1">
        <w:r w:rsidRPr="00957EDF">
          <w:rPr>
            <w:rStyle w:val="Hyperlink"/>
          </w:rPr>
          <w:t>aalibare@ccmaine.org</w:t>
        </w:r>
      </w:hyperlink>
      <w:r>
        <w:t xml:space="preserve"> or Abeir Ibrahim-SOT Case Manager, the City of Portland Refugee Services, 775-7915 x226, </w:t>
      </w:r>
      <w:hyperlink r:id="rId36" w:history="1">
        <w:r w:rsidRPr="008009C0">
          <w:rPr>
            <w:rStyle w:val="Hyperlink"/>
          </w:rPr>
          <w:t>ai@portlandmaine.gov</w:t>
        </w:r>
      </w:hyperlink>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000"/>
        <w:gridCol w:w="2002"/>
        <w:gridCol w:w="1813"/>
        <w:gridCol w:w="1833"/>
      </w:tblGrid>
      <w:tr w:rsidR="007A01B8" w:rsidRPr="00CF3921" w:rsidTr="00CF3921">
        <w:tc>
          <w:tcPr>
            <w:tcW w:w="5000" w:type="pct"/>
            <w:gridSpan w:val="5"/>
          </w:tcPr>
          <w:p w:rsidR="007A01B8" w:rsidRPr="000E527C" w:rsidRDefault="007A01B8" w:rsidP="00CF3921">
            <w:pPr>
              <w:pStyle w:val="Heading3"/>
              <w:spacing w:line="240" w:lineRule="auto"/>
              <w:rPr>
                <w:sz w:val="24"/>
                <w:szCs w:val="24"/>
              </w:rPr>
            </w:pPr>
            <w:r w:rsidRPr="000E527C">
              <w:rPr>
                <w:sz w:val="24"/>
                <w:szCs w:val="24"/>
              </w:rPr>
              <w:t>Table 2 –Population Characteristics</w:t>
            </w:r>
          </w:p>
          <w:p w:rsidR="007A01B8" w:rsidRPr="00CF3921" w:rsidRDefault="007A01B8" w:rsidP="00CF3921">
            <w:pPr>
              <w:spacing w:after="0" w:line="240" w:lineRule="auto"/>
              <w:rPr>
                <w:rFonts w:cs="Calibri"/>
                <w:sz w:val="16"/>
                <w:szCs w:val="16"/>
              </w:rPr>
            </w:pPr>
          </w:p>
        </w:tc>
      </w:tr>
      <w:tr w:rsidR="007A01B8" w:rsidRPr="00CF3921" w:rsidTr="00CF3921">
        <w:tc>
          <w:tcPr>
            <w:tcW w:w="1233" w:type="pct"/>
          </w:tcPr>
          <w:p w:rsidR="007A01B8" w:rsidRPr="00CF3921" w:rsidRDefault="007A01B8" w:rsidP="00CF3921">
            <w:pPr>
              <w:spacing w:after="0" w:line="240" w:lineRule="auto"/>
              <w:rPr>
                <w:rFonts w:cs="Calibri"/>
                <w:sz w:val="16"/>
                <w:szCs w:val="16"/>
              </w:rPr>
            </w:pPr>
          </w:p>
        </w:tc>
        <w:tc>
          <w:tcPr>
            <w:tcW w:w="985" w:type="pct"/>
          </w:tcPr>
          <w:p w:rsidR="007A01B8" w:rsidRPr="00CF3921" w:rsidRDefault="007A01B8" w:rsidP="00CF3921">
            <w:pPr>
              <w:spacing w:after="0" w:line="240" w:lineRule="auto"/>
              <w:rPr>
                <w:rFonts w:cs="Calibri"/>
                <w:sz w:val="16"/>
                <w:szCs w:val="16"/>
              </w:rPr>
            </w:pPr>
            <w:r>
              <w:rPr>
                <w:rFonts w:cs="Calibri"/>
                <w:sz w:val="16"/>
                <w:szCs w:val="16"/>
              </w:rPr>
              <w:t xml:space="preserve">Primary </w:t>
            </w:r>
            <w:r w:rsidRPr="00CF3921">
              <w:rPr>
                <w:rFonts w:cs="Calibri"/>
                <w:sz w:val="16"/>
                <w:szCs w:val="16"/>
              </w:rPr>
              <w:t>Refugee</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Secondary </w:t>
            </w:r>
            <w:r>
              <w:rPr>
                <w:rFonts w:cs="Calibri"/>
                <w:sz w:val="16"/>
                <w:szCs w:val="16"/>
              </w:rPr>
              <w:t>Refugee (sometimes called secondary m</w:t>
            </w:r>
            <w:r w:rsidRPr="00CF3921">
              <w:rPr>
                <w:rFonts w:cs="Calibri"/>
                <w:sz w:val="16"/>
                <w:szCs w:val="16"/>
              </w:rPr>
              <w:t>igrant</w:t>
            </w:r>
            <w:r>
              <w:rPr>
                <w:rFonts w:cs="Calibri"/>
                <w:sz w:val="16"/>
                <w:szCs w:val="16"/>
              </w:rPr>
              <w:t>)</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Asylee</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Asylum Seeker</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Legally Admitted to US?</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Status Pending</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Resettlement Coordinated by CCM-RIS* or other Refugee Resettlement Program in Maine (Has CCM-RIS case worker)?</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Initial Resettlement in Maine?</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May Work?</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MaineCare Eligible?</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Automatically for first 8 months in US then, yes, per standard criteria.</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Yes, per standard criteria</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Yes, per standard criteria</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Followed by Maine Public Health Nursing (PHN)?</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 Upon arrival in Maine.</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If referred to State of Maine PHN </w:t>
            </w:r>
            <w:r>
              <w:rPr>
                <w:rFonts w:cs="Calibri"/>
                <w:sz w:val="16"/>
                <w:szCs w:val="16"/>
              </w:rPr>
              <w:t>and is known to have LTBI or TB, or has been in US for less than 30 days and has not been screened for TB</w:t>
            </w:r>
          </w:p>
        </w:tc>
        <w:tc>
          <w:tcPr>
            <w:tcW w:w="893" w:type="pct"/>
          </w:tcPr>
          <w:p w:rsidR="007A01B8" w:rsidRPr="00CF3921" w:rsidRDefault="007A01B8" w:rsidP="00CF3921">
            <w:pPr>
              <w:spacing w:after="0" w:line="240" w:lineRule="auto"/>
              <w:rPr>
                <w:rFonts w:cs="Calibri"/>
                <w:sz w:val="16"/>
                <w:szCs w:val="16"/>
              </w:rPr>
            </w:pPr>
            <w:r>
              <w:rPr>
                <w:rFonts w:cs="Calibri"/>
                <w:sz w:val="16"/>
                <w:szCs w:val="16"/>
              </w:rPr>
              <w:t>If known to have TB or LTBI or has not been screened for TB</w:t>
            </w:r>
          </w:p>
        </w:tc>
        <w:tc>
          <w:tcPr>
            <w:tcW w:w="903" w:type="pct"/>
          </w:tcPr>
          <w:p w:rsidR="007A01B8" w:rsidRPr="00CF3921" w:rsidRDefault="007A01B8" w:rsidP="00CF3921">
            <w:pPr>
              <w:spacing w:after="0" w:line="240" w:lineRule="auto"/>
              <w:rPr>
                <w:rFonts w:cs="Calibri"/>
                <w:sz w:val="16"/>
                <w:szCs w:val="16"/>
              </w:rPr>
            </w:pPr>
            <w:r>
              <w:rPr>
                <w:rFonts w:cs="Calibri"/>
                <w:sz w:val="16"/>
                <w:szCs w:val="16"/>
              </w:rPr>
              <w:t>If known to have TB or LTBI</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Entrance into healthcare system?</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Referred by State of Maine PHN.</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Variable</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Variable</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Variable</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TB Screening</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By State of Maine PHN upon arrival in US.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Variable. May have been done in other state prior to arrival in Maine. Possible by State of Maine PHN after arrival in Maine.</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Variable. May be performed </w:t>
            </w:r>
            <w:r>
              <w:rPr>
                <w:rFonts w:cs="Calibri"/>
                <w:sz w:val="16"/>
                <w:szCs w:val="16"/>
              </w:rPr>
              <w:t xml:space="preserve">by PHN or </w:t>
            </w:r>
            <w:r w:rsidRPr="00CF3921">
              <w:rPr>
                <w:rFonts w:cs="Calibri"/>
                <w:sz w:val="16"/>
                <w:szCs w:val="16"/>
              </w:rPr>
              <w:t xml:space="preserve">as part of asylee medical exam and documented on USCIS form </w:t>
            </w:r>
            <w:hyperlink r:id="rId37" w:history="1">
              <w:r w:rsidRPr="00CF3921">
                <w:rPr>
                  <w:rStyle w:val="Hyperlink"/>
                  <w:rFonts w:cs="Calibri"/>
                  <w:sz w:val="16"/>
                  <w:szCs w:val="16"/>
                </w:rPr>
                <w:t>I-693</w:t>
              </w:r>
            </w:hyperlink>
            <w:r w:rsidRPr="00CF3921">
              <w:rPr>
                <w:rFonts w:cs="Calibri"/>
                <w:sz w:val="16"/>
                <w:szCs w:val="16"/>
              </w:rPr>
              <w:t xml:space="preserve"> by Civil Surgeon.</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Variable. May be performed as part of asylee medical exam and documented on USCIS form </w:t>
            </w:r>
            <w:hyperlink r:id="rId38" w:history="1">
              <w:r w:rsidRPr="00CF3921">
                <w:rPr>
                  <w:rStyle w:val="Hyperlink"/>
                  <w:rFonts w:cs="Calibri"/>
                  <w:sz w:val="16"/>
                  <w:szCs w:val="16"/>
                </w:rPr>
                <w:t>I-693</w:t>
              </w:r>
            </w:hyperlink>
            <w:r w:rsidRPr="00CF3921">
              <w:rPr>
                <w:rFonts w:cs="Calibri"/>
                <w:sz w:val="16"/>
                <w:szCs w:val="16"/>
              </w:rPr>
              <w:t xml:space="preserve"> by Civil Surgeon.</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Management of TB or LTBI?</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State of Maine PHN and State of Maine TB Clinic</w:t>
            </w:r>
            <w:r>
              <w:rPr>
                <w:rFonts w:cs="Calibri"/>
                <w:sz w:val="16"/>
                <w:szCs w:val="16"/>
              </w:rPr>
              <w:t xml:space="preserve"> or primary care provider</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Variable. </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Variable.</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Variable.</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r w:rsidRPr="00CF3921">
              <w:rPr>
                <w:rFonts w:cs="Calibri"/>
                <w:sz w:val="16"/>
                <w:szCs w:val="16"/>
              </w:rPr>
              <w:t xml:space="preserve">Had overseas medical exam before coming to US documented on Department of State form </w:t>
            </w:r>
            <w:hyperlink r:id="rId39" w:history="1">
              <w:r w:rsidRPr="00CF3921">
                <w:rPr>
                  <w:rStyle w:val="Hyperlink"/>
                  <w:rFonts w:cs="Calibri"/>
                  <w:sz w:val="16"/>
                  <w:szCs w:val="16"/>
                </w:rPr>
                <w:t>DS-2053</w:t>
              </w:r>
            </w:hyperlink>
            <w:r w:rsidRPr="00CF3921">
              <w:rPr>
                <w:rFonts w:cs="Calibri"/>
                <w:sz w:val="16"/>
                <w:szCs w:val="16"/>
              </w:rPr>
              <w:t>?</w:t>
            </w:r>
          </w:p>
        </w:tc>
        <w:tc>
          <w:tcPr>
            <w:tcW w:w="985"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986" w:type="pct"/>
          </w:tcPr>
          <w:p w:rsidR="007A01B8" w:rsidRPr="00CF3921" w:rsidRDefault="007A01B8" w:rsidP="00CF3921">
            <w:pPr>
              <w:spacing w:after="0" w:line="240" w:lineRule="auto"/>
              <w:rPr>
                <w:rFonts w:cs="Calibri"/>
                <w:sz w:val="16"/>
                <w:szCs w:val="16"/>
              </w:rPr>
            </w:pPr>
            <w:r w:rsidRPr="00CF3921">
              <w:rPr>
                <w:rFonts w:cs="Calibri"/>
                <w:sz w:val="16"/>
                <w:szCs w:val="16"/>
              </w:rPr>
              <w:t>Yes</w:t>
            </w:r>
          </w:p>
        </w:tc>
        <w:tc>
          <w:tcPr>
            <w:tcW w:w="89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c>
          <w:tcPr>
            <w:tcW w:w="903" w:type="pct"/>
          </w:tcPr>
          <w:p w:rsidR="007A01B8" w:rsidRPr="00CF3921" w:rsidRDefault="007A01B8" w:rsidP="00CF3921">
            <w:pPr>
              <w:spacing w:after="0" w:line="240" w:lineRule="auto"/>
              <w:rPr>
                <w:rFonts w:cs="Calibri"/>
                <w:sz w:val="16"/>
                <w:szCs w:val="16"/>
              </w:rPr>
            </w:pPr>
            <w:r w:rsidRPr="00CF3921">
              <w:rPr>
                <w:rFonts w:cs="Calibri"/>
                <w:sz w:val="16"/>
                <w:szCs w:val="16"/>
              </w:rPr>
              <w:t>No</w:t>
            </w:r>
          </w:p>
        </w:tc>
      </w:tr>
      <w:tr w:rsidR="007A01B8" w:rsidRPr="00CF3921" w:rsidTr="00CF3921">
        <w:tc>
          <w:tcPr>
            <w:tcW w:w="1233" w:type="pct"/>
          </w:tcPr>
          <w:p w:rsidR="007A01B8" w:rsidRPr="00CF3921" w:rsidRDefault="007A01B8" w:rsidP="00CF3921">
            <w:pPr>
              <w:spacing w:after="0" w:line="240" w:lineRule="auto"/>
              <w:rPr>
                <w:rFonts w:cs="Calibri"/>
                <w:sz w:val="16"/>
                <w:szCs w:val="16"/>
              </w:rPr>
            </w:pPr>
          </w:p>
        </w:tc>
        <w:tc>
          <w:tcPr>
            <w:tcW w:w="985" w:type="pct"/>
          </w:tcPr>
          <w:p w:rsidR="007A01B8" w:rsidRPr="00CF3921" w:rsidRDefault="007A01B8" w:rsidP="00CF3921">
            <w:pPr>
              <w:spacing w:after="0" w:line="240" w:lineRule="auto"/>
              <w:rPr>
                <w:rFonts w:cs="Calibri"/>
                <w:sz w:val="16"/>
                <w:szCs w:val="16"/>
              </w:rPr>
            </w:pPr>
          </w:p>
        </w:tc>
        <w:tc>
          <w:tcPr>
            <w:tcW w:w="986" w:type="pct"/>
          </w:tcPr>
          <w:p w:rsidR="007A01B8" w:rsidRPr="00CF3921" w:rsidRDefault="007A01B8" w:rsidP="00CF3921">
            <w:pPr>
              <w:spacing w:after="0" w:line="240" w:lineRule="auto"/>
              <w:rPr>
                <w:rFonts w:cs="Calibri"/>
                <w:sz w:val="16"/>
                <w:szCs w:val="16"/>
              </w:rPr>
            </w:pPr>
          </w:p>
        </w:tc>
        <w:tc>
          <w:tcPr>
            <w:tcW w:w="893" w:type="pct"/>
          </w:tcPr>
          <w:p w:rsidR="007A01B8" w:rsidRPr="00CF3921" w:rsidRDefault="007A01B8" w:rsidP="00CF3921">
            <w:pPr>
              <w:spacing w:after="0" w:line="240" w:lineRule="auto"/>
              <w:rPr>
                <w:rFonts w:cs="Calibri"/>
                <w:sz w:val="16"/>
                <w:szCs w:val="16"/>
              </w:rPr>
            </w:pPr>
          </w:p>
        </w:tc>
        <w:tc>
          <w:tcPr>
            <w:tcW w:w="903" w:type="pct"/>
          </w:tcPr>
          <w:p w:rsidR="007A01B8" w:rsidRPr="00CF3921" w:rsidRDefault="007A01B8" w:rsidP="00CF3921">
            <w:pPr>
              <w:spacing w:after="0" w:line="240" w:lineRule="auto"/>
              <w:rPr>
                <w:rFonts w:cs="Calibri"/>
                <w:sz w:val="16"/>
                <w:szCs w:val="16"/>
              </w:rPr>
            </w:pPr>
          </w:p>
        </w:tc>
      </w:tr>
      <w:tr w:rsidR="007A01B8" w:rsidRPr="00CF3921" w:rsidTr="00CF3921">
        <w:tc>
          <w:tcPr>
            <w:tcW w:w="5000" w:type="pct"/>
            <w:gridSpan w:val="5"/>
          </w:tcPr>
          <w:p w:rsidR="007A01B8" w:rsidRPr="00CF3921" w:rsidRDefault="007A01B8" w:rsidP="00CF3921">
            <w:pPr>
              <w:spacing w:after="0" w:line="240" w:lineRule="auto"/>
              <w:rPr>
                <w:rFonts w:cs="Calibri"/>
                <w:sz w:val="16"/>
                <w:szCs w:val="16"/>
              </w:rPr>
            </w:pPr>
            <w:r w:rsidRPr="00CF3921">
              <w:rPr>
                <w:sz w:val="16"/>
                <w:szCs w:val="16"/>
              </w:rPr>
              <w:t>*CCM-RIS – Catholic Charities Refugee and Immigrant Services</w:t>
            </w:r>
            <w:r w:rsidRPr="00CF3921">
              <w:rPr>
                <w:sz w:val="16"/>
                <w:szCs w:val="16"/>
              </w:rPr>
              <w:br w:type="page"/>
            </w:r>
          </w:p>
        </w:tc>
      </w:tr>
    </w:tbl>
    <w:p w:rsidR="007A01B8" w:rsidRDefault="007A01B8"/>
    <w:p w:rsidR="007A01B8" w:rsidRPr="00006339" w:rsidRDefault="007A01B8">
      <w:pPr>
        <w:rPr>
          <w:u w:val="single"/>
        </w:rPr>
      </w:pPr>
      <w:r w:rsidRPr="00006339">
        <w:rPr>
          <w:u w:val="single"/>
        </w:rPr>
        <w:lastRenderedPageBreak/>
        <w:t>References:</w:t>
      </w:r>
    </w:p>
    <w:p w:rsidR="007A01B8" w:rsidRDefault="007A01B8">
      <w:r>
        <w:t xml:space="preserve">CDC Immigrant and Refugee Health web site: </w:t>
      </w:r>
      <w:hyperlink r:id="rId40" w:history="1">
        <w:r w:rsidRPr="00FE72A4">
          <w:rPr>
            <w:rStyle w:val="Hyperlink"/>
          </w:rPr>
          <w:t>http://www.cdc.gov/immigrantrefugeehealth/</w:t>
        </w:r>
      </w:hyperlink>
    </w:p>
    <w:p w:rsidR="007A01B8" w:rsidRDefault="007A01B8" w:rsidP="00E9118B">
      <w:r>
        <w:t xml:space="preserve">USPSTF (U.S. Preventative Services Task Force) web site: </w:t>
      </w:r>
      <w:hyperlink r:id="rId41" w:history="1">
        <w:r w:rsidRPr="00FE72A4">
          <w:rPr>
            <w:rStyle w:val="Hyperlink"/>
          </w:rPr>
          <w:t>http://www.ahrq.gov/clinic/uspstfix.htm</w:t>
        </w:r>
      </w:hyperlink>
    </w:p>
    <w:p w:rsidR="007A01B8" w:rsidRDefault="007A01B8">
      <w:r>
        <w:t xml:space="preserve">USCIS (U.S. Citizenship and Immigration Services web site: </w:t>
      </w:r>
      <w:hyperlink r:id="rId42" w:history="1">
        <w:r w:rsidRPr="00FE72A4">
          <w:rPr>
            <w:rStyle w:val="Hyperlink"/>
          </w:rPr>
          <w:t>http://www.uscis.gov/portal/site/uscis</w:t>
        </w:r>
      </w:hyperlink>
    </w:p>
    <w:p w:rsidR="007A01B8" w:rsidRDefault="007A01B8">
      <w:r>
        <w:t xml:space="preserve">Maine CDC web site: </w:t>
      </w:r>
      <w:hyperlink r:id="rId43" w:history="1">
        <w:r w:rsidRPr="00FE72A4">
          <w:rPr>
            <w:rStyle w:val="Hyperlink"/>
          </w:rPr>
          <w:t>http://www.maine.gov/dhhs/mecdc/</w:t>
        </w:r>
      </w:hyperlink>
    </w:p>
    <w:p w:rsidR="007A01B8" w:rsidRDefault="007A01B8" w:rsidP="00220702">
      <w:pPr>
        <w:rPr>
          <w:b/>
        </w:rPr>
      </w:pPr>
    </w:p>
    <w:p w:rsidR="007A01B8" w:rsidRPr="00996358" w:rsidRDefault="007A01B8" w:rsidP="00220702">
      <w:pPr>
        <w:rPr>
          <w:b/>
        </w:rPr>
      </w:pPr>
      <w:r w:rsidRPr="00996358">
        <w:rPr>
          <w:b/>
        </w:rPr>
        <w:t>Key to links embedded in this document (in the order they appear)</w:t>
      </w:r>
    </w:p>
    <w:p w:rsidR="007A01B8" w:rsidRDefault="007A01B8" w:rsidP="00220702">
      <w:pPr>
        <w:spacing w:after="0"/>
      </w:pPr>
      <w:r>
        <w:t>p. 1</w:t>
      </w:r>
    </w:p>
    <w:p w:rsidR="007A01B8" w:rsidRPr="00464D74" w:rsidRDefault="007A01B8" w:rsidP="00220702">
      <w:pPr>
        <w:rPr>
          <w:color w:val="0000FF"/>
        </w:rPr>
      </w:pPr>
      <w:r w:rsidRPr="00302818">
        <w:t>Maine Healthy Homes Program</w:t>
      </w:r>
      <w:r w:rsidRPr="00464D74">
        <w:t>:</w:t>
      </w:r>
      <w:r w:rsidRPr="00464D74">
        <w:rPr>
          <w:color w:val="0000FF"/>
        </w:rPr>
        <w:t xml:space="preserve"> </w:t>
      </w:r>
      <w:hyperlink r:id="rId44" w:history="1">
        <w:r w:rsidRPr="00464D74">
          <w:rPr>
            <w:rStyle w:val="Hyperlink"/>
          </w:rPr>
          <w:t>http://www.maine.gov/dhhs/mecdc/environmental-health/eohp/lead/</w:t>
        </w:r>
      </w:hyperlink>
    </w:p>
    <w:p w:rsidR="007A01B8" w:rsidRPr="00464D74" w:rsidRDefault="007A01B8" w:rsidP="00220702">
      <w:pPr>
        <w:rPr>
          <w:rFonts w:cs="Arial"/>
          <w:color w:val="0000FF"/>
        </w:rPr>
      </w:pPr>
      <w:r w:rsidRPr="00302818">
        <w:rPr>
          <w:rFonts w:cs="Arial"/>
        </w:rPr>
        <w:t>USPTF recommendations</w:t>
      </w:r>
      <w:r w:rsidRPr="00464D74">
        <w:rPr>
          <w:rFonts w:cs="Arial"/>
          <w:color w:val="0000FF"/>
        </w:rPr>
        <w:t xml:space="preserve">: </w:t>
      </w:r>
      <w:hyperlink r:id="rId45" w:history="1">
        <w:r w:rsidRPr="00464D74">
          <w:rPr>
            <w:rStyle w:val="Hyperlink"/>
            <w:rFonts w:cs="Arial"/>
          </w:rPr>
          <w:t>http://www.uspreventiveservicestaskforce.org/uspstf/uspscerv.htm</w:t>
        </w:r>
      </w:hyperlink>
      <w:r w:rsidRPr="00464D74">
        <w:rPr>
          <w:rFonts w:cs="Arial"/>
          <w:color w:val="0000FF"/>
        </w:rPr>
        <w:t xml:space="preserve"> </w:t>
      </w:r>
    </w:p>
    <w:p w:rsidR="007A01B8" w:rsidRPr="00464D74" w:rsidRDefault="007A01B8" w:rsidP="00220702">
      <w:pPr>
        <w:spacing w:after="0" w:line="240" w:lineRule="auto"/>
        <w:rPr>
          <w:color w:val="0000FF"/>
        </w:rPr>
      </w:pPr>
      <w:r w:rsidRPr="00302818">
        <w:t>Maine Newborn Screening Recommendations</w:t>
      </w:r>
      <w:r w:rsidRPr="00464D74">
        <w:rPr>
          <w:color w:val="0000FF"/>
        </w:rPr>
        <w:t xml:space="preserve">: </w:t>
      </w:r>
    </w:p>
    <w:p w:rsidR="007A01B8" w:rsidRPr="00464D74" w:rsidRDefault="00147B48" w:rsidP="00220702">
      <w:pPr>
        <w:spacing w:line="240" w:lineRule="auto"/>
        <w:rPr>
          <w:color w:val="0000FF"/>
        </w:rPr>
      </w:pPr>
      <w:hyperlink r:id="rId46" w:history="1">
        <w:r w:rsidR="007A01B8" w:rsidRPr="00464D74">
          <w:rPr>
            <w:rStyle w:val="Hyperlink"/>
          </w:rPr>
          <w:t>http://www.maine.gov/dhhs/mecdc/population-health/cshn/bloodspot-screening/providers.html</w:t>
        </w:r>
      </w:hyperlink>
      <w:r w:rsidR="007A01B8" w:rsidRPr="00464D74">
        <w:rPr>
          <w:color w:val="0000FF"/>
        </w:rPr>
        <w:t xml:space="preserve"> </w:t>
      </w:r>
    </w:p>
    <w:p w:rsidR="007A01B8" w:rsidRPr="00464D74" w:rsidRDefault="007A01B8" w:rsidP="00220702">
      <w:pPr>
        <w:rPr>
          <w:color w:val="0000FF"/>
        </w:rPr>
      </w:pPr>
      <w:r w:rsidRPr="00302818">
        <w:t>CDC ACIP Guidelines</w:t>
      </w:r>
      <w:r w:rsidRPr="00464D74">
        <w:rPr>
          <w:color w:val="0000FF"/>
        </w:rPr>
        <w:t xml:space="preserve">: </w:t>
      </w:r>
      <w:hyperlink r:id="rId47" w:history="1">
        <w:r w:rsidRPr="00464D74">
          <w:rPr>
            <w:rStyle w:val="Hyperlink"/>
          </w:rPr>
          <w:t>http://www.cdc.gov/vaccines/acip/index.html</w:t>
        </w:r>
      </w:hyperlink>
      <w:r w:rsidRPr="00464D74">
        <w:rPr>
          <w:color w:val="0000FF"/>
        </w:rPr>
        <w:t xml:space="preserve"> </w:t>
      </w:r>
    </w:p>
    <w:p w:rsidR="007A01B8" w:rsidRPr="00464D74" w:rsidRDefault="007A01B8" w:rsidP="00220702">
      <w:pPr>
        <w:spacing w:after="0" w:line="240" w:lineRule="auto"/>
        <w:rPr>
          <w:color w:val="0000FF"/>
        </w:rPr>
      </w:pPr>
      <w:r w:rsidRPr="00464D74">
        <w:t>Notifiable Conditions Reporting Form</w:t>
      </w:r>
      <w:r w:rsidRPr="00464D74">
        <w:rPr>
          <w:color w:val="0000FF"/>
        </w:rPr>
        <w:t xml:space="preserve">: </w:t>
      </w:r>
    </w:p>
    <w:p w:rsidR="007A01B8" w:rsidRPr="00996358" w:rsidRDefault="007A01B8" w:rsidP="00220702">
      <w:pPr>
        <w:spacing w:after="0" w:line="240" w:lineRule="auto"/>
        <w:rPr>
          <w:color w:val="0000FF"/>
        </w:rPr>
      </w:pPr>
      <w:r w:rsidRPr="00302818">
        <w:t>Microsoft Word</w:t>
      </w:r>
      <w:r w:rsidRPr="00996358">
        <w:rPr>
          <w:color w:val="0000FF"/>
          <w:u w:val="single"/>
        </w:rPr>
        <w:t>:</w:t>
      </w:r>
      <w:r w:rsidRPr="00996358">
        <w:rPr>
          <w:color w:val="0000FF"/>
        </w:rPr>
        <w:t xml:space="preserve"> (</w:t>
      </w:r>
      <w:hyperlink r:id="rId48" w:history="1">
        <w:r w:rsidRPr="00996358">
          <w:rPr>
            <w:rStyle w:val="Hyperlink"/>
          </w:rPr>
          <w:t>http://www.maine.gov/dhhs/mecdc/infectious-disease/epi/disease-reporting/documents/notifiable-form.doc</w:t>
        </w:r>
      </w:hyperlink>
      <w:r w:rsidRPr="00996358">
        <w:rPr>
          <w:color w:val="0000FF"/>
        </w:rPr>
        <w:t xml:space="preserve">) </w:t>
      </w:r>
    </w:p>
    <w:p w:rsidR="007A01B8" w:rsidRPr="00996358" w:rsidRDefault="007A01B8" w:rsidP="00220702">
      <w:pPr>
        <w:spacing w:after="0" w:line="240" w:lineRule="auto"/>
        <w:rPr>
          <w:color w:val="0000FF"/>
          <w:u w:val="single"/>
        </w:rPr>
      </w:pPr>
      <w:r w:rsidRPr="00302818">
        <w:t>Adobe PDF</w:t>
      </w:r>
      <w:r w:rsidRPr="00996358">
        <w:rPr>
          <w:color w:val="0000FF"/>
          <w:u w:val="single"/>
        </w:rPr>
        <w:t>: (</w:t>
      </w:r>
      <w:hyperlink r:id="rId49" w:history="1">
        <w:r w:rsidRPr="00996358">
          <w:rPr>
            <w:rStyle w:val="Hyperlink"/>
          </w:rPr>
          <w:t>http://www.maine.gov/dhhs/mecdc/infectious-disease/epi/disease-reporting/documents/notifiable-form.pdf</w:t>
        </w:r>
      </w:hyperlink>
      <w:r w:rsidRPr="00996358">
        <w:rPr>
          <w:color w:val="0000FF"/>
          <w:u w:val="single"/>
        </w:rPr>
        <w:t xml:space="preserve">) </w:t>
      </w:r>
    </w:p>
    <w:p w:rsidR="007A01B8" w:rsidRDefault="007A01B8" w:rsidP="00220702">
      <w:pPr>
        <w:spacing w:after="0"/>
      </w:pPr>
    </w:p>
    <w:p w:rsidR="007A01B8" w:rsidRPr="00464D74" w:rsidRDefault="007A01B8" w:rsidP="00220702">
      <w:pPr>
        <w:spacing w:after="0"/>
      </w:pPr>
      <w:r w:rsidRPr="00464D74">
        <w:t>p. 2</w:t>
      </w:r>
    </w:p>
    <w:p w:rsidR="007A01B8" w:rsidRPr="00464D74" w:rsidRDefault="007A01B8" w:rsidP="00220702">
      <w:pPr>
        <w:rPr>
          <w:color w:val="0000FF"/>
        </w:rPr>
      </w:pPr>
      <w:r w:rsidRPr="00302818">
        <w:t>DS-2053</w:t>
      </w:r>
      <w:r w:rsidRPr="00464D74">
        <w:rPr>
          <w:color w:val="0000FF"/>
        </w:rPr>
        <w:t xml:space="preserve">:  </w:t>
      </w:r>
      <w:hyperlink r:id="rId50" w:history="1">
        <w:r w:rsidRPr="00464D74">
          <w:rPr>
            <w:rStyle w:val="Hyperlink"/>
          </w:rPr>
          <w:t>http://photos.state.gov/libraries/vietnam/8621/pdf-forms/DS-2053.pdf</w:t>
        </w:r>
      </w:hyperlink>
    </w:p>
    <w:p w:rsidR="007A01B8" w:rsidRPr="00464D74" w:rsidRDefault="007A01B8" w:rsidP="00220702">
      <w:pPr>
        <w:rPr>
          <w:color w:val="0000FF"/>
        </w:rPr>
      </w:pPr>
      <w:r w:rsidRPr="00302818">
        <w:t>TST &amp; IGRA Tests: Recommendations for Use</w:t>
      </w:r>
      <w:r w:rsidRPr="00996358">
        <w:rPr>
          <w:color w:val="0000FF"/>
        </w:rPr>
        <w:t>:</w:t>
      </w:r>
      <w:r w:rsidRPr="00464D74">
        <w:rPr>
          <w:color w:val="0000FF"/>
        </w:rPr>
        <w:t xml:space="preserve"> </w:t>
      </w:r>
      <w:hyperlink r:id="rId51" w:history="1">
        <w:r w:rsidRPr="00464D74">
          <w:rPr>
            <w:rStyle w:val="Hyperlink"/>
          </w:rPr>
          <w:t>http://www.maine.gov/dhhs/mecdc/infectious-disease/epi/tuberculosis/documents/TST-IGRA-Recommendations.pdf</w:t>
        </w:r>
      </w:hyperlink>
    </w:p>
    <w:p w:rsidR="007A01B8" w:rsidRPr="00464D74" w:rsidRDefault="007A01B8" w:rsidP="00220702">
      <w:pPr>
        <w:spacing w:after="0" w:line="240" w:lineRule="auto"/>
        <w:rPr>
          <w:color w:val="0000FF"/>
        </w:rPr>
      </w:pPr>
      <w:r w:rsidRPr="00302818">
        <w:t>Maine TB Control Program</w:t>
      </w:r>
      <w:r w:rsidRPr="00464D74">
        <w:rPr>
          <w:color w:val="0000FF"/>
        </w:rPr>
        <w:t xml:space="preserve">: </w:t>
      </w:r>
    </w:p>
    <w:p w:rsidR="007A01B8" w:rsidRPr="00464D74" w:rsidRDefault="00147B48" w:rsidP="00220702">
      <w:pPr>
        <w:spacing w:after="0" w:line="240" w:lineRule="auto"/>
        <w:rPr>
          <w:color w:val="0000FF"/>
        </w:rPr>
      </w:pPr>
      <w:hyperlink r:id="rId52" w:history="1">
        <w:r w:rsidR="007A01B8" w:rsidRPr="00464D74">
          <w:rPr>
            <w:rStyle w:val="Hyperlink"/>
          </w:rPr>
          <w:t>http://www.maine.gov/dhhs/mecdc/infectious-disease/epi/tuberculosis/index.shtml</w:t>
        </w:r>
      </w:hyperlink>
      <w:r w:rsidR="007A01B8" w:rsidRPr="00464D74">
        <w:rPr>
          <w:color w:val="0000FF"/>
        </w:rPr>
        <w:t xml:space="preserve"> </w:t>
      </w:r>
    </w:p>
    <w:p w:rsidR="007A01B8" w:rsidRPr="00464D74" w:rsidRDefault="007A01B8" w:rsidP="00220702">
      <w:pPr>
        <w:spacing w:after="0" w:line="240" w:lineRule="auto"/>
        <w:rPr>
          <w:color w:val="0000FF"/>
        </w:rPr>
      </w:pPr>
    </w:p>
    <w:p w:rsidR="007A01B8" w:rsidRPr="00464D74" w:rsidRDefault="007A01B8" w:rsidP="00220702">
      <w:pPr>
        <w:spacing w:after="0"/>
      </w:pPr>
      <w:r w:rsidRPr="00464D74">
        <w:t>p. 3</w:t>
      </w:r>
    </w:p>
    <w:p w:rsidR="007A01B8" w:rsidRPr="00464D74" w:rsidRDefault="007A01B8" w:rsidP="00220702">
      <w:pPr>
        <w:rPr>
          <w:color w:val="0000FF"/>
        </w:rPr>
      </w:pPr>
      <w:r w:rsidRPr="00302818">
        <w:t>Clin Infect Dis</w:t>
      </w:r>
      <w:r w:rsidRPr="00464D74">
        <w:rPr>
          <w:color w:val="0000FF"/>
        </w:rPr>
        <w:t xml:space="preserve">: </w:t>
      </w:r>
      <w:hyperlink r:id="rId53" w:history="1">
        <w:r w:rsidRPr="00464D74">
          <w:rPr>
            <w:rStyle w:val="Hyperlink"/>
          </w:rPr>
          <w:t>http://www.ncbi.nlm.nih.gov/pubmed/22715208#</w:t>
        </w:r>
      </w:hyperlink>
      <w:r w:rsidRPr="00464D74">
        <w:rPr>
          <w:color w:val="0000FF"/>
        </w:rPr>
        <w:t xml:space="preserve"> </w:t>
      </w:r>
    </w:p>
    <w:p w:rsidR="007A01B8" w:rsidRPr="00464D74" w:rsidRDefault="007A01B8" w:rsidP="00220702">
      <w:pPr>
        <w:rPr>
          <w:color w:val="0000FF"/>
        </w:rPr>
      </w:pPr>
      <w:r w:rsidRPr="00302818">
        <w:t>DS-2053</w:t>
      </w:r>
      <w:r w:rsidRPr="00464D74">
        <w:rPr>
          <w:color w:val="0000FF"/>
        </w:rPr>
        <w:t xml:space="preserve">: </w:t>
      </w:r>
      <w:hyperlink r:id="rId54" w:history="1">
        <w:r w:rsidRPr="00464D74">
          <w:rPr>
            <w:rStyle w:val="Hyperlink"/>
          </w:rPr>
          <w:t>http://photos.state.gov/libraries/vietnam/8621/pdf-forms/DS-2053.pdf</w:t>
        </w:r>
      </w:hyperlink>
    </w:p>
    <w:p w:rsidR="007A01B8" w:rsidRPr="00464D74" w:rsidRDefault="007A01B8" w:rsidP="00220702">
      <w:pPr>
        <w:rPr>
          <w:color w:val="0000FF"/>
        </w:rPr>
      </w:pPr>
      <w:r w:rsidRPr="00302818">
        <w:t>MMWR 2006</w:t>
      </w:r>
      <w:r w:rsidRPr="00464D74">
        <w:rPr>
          <w:color w:val="0000FF"/>
        </w:rPr>
        <w:t xml:space="preserve">: </w:t>
      </w:r>
      <w:hyperlink r:id="rId55" w:history="1">
        <w:r w:rsidRPr="00464D74">
          <w:rPr>
            <w:rStyle w:val="Hyperlink"/>
          </w:rPr>
          <w:t>http://www.cdc.gov/mmwr/preview/mmwrhtml/rr5514a1.htm</w:t>
        </w:r>
      </w:hyperlink>
      <w:r w:rsidRPr="00464D74">
        <w:rPr>
          <w:color w:val="0000FF"/>
        </w:rPr>
        <w:t xml:space="preserve"> </w:t>
      </w:r>
    </w:p>
    <w:p w:rsidR="007A01B8" w:rsidRPr="00464D74" w:rsidRDefault="007A01B8" w:rsidP="00220702">
      <w:pPr>
        <w:spacing w:after="0"/>
      </w:pPr>
      <w:r w:rsidRPr="00464D74">
        <w:t>p. 4</w:t>
      </w:r>
    </w:p>
    <w:p w:rsidR="007A01B8" w:rsidRPr="00464D74" w:rsidRDefault="007A01B8" w:rsidP="00220702">
      <w:pPr>
        <w:rPr>
          <w:color w:val="0000FF"/>
        </w:rPr>
      </w:pPr>
      <w:r w:rsidRPr="00302818">
        <w:rPr>
          <w:rFonts w:cs="Calibri"/>
        </w:rPr>
        <w:t>I-693</w:t>
      </w:r>
      <w:r w:rsidRPr="00464D74">
        <w:rPr>
          <w:color w:val="0000FF"/>
        </w:rPr>
        <w:t xml:space="preserve">: </w:t>
      </w:r>
      <w:hyperlink r:id="rId56" w:history="1">
        <w:r w:rsidRPr="00464D74">
          <w:rPr>
            <w:rStyle w:val="Hyperlink"/>
          </w:rPr>
          <w:t>http://www.uscis.gov/files/form/i-693.pdf</w:t>
        </w:r>
      </w:hyperlink>
    </w:p>
    <w:p w:rsidR="007A01B8" w:rsidRPr="00C432CF" w:rsidRDefault="007A01B8" w:rsidP="00220702"/>
    <w:p w:rsidR="007A01B8" w:rsidRDefault="007A01B8"/>
    <w:p w:rsidR="007A01B8" w:rsidRDefault="007A01B8"/>
    <w:p w:rsidR="007A01B8" w:rsidRPr="00080D85" w:rsidRDefault="007A01B8">
      <w:pPr>
        <w:rPr>
          <w:rFonts w:cs="Arial"/>
          <w:i/>
          <w:iCs/>
        </w:rPr>
      </w:pPr>
      <w:r w:rsidRPr="00080D85">
        <w:t xml:space="preserve">This document is an updated and revised version of a similar set of recommendations originally developed in 2008 </w:t>
      </w:r>
      <w:r w:rsidRPr="00080D85">
        <w:rPr>
          <w:rFonts w:cs="Arial"/>
          <w:iCs/>
        </w:rPr>
        <w:t>by the Infectious Disease Public Health workgroup, International Health Sub-committee.  Thank you to the following for assistance with the</w:t>
      </w:r>
      <w:r>
        <w:rPr>
          <w:rFonts w:cs="Arial"/>
          <w:iCs/>
        </w:rPr>
        <w:t>se revisions.  The Maine CDC plans to review and update these recommendations every two years, unless immigration or disease patterns warrant consideration on a more frequent basis.</w:t>
      </w:r>
    </w:p>
    <w:p w:rsidR="007A01B8" w:rsidRDefault="007A01B8" w:rsidP="00080D85">
      <w:pPr>
        <w:spacing w:after="0" w:line="240" w:lineRule="auto"/>
        <w:sectPr w:rsidR="007A01B8" w:rsidSect="00220702">
          <w:headerReference w:type="default" r:id="rId57"/>
          <w:pgSz w:w="12240" w:h="15840"/>
          <w:pgMar w:top="1310" w:right="1152" w:bottom="720" w:left="1152" w:header="720" w:footer="720" w:gutter="0"/>
          <w:pgNumType w:start="0"/>
          <w:cols w:space="720"/>
          <w:titlePg/>
          <w:docGrid w:linePitch="360"/>
        </w:sectPr>
      </w:pPr>
    </w:p>
    <w:p w:rsidR="007A01B8" w:rsidRPr="00080D85" w:rsidRDefault="007A01B8" w:rsidP="00220702">
      <w:pPr>
        <w:spacing w:after="0" w:line="240" w:lineRule="auto"/>
        <w:jc w:val="center"/>
      </w:pPr>
      <w:r w:rsidRPr="00080D85">
        <w:lastRenderedPageBreak/>
        <w:t>Dr. Stephen Sears</w:t>
      </w:r>
    </w:p>
    <w:p w:rsidR="007A01B8" w:rsidRPr="00080D85" w:rsidRDefault="007A01B8" w:rsidP="00220702">
      <w:pPr>
        <w:spacing w:after="0" w:line="240" w:lineRule="auto"/>
        <w:jc w:val="center"/>
      </w:pPr>
      <w:r>
        <w:t xml:space="preserve">Dr. </w:t>
      </w:r>
      <w:r w:rsidRPr="00080D85">
        <w:t>Nat</w:t>
      </w:r>
      <w:r>
        <w:t>haniel</w:t>
      </w:r>
      <w:r w:rsidRPr="00080D85">
        <w:t xml:space="preserve"> James</w:t>
      </w:r>
    </w:p>
    <w:p w:rsidR="007A01B8" w:rsidRPr="00080D85" w:rsidRDefault="007A01B8" w:rsidP="00220702">
      <w:pPr>
        <w:spacing w:after="0" w:line="240" w:lineRule="auto"/>
        <w:jc w:val="center"/>
      </w:pPr>
      <w:r>
        <w:t xml:space="preserve">Dr. </w:t>
      </w:r>
      <w:r w:rsidRPr="00080D85">
        <w:t>Susan Talbot</w:t>
      </w:r>
    </w:p>
    <w:p w:rsidR="007A01B8" w:rsidRPr="00080D85" w:rsidRDefault="007A01B8" w:rsidP="00220702">
      <w:pPr>
        <w:spacing w:after="0" w:line="240" w:lineRule="auto"/>
        <w:jc w:val="center"/>
      </w:pPr>
      <w:r w:rsidRPr="00080D85">
        <w:t>Luanne Crinion</w:t>
      </w:r>
    </w:p>
    <w:p w:rsidR="007A01B8" w:rsidRPr="00080D85" w:rsidRDefault="007A01B8" w:rsidP="00220702">
      <w:pPr>
        <w:spacing w:after="0" w:line="240" w:lineRule="auto"/>
        <w:jc w:val="center"/>
      </w:pPr>
      <w:r w:rsidRPr="00080D85">
        <w:t xml:space="preserve">Dalit </w:t>
      </w:r>
      <w:r>
        <w:t>Wolfe</w:t>
      </w:r>
    </w:p>
    <w:p w:rsidR="007A01B8" w:rsidRPr="00080D85" w:rsidRDefault="007A01B8" w:rsidP="00220702">
      <w:pPr>
        <w:spacing w:after="0" w:line="240" w:lineRule="auto"/>
        <w:jc w:val="center"/>
      </w:pPr>
      <w:r>
        <w:t xml:space="preserve">Dr. </w:t>
      </w:r>
      <w:r w:rsidRPr="00080D85">
        <w:t>Kolawole Bankole</w:t>
      </w:r>
    </w:p>
    <w:p w:rsidR="007A01B8" w:rsidRDefault="007A01B8" w:rsidP="00220702">
      <w:pPr>
        <w:spacing w:after="0" w:line="240" w:lineRule="auto"/>
        <w:jc w:val="center"/>
      </w:pPr>
      <w:r>
        <w:t>Dr. Debra Rothenberg</w:t>
      </w:r>
    </w:p>
    <w:p w:rsidR="007A01B8" w:rsidRPr="00080D85" w:rsidRDefault="007A01B8" w:rsidP="00220702">
      <w:pPr>
        <w:spacing w:after="0" w:line="240" w:lineRule="auto"/>
        <w:jc w:val="center"/>
      </w:pPr>
      <w:r>
        <w:t>Dr. Carrie Frost</w:t>
      </w:r>
    </w:p>
    <w:p w:rsidR="007A01B8" w:rsidRDefault="007A01B8" w:rsidP="00220702">
      <w:pPr>
        <w:spacing w:after="0" w:line="240" w:lineRule="auto"/>
        <w:jc w:val="center"/>
      </w:pPr>
      <w:r>
        <w:t>Dr. Sarah Alvarez</w:t>
      </w:r>
    </w:p>
    <w:p w:rsidR="007A01B8" w:rsidRPr="00080D85" w:rsidRDefault="007A01B8" w:rsidP="00220702">
      <w:pPr>
        <w:spacing w:after="0" w:line="240" w:lineRule="auto"/>
        <w:jc w:val="center"/>
      </w:pPr>
      <w:r>
        <w:t>Dr. Shuli Bonham</w:t>
      </w:r>
    </w:p>
    <w:p w:rsidR="007A01B8" w:rsidRPr="00080D85" w:rsidRDefault="007A01B8" w:rsidP="00220702">
      <w:pPr>
        <w:spacing w:after="0" w:line="240" w:lineRule="auto"/>
        <w:jc w:val="center"/>
      </w:pPr>
      <w:r w:rsidRPr="00080D85">
        <w:lastRenderedPageBreak/>
        <w:t>Susan Stiker</w:t>
      </w:r>
    </w:p>
    <w:p w:rsidR="007A01B8" w:rsidRPr="00080D85" w:rsidRDefault="007A01B8" w:rsidP="00220702">
      <w:pPr>
        <w:spacing w:after="0" w:line="240" w:lineRule="auto"/>
        <w:jc w:val="center"/>
      </w:pPr>
      <w:r w:rsidRPr="00080D85">
        <w:t xml:space="preserve">Maureen </w:t>
      </w:r>
      <w:r>
        <w:t>Clancy</w:t>
      </w:r>
    </w:p>
    <w:p w:rsidR="007A01B8" w:rsidRPr="00080D85" w:rsidRDefault="007A01B8" w:rsidP="00220702">
      <w:pPr>
        <w:spacing w:after="0" w:line="240" w:lineRule="auto"/>
        <w:jc w:val="center"/>
      </w:pPr>
      <w:r w:rsidRPr="00080D85">
        <w:t>Heidi M</w:t>
      </w:r>
      <w:r>
        <w:t>allis</w:t>
      </w:r>
    </w:p>
    <w:p w:rsidR="007A01B8" w:rsidRPr="00080D85" w:rsidRDefault="007A01B8" w:rsidP="00220702">
      <w:pPr>
        <w:spacing w:after="0" w:line="240" w:lineRule="auto"/>
        <w:jc w:val="center"/>
      </w:pPr>
      <w:r w:rsidRPr="00080D85">
        <w:t xml:space="preserve">Kate </w:t>
      </w:r>
      <w:r>
        <w:t>Colby</w:t>
      </w:r>
    </w:p>
    <w:p w:rsidR="007A01B8" w:rsidRPr="00080D85" w:rsidRDefault="007A01B8" w:rsidP="00220702">
      <w:pPr>
        <w:spacing w:after="0" w:line="240" w:lineRule="auto"/>
        <w:jc w:val="center"/>
      </w:pPr>
      <w:r w:rsidRPr="00080D85">
        <w:t>Deqo Ahmed</w:t>
      </w:r>
    </w:p>
    <w:p w:rsidR="007A01B8" w:rsidRPr="00080D85" w:rsidRDefault="007A01B8" w:rsidP="00220702">
      <w:pPr>
        <w:spacing w:after="0" w:line="240" w:lineRule="auto"/>
        <w:jc w:val="center"/>
      </w:pPr>
      <w:r w:rsidRPr="00080D85">
        <w:t>Laura Gottfried</w:t>
      </w:r>
    </w:p>
    <w:p w:rsidR="007A01B8" w:rsidRPr="00080D85" w:rsidRDefault="007A01B8" w:rsidP="00220702">
      <w:pPr>
        <w:spacing w:after="0" w:line="240" w:lineRule="auto"/>
        <w:jc w:val="center"/>
      </w:pPr>
      <w:r w:rsidRPr="00080D85">
        <w:t>Peggy Akers</w:t>
      </w:r>
    </w:p>
    <w:p w:rsidR="007A01B8" w:rsidRPr="00080D85" w:rsidRDefault="007A01B8" w:rsidP="00220702">
      <w:pPr>
        <w:spacing w:after="0" w:line="240" w:lineRule="auto"/>
        <w:jc w:val="center"/>
      </w:pPr>
      <w:r w:rsidRPr="00080D85">
        <w:t xml:space="preserve">Lisa </w:t>
      </w:r>
      <w:r>
        <w:t>Sockabasin</w:t>
      </w:r>
    </w:p>
    <w:p w:rsidR="007A01B8" w:rsidRPr="00080D85" w:rsidRDefault="007A01B8" w:rsidP="00220702">
      <w:pPr>
        <w:spacing w:after="0" w:line="240" w:lineRule="auto"/>
        <w:jc w:val="center"/>
      </w:pPr>
      <w:r w:rsidRPr="00080D85">
        <w:t>Becca Matusovich</w:t>
      </w:r>
    </w:p>
    <w:p w:rsidR="007A01B8" w:rsidRDefault="007A01B8" w:rsidP="00220702">
      <w:pPr>
        <w:jc w:val="center"/>
        <w:sectPr w:rsidR="007A01B8" w:rsidSect="00996358">
          <w:type w:val="continuous"/>
          <w:pgSz w:w="12240" w:h="15840"/>
          <w:pgMar w:top="1317" w:right="1152" w:bottom="720" w:left="1152" w:header="720" w:footer="720" w:gutter="0"/>
          <w:cols w:num="2" w:space="720"/>
          <w:docGrid w:linePitch="360"/>
        </w:sectPr>
      </w:pPr>
    </w:p>
    <w:p w:rsidR="007A01B8" w:rsidRDefault="007A01B8" w:rsidP="00220702">
      <w:pPr>
        <w:pStyle w:val="Default"/>
      </w:pPr>
    </w:p>
    <w:p w:rsidR="007A01B8" w:rsidRDefault="007A01B8" w:rsidP="00220702">
      <w:pPr>
        <w:pStyle w:val="Default"/>
      </w:pPr>
    </w:p>
    <w:p w:rsidR="007A01B8" w:rsidRDefault="007A01B8" w:rsidP="00220702">
      <w:pPr>
        <w:pStyle w:val="Default"/>
      </w:pPr>
    </w:p>
    <w:p w:rsidR="007A01B8" w:rsidRDefault="007A01B8" w:rsidP="00220702">
      <w:pPr>
        <w:pStyle w:val="Default"/>
      </w:pPr>
    </w:p>
    <w:p w:rsidR="007A01B8" w:rsidRDefault="00F71441" w:rsidP="00220702">
      <w:pPr>
        <w:pStyle w:val="Default"/>
        <w:jc w:val="center"/>
      </w:pPr>
      <w:r>
        <w:rPr>
          <w:noProof/>
        </w:rPr>
        <w:drawing>
          <wp:inline distT="0" distB="0" distL="0" distR="0">
            <wp:extent cx="34004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00425" cy="1323975"/>
                    </a:xfrm>
                    <a:prstGeom prst="rect">
                      <a:avLst/>
                    </a:prstGeom>
                    <a:noFill/>
                    <a:ln>
                      <a:noFill/>
                    </a:ln>
                  </pic:spPr>
                </pic:pic>
              </a:graphicData>
            </a:graphic>
          </wp:inline>
        </w:drawing>
      </w:r>
    </w:p>
    <w:p w:rsidR="007A01B8" w:rsidRDefault="007A01B8" w:rsidP="00220702">
      <w:pPr>
        <w:pStyle w:val="Default"/>
        <w:rPr>
          <w:b/>
          <w:bCs/>
          <w:sz w:val="23"/>
          <w:szCs w:val="23"/>
        </w:rPr>
      </w:pPr>
    </w:p>
    <w:p w:rsidR="007A01B8" w:rsidRDefault="007A01B8" w:rsidP="00220702">
      <w:pPr>
        <w:pStyle w:val="Default"/>
        <w:rPr>
          <w:b/>
          <w:bCs/>
          <w:sz w:val="23"/>
          <w:szCs w:val="23"/>
        </w:rPr>
      </w:pPr>
    </w:p>
    <w:p w:rsidR="007A01B8" w:rsidRDefault="007A01B8" w:rsidP="00220702">
      <w:pPr>
        <w:pStyle w:val="Default"/>
        <w:rPr>
          <w:sz w:val="23"/>
          <w:szCs w:val="23"/>
        </w:rPr>
      </w:pPr>
      <w:r>
        <w:rPr>
          <w:b/>
          <w:bCs/>
          <w:sz w:val="23"/>
          <w:szCs w:val="23"/>
        </w:rPr>
        <w:t xml:space="preserve">NON-DISCRIMINATION NOTICE </w:t>
      </w:r>
    </w:p>
    <w:p w:rsidR="007A01B8" w:rsidRDefault="007A01B8" w:rsidP="00220702">
      <w:r>
        <w:t xml:space="preserve">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TTY users call Maine relay 711. Individuals who need auxiliary aids for effective communication in program and services of DHHS are invited to make their needs and preferences known to the ADA Compliance/EEO Coordinators. This notice is available in alternate formats, upon request. </w:t>
      </w:r>
    </w:p>
    <w:p w:rsidR="007A01B8" w:rsidRDefault="007A01B8" w:rsidP="00220702"/>
    <w:sectPr w:rsidR="007A01B8" w:rsidSect="00996358">
      <w:type w:val="continuous"/>
      <w:pgSz w:w="12240" w:h="15840"/>
      <w:pgMar w:top="1317"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48" w:rsidRDefault="00147B48" w:rsidP="00192E18">
      <w:pPr>
        <w:spacing w:after="0" w:line="240" w:lineRule="auto"/>
      </w:pPr>
      <w:r>
        <w:separator/>
      </w:r>
    </w:p>
  </w:endnote>
  <w:endnote w:type="continuationSeparator" w:id="0">
    <w:p w:rsidR="00147B48" w:rsidRDefault="00147B48" w:rsidP="0019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48" w:rsidRDefault="00147B48" w:rsidP="00192E18">
      <w:pPr>
        <w:spacing w:after="0" w:line="240" w:lineRule="auto"/>
      </w:pPr>
      <w:r>
        <w:separator/>
      </w:r>
    </w:p>
  </w:footnote>
  <w:footnote w:type="continuationSeparator" w:id="0">
    <w:p w:rsidR="00147B48" w:rsidRDefault="00147B48" w:rsidP="0019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B8" w:rsidRPr="000E527C" w:rsidRDefault="007A01B8" w:rsidP="00387252">
    <w:pPr>
      <w:pStyle w:val="Header"/>
      <w:tabs>
        <w:tab w:val="clear" w:pos="4680"/>
        <w:tab w:val="clear" w:pos="9360"/>
        <w:tab w:val="left" w:pos="5520"/>
      </w:tabs>
      <w:jc w:val="center"/>
      <w:rPr>
        <w:b/>
        <w:i/>
      </w:rPr>
    </w:pPr>
    <w:r w:rsidRPr="000E527C">
      <w:rPr>
        <w:b/>
      </w:rPr>
      <w:t xml:space="preserve">Initial Health Assessment and Management for Special Foreign-Born Populations in </w:t>
    </w:r>
    <w:smartTag w:uri="urn:schemas-microsoft-com:office:smarttags" w:element="State">
      <w:smartTag w:uri="urn:schemas-microsoft-com:office:smarttags" w:element="place">
        <w:r w:rsidRPr="000E527C">
          <w:rPr>
            <w:b/>
          </w:rPr>
          <w:t>Maine</w:t>
        </w:r>
      </w:smartTag>
    </w:smartTag>
  </w:p>
  <w:p w:rsidR="007A01B8" w:rsidRDefault="007A01B8" w:rsidP="00387252">
    <w:pPr>
      <w:pStyle w:val="Header"/>
      <w:tabs>
        <w:tab w:val="clear" w:pos="4680"/>
        <w:tab w:val="clear" w:pos="936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849D3">
      <w:rPr>
        <w:rStyle w:val="PageNumber"/>
        <w:noProof/>
      </w:rPr>
      <w:t>6</w:t>
    </w:r>
    <w:r>
      <w:rPr>
        <w:rStyle w:val="PageNumber"/>
      </w:rPr>
      <w:fldChar w:fldCharType="end"/>
    </w:r>
    <w:r>
      <w:rPr>
        <w:rStyle w:val="PageNumber"/>
      </w:rPr>
      <w:t xml:space="preserve"> </w:t>
    </w:r>
    <w:r>
      <w:t xml:space="preserve">of </w:t>
    </w:r>
    <w:fldSimple w:instr=" NUMPAGES   \* MERGEFORMAT ">
      <w:r w:rsidR="00D849D3">
        <w:rPr>
          <w:noProof/>
        </w:rPr>
        <w:t>7</w:t>
      </w:r>
    </w:fldSimple>
    <w:r>
      <w:tab/>
    </w:r>
    <w:r>
      <w:tab/>
    </w:r>
    <w:r>
      <w:tab/>
    </w:r>
    <w:r>
      <w:tab/>
    </w:r>
    <w:r w:rsidRPr="006153C7">
      <w:rPr>
        <w:b/>
        <w:noProof/>
        <w:sz w:val="32"/>
        <w:szCs w:val="32"/>
      </w:rPr>
      <w:tab/>
    </w:r>
    <w:r>
      <w:rPr>
        <w:noProof/>
      </w:rPr>
      <w:tab/>
    </w:r>
    <w:r>
      <w:rPr>
        <w:noProof/>
      </w:rPr>
      <w:tab/>
      <w:t xml:space="preserve">                  10/1/2012</w:t>
    </w:r>
  </w:p>
  <w:p w:rsidR="007A01B8" w:rsidRDefault="007A01B8" w:rsidP="006153C7">
    <w:pPr>
      <w:pStyle w:val="Header"/>
      <w:tabs>
        <w:tab w:val="clear" w:pos="4680"/>
        <w:tab w:val="clear" w:pos="9360"/>
      </w:tabs>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95"/>
    <w:multiLevelType w:val="multilevel"/>
    <w:tmpl w:val="FFA639C2"/>
    <w:lvl w:ilvl="0">
      <w:start w:val="1"/>
      <w:numFmt w:val="bullet"/>
      <w:lvlText w:val="⁯"/>
      <w:lvlJc w:val="left"/>
      <w:pPr>
        <w:tabs>
          <w:tab w:val="num" w:pos="1008"/>
        </w:tabs>
        <w:ind w:left="1440" w:hanging="720"/>
      </w:pPr>
      <w:rPr>
        <w:rFonts w:ascii="Times New Roman" w:hAnsi="Times New Roman"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0C94908"/>
    <w:multiLevelType w:val="hybridMultilevel"/>
    <w:tmpl w:val="F2786E70"/>
    <w:lvl w:ilvl="0" w:tplc="123CD86A">
      <w:start w:val="1"/>
      <w:numFmt w:val="bullet"/>
      <w:lvlText w:val="⁯"/>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467FB"/>
    <w:multiLevelType w:val="hybridMultilevel"/>
    <w:tmpl w:val="A70C0174"/>
    <w:lvl w:ilvl="0" w:tplc="916E91DC">
      <w:start w:val="1"/>
      <w:numFmt w:val="bullet"/>
      <w:lvlText w:val=""/>
      <w:lvlJc w:val="left"/>
      <w:pPr>
        <w:tabs>
          <w:tab w:val="num" w:pos="-2880"/>
        </w:tabs>
        <w:ind w:left="936" w:hanging="216"/>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7738BA"/>
    <w:multiLevelType w:val="hybridMultilevel"/>
    <w:tmpl w:val="FFA639C2"/>
    <w:lvl w:ilvl="0" w:tplc="A35A22D0">
      <w:start w:val="1"/>
      <w:numFmt w:val="bullet"/>
      <w:lvlText w:val="⁯"/>
      <w:lvlJc w:val="left"/>
      <w:pPr>
        <w:tabs>
          <w:tab w:val="num" w:pos="1008"/>
        </w:tabs>
        <w:ind w:left="1440" w:hanging="720"/>
      </w:pPr>
      <w:rPr>
        <w:rFonts w:ascii="Times New Roman" w:hAnsi="Times New Roman"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A94C6F"/>
    <w:multiLevelType w:val="multilevel"/>
    <w:tmpl w:val="A186FF82"/>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6401CE"/>
    <w:multiLevelType w:val="hybridMultilevel"/>
    <w:tmpl w:val="B7F6E620"/>
    <w:lvl w:ilvl="0" w:tplc="F2789B66">
      <w:start w:val="1"/>
      <w:numFmt w:val="bullet"/>
      <w:lvlText w:val="⁯"/>
      <w:lvlJc w:val="left"/>
      <w:pPr>
        <w:tabs>
          <w:tab w:val="num" w:pos="360"/>
        </w:tabs>
        <w:ind w:left="1440" w:hanging="1440"/>
      </w:pPr>
      <w:rPr>
        <w:rFonts w:ascii="Times New Roman" w:hAnsi="Times New Roman"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996F06"/>
    <w:multiLevelType w:val="hybridMultilevel"/>
    <w:tmpl w:val="188AD306"/>
    <w:lvl w:ilvl="0" w:tplc="8246536A">
      <w:start w:val="1"/>
      <w:numFmt w:val="bullet"/>
      <w:lvlText w:val="⁯"/>
      <w:lvlJc w:val="left"/>
      <w:pPr>
        <w:tabs>
          <w:tab w:val="num" w:pos="360"/>
        </w:tabs>
        <w:ind w:left="1440" w:hanging="432"/>
      </w:pPr>
      <w:rPr>
        <w:rFonts w:ascii="Times New Roman" w:hAnsi="Times New Roman"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86643AE"/>
    <w:multiLevelType w:val="hybridMultilevel"/>
    <w:tmpl w:val="7EF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322B7"/>
    <w:multiLevelType w:val="multilevel"/>
    <w:tmpl w:val="18D4DCAA"/>
    <w:lvl w:ilvl="0">
      <w:start w:val="1"/>
      <w:numFmt w:val="bullet"/>
      <w:lvlText w:val="⁯"/>
      <w:lvlJc w:val="left"/>
      <w:pPr>
        <w:tabs>
          <w:tab w:val="num" w:pos="288"/>
        </w:tabs>
        <w:ind w:left="720" w:hanging="72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B063A6"/>
    <w:multiLevelType w:val="multilevel"/>
    <w:tmpl w:val="B7F6E620"/>
    <w:lvl w:ilvl="0">
      <w:start w:val="1"/>
      <w:numFmt w:val="bullet"/>
      <w:lvlText w:val="⁯"/>
      <w:lvlJc w:val="left"/>
      <w:pPr>
        <w:tabs>
          <w:tab w:val="num" w:pos="360"/>
        </w:tabs>
        <w:ind w:left="1440" w:hanging="1440"/>
      </w:pPr>
      <w:rPr>
        <w:rFonts w:ascii="Times New Roman" w:hAnsi="Times New Roman"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0946657"/>
    <w:multiLevelType w:val="multilevel"/>
    <w:tmpl w:val="C4C0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A27D0"/>
    <w:multiLevelType w:val="hybridMultilevel"/>
    <w:tmpl w:val="1DB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B0E62"/>
    <w:multiLevelType w:val="hybridMultilevel"/>
    <w:tmpl w:val="187EFD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E95CEC"/>
    <w:multiLevelType w:val="hybridMultilevel"/>
    <w:tmpl w:val="2736C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82AC2"/>
    <w:multiLevelType w:val="multilevel"/>
    <w:tmpl w:val="18F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F188D"/>
    <w:multiLevelType w:val="hybridMultilevel"/>
    <w:tmpl w:val="18D4DCAA"/>
    <w:lvl w:ilvl="0" w:tplc="A35A22D0">
      <w:start w:val="1"/>
      <w:numFmt w:val="bullet"/>
      <w:lvlText w:val="⁯"/>
      <w:lvlJc w:val="left"/>
      <w:pPr>
        <w:tabs>
          <w:tab w:val="num" w:pos="288"/>
        </w:tabs>
        <w:ind w:left="720" w:hanging="720"/>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7F1CF7"/>
    <w:multiLevelType w:val="multilevel"/>
    <w:tmpl w:val="188AD306"/>
    <w:lvl w:ilvl="0">
      <w:start w:val="1"/>
      <w:numFmt w:val="bullet"/>
      <w:lvlText w:val="⁯"/>
      <w:lvlJc w:val="left"/>
      <w:pPr>
        <w:tabs>
          <w:tab w:val="num" w:pos="360"/>
        </w:tabs>
        <w:ind w:left="1440" w:hanging="432"/>
      </w:pPr>
      <w:rPr>
        <w:rFonts w:ascii="Times New Roman" w:hAnsi="Times New Roman"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62516E9"/>
    <w:multiLevelType w:val="hybridMultilevel"/>
    <w:tmpl w:val="17F0A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21506"/>
    <w:multiLevelType w:val="hybridMultilevel"/>
    <w:tmpl w:val="726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B5005"/>
    <w:multiLevelType w:val="multilevel"/>
    <w:tmpl w:val="4582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DD0339"/>
    <w:multiLevelType w:val="hybridMultilevel"/>
    <w:tmpl w:val="ABDCB75E"/>
    <w:lvl w:ilvl="0" w:tplc="916E91DC">
      <w:start w:val="1"/>
      <w:numFmt w:val="bullet"/>
      <w:lvlText w:val=""/>
      <w:lvlJc w:val="left"/>
      <w:pPr>
        <w:tabs>
          <w:tab w:val="num" w:pos="-2880"/>
        </w:tabs>
        <w:ind w:left="936" w:hanging="216"/>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FAE651A"/>
    <w:multiLevelType w:val="multilevel"/>
    <w:tmpl w:val="E2C0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8F2AB1"/>
    <w:multiLevelType w:val="multilevel"/>
    <w:tmpl w:val="FFA639C2"/>
    <w:lvl w:ilvl="0">
      <w:start w:val="1"/>
      <w:numFmt w:val="bullet"/>
      <w:lvlText w:val="⁯"/>
      <w:lvlJc w:val="left"/>
      <w:pPr>
        <w:tabs>
          <w:tab w:val="num" w:pos="1008"/>
        </w:tabs>
        <w:ind w:left="1440" w:hanging="720"/>
      </w:pPr>
      <w:rPr>
        <w:rFonts w:ascii="Times New Roman" w:hAnsi="Times New Roman"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6A120DD0"/>
    <w:multiLevelType w:val="hybridMultilevel"/>
    <w:tmpl w:val="415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C370E"/>
    <w:multiLevelType w:val="multilevel"/>
    <w:tmpl w:val="F2786E70"/>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C400256"/>
    <w:multiLevelType w:val="hybridMultilevel"/>
    <w:tmpl w:val="A186FF82"/>
    <w:lvl w:ilvl="0" w:tplc="ADA8BC8C">
      <w:start w:val="1"/>
      <w:numFmt w:val="bullet"/>
      <w:lvlText w:val="□"/>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7"/>
  </w:num>
  <w:num w:numId="4">
    <w:abstractNumId w:val="13"/>
  </w:num>
  <w:num w:numId="5">
    <w:abstractNumId w:val="17"/>
  </w:num>
  <w:num w:numId="6">
    <w:abstractNumId w:val="11"/>
  </w:num>
  <w:num w:numId="7">
    <w:abstractNumId w:val="23"/>
  </w:num>
  <w:num w:numId="8">
    <w:abstractNumId w:val="25"/>
  </w:num>
  <w:num w:numId="9">
    <w:abstractNumId w:val="4"/>
  </w:num>
  <w:num w:numId="10">
    <w:abstractNumId w:val="1"/>
  </w:num>
  <w:num w:numId="11">
    <w:abstractNumId w:val="24"/>
  </w:num>
  <w:num w:numId="12">
    <w:abstractNumId w:val="15"/>
  </w:num>
  <w:num w:numId="13">
    <w:abstractNumId w:val="8"/>
  </w:num>
  <w:num w:numId="14">
    <w:abstractNumId w:val="3"/>
  </w:num>
  <w:num w:numId="15">
    <w:abstractNumId w:val="0"/>
  </w:num>
  <w:num w:numId="16">
    <w:abstractNumId w:val="5"/>
  </w:num>
  <w:num w:numId="17">
    <w:abstractNumId w:val="9"/>
  </w:num>
  <w:num w:numId="18">
    <w:abstractNumId w:val="6"/>
  </w:num>
  <w:num w:numId="19">
    <w:abstractNumId w:val="19"/>
  </w:num>
  <w:num w:numId="20">
    <w:abstractNumId w:val="10"/>
  </w:num>
  <w:num w:numId="21">
    <w:abstractNumId w:val="22"/>
  </w:num>
  <w:num w:numId="22">
    <w:abstractNumId w:val="2"/>
  </w:num>
  <w:num w:numId="23">
    <w:abstractNumId w:val="16"/>
  </w:num>
  <w:num w:numId="24">
    <w:abstractNumId w:val="2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X8HTFGNBFBab6YPgrrr/txAM9sU=" w:salt="eaoR+CHURTRgs1nkD6J4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18"/>
    <w:rsid w:val="00006339"/>
    <w:rsid w:val="0001320F"/>
    <w:rsid w:val="00040862"/>
    <w:rsid w:val="00040B1C"/>
    <w:rsid w:val="00043D7B"/>
    <w:rsid w:val="0004798F"/>
    <w:rsid w:val="00055E67"/>
    <w:rsid w:val="0006476C"/>
    <w:rsid w:val="000733E0"/>
    <w:rsid w:val="00080D85"/>
    <w:rsid w:val="000905C2"/>
    <w:rsid w:val="00096D83"/>
    <w:rsid w:val="000B174A"/>
    <w:rsid w:val="000D4E9E"/>
    <w:rsid w:val="000E373C"/>
    <w:rsid w:val="000E527C"/>
    <w:rsid w:val="000F120F"/>
    <w:rsid w:val="000F28D3"/>
    <w:rsid w:val="000F2F96"/>
    <w:rsid w:val="001007E4"/>
    <w:rsid w:val="00103A3B"/>
    <w:rsid w:val="00115E46"/>
    <w:rsid w:val="001173B0"/>
    <w:rsid w:val="001419E8"/>
    <w:rsid w:val="00143064"/>
    <w:rsid w:val="00147B48"/>
    <w:rsid w:val="00160321"/>
    <w:rsid w:val="0017232A"/>
    <w:rsid w:val="00184D5A"/>
    <w:rsid w:val="001917FA"/>
    <w:rsid w:val="00192E18"/>
    <w:rsid w:val="001A15CC"/>
    <w:rsid w:val="001A4000"/>
    <w:rsid w:val="001C208A"/>
    <w:rsid w:val="001C23B8"/>
    <w:rsid w:val="001D5890"/>
    <w:rsid w:val="001E1DF9"/>
    <w:rsid w:val="001E4DFF"/>
    <w:rsid w:val="001F265D"/>
    <w:rsid w:val="0020338B"/>
    <w:rsid w:val="00204D13"/>
    <w:rsid w:val="00204FF5"/>
    <w:rsid w:val="0020623F"/>
    <w:rsid w:val="00220702"/>
    <w:rsid w:val="0024198D"/>
    <w:rsid w:val="00242BF0"/>
    <w:rsid w:val="00243114"/>
    <w:rsid w:val="00243D55"/>
    <w:rsid w:val="00245A2B"/>
    <w:rsid w:val="00261DE2"/>
    <w:rsid w:val="00272C5E"/>
    <w:rsid w:val="00294A20"/>
    <w:rsid w:val="00296933"/>
    <w:rsid w:val="002A7F7F"/>
    <w:rsid w:val="002B5253"/>
    <w:rsid w:val="002C6318"/>
    <w:rsid w:val="002C7550"/>
    <w:rsid w:val="002D2B50"/>
    <w:rsid w:val="002D3288"/>
    <w:rsid w:val="002E218E"/>
    <w:rsid w:val="002F1678"/>
    <w:rsid w:val="00302818"/>
    <w:rsid w:val="00304FA8"/>
    <w:rsid w:val="00326D9B"/>
    <w:rsid w:val="00336153"/>
    <w:rsid w:val="003401A5"/>
    <w:rsid w:val="00343A2A"/>
    <w:rsid w:val="00365160"/>
    <w:rsid w:val="00366DB2"/>
    <w:rsid w:val="00385BE4"/>
    <w:rsid w:val="00386D46"/>
    <w:rsid w:val="00387252"/>
    <w:rsid w:val="003B7B85"/>
    <w:rsid w:val="003C21FC"/>
    <w:rsid w:val="003E3692"/>
    <w:rsid w:val="003E634E"/>
    <w:rsid w:val="003F3324"/>
    <w:rsid w:val="003F5F92"/>
    <w:rsid w:val="00403384"/>
    <w:rsid w:val="00414A84"/>
    <w:rsid w:val="00421439"/>
    <w:rsid w:val="00424360"/>
    <w:rsid w:val="004440ED"/>
    <w:rsid w:val="00457D45"/>
    <w:rsid w:val="00462CFC"/>
    <w:rsid w:val="0046314F"/>
    <w:rsid w:val="00464D74"/>
    <w:rsid w:val="0047201B"/>
    <w:rsid w:val="00473778"/>
    <w:rsid w:val="00473D50"/>
    <w:rsid w:val="00477511"/>
    <w:rsid w:val="00492F5F"/>
    <w:rsid w:val="00493944"/>
    <w:rsid w:val="00493C00"/>
    <w:rsid w:val="00497DB0"/>
    <w:rsid w:val="004A3E31"/>
    <w:rsid w:val="004A54E8"/>
    <w:rsid w:val="004A77EE"/>
    <w:rsid w:val="004C74FE"/>
    <w:rsid w:val="004D536C"/>
    <w:rsid w:val="004E158F"/>
    <w:rsid w:val="004E31B6"/>
    <w:rsid w:val="004E711C"/>
    <w:rsid w:val="004F17C2"/>
    <w:rsid w:val="004F5923"/>
    <w:rsid w:val="005066EF"/>
    <w:rsid w:val="005203AA"/>
    <w:rsid w:val="005217FE"/>
    <w:rsid w:val="005267E7"/>
    <w:rsid w:val="00534151"/>
    <w:rsid w:val="00535263"/>
    <w:rsid w:val="00540975"/>
    <w:rsid w:val="0055653D"/>
    <w:rsid w:val="00565090"/>
    <w:rsid w:val="00572C6B"/>
    <w:rsid w:val="005832D0"/>
    <w:rsid w:val="0058773B"/>
    <w:rsid w:val="00593B1B"/>
    <w:rsid w:val="005A2381"/>
    <w:rsid w:val="005A4B94"/>
    <w:rsid w:val="005A7F3A"/>
    <w:rsid w:val="005B362C"/>
    <w:rsid w:val="005D42FD"/>
    <w:rsid w:val="005D73C6"/>
    <w:rsid w:val="00615366"/>
    <w:rsid w:val="006153C7"/>
    <w:rsid w:val="006166FE"/>
    <w:rsid w:val="00633F21"/>
    <w:rsid w:val="00651D24"/>
    <w:rsid w:val="0065543F"/>
    <w:rsid w:val="00657757"/>
    <w:rsid w:val="006933B8"/>
    <w:rsid w:val="00696879"/>
    <w:rsid w:val="00696E47"/>
    <w:rsid w:val="006A0D98"/>
    <w:rsid w:val="006A1A2D"/>
    <w:rsid w:val="006B14A3"/>
    <w:rsid w:val="006B2763"/>
    <w:rsid w:val="006B6355"/>
    <w:rsid w:val="006D0071"/>
    <w:rsid w:val="006D7C1B"/>
    <w:rsid w:val="006E3306"/>
    <w:rsid w:val="006F36C1"/>
    <w:rsid w:val="006F4155"/>
    <w:rsid w:val="006F4158"/>
    <w:rsid w:val="00704A30"/>
    <w:rsid w:val="0071141E"/>
    <w:rsid w:val="007142BA"/>
    <w:rsid w:val="00727E6B"/>
    <w:rsid w:val="00754DD5"/>
    <w:rsid w:val="00780603"/>
    <w:rsid w:val="00783AAF"/>
    <w:rsid w:val="00787EE9"/>
    <w:rsid w:val="00797249"/>
    <w:rsid w:val="00797F0E"/>
    <w:rsid w:val="007A01B8"/>
    <w:rsid w:val="007A1F84"/>
    <w:rsid w:val="007B2CEB"/>
    <w:rsid w:val="007D4604"/>
    <w:rsid w:val="007D68EA"/>
    <w:rsid w:val="007E5CCD"/>
    <w:rsid w:val="007F6C64"/>
    <w:rsid w:val="008009C0"/>
    <w:rsid w:val="008137A9"/>
    <w:rsid w:val="00826256"/>
    <w:rsid w:val="0083524C"/>
    <w:rsid w:val="008611A4"/>
    <w:rsid w:val="00872516"/>
    <w:rsid w:val="008A25EE"/>
    <w:rsid w:val="008A32C9"/>
    <w:rsid w:val="008A7A67"/>
    <w:rsid w:val="008D3835"/>
    <w:rsid w:val="008D7910"/>
    <w:rsid w:val="008E388A"/>
    <w:rsid w:val="009038BF"/>
    <w:rsid w:val="009125A3"/>
    <w:rsid w:val="0091547A"/>
    <w:rsid w:val="009333CB"/>
    <w:rsid w:val="0094001D"/>
    <w:rsid w:val="00945584"/>
    <w:rsid w:val="00957EDF"/>
    <w:rsid w:val="00970C3E"/>
    <w:rsid w:val="0097162D"/>
    <w:rsid w:val="00973199"/>
    <w:rsid w:val="00984428"/>
    <w:rsid w:val="00986D92"/>
    <w:rsid w:val="00996358"/>
    <w:rsid w:val="009A6966"/>
    <w:rsid w:val="009C28C0"/>
    <w:rsid w:val="009D0B5A"/>
    <w:rsid w:val="009D6952"/>
    <w:rsid w:val="009E4B73"/>
    <w:rsid w:val="009E529B"/>
    <w:rsid w:val="00A01B37"/>
    <w:rsid w:val="00A1013B"/>
    <w:rsid w:val="00A2145E"/>
    <w:rsid w:val="00A26C01"/>
    <w:rsid w:val="00A33E64"/>
    <w:rsid w:val="00A643DE"/>
    <w:rsid w:val="00A73F26"/>
    <w:rsid w:val="00A847DE"/>
    <w:rsid w:val="00AA794E"/>
    <w:rsid w:val="00AB1C66"/>
    <w:rsid w:val="00AD31D6"/>
    <w:rsid w:val="00AD4FD8"/>
    <w:rsid w:val="00AE1F8A"/>
    <w:rsid w:val="00AE427A"/>
    <w:rsid w:val="00AE6091"/>
    <w:rsid w:val="00B2202C"/>
    <w:rsid w:val="00B2756E"/>
    <w:rsid w:val="00B35D3D"/>
    <w:rsid w:val="00B601D9"/>
    <w:rsid w:val="00B609CF"/>
    <w:rsid w:val="00B83428"/>
    <w:rsid w:val="00B83627"/>
    <w:rsid w:val="00B84895"/>
    <w:rsid w:val="00B90119"/>
    <w:rsid w:val="00BA44F3"/>
    <w:rsid w:val="00BA7DA7"/>
    <w:rsid w:val="00BC17EB"/>
    <w:rsid w:val="00BC2F38"/>
    <w:rsid w:val="00BC6ABB"/>
    <w:rsid w:val="00BC761C"/>
    <w:rsid w:val="00BE0B46"/>
    <w:rsid w:val="00BE2B12"/>
    <w:rsid w:val="00BE7F68"/>
    <w:rsid w:val="00BF191A"/>
    <w:rsid w:val="00BF279E"/>
    <w:rsid w:val="00BF63A1"/>
    <w:rsid w:val="00BF7F5B"/>
    <w:rsid w:val="00C02280"/>
    <w:rsid w:val="00C03A39"/>
    <w:rsid w:val="00C11F8F"/>
    <w:rsid w:val="00C15EA6"/>
    <w:rsid w:val="00C1776F"/>
    <w:rsid w:val="00C25F60"/>
    <w:rsid w:val="00C30171"/>
    <w:rsid w:val="00C3766C"/>
    <w:rsid w:val="00C432CF"/>
    <w:rsid w:val="00C47992"/>
    <w:rsid w:val="00C6210D"/>
    <w:rsid w:val="00C65731"/>
    <w:rsid w:val="00C903DC"/>
    <w:rsid w:val="00C93556"/>
    <w:rsid w:val="00CA0760"/>
    <w:rsid w:val="00CA7523"/>
    <w:rsid w:val="00CB1E31"/>
    <w:rsid w:val="00CC0845"/>
    <w:rsid w:val="00CC446A"/>
    <w:rsid w:val="00CE3DD5"/>
    <w:rsid w:val="00CF2A27"/>
    <w:rsid w:val="00CF2EDE"/>
    <w:rsid w:val="00CF32CD"/>
    <w:rsid w:val="00CF3921"/>
    <w:rsid w:val="00D0659E"/>
    <w:rsid w:val="00D06C05"/>
    <w:rsid w:val="00D24D8A"/>
    <w:rsid w:val="00D2605F"/>
    <w:rsid w:val="00D315B8"/>
    <w:rsid w:val="00D43870"/>
    <w:rsid w:val="00D44F4B"/>
    <w:rsid w:val="00D849D3"/>
    <w:rsid w:val="00D86874"/>
    <w:rsid w:val="00D92E43"/>
    <w:rsid w:val="00D959AA"/>
    <w:rsid w:val="00DB710F"/>
    <w:rsid w:val="00DD30A1"/>
    <w:rsid w:val="00DD5646"/>
    <w:rsid w:val="00DD6B61"/>
    <w:rsid w:val="00DE328D"/>
    <w:rsid w:val="00DF3DA4"/>
    <w:rsid w:val="00DF6728"/>
    <w:rsid w:val="00E21074"/>
    <w:rsid w:val="00E45908"/>
    <w:rsid w:val="00E73462"/>
    <w:rsid w:val="00E770FB"/>
    <w:rsid w:val="00E83EAD"/>
    <w:rsid w:val="00E9118B"/>
    <w:rsid w:val="00EA3A42"/>
    <w:rsid w:val="00EA68D2"/>
    <w:rsid w:val="00EB3E1B"/>
    <w:rsid w:val="00ED38DB"/>
    <w:rsid w:val="00EE2D40"/>
    <w:rsid w:val="00EE3995"/>
    <w:rsid w:val="00EF17A4"/>
    <w:rsid w:val="00EF5690"/>
    <w:rsid w:val="00F13B39"/>
    <w:rsid w:val="00F164E0"/>
    <w:rsid w:val="00F17808"/>
    <w:rsid w:val="00F21E21"/>
    <w:rsid w:val="00F22839"/>
    <w:rsid w:val="00F27CB3"/>
    <w:rsid w:val="00F42F58"/>
    <w:rsid w:val="00F53E85"/>
    <w:rsid w:val="00F640E0"/>
    <w:rsid w:val="00F71441"/>
    <w:rsid w:val="00F75647"/>
    <w:rsid w:val="00F80128"/>
    <w:rsid w:val="00F863FC"/>
    <w:rsid w:val="00FA5D8B"/>
    <w:rsid w:val="00FA7C30"/>
    <w:rsid w:val="00FB1C8E"/>
    <w:rsid w:val="00FB7C6E"/>
    <w:rsid w:val="00FC21BC"/>
    <w:rsid w:val="00FC2E19"/>
    <w:rsid w:val="00FD05C3"/>
    <w:rsid w:val="00FD1BD8"/>
    <w:rsid w:val="00FD26BF"/>
    <w:rsid w:val="00FE2044"/>
    <w:rsid w:val="00FE4449"/>
    <w:rsid w:val="00FE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E0"/>
    <w:pPr>
      <w:spacing w:after="200" w:line="276" w:lineRule="auto"/>
    </w:pPr>
  </w:style>
  <w:style w:type="paragraph" w:styleId="Heading1">
    <w:name w:val="heading 1"/>
    <w:basedOn w:val="Normal"/>
    <w:next w:val="Normal"/>
    <w:link w:val="Heading1Char"/>
    <w:uiPriority w:val="99"/>
    <w:qFormat/>
    <w:rsid w:val="00414A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4A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14A84"/>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A84"/>
    <w:rPr>
      <w:rFonts w:ascii="Cambria" w:hAnsi="Cambria" w:cs="Times New Roman"/>
      <w:b/>
      <w:color w:val="365F91"/>
      <w:sz w:val="28"/>
    </w:rPr>
  </w:style>
  <w:style w:type="character" w:customStyle="1" w:styleId="Heading2Char">
    <w:name w:val="Heading 2 Char"/>
    <w:basedOn w:val="DefaultParagraphFont"/>
    <w:link w:val="Heading2"/>
    <w:uiPriority w:val="99"/>
    <w:locked/>
    <w:rsid w:val="00414A8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14A84"/>
    <w:rPr>
      <w:rFonts w:ascii="Cambria" w:hAnsi="Cambria" w:cs="Times New Roman"/>
      <w:b/>
      <w:color w:val="4F81BD"/>
    </w:rPr>
  </w:style>
  <w:style w:type="paragraph" w:styleId="Header">
    <w:name w:val="header"/>
    <w:basedOn w:val="Normal"/>
    <w:link w:val="HeaderChar"/>
    <w:uiPriority w:val="99"/>
    <w:rsid w:val="00192E1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92E18"/>
    <w:rPr>
      <w:rFonts w:cs="Times New Roman"/>
    </w:rPr>
  </w:style>
  <w:style w:type="paragraph" w:styleId="Footer">
    <w:name w:val="footer"/>
    <w:basedOn w:val="Normal"/>
    <w:link w:val="FooterChar"/>
    <w:uiPriority w:val="99"/>
    <w:rsid w:val="00192E1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92E18"/>
    <w:rPr>
      <w:rFonts w:cs="Times New Roman"/>
    </w:rPr>
  </w:style>
  <w:style w:type="paragraph" w:styleId="NoSpacing">
    <w:name w:val="No Spacing"/>
    <w:uiPriority w:val="99"/>
    <w:qFormat/>
    <w:rsid w:val="00192E18"/>
  </w:style>
  <w:style w:type="table" w:styleId="TableGrid">
    <w:name w:val="Table Grid"/>
    <w:basedOn w:val="TableNormal"/>
    <w:uiPriority w:val="99"/>
    <w:rsid w:val="00414A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4A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14A84"/>
    <w:rPr>
      <w:rFonts w:ascii="Tahoma" w:hAnsi="Tahoma" w:cs="Times New Roman"/>
      <w:sz w:val="16"/>
    </w:rPr>
  </w:style>
  <w:style w:type="character" w:styleId="Hyperlink">
    <w:name w:val="Hyperlink"/>
    <w:basedOn w:val="DefaultParagraphFont"/>
    <w:uiPriority w:val="99"/>
    <w:rsid w:val="0083524C"/>
    <w:rPr>
      <w:rFonts w:cs="Times New Roman"/>
      <w:color w:val="0000FF"/>
      <w:u w:val="single"/>
    </w:rPr>
  </w:style>
  <w:style w:type="character" w:styleId="FollowedHyperlink">
    <w:name w:val="FollowedHyperlink"/>
    <w:basedOn w:val="DefaultParagraphFont"/>
    <w:uiPriority w:val="99"/>
    <w:semiHidden/>
    <w:rsid w:val="00AB1C66"/>
    <w:rPr>
      <w:rFonts w:cs="Times New Roman"/>
      <w:color w:val="800080"/>
      <w:u w:val="single"/>
    </w:rPr>
  </w:style>
  <w:style w:type="paragraph" w:styleId="ListParagraph">
    <w:name w:val="List Paragraph"/>
    <w:basedOn w:val="Normal"/>
    <w:uiPriority w:val="99"/>
    <w:qFormat/>
    <w:rsid w:val="006F36C1"/>
    <w:pPr>
      <w:ind w:left="720"/>
      <w:contextualSpacing/>
    </w:pPr>
  </w:style>
  <w:style w:type="character" w:styleId="CommentReference">
    <w:name w:val="annotation reference"/>
    <w:basedOn w:val="DefaultParagraphFont"/>
    <w:uiPriority w:val="99"/>
    <w:semiHidden/>
    <w:rsid w:val="00F164E0"/>
    <w:rPr>
      <w:rFonts w:cs="Times New Roman"/>
      <w:sz w:val="16"/>
    </w:rPr>
  </w:style>
  <w:style w:type="paragraph" w:styleId="CommentText">
    <w:name w:val="annotation text"/>
    <w:basedOn w:val="Normal"/>
    <w:link w:val="CommentTextChar"/>
    <w:uiPriority w:val="99"/>
    <w:semiHidden/>
    <w:rsid w:val="00F164E0"/>
    <w:rPr>
      <w:sz w:val="20"/>
      <w:szCs w:val="20"/>
    </w:rPr>
  </w:style>
  <w:style w:type="character" w:customStyle="1" w:styleId="CommentTextChar">
    <w:name w:val="Comment Text Char"/>
    <w:basedOn w:val="DefaultParagraphFont"/>
    <w:link w:val="CommentText"/>
    <w:uiPriority w:val="99"/>
    <w:semiHidden/>
    <w:locked/>
    <w:rsid w:val="00BC17EB"/>
    <w:rPr>
      <w:rFonts w:cs="Times New Roman"/>
      <w:sz w:val="20"/>
    </w:rPr>
  </w:style>
  <w:style w:type="paragraph" w:styleId="CommentSubject">
    <w:name w:val="annotation subject"/>
    <w:basedOn w:val="CommentText"/>
    <w:next w:val="CommentText"/>
    <w:link w:val="CommentSubjectChar"/>
    <w:uiPriority w:val="99"/>
    <w:semiHidden/>
    <w:rsid w:val="00F164E0"/>
    <w:rPr>
      <w:b/>
      <w:bCs/>
    </w:rPr>
  </w:style>
  <w:style w:type="character" w:customStyle="1" w:styleId="CommentSubjectChar">
    <w:name w:val="Comment Subject Char"/>
    <w:basedOn w:val="CommentTextChar"/>
    <w:link w:val="CommentSubject"/>
    <w:uiPriority w:val="99"/>
    <w:semiHidden/>
    <w:locked/>
    <w:rsid w:val="00BC17EB"/>
    <w:rPr>
      <w:rFonts w:cs="Times New Roman"/>
      <w:b/>
      <w:sz w:val="20"/>
    </w:rPr>
  </w:style>
  <w:style w:type="character" w:customStyle="1" w:styleId="highlight">
    <w:name w:val="highlight"/>
    <w:basedOn w:val="DefaultParagraphFont"/>
    <w:uiPriority w:val="99"/>
    <w:rsid w:val="009E4B73"/>
    <w:rPr>
      <w:rFonts w:cs="Times New Roman"/>
    </w:rPr>
  </w:style>
  <w:style w:type="paragraph" w:customStyle="1" w:styleId="Default">
    <w:name w:val="Default"/>
    <w:uiPriority w:val="99"/>
    <w:rsid w:val="00220702"/>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rsid w:val="002207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E0"/>
    <w:pPr>
      <w:spacing w:after="200" w:line="276" w:lineRule="auto"/>
    </w:pPr>
  </w:style>
  <w:style w:type="paragraph" w:styleId="Heading1">
    <w:name w:val="heading 1"/>
    <w:basedOn w:val="Normal"/>
    <w:next w:val="Normal"/>
    <w:link w:val="Heading1Char"/>
    <w:uiPriority w:val="99"/>
    <w:qFormat/>
    <w:rsid w:val="00414A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4A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14A84"/>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A84"/>
    <w:rPr>
      <w:rFonts w:ascii="Cambria" w:hAnsi="Cambria" w:cs="Times New Roman"/>
      <w:b/>
      <w:color w:val="365F91"/>
      <w:sz w:val="28"/>
    </w:rPr>
  </w:style>
  <w:style w:type="character" w:customStyle="1" w:styleId="Heading2Char">
    <w:name w:val="Heading 2 Char"/>
    <w:basedOn w:val="DefaultParagraphFont"/>
    <w:link w:val="Heading2"/>
    <w:uiPriority w:val="99"/>
    <w:locked/>
    <w:rsid w:val="00414A84"/>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14A84"/>
    <w:rPr>
      <w:rFonts w:ascii="Cambria" w:hAnsi="Cambria" w:cs="Times New Roman"/>
      <w:b/>
      <w:color w:val="4F81BD"/>
    </w:rPr>
  </w:style>
  <w:style w:type="paragraph" w:styleId="Header">
    <w:name w:val="header"/>
    <w:basedOn w:val="Normal"/>
    <w:link w:val="HeaderChar"/>
    <w:uiPriority w:val="99"/>
    <w:rsid w:val="00192E1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92E18"/>
    <w:rPr>
      <w:rFonts w:cs="Times New Roman"/>
    </w:rPr>
  </w:style>
  <w:style w:type="paragraph" w:styleId="Footer">
    <w:name w:val="footer"/>
    <w:basedOn w:val="Normal"/>
    <w:link w:val="FooterChar"/>
    <w:uiPriority w:val="99"/>
    <w:rsid w:val="00192E1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92E18"/>
    <w:rPr>
      <w:rFonts w:cs="Times New Roman"/>
    </w:rPr>
  </w:style>
  <w:style w:type="paragraph" w:styleId="NoSpacing">
    <w:name w:val="No Spacing"/>
    <w:uiPriority w:val="99"/>
    <w:qFormat/>
    <w:rsid w:val="00192E18"/>
  </w:style>
  <w:style w:type="table" w:styleId="TableGrid">
    <w:name w:val="Table Grid"/>
    <w:basedOn w:val="TableNormal"/>
    <w:uiPriority w:val="99"/>
    <w:rsid w:val="00414A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4A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14A84"/>
    <w:rPr>
      <w:rFonts w:ascii="Tahoma" w:hAnsi="Tahoma" w:cs="Times New Roman"/>
      <w:sz w:val="16"/>
    </w:rPr>
  </w:style>
  <w:style w:type="character" w:styleId="Hyperlink">
    <w:name w:val="Hyperlink"/>
    <w:basedOn w:val="DefaultParagraphFont"/>
    <w:uiPriority w:val="99"/>
    <w:rsid w:val="0083524C"/>
    <w:rPr>
      <w:rFonts w:cs="Times New Roman"/>
      <w:color w:val="0000FF"/>
      <w:u w:val="single"/>
    </w:rPr>
  </w:style>
  <w:style w:type="character" w:styleId="FollowedHyperlink">
    <w:name w:val="FollowedHyperlink"/>
    <w:basedOn w:val="DefaultParagraphFont"/>
    <w:uiPriority w:val="99"/>
    <w:semiHidden/>
    <w:rsid w:val="00AB1C66"/>
    <w:rPr>
      <w:rFonts w:cs="Times New Roman"/>
      <w:color w:val="800080"/>
      <w:u w:val="single"/>
    </w:rPr>
  </w:style>
  <w:style w:type="paragraph" w:styleId="ListParagraph">
    <w:name w:val="List Paragraph"/>
    <w:basedOn w:val="Normal"/>
    <w:uiPriority w:val="99"/>
    <w:qFormat/>
    <w:rsid w:val="006F36C1"/>
    <w:pPr>
      <w:ind w:left="720"/>
      <w:contextualSpacing/>
    </w:pPr>
  </w:style>
  <w:style w:type="character" w:styleId="CommentReference">
    <w:name w:val="annotation reference"/>
    <w:basedOn w:val="DefaultParagraphFont"/>
    <w:uiPriority w:val="99"/>
    <w:semiHidden/>
    <w:rsid w:val="00F164E0"/>
    <w:rPr>
      <w:rFonts w:cs="Times New Roman"/>
      <w:sz w:val="16"/>
    </w:rPr>
  </w:style>
  <w:style w:type="paragraph" w:styleId="CommentText">
    <w:name w:val="annotation text"/>
    <w:basedOn w:val="Normal"/>
    <w:link w:val="CommentTextChar"/>
    <w:uiPriority w:val="99"/>
    <w:semiHidden/>
    <w:rsid w:val="00F164E0"/>
    <w:rPr>
      <w:sz w:val="20"/>
      <w:szCs w:val="20"/>
    </w:rPr>
  </w:style>
  <w:style w:type="character" w:customStyle="1" w:styleId="CommentTextChar">
    <w:name w:val="Comment Text Char"/>
    <w:basedOn w:val="DefaultParagraphFont"/>
    <w:link w:val="CommentText"/>
    <w:uiPriority w:val="99"/>
    <w:semiHidden/>
    <w:locked/>
    <w:rsid w:val="00BC17EB"/>
    <w:rPr>
      <w:rFonts w:cs="Times New Roman"/>
      <w:sz w:val="20"/>
    </w:rPr>
  </w:style>
  <w:style w:type="paragraph" w:styleId="CommentSubject">
    <w:name w:val="annotation subject"/>
    <w:basedOn w:val="CommentText"/>
    <w:next w:val="CommentText"/>
    <w:link w:val="CommentSubjectChar"/>
    <w:uiPriority w:val="99"/>
    <w:semiHidden/>
    <w:rsid w:val="00F164E0"/>
    <w:rPr>
      <w:b/>
      <w:bCs/>
    </w:rPr>
  </w:style>
  <w:style w:type="character" w:customStyle="1" w:styleId="CommentSubjectChar">
    <w:name w:val="Comment Subject Char"/>
    <w:basedOn w:val="CommentTextChar"/>
    <w:link w:val="CommentSubject"/>
    <w:uiPriority w:val="99"/>
    <w:semiHidden/>
    <w:locked/>
    <w:rsid w:val="00BC17EB"/>
    <w:rPr>
      <w:rFonts w:cs="Times New Roman"/>
      <w:b/>
      <w:sz w:val="20"/>
    </w:rPr>
  </w:style>
  <w:style w:type="character" w:customStyle="1" w:styleId="highlight">
    <w:name w:val="highlight"/>
    <w:basedOn w:val="DefaultParagraphFont"/>
    <w:uiPriority w:val="99"/>
    <w:rsid w:val="009E4B73"/>
    <w:rPr>
      <w:rFonts w:cs="Times New Roman"/>
    </w:rPr>
  </w:style>
  <w:style w:type="paragraph" w:customStyle="1" w:styleId="Default">
    <w:name w:val="Default"/>
    <w:uiPriority w:val="99"/>
    <w:rsid w:val="00220702"/>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rsid w:val="002207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7799">
      <w:marLeft w:val="0"/>
      <w:marRight w:val="0"/>
      <w:marTop w:val="0"/>
      <w:marBottom w:val="0"/>
      <w:divBdr>
        <w:top w:val="none" w:sz="0" w:space="0" w:color="auto"/>
        <w:left w:val="none" w:sz="0" w:space="0" w:color="auto"/>
        <w:bottom w:val="none" w:sz="0" w:space="0" w:color="auto"/>
        <w:right w:val="none" w:sz="0" w:space="0" w:color="auto"/>
      </w:divBdr>
    </w:div>
    <w:div w:id="1410807802">
      <w:marLeft w:val="0"/>
      <w:marRight w:val="0"/>
      <w:marTop w:val="0"/>
      <w:marBottom w:val="0"/>
      <w:divBdr>
        <w:top w:val="none" w:sz="0" w:space="0" w:color="auto"/>
        <w:left w:val="none" w:sz="0" w:space="0" w:color="auto"/>
        <w:bottom w:val="none" w:sz="0" w:space="0" w:color="auto"/>
        <w:right w:val="none" w:sz="0" w:space="0" w:color="auto"/>
      </w:divBdr>
      <w:divsChild>
        <w:div w:id="1410807805">
          <w:marLeft w:val="0"/>
          <w:marRight w:val="0"/>
          <w:marTop w:val="0"/>
          <w:marBottom w:val="0"/>
          <w:divBdr>
            <w:top w:val="none" w:sz="0" w:space="0" w:color="auto"/>
            <w:left w:val="none" w:sz="0" w:space="0" w:color="auto"/>
            <w:bottom w:val="none" w:sz="0" w:space="0" w:color="auto"/>
            <w:right w:val="none" w:sz="0" w:space="0" w:color="auto"/>
          </w:divBdr>
          <w:divsChild>
            <w:div w:id="1410807800">
              <w:marLeft w:val="0"/>
              <w:marRight w:val="0"/>
              <w:marTop w:val="0"/>
              <w:marBottom w:val="0"/>
              <w:divBdr>
                <w:top w:val="none" w:sz="0" w:space="0" w:color="auto"/>
                <w:left w:val="none" w:sz="0" w:space="0" w:color="auto"/>
                <w:bottom w:val="none" w:sz="0" w:space="0" w:color="auto"/>
                <w:right w:val="none" w:sz="0" w:space="0" w:color="auto"/>
              </w:divBdr>
              <w:divsChild>
                <w:div w:id="1410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807">
      <w:marLeft w:val="0"/>
      <w:marRight w:val="0"/>
      <w:marTop w:val="0"/>
      <w:marBottom w:val="0"/>
      <w:divBdr>
        <w:top w:val="none" w:sz="0" w:space="0" w:color="auto"/>
        <w:left w:val="none" w:sz="0" w:space="0" w:color="auto"/>
        <w:bottom w:val="none" w:sz="0" w:space="0" w:color="auto"/>
        <w:right w:val="none" w:sz="0" w:space="0" w:color="auto"/>
      </w:divBdr>
      <w:divsChild>
        <w:div w:id="1410807801">
          <w:marLeft w:val="0"/>
          <w:marRight w:val="0"/>
          <w:marTop w:val="0"/>
          <w:marBottom w:val="0"/>
          <w:divBdr>
            <w:top w:val="none" w:sz="0" w:space="0" w:color="auto"/>
            <w:left w:val="none" w:sz="0" w:space="0" w:color="auto"/>
            <w:bottom w:val="none" w:sz="0" w:space="0" w:color="auto"/>
            <w:right w:val="none" w:sz="0" w:space="0" w:color="auto"/>
          </w:divBdr>
          <w:divsChild>
            <w:div w:id="1410807804">
              <w:marLeft w:val="0"/>
              <w:marRight w:val="0"/>
              <w:marTop w:val="0"/>
              <w:marBottom w:val="0"/>
              <w:divBdr>
                <w:top w:val="none" w:sz="0" w:space="0" w:color="auto"/>
                <w:left w:val="none" w:sz="0" w:space="0" w:color="auto"/>
                <w:bottom w:val="none" w:sz="0" w:space="0" w:color="auto"/>
                <w:right w:val="none" w:sz="0" w:space="0" w:color="auto"/>
              </w:divBdr>
              <w:divsChild>
                <w:div w:id="1410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809">
      <w:marLeft w:val="0"/>
      <w:marRight w:val="0"/>
      <w:marTop w:val="0"/>
      <w:marBottom w:val="0"/>
      <w:divBdr>
        <w:top w:val="none" w:sz="0" w:space="0" w:color="auto"/>
        <w:left w:val="none" w:sz="0" w:space="0" w:color="auto"/>
        <w:bottom w:val="none" w:sz="0" w:space="0" w:color="auto"/>
        <w:right w:val="none" w:sz="0" w:space="0" w:color="auto"/>
      </w:divBdr>
      <w:divsChild>
        <w:div w:id="1410807814">
          <w:marLeft w:val="0"/>
          <w:marRight w:val="0"/>
          <w:marTop w:val="0"/>
          <w:marBottom w:val="0"/>
          <w:divBdr>
            <w:top w:val="none" w:sz="0" w:space="0" w:color="auto"/>
            <w:left w:val="none" w:sz="0" w:space="0" w:color="auto"/>
            <w:bottom w:val="none" w:sz="0" w:space="0" w:color="auto"/>
            <w:right w:val="none" w:sz="0" w:space="0" w:color="auto"/>
          </w:divBdr>
          <w:divsChild>
            <w:div w:id="1410807813">
              <w:marLeft w:val="0"/>
              <w:marRight w:val="0"/>
              <w:marTop w:val="0"/>
              <w:marBottom w:val="0"/>
              <w:divBdr>
                <w:top w:val="none" w:sz="0" w:space="0" w:color="auto"/>
                <w:left w:val="none" w:sz="0" w:space="0" w:color="auto"/>
                <w:bottom w:val="none" w:sz="0" w:space="0" w:color="auto"/>
                <w:right w:val="none" w:sz="0" w:space="0" w:color="auto"/>
              </w:divBdr>
              <w:divsChild>
                <w:div w:id="14108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812">
      <w:marLeft w:val="0"/>
      <w:marRight w:val="0"/>
      <w:marTop w:val="0"/>
      <w:marBottom w:val="0"/>
      <w:divBdr>
        <w:top w:val="none" w:sz="0" w:space="0" w:color="auto"/>
        <w:left w:val="none" w:sz="0" w:space="0" w:color="auto"/>
        <w:bottom w:val="none" w:sz="0" w:space="0" w:color="auto"/>
        <w:right w:val="none" w:sz="0" w:space="0" w:color="auto"/>
      </w:divBdr>
      <w:divsChild>
        <w:div w:id="1410807815">
          <w:marLeft w:val="0"/>
          <w:marRight w:val="0"/>
          <w:marTop w:val="0"/>
          <w:marBottom w:val="0"/>
          <w:divBdr>
            <w:top w:val="none" w:sz="0" w:space="0" w:color="auto"/>
            <w:left w:val="none" w:sz="0" w:space="0" w:color="auto"/>
            <w:bottom w:val="none" w:sz="0" w:space="0" w:color="auto"/>
            <w:right w:val="none" w:sz="0" w:space="0" w:color="auto"/>
          </w:divBdr>
          <w:divsChild>
            <w:div w:id="1410807811">
              <w:marLeft w:val="0"/>
              <w:marRight w:val="0"/>
              <w:marTop w:val="0"/>
              <w:marBottom w:val="0"/>
              <w:divBdr>
                <w:top w:val="none" w:sz="0" w:space="0" w:color="auto"/>
                <w:left w:val="none" w:sz="0" w:space="0" w:color="auto"/>
                <w:bottom w:val="none" w:sz="0" w:space="0" w:color="auto"/>
                <w:right w:val="none" w:sz="0" w:space="0" w:color="auto"/>
              </w:divBdr>
              <w:divsChild>
                <w:div w:id="1410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820">
      <w:marLeft w:val="0"/>
      <w:marRight w:val="0"/>
      <w:marTop w:val="0"/>
      <w:marBottom w:val="0"/>
      <w:divBdr>
        <w:top w:val="none" w:sz="0" w:space="0" w:color="auto"/>
        <w:left w:val="none" w:sz="0" w:space="0" w:color="auto"/>
        <w:bottom w:val="none" w:sz="0" w:space="0" w:color="auto"/>
        <w:right w:val="none" w:sz="0" w:space="0" w:color="auto"/>
      </w:divBdr>
      <w:divsChild>
        <w:div w:id="1410807825">
          <w:marLeft w:val="0"/>
          <w:marRight w:val="0"/>
          <w:marTop w:val="0"/>
          <w:marBottom w:val="0"/>
          <w:divBdr>
            <w:top w:val="none" w:sz="0" w:space="0" w:color="auto"/>
            <w:left w:val="none" w:sz="0" w:space="0" w:color="auto"/>
            <w:bottom w:val="none" w:sz="0" w:space="0" w:color="auto"/>
            <w:right w:val="none" w:sz="0" w:space="0" w:color="auto"/>
          </w:divBdr>
          <w:divsChild>
            <w:div w:id="1410807819">
              <w:marLeft w:val="0"/>
              <w:marRight w:val="0"/>
              <w:marTop w:val="0"/>
              <w:marBottom w:val="0"/>
              <w:divBdr>
                <w:top w:val="none" w:sz="0" w:space="0" w:color="auto"/>
                <w:left w:val="none" w:sz="0" w:space="0" w:color="auto"/>
                <w:bottom w:val="none" w:sz="0" w:space="0" w:color="auto"/>
                <w:right w:val="none" w:sz="0" w:space="0" w:color="auto"/>
              </w:divBdr>
              <w:divsChild>
                <w:div w:id="1410807824">
                  <w:marLeft w:val="0"/>
                  <w:marRight w:val="0"/>
                  <w:marTop w:val="0"/>
                  <w:marBottom w:val="0"/>
                  <w:divBdr>
                    <w:top w:val="none" w:sz="0" w:space="0" w:color="auto"/>
                    <w:left w:val="none" w:sz="0" w:space="0" w:color="auto"/>
                    <w:bottom w:val="none" w:sz="0" w:space="0" w:color="auto"/>
                    <w:right w:val="none" w:sz="0" w:space="0" w:color="auto"/>
                  </w:divBdr>
                  <w:divsChild>
                    <w:div w:id="1410807818">
                      <w:marLeft w:val="0"/>
                      <w:marRight w:val="0"/>
                      <w:marTop w:val="0"/>
                      <w:marBottom w:val="0"/>
                      <w:divBdr>
                        <w:top w:val="none" w:sz="0" w:space="0" w:color="auto"/>
                        <w:left w:val="none" w:sz="0" w:space="0" w:color="auto"/>
                        <w:bottom w:val="none" w:sz="0" w:space="0" w:color="auto"/>
                        <w:right w:val="none" w:sz="0" w:space="0" w:color="auto"/>
                      </w:divBdr>
                      <w:divsChild>
                        <w:div w:id="1410807823">
                          <w:marLeft w:val="0"/>
                          <w:marRight w:val="0"/>
                          <w:marTop w:val="0"/>
                          <w:marBottom w:val="0"/>
                          <w:divBdr>
                            <w:top w:val="none" w:sz="0" w:space="0" w:color="auto"/>
                            <w:left w:val="none" w:sz="0" w:space="0" w:color="auto"/>
                            <w:bottom w:val="none" w:sz="0" w:space="0" w:color="auto"/>
                            <w:right w:val="none" w:sz="0" w:space="0" w:color="auto"/>
                          </w:divBdr>
                          <w:divsChild>
                            <w:div w:id="1410807822">
                              <w:marLeft w:val="0"/>
                              <w:marRight w:val="0"/>
                              <w:marTop w:val="0"/>
                              <w:marBottom w:val="0"/>
                              <w:divBdr>
                                <w:top w:val="none" w:sz="0" w:space="0" w:color="auto"/>
                                <w:left w:val="none" w:sz="0" w:space="0" w:color="auto"/>
                                <w:bottom w:val="none" w:sz="0" w:space="0" w:color="auto"/>
                                <w:right w:val="none" w:sz="0" w:space="0" w:color="auto"/>
                              </w:divBdr>
                              <w:divsChild>
                                <w:div w:id="1410807816">
                                  <w:marLeft w:val="0"/>
                                  <w:marRight w:val="0"/>
                                  <w:marTop w:val="0"/>
                                  <w:marBottom w:val="0"/>
                                  <w:divBdr>
                                    <w:top w:val="none" w:sz="0" w:space="0" w:color="auto"/>
                                    <w:left w:val="none" w:sz="0" w:space="0" w:color="auto"/>
                                    <w:bottom w:val="none" w:sz="0" w:space="0" w:color="auto"/>
                                    <w:right w:val="none" w:sz="0" w:space="0" w:color="auto"/>
                                  </w:divBdr>
                                  <w:divsChild>
                                    <w:div w:id="1410807817">
                                      <w:marLeft w:val="0"/>
                                      <w:marRight w:val="0"/>
                                      <w:marTop w:val="0"/>
                                      <w:marBottom w:val="0"/>
                                      <w:divBdr>
                                        <w:top w:val="none" w:sz="0" w:space="0" w:color="auto"/>
                                        <w:left w:val="none" w:sz="0" w:space="0" w:color="auto"/>
                                        <w:bottom w:val="none" w:sz="0" w:space="0" w:color="auto"/>
                                        <w:right w:val="none" w:sz="0" w:space="0" w:color="auto"/>
                                      </w:divBdr>
                                    </w:div>
                                    <w:div w:id="14108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ine.gov/dhhs/mecdc/population-health/cshn/bloodspot-screening/providers.html" TargetMode="External"/><Relationship Id="rId18" Type="http://schemas.openxmlformats.org/officeDocument/2006/relationships/hyperlink" Target="http://www.cdc.gov/vaccines/acip/index.html" TargetMode="External"/><Relationship Id="rId26" Type="http://schemas.openxmlformats.org/officeDocument/2006/relationships/hyperlink" Target="http://www.maine.gov/dhhs/mecdc/infectious-disease/epi/tuberculosis/documents/TST-IGRA-Recommendations.pdf" TargetMode="External"/><Relationship Id="rId39" Type="http://schemas.openxmlformats.org/officeDocument/2006/relationships/hyperlink" Target="http://photos.state.gov/libraries/vietnam/8621/pdf-forms/DS-2053.pdf" TargetMode="External"/><Relationship Id="rId21" Type="http://schemas.openxmlformats.org/officeDocument/2006/relationships/hyperlink" Target="http://www.maine.gov/dhhs/mecdc/infectious-disease/epi/disease-reporting/documents/notifiable-form.pdf" TargetMode="External"/><Relationship Id="rId34" Type="http://schemas.openxmlformats.org/officeDocument/2006/relationships/hyperlink" Target="http://wordpress-test.jsi.com/refugeehealthta/files/2012/02/RHS15_Packet_PathwaysToWellness.pdf" TargetMode="External"/><Relationship Id="rId42" Type="http://schemas.openxmlformats.org/officeDocument/2006/relationships/hyperlink" Target="http://www.uscis.gov/portal/site/uscis" TargetMode="External"/><Relationship Id="rId47" Type="http://schemas.openxmlformats.org/officeDocument/2006/relationships/hyperlink" Target="http://www.cdc.gov/vaccines/acip/index.html" TargetMode="External"/><Relationship Id="rId50" Type="http://schemas.openxmlformats.org/officeDocument/2006/relationships/hyperlink" Target="http://photos.state.gov/libraries/vietnam/8621/pdf-forms/DS-2053.pdf" TargetMode="External"/><Relationship Id="rId55" Type="http://schemas.openxmlformats.org/officeDocument/2006/relationships/hyperlink" Target="http://www.cdc.gov/mmwr/preview/mmwrhtml/rr5514a1.htm" TargetMode="External"/><Relationship Id="rId7" Type="http://schemas.openxmlformats.org/officeDocument/2006/relationships/footnotes" Target="footnotes.xml"/><Relationship Id="rId12" Type="http://schemas.openxmlformats.org/officeDocument/2006/relationships/hyperlink" Target="http://www.uspreventiveservicestaskforce.org/uspstf/uspscerv.htm" TargetMode="External"/><Relationship Id="rId17" Type="http://schemas.openxmlformats.org/officeDocument/2006/relationships/hyperlink" Target="http://www.maine.gov/dhhs/mecdc/population-health/cshn/bloodspot-screening/providers.html" TargetMode="External"/><Relationship Id="rId25" Type="http://schemas.openxmlformats.org/officeDocument/2006/relationships/hyperlink" Target="http://photos.state.gov/libraries/vietnam/8621/pdf-forms/DS-2053.pdf" TargetMode="External"/><Relationship Id="rId33" Type="http://schemas.openxmlformats.org/officeDocument/2006/relationships/hyperlink" Target="http://www.cdc.gov/immigrantrefugeehealth/pdf/intestinal-parasites-domestic.pdf" TargetMode="External"/><Relationship Id="rId38" Type="http://schemas.openxmlformats.org/officeDocument/2006/relationships/hyperlink" Target="http://www.uscis.gov/files/form/i-693.pdf" TargetMode="External"/><Relationship Id="rId46" Type="http://schemas.openxmlformats.org/officeDocument/2006/relationships/hyperlink" Target="http://www.maine.gov/dhhs/mecdc/population-health/cshn/bloodspot-screening/providers.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preventiveservicestaskforce.org/uspstf/uspscerv.htm" TargetMode="External"/><Relationship Id="rId20" Type="http://schemas.openxmlformats.org/officeDocument/2006/relationships/hyperlink" Target="http://www.maine.gov/dhhs/mecdc/infectious-disease/epi/disease-reporting/documents/notifiable-form.doc" TargetMode="External"/><Relationship Id="rId29" Type="http://schemas.openxmlformats.org/officeDocument/2006/relationships/hyperlink" Target="http://www.ncbi.nlm.nih.gov/pubmed/22715208" TargetMode="External"/><Relationship Id="rId41" Type="http://schemas.openxmlformats.org/officeDocument/2006/relationships/hyperlink" Target="http://www.ahrq.gov/clinic/uspstfix.htm" TargetMode="External"/><Relationship Id="rId54" Type="http://schemas.openxmlformats.org/officeDocument/2006/relationships/hyperlink" Target="http://photos.state.gov/libraries/vietnam/8621/pdf-forms/DS-205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mecdc/environmental-health/eohp/lead/" TargetMode="External"/><Relationship Id="rId24" Type="http://schemas.openxmlformats.org/officeDocument/2006/relationships/hyperlink" Target="http://www.maine.gov/dhhs/mecdc/infectious-disease/epi/disease-reporting/documents/notifiable-form.pdf" TargetMode="External"/><Relationship Id="rId32" Type="http://schemas.openxmlformats.org/officeDocument/2006/relationships/hyperlink" Target="http://www.cdc.gov/mmwr/preview/mmwrhtml/rr5514a1.htm" TargetMode="External"/><Relationship Id="rId37" Type="http://schemas.openxmlformats.org/officeDocument/2006/relationships/hyperlink" Target="http://www.uscis.gov/files/form/i-693.pdf" TargetMode="External"/><Relationship Id="rId40" Type="http://schemas.openxmlformats.org/officeDocument/2006/relationships/hyperlink" Target="http://www.cdc.gov/immigrantrefugeehealth/" TargetMode="External"/><Relationship Id="rId45" Type="http://schemas.openxmlformats.org/officeDocument/2006/relationships/hyperlink" Target="http://www.uspreventiveservicestaskforce.org/uspstf/uspscerv.htm" TargetMode="External"/><Relationship Id="rId53" Type="http://schemas.openxmlformats.org/officeDocument/2006/relationships/hyperlink" Target="http://www.ncbi.nlm.nih.gov/pubmed/22715208" TargetMode="External"/><Relationship Id="rId58"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maine.gov/dhhs/mecdc/environmental-health/eohp/lead/" TargetMode="External"/><Relationship Id="rId23" Type="http://schemas.openxmlformats.org/officeDocument/2006/relationships/hyperlink" Target="http://www.maine.gov/dhhs/mecdc/infectious-disease/epi/disease-reporting/documents/notifiable-form.doc" TargetMode="External"/><Relationship Id="rId28" Type="http://schemas.openxmlformats.org/officeDocument/2006/relationships/hyperlink" Target="http://www.maine.gov/dhhs/mecdc/infectious-disease/epi/tuberculosis/index.shtml" TargetMode="External"/><Relationship Id="rId36" Type="http://schemas.openxmlformats.org/officeDocument/2006/relationships/hyperlink" Target="mailto:ai@portlandmaine.gov" TargetMode="External"/><Relationship Id="rId49" Type="http://schemas.openxmlformats.org/officeDocument/2006/relationships/hyperlink" Target="http://www.maine.gov/dhhs/mecdc/infectious-disease/epi/disease-reporting/documents/notifiable-form.pdf" TargetMode="External"/><Relationship Id="rId57" Type="http://schemas.openxmlformats.org/officeDocument/2006/relationships/header" Target="header1.xml"/><Relationship Id="rId10" Type="http://schemas.openxmlformats.org/officeDocument/2006/relationships/hyperlink" Target="http://go.usa.gov/YdkQ" TargetMode="External"/><Relationship Id="rId19" Type="http://schemas.openxmlformats.org/officeDocument/2006/relationships/hyperlink" Target="mailto:disease.reporting@maine.gov" TargetMode="External"/><Relationship Id="rId31" Type="http://schemas.openxmlformats.org/officeDocument/2006/relationships/hyperlink" Target="http://photos.state.gov/libraries/vietnam/8621/pdf-forms/DS-2053.pdf" TargetMode="External"/><Relationship Id="rId44" Type="http://schemas.openxmlformats.org/officeDocument/2006/relationships/hyperlink" Target="http://www.maine.gov/dhhs/mecdc/environmental-health/eohp/lead/" TargetMode="External"/><Relationship Id="rId52" Type="http://schemas.openxmlformats.org/officeDocument/2006/relationships/hyperlink" Target="http://www.maine.gov/dhhs/mecdc/infectious-disease/epi/tuberculosis/index.s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dc.gov/vaccines/acip/index.html" TargetMode="External"/><Relationship Id="rId22" Type="http://schemas.openxmlformats.org/officeDocument/2006/relationships/hyperlink" Target="mailto:disease.reporting@maine.gov" TargetMode="External"/><Relationship Id="rId27" Type="http://schemas.openxmlformats.org/officeDocument/2006/relationships/hyperlink" Target="http://www.maine.gov/dhhs/mecdc/infectious-disease/epi/tuberculosis/health-care.shtml" TargetMode="External"/><Relationship Id="rId30" Type="http://schemas.openxmlformats.org/officeDocument/2006/relationships/hyperlink" Target="http://www.ncbi.nlm.nih.gov/pubmed/22715208" TargetMode="External"/><Relationship Id="rId35" Type="http://schemas.openxmlformats.org/officeDocument/2006/relationships/hyperlink" Target="mailto:aalibare@ccmaine.org" TargetMode="External"/><Relationship Id="rId43" Type="http://schemas.openxmlformats.org/officeDocument/2006/relationships/hyperlink" Target="http://www.maine.gov/dhhs/mecdc/" TargetMode="External"/><Relationship Id="rId48" Type="http://schemas.openxmlformats.org/officeDocument/2006/relationships/hyperlink" Target="http://www.maine.gov/dhhs/mecdc/infectious-disease/epi/disease-reporting/documents/notifiable-form.doc" TargetMode="External"/><Relationship Id="rId56" Type="http://schemas.openxmlformats.org/officeDocument/2006/relationships/hyperlink" Target="http://www.uscis.gov/files/form/i-693.pdf" TargetMode="External"/><Relationship Id="rId8" Type="http://schemas.openxmlformats.org/officeDocument/2006/relationships/endnotes" Target="endnotes.xml"/><Relationship Id="rId51" Type="http://schemas.openxmlformats.org/officeDocument/2006/relationships/hyperlink" Target="http://www.maine.gov/dhhs/mecdc/infectious-disease/epi/tuberculosis/documents/TST-IGRA-Recommendation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A4B4-2AFC-433E-AD35-1C8F9100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2552</Words>
  <Characters>14549</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This document contains recommendations for a standardized approach to the initial health assessment and health management of healthy foreign-born people in the following categories:</vt:lpstr>
    </vt:vector>
  </TitlesOfParts>
  <Company>Maine Medical Center</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contains recommendations for a standardized approach to the initial health assessment and health management of healthy foreign-born people in the following categories:</dc:title>
  <dc:subject/>
  <dc:creator>Nathaniel W. James, IV, M.D.</dc:creator>
  <cp:keywords/>
  <dc:description/>
  <cp:lastModifiedBy>Thomas, Tara</cp:lastModifiedBy>
  <cp:revision>4</cp:revision>
  <cp:lastPrinted>2012-10-09T15:22:00Z</cp:lastPrinted>
  <dcterms:created xsi:type="dcterms:W3CDTF">2012-10-26T15:23:00Z</dcterms:created>
  <dcterms:modified xsi:type="dcterms:W3CDTF">2012-10-26T15:25:00Z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