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198CE" w14:textId="77777777" w:rsidR="000848DB" w:rsidRDefault="000848DB" w:rsidP="0033675F">
      <w:pPr>
        <w:pStyle w:val="NoSpacing"/>
        <w:sectPr w:rsidR="000848DB" w:rsidSect="001A4B4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34C198CF" w14:textId="33714BE7" w:rsidR="001A4B4F" w:rsidRPr="008B458C" w:rsidRDefault="000E3611" w:rsidP="009F4C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458C">
        <w:rPr>
          <w:rFonts w:asciiTheme="minorHAnsi" w:hAnsiTheme="minorHAnsi" w:cstheme="minorHAnsi"/>
          <w:b/>
          <w:sz w:val="22"/>
          <w:szCs w:val="22"/>
        </w:rPr>
        <w:t>ORDER FROM THE MAINE DEPARTMENT OF HEALTH AND HUMAN SERVICES</w:t>
      </w:r>
    </w:p>
    <w:p w14:paraId="1C79BCFB" w14:textId="439C3841" w:rsidR="000E3611" w:rsidRPr="008B458C" w:rsidRDefault="000E3611" w:rsidP="008735F3">
      <w:pPr>
        <w:rPr>
          <w:rFonts w:asciiTheme="minorHAnsi" w:hAnsiTheme="minorHAnsi" w:cstheme="minorHAnsi"/>
          <w:b/>
          <w:sz w:val="22"/>
          <w:szCs w:val="22"/>
        </w:rPr>
      </w:pPr>
    </w:p>
    <w:p w14:paraId="4702C234" w14:textId="6D8FF2D3" w:rsidR="0080736E" w:rsidRPr="008B458C" w:rsidRDefault="00FF7496" w:rsidP="00FF7496">
      <w:pPr>
        <w:jc w:val="both"/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 xml:space="preserve">On March 15, 2020, Governor Janet Mills declared a State of Emergency to respond to the spread of COVID-19.  </w:t>
      </w:r>
      <w:r w:rsidR="000E4EA9" w:rsidRPr="008B458C">
        <w:rPr>
          <w:rFonts w:asciiTheme="minorHAnsi" w:hAnsiTheme="minorHAnsi" w:cstheme="minorHAnsi"/>
          <w:sz w:val="22"/>
          <w:szCs w:val="22"/>
        </w:rPr>
        <w:t xml:space="preserve">The Maine </w:t>
      </w:r>
      <w:r w:rsidR="00721BBF" w:rsidRPr="008B458C">
        <w:rPr>
          <w:rFonts w:asciiTheme="minorHAnsi" w:hAnsiTheme="minorHAnsi" w:cstheme="minorHAnsi"/>
          <w:sz w:val="22"/>
          <w:szCs w:val="22"/>
        </w:rPr>
        <w:t>DHHS</w:t>
      </w:r>
      <w:r w:rsidR="000E4EA9" w:rsidRPr="008B458C">
        <w:rPr>
          <w:rFonts w:asciiTheme="minorHAnsi" w:hAnsiTheme="minorHAnsi" w:cstheme="minorHAnsi"/>
          <w:sz w:val="22"/>
          <w:szCs w:val="22"/>
        </w:rPr>
        <w:t xml:space="preserve"> has approved and authorize</w:t>
      </w:r>
      <w:r w:rsidR="006B5A70" w:rsidRPr="008B458C">
        <w:rPr>
          <w:rFonts w:asciiTheme="minorHAnsi" w:hAnsiTheme="minorHAnsi" w:cstheme="minorHAnsi"/>
          <w:sz w:val="22"/>
          <w:szCs w:val="22"/>
        </w:rPr>
        <w:t>d</w:t>
      </w:r>
      <w:r w:rsidR="000E4EA9" w:rsidRPr="008B458C">
        <w:rPr>
          <w:rFonts w:asciiTheme="minorHAnsi" w:hAnsiTheme="minorHAnsi" w:cstheme="minorHAnsi"/>
          <w:sz w:val="22"/>
          <w:szCs w:val="22"/>
        </w:rPr>
        <w:t xml:space="preserve"> me to take actions, incur such liabilities, and establish such rul</w:t>
      </w:r>
      <w:r w:rsidR="0080736E" w:rsidRPr="008B458C">
        <w:rPr>
          <w:rFonts w:asciiTheme="minorHAnsi" w:hAnsiTheme="minorHAnsi" w:cstheme="minorHAnsi"/>
          <w:sz w:val="22"/>
          <w:szCs w:val="22"/>
        </w:rPr>
        <w:t>es, requirements, and procedures which are necessary to prepare for, respond to, and mitigate the spread of COVID-19 in order to protect the health and welfare of the people of Maine, consistent with the Governor’s declaration.</w:t>
      </w:r>
    </w:p>
    <w:p w14:paraId="090EAD00" w14:textId="77777777" w:rsidR="0080736E" w:rsidRPr="008B458C" w:rsidRDefault="0080736E" w:rsidP="00FF74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D96E81" w14:textId="4FE115D0" w:rsidR="00FF7496" w:rsidRPr="008B458C" w:rsidRDefault="00FF7496" w:rsidP="00FF7496">
      <w:pPr>
        <w:jc w:val="both"/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 xml:space="preserve">On March 18, 2020, the Maine Department of Health and Human Services issued an Order authorizing Maine pharmacies and pharmacists to compound and sell hand sanitizer over the counter (“OTC”).  </w:t>
      </w:r>
    </w:p>
    <w:p w14:paraId="0D70F666" w14:textId="77777777" w:rsidR="00FF7496" w:rsidRPr="008B458C" w:rsidRDefault="00FF7496" w:rsidP="00FF7496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34990275"/>
    </w:p>
    <w:p w14:paraId="25DF80BA" w14:textId="50A53621" w:rsidR="00582DB7" w:rsidRPr="008B458C" w:rsidRDefault="00582DB7" w:rsidP="00FF7496">
      <w:pPr>
        <w:jc w:val="both"/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>Having received authorization from the Maine Department of Health and Human Services, with the approval of the Governor, I issue the following Order:</w:t>
      </w:r>
    </w:p>
    <w:p w14:paraId="69D425A3" w14:textId="77777777" w:rsidR="00D324EC" w:rsidRPr="008B458C" w:rsidRDefault="00D324EC" w:rsidP="00FF74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0CBFA" w14:textId="77777777" w:rsidR="00507CC5" w:rsidRPr="008B458C" w:rsidRDefault="00D324EC" w:rsidP="00721BB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>Maine</w:t>
      </w:r>
      <w:r w:rsidR="00FF7496" w:rsidRPr="008B458C">
        <w:rPr>
          <w:rFonts w:asciiTheme="minorHAnsi" w:hAnsiTheme="minorHAnsi" w:cstheme="minorHAnsi"/>
          <w:sz w:val="22"/>
          <w:szCs w:val="22"/>
        </w:rPr>
        <w:t xml:space="preserve"> pharmacies and pharmacists may compound and sell hand sanitizer </w:t>
      </w:r>
      <w:r w:rsidRPr="008B458C">
        <w:rPr>
          <w:rFonts w:asciiTheme="minorHAnsi" w:hAnsiTheme="minorHAnsi" w:cstheme="minorHAnsi"/>
          <w:sz w:val="22"/>
          <w:szCs w:val="22"/>
        </w:rPr>
        <w:t>to customers over the counter (</w:t>
      </w:r>
      <w:r w:rsidR="00FF7496" w:rsidRPr="008B458C">
        <w:rPr>
          <w:rFonts w:asciiTheme="minorHAnsi" w:hAnsiTheme="minorHAnsi" w:cstheme="minorHAnsi"/>
          <w:sz w:val="22"/>
          <w:szCs w:val="22"/>
        </w:rPr>
        <w:t>OTC</w:t>
      </w:r>
      <w:r w:rsidRPr="008B458C">
        <w:rPr>
          <w:rFonts w:asciiTheme="minorHAnsi" w:hAnsiTheme="minorHAnsi" w:cstheme="minorHAnsi"/>
          <w:sz w:val="22"/>
          <w:szCs w:val="22"/>
        </w:rPr>
        <w:t>)</w:t>
      </w:r>
      <w:r w:rsidR="000A2044" w:rsidRPr="008B458C">
        <w:rPr>
          <w:rFonts w:asciiTheme="minorHAnsi" w:hAnsiTheme="minorHAnsi" w:cstheme="minorHAnsi"/>
          <w:sz w:val="22"/>
          <w:szCs w:val="22"/>
        </w:rPr>
        <w:t>.</w:t>
      </w:r>
      <w:r w:rsidR="00FF7496" w:rsidRPr="008B458C">
        <w:rPr>
          <w:rFonts w:asciiTheme="minorHAnsi" w:hAnsiTheme="minorHAnsi" w:cstheme="minorHAnsi"/>
          <w:sz w:val="22"/>
          <w:szCs w:val="22"/>
        </w:rPr>
        <w:t xml:space="preserve"> </w:t>
      </w:r>
      <w:r w:rsidR="00E25457" w:rsidRPr="008B458C">
        <w:rPr>
          <w:rFonts w:asciiTheme="minorHAnsi" w:hAnsiTheme="minorHAnsi" w:cstheme="minorHAnsi"/>
          <w:sz w:val="22"/>
          <w:szCs w:val="22"/>
        </w:rPr>
        <w:t xml:space="preserve"> The pharmacy and pharmacist shall comply with </w:t>
      </w:r>
      <w:r w:rsidR="00FF7496" w:rsidRPr="008B458C">
        <w:rPr>
          <w:rFonts w:asciiTheme="minorHAnsi" w:hAnsiTheme="minorHAnsi" w:cstheme="minorHAnsi"/>
          <w:sz w:val="22"/>
          <w:szCs w:val="22"/>
        </w:rPr>
        <w:t xml:space="preserve">USP &lt;795&gt;, </w:t>
      </w:r>
      <w:r w:rsidR="00891012" w:rsidRPr="008B458C">
        <w:rPr>
          <w:rFonts w:asciiTheme="minorHAnsi" w:hAnsiTheme="minorHAnsi" w:cstheme="minorHAnsi"/>
          <w:sz w:val="22"/>
          <w:szCs w:val="22"/>
        </w:rPr>
        <w:t xml:space="preserve">and with any other requirements published by the Board of Registration in Pharmacy, including but not limited to </w:t>
      </w:r>
      <w:r w:rsidR="00507CC5" w:rsidRPr="008B458C">
        <w:rPr>
          <w:rFonts w:asciiTheme="minorHAnsi" w:hAnsiTheme="minorHAnsi" w:cstheme="minorHAnsi"/>
          <w:sz w:val="22"/>
          <w:szCs w:val="22"/>
        </w:rPr>
        <w:t>those provisions for record keeping, labeling, storage, and pricing.  All applicable statues, regulations, and guidance not inconsistent with this Order remain in effect.</w:t>
      </w:r>
    </w:p>
    <w:p w14:paraId="7E7C254B" w14:textId="77777777" w:rsidR="00507CC5" w:rsidRPr="008B458C" w:rsidRDefault="00507CC5" w:rsidP="00721BB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380B674" w14:textId="603021CE" w:rsidR="00507CC5" w:rsidRPr="008B458C" w:rsidRDefault="00507CC5" w:rsidP="00721BB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>This Order shall be effective immediately and shall remain in effect until the State of Emergency is terminated by the Governor, or until rescinded by me, whichever shall happen first.</w:t>
      </w:r>
    </w:p>
    <w:p w14:paraId="3FEFAAA3" w14:textId="77777777" w:rsidR="008B458C" w:rsidRPr="008B458C" w:rsidRDefault="008B458C" w:rsidP="00721BB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2C6896" w14:textId="77777777" w:rsidR="00507CC5" w:rsidRPr="008B458C" w:rsidRDefault="00507CC5" w:rsidP="00E254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552452" w14:textId="636DF1C2" w:rsidR="00507CC5" w:rsidRPr="008B458C" w:rsidRDefault="00507CC5" w:rsidP="00E25457">
      <w:pPr>
        <w:jc w:val="both"/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>IT IS SO ORDERED.</w:t>
      </w:r>
    </w:p>
    <w:p w14:paraId="0BE07B6B" w14:textId="3DEB667A" w:rsidR="000E1BAC" w:rsidRPr="008B458C" w:rsidRDefault="000E1BAC" w:rsidP="00E254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72F6A" w14:textId="77777777" w:rsidR="000E1BAC" w:rsidRPr="008B458C" w:rsidRDefault="000E1BAC" w:rsidP="00E254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1BAEB6" w14:textId="1C1B7AE9" w:rsidR="00BD297B" w:rsidRPr="008B458C" w:rsidRDefault="00A4092B" w:rsidP="00E25457">
      <w:pPr>
        <w:jc w:val="both"/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E6E5E97" wp14:editId="387A862E">
            <wp:extent cx="2372995" cy="650240"/>
            <wp:effectExtent l="0" t="0" r="8255" b="0"/>
            <wp:docPr id="5" name="Picture 5" descr="cid:image001.png@01D5C17E.722CB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C17E.722CB3F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3AAF7" w14:textId="13CCBC24" w:rsidR="00BD297B" w:rsidRPr="008B458C" w:rsidRDefault="00BD297B" w:rsidP="000E1BAC">
      <w:pPr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1B807F47" w14:textId="3BB506BF" w:rsidR="003A38B0" w:rsidRPr="008B458C" w:rsidRDefault="003A38B0" w:rsidP="000E1BAC">
      <w:pPr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>Amy Belisle, MD, MBA</w:t>
      </w:r>
    </w:p>
    <w:p w14:paraId="2B9F9120" w14:textId="77777777" w:rsidR="003A38B0" w:rsidRPr="008B458C" w:rsidRDefault="003A38B0" w:rsidP="000E1BAC">
      <w:pPr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>Chief Child Health Officer</w:t>
      </w:r>
    </w:p>
    <w:p w14:paraId="0F2F7DC8" w14:textId="77777777" w:rsidR="000E1BAC" w:rsidRPr="008B458C" w:rsidRDefault="00BD297B" w:rsidP="000E1BAC">
      <w:pPr>
        <w:rPr>
          <w:rFonts w:asciiTheme="minorHAnsi" w:eastAsia="Calibri" w:hAnsiTheme="minorHAnsi" w:cstheme="minorHAnsi"/>
          <w:sz w:val="22"/>
          <w:szCs w:val="22"/>
        </w:rPr>
      </w:pPr>
      <w:r w:rsidRPr="008B458C">
        <w:rPr>
          <w:rFonts w:asciiTheme="minorHAnsi" w:eastAsia="Calibri" w:hAnsiTheme="minorHAnsi" w:cstheme="minorHAnsi"/>
          <w:sz w:val="22"/>
          <w:szCs w:val="22"/>
        </w:rPr>
        <w:t xml:space="preserve">Maine </w:t>
      </w:r>
      <w:r w:rsidR="003A38B0" w:rsidRPr="008B458C">
        <w:rPr>
          <w:rFonts w:asciiTheme="minorHAnsi" w:eastAsia="Calibri" w:hAnsiTheme="minorHAnsi" w:cstheme="minorHAnsi"/>
          <w:sz w:val="22"/>
          <w:szCs w:val="22"/>
        </w:rPr>
        <w:t xml:space="preserve">Department of Health and Human Services </w:t>
      </w:r>
      <w:r w:rsidR="003A38B0" w:rsidRPr="008B458C">
        <w:rPr>
          <w:rFonts w:asciiTheme="minorHAnsi" w:eastAsia="Calibri" w:hAnsiTheme="minorHAnsi" w:cstheme="minorHAnsi"/>
          <w:sz w:val="22"/>
          <w:szCs w:val="22"/>
        </w:rPr>
        <w:br/>
      </w:r>
    </w:p>
    <w:p w14:paraId="5B26FD8A" w14:textId="0BCF8648" w:rsidR="00FF7496" w:rsidRPr="008B458C" w:rsidRDefault="00BD297B" w:rsidP="008735F3">
      <w:pPr>
        <w:rPr>
          <w:rFonts w:eastAsia="Calibri"/>
          <w:sz w:val="22"/>
          <w:szCs w:val="22"/>
        </w:rPr>
      </w:pPr>
      <w:r w:rsidRPr="008B458C">
        <w:rPr>
          <w:rFonts w:asciiTheme="minorHAnsi" w:eastAsia="Calibri" w:hAnsiTheme="minorHAnsi" w:cstheme="minorHAnsi"/>
          <w:noProof/>
          <w:sz w:val="22"/>
          <w:szCs w:val="22"/>
        </w:rPr>
        <w:t>March 18, 2020</w:t>
      </w:r>
      <w:r w:rsidR="003A38B0" w:rsidRPr="008B458C">
        <w:rPr>
          <w:rFonts w:ascii="Calibri" w:eastAsia="Calibri" w:hAnsi="Calibri" w:cs="Calibri Light"/>
          <w:noProof/>
          <w:sz w:val="22"/>
          <w:szCs w:val="22"/>
        </w:rPr>
        <w:br/>
      </w:r>
      <w:bookmarkEnd w:id="0"/>
    </w:p>
    <w:p w14:paraId="632B4DC4" w14:textId="5DAE86B0" w:rsidR="008B458C" w:rsidRPr="008B458C" w:rsidRDefault="008B458C" w:rsidP="008B458C">
      <w:pPr>
        <w:pStyle w:val="Default"/>
        <w:rPr>
          <w:rFonts w:asciiTheme="minorHAnsi" w:hAnsiTheme="minorHAnsi"/>
          <w:sz w:val="22"/>
          <w:szCs w:val="22"/>
        </w:rPr>
      </w:pPr>
      <w:r w:rsidRPr="008B458C">
        <w:rPr>
          <w:rFonts w:asciiTheme="minorHAnsi" w:hAnsiTheme="minorHAnsi"/>
          <w:sz w:val="22"/>
          <w:szCs w:val="22"/>
        </w:rPr>
        <w:t>Update to March 18, 2020 Maine Department of Health and Human Services Standing Order authorizing Maine pharmacies and pharmacists to compound and sell hand sanitizer over the counter (“OTC”).</w:t>
      </w:r>
    </w:p>
    <w:p w14:paraId="0F5343E1" w14:textId="77777777" w:rsidR="008B458C" w:rsidRPr="008B458C" w:rsidRDefault="008B458C" w:rsidP="008B458C">
      <w:pPr>
        <w:pStyle w:val="Default"/>
        <w:rPr>
          <w:rFonts w:asciiTheme="minorHAnsi" w:hAnsiTheme="minorHAnsi"/>
          <w:sz w:val="22"/>
          <w:szCs w:val="22"/>
        </w:rPr>
      </w:pPr>
      <w:r w:rsidRPr="008B458C">
        <w:rPr>
          <w:rFonts w:asciiTheme="minorHAnsi" w:hAnsiTheme="minorHAnsi"/>
          <w:sz w:val="22"/>
          <w:szCs w:val="22"/>
        </w:rPr>
        <w:tab/>
      </w:r>
    </w:p>
    <w:p w14:paraId="75E95E12" w14:textId="1F9100C2" w:rsidR="008B458C" w:rsidRPr="00AA3A36" w:rsidRDefault="008B458C" w:rsidP="00AA3A36">
      <w:pPr>
        <w:pStyle w:val="Default"/>
        <w:ind w:firstLine="720"/>
        <w:rPr>
          <w:rFonts w:asciiTheme="minorHAnsi" w:hAnsiTheme="minorHAnsi" w:cs="Times New Roman"/>
          <w:sz w:val="22"/>
          <w:szCs w:val="22"/>
        </w:rPr>
      </w:pPr>
      <w:r w:rsidRPr="008B458C">
        <w:rPr>
          <w:rFonts w:asciiTheme="minorHAnsi" w:hAnsiTheme="minorHAnsi"/>
          <w:sz w:val="22"/>
          <w:szCs w:val="22"/>
        </w:rPr>
        <w:t xml:space="preserve">Per USP recommendations, in addition to the formulations provided in the </w:t>
      </w:r>
      <w:r w:rsidRPr="008B458C">
        <w:rPr>
          <w:rFonts w:asciiTheme="minorHAnsi" w:hAnsiTheme="minorHAnsi" w:cs="Times New Roman"/>
          <w:sz w:val="22"/>
          <w:szCs w:val="22"/>
        </w:rPr>
        <w:t>March 2020 federal Food and Drug Administration Policy for Temporary Compounding of Certain Alcohol-Based Hand Sanitizer Products During the Public Health Emergency</w:t>
      </w:r>
      <w:r w:rsidR="00AA3A36">
        <w:rPr>
          <w:rFonts w:asciiTheme="minorHAnsi" w:hAnsiTheme="minorHAnsi" w:cs="Times New Roman"/>
          <w:sz w:val="22"/>
          <w:szCs w:val="22"/>
        </w:rPr>
        <w:t xml:space="preserve">, </w:t>
      </w:r>
      <w:r w:rsidRPr="008B458C">
        <w:rPr>
          <w:rFonts w:asciiTheme="minorHAnsi" w:hAnsiTheme="minorHAnsi" w:cs="Times New Roman"/>
          <w:sz w:val="22"/>
          <w:szCs w:val="22"/>
        </w:rPr>
        <w:t xml:space="preserve">Maine pharmacies and pharmacists may compound and sell hand sanitizer over the counter (OTC) that is 60% isopropyl alcohol so long as it conforms to the formulation set forth by USP </w:t>
      </w:r>
      <w:bookmarkStart w:id="1" w:name="_GoBack"/>
      <w:bookmarkEnd w:id="1"/>
      <w:r w:rsidRPr="008B458C">
        <w:rPr>
          <w:rFonts w:asciiTheme="minorHAnsi" w:hAnsiTheme="minorHAnsi" w:cs="Times New Roman"/>
          <w:sz w:val="22"/>
          <w:szCs w:val="22"/>
        </w:rPr>
        <w:t>(</w:t>
      </w:r>
      <w:hyperlink r:id="rId19" w:history="1">
        <w:r w:rsidRPr="008B458C">
          <w:rPr>
            <w:rStyle w:val="Hyperlink"/>
            <w:sz w:val="22"/>
            <w:szCs w:val="22"/>
          </w:rPr>
          <w:t>https://www.usp.org/sites/default/files/usp/document/about/public-policy/usp-covid19-handrub.pdf</w:t>
        </w:r>
      </w:hyperlink>
      <w:r w:rsidRPr="008B458C">
        <w:rPr>
          <w:sz w:val="22"/>
          <w:szCs w:val="22"/>
        </w:rPr>
        <w:t>)</w:t>
      </w:r>
    </w:p>
    <w:p w14:paraId="562779BA" w14:textId="77777777" w:rsidR="008B458C" w:rsidRPr="008B458C" w:rsidRDefault="008B458C" w:rsidP="008B458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375C962" w14:textId="77777777" w:rsidR="008B458C" w:rsidRPr="008B458C" w:rsidRDefault="008B458C" w:rsidP="008B458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>This Order shall be effective immediately and shall remain in effect until the State of Emergency is terminated by the Governor, or until rescinded by me, whichever shall happen first.</w:t>
      </w:r>
    </w:p>
    <w:p w14:paraId="18BB9543" w14:textId="77777777" w:rsidR="008B458C" w:rsidRPr="008B458C" w:rsidRDefault="008B458C" w:rsidP="008B458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F59EAF4" w14:textId="77777777" w:rsidR="008B458C" w:rsidRPr="008B458C" w:rsidRDefault="008B458C" w:rsidP="008B45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9774A5" w14:textId="77777777" w:rsidR="008B458C" w:rsidRPr="008B458C" w:rsidRDefault="008B458C" w:rsidP="008B458C">
      <w:pPr>
        <w:jc w:val="both"/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>IT IS SO ORDERED.</w:t>
      </w:r>
    </w:p>
    <w:p w14:paraId="3862CE42" w14:textId="77777777" w:rsidR="008B458C" w:rsidRPr="008B458C" w:rsidRDefault="008B458C" w:rsidP="008B45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8F9E88" w14:textId="77777777" w:rsidR="008B458C" w:rsidRPr="008B458C" w:rsidRDefault="008B458C" w:rsidP="008B45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1981B" w14:textId="77777777" w:rsidR="008B458C" w:rsidRPr="008B458C" w:rsidRDefault="008B458C" w:rsidP="008B458C">
      <w:pPr>
        <w:jc w:val="both"/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31E9DBE" wp14:editId="5896648E">
            <wp:extent cx="2372995" cy="650240"/>
            <wp:effectExtent l="0" t="0" r="8255" b="0"/>
            <wp:docPr id="1" name="Picture 1" descr="cid:image001.png@01D5C17E.722CB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C17E.722CB3F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50F56" w14:textId="77777777" w:rsidR="008B458C" w:rsidRPr="008B458C" w:rsidRDefault="008B458C" w:rsidP="008B458C">
      <w:pPr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425A33AE" w14:textId="77777777" w:rsidR="008B458C" w:rsidRPr="008B458C" w:rsidRDefault="008B458C" w:rsidP="008B458C">
      <w:pPr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>Amy Belisle, MD, MBA</w:t>
      </w:r>
    </w:p>
    <w:p w14:paraId="197D6119" w14:textId="77777777" w:rsidR="008B458C" w:rsidRPr="008B458C" w:rsidRDefault="008B458C" w:rsidP="008B458C">
      <w:pPr>
        <w:rPr>
          <w:rFonts w:asciiTheme="minorHAnsi" w:hAnsiTheme="minorHAnsi" w:cstheme="minorHAnsi"/>
          <w:sz w:val="22"/>
          <w:szCs w:val="22"/>
        </w:rPr>
      </w:pPr>
      <w:r w:rsidRPr="008B458C">
        <w:rPr>
          <w:rFonts w:asciiTheme="minorHAnsi" w:hAnsiTheme="minorHAnsi" w:cstheme="minorHAnsi"/>
          <w:sz w:val="22"/>
          <w:szCs w:val="22"/>
        </w:rPr>
        <w:t>Chief Child Health Officer</w:t>
      </w:r>
    </w:p>
    <w:p w14:paraId="335F1EBF" w14:textId="1C9C6FF5" w:rsidR="008B458C" w:rsidRPr="008B458C" w:rsidRDefault="008B458C" w:rsidP="008B458C">
      <w:pPr>
        <w:rPr>
          <w:rFonts w:asciiTheme="minorHAnsi" w:eastAsia="Calibri" w:hAnsiTheme="minorHAnsi" w:cstheme="minorHAnsi"/>
          <w:sz w:val="22"/>
          <w:szCs w:val="22"/>
        </w:rPr>
      </w:pPr>
      <w:r w:rsidRPr="008B458C">
        <w:rPr>
          <w:rFonts w:asciiTheme="minorHAnsi" w:eastAsia="Calibri" w:hAnsiTheme="minorHAnsi" w:cstheme="minorHAnsi"/>
          <w:sz w:val="22"/>
          <w:szCs w:val="22"/>
        </w:rPr>
        <w:t>Maine Department of Health and Human Services</w:t>
      </w:r>
    </w:p>
    <w:p w14:paraId="387FD1B6" w14:textId="1A9D0671" w:rsidR="008B458C" w:rsidRPr="008B458C" w:rsidRDefault="008B458C" w:rsidP="008B458C">
      <w:pPr>
        <w:rPr>
          <w:rFonts w:asciiTheme="minorHAnsi" w:eastAsia="Calibri" w:hAnsiTheme="minorHAnsi" w:cstheme="minorHAnsi"/>
          <w:sz w:val="22"/>
          <w:szCs w:val="22"/>
        </w:rPr>
      </w:pPr>
    </w:p>
    <w:p w14:paraId="150CCFEE" w14:textId="2074B12D" w:rsidR="008B458C" w:rsidRPr="008B458C" w:rsidRDefault="008B458C" w:rsidP="008B458C">
      <w:pPr>
        <w:rPr>
          <w:rFonts w:eastAsia="Calibri"/>
          <w:sz w:val="22"/>
          <w:szCs w:val="22"/>
        </w:rPr>
      </w:pPr>
      <w:r w:rsidRPr="008B458C">
        <w:rPr>
          <w:rFonts w:asciiTheme="minorHAnsi" w:eastAsia="Calibri" w:hAnsiTheme="minorHAnsi" w:cstheme="minorHAnsi"/>
          <w:sz w:val="22"/>
          <w:szCs w:val="22"/>
        </w:rPr>
        <w:t>March 20, 2020</w:t>
      </w:r>
    </w:p>
    <w:sectPr w:rsidR="008B458C" w:rsidRPr="008B458C" w:rsidSect="001A4B4F">
      <w:headerReference w:type="default" r:id="rId20"/>
      <w:footerReference w:type="default" r:id="rId21"/>
      <w:type w:val="continuous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17CAA" w14:textId="77777777" w:rsidR="00F507FF" w:rsidRDefault="00F507FF" w:rsidP="00263AA1">
      <w:r>
        <w:separator/>
      </w:r>
    </w:p>
  </w:endnote>
  <w:endnote w:type="continuationSeparator" w:id="0">
    <w:p w14:paraId="7F8E5F2A" w14:textId="77777777" w:rsidR="00F507FF" w:rsidRDefault="00F507FF" w:rsidP="0026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198D8" w14:textId="77777777" w:rsidR="00AC6595" w:rsidRDefault="00AC6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198D9" w14:textId="77777777" w:rsidR="00AC6595" w:rsidRDefault="00AC65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198DB" w14:textId="77777777" w:rsidR="00AC6595" w:rsidRDefault="00AC65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198DD" w14:textId="77777777" w:rsidR="00F20073" w:rsidRPr="00F20073" w:rsidRDefault="00F20073" w:rsidP="00F2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518EC" w14:textId="77777777" w:rsidR="00F507FF" w:rsidRDefault="00F507FF" w:rsidP="00263AA1">
      <w:r>
        <w:separator/>
      </w:r>
    </w:p>
  </w:footnote>
  <w:footnote w:type="continuationSeparator" w:id="0">
    <w:p w14:paraId="64ACF087" w14:textId="77777777" w:rsidR="00F507FF" w:rsidRDefault="00F507FF" w:rsidP="0026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198D4" w14:textId="77777777" w:rsidR="00AC6595" w:rsidRDefault="00AC6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198D5" w14:textId="77777777" w:rsidR="00263AA1" w:rsidRDefault="00E32A10" w:rsidP="00CE0951">
    <w:pPr>
      <w:ind w:left="3600"/>
      <w:rPr>
        <w:sz w:val="18"/>
        <w:szCs w:val="18"/>
      </w:rPr>
    </w:pPr>
    <w:r w:rsidRPr="0013785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C198DE" wp14:editId="34C198DF">
              <wp:simplePos x="0" y="0"/>
              <wp:positionH relativeFrom="margin">
                <wp:posOffset>-214630</wp:posOffset>
              </wp:positionH>
              <wp:positionV relativeFrom="paragraph">
                <wp:posOffset>466725</wp:posOffset>
              </wp:positionV>
              <wp:extent cx="1557020" cy="368300"/>
              <wp:effectExtent l="0" t="0" r="508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198E6" w14:textId="77777777" w:rsidR="004A2C04" w:rsidRPr="00287C76" w:rsidRDefault="00E32A10" w:rsidP="004A2C04">
                          <w:pPr>
                            <w:tabs>
                              <w:tab w:val="left" w:pos="7560"/>
                            </w:tabs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Jeanne M. Lambrew, Ph.D.</w:t>
                          </w:r>
                        </w:p>
                        <w:p w14:paraId="34C198E7" w14:textId="77777777" w:rsidR="00F61805" w:rsidRPr="00287C76" w:rsidRDefault="004A2C04" w:rsidP="004A2C04">
                          <w:pPr>
                            <w:tabs>
                              <w:tab w:val="left" w:pos="756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198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6.9pt;margin-top:36.75pt;width:122.6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" stroked="f">
              <v:textbox>
                <w:txbxContent>
                  <w:p w14:paraId="34C198E6" w14:textId="77777777" w:rsidR="004A2C04" w:rsidRPr="00287C76" w:rsidRDefault="00E32A10" w:rsidP="004A2C04">
                    <w:pPr>
                      <w:tabs>
                        <w:tab w:val="left" w:pos="7560"/>
                      </w:tabs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Jeanne M. Lambrew, Ph.D.</w:t>
                    </w:r>
                  </w:p>
                  <w:p w14:paraId="34C198E7" w14:textId="77777777" w:rsidR="00F61805" w:rsidRPr="00287C76" w:rsidRDefault="004A2C04" w:rsidP="004A2C04">
                    <w:pPr>
                      <w:tabs>
                        <w:tab w:val="left" w:pos="7560"/>
                      </w:tabs>
                      <w:rPr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E7DFC" w:rsidRPr="000D047A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C198E0" wp14:editId="34C198E1">
              <wp:simplePos x="0" y="0"/>
              <wp:positionH relativeFrom="column">
                <wp:posOffset>3627120</wp:posOffset>
              </wp:positionH>
              <wp:positionV relativeFrom="paragraph">
                <wp:posOffset>7620</wp:posOffset>
              </wp:positionV>
              <wp:extent cx="2717165" cy="1041400"/>
              <wp:effectExtent l="0" t="0" r="6985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165" cy="104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198E8" w14:textId="77777777" w:rsidR="000D047A" w:rsidRPr="00287C76" w:rsidRDefault="00BE7DFC" w:rsidP="004A2C04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Maine </w:t>
                          </w:r>
                          <w:r w:rsidR="000D047A"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Department of Health and Human Services</w:t>
                          </w:r>
                        </w:p>
                        <w:p w14:paraId="34C198E9" w14:textId="77777777" w:rsidR="0039381B" w:rsidRPr="00287C76" w:rsidRDefault="0039381B" w:rsidP="004A2C04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Commissioner’s Office</w:t>
                          </w:r>
                        </w:p>
                        <w:p w14:paraId="34C198EA" w14:textId="77777777" w:rsidR="000D047A" w:rsidRPr="00287C76" w:rsidRDefault="000D047A" w:rsidP="004A2C04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11 State House Station</w:t>
                          </w:r>
                        </w:p>
                        <w:p w14:paraId="34C198EB" w14:textId="77777777" w:rsidR="000D047A" w:rsidRPr="00287C76" w:rsidRDefault="004D483D" w:rsidP="004A2C04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109 Capitol</w:t>
                          </w:r>
                          <w:r w:rsidR="000D047A"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Street</w:t>
                          </w:r>
                        </w:p>
                        <w:p w14:paraId="34C198EC" w14:textId="77777777" w:rsidR="000D047A" w:rsidRPr="00287C76" w:rsidRDefault="000D047A" w:rsidP="004A2C04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Augusta, Maine 04333-0011</w:t>
                          </w:r>
                        </w:p>
                        <w:p w14:paraId="34C198ED" w14:textId="77777777" w:rsidR="004A2C04" w:rsidRPr="00287C76" w:rsidRDefault="003347EC" w:rsidP="004A2C04">
                          <w:pPr>
                            <w:pStyle w:val="Footer"/>
                            <w:tabs>
                              <w:tab w:val="clear" w:pos="4680"/>
                              <w:tab w:val="left" w:pos="3330"/>
                            </w:tabs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Tel</w:t>
                          </w:r>
                          <w:r w:rsidR="004A2C04"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: (207) 287-3707; Fax: (207) 287-3005</w:t>
                          </w:r>
                        </w:p>
                        <w:p w14:paraId="34C198EE" w14:textId="77777777" w:rsidR="000D047A" w:rsidRPr="00287C76" w:rsidRDefault="004A2C04" w:rsidP="004A2C04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TTY: Dial 711 (Maine Relay)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198E0" id="_x0000_s1027" type="#_x0000_t202" style="position:absolute;left:0;text-align:left;margin-left:285.6pt;margin-top:.6pt;width:213.9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" stroked="f">
              <v:textbox>
                <w:txbxContent>
                  <w:p w14:paraId="34C198E8" w14:textId="77777777" w:rsidR="000D047A" w:rsidRPr="00287C76" w:rsidRDefault="00BE7DFC" w:rsidP="004A2C04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Maine </w:t>
                    </w:r>
                    <w:r w:rsidR="000D047A"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Department of Health and Human Services</w:t>
                    </w:r>
                  </w:p>
                  <w:p w14:paraId="34C198E9" w14:textId="77777777" w:rsidR="0039381B" w:rsidRPr="00287C76" w:rsidRDefault="0039381B" w:rsidP="004A2C04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Commissioner’s Office</w:t>
                    </w:r>
                  </w:p>
                  <w:p w14:paraId="34C198EA" w14:textId="77777777" w:rsidR="000D047A" w:rsidRPr="00287C76" w:rsidRDefault="000D047A" w:rsidP="004A2C04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11 State House Station</w:t>
                    </w:r>
                  </w:p>
                  <w:p w14:paraId="34C198EB" w14:textId="77777777" w:rsidR="000D047A" w:rsidRPr="00287C76" w:rsidRDefault="004D483D" w:rsidP="004A2C04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109 Capitol</w:t>
                    </w:r>
                    <w:r w:rsidR="000D047A"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Street</w:t>
                    </w:r>
                  </w:p>
                  <w:p w14:paraId="34C198EC" w14:textId="77777777" w:rsidR="000D047A" w:rsidRPr="00287C76" w:rsidRDefault="000D047A" w:rsidP="004A2C04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Augusta, Maine 04333-0011</w:t>
                    </w:r>
                  </w:p>
                  <w:p w14:paraId="34C198ED" w14:textId="77777777" w:rsidR="004A2C04" w:rsidRPr="00287C76" w:rsidRDefault="003347EC" w:rsidP="004A2C04">
                    <w:pPr>
                      <w:pStyle w:val="Footer"/>
                      <w:tabs>
                        <w:tab w:val="clear" w:pos="4680"/>
                        <w:tab w:val="left" w:pos="3330"/>
                      </w:tabs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Tel</w:t>
                    </w:r>
                    <w:r w:rsidR="004A2C04"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: (207) 287-3707; Fax: (207) 287-3005</w:t>
                    </w:r>
                  </w:p>
                  <w:p w14:paraId="34C198EE" w14:textId="77777777" w:rsidR="000D047A" w:rsidRPr="00287C76" w:rsidRDefault="004A2C04" w:rsidP="004A2C04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TTY: Dial 711 (Maine Relay)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E0951" w:rsidRPr="00B238B0">
      <w:rPr>
        <w:noProof/>
      </w:rPr>
      <w:drawing>
        <wp:inline distT="0" distB="0" distL="0" distR="0" wp14:anchorId="34C198E2" wp14:editId="34C198E3">
          <wp:extent cx="704063" cy="792480"/>
          <wp:effectExtent l="0" t="0" r="127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01" cy="80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3B30" w:rsidRPr="0013785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4C198E4" wp14:editId="34C198E5">
              <wp:simplePos x="0" y="0"/>
              <wp:positionH relativeFrom="margin">
                <wp:posOffset>-198967</wp:posOffset>
              </wp:positionH>
              <wp:positionV relativeFrom="paragraph">
                <wp:posOffset>42122</wp:posOffset>
              </wp:positionV>
              <wp:extent cx="1124585" cy="3683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198EF" w14:textId="77777777" w:rsidR="00F61805" w:rsidRPr="00287C76" w:rsidRDefault="0075217C" w:rsidP="00F61805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Janet T. Mills</w:t>
                          </w:r>
                        </w:p>
                        <w:p w14:paraId="34C198F0" w14:textId="77777777" w:rsidR="00F61805" w:rsidRPr="00287C76" w:rsidRDefault="004A2C04" w:rsidP="00F61805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Governor</w:t>
                          </w:r>
                        </w:p>
                        <w:p w14:paraId="34C198F1" w14:textId="77777777" w:rsidR="00F61805" w:rsidRDefault="00F61805" w:rsidP="00F6180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198E4" id="_x0000_s1028" type="#_x0000_t202" style="position:absolute;left:0;text-align:left;margin-left:-15.65pt;margin-top:3.3pt;width:88.55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" stroked="f">
              <v:textbox>
                <w:txbxContent>
                  <w:p w14:paraId="34C198EF" w14:textId="77777777" w:rsidR="00F61805" w:rsidRPr="00287C76" w:rsidRDefault="0075217C" w:rsidP="00F61805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Janet T. Mills</w:t>
                    </w:r>
                  </w:p>
                  <w:p w14:paraId="34C198F0" w14:textId="77777777" w:rsidR="00F61805" w:rsidRPr="00287C76" w:rsidRDefault="004A2C04" w:rsidP="00F61805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Governor</w:t>
                    </w:r>
                  </w:p>
                  <w:p w14:paraId="34C198F1" w14:textId="77777777" w:rsidR="00F61805" w:rsidRDefault="00F61805" w:rsidP="00F61805"/>
                </w:txbxContent>
              </v:textbox>
              <w10:wrap type="square" anchorx="margin"/>
            </v:shape>
          </w:pict>
        </mc:Fallback>
      </mc:AlternateContent>
    </w:r>
  </w:p>
  <w:p w14:paraId="34C198D6" w14:textId="77777777" w:rsidR="007372BB" w:rsidRDefault="007372BB" w:rsidP="007372BB">
    <w:pPr>
      <w:rPr>
        <w:sz w:val="18"/>
        <w:szCs w:val="18"/>
      </w:rPr>
    </w:pPr>
  </w:p>
  <w:p w14:paraId="34C198D7" w14:textId="77777777" w:rsidR="00F61805" w:rsidRDefault="00F61805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198DA" w14:textId="77777777" w:rsidR="00AC6595" w:rsidRDefault="00AC65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198DC" w14:textId="77777777" w:rsidR="00F20073" w:rsidRDefault="00F20073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23499"/>
    <w:multiLevelType w:val="hybridMultilevel"/>
    <w:tmpl w:val="6358A92E"/>
    <w:lvl w:ilvl="0" w:tplc="9E50032E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3541D7"/>
    <w:multiLevelType w:val="hybridMultilevel"/>
    <w:tmpl w:val="338A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E1A29"/>
    <w:multiLevelType w:val="hybridMultilevel"/>
    <w:tmpl w:val="8FF2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fullPage"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A1"/>
    <w:rsid w:val="00031551"/>
    <w:rsid w:val="00037C80"/>
    <w:rsid w:val="00071861"/>
    <w:rsid w:val="000848DB"/>
    <w:rsid w:val="00094621"/>
    <w:rsid w:val="000A2044"/>
    <w:rsid w:val="000D047A"/>
    <w:rsid w:val="000E1BAC"/>
    <w:rsid w:val="000E3611"/>
    <w:rsid w:val="000E4EA9"/>
    <w:rsid w:val="0014256A"/>
    <w:rsid w:val="00143CC3"/>
    <w:rsid w:val="00153368"/>
    <w:rsid w:val="001A4B4F"/>
    <w:rsid w:val="001A5049"/>
    <w:rsid w:val="001C3158"/>
    <w:rsid w:val="001E4CA5"/>
    <w:rsid w:val="00220B01"/>
    <w:rsid w:val="0023685D"/>
    <w:rsid w:val="00263AA1"/>
    <w:rsid w:val="0028264F"/>
    <w:rsid w:val="00287C76"/>
    <w:rsid w:val="002E3734"/>
    <w:rsid w:val="00311948"/>
    <w:rsid w:val="003347EC"/>
    <w:rsid w:val="0033675F"/>
    <w:rsid w:val="0039381B"/>
    <w:rsid w:val="003A38B0"/>
    <w:rsid w:val="00425186"/>
    <w:rsid w:val="004333B7"/>
    <w:rsid w:val="00434046"/>
    <w:rsid w:val="00465EF6"/>
    <w:rsid w:val="00475E01"/>
    <w:rsid w:val="004A2C04"/>
    <w:rsid w:val="004D40A4"/>
    <w:rsid w:val="004D483D"/>
    <w:rsid w:val="004F4154"/>
    <w:rsid w:val="00507CC5"/>
    <w:rsid w:val="00580738"/>
    <w:rsid w:val="00582DB7"/>
    <w:rsid w:val="005D69B9"/>
    <w:rsid w:val="005F0E73"/>
    <w:rsid w:val="00600766"/>
    <w:rsid w:val="006B0904"/>
    <w:rsid w:val="006B5A70"/>
    <w:rsid w:val="006C703C"/>
    <w:rsid w:val="006D2C00"/>
    <w:rsid w:val="006E466A"/>
    <w:rsid w:val="006F357F"/>
    <w:rsid w:val="006F6093"/>
    <w:rsid w:val="00721BBF"/>
    <w:rsid w:val="007372BB"/>
    <w:rsid w:val="0075217C"/>
    <w:rsid w:val="0076607E"/>
    <w:rsid w:val="0079011C"/>
    <w:rsid w:val="007B6AB2"/>
    <w:rsid w:val="0080736E"/>
    <w:rsid w:val="00853B30"/>
    <w:rsid w:val="008735F3"/>
    <w:rsid w:val="00891012"/>
    <w:rsid w:val="008A0777"/>
    <w:rsid w:val="008A727D"/>
    <w:rsid w:val="008B458C"/>
    <w:rsid w:val="00916FD3"/>
    <w:rsid w:val="00925CAF"/>
    <w:rsid w:val="00997CD5"/>
    <w:rsid w:val="009B2F14"/>
    <w:rsid w:val="009C2AE0"/>
    <w:rsid w:val="009F4C33"/>
    <w:rsid w:val="00A013B9"/>
    <w:rsid w:val="00A045E1"/>
    <w:rsid w:val="00A06BB9"/>
    <w:rsid w:val="00A4092B"/>
    <w:rsid w:val="00A52029"/>
    <w:rsid w:val="00AA3A36"/>
    <w:rsid w:val="00AC5146"/>
    <w:rsid w:val="00AC6595"/>
    <w:rsid w:val="00B15BA7"/>
    <w:rsid w:val="00B53BA6"/>
    <w:rsid w:val="00B85133"/>
    <w:rsid w:val="00BB52B1"/>
    <w:rsid w:val="00BC1FC1"/>
    <w:rsid w:val="00BD297B"/>
    <w:rsid w:val="00BE7DFC"/>
    <w:rsid w:val="00C02B3F"/>
    <w:rsid w:val="00C31B31"/>
    <w:rsid w:val="00CE0951"/>
    <w:rsid w:val="00D324EC"/>
    <w:rsid w:val="00D33BEB"/>
    <w:rsid w:val="00D469F4"/>
    <w:rsid w:val="00DD28D1"/>
    <w:rsid w:val="00E22D89"/>
    <w:rsid w:val="00E25457"/>
    <w:rsid w:val="00E315BA"/>
    <w:rsid w:val="00E32A10"/>
    <w:rsid w:val="00EB1407"/>
    <w:rsid w:val="00EB174E"/>
    <w:rsid w:val="00EC6C15"/>
    <w:rsid w:val="00ED34F2"/>
    <w:rsid w:val="00ED727C"/>
    <w:rsid w:val="00F1607E"/>
    <w:rsid w:val="00F20073"/>
    <w:rsid w:val="00F507FF"/>
    <w:rsid w:val="00F61805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198CE"/>
  <w15:chartTrackingRefBased/>
  <w15:docId w15:val="{220C6C31-DD25-4BDB-902E-00F1D385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263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A7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3367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semiHidden/>
    <w:unhideWhenUsed/>
    <w:rsid w:val="00FF74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7496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7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B45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cid:image001.png@01D5C17E.722CB3F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sp.org/sites/default/files/usp/document/about/public-policy/usp-covid19-handrub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4B299F4FC7F44B258502B3FE26C69" ma:contentTypeVersion="13" ma:contentTypeDescription="Create a new document." ma:contentTypeScope="" ma:versionID="4beed9643693ab6a0668a9eafbe4071b">
  <xsd:schema xmlns:xsd="http://www.w3.org/2001/XMLSchema" xmlns:xs="http://www.w3.org/2001/XMLSchema" xmlns:p="http://schemas.microsoft.com/office/2006/metadata/properties" xmlns:ns3="1be06eab-0e46-4244-a756-0393c2af6bee" xmlns:ns4="a24d21a2-252c-40ad-8d8b-c3905265609f" targetNamespace="http://schemas.microsoft.com/office/2006/metadata/properties" ma:root="true" ma:fieldsID="fc9191ccddff13f90059dfa42fd19c32" ns3:_="" ns4:_="">
    <xsd:import namespace="1be06eab-0e46-4244-a756-0393c2af6bee"/>
    <xsd:import namespace="a24d21a2-252c-40ad-8d8b-c390526560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eab-0e46-4244-a756-0393c2af6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d21a2-252c-40ad-8d8b-c39052656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B958-168D-4D27-82A9-70ED0370B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06eab-0e46-4244-a756-0393c2af6bee"/>
    <ds:schemaRef ds:uri="a24d21a2-252c-40ad-8d8b-c39052656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B1137-753A-489D-A462-B52CC5568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1F3E22-6603-4F3B-BED2-AD34F3621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A68B0-1244-480C-90DC-1119C641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Tunks, Norma M.</dc:creator>
  <cp:keywords/>
  <dc:description/>
  <cp:lastModifiedBy>Belisle, Amy</cp:lastModifiedBy>
  <cp:revision>3</cp:revision>
  <cp:lastPrinted>2018-12-04T16:43:00Z</cp:lastPrinted>
  <dcterms:created xsi:type="dcterms:W3CDTF">2020-03-20T19:25:00Z</dcterms:created>
  <dcterms:modified xsi:type="dcterms:W3CDTF">2020-03-20T19:53:00Z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0x0101009AA4B299F4FC7F44B258502B3FE26C69</vt:lpwstr>
  </property>
</Properties>
</file>