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198CE" w14:textId="77777777" w:rsidR="000848DB" w:rsidRDefault="000848DB" w:rsidP="0033675F">
      <w:pPr>
        <w:pStyle w:val="NoSpacing"/>
        <w:sectPr w:rsidR="000848DB" w:rsidSect="001A4B4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432" w:gutter="0"/>
          <w:cols w:space="720"/>
          <w:docGrid w:linePitch="360"/>
        </w:sectPr>
      </w:pPr>
    </w:p>
    <w:p w14:paraId="7B7B82E7" w14:textId="77777777" w:rsidR="004133F8" w:rsidRPr="007221FD" w:rsidRDefault="004133F8" w:rsidP="004133F8">
      <w:pPr>
        <w:jc w:val="center"/>
        <w:rPr>
          <w:b/>
          <w:caps/>
          <w:szCs w:val="24"/>
        </w:rPr>
      </w:pPr>
      <w:r w:rsidRPr="007221FD">
        <w:rPr>
          <w:b/>
          <w:caps/>
          <w:szCs w:val="24"/>
        </w:rPr>
        <w:t>Compounding over the counter hand sanitizer</w:t>
      </w:r>
    </w:p>
    <w:p w14:paraId="4C59D0ED" w14:textId="77777777" w:rsidR="004133F8" w:rsidRPr="007221FD" w:rsidRDefault="004133F8" w:rsidP="004133F8">
      <w:pPr>
        <w:rPr>
          <w:szCs w:val="24"/>
        </w:rPr>
      </w:pPr>
    </w:p>
    <w:p w14:paraId="2CB0FB6D" w14:textId="51764EEE" w:rsidR="004133F8" w:rsidRPr="007221FD" w:rsidRDefault="004133F8" w:rsidP="004133F8">
      <w:pPr>
        <w:jc w:val="both"/>
        <w:rPr>
          <w:szCs w:val="24"/>
        </w:rPr>
      </w:pPr>
      <w:r w:rsidRPr="007221FD">
        <w:rPr>
          <w:szCs w:val="24"/>
        </w:rPr>
        <w:t xml:space="preserve">On March 15, 2020, Governor Janet Mills declared a State of Emergency to respond to the spread of COVID-19.  On March 18, 2020, the Maine Department of Health and Human Services issued an Order authorizing Maine pharmacies and pharmacists to compound and sell hand sanitizer over the counter (“OTC”).  </w:t>
      </w:r>
    </w:p>
    <w:p w14:paraId="1CAA4A95" w14:textId="77777777" w:rsidR="004133F8" w:rsidRPr="007221FD" w:rsidRDefault="004133F8" w:rsidP="004133F8">
      <w:pPr>
        <w:jc w:val="both"/>
        <w:rPr>
          <w:szCs w:val="24"/>
        </w:rPr>
      </w:pPr>
      <w:bookmarkStart w:id="0" w:name="_Hlk34990275"/>
    </w:p>
    <w:p w14:paraId="4BFC02A1" w14:textId="6C6287C4" w:rsidR="004133F8" w:rsidRPr="007221FD" w:rsidRDefault="004133F8" w:rsidP="004133F8">
      <w:pPr>
        <w:jc w:val="both"/>
        <w:rPr>
          <w:szCs w:val="24"/>
        </w:rPr>
      </w:pPr>
      <w:r w:rsidRPr="007221FD">
        <w:rPr>
          <w:szCs w:val="24"/>
        </w:rPr>
        <w:t xml:space="preserve">In accordance with the </w:t>
      </w:r>
      <w:r w:rsidR="00277ECD" w:rsidRPr="007221FD">
        <w:rPr>
          <w:szCs w:val="24"/>
        </w:rPr>
        <w:t>DHHS’</w:t>
      </w:r>
      <w:r w:rsidRPr="007221FD">
        <w:rPr>
          <w:szCs w:val="24"/>
        </w:rPr>
        <w:t xml:space="preserve">s Order, pharmacies and pharmacists may compound and sell hand sanitizer OTC, provided the following requirements are satisfied:  </w:t>
      </w:r>
    </w:p>
    <w:p w14:paraId="1DFDC5CA" w14:textId="77777777" w:rsidR="004133F8" w:rsidRPr="007221FD" w:rsidRDefault="004133F8" w:rsidP="004133F8">
      <w:pPr>
        <w:jc w:val="both"/>
        <w:rPr>
          <w:b/>
          <w:szCs w:val="24"/>
        </w:rPr>
      </w:pPr>
    </w:p>
    <w:p w14:paraId="1BF81776" w14:textId="1D2BC6DD" w:rsidR="007221FD" w:rsidRPr="007221FD" w:rsidRDefault="004133F8" w:rsidP="007221FD">
      <w:pPr>
        <w:pStyle w:val="NormalWeb"/>
        <w:numPr>
          <w:ilvl w:val="0"/>
          <w:numId w:val="1"/>
        </w:numPr>
        <w:shd w:val="clear" w:color="auto" w:fill="FFFFFF"/>
        <w:rPr>
          <w:rFonts w:ascii="Times New Roman" w:hAnsi="Times New Roman" w:cs="Times New Roman"/>
          <w:color w:val="000000"/>
          <w:sz w:val="24"/>
          <w:szCs w:val="24"/>
        </w:rPr>
      </w:pPr>
      <w:r w:rsidRPr="007221FD">
        <w:rPr>
          <w:rFonts w:ascii="Times New Roman" w:hAnsi="Times New Roman" w:cs="Times New Roman"/>
          <w:color w:val="000000"/>
          <w:sz w:val="24"/>
          <w:szCs w:val="24"/>
          <w:shd w:val="clear" w:color="auto" w:fill="FFFFFF"/>
        </w:rPr>
        <w:t>The hand sanitizer confor</w:t>
      </w:r>
      <w:r w:rsidR="007221FD" w:rsidRPr="007221FD">
        <w:rPr>
          <w:rFonts w:ascii="Times New Roman" w:hAnsi="Times New Roman" w:cs="Times New Roman"/>
          <w:color w:val="000000"/>
          <w:sz w:val="24"/>
          <w:szCs w:val="24"/>
          <w:shd w:val="clear" w:color="auto" w:fill="FFFFFF"/>
        </w:rPr>
        <w:t>ms to either the:</w:t>
      </w:r>
    </w:p>
    <w:p w14:paraId="5E39D5EB" w14:textId="4177337E" w:rsidR="007221FD" w:rsidRPr="007221FD" w:rsidRDefault="007221FD" w:rsidP="007221FD">
      <w:pPr>
        <w:pStyle w:val="NormalWeb"/>
        <w:numPr>
          <w:ilvl w:val="0"/>
          <w:numId w:val="1"/>
        </w:numPr>
        <w:shd w:val="clear" w:color="auto" w:fill="FFFFFF"/>
        <w:ind w:left="1080"/>
        <w:rPr>
          <w:rFonts w:ascii="Times New Roman" w:hAnsi="Times New Roman" w:cs="Times New Roman"/>
          <w:color w:val="000000"/>
          <w:sz w:val="24"/>
          <w:szCs w:val="24"/>
        </w:rPr>
      </w:pPr>
      <w:r w:rsidRPr="007221FD">
        <w:rPr>
          <w:rFonts w:ascii="Times New Roman" w:hAnsi="Times New Roman" w:cs="Times New Roman"/>
          <w:color w:val="000000"/>
          <w:sz w:val="24"/>
          <w:szCs w:val="24"/>
          <w:shd w:val="clear" w:color="auto" w:fill="FFFFFF"/>
        </w:rPr>
        <w:t>T</w:t>
      </w:r>
      <w:r w:rsidR="004133F8" w:rsidRPr="007221FD">
        <w:rPr>
          <w:rFonts w:ascii="Times New Roman" w:hAnsi="Times New Roman" w:cs="Times New Roman"/>
          <w:color w:val="000000"/>
          <w:sz w:val="24"/>
          <w:szCs w:val="24"/>
          <w:shd w:val="clear" w:color="auto" w:fill="FFFFFF"/>
        </w:rPr>
        <w:t>he March 2020 federal Food and Drug Administration </w:t>
      </w:r>
      <w:r w:rsidR="004133F8" w:rsidRPr="007221FD">
        <w:rPr>
          <w:rFonts w:ascii="Times New Roman" w:eastAsia="Times New Roman" w:hAnsi="Times New Roman" w:cs="Times New Roman"/>
          <w:color w:val="000000"/>
          <w:sz w:val="24"/>
          <w:szCs w:val="24"/>
        </w:rPr>
        <w:t>Policy for Temporary Compounding of Certain Alcohol-Based Hand Sanitizer Products During the Public Health Emergency​ (</w:t>
      </w:r>
      <w:hyperlink r:id="rId17" w:history="1">
        <w:r w:rsidR="004133F8" w:rsidRPr="007221FD">
          <w:rPr>
            <w:rStyle w:val="Hyperlink"/>
            <w:rFonts w:ascii="Times New Roman" w:eastAsia="Times New Roman" w:hAnsi="Times New Roman" w:cs="Times New Roman"/>
            <w:sz w:val="24"/>
            <w:szCs w:val="24"/>
          </w:rPr>
          <w:t>https://www.fda.gov/regulatory-information/search-fda-guidance-documents/policy-temporary-compounding-certain-alcohol-based-hand-sanitizer-products-during-public-health</w:t>
        </w:r>
      </w:hyperlink>
      <w:r w:rsidR="004133F8" w:rsidRPr="007221FD">
        <w:rPr>
          <w:rFonts w:ascii="Times New Roman" w:eastAsia="Times New Roman" w:hAnsi="Times New Roman" w:cs="Times New Roman"/>
          <w:color w:val="000000"/>
          <w:sz w:val="24"/>
          <w:szCs w:val="24"/>
        </w:rPr>
        <w:t xml:space="preserve">) </w:t>
      </w:r>
    </w:p>
    <w:p w14:paraId="3CEB875A" w14:textId="655ADDB5" w:rsidR="004133F8" w:rsidRPr="007221FD" w:rsidRDefault="004133F8" w:rsidP="007221FD">
      <w:pPr>
        <w:pStyle w:val="NormalWeb"/>
        <w:numPr>
          <w:ilvl w:val="1"/>
          <w:numId w:val="1"/>
        </w:numPr>
        <w:shd w:val="clear" w:color="auto" w:fill="FFFFFF"/>
        <w:ind w:left="1800"/>
        <w:rPr>
          <w:rFonts w:ascii="Times New Roman" w:hAnsi="Times New Roman" w:cs="Times New Roman"/>
          <w:color w:val="000000"/>
          <w:sz w:val="24"/>
          <w:szCs w:val="24"/>
        </w:rPr>
      </w:pPr>
      <w:r w:rsidRPr="007221FD">
        <w:rPr>
          <w:rFonts w:ascii="Times New Roman" w:hAnsi="Times New Roman" w:cs="Times New Roman"/>
          <w:sz w:val="24"/>
          <w:szCs w:val="24"/>
        </w:rPr>
        <w:t xml:space="preserve">The pharmacy and pharmacist comply with USP </w:t>
      </w:r>
      <w:r w:rsidRPr="00451E62">
        <w:rPr>
          <w:rFonts w:ascii="Times New Roman" w:hAnsi="Times New Roman" w:cs="Times New Roman"/>
          <w:sz w:val="24"/>
          <w:szCs w:val="24"/>
        </w:rPr>
        <w:t>&lt;795&gt;,</w:t>
      </w:r>
      <w:r w:rsidRPr="007221FD">
        <w:rPr>
          <w:rFonts w:ascii="Times New Roman" w:hAnsi="Times New Roman" w:cs="Times New Roman"/>
          <w:sz w:val="24"/>
          <w:szCs w:val="24"/>
        </w:rPr>
        <w:t xml:space="preserve"> including beyond-use-dates and compounding records.  </w:t>
      </w:r>
    </w:p>
    <w:p w14:paraId="3CBCD30A" w14:textId="168568C5" w:rsidR="00C73C82" w:rsidRDefault="00C73C82" w:rsidP="00C73C82">
      <w:pPr>
        <w:pStyle w:val="NormalWeb"/>
        <w:shd w:val="clear" w:color="auto" w:fill="FFFFFF"/>
        <w:ind w:left="720"/>
        <w:rPr>
          <w:rFonts w:ascii="Times New Roman" w:hAnsi="Times New Roman" w:cs="Times New Roman"/>
          <w:color w:val="000000"/>
          <w:sz w:val="24"/>
          <w:szCs w:val="24"/>
        </w:rPr>
      </w:pPr>
      <w:r>
        <w:rPr>
          <w:rFonts w:ascii="Times New Roman" w:hAnsi="Times New Roman" w:cs="Times New Roman"/>
          <w:color w:val="000000"/>
          <w:sz w:val="24"/>
          <w:szCs w:val="24"/>
        </w:rPr>
        <w:t>OR</w:t>
      </w:r>
    </w:p>
    <w:p w14:paraId="1EE5D850" w14:textId="77777777" w:rsidR="00C73C82" w:rsidRPr="007221FD" w:rsidRDefault="00C73C82" w:rsidP="007221FD">
      <w:pPr>
        <w:pStyle w:val="NormalWeb"/>
        <w:shd w:val="clear" w:color="auto" w:fill="FFFFFF"/>
        <w:ind w:left="1800"/>
        <w:rPr>
          <w:rFonts w:ascii="Times New Roman" w:hAnsi="Times New Roman" w:cs="Times New Roman"/>
          <w:color w:val="000000"/>
          <w:sz w:val="24"/>
          <w:szCs w:val="24"/>
        </w:rPr>
      </w:pPr>
    </w:p>
    <w:p w14:paraId="45F7F037" w14:textId="0432880B" w:rsidR="007221FD" w:rsidRPr="007221FD" w:rsidRDefault="00C73C82" w:rsidP="007221FD">
      <w:pPr>
        <w:pStyle w:val="Default"/>
        <w:numPr>
          <w:ilvl w:val="0"/>
          <w:numId w:val="1"/>
        </w:numPr>
        <w:ind w:left="1080"/>
        <w:rPr>
          <w:rFonts w:ascii="Times New Roman" w:hAnsi="Times New Roman" w:cs="Times New Roman"/>
        </w:rPr>
      </w:pPr>
      <w:r>
        <w:rPr>
          <w:rFonts w:ascii="Times New Roman" w:hAnsi="Times New Roman" w:cs="Times New Roman"/>
        </w:rPr>
        <w:t>T</w:t>
      </w:r>
      <w:r w:rsidR="007221FD" w:rsidRPr="007221FD">
        <w:rPr>
          <w:rFonts w:ascii="Times New Roman" w:hAnsi="Times New Roman" w:cs="Times New Roman"/>
        </w:rPr>
        <w:t>he formulations provided in the March 2020 federal Food and Drug Administration Policy for Temporary Compounding of Certain Alcohol-Based Hand Sanitizer Products During the Public Health Emergency (</w:t>
      </w:r>
      <w:hyperlink r:id="rId18" w:history="1">
        <w:r w:rsidR="007221FD" w:rsidRPr="007221FD">
          <w:rPr>
            <w:rStyle w:val="Hyperlink"/>
            <w:rFonts w:ascii="Times New Roman" w:hAnsi="Times New Roman" w:cs="Times New Roman"/>
          </w:rPr>
          <w:t>https://www.usp.org/sites/default/files/usp/document/about/public-policy/usp-covid19-handrub.pdf)</w:t>
        </w:r>
      </w:hyperlink>
      <w:r w:rsidR="007221FD" w:rsidRPr="007221FD">
        <w:rPr>
          <w:rFonts w:ascii="Times New Roman" w:hAnsi="Times New Roman" w:cs="Times New Roman"/>
        </w:rPr>
        <w:t>)</w:t>
      </w:r>
    </w:p>
    <w:p w14:paraId="46707A79" w14:textId="56C6A541" w:rsidR="007221FD" w:rsidRPr="007221FD" w:rsidRDefault="007221FD" w:rsidP="007221FD">
      <w:pPr>
        <w:pStyle w:val="Default"/>
        <w:numPr>
          <w:ilvl w:val="0"/>
          <w:numId w:val="3"/>
        </w:numPr>
        <w:ind w:left="1440"/>
        <w:rPr>
          <w:rFonts w:ascii="Times New Roman" w:hAnsi="Times New Roman" w:cs="Times New Roman"/>
        </w:rPr>
      </w:pPr>
      <w:r w:rsidRPr="007221FD">
        <w:rPr>
          <w:rFonts w:ascii="Times New Roman" w:hAnsi="Times New Roman" w:cs="Times New Roman"/>
        </w:rPr>
        <w:t xml:space="preserve">The pharmacies and pharmacists may compound and sell hand sanitizer over the counter (OTC) that is 60% isopropyl alcohol so long as it conforms to the formulation set forth by USP </w:t>
      </w:r>
    </w:p>
    <w:p w14:paraId="43972ACB" w14:textId="77777777" w:rsidR="007221FD" w:rsidRPr="007221FD" w:rsidRDefault="007221FD" w:rsidP="007221FD">
      <w:pPr>
        <w:pStyle w:val="Default"/>
        <w:ind w:left="720"/>
        <w:rPr>
          <w:rFonts w:ascii="Times New Roman" w:hAnsi="Times New Roman" w:cs="Times New Roman"/>
        </w:rPr>
      </w:pPr>
    </w:p>
    <w:p w14:paraId="6FDC723A" w14:textId="4F22F609" w:rsidR="007221FD" w:rsidRPr="007221FD" w:rsidRDefault="007221FD" w:rsidP="007221FD">
      <w:pPr>
        <w:pStyle w:val="ListParagraph"/>
        <w:numPr>
          <w:ilvl w:val="0"/>
          <w:numId w:val="4"/>
        </w:numPr>
        <w:jc w:val="both"/>
        <w:rPr>
          <w:rFonts w:ascii="Times New Roman" w:hAnsi="Times New Roman"/>
          <w:sz w:val="24"/>
          <w:szCs w:val="24"/>
        </w:rPr>
      </w:pPr>
      <w:r w:rsidRPr="007221FD">
        <w:rPr>
          <w:rFonts w:ascii="Times New Roman" w:hAnsi="Times New Roman"/>
          <w:sz w:val="24"/>
          <w:szCs w:val="24"/>
        </w:rPr>
        <w:t>The pharmacy labels each container of hand sanitizer in accordance with USP, including ingredients, beyond use date, lot number, directions for use, etc.  Specific patient information is not required on the label for compounded OTC hand sanitizer.</w:t>
      </w:r>
    </w:p>
    <w:p w14:paraId="4CE65840" w14:textId="77777777" w:rsidR="004133F8" w:rsidRPr="007221FD" w:rsidRDefault="004133F8" w:rsidP="004133F8">
      <w:pPr>
        <w:pStyle w:val="ListParagraph"/>
        <w:numPr>
          <w:ilvl w:val="0"/>
          <w:numId w:val="1"/>
        </w:numPr>
        <w:jc w:val="both"/>
        <w:rPr>
          <w:rFonts w:ascii="Times New Roman" w:hAnsi="Times New Roman"/>
          <w:sz w:val="24"/>
          <w:szCs w:val="24"/>
        </w:rPr>
      </w:pPr>
      <w:r w:rsidRPr="007221FD">
        <w:rPr>
          <w:rFonts w:ascii="Times New Roman" w:hAnsi="Times New Roman"/>
          <w:sz w:val="24"/>
          <w:szCs w:val="24"/>
        </w:rPr>
        <w:t>The compounded OTC hand sanitizer is labeled with the statement, “for external use only.”</w:t>
      </w:r>
    </w:p>
    <w:p w14:paraId="3BD47BF9" w14:textId="77777777" w:rsidR="004133F8" w:rsidRPr="007221FD" w:rsidRDefault="004133F8" w:rsidP="004133F8">
      <w:pPr>
        <w:pStyle w:val="ListParagraph"/>
        <w:numPr>
          <w:ilvl w:val="0"/>
          <w:numId w:val="2"/>
        </w:numPr>
        <w:jc w:val="both"/>
        <w:rPr>
          <w:rFonts w:ascii="Times New Roman" w:hAnsi="Times New Roman"/>
          <w:sz w:val="24"/>
          <w:szCs w:val="24"/>
        </w:rPr>
      </w:pPr>
      <w:r w:rsidRPr="007221FD">
        <w:rPr>
          <w:rFonts w:ascii="Times New Roman" w:hAnsi="Times New Roman"/>
          <w:sz w:val="24"/>
          <w:szCs w:val="24"/>
        </w:rPr>
        <w:t xml:space="preserve">The pharmacy </w:t>
      </w:r>
      <w:r w:rsidRPr="007221FD">
        <w:rPr>
          <w:rFonts w:ascii="Times New Roman" w:hAnsi="Times New Roman"/>
          <w:sz w:val="24"/>
          <w:szCs w:val="24"/>
          <w:u w:val="single"/>
        </w:rPr>
        <w:t>may not</w:t>
      </w:r>
      <w:r w:rsidRPr="007221FD">
        <w:rPr>
          <w:rFonts w:ascii="Times New Roman" w:hAnsi="Times New Roman"/>
          <w:sz w:val="24"/>
          <w:szCs w:val="24"/>
        </w:rPr>
        <w:t xml:space="preserve"> sell compounded OTC hand sanitizer to other retail establishments; the compounded OTC hand sanitizer may only be sold to end users.    </w:t>
      </w:r>
    </w:p>
    <w:p w14:paraId="61A4C86F" w14:textId="77777777" w:rsidR="004133F8" w:rsidRPr="007221FD" w:rsidRDefault="004133F8" w:rsidP="004133F8">
      <w:pPr>
        <w:jc w:val="both"/>
        <w:rPr>
          <w:szCs w:val="24"/>
        </w:rPr>
      </w:pPr>
      <w:r w:rsidRPr="007221FD">
        <w:rPr>
          <w:szCs w:val="24"/>
        </w:rPr>
        <w:t>The general public may visit a participating pharmacy on a walk-in basis and purchase compounded OTC hand sanitizer.  The compounded OTC hand sanitizer may be sold in the front store.</w:t>
      </w:r>
    </w:p>
    <w:p w14:paraId="09AA4762" w14:textId="77777777" w:rsidR="004133F8" w:rsidRPr="007221FD" w:rsidRDefault="004133F8" w:rsidP="004133F8">
      <w:pPr>
        <w:jc w:val="both"/>
        <w:rPr>
          <w:szCs w:val="24"/>
        </w:rPr>
      </w:pPr>
    </w:p>
    <w:p w14:paraId="64813425" w14:textId="77777777" w:rsidR="004133F8" w:rsidRPr="007221FD" w:rsidRDefault="004133F8" w:rsidP="004133F8">
      <w:pPr>
        <w:jc w:val="both"/>
        <w:rPr>
          <w:szCs w:val="24"/>
        </w:rPr>
      </w:pPr>
      <w:bookmarkStart w:id="1" w:name="_Hlk34988593"/>
      <w:r w:rsidRPr="007221FD">
        <w:rPr>
          <w:szCs w:val="24"/>
        </w:rPr>
        <w:lastRenderedPageBreak/>
        <w:t xml:space="preserve">The Board expects pharmacies and pharmacists to price products fairly, to use judgment to avoid bulk sales that may result in hoarding or resale, and to uphold the integrity of the profession during this emergency.  </w:t>
      </w:r>
    </w:p>
    <w:bookmarkEnd w:id="1"/>
    <w:p w14:paraId="4BBA5C76" w14:textId="77777777" w:rsidR="004133F8" w:rsidRPr="007221FD" w:rsidRDefault="004133F8" w:rsidP="004133F8">
      <w:pPr>
        <w:rPr>
          <w:szCs w:val="24"/>
        </w:rPr>
      </w:pPr>
    </w:p>
    <w:p w14:paraId="4779FFB8" w14:textId="77777777" w:rsidR="004133F8" w:rsidRPr="007221FD" w:rsidRDefault="004133F8" w:rsidP="004133F8">
      <w:pPr>
        <w:rPr>
          <w:szCs w:val="24"/>
        </w:rPr>
      </w:pPr>
      <w:r w:rsidRPr="007221FD">
        <w:rPr>
          <w:szCs w:val="24"/>
        </w:rPr>
        <w:t xml:space="preserve">The Order and this guidance are effective immediately and shall remain in effect until the State of Emergency is terminated by the Governor, or the Order is rescinded by the </w:t>
      </w:r>
      <w:bookmarkStart w:id="2" w:name="_GoBack"/>
      <w:r w:rsidRPr="007221FD">
        <w:rPr>
          <w:szCs w:val="24"/>
        </w:rPr>
        <w:t>Commissioner,</w:t>
      </w:r>
      <w:bookmarkEnd w:id="2"/>
      <w:r w:rsidRPr="007221FD">
        <w:rPr>
          <w:szCs w:val="24"/>
        </w:rPr>
        <w:t xml:space="preserve"> whichever shall happen first.</w:t>
      </w:r>
    </w:p>
    <w:bookmarkEnd w:id="0"/>
    <w:p w14:paraId="2E54226B" w14:textId="77777777" w:rsidR="004133F8" w:rsidRDefault="004133F8" w:rsidP="004133F8">
      <w:pPr>
        <w:rPr>
          <w:szCs w:val="24"/>
        </w:rPr>
      </w:pPr>
    </w:p>
    <w:p w14:paraId="6CB91DEA" w14:textId="77777777" w:rsidR="004133F8" w:rsidRDefault="004133F8" w:rsidP="004133F8">
      <w:pPr>
        <w:rPr>
          <w:rFonts w:eastAsia="Arial"/>
          <w:color w:val="000000"/>
          <w:szCs w:val="24"/>
        </w:rPr>
      </w:pPr>
    </w:p>
    <w:p w14:paraId="34C198CF" w14:textId="77777777" w:rsidR="001A4B4F" w:rsidRPr="008735F3" w:rsidRDefault="001A4B4F" w:rsidP="008735F3">
      <w:pPr>
        <w:rPr>
          <w:szCs w:val="24"/>
        </w:rPr>
      </w:pPr>
    </w:p>
    <w:sectPr w:rsidR="001A4B4F" w:rsidRPr="008735F3" w:rsidSect="001A4B4F">
      <w:headerReference w:type="default" r:id="rId19"/>
      <w:footerReference w:type="default" r:id="rId20"/>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70563" w14:textId="77777777" w:rsidR="00397E83" w:rsidRDefault="00397E83" w:rsidP="00263AA1">
      <w:r>
        <w:separator/>
      </w:r>
    </w:p>
  </w:endnote>
  <w:endnote w:type="continuationSeparator" w:id="0">
    <w:p w14:paraId="25B41BD1" w14:textId="77777777" w:rsidR="00397E83" w:rsidRDefault="00397E83" w:rsidP="0026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198D8" w14:textId="77777777" w:rsidR="00AC6595" w:rsidRDefault="00AC6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198D9" w14:textId="77777777" w:rsidR="00AC6595" w:rsidRDefault="00AC6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198DB" w14:textId="77777777" w:rsidR="00AC6595" w:rsidRDefault="00AC65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198DD" w14:textId="77777777" w:rsidR="00F20073" w:rsidRPr="00F20073" w:rsidRDefault="00F20073" w:rsidP="00F20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163E5" w14:textId="77777777" w:rsidR="00397E83" w:rsidRDefault="00397E83" w:rsidP="00263AA1">
      <w:r>
        <w:separator/>
      </w:r>
    </w:p>
  </w:footnote>
  <w:footnote w:type="continuationSeparator" w:id="0">
    <w:p w14:paraId="0A40CA68" w14:textId="77777777" w:rsidR="00397E83" w:rsidRDefault="00397E83" w:rsidP="0026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198D4" w14:textId="77777777" w:rsidR="00AC6595" w:rsidRDefault="00AC6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198D5" w14:textId="77777777" w:rsidR="00263AA1" w:rsidRDefault="00E32A10" w:rsidP="00CE0951">
    <w:pPr>
      <w:ind w:left="3600"/>
      <w:rPr>
        <w:sz w:val="18"/>
        <w:szCs w:val="18"/>
      </w:rPr>
    </w:pPr>
    <w:r w:rsidRPr="00137857">
      <w:rPr>
        <w:noProof/>
        <w:sz w:val="18"/>
        <w:szCs w:val="18"/>
      </w:rPr>
      <mc:AlternateContent>
        <mc:Choice Requires="wps">
          <w:drawing>
            <wp:anchor distT="45720" distB="45720" distL="114300" distR="114300" simplePos="0" relativeHeight="251665408" behindDoc="0" locked="0" layoutInCell="1" allowOverlap="1" wp14:anchorId="34C198DE" wp14:editId="34C198DF">
              <wp:simplePos x="0" y="0"/>
              <wp:positionH relativeFrom="margin">
                <wp:posOffset>-214630</wp:posOffset>
              </wp:positionH>
              <wp:positionV relativeFrom="paragraph">
                <wp:posOffset>466725</wp:posOffset>
              </wp:positionV>
              <wp:extent cx="1557020" cy="368300"/>
              <wp:effectExtent l="0" t="0" r="508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368300"/>
                      </a:xfrm>
                      <a:prstGeom prst="rect">
                        <a:avLst/>
                      </a:prstGeom>
                      <a:solidFill>
                        <a:srgbClr val="FFFFFF"/>
                      </a:solidFill>
                      <a:ln w="9525">
                        <a:noFill/>
                        <a:miter lim="800000"/>
                        <a:headEnd/>
                        <a:tailEnd/>
                      </a:ln>
                    </wps:spPr>
                    <wps:txbx>
                      <w:txbxContent>
                        <w:p w14:paraId="34C198E6" w14:textId="77777777" w:rsidR="004A2C04" w:rsidRPr="00287C76" w:rsidRDefault="00E32A10" w:rsidP="004A2C04">
                          <w:pPr>
                            <w:tabs>
                              <w:tab w:val="left" w:pos="7560"/>
                            </w:tabs>
                            <w:rPr>
                              <w:b/>
                              <w:color w:val="365F91" w:themeColor="accent1" w:themeShade="BF"/>
                              <w:sz w:val="18"/>
                              <w:szCs w:val="18"/>
                            </w:rPr>
                          </w:pPr>
                          <w:r>
                            <w:rPr>
                              <w:b/>
                              <w:color w:val="365F91" w:themeColor="accent1" w:themeShade="BF"/>
                              <w:sz w:val="18"/>
                              <w:szCs w:val="18"/>
                            </w:rPr>
                            <w:t>Jeanne M. Lambrew, Ph.D.</w:t>
                          </w:r>
                        </w:p>
                        <w:p w14:paraId="34C198E7" w14:textId="77777777" w:rsidR="00F61805" w:rsidRPr="00287C76" w:rsidRDefault="004A2C04" w:rsidP="004A2C04">
                          <w:pPr>
                            <w:tabs>
                              <w:tab w:val="left" w:pos="7560"/>
                            </w:tabs>
                            <w:rPr>
                              <w:sz w:val="18"/>
                              <w:szCs w:val="18"/>
                            </w:rPr>
                          </w:pPr>
                          <w:r w:rsidRPr="00287C76">
                            <w:rPr>
                              <w:b/>
                              <w:color w:val="365F91" w:themeColor="accent1" w:themeShade="BF"/>
                              <w:sz w:val="18"/>
                              <w:szCs w:val="18"/>
                            </w:rPr>
                            <w:t>Commissioner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C198DE" id="_x0000_t202" coordsize="21600,21600" o:spt="202" path="m,l,21600r21600,l21600,xe">
              <v:stroke joinstyle="miter"/>
              <v:path gradientshapeok="t" o:connecttype="rect"/>
            </v:shapetype>
            <v:shape id="Text Box 2" o:spid="_x0000_s1026" type="#_x0000_t202" style="position:absolute;left:0;text-align:left;margin-left:-16.9pt;margin-top:36.75pt;width:122.6pt;height:29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" stroked="f">
              <v:textbox>
                <w:txbxContent>
                  <w:p w14:paraId="34C198E6" w14:textId="77777777" w:rsidR="004A2C04" w:rsidRPr="00287C76" w:rsidRDefault="00E32A10" w:rsidP="004A2C04">
                    <w:pPr>
                      <w:tabs>
                        <w:tab w:val="left" w:pos="7560"/>
                      </w:tabs>
                      <w:rPr>
                        <w:b/>
                        <w:color w:val="365F91" w:themeColor="accent1" w:themeShade="BF"/>
                        <w:sz w:val="18"/>
                        <w:szCs w:val="18"/>
                      </w:rPr>
                    </w:pPr>
                    <w:r>
                      <w:rPr>
                        <w:b/>
                        <w:color w:val="365F91" w:themeColor="accent1" w:themeShade="BF"/>
                        <w:sz w:val="18"/>
                        <w:szCs w:val="18"/>
                      </w:rPr>
                      <w:t>Jeanne M. Lambrew, Ph.D.</w:t>
                    </w:r>
                  </w:p>
                  <w:p w14:paraId="34C198E7" w14:textId="77777777" w:rsidR="00F61805" w:rsidRPr="00287C76" w:rsidRDefault="004A2C04" w:rsidP="004A2C04">
                    <w:pPr>
                      <w:tabs>
                        <w:tab w:val="left" w:pos="7560"/>
                      </w:tabs>
                      <w:rPr>
                        <w:sz w:val="18"/>
                        <w:szCs w:val="18"/>
                      </w:rPr>
                    </w:pPr>
                    <w:r w:rsidRPr="00287C76">
                      <w:rPr>
                        <w:b/>
                        <w:color w:val="365F91" w:themeColor="accent1" w:themeShade="BF"/>
                        <w:sz w:val="18"/>
                        <w:szCs w:val="18"/>
                      </w:rPr>
                      <w:t>Commissioner</w:t>
                    </w:r>
                  </w:p>
                </w:txbxContent>
              </v:textbox>
              <w10:wrap type="square" anchorx="margin"/>
            </v:shape>
          </w:pict>
        </mc:Fallback>
      </mc:AlternateContent>
    </w:r>
    <w:r w:rsidR="00BE7DFC" w:rsidRPr="000D047A">
      <w:rPr>
        <w:noProof/>
        <w:sz w:val="18"/>
        <w:szCs w:val="18"/>
      </w:rPr>
      <mc:AlternateContent>
        <mc:Choice Requires="wps">
          <w:drawing>
            <wp:anchor distT="45720" distB="45720" distL="114300" distR="114300" simplePos="0" relativeHeight="251661312" behindDoc="0" locked="0" layoutInCell="1" allowOverlap="1" wp14:anchorId="34C198E0" wp14:editId="34C198E1">
              <wp:simplePos x="0" y="0"/>
              <wp:positionH relativeFrom="column">
                <wp:posOffset>3627120</wp:posOffset>
              </wp:positionH>
              <wp:positionV relativeFrom="paragraph">
                <wp:posOffset>7620</wp:posOffset>
              </wp:positionV>
              <wp:extent cx="2717165" cy="1041400"/>
              <wp:effectExtent l="0" t="0" r="6985"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165" cy="1041400"/>
                      </a:xfrm>
                      <a:prstGeom prst="rect">
                        <a:avLst/>
                      </a:prstGeom>
                      <a:solidFill>
                        <a:srgbClr val="FFFFFF"/>
                      </a:solidFill>
                      <a:ln w="9525">
                        <a:noFill/>
                        <a:miter lim="800000"/>
                        <a:headEnd/>
                        <a:tailEnd/>
                      </a:ln>
                    </wps:spPr>
                    <wps:txbx>
                      <w:txbxContent>
                        <w:p w14:paraId="34C198E8" w14:textId="77777777" w:rsidR="000D047A" w:rsidRPr="00287C76" w:rsidRDefault="00BE7DFC" w:rsidP="004A2C04">
                          <w:pPr>
                            <w:jc w:val="right"/>
                            <w:rPr>
                              <w:b/>
                              <w:color w:val="365F91" w:themeColor="accent1" w:themeShade="BF"/>
                              <w:sz w:val="18"/>
                              <w:szCs w:val="18"/>
                            </w:rPr>
                          </w:pPr>
                          <w:r>
                            <w:rPr>
                              <w:b/>
                              <w:color w:val="365F91" w:themeColor="accent1" w:themeShade="BF"/>
                              <w:sz w:val="18"/>
                              <w:szCs w:val="18"/>
                            </w:rPr>
                            <w:t xml:space="preserve">Maine </w:t>
                          </w:r>
                          <w:r w:rsidR="000D047A" w:rsidRPr="00287C76">
                            <w:rPr>
                              <w:b/>
                              <w:color w:val="365F91" w:themeColor="accent1" w:themeShade="BF"/>
                              <w:sz w:val="18"/>
                              <w:szCs w:val="18"/>
                            </w:rPr>
                            <w:t>Department of Health and Human Services</w:t>
                          </w:r>
                        </w:p>
                        <w:p w14:paraId="34C198E9" w14:textId="77777777" w:rsidR="0039381B" w:rsidRPr="00287C76" w:rsidRDefault="0039381B" w:rsidP="004A2C04">
                          <w:pPr>
                            <w:jc w:val="right"/>
                            <w:rPr>
                              <w:b/>
                              <w:color w:val="365F91" w:themeColor="accent1" w:themeShade="BF"/>
                              <w:sz w:val="18"/>
                              <w:szCs w:val="18"/>
                            </w:rPr>
                          </w:pPr>
                          <w:r w:rsidRPr="00287C76">
                            <w:rPr>
                              <w:b/>
                              <w:color w:val="365F91" w:themeColor="accent1" w:themeShade="BF"/>
                              <w:sz w:val="18"/>
                              <w:szCs w:val="18"/>
                            </w:rPr>
                            <w:t>Commissioner’s Office</w:t>
                          </w:r>
                        </w:p>
                        <w:p w14:paraId="34C198EA" w14:textId="77777777" w:rsidR="000D047A" w:rsidRPr="00287C76" w:rsidRDefault="000D047A" w:rsidP="004A2C04">
                          <w:pPr>
                            <w:jc w:val="right"/>
                            <w:rPr>
                              <w:b/>
                              <w:color w:val="365F91" w:themeColor="accent1" w:themeShade="BF"/>
                              <w:sz w:val="18"/>
                              <w:szCs w:val="18"/>
                            </w:rPr>
                          </w:pPr>
                          <w:r w:rsidRPr="00287C76">
                            <w:rPr>
                              <w:b/>
                              <w:color w:val="365F91" w:themeColor="accent1" w:themeShade="BF"/>
                              <w:sz w:val="18"/>
                              <w:szCs w:val="18"/>
                            </w:rPr>
                            <w:t>11 State House Station</w:t>
                          </w:r>
                        </w:p>
                        <w:p w14:paraId="34C198EB" w14:textId="77777777" w:rsidR="000D047A" w:rsidRPr="00287C76" w:rsidRDefault="004D483D" w:rsidP="004A2C04">
                          <w:pPr>
                            <w:jc w:val="right"/>
                            <w:rPr>
                              <w:b/>
                              <w:color w:val="365F91" w:themeColor="accent1" w:themeShade="BF"/>
                              <w:sz w:val="18"/>
                              <w:szCs w:val="18"/>
                            </w:rPr>
                          </w:pPr>
                          <w:r>
                            <w:rPr>
                              <w:b/>
                              <w:color w:val="365F91" w:themeColor="accent1" w:themeShade="BF"/>
                              <w:sz w:val="18"/>
                              <w:szCs w:val="18"/>
                            </w:rPr>
                            <w:t>109 Capitol</w:t>
                          </w:r>
                          <w:r w:rsidR="000D047A" w:rsidRPr="00287C76">
                            <w:rPr>
                              <w:b/>
                              <w:color w:val="365F91" w:themeColor="accent1" w:themeShade="BF"/>
                              <w:sz w:val="18"/>
                              <w:szCs w:val="18"/>
                            </w:rPr>
                            <w:t xml:space="preserve"> Street</w:t>
                          </w:r>
                        </w:p>
                        <w:p w14:paraId="34C198EC" w14:textId="77777777" w:rsidR="000D047A" w:rsidRPr="00287C76" w:rsidRDefault="000D047A" w:rsidP="004A2C04">
                          <w:pPr>
                            <w:jc w:val="right"/>
                            <w:rPr>
                              <w:b/>
                              <w:color w:val="365F91" w:themeColor="accent1" w:themeShade="BF"/>
                              <w:sz w:val="18"/>
                              <w:szCs w:val="18"/>
                            </w:rPr>
                          </w:pPr>
                          <w:r w:rsidRPr="00287C76">
                            <w:rPr>
                              <w:b/>
                              <w:color w:val="365F91" w:themeColor="accent1" w:themeShade="BF"/>
                              <w:sz w:val="18"/>
                              <w:szCs w:val="18"/>
                            </w:rPr>
                            <w:t>Augusta, Maine 04333-0011</w:t>
                          </w:r>
                        </w:p>
                        <w:p w14:paraId="34C198ED" w14:textId="77777777" w:rsidR="004A2C04" w:rsidRPr="00287C76" w:rsidRDefault="003347EC" w:rsidP="004A2C04">
                          <w:pPr>
                            <w:pStyle w:val="Footer"/>
                            <w:tabs>
                              <w:tab w:val="clear" w:pos="4680"/>
                              <w:tab w:val="left" w:pos="3330"/>
                            </w:tabs>
                            <w:jc w:val="right"/>
                            <w:rPr>
                              <w:b/>
                              <w:color w:val="365F91" w:themeColor="accent1" w:themeShade="BF"/>
                              <w:sz w:val="18"/>
                              <w:szCs w:val="18"/>
                            </w:rPr>
                          </w:pPr>
                          <w:r>
                            <w:rPr>
                              <w:b/>
                              <w:color w:val="365F91" w:themeColor="accent1" w:themeShade="BF"/>
                              <w:sz w:val="18"/>
                              <w:szCs w:val="18"/>
                            </w:rPr>
                            <w:t>Tel</w:t>
                          </w:r>
                          <w:r w:rsidR="004A2C04" w:rsidRPr="00287C76">
                            <w:rPr>
                              <w:b/>
                              <w:color w:val="365F91" w:themeColor="accent1" w:themeShade="BF"/>
                              <w:sz w:val="18"/>
                              <w:szCs w:val="18"/>
                            </w:rPr>
                            <w:t>: (207) 287-3707; Fax: (207) 287-3005</w:t>
                          </w:r>
                        </w:p>
                        <w:p w14:paraId="34C198EE" w14:textId="77777777" w:rsidR="000D047A" w:rsidRPr="00287C76" w:rsidRDefault="004A2C04" w:rsidP="004A2C04">
                          <w:pPr>
                            <w:jc w:val="right"/>
                            <w:rPr>
                              <w:sz w:val="18"/>
                              <w:szCs w:val="18"/>
                            </w:rPr>
                          </w:pPr>
                          <w:r w:rsidRPr="00287C76">
                            <w:rPr>
                              <w:b/>
                              <w:color w:val="365F91" w:themeColor="accent1" w:themeShade="BF"/>
                              <w:sz w:val="18"/>
                              <w:szCs w:val="18"/>
                            </w:rPr>
                            <w:t>TTY: Dial 711 (Maine Relay)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198E0" id="_x0000_s1027" type="#_x0000_t202" style="position:absolute;left:0;text-align:left;margin-left:285.6pt;margin-top:.6pt;width:213.95pt;height:8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" stroked="f">
              <v:textbox>
                <w:txbxContent>
                  <w:p w14:paraId="34C198E8" w14:textId="77777777" w:rsidR="000D047A" w:rsidRPr="00287C76" w:rsidRDefault="00BE7DFC" w:rsidP="004A2C04">
                    <w:pPr>
                      <w:jc w:val="right"/>
                      <w:rPr>
                        <w:b/>
                        <w:color w:val="365F91" w:themeColor="accent1" w:themeShade="BF"/>
                        <w:sz w:val="18"/>
                        <w:szCs w:val="18"/>
                      </w:rPr>
                    </w:pPr>
                    <w:r>
                      <w:rPr>
                        <w:b/>
                        <w:color w:val="365F91" w:themeColor="accent1" w:themeShade="BF"/>
                        <w:sz w:val="18"/>
                        <w:szCs w:val="18"/>
                      </w:rPr>
                      <w:t xml:space="preserve">Maine </w:t>
                    </w:r>
                    <w:r w:rsidR="000D047A" w:rsidRPr="00287C76">
                      <w:rPr>
                        <w:b/>
                        <w:color w:val="365F91" w:themeColor="accent1" w:themeShade="BF"/>
                        <w:sz w:val="18"/>
                        <w:szCs w:val="18"/>
                      </w:rPr>
                      <w:t>Department of Health and Human Services</w:t>
                    </w:r>
                  </w:p>
                  <w:p w14:paraId="34C198E9" w14:textId="77777777" w:rsidR="0039381B" w:rsidRPr="00287C76" w:rsidRDefault="0039381B" w:rsidP="004A2C04">
                    <w:pPr>
                      <w:jc w:val="right"/>
                      <w:rPr>
                        <w:b/>
                        <w:color w:val="365F91" w:themeColor="accent1" w:themeShade="BF"/>
                        <w:sz w:val="18"/>
                        <w:szCs w:val="18"/>
                      </w:rPr>
                    </w:pPr>
                    <w:r w:rsidRPr="00287C76">
                      <w:rPr>
                        <w:b/>
                        <w:color w:val="365F91" w:themeColor="accent1" w:themeShade="BF"/>
                        <w:sz w:val="18"/>
                        <w:szCs w:val="18"/>
                      </w:rPr>
                      <w:t>Commissioner’s Office</w:t>
                    </w:r>
                  </w:p>
                  <w:p w14:paraId="34C198EA" w14:textId="77777777" w:rsidR="000D047A" w:rsidRPr="00287C76" w:rsidRDefault="000D047A" w:rsidP="004A2C04">
                    <w:pPr>
                      <w:jc w:val="right"/>
                      <w:rPr>
                        <w:b/>
                        <w:color w:val="365F91" w:themeColor="accent1" w:themeShade="BF"/>
                        <w:sz w:val="18"/>
                        <w:szCs w:val="18"/>
                      </w:rPr>
                    </w:pPr>
                    <w:r w:rsidRPr="00287C76">
                      <w:rPr>
                        <w:b/>
                        <w:color w:val="365F91" w:themeColor="accent1" w:themeShade="BF"/>
                        <w:sz w:val="18"/>
                        <w:szCs w:val="18"/>
                      </w:rPr>
                      <w:t>11 State House Station</w:t>
                    </w:r>
                  </w:p>
                  <w:p w14:paraId="34C198EB" w14:textId="77777777" w:rsidR="000D047A" w:rsidRPr="00287C76" w:rsidRDefault="004D483D" w:rsidP="004A2C04">
                    <w:pPr>
                      <w:jc w:val="right"/>
                      <w:rPr>
                        <w:b/>
                        <w:color w:val="365F91" w:themeColor="accent1" w:themeShade="BF"/>
                        <w:sz w:val="18"/>
                        <w:szCs w:val="18"/>
                      </w:rPr>
                    </w:pPr>
                    <w:r>
                      <w:rPr>
                        <w:b/>
                        <w:color w:val="365F91" w:themeColor="accent1" w:themeShade="BF"/>
                        <w:sz w:val="18"/>
                        <w:szCs w:val="18"/>
                      </w:rPr>
                      <w:t>109 Capitol</w:t>
                    </w:r>
                    <w:r w:rsidR="000D047A" w:rsidRPr="00287C76">
                      <w:rPr>
                        <w:b/>
                        <w:color w:val="365F91" w:themeColor="accent1" w:themeShade="BF"/>
                        <w:sz w:val="18"/>
                        <w:szCs w:val="18"/>
                      </w:rPr>
                      <w:t xml:space="preserve"> Street</w:t>
                    </w:r>
                  </w:p>
                  <w:p w14:paraId="34C198EC" w14:textId="77777777" w:rsidR="000D047A" w:rsidRPr="00287C76" w:rsidRDefault="000D047A" w:rsidP="004A2C04">
                    <w:pPr>
                      <w:jc w:val="right"/>
                      <w:rPr>
                        <w:b/>
                        <w:color w:val="365F91" w:themeColor="accent1" w:themeShade="BF"/>
                        <w:sz w:val="18"/>
                        <w:szCs w:val="18"/>
                      </w:rPr>
                    </w:pPr>
                    <w:r w:rsidRPr="00287C76">
                      <w:rPr>
                        <w:b/>
                        <w:color w:val="365F91" w:themeColor="accent1" w:themeShade="BF"/>
                        <w:sz w:val="18"/>
                        <w:szCs w:val="18"/>
                      </w:rPr>
                      <w:t>Augusta, Maine 04333-0011</w:t>
                    </w:r>
                  </w:p>
                  <w:p w14:paraId="34C198ED" w14:textId="77777777" w:rsidR="004A2C04" w:rsidRPr="00287C76" w:rsidRDefault="003347EC" w:rsidP="004A2C04">
                    <w:pPr>
                      <w:pStyle w:val="Footer"/>
                      <w:tabs>
                        <w:tab w:val="clear" w:pos="4680"/>
                        <w:tab w:val="left" w:pos="3330"/>
                      </w:tabs>
                      <w:jc w:val="right"/>
                      <w:rPr>
                        <w:b/>
                        <w:color w:val="365F91" w:themeColor="accent1" w:themeShade="BF"/>
                        <w:sz w:val="18"/>
                        <w:szCs w:val="18"/>
                      </w:rPr>
                    </w:pPr>
                    <w:r>
                      <w:rPr>
                        <w:b/>
                        <w:color w:val="365F91" w:themeColor="accent1" w:themeShade="BF"/>
                        <w:sz w:val="18"/>
                        <w:szCs w:val="18"/>
                      </w:rPr>
                      <w:t>Tel</w:t>
                    </w:r>
                    <w:r w:rsidR="004A2C04" w:rsidRPr="00287C76">
                      <w:rPr>
                        <w:b/>
                        <w:color w:val="365F91" w:themeColor="accent1" w:themeShade="BF"/>
                        <w:sz w:val="18"/>
                        <w:szCs w:val="18"/>
                      </w:rPr>
                      <w:t>: (207) 287-3707; Fax: (207) 287-3005</w:t>
                    </w:r>
                  </w:p>
                  <w:p w14:paraId="34C198EE" w14:textId="77777777" w:rsidR="000D047A" w:rsidRPr="00287C76" w:rsidRDefault="004A2C04" w:rsidP="004A2C04">
                    <w:pPr>
                      <w:jc w:val="right"/>
                      <w:rPr>
                        <w:sz w:val="18"/>
                        <w:szCs w:val="18"/>
                      </w:rPr>
                    </w:pPr>
                    <w:r w:rsidRPr="00287C76">
                      <w:rPr>
                        <w:b/>
                        <w:color w:val="365F91" w:themeColor="accent1" w:themeShade="BF"/>
                        <w:sz w:val="18"/>
                        <w:szCs w:val="18"/>
                      </w:rPr>
                      <w:t>TTY: Dial 711 (Maine Relay)</w:t>
                    </w:r>
                  </w:p>
                </w:txbxContent>
              </v:textbox>
              <w10:wrap type="square"/>
            </v:shape>
          </w:pict>
        </mc:Fallback>
      </mc:AlternateContent>
    </w:r>
    <w:r w:rsidR="00CE0951" w:rsidRPr="00B238B0">
      <w:rPr>
        <w:noProof/>
      </w:rPr>
      <w:drawing>
        <wp:inline distT="0" distB="0" distL="0" distR="0" wp14:anchorId="34C198E2" wp14:editId="34C198E3">
          <wp:extent cx="704063" cy="792480"/>
          <wp:effectExtent l="0" t="0" r="127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401" cy="800740"/>
                  </a:xfrm>
                  <a:prstGeom prst="rect">
                    <a:avLst/>
                  </a:prstGeom>
                  <a:noFill/>
                  <a:ln>
                    <a:noFill/>
                  </a:ln>
                </pic:spPr>
              </pic:pic>
            </a:graphicData>
          </a:graphic>
        </wp:inline>
      </w:drawing>
    </w:r>
    <w:r w:rsidR="00853B30" w:rsidRPr="00137857">
      <w:rPr>
        <w:noProof/>
        <w:sz w:val="18"/>
        <w:szCs w:val="18"/>
      </w:rPr>
      <mc:AlternateContent>
        <mc:Choice Requires="wps">
          <w:drawing>
            <wp:anchor distT="45720" distB="45720" distL="114300" distR="114300" simplePos="0" relativeHeight="251663360" behindDoc="0" locked="0" layoutInCell="1" allowOverlap="1" wp14:anchorId="34C198E4" wp14:editId="34C198E5">
              <wp:simplePos x="0" y="0"/>
              <wp:positionH relativeFrom="margin">
                <wp:posOffset>-198967</wp:posOffset>
              </wp:positionH>
              <wp:positionV relativeFrom="paragraph">
                <wp:posOffset>42122</wp:posOffset>
              </wp:positionV>
              <wp:extent cx="1124585" cy="368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368300"/>
                      </a:xfrm>
                      <a:prstGeom prst="rect">
                        <a:avLst/>
                      </a:prstGeom>
                      <a:solidFill>
                        <a:srgbClr val="FFFFFF"/>
                      </a:solidFill>
                      <a:ln w="9525">
                        <a:noFill/>
                        <a:miter lim="800000"/>
                        <a:headEnd/>
                        <a:tailEnd/>
                      </a:ln>
                    </wps:spPr>
                    <wps:txbx>
                      <w:txbxContent>
                        <w:p w14:paraId="34C198EF" w14:textId="77777777" w:rsidR="00F61805" w:rsidRPr="00287C76" w:rsidRDefault="0075217C" w:rsidP="00F61805">
                          <w:pPr>
                            <w:rPr>
                              <w:b/>
                              <w:color w:val="365F91" w:themeColor="accent1" w:themeShade="BF"/>
                              <w:sz w:val="18"/>
                              <w:szCs w:val="18"/>
                            </w:rPr>
                          </w:pPr>
                          <w:r>
                            <w:rPr>
                              <w:b/>
                              <w:color w:val="365F91" w:themeColor="accent1" w:themeShade="BF"/>
                              <w:sz w:val="18"/>
                              <w:szCs w:val="18"/>
                            </w:rPr>
                            <w:t>Janet T. Mills</w:t>
                          </w:r>
                        </w:p>
                        <w:p w14:paraId="34C198F0" w14:textId="77777777" w:rsidR="00F61805" w:rsidRPr="00287C76" w:rsidRDefault="004A2C04" w:rsidP="00F61805">
                          <w:pPr>
                            <w:rPr>
                              <w:b/>
                              <w:color w:val="365F91" w:themeColor="accent1" w:themeShade="BF"/>
                              <w:sz w:val="18"/>
                              <w:szCs w:val="18"/>
                            </w:rPr>
                          </w:pPr>
                          <w:r w:rsidRPr="00287C76">
                            <w:rPr>
                              <w:b/>
                              <w:color w:val="365F91" w:themeColor="accent1" w:themeShade="BF"/>
                              <w:sz w:val="18"/>
                              <w:szCs w:val="18"/>
                            </w:rPr>
                            <w:t>Governor</w:t>
                          </w:r>
                        </w:p>
                        <w:p w14:paraId="34C198F1" w14:textId="77777777" w:rsidR="00F61805" w:rsidRDefault="00F61805" w:rsidP="00F618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198E4" id="_x0000_s1028" type="#_x0000_t202" style="position:absolute;left:0;text-align:left;margin-left:-15.65pt;margin-top:3.3pt;width:88.55pt;height:2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" stroked="f">
              <v:textbox>
                <w:txbxContent>
                  <w:p w14:paraId="34C198EF" w14:textId="77777777" w:rsidR="00F61805" w:rsidRPr="00287C76" w:rsidRDefault="0075217C" w:rsidP="00F61805">
                    <w:pPr>
                      <w:rPr>
                        <w:b/>
                        <w:color w:val="365F91" w:themeColor="accent1" w:themeShade="BF"/>
                        <w:sz w:val="18"/>
                        <w:szCs w:val="18"/>
                      </w:rPr>
                    </w:pPr>
                    <w:r>
                      <w:rPr>
                        <w:b/>
                        <w:color w:val="365F91" w:themeColor="accent1" w:themeShade="BF"/>
                        <w:sz w:val="18"/>
                        <w:szCs w:val="18"/>
                      </w:rPr>
                      <w:t>Janet T. Mills</w:t>
                    </w:r>
                  </w:p>
                  <w:p w14:paraId="34C198F0" w14:textId="77777777" w:rsidR="00F61805" w:rsidRPr="00287C76" w:rsidRDefault="004A2C04" w:rsidP="00F61805">
                    <w:pPr>
                      <w:rPr>
                        <w:b/>
                        <w:color w:val="365F91" w:themeColor="accent1" w:themeShade="BF"/>
                        <w:sz w:val="18"/>
                        <w:szCs w:val="18"/>
                      </w:rPr>
                    </w:pPr>
                    <w:r w:rsidRPr="00287C76">
                      <w:rPr>
                        <w:b/>
                        <w:color w:val="365F91" w:themeColor="accent1" w:themeShade="BF"/>
                        <w:sz w:val="18"/>
                        <w:szCs w:val="18"/>
                      </w:rPr>
                      <w:t>Governor</w:t>
                    </w:r>
                  </w:p>
                  <w:p w14:paraId="34C198F1" w14:textId="77777777" w:rsidR="00F61805" w:rsidRDefault="00F61805" w:rsidP="00F61805"/>
                </w:txbxContent>
              </v:textbox>
              <w10:wrap type="square" anchorx="margin"/>
            </v:shape>
          </w:pict>
        </mc:Fallback>
      </mc:AlternateContent>
    </w:r>
  </w:p>
  <w:p w14:paraId="34C198D6" w14:textId="77777777" w:rsidR="007372BB" w:rsidRDefault="007372BB" w:rsidP="007372BB">
    <w:pPr>
      <w:rPr>
        <w:sz w:val="18"/>
        <w:szCs w:val="18"/>
      </w:rPr>
    </w:pPr>
  </w:p>
  <w:p w14:paraId="34C198D7" w14:textId="77777777" w:rsidR="00F61805" w:rsidRDefault="00F61805" w:rsidP="007372BB">
    <w:pPr>
      <w:tabs>
        <w:tab w:val="left" w:pos="7560"/>
      </w:tabs>
      <w:rPr>
        <w:b/>
        <w:color w:val="365F91" w:themeColor="accent1" w:themeShade="BF"/>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198DA" w14:textId="77777777" w:rsidR="00AC6595" w:rsidRDefault="00AC65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198DC" w14:textId="77777777" w:rsidR="00F20073" w:rsidRDefault="00F20073" w:rsidP="007372BB">
    <w:pPr>
      <w:tabs>
        <w:tab w:val="left" w:pos="7560"/>
      </w:tabs>
      <w:rPr>
        <w:b/>
        <w:color w:val="365F91" w:themeColor="accent1" w:themeShade="B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C6275"/>
    <w:multiLevelType w:val="hybridMultilevel"/>
    <w:tmpl w:val="EC1E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3541D7"/>
    <w:multiLevelType w:val="hybridMultilevel"/>
    <w:tmpl w:val="338A9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8B53F49"/>
    <w:multiLevelType w:val="hybridMultilevel"/>
    <w:tmpl w:val="224038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EE1A29"/>
    <w:multiLevelType w:val="hybridMultilevel"/>
    <w:tmpl w:val="8FF2D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AA1"/>
    <w:rsid w:val="00031551"/>
    <w:rsid w:val="00037C80"/>
    <w:rsid w:val="00071861"/>
    <w:rsid w:val="000848DB"/>
    <w:rsid w:val="000D047A"/>
    <w:rsid w:val="0014256A"/>
    <w:rsid w:val="001A4B4F"/>
    <w:rsid w:val="001A5049"/>
    <w:rsid w:val="001C3158"/>
    <w:rsid w:val="001E4CA5"/>
    <w:rsid w:val="00220B01"/>
    <w:rsid w:val="0023685D"/>
    <w:rsid w:val="00263AA1"/>
    <w:rsid w:val="00277ECD"/>
    <w:rsid w:val="0028264F"/>
    <w:rsid w:val="00287C76"/>
    <w:rsid w:val="002E3734"/>
    <w:rsid w:val="00311948"/>
    <w:rsid w:val="003347EC"/>
    <w:rsid w:val="0033675F"/>
    <w:rsid w:val="0039381B"/>
    <w:rsid w:val="00397E83"/>
    <w:rsid w:val="004133F8"/>
    <w:rsid w:val="00425186"/>
    <w:rsid w:val="004333B7"/>
    <w:rsid w:val="00434046"/>
    <w:rsid w:val="00451E62"/>
    <w:rsid w:val="00465EF6"/>
    <w:rsid w:val="00475E01"/>
    <w:rsid w:val="004A2C04"/>
    <w:rsid w:val="004D40A4"/>
    <w:rsid w:val="004D483D"/>
    <w:rsid w:val="004F4154"/>
    <w:rsid w:val="00580738"/>
    <w:rsid w:val="005D69B9"/>
    <w:rsid w:val="005F0E73"/>
    <w:rsid w:val="00600766"/>
    <w:rsid w:val="006B0904"/>
    <w:rsid w:val="006C703C"/>
    <w:rsid w:val="006D2C00"/>
    <w:rsid w:val="006E466A"/>
    <w:rsid w:val="006F357F"/>
    <w:rsid w:val="007221FD"/>
    <w:rsid w:val="007372BB"/>
    <w:rsid w:val="0075217C"/>
    <w:rsid w:val="0076607E"/>
    <w:rsid w:val="0079011C"/>
    <w:rsid w:val="007B6AB2"/>
    <w:rsid w:val="00853B30"/>
    <w:rsid w:val="008735F3"/>
    <w:rsid w:val="008A0777"/>
    <w:rsid w:val="00925CAF"/>
    <w:rsid w:val="00997CD5"/>
    <w:rsid w:val="009B2F14"/>
    <w:rsid w:val="00A013B9"/>
    <w:rsid w:val="00A045E1"/>
    <w:rsid w:val="00A06BB9"/>
    <w:rsid w:val="00A26ECB"/>
    <w:rsid w:val="00A52029"/>
    <w:rsid w:val="00AC5146"/>
    <w:rsid w:val="00AC6595"/>
    <w:rsid w:val="00AC70DA"/>
    <w:rsid w:val="00B15BA7"/>
    <w:rsid w:val="00B53BA6"/>
    <w:rsid w:val="00B85133"/>
    <w:rsid w:val="00BB52B1"/>
    <w:rsid w:val="00BC1FC1"/>
    <w:rsid w:val="00BE7DFC"/>
    <w:rsid w:val="00BE7F4E"/>
    <w:rsid w:val="00C02B3F"/>
    <w:rsid w:val="00C31B31"/>
    <w:rsid w:val="00C73C82"/>
    <w:rsid w:val="00CE0951"/>
    <w:rsid w:val="00D469F4"/>
    <w:rsid w:val="00DD28D1"/>
    <w:rsid w:val="00E32A10"/>
    <w:rsid w:val="00EB1407"/>
    <w:rsid w:val="00EB174E"/>
    <w:rsid w:val="00EC6C15"/>
    <w:rsid w:val="00ED34F2"/>
    <w:rsid w:val="00ED727C"/>
    <w:rsid w:val="00F20073"/>
    <w:rsid w:val="00F61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C198CE"/>
  <w15:chartTrackingRefBased/>
  <w15:docId w15:val="{220C6C31-DD25-4BDB-902E-00F1D385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AA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AA1"/>
    <w:pPr>
      <w:tabs>
        <w:tab w:val="center" w:pos="4680"/>
        <w:tab w:val="right" w:pos="9360"/>
      </w:tabs>
    </w:pPr>
  </w:style>
  <w:style w:type="character" w:customStyle="1" w:styleId="HeaderChar">
    <w:name w:val="Header Char"/>
    <w:basedOn w:val="DefaultParagraphFont"/>
    <w:link w:val="Header"/>
    <w:uiPriority w:val="99"/>
    <w:rsid w:val="00263AA1"/>
    <w:rPr>
      <w:rFonts w:ascii="Times New Roman" w:eastAsia="Times New Roman" w:hAnsi="Times New Roman" w:cs="Times New Roman"/>
      <w:sz w:val="24"/>
      <w:szCs w:val="20"/>
    </w:rPr>
  </w:style>
  <w:style w:type="paragraph" w:styleId="Footer">
    <w:name w:val="footer"/>
    <w:basedOn w:val="Normal"/>
    <w:link w:val="FooterChar"/>
    <w:unhideWhenUsed/>
    <w:rsid w:val="00263AA1"/>
    <w:pPr>
      <w:tabs>
        <w:tab w:val="center" w:pos="4680"/>
        <w:tab w:val="right" w:pos="9360"/>
      </w:tabs>
    </w:pPr>
  </w:style>
  <w:style w:type="character" w:customStyle="1" w:styleId="FooterChar">
    <w:name w:val="Footer Char"/>
    <w:basedOn w:val="DefaultParagraphFont"/>
    <w:link w:val="Footer"/>
    <w:uiPriority w:val="99"/>
    <w:rsid w:val="00263AA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15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BA7"/>
    <w:rPr>
      <w:rFonts w:ascii="Segoe UI" w:eastAsia="Times New Roman" w:hAnsi="Segoe UI" w:cs="Segoe UI"/>
      <w:sz w:val="18"/>
      <w:szCs w:val="18"/>
    </w:rPr>
  </w:style>
  <w:style w:type="paragraph" w:styleId="NoSpacing">
    <w:name w:val="No Spacing"/>
    <w:uiPriority w:val="1"/>
    <w:qFormat/>
    <w:rsid w:val="0033675F"/>
    <w:pPr>
      <w:spacing w:after="0" w:line="240" w:lineRule="auto"/>
    </w:pPr>
    <w:rPr>
      <w:rFonts w:ascii="Times New Roman" w:eastAsia="Times New Roman" w:hAnsi="Times New Roman" w:cs="Times New Roman"/>
      <w:sz w:val="24"/>
      <w:szCs w:val="20"/>
    </w:rPr>
  </w:style>
  <w:style w:type="character" w:styleId="Hyperlink">
    <w:name w:val="Hyperlink"/>
    <w:unhideWhenUsed/>
    <w:rsid w:val="004133F8"/>
    <w:rPr>
      <w:color w:val="0000FF"/>
      <w:u w:val="single"/>
    </w:rPr>
  </w:style>
  <w:style w:type="paragraph" w:styleId="NormalWeb">
    <w:name w:val="Normal (Web)"/>
    <w:basedOn w:val="Normal"/>
    <w:uiPriority w:val="99"/>
    <w:unhideWhenUsed/>
    <w:rsid w:val="004133F8"/>
    <w:rPr>
      <w:rFonts w:ascii="Calibri" w:eastAsia="Calibri" w:hAnsi="Calibri" w:cs="Calibri"/>
      <w:sz w:val="22"/>
      <w:szCs w:val="22"/>
    </w:rPr>
  </w:style>
  <w:style w:type="paragraph" w:styleId="ListParagraph">
    <w:name w:val="List Paragraph"/>
    <w:basedOn w:val="Normal"/>
    <w:uiPriority w:val="34"/>
    <w:qFormat/>
    <w:rsid w:val="004133F8"/>
    <w:pPr>
      <w:spacing w:after="200" w:line="276" w:lineRule="auto"/>
      <w:ind w:left="720"/>
      <w:contextualSpacing/>
    </w:pPr>
    <w:rPr>
      <w:rFonts w:ascii="Calibri" w:eastAsia="Calibri" w:hAnsi="Calibri"/>
      <w:sz w:val="22"/>
      <w:szCs w:val="22"/>
    </w:rPr>
  </w:style>
  <w:style w:type="paragraph" w:customStyle="1" w:styleId="Default">
    <w:name w:val="Default"/>
    <w:rsid w:val="007221FD"/>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221FD"/>
    <w:rPr>
      <w:color w:val="605E5C"/>
      <w:shd w:val="clear" w:color="auto" w:fill="E1DFDD"/>
    </w:rPr>
  </w:style>
  <w:style w:type="character" w:styleId="CommentReference">
    <w:name w:val="annotation reference"/>
    <w:basedOn w:val="DefaultParagraphFont"/>
    <w:uiPriority w:val="99"/>
    <w:semiHidden/>
    <w:unhideWhenUsed/>
    <w:rsid w:val="00C73C82"/>
    <w:rPr>
      <w:sz w:val="16"/>
      <w:szCs w:val="16"/>
    </w:rPr>
  </w:style>
  <w:style w:type="paragraph" w:styleId="CommentText">
    <w:name w:val="annotation text"/>
    <w:basedOn w:val="Normal"/>
    <w:link w:val="CommentTextChar"/>
    <w:uiPriority w:val="99"/>
    <w:semiHidden/>
    <w:unhideWhenUsed/>
    <w:rsid w:val="00C73C82"/>
    <w:rPr>
      <w:sz w:val="20"/>
    </w:rPr>
  </w:style>
  <w:style w:type="character" w:customStyle="1" w:styleId="CommentTextChar">
    <w:name w:val="Comment Text Char"/>
    <w:basedOn w:val="DefaultParagraphFont"/>
    <w:link w:val="CommentText"/>
    <w:uiPriority w:val="99"/>
    <w:semiHidden/>
    <w:rsid w:val="00C73C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3C82"/>
    <w:rPr>
      <w:b/>
      <w:bCs/>
    </w:rPr>
  </w:style>
  <w:style w:type="character" w:customStyle="1" w:styleId="CommentSubjectChar">
    <w:name w:val="Comment Subject Char"/>
    <w:basedOn w:val="CommentTextChar"/>
    <w:link w:val="CommentSubject"/>
    <w:uiPriority w:val="99"/>
    <w:semiHidden/>
    <w:rsid w:val="00C73C82"/>
    <w:rPr>
      <w:rFonts w:ascii="Times New Roman" w:eastAsia="Times New Roman" w:hAnsi="Times New Roman" w:cs="Times New Roman"/>
      <w:b/>
      <w:bCs/>
      <w:sz w:val="20"/>
      <w:szCs w:val="20"/>
    </w:rPr>
  </w:style>
  <w:style w:type="paragraph" w:styleId="Revision">
    <w:name w:val="Revision"/>
    <w:hidden/>
    <w:uiPriority w:val="99"/>
    <w:semiHidden/>
    <w:rsid w:val="00C73C8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80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usp.org/sites/default/files/usp/document/about/public-policy/usp-covid19-handrub.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fda.gov/regulatory-information/search-fda-guidance-documents/policy-temporary-compounding-certain-alcohol-based-hand-sanitizer-products-during-public-health"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66E5C4EE02B48A9BDBE5FB54A25D5" ma:contentTypeVersion="14" ma:contentTypeDescription="Create a new document." ma:contentTypeScope="" ma:versionID="07ec9f011d5707b0ac4b6841b1f24938">
  <xsd:schema xmlns:xsd="http://www.w3.org/2001/XMLSchema" xmlns:xs="http://www.w3.org/2001/XMLSchema" xmlns:p="http://schemas.microsoft.com/office/2006/metadata/properties" xmlns:ns1="http://schemas.microsoft.com/sharepoint/v3" xmlns:ns3="81a9341b-64b5-4ad4-8639-fddfaeb5e640" xmlns:ns4="17e3ba3f-548d-4f96-a93e-b45757cad069" targetNamespace="http://schemas.microsoft.com/office/2006/metadata/properties" ma:root="true" ma:fieldsID="32b936d3baca6ccadf5981ac661ee9d8" ns1:_="" ns3:_="" ns4:_="">
    <xsd:import namespace="http://schemas.microsoft.com/sharepoint/v3"/>
    <xsd:import namespace="81a9341b-64b5-4ad4-8639-fddfaeb5e640"/>
    <xsd:import namespace="17e3ba3f-548d-4f96-a93e-b45757cad0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a9341b-64b5-4ad4-8639-fddfaeb5e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3ba3f-548d-4f96-a93e-b45757cad06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76DC0-6AF1-430E-91C4-F34C327AB7A1}">
  <ds:schemaRefs>
    <ds:schemaRef ds:uri="http://schemas.microsoft.com/sharepoint/v3/contenttype/forms"/>
  </ds:schemaRefs>
</ds:datastoreItem>
</file>

<file path=customXml/itemProps2.xml><?xml version="1.0" encoding="utf-8"?>
<ds:datastoreItem xmlns:ds="http://schemas.openxmlformats.org/officeDocument/2006/customXml" ds:itemID="{F7DD70D7-78D9-402D-9709-56FFC6DBC3C4}">
  <ds:schemaRefs>
    <ds:schemaRef ds:uri="17e3ba3f-548d-4f96-a93e-b45757cad069"/>
    <ds:schemaRef ds:uri="http://purl.org/dc/terms/"/>
    <ds:schemaRef ds:uri="http://schemas.openxmlformats.org/package/2006/metadata/core-properties"/>
    <ds:schemaRef ds:uri="81a9341b-64b5-4ad4-8639-fddfaeb5e64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1FBAF868-A33D-47CB-AEAB-4877826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a9341b-64b5-4ad4-8639-fddfaeb5e640"/>
    <ds:schemaRef ds:uri="17e3ba3f-548d-4f96-a93e-b45757cad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317D9-AC40-4C8D-985D-BA8FC1EE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2469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Tunks, Norma M.</dc:creator>
  <cp:keywords/>
  <dc:description/>
  <cp:lastModifiedBy>Gagne-Holmes, Sara</cp:lastModifiedBy>
  <cp:revision>2</cp:revision>
  <cp:lastPrinted>2018-12-04T16:43:00Z</cp:lastPrinted>
  <dcterms:created xsi:type="dcterms:W3CDTF">2020-03-20T21:50:00Z</dcterms:created>
  <dcterms:modified xsi:type="dcterms:W3CDTF">2020-03-20T21:50:00Z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0x01010006B66E5C4EE02B48A9BDBE5FB54A25D5</vt:lpwstr>
  </property>
</Properties>
</file>