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170" w:rsidRPr="001735B5" w:rsidRDefault="00B62170" w:rsidP="00B62170">
      <w:pPr>
        <w:pStyle w:val="DefaultText"/>
        <w:spacing w:after="120"/>
        <w:rPr>
          <w:rStyle w:val="InitialStyle"/>
          <w:b/>
          <w:bCs/>
          <w:szCs w:val="28"/>
        </w:rPr>
      </w:pPr>
      <w:r w:rsidRPr="001735B5">
        <w:rPr>
          <w:rStyle w:val="InitialStyle"/>
          <w:b/>
          <w:bCs/>
          <w:szCs w:val="28"/>
        </w:rPr>
        <w:t xml:space="preserve">I. </w:t>
      </w:r>
      <w:r w:rsidRPr="00B52980">
        <w:rPr>
          <w:rStyle w:val="InitialStyle"/>
          <w:b/>
          <w:bCs/>
          <w:szCs w:val="28"/>
          <w:u w:val="single"/>
        </w:rPr>
        <w:t>Project Title and Applicant’s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6675"/>
      </w:tblGrid>
      <w:tr w:rsidR="00B62170" w:rsidRPr="009A24A4" w:rsidTr="00EB753E">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rPr>
                <w:sz w:val="24"/>
              </w:rPr>
            </w:pPr>
            <w:r w:rsidRPr="000F4C57">
              <w:rPr>
                <w:sz w:val="24"/>
              </w:rPr>
              <w:t>Project Title</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9A24A4" w:rsidRDefault="00B62170" w:rsidP="00EB753E">
            <w:proofErr w:type="spellStart"/>
            <w:r w:rsidRPr="004F0AAE">
              <w:rPr>
                <w:sz w:val="24"/>
              </w:rPr>
              <w:t>Medomak</w:t>
            </w:r>
            <w:proofErr w:type="spellEnd"/>
            <w:r w:rsidRPr="004F0AAE">
              <w:rPr>
                <w:sz w:val="24"/>
              </w:rPr>
              <w:t xml:space="preserve"> River Watershed-Based Plan Development</w:t>
            </w:r>
          </w:p>
        </w:tc>
      </w:tr>
      <w:tr w:rsidR="00B62170" w:rsidRPr="009A24A4" w:rsidTr="00EB753E">
        <w:trPr>
          <w:trHeight w:val="346"/>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rPr>
                <w:sz w:val="24"/>
              </w:rPr>
            </w:pPr>
            <w:r>
              <w:rPr>
                <w:sz w:val="24"/>
              </w:rPr>
              <w:t>Applicant’s Organization</w:t>
            </w:r>
          </w:p>
        </w:tc>
        <w:tc>
          <w:tcPr>
            <w:tcW w:w="6858"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9A24A4" w:rsidRDefault="00B62170" w:rsidP="00EB753E">
            <w:r w:rsidRPr="004F0AAE">
              <w:rPr>
                <w:sz w:val="24"/>
              </w:rPr>
              <w:t>Town of Waldoboro</w:t>
            </w:r>
          </w:p>
        </w:tc>
      </w:tr>
    </w:tbl>
    <w:p w:rsidR="00B62170" w:rsidRDefault="00B62170" w:rsidP="00B62170">
      <w:pPr>
        <w:pStyle w:val="DefaultText"/>
        <w:rPr>
          <w:rStyle w:val="InitialStyle"/>
          <w:b/>
          <w:bCs/>
          <w:szCs w:val="28"/>
        </w:rPr>
      </w:pPr>
    </w:p>
    <w:p w:rsidR="00B62170" w:rsidRDefault="00B62170" w:rsidP="00B62170">
      <w:pPr>
        <w:pStyle w:val="DefaultText"/>
        <w:numPr>
          <w:ilvl w:val="0"/>
          <w:numId w:val="5"/>
        </w:numPr>
        <w:rPr>
          <w:rStyle w:val="InitialStyle"/>
          <w:b/>
          <w:bCs/>
          <w:szCs w:val="28"/>
          <w:u w:val="single"/>
        </w:rPr>
      </w:pPr>
      <w:r>
        <w:rPr>
          <w:rStyle w:val="InitialStyle"/>
          <w:b/>
          <w:bCs/>
          <w:szCs w:val="28"/>
          <w:u w:val="single"/>
        </w:rPr>
        <w:t xml:space="preserve">Waterbody and </w:t>
      </w:r>
      <w:r w:rsidRPr="005D5021">
        <w:rPr>
          <w:rStyle w:val="InitialStyle"/>
          <w:b/>
          <w:bCs/>
          <w:szCs w:val="28"/>
          <w:u w:val="single"/>
        </w:rPr>
        <w:t>Watershed Information</w:t>
      </w:r>
    </w:p>
    <w:p w:rsidR="00B62170" w:rsidRPr="00FC22BD" w:rsidRDefault="00B62170" w:rsidP="00B62170">
      <w:pPr>
        <w:pStyle w:val="DefaultText"/>
        <w:rPr>
          <w:rStyle w:val="InitialStyle"/>
          <w:bCs/>
          <w:szCs w:val="28"/>
        </w:rPr>
      </w:pPr>
    </w:p>
    <w:p w:rsidR="00B62170" w:rsidRPr="001735B5" w:rsidRDefault="00B62170" w:rsidP="00B62170">
      <w:pPr>
        <w:pStyle w:val="DefaultText"/>
        <w:rPr>
          <w:rStyle w:val="InitialStyle"/>
          <w:b/>
          <w:bCs/>
          <w:szCs w:val="28"/>
        </w:rPr>
      </w:pPr>
      <w:r w:rsidRPr="001735B5">
        <w:rPr>
          <w:rStyle w:val="InitialStyle"/>
          <w:b/>
          <w:bCs/>
          <w:szCs w:val="28"/>
        </w:rPr>
        <w:t xml:space="preserve">a. </w:t>
      </w:r>
      <w:r>
        <w:rPr>
          <w:rStyle w:val="InitialStyle"/>
          <w:b/>
          <w:bCs/>
          <w:szCs w:val="28"/>
        </w:rPr>
        <w:t xml:space="preserve"> Background</w:t>
      </w:r>
    </w:p>
    <w:p w:rsidR="00B62170" w:rsidRPr="00BF150F" w:rsidRDefault="00B62170" w:rsidP="00B62170">
      <w:pPr>
        <w:pStyle w:val="DefaultText"/>
        <w:rPr>
          <w:rStyle w:val="InitialStyle"/>
          <w:b/>
          <w:bCs/>
          <w:sz w:val="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495"/>
      </w:tblGrid>
      <w:tr w:rsidR="00B62170" w:rsidTr="00EB753E">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ListParagraph"/>
              <w:widowControl/>
              <w:autoSpaceDE/>
              <w:autoSpaceDN/>
              <w:ind w:left="0"/>
              <w:contextualSpacing/>
              <w:rPr>
                <w:sz w:val="24"/>
              </w:rPr>
            </w:pPr>
            <w:r>
              <w:rPr>
                <w:sz w:val="24"/>
              </w:rPr>
              <w:t>Waterbody Name</w:t>
            </w:r>
            <w:r w:rsidRPr="000F4C57">
              <w:rPr>
                <w:sz w:val="24"/>
              </w:rPr>
              <w:t xml:space="preserve"> </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ind w:right="60"/>
              <w:rPr>
                <w:sz w:val="24"/>
              </w:rPr>
            </w:pPr>
            <w:proofErr w:type="spellStart"/>
            <w:r>
              <w:rPr>
                <w:sz w:val="24"/>
              </w:rPr>
              <w:t>Medomak</w:t>
            </w:r>
            <w:proofErr w:type="spellEnd"/>
            <w:r>
              <w:rPr>
                <w:sz w:val="24"/>
              </w:rPr>
              <w:t xml:space="preserve"> River</w:t>
            </w:r>
          </w:p>
        </w:tc>
      </w:tr>
      <w:tr w:rsidR="00B62170" w:rsidTr="00EB753E">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ListParagraph"/>
              <w:widowControl/>
              <w:autoSpaceDE/>
              <w:autoSpaceDN/>
              <w:ind w:left="0"/>
              <w:contextualSpacing/>
              <w:rPr>
                <w:sz w:val="24"/>
              </w:rPr>
            </w:pPr>
            <w:r>
              <w:rPr>
                <w:sz w:val="24"/>
              </w:rPr>
              <w:t xml:space="preserve">Waterbody Size </w:t>
            </w:r>
            <w:r w:rsidRPr="001735B5">
              <w:rPr>
                <w:sz w:val="24"/>
              </w:rPr>
              <w:t xml:space="preserve">(e.g., </w:t>
            </w:r>
            <w:r>
              <w:rPr>
                <w:sz w:val="24"/>
              </w:rPr>
              <w:t xml:space="preserve">lake </w:t>
            </w:r>
            <w:r w:rsidRPr="001735B5">
              <w:rPr>
                <w:sz w:val="24"/>
              </w:rPr>
              <w:t xml:space="preserve">acres, </w:t>
            </w:r>
            <w:r>
              <w:rPr>
                <w:sz w:val="24"/>
              </w:rPr>
              <w:t>stream miles</w:t>
            </w:r>
            <w:r w:rsidRPr="001735B5">
              <w:rPr>
                <w:sz w:val="24"/>
              </w:rPr>
              <w:t>)</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ind w:right="60"/>
              <w:rPr>
                <w:sz w:val="24"/>
              </w:rPr>
            </w:pPr>
            <w:r>
              <w:rPr>
                <w:sz w:val="24"/>
              </w:rPr>
              <w:t>32.3 miles</w:t>
            </w:r>
          </w:p>
        </w:tc>
      </w:tr>
      <w:tr w:rsidR="00B62170" w:rsidTr="00EB753E">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ListParagraph"/>
              <w:widowControl/>
              <w:autoSpaceDE/>
              <w:autoSpaceDN/>
              <w:ind w:left="0"/>
              <w:contextualSpacing/>
              <w:rPr>
                <w:sz w:val="24"/>
              </w:rPr>
            </w:pPr>
            <w:r w:rsidRPr="000F4C57">
              <w:rPr>
                <w:sz w:val="24"/>
              </w:rPr>
              <w:t>Watershed Area</w:t>
            </w:r>
            <w:r w:rsidRPr="00FC22BD">
              <w:rPr>
                <w:sz w:val="28"/>
              </w:rPr>
              <w:t xml:space="preserve"> </w:t>
            </w:r>
            <w:r w:rsidRPr="00FC22BD">
              <w:rPr>
                <w:sz w:val="24"/>
              </w:rPr>
              <w:t>(acres</w:t>
            </w:r>
            <w:r>
              <w:rPr>
                <w:sz w:val="24"/>
              </w:rPr>
              <w:t xml:space="preserve"> or square miles</w:t>
            </w:r>
            <w:r w:rsidRPr="00FC22BD">
              <w:rPr>
                <w:sz w:val="24"/>
              </w:rPr>
              <w:t>)</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ind w:right="60"/>
              <w:rPr>
                <w:sz w:val="24"/>
              </w:rPr>
            </w:pPr>
            <w:r>
              <w:rPr>
                <w:sz w:val="24"/>
              </w:rPr>
              <w:t>106 square miles</w:t>
            </w:r>
          </w:p>
        </w:tc>
      </w:tr>
      <w:tr w:rsidR="00B62170" w:rsidTr="00EB753E">
        <w:trPr>
          <w:trHeight w:val="34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ListParagraph"/>
              <w:widowControl/>
              <w:autoSpaceDE/>
              <w:autoSpaceDN/>
              <w:ind w:left="0"/>
              <w:contextualSpacing/>
              <w:rPr>
                <w:sz w:val="24"/>
              </w:rPr>
            </w:pPr>
            <w:r w:rsidRPr="000F4C57">
              <w:rPr>
                <w:sz w:val="24"/>
              </w:rPr>
              <w:t>Watershed Town(s)</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ind w:right="60"/>
              <w:rPr>
                <w:sz w:val="24"/>
              </w:rPr>
            </w:pPr>
            <w:r w:rsidRPr="004F0AAE">
              <w:rPr>
                <w:sz w:val="24"/>
              </w:rPr>
              <w:t>Liberty, Appleton, Washington, Union, Waldoboro, Bremen and Friendship</w:t>
            </w:r>
          </w:p>
        </w:tc>
      </w:tr>
      <w:tr w:rsidR="00B62170" w:rsidTr="00715569">
        <w:trPr>
          <w:trHeight w:val="638"/>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ListParagraph"/>
              <w:widowControl/>
              <w:autoSpaceDE/>
              <w:autoSpaceDN/>
              <w:ind w:left="0"/>
              <w:rPr>
                <w:sz w:val="24"/>
              </w:rPr>
            </w:pPr>
            <w:r w:rsidRPr="000F4C57">
              <w:rPr>
                <w:sz w:val="24"/>
              </w:rPr>
              <w:t>Comprehensive Plan Adoption (List watershed towns and whether they have adopted plans.)</w:t>
            </w:r>
          </w:p>
        </w:tc>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CA6360" w:rsidP="00EB753E">
            <w:pPr>
              <w:ind w:right="60"/>
              <w:rPr>
                <w:sz w:val="24"/>
              </w:rPr>
            </w:pPr>
            <w:r>
              <w:rPr>
                <w:sz w:val="24"/>
              </w:rPr>
              <w:t>Currently, none of the towns have consistent adopted plans.</w:t>
            </w:r>
          </w:p>
        </w:tc>
      </w:tr>
    </w:tbl>
    <w:p w:rsidR="00B62170" w:rsidRDefault="00B62170" w:rsidP="00B62170">
      <w:pPr>
        <w:pStyle w:val="ListParagraph"/>
        <w:widowControl/>
        <w:autoSpaceDE/>
        <w:autoSpaceDN/>
        <w:spacing w:before="240"/>
        <w:ind w:left="0"/>
        <w:contextualSpacing/>
        <w:rPr>
          <w:b/>
          <w:sz w:val="24"/>
        </w:rPr>
      </w:pPr>
      <w:r>
        <w:rPr>
          <w:b/>
          <w:sz w:val="24"/>
        </w:rPr>
        <w:t>b.  Waterbody and Watershed Physical Characteristics</w:t>
      </w:r>
    </w:p>
    <w:p w:rsidR="00B62170" w:rsidRPr="00FC22BD" w:rsidRDefault="00B62170" w:rsidP="00B62170">
      <w:pPr>
        <w:widowControl/>
        <w:autoSpaceDE/>
        <w:autoSpaceDN/>
        <w:spacing w:after="120"/>
        <w:ind w:right="144"/>
        <w:jc w:val="both"/>
        <w:rPr>
          <w:sz w:val="24"/>
        </w:rPr>
      </w:pPr>
      <w:r w:rsidRPr="00A564AF">
        <w:rPr>
          <w:rFonts w:cs="Calibri"/>
          <w:sz w:val="24"/>
          <w:szCs w:val="22"/>
        </w:rPr>
        <w:t xml:space="preserve">The </w:t>
      </w:r>
      <w:proofErr w:type="spellStart"/>
      <w:r w:rsidRPr="00A564AF">
        <w:rPr>
          <w:rFonts w:cs="Calibri"/>
          <w:sz w:val="24"/>
          <w:szCs w:val="22"/>
        </w:rPr>
        <w:t>Medomak</w:t>
      </w:r>
      <w:proofErr w:type="spellEnd"/>
      <w:r w:rsidRPr="00A564AF">
        <w:rPr>
          <w:rFonts w:cs="Calibri"/>
          <w:sz w:val="24"/>
          <w:szCs w:val="22"/>
        </w:rPr>
        <w:t xml:space="preserve"> River is a 32.3-mile-long river with its headwaters beginning in the Town of Liberty and flowing generally south through the towns of Appleton, Washington, and Union. The river then maintains its course through Waldoboro where it reaches head of tide just below Route 1. It is then bounded by the towns of Bremen and Friendship before entering </w:t>
      </w:r>
      <w:proofErr w:type="spellStart"/>
      <w:r w:rsidRPr="00A564AF">
        <w:rPr>
          <w:rFonts w:cs="Calibri"/>
          <w:sz w:val="24"/>
          <w:szCs w:val="22"/>
        </w:rPr>
        <w:t>Muscongus</w:t>
      </w:r>
      <w:proofErr w:type="spellEnd"/>
      <w:r w:rsidRPr="00A564AF">
        <w:rPr>
          <w:rFonts w:cs="Calibri"/>
          <w:sz w:val="24"/>
          <w:szCs w:val="22"/>
        </w:rPr>
        <w:t xml:space="preserve"> Bay. The entire watershed area is 106.1 square miles with 80 square miles in the freshwater watershed and 26 square miles below head of tide. The largest portion of the full watershed (45.3% or 48.1 square miles) and approximately the lower half </w:t>
      </w:r>
      <w:proofErr w:type="gramStart"/>
      <w:r w:rsidRPr="00A564AF">
        <w:rPr>
          <w:rFonts w:cs="Calibri"/>
          <w:sz w:val="24"/>
          <w:szCs w:val="22"/>
        </w:rPr>
        <w:t>is loca</w:t>
      </w:r>
      <w:r>
        <w:rPr>
          <w:rFonts w:cs="Calibri"/>
          <w:sz w:val="24"/>
          <w:szCs w:val="22"/>
        </w:rPr>
        <w:t>ted in</w:t>
      </w:r>
      <w:proofErr w:type="gramEnd"/>
      <w:r>
        <w:rPr>
          <w:rFonts w:cs="Calibri"/>
          <w:sz w:val="24"/>
          <w:szCs w:val="22"/>
        </w:rPr>
        <w:t xml:space="preserve"> the Town of Waldoboro.  </w:t>
      </w:r>
    </w:p>
    <w:p w:rsidR="00B62170" w:rsidRPr="00B31247" w:rsidRDefault="00B62170" w:rsidP="00B62170">
      <w:pPr>
        <w:pStyle w:val="ListParagraph"/>
        <w:widowControl/>
        <w:autoSpaceDE/>
        <w:autoSpaceDN/>
        <w:spacing w:before="240"/>
        <w:ind w:left="0"/>
        <w:contextualSpacing/>
        <w:rPr>
          <w:b/>
          <w:sz w:val="24"/>
        </w:rPr>
      </w:pPr>
      <w:r>
        <w:rPr>
          <w:b/>
          <w:sz w:val="24"/>
        </w:rPr>
        <w:t xml:space="preserve">c.  </w:t>
      </w:r>
      <w:r w:rsidRPr="00B31247">
        <w:rPr>
          <w:b/>
          <w:sz w:val="24"/>
        </w:rPr>
        <w:t xml:space="preserve">Description of </w:t>
      </w:r>
      <w:r w:rsidR="00715569">
        <w:rPr>
          <w:b/>
          <w:sz w:val="24"/>
        </w:rPr>
        <w:t>Waterbody</w:t>
      </w:r>
      <w:r w:rsidRPr="00B31247">
        <w:rPr>
          <w:b/>
          <w:sz w:val="24"/>
        </w:rPr>
        <w:t xml:space="preserve"> Uses and Value </w:t>
      </w:r>
    </w:p>
    <w:p w:rsidR="00B62170" w:rsidRPr="00CD69D6" w:rsidRDefault="00B62170" w:rsidP="00B62170">
      <w:pPr>
        <w:widowControl/>
        <w:autoSpaceDE/>
        <w:autoSpaceDN/>
        <w:spacing w:after="120"/>
        <w:ind w:right="144"/>
        <w:jc w:val="both"/>
        <w:rPr>
          <w:rFonts w:cs="Calibri"/>
          <w:sz w:val="24"/>
          <w:szCs w:val="22"/>
        </w:rPr>
      </w:pPr>
      <w:r w:rsidRPr="00CD69D6">
        <w:rPr>
          <w:rFonts w:cs="Calibri"/>
          <w:sz w:val="24"/>
          <w:szCs w:val="22"/>
        </w:rPr>
        <w:t>The Town of Waldoboro is the leading softshell clam producer in the State of Maine, despite experiencing frequent closures due to NPS pollution (primarily fecal bacteria). Combined, the towns of Waldoboro, Bremen, and Friendship caught 1,217,256 lbs. of softshell clams with a total value of $2,638,724 in 2016. Waldoboro alone caught 917,749 lbs. (valued at $2,001,459) from its 175 registered harvesters. In total, this is 16.9% of the total economic value of softshell clams in the state in 2016 (total value of $15,656,386).</w:t>
      </w:r>
    </w:p>
    <w:p w:rsidR="00B62170" w:rsidRDefault="00B62170" w:rsidP="00B62170">
      <w:pPr>
        <w:widowControl/>
        <w:autoSpaceDE/>
        <w:autoSpaceDN/>
        <w:spacing w:before="120" w:after="240"/>
        <w:ind w:right="144"/>
        <w:jc w:val="both"/>
        <w:rPr>
          <w:rFonts w:cs="Calibri"/>
          <w:sz w:val="24"/>
          <w:szCs w:val="22"/>
        </w:rPr>
      </w:pPr>
      <w:r w:rsidRPr="00CD69D6">
        <w:rPr>
          <w:rFonts w:cs="Calibri"/>
          <w:sz w:val="24"/>
          <w:szCs w:val="22"/>
        </w:rPr>
        <w:t xml:space="preserve">In addition to the economic benefit, the diverse terrestrial and aquatic wildlife on the river provides a recreational and scenic destination for outdoor enthusiasts, local community members, and tourists. The Dutch Neck Boat Ramp provides a point of public access to the river. The public can also enjoy the river from multiple preserves maintained by the </w:t>
      </w:r>
      <w:proofErr w:type="spellStart"/>
      <w:r w:rsidRPr="00CD69D6">
        <w:rPr>
          <w:rFonts w:cs="Calibri"/>
          <w:sz w:val="24"/>
          <w:szCs w:val="22"/>
        </w:rPr>
        <w:t>Medomak</w:t>
      </w:r>
      <w:proofErr w:type="spellEnd"/>
      <w:r w:rsidRPr="00CD69D6">
        <w:rPr>
          <w:rFonts w:cs="Calibri"/>
          <w:sz w:val="24"/>
          <w:szCs w:val="22"/>
        </w:rPr>
        <w:t xml:space="preserve"> Valley Land Trust (MVLT) in both the estuarine and freshwater corridors of the river (e.g., Reef Point Preserve, </w:t>
      </w:r>
      <w:proofErr w:type="spellStart"/>
      <w:r w:rsidRPr="00CD69D6">
        <w:rPr>
          <w:rFonts w:cs="Calibri"/>
          <w:sz w:val="24"/>
          <w:szCs w:val="22"/>
        </w:rPr>
        <w:t>Medomak</w:t>
      </w:r>
      <w:proofErr w:type="spellEnd"/>
      <w:r w:rsidRPr="00CD69D6">
        <w:rPr>
          <w:rFonts w:cs="Calibri"/>
          <w:sz w:val="24"/>
          <w:szCs w:val="22"/>
        </w:rPr>
        <w:t xml:space="preserve"> River Corridor Preserve).</w:t>
      </w:r>
    </w:p>
    <w:p w:rsidR="00B62170" w:rsidRDefault="00B62170" w:rsidP="00B62170">
      <w:pPr>
        <w:widowControl/>
        <w:autoSpaceDE/>
        <w:autoSpaceDN/>
        <w:spacing w:before="120" w:after="240"/>
        <w:ind w:right="144"/>
        <w:jc w:val="both"/>
        <w:rPr>
          <w:rFonts w:cs="Calibri"/>
          <w:sz w:val="24"/>
          <w:szCs w:val="22"/>
        </w:rPr>
      </w:pPr>
    </w:p>
    <w:p w:rsidR="00715569" w:rsidRDefault="00715569" w:rsidP="00B62170">
      <w:pPr>
        <w:widowControl/>
        <w:autoSpaceDE/>
        <w:autoSpaceDN/>
        <w:spacing w:before="120" w:after="240"/>
        <w:ind w:right="144"/>
        <w:jc w:val="both"/>
        <w:rPr>
          <w:rFonts w:cs="Calibri"/>
          <w:sz w:val="24"/>
          <w:szCs w:val="22"/>
        </w:rPr>
      </w:pPr>
    </w:p>
    <w:p w:rsidR="00B62170" w:rsidRPr="00CD69D6" w:rsidRDefault="00B62170" w:rsidP="00B62170">
      <w:pPr>
        <w:widowControl/>
        <w:autoSpaceDE/>
        <w:autoSpaceDN/>
        <w:spacing w:before="120" w:after="240"/>
        <w:ind w:right="144"/>
        <w:jc w:val="both"/>
        <w:rPr>
          <w:rFonts w:cs="Calibri"/>
          <w:sz w:val="24"/>
          <w:szCs w:val="22"/>
        </w:rPr>
      </w:pPr>
    </w:p>
    <w:p w:rsidR="00B62170" w:rsidRDefault="00715569" w:rsidP="00B62170">
      <w:pPr>
        <w:pStyle w:val="DefaultText"/>
        <w:numPr>
          <w:ilvl w:val="0"/>
          <w:numId w:val="5"/>
        </w:numPr>
        <w:rPr>
          <w:b/>
          <w:bCs/>
          <w:szCs w:val="28"/>
          <w:u w:val="single"/>
        </w:rPr>
      </w:pPr>
      <w:r>
        <w:rPr>
          <w:b/>
          <w:bCs/>
          <w:szCs w:val="28"/>
          <w:u w:val="single"/>
        </w:rPr>
        <w:t xml:space="preserve">NPS Pollution </w:t>
      </w:r>
      <w:r w:rsidR="00B62170" w:rsidRPr="005D5021">
        <w:rPr>
          <w:b/>
          <w:bCs/>
          <w:szCs w:val="28"/>
          <w:u w:val="single"/>
        </w:rPr>
        <w:t>Problem / Need:</w:t>
      </w:r>
    </w:p>
    <w:p w:rsidR="00B62170" w:rsidRDefault="00B62170" w:rsidP="00B62170">
      <w:pPr>
        <w:pStyle w:val="DefaultText"/>
        <w:ind w:left="360"/>
        <w:rPr>
          <w:b/>
          <w:bCs/>
          <w:szCs w:val="28"/>
          <w:u w:val="single"/>
        </w:rPr>
      </w:pPr>
    </w:p>
    <w:p w:rsidR="00B62170" w:rsidRPr="005D5021" w:rsidRDefault="00B62170" w:rsidP="00B62170">
      <w:pPr>
        <w:pStyle w:val="DefaultText"/>
        <w:numPr>
          <w:ilvl w:val="7"/>
          <w:numId w:val="5"/>
        </w:numPr>
        <w:tabs>
          <w:tab w:val="clear" w:pos="2880"/>
          <w:tab w:val="num" w:pos="360"/>
        </w:tabs>
        <w:spacing w:after="60"/>
        <w:ind w:left="360"/>
        <w:rPr>
          <w:b/>
          <w:bCs/>
          <w:szCs w:val="28"/>
          <w:u w:val="single"/>
        </w:rPr>
      </w:pPr>
      <w:r>
        <w:rPr>
          <w:b/>
          <w:bCs/>
          <w:szCs w:val="28"/>
        </w:rPr>
        <w:t>Water Quality Listing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5197"/>
      </w:tblGrid>
      <w:tr w:rsidR="00B62170" w:rsidRPr="000F4C57" w:rsidTr="00EB753E">
        <w:trPr>
          <w:trHeight w:val="346"/>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sidRPr="000F4C57">
              <w:rPr>
                <w:bCs/>
                <w:szCs w:val="28"/>
              </w:rPr>
              <w:t xml:space="preserve">Is water quality </w:t>
            </w:r>
            <w:r>
              <w:rPr>
                <w:bCs/>
                <w:szCs w:val="28"/>
              </w:rPr>
              <w:t>listed as impaired</w:t>
            </w:r>
            <w:r w:rsidRPr="000F4C57">
              <w:rPr>
                <w:bCs/>
                <w:szCs w:val="28"/>
              </w:rPr>
              <w:t>?</w:t>
            </w:r>
            <w:r>
              <w:rPr>
                <w:bCs/>
                <w:szCs w:val="28"/>
              </w:rPr>
              <w:t xml:space="preserve"> </w:t>
            </w:r>
            <w:r w:rsidRPr="000F4C57">
              <w:rPr>
                <w:bCs/>
                <w:szCs w:val="28"/>
              </w:rPr>
              <w:t xml:space="preserve"> </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Pr>
                <w:bCs/>
                <w:szCs w:val="28"/>
              </w:rPr>
              <w:t>Yes</w:t>
            </w:r>
          </w:p>
        </w:tc>
      </w:tr>
      <w:tr w:rsidR="00B62170" w:rsidRPr="000F4C57" w:rsidTr="00EB753E">
        <w:trPr>
          <w:trHeight w:val="346"/>
        </w:trPr>
        <w:tc>
          <w:tcPr>
            <w:tcW w:w="4248" w:type="dxa"/>
            <w:shd w:val="clear" w:color="auto" w:fill="auto"/>
            <w:vAlign w:val="center"/>
          </w:tcPr>
          <w:p w:rsidR="00B62170" w:rsidRPr="000F4C57" w:rsidRDefault="00B62170" w:rsidP="00EB753E">
            <w:pPr>
              <w:pStyle w:val="ListParagraph"/>
              <w:widowControl/>
              <w:autoSpaceDE/>
              <w:autoSpaceDN/>
              <w:ind w:left="0"/>
              <w:contextualSpacing/>
              <w:rPr>
                <w:sz w:val="24"/>
              </w:rPr>
            </w:pPr>
            <w:r>
              <w:rPr>
                <w:sz w:val="24"/>
              </w:rPr>
              <w:t>If impaired, what is the listed cause(s) and/or impaired use?</w:t>
            </w:r>
          </w:p>
        </w:tc>
        <w:tc>
          <w:tcPr>
            <w:tcW w:w="5328" w:type="dxa"/>
            <w:shd w:val="clear" w:color="auto" w:fill="auto"/>
            <w:vAlign w:val="center"/>
          </w:tcPr>
          <w:p w:rsidR="00B62170" w:rsidRPr="000F4C57" w:rsidRDefault="00B62170" w:rsidP="00EB753E">
            <w:pPr>
              <w:rPr>
                <w:sz w:val="24"/>
              </w:rPr>
            </w:pPr>
            <w:r>
              <w:rPr>
                <w:sz w:val="24"/>
              </w:rPr>
              <w:t xml:space="preserve">Elevated fecal indicators, Dissolved </w:t>
            </w:r>
            <w:r w:rsidR="007B3339">
              <w:rPr>
                <w:sz w:val="24"/>
              </w:rPr>
              <w:t>oxygen</w:t>
            </w:r>
          </w:p>
        </w:tc>
      </w:tr>
      <w:tr w:rsidR="00B62170" w:rsidRPr="000F4C57" w:rsidTr="00EB753E">
        <w:trPr>
          <w:trHeight w:val="629"/>
        </w:trPr>
        <w:tc>
          <w:tcPr>
            <w:tcW w:w="4248" w:type="dxa"/>
            <w:shd w:val="clear" w:color="auto" w:fill="auto"/>
            <w:vAlign w:val="center"/>
          </w:tcPr>
          <w:p w:rsidR="00B62170" w:rsidRPr="000F4C57" w:rsidRDefault="00B62170" w:rsidP="00EB753E">
            <w:pPr>
              <w:pStyle w:val="ListParagraph"/>
              <w:widowControl/>
              <w:autoSpaceDE/>
              <w:autoSpaceDN/>
              <w:ind w:left="0"/>
              <w:contextualSpacing/>
              <w:rPr>
                <w:sz w:val="24"/>
              </w:rPr>
            </w:pPr>
            <w:r w:rsidRPr="000F4C57">
              <w:rPr>
                <w:sz w:val="24"/>
              </w:rPr>
              <w:t xml:space="preserve">Name and date of any DEP TMDL report(s) for the waterbody. </w:t>
            </w:r>
          </w:p>
        </w:tc>
        <w:tc>
          <w:tcPr>
            <w:tcW w:w="5328" w:type="dxa"/>
            <w:shd w:val="clear" w:color="auto" w:fill="auto"/>
            <w:vAlign w:val="center"/>
          </w:tcPr>
          <w:p w:rsidR="00B62170" w:rsidRPr="000F4C57" w:rsidRDefault="00B62170" w:rsidP="00EB753E">
            <w:pPr>
              <w:rPr>
                <w:sz w:val="24"/>
              </w:rPr>
            </w:pPr>
            <w:r>
              <w:rPr>
                <w:sz w:val="24"/>
              </w:rPr>
              <w:t>Not applicable</w:t>
            </w:r>
          </w:p>
        </w:tc>
      </w:tr>
    </w:tbl>
    <w:p w:rsidR="00B62170" w:rsidRDefault="00B62170" w:rsidP="00B62170">
      <w:pPr>
        <w:pStyle w:val="DefaultText"/>
        <w:rPr>
          <w:rStyle w:val="InitialStyle"/>
          <w:bCs/>
          <w:szCs w:val="28"/>
        </w:rPr>
      </w:pPr>
    </w:p>
    <w:p w:rsidR="00B62170" w:rsidRDefault="00B62170" w:rsidP="00B62170">
      <w:pPr>
        <w:pStyle w:val="DefaultText"/>
        <w:numPr>
          <w:ilvl w:val="7"/>
          <w:numId w:val="5"/>
        </w:numPr>
        <w:tabs>
          <w:tab w:val="clear" w:pos="2880"/>
          <w:tab w:val="num" w:pos="360"/>
        </w:tabs>
        <w:ind w:left="360"/>
        <w:rPr>
          <w:rStyle w:val="InitialStyle"/>
          <w:b/>
          <w:bCs/>
          <w:szCs w:val="28"/>
        </w:rPr>
      </w:pPr>
      <w:r w:rsidRPr="00FC22BD">
        <w:rPr>
          <w:b/>
          <w:bCs/>
          <w:szCs w:val="28"/>
        </w:rPr>
        <w:t xml:space="preserve">Water </w:t>
      </w:r>
      <w:r w:rsidRPr="00FC22BD">
        <w:rPr>
          <w:rStyle w:val="InitialStyle"/>
          <w:b/>
          <w:bCs/>
          <w:szCs w:val="28"/>
        </w:rPr>
        <w:t>Quality Overview</w:t>
      </w:r>
    </w:p>
    <w:p w:rsidR="00B62170" w:rsidRDefault="00B62170" w:rsidP="00B62170">
      <w:pPr>
        <w:widowControl/>
        <w:autoSpaceDE/>
        <w:autoSpaceDN/>
        <w:spacing w:after="120"/>
        <w:ind w:right="144"/>
        <w:jc w:val="both"/>
        <w:rPr>
          <w:rFonts w:cs="Calibri"/>
          <w:sz w:val="24"/>
          <w:szCs w:val="22"/>
        </w:rPr>
      </w:pPr>
      <w:r w:rsidRPr="00A564AF">
        <w:rPr>
          <w:rFonts w:cs="Calibri"/>
          <w:sz w:val="24"/>
          <w:szCs w:val="22"/>
        </w:rPr>
        <w:t xml:space="preserve">The main stem of the river is categorized as Class A until Wagner’s Bridge Road in Waldoboro where it drops to Class B until Old Route 1 (head of tide). All freshwater tributaries in the watershed are Class A. The tidal section is Class SB.  The </w:t>
      </w:r>
      <w:proofErr w:type="spellStart"/>
      <w:r w:rsidRPr="00A564AF">
        <w:rPr>
          <w:rFonts w:cs="Calibri"/>
          <w:sz w:val="24"/>
          <w:szCs w:val="22"/>
        </w:rPr>
        <w:t>Medomak</w:t>
      </w:r>
      <w:proofErr w:type="spellEnd"/>
      <w:r w:rsidRPr="00A564AF">
        <w:rPr>
          <w:rFonts w:cs="Calibri"/>
          <w:sz w:val="24"/>
          <w:szCs w:val="22"/>
        </w:rPr>
        <w:t xml:space="preserve"> River Estuary is listed on the NPS Priority Watershed list as impaired. Maine DEP 2014 Integrated Water Quality Report lists the </w:t>
      </w:r>
      <w:proofErr w:type="spellStart"/>
      <w:r w:rsidRPr="00A564AF">
        <w:rPr>
          <w:rFonts w:cs="Calibri"/>
          <w:sz w:val="24"/>
          <w:szCs w:val="22"/>
        </w:rPr>
        <w:t>Medomak</w:t>
      </w:r>
      <w:proofErr w:type="spellEnd"/>
      <w:r w:rsidRPr="00A564AF">
        <w:rPr>
          <w:rFonts w:cs="Calibri"/>
          <w:sz w:val="24"/>
          <w:szCs w:val="22"/>
        </w:rPr>
        <w:t xml:space="preserve"> River as impaired for dissolved oxygen and elevated fecal indicators.  The cause of the dissolved oxygen impairment is a discharge which has been removed; it is still listed because no data exists yet to remove the impairment.  Several areas of the river are closed for shellfish harvest</w:t>
      </w:r>
      <w:r>
        <w:rPr>
          <w:rFonts w:cs="Calibri"/>
          <w:sz w:val="24"/>
          <w:szCs w:val="22"/>
        </w:rPr>
        <w:t xml:space="preserve"> as described above</w:t>
      </w:r>
      <w:r w:rsidRPr="00A564AF">
        <w:rPr>
          <w:rFonts w:cs="Calibri"/>
          <w:sz w:val="24"/>
          <w:szCs w:val="22"/>
        </w:rPr>
        <w:t xml:space="preserve">. </w:t>
      </w:r>
    </w:p>
    <w:p w:rsidR="00B62170" w:rsidRPr="00CD69D6" w:rsidRDefault="00B62170" w:rsidP="00B62170">
      <w:pPr>
        <w:widowControl/>
        <w:autoSpaceDE/>
        <w:autoSpaceDN/>
        <w:spacing w:before="120" w:after="120"/>
        <w:ind w:right="144"/>
        <w:jc w:val="both"/>
        <w:rPr>
          <w:rFonts w:cs="Calibri"/>
          <w:sz w:val="24"/>
          <w:szCs w:val="22"/>
        </w:rPr>
      </w:pPr>
      <w:r w:rsidRPr="00CD69D6">
        <w:rPr>
          <w:rFonts w:cs="Calibri"/>
          <w:sz w:val="24"/>
          <w:szCs w:val="22"/>
        </w:rPr>
        <w:t xml:space="preserve">The Maine DEP Integrated Report lists the </w:t>
      </w:r>
      <w:proofErr w:type="spellStart"/>
      <w:r w:rsidRPr="00CD69D6">
        <w:rPr>
          <w:rFonts w:cs="Calibri"/>
          <w:sz w:val="24"/>
          <w:szCs w:val="22"/>
        </w:rPr>
        <w:t>Medomak</w:t>
      </w:r>
      <w:proofErr w:type="spellEnd"/>
      <w:r w:rsidRPr="00CD69D6">
        <w:rPr>
          <w:rFonts w:cs="Calibri"/>
          <w:sz w:val="24"/>
          <w:szCs w:val="22"/>
        </w:rPr>
        <w:t xml:space="preserve"> River in two categories.  Although not related to this project, a </w:t>
      </w:r>
      <w:proofErr w:type="gramStart"/>
      <w:r w:rsidRPr="00CD69D6">
        <w:rPr>
          <w:rFonts w:cs="Calibri"/>
          <w:sz w:val="24"/>
          <w:szCs w:val="22"/>
        </w:rPr>
        <w:t>156 acre</w:t>
      </w:r>
      <w:proofErr w:type="gramEnd"/>
      <w:r w:rsidRPr="00CD69D6">
        <w:rPr>
          <w:rFonts w:cs="Calibri"/>
          <w:sz w:val="24"/>
          <w:szCs w:val="22"/>
        </w:rPr>
        <w:t xml:space="preserve"> section is listed due to low dissolved oxygen under Category 4-B-1:  Estuarine and Marine Waters Impaired by Pollutants-Pollution Control Requirements Reasonably Expected to Result in Attainment.  The cause is a discharge (spray irrigation) that has been removed.  It is also listed in Category 5-B-1(a):  Estuarine and Marine Waters Impaired by Bacteria Only-TMDL Required.  This includes a </w:t>
      </w:r>
      <w:proofErr w:type="gramStart"/>
      <w:r w:rsidRPr="00CD69D6">
        <w:rPr>
          <w:rFonts w:cs="Calibri"/>
          <w:sz w:val="24"/>
          <w:szCs w:val="22"/>
        </w:rPr>
        <w:t>1,218 acre</w:t>
      </w:r>
      <w:proofErr w:type="gramEnd"/>
      <w:r w:rsidRPr="00CD69D6">
        <w:rPr>
          <w:rFonts w:cs="Calibri"/>
          <w:sz w:val="24"/>
          <w:szCs w:val="22"/>
        </w:rPr>
        <w:t xml:space="preserve"> section (DMR Shellfish Closure areas) of the river impaired due to elevated fecal indicator bacteria.</w:t>
      </w:r>
    </w:p>
    <w:p w:rsidR="00B62170" w:rsidRPr="00FC22BD" w:rsidRDefault="00B62170" w:rsidP="00B62170">
      <w:pPr>
        <w:widowControl/>
        <w:autoSpaceDE/>
        <w:autoSpaceDN/>
        <w:spacing w:before="120" w:after="240"/>
        <w:ind w:right="144"/>
        <w:jc w:val="both"/>
        <w:rPr>
          <w:rStyle w:val="InitialStyle"/>
          <w:bCs/>
          <w:szCs w:val="28"/>
        </w:rPr>
      </w:pPr>
      <w:r w:rsidRPr="00CD69D6">
        <w:rPr>
          <w:rFonts w:cs="Calibri"/>
          <w:sz w:val="24"/>
          <w:szCs w:val="22"/>
        </w:rPr>
        <w:t>The Maine Department of Marine Resources (Maine DMR) shellfish closure areas include prohibited (three areas), restricted (six areas), conditionally approved (two areas), and seasonally closed (one area)</w:t>
      </w:r>
      <w:r w:rsidRPr="00CD69D6">
        <w:rPr>
          <w:rFonts w:cs="Calibri"/>
          <w:sz w:val="24"/>
          <w:szCs w:val="22"/>
          <w:vertAlign w:val="superscript"/>
        </w:rPr>
        <w:footnoteReference w:id="1"/>
      </w:r>
      <w:r w:rsidRPr="00CD69D6">
        <w:rPr>
          <w:rFonts w:cs="Calibri"/>
          <w:sz w:val="24"/>
          <w:szCs w:val="22"/>
        </w:rPr>
        <w:t xml:space="preserve">. Depending on seasonal precipitation, these closures can account for more than half of the harvest year. The economic value of softshell clams from the </w:t>
      </w:r>
      <w:proofErr w:type="spellStart"/>
      <w:r w:rsidRPr="00CD69D6">
        <w:rPr>
          <w:rFonts w:cs="Calibri"/>
          <w:sz w:val="24"/>
          <w:szCs w:val="22"/>
        </w:rPr>
        <w:t>Medomak</w:t>
      </w:r>
      <w:proofErr w:type="spellEnd"/>
      <w:r w:rsidRPr="00CD69D6">
        <w:rPr>
          <w:rFonts w:cs="Calibri"/>
          <w:sz w:val="24"/>
          <w:szCs w:val="22"/>
        </w:rPr>
        <w:t xml:space="preserve"> River has the potential to double if these cond</w:t>
      </w:r>
      <w:r>
        <w:rPr>
          <w:rFonts w:cs="Calibri"/>
          <w:sz w:val="24"/>
          <w:szCs w:val="22"/>
        </w:rPr>
        <w:t xml:space="preserve">itional closures are removed.  </w:t>
      </w:r>
    </w:p>
    <w:p w:rsidR="00B62170" w:rsidRDefault="00B62170" w:rsidP="00B62170">
      <w:pPr>
        <w:pStyle w:val="DefaultText"/>
        <w:numPr>
          <w:ilvl w:val="7"/>
          <w:numId w:val="5"/>
        </w:numPr>
        <w:tabs>
          <w:tab w:val="clear" w:pos="2880"/>
          <w:tab w:val="num" w:pos="360"/>
        </w:tabs>
        <w:ind w:left="360"/>
        <w:rPr>
          <w:rStyle w:val="InitialStyle"/>
          <w:b/>
          <w:bCs/>
          <w:szCs w:val="28"/>
        </w:rPr>
      </w:pPr>
      <w:r w:rsidRPr="00FC22BD">
        <w:rPr>
          <w:rStyle w:val="InitialStyle"/>
          <w:b/>
          <w:bCs/>
          <w:szCs w:val="28"/>
        </w:rPr>
        <w:t xml:space="preserve">Summary of Past </w:t>
      </w:r>
      <w:r w:rsidR="00715569">
        <w:rPr>
          <w:rStyle w:val="InitialStyle"/>
          <w:b/>
          <w:bCs/>
          <w:szCs w:val="28"/>
        </w:rPr>
        <w:t xml:space="preserve">Watershed </w:t>
      </w:r>
      <w:r w:rsidRPr="00FC22BD">
        <w:rPr>
          <w:rStyle w:val="InitialStyle"/>
          <w:b/>
          <w:bCs/>
          <w:szCs w:val="28"/>
        </w:rPr>
        <w:t>As</w:t>
      </w:r>
      <w:r>
        <w:rPr>
          <w:rStyle w:val="InitialStyle"/>
          <w:b/>
          <w:bCs/>
          <w:szCs w:val="28"/>
        </w:rPr>
        <w:t xml:space="preserve">sessments and </w:t>
      </w:r>
      <w:r w:rsidR="00715569">
        <w:rPr>
          <w:rStyle w:val="InitialStyle"/>
          <w:b/>
          <w:bCs/>
          <w:szCs w:val="28"/>
        </w:rPr>
        <w:t>Most Important Nonpoint Sources</w:t>
      </w:r>
    </w:p>
    <w:p w:rsidR="00B62170" w:rsidRPr="00AA142B" w:rsidRDefault="00B62170" w:rsidP="00B62170">
      <w:pPr>
        <w:pStyle w:val="NormalWeb"/>
        <w:spacing w:before="0" w:beforeAutospacing="0" w:after="0" w:afterAutospacing="0"/>
        <w:rPr>
          <w:rFonts w:ascii="Times New Roman" w:hAnsi="Times New Roman"/>
        </w:rPr>
      </w:pPr>
      <w:r w:rsidRPr="00AA142B">
        <w:rPr>
          <w:rFonts w:ascii="Times New Roman" w:hAnsi="Times New Roman"/>
        </w:rPr>
        <w:t xml:space="preserve">Since 2013, the </w:t>
      </w:r>
      <w:proofErr w:type="spellStart"/>
      <w:r w:rsidRPr="00AA142B">
        <w:rPr>
          <w:rFonts w:ascii="Times New Roman" w:hAnsi="Times New Roman"/>
        </w:rPr>
        <w:t>Medomak</w:t>
      </w:r>
      <w:proofErr w:type="spellEnd"/>
      <w:r w:rsidRPr="00AA142B">
        <w:rPr>
          <w:rFonts w:ascii="Times New Roman" w:hAnsi="Times New Roman"/>
        </w:rPr>
        <w:t xml:space="preserve"> Task Force (see below) has conducted several assessments and surveys:  </w:t>
      </w:r>
    </w:p>
    <w:p w:rsidR="00B62170" w:rsidRPr="00AA142B" w:rsidRDefault="00B62170" w:rsidP="00B62170">
      <w:pPr>
        <w:pStyle w:val="NormalWeb"/>
        <w:numPr>
          <w:ilvl w:val="0"/>
          <w:numId w:val="1"/>
        </w:numPr>
        <w:spacing w:before="0" w:beforeAutospacing="0" w:after="0" w:afterAutospacing="0"/>
        <w:ind w:right="144"/>
        <w:jc w:val="both"/>
        <w:rPr>
          <w:rFonts w:ascii="Times New Roman" w:hAnsi="Times New Roman"/>
        </w:rPr>
      </w:pPr>
      <w:r w:rsidRPr="00AA142B">
        <w:rPr>
          <w:rFonts w:ascii="Times New Roman" w:hAnsi="Times New Roman"/>
        </w:rPr>
        <w:t xml:space="preserve">Surveyed 210 properties in 2013 and 2014. Of these properties, 12 problem properties were identified and referred to the appropriate agency (either the Town’s Utility District, DACF, or DEP).  </w:t>
      </w:r>
    </w:p>
    <w:p w:rsidR="00B62170" w:rsidRPr="00AA142B" w:rsidRDefault="00B62170" w:rsidP="00B62170">
      <w:pPr>
        <w:pStyle w:val="NormalWeb"/>
        <w:numPr>
          <w:ilvl w:val="0"/>
          <w:numId w:val="1"/>
        </w:numPr>
        <w:spacing w:before="0" w:beforeAutospacing="0" w:after="0" w:afterAutospacing="0"/>
        <w:ind w:right="144"/>
        <w:jc w:val="both"/>
        <w:rPr>
          <w:rFonts w:ascii="Times New Roman" w:hAnsi="Times New Roman"/>
        </w:rPr>
      </w:pPr>
      <w:r w:rsidRPr="00AA142B">
        <w:rPr>
          <w:rFonts w:ascii="Times New Roman" w:hAnsi="Times New Roman"/>
        </w:rPr>
        <w:t xml:space="preserve">High fecal coliform results at </w:t>
      </w:r>
      <w:proofErr w:type="spellStart"/>
      <w:r w:rsidRPr="00AA142B">
        <w:rPr>
          <w:rFonts w:ascii="Times New Roman" w:hAnsi="Times New Roman"/>
        </w:rPr>
        <w:t>Winslows</w:t>
      </w:r>
      <w:proofErr w:type="spellEnd"/>
      <w:r w:rsidRPr="00AA142B">
        <w:rPr>
          <w:rFonts w:ascii="Times New Roman" w:hAnsi="Times New Roman"/>
        </w:rPr>
        <w:t xml:space="preserve"> Mills led to the discovery that a cracked condenser at a local company was allowing river water to leak into the condenser water, where the bacteria from the river grew exponentially and were discharged back to the river at very high </w:t>
      </w:r>
      <w:r w:rsidRPr="00AA142B">
        <w:rPr>
          <w:rFonts w:ascii="Times New Roman" w:hAnsi="Times New Roman"/>
        </w:rPr>
        <w:lastRenderedPageBreak/>
        <w:t>levels (</w:t>
      </w:r>
      <w:r w:rsidRPr="00AA142B">
        <w:rPr>
          <w:rFonts w:ascii="Times New Roman" w:hAnsi="Times New Roman"/>
          <w:i/>
        </w:rPr>
        <w:t>E. coli</w:t>
      </w:r>
      <w:r w:rsidRPr="00AA142B">
        <w:rPr>
          <w:rFonts w:ascii="Times New Roman" w:hAnsi="Times New Roman"/>
        </w:rPr>
        <w:t xml:space="preserve"> in the 7,500 col/100mL range and total coliforms over 240,000 col/100mL). The company was very proactive and thorough in repairing and ultimately replacing the condenser.</w:t>
      </w:r>
    </w:p>
    <w:p w:rsidR="00B62170" w:rsidRPr="00AA142B" w:rsidRDefault="00B62170" w:rsidP="00B62170">
      <w:pPr>
        <w:pStyle w:val="NormalWeb"/>
        <w:numPr>
          <w:ilvl w:val="0"/>
          <w:numId w:val="1"/>
        </w:numPr>
        <w:spacing w:before="0" w:beforeAutospacing="0" w:after="0" w:afterAutospacing="0"/>
        <w:ind w:right="144"/>
        <w:jc w:val="both"/>
        <w:rPr>
          <w:rFonts w:ascii="Times New Roman" w:hAnsi="Times New Roman"/>
        </w:rPr>
      </w:pPr>
      <w:r w:rsidRPr="00AA142B">
        <w:rPr>
          <w:rFonts w:ascii="Times New Roman" w:hAnsi="Times New Roman"/>
        </w:rPr>
        <w:t>Based on a review of five years of DMR data, conducted a canine detection study in 2014 to focus on human sources of bacteria at 18 different sampling sites.</w:t>
      </w:r>
    </w:p>
    <w:p w:rsidR="00B62170" w:rsidRPr="00AA142B" w:rsidRDefault="00B62170" w:rsidP="00B62170">
      <w:pPr>
        <w:pStyle w:val="NormalWeb"/>
        <w:numPr>
          <w:ilvl w:val="0"/>
          <w:numId w:val="1"/>
        </w:numPr>
        <w:spacing w:before="0" w:beforeAutospacing="0" w:after="0" w:afterAutospacing="0"/>
        <w:ind w:right="144"/>
        <w:jc w:val="both"/>
        <w:rPr>
          <w:rFonts w:ascii="Times New Roman" w:hAnsi="Times New Roman"/>
        </w:rPr>
      </w:pPr>
      <w:r w:rsidRPr="00AA142B">
        <w:rPr>
          <w:rFonts w:ascii="Times New Roman" w:hAnsi="Times New Roman"/>
        </w:rPr>
        <w:t>Based on these findings, in 2015 the Task Force chose to focus on small streams that flow directly into the prohibited, restricted and conditional areas of the river, and sampled all 37 streams that fit this description.</w:t>
      </w:r>
    </w:p>
    <w:p w:rsidR="00B62170" w:rsidRPr="00AA142B" w:rsidRDefault="00B62170" w:rsidP="00B62170">
      <w:pPr>
        <w:pStyle w:val="NormalWeb"/>
        <w:numPr>
          <w:ilvl w:val="0"/>
          <w:numId w:val="1"/>
        </w:numPr>
        <w:spacing w:before="0" w:beforeAutospacing="0" w:after="0" w:afterAutospacing="0"/>
        <w:ind w:right="144"/>
        <w:jc w:val="both"/>
        <w:rPr>
          <w:rFonts w:ascii="Times New Roman" w:hAnsi="Times New Roman"/>
        </w:rPr>
      </w:pPr>
      <w:r w:rsidRPr="00AA142B">
        <w:rPr>
          <w:rFonts w:ascii="Times New Roman" w:hAnsi="Times New Roman"/>
        </w:rPr>
        <w:t>The small stream study informed the Task Force to focus on 21 priority streams in 2016 with the use of Microbial Source Tracking, an advanced sampling technique that identifies the source species (or species group) contributing to fecal pollution. Results have further narrowed the areas of concern; next steps involve further property surveying and closer, more intensive monitoring of high priority streams.</w:t>
      </w:r>
    </w:p>
    <w:p w:rsidR="00715569" w:rsidRDefault="00715569" w:rsidP="00715569">
      <w:pPr>
        <w:pStyle w:val="DefaultText"/>
      </w:pPr>
    </w:p>
    <w:p w:rsidR="00715569" w:rsidRPr="00B62170" w:rsidRDefault="00715569" w:rsidP="00715569">
      <w:pPr>
        <w:pStyle w:val="DefaultText"/>
        <w:rPr>
          <w:rStyle w:val="InitialStyle"/>
        </w:rPr>
      </w:pPr>
      <w:r>
        <w:t>Based on the assessments conducted to date, a</w:t>
      </w:r>
      <w:r w:rsidRPr="00CD69D6">
        <w:t>griculture, residential septic systems, industrial pollutants, and waterfowl</w:t>
      </w:r>
      <w:r>
        <w:t xml:space="preserve"> appear to be the primary NPS sources associated with the </w:t>
      </w:r>
      <w:proofErr w:type="spellStart"/>
      <w:r>
        <w:t>Medomak</w:t>
      </w:r>
      <w:proofErr w:type="spellEnd"/>
      <w:r>
        <w:t xml:space="preserve"> River’s bacteria impairment.</w:t>
      </w:r>
    </w:p>
    <w:p w:rsidR="00B62170" w:rsidRDefault="00B62170" w:rsidP="00B62170">
      <w:pPr>
        <w:pStyle w:val="DefaultText"/>
        <w:rPr>
          <w:rStyle w:val="InitialStyle"/>
          <w:b/>
          <w:bCs/>
          <w:szCs w:val="28"/>
        </w:rPr>
      </w:pPr>
    </w:p>
    <w:p w:rsidR="00B62170" w:rsidRPr="00FC22BD" w:rsidRDefault="00B62170" w:rsidP="00B62170">
      <w:pPr>
        <w:pStyle w:val="DefaultText"/>
        <w:numPr>
          <w:ilvl w:val="7"/>
          <w:numId w:val="5"/>
        </w:numPr>
        <w:tabs>
          <w:tab w:val="clear" w:pos="2880"/>
          <w:tab w:val="num" w:pos="360"/>
        </w:tabs>
        <w:ind w:left="360"/>
        <w:rPr>
          <w:rStyle w:val="InitialStyle"/>
          <w:b/>
          <w:bCs/>
          <w:szCs w:val="28"/>
        </w:rPr>
      </w:pPr>
      <w:r w:rsidRPr="00FC22BD">
        <w:rPr>
          <w:rStyle w:val="InitialStyle"/>
          <w:b/>
          <w:bCs/>
          <w:szCs w:val="28"/>
        </w:rPr>
        <w:t>Description of Watershed Activities to Address NPS Sources</w:t>
      </w:r>
    </w:p>
    <w:p w:rsidR="00B62170" w:rsidRPr="00B62170" w:rsidRDefault="00B62170" w:rsidP="00B62170">
      <w:pPr>
        <w:pStyle w:val="DefaultText"/>
        <w:rPr>
          <w:rStyle w:val="InitialStyle"/>
          <w:bCs/>
          <w:szCs w:val="28"/>
        </w:rPr>
      </w:pPr>
      <w:r w:rsidRPr="00B62170">
        <w:rPr>
          <w:rStyle w:val="InitialStyle"/>
          <w:bCs/>
          <w:szCs w:val="28"/>
        </w:rPr>
        <w:t xml:space="preserve">With significant encouragement from the Shellfish Committee, the Town of Waldoboro petitioned the state to commit staff and resources to address fecal bacteria pollution on the </w:t>
      </w:r>
      <w:proofErr w:type="spellStart"/>
      <w:r w:rsidRPr="00B62170">
        <w:rPr>
          <w:rStyle w:val="InitialStyle"/>
          <w:bCs/>
          <w:szCs w:val="28"/>
        </w:rPr>
        <w:t>Medomak</w:t>
      </w:r>
      <w:proofErr w:type="spellEnd"/>
      <w:r w:rsidRPr="00B62170">
        <w:rPr>
          <w:rStyle w:val="InitialStyle"/>
          <w:bCs/>
          <w:szCs w:val="28"/>
        </w:rPr>
        <w:t xml:space="preserve"> River. Their efforts created a strong inter-agency collaboration (hereafter referred to as the ‘</w:t>
      </w:r>
      <w:proofErr w:type="spellStart"/>
      <w:r w:rsidRPr="00B62170">
        <w:rPr>
          <w:rStyle w:val="InitialStyle"/>
          <w:bCs/>
          <w:szCs w:val="28"/>
        </w:rPr>
        <w:t>Medomak</w:t>
      </w:r>
      <w:proofErr w:type="spellEnd"/>
      <w:r w:rsidRPr="00B62170">
        <w:rPr>
          <w:rStyle w:val="InitialStyle"/>
          <w:bCs/>
          <w:szCs w:val="28"/>
        </w:rPr>
        <w:t xml:space="preserve"> Task Force’) beginning in 2013 and included representatives from the Maine DMR, the Department of Environmental Protection (DEP), the Department of Agriculture, Conservation, and Forestry (DACF), the Shellfish Committee, the Town of Waldoboro, the Waldoboro Utility District, and the </w:t>
      </w:r>
      <w:proofErr w:type="spellStart"/>
      <w:r w:rsidRPr="00B62170">
        <w:rPr>
          <w:rStyle w:val="InitialStyle"/>
          <w:bCs/>
          <w:szCs w:val="28"/>
        </w:rPr>
        <w:t>Medomak</w:t>
      </w:r>
      <w:proofErr w:type="spellEnd"/>
      <w:r w:rsidRPr="00B62170">
        <w:rPr>
          <w:rStyle w:val="InitialStyle"/>
          <w:bCs/>
          <w:szCs w:val="28"/>
        </w:rPr>
        <w:t xml:space="preserve"> Valley Land Trust. This successful collaboration has worked tirelessly to eliminate sources of fecal bacteria from entering the river. This includes investigation and remediation of sources from agriculture, residential septic systems, industrial pollutants, and waterfowl.</w:t>
      </w:r>
    </w:p>
    <w:p w:rsidR="00B62170" w:rsidRPr="00B62170" w:rsidRDefault="00B62170" w:rsidP="00B62170">
      <w:pPr>
        <w:pStyle w:val="DefaultText"/>
        <w:rPr>
          <w:rStyle w:val="InitialStyle"/>
          <w:bCs/>
          <w:szCs w:val="28"/>
        </w:rPr>
      </w:pPr>
    </w:p>
    <w:p w:rsidR="00B62170" w:rsidRDefault="00B62170" w:rsidP="00B62170">
      <w:pPr>
        <w:pStyle w:val="DefaultText"/>
        <w:rPr>
          <w:rStyle w:val="InitialStyle"/>
          <w:bCs/>
          <w:szCs w:val="28"/>
        </w:rPr>
      </w:pPr>
      <w:r w:rsidRPr="00B62170">
        <w:rPr>
          <w:rStyle w:val="InitialStyle"/>
          <w:bCs/>
          <w:szCs w:val="28"/>
        </w:rPr>
        <w:t>Efforts to abate NPS pollution have proved successful, evidenced by a recent removal (October 2016) of Back Rive</w:t>
      </w:r>
      <w:r w:rsidR="00CA6360">
        <w:rPr>
          <w:rStyle w:val="InitialStyle"/>
          <w:bCs/>
          <w:szCs w:val="28"/>
        </w:rPr>
        <w:t>r Cove from the prohibited list</w:t>
      </w:r>
      <w:r w:rsidRPr="00B62170">
        <w:rPr>
          <w:rStyle w:val="InitialStyle"/>
          <w:bCs/>
          <w:szCs w:val="28"/>
        </w:rPr>
        <w:t xml:space="preserve">.  Despite these efforts, the </w:t>
      </w:r>
      <w:proofErr w:type="spellStart"/>
      <w:r w:rsidRPr="00B62170">
        <w:rPr>
          <w:rStyle w:val="InitialStyle"/>
          <w:bCs/>
          <w:szCs w:val="28"/>
        </w:rPr>
        <w:t>Medomak</w:t>
      </w:r>
      <w:proofErr w:type="spellEnd"/>
      <w:r w:rsidRPr="00B62170">
        <w:rPr>
          <w:rStyle w:val="InitialStyle"/>
          <w:bCs/>
          <w:szCs w:val="28"/>
        </w:rPr>
        <w:t xml:space="preserve"> River estuary still suffers from frequently elevated bacteria counts that cause significant portions of the river to remain on Maine DMR’s rainfall closure list.</w:t>
      </w:r>
    </w:p>
    <w:p w:rsidR="00B62170" w:rsidRDefault="00B62170" w:rsidP="00B62170">
      <w:pPr>
        <w:pStyle w:val="DefaultText"/>
        <w:rPr>
          <w:rStyle w:val="InitialStyle"/>
          <w:bCs/>
          <w:szCs w:val="28"/>
        </w:rPr>
      </w:pPr>
    </w:p>
    <w:p w:rsidR="00B62170" w:rsidRDefault="00B62170" w:rsidP="00B62170">
      <w:pPr>
        <w:pStyle w:val="DefaultText"/>
        <w:numPr>
          <w:ilvl w:val="0"/>
          <w:numId w:val="5"/>
        </w:numPr>
        <w:rPr>
          <w:rStyle w:val="InitialStyle"/>
          <w:b/>
          <w:bCs/>
          <w:szCs w:val="28"/>
          <w:u w:val="single"/>
        </w:rPr>
      </w:pPr>
      <w:r>
        <w:rPr>
          <w:rStyle w:val="InitialStyle"/>
          <w:b/>
          <w:bCs/>
          <w:szCs w:val="28"/>
          <w:u w:val="single"/>
        </w:rPr>
        <w:t>Purpose</w:t>
      </w:r>
      <w:r w:rsidRPr="00BF150F">
        <w:rPr>
          <w:rStyle w:val="InitialStyle"/>
          <w:b/>
          <w:bCs/>
          <w:szCs w:val="28"/>
          <w:u w:val="single"/>
        </w:rPr>
        <w:t>:</w:t>
      </w:r>
    </w:p>
    <w:p w:rsidR="00B62170" w:rsidRPr="00B62170" w:rsidRDefault="00B62170" w:rsidP="00B62170">
      <w:pPr>
        <w:widowControl/>
        <w:autoSpaceDE/>
        <w:autoSpaceDN/>
        <w:spacing w:before="120"/>
        <w:ind w:right="144"/>
        <w:jc w:val="both"/>
        <w:rPr>
          <w:rStyle w:val="InitialStyle"/>
          <w:rFonts w:cs="Calibri"/>
          <w:sz w:val="24"/>
          <w:szCs w:val="22"/>
        </w:rPr>
      </w:pPr>
      <w:r w:rsidRPr="00B62170">
        <w:rPr>
          <w:rFonts w:cs="Calibri"/>
          <w:sz w:val="24"/>
          <w:szCs w:val="22"/>
        </w:rPr>
        <w:t xml:space="preserve">The purpose of the proposed project is to produce a detailed, user-friendly watershed-based management plan for the </w:t>
      </w:r>
      <w:proofErr w:type="spellStart"/>
      <w:r w:rsidRPr="00B62170">
        <w:rPr>
          <w:rFonts w:cs="Calibri"/>
          <w:sz w:val="24"/>
          <w:szCs w:val="22"/>
        </w:rPr>
        <w:t>Medomak</w:t>
      </w:r>
      <w:proofErr w:type="spellEnd"/>
      <w:r w:rsidRPr="00B62170">
        <w:rPr>
          <w:rFonts w:cs="Calibri"/>
          <w:sz w:val="24"/>
          <w:szCs w:val="22"/>
        </w:rPr>
        <w:t xml:space="preserve"> River Estuary, which will guide watershed restoration efforts to reduce fecal bacteria contamination and meet the </w:t>
      </w:r>
      <w:proofErr w:type="gramStart"/>
      <w:r w:rsidRPr="00B62170">
        <w:rPr>
          <w:rFonts w:cs="Calibri"/>
          <w:sz w:val="24"/>
          <w:szCs w:val="22"/>
        </w:rPr>
        <w:t>ultimate goal</w:t>
      </w:r>
      <w:proofErr w:type="gramEnd"/>
      <w:r w:rsidRPr="00B62170">
        <w:rPr>
          <w:rFonts w:cs="Calibri"/>
          <w:sz w:val="24"/>
          <w:szCs w:val="22"/>
        </w:rPr>
        <w:t xml:space="preserve"> of removing the conditional shellfish closures in the estuary. The plan will include the nine minimum elements considered by EPA to be critical for achieving improvements in water quality as required under the </w:t>
      </w:r>
      <w:r w:rsidRPr="00B62170">
        <w:rPr>
          <w:rFonts w:cs="Calibri"/>
          <w:i/>
          <w:sz w:val="24"/>
          <w:szCs w:val="22"/>
        </w:rPr>
        <w:t xml:space="preserve">Nonpoint Source Program and Grants Guidelines for States and Territories </w:t>
      </w:r>
      <w:r w:rsidRPr="00B62170">
        <w:rPr>
          <w:rFonts w:cs="Calibri"/>
          <w:sz w:val="24"/>
          <w:szCs w:val="22"/>
        </w:rPr>
        <w:t xml:space="preserve">(April 2013). </w:t>
      </w:r>
    </w:p>
    <w:p w:rsidR="00B62170" w:rsidRDefault="00B62170" w:rsidP="00B62170">
      <w:pPr>
        <w:pStyle w:val="DefaultText"/>
        <w:spacing w:after="60"/>
        <w:rPr>
          <w:rStyle w:val="InitialStyle"/>
          <w:bCs/>
          <w:szCs w:val="28"/>
        </w:rPr>
      </w:pPr>
    </w:p>
    <w:p w:rsidR="00CA6360" w:rsidRDefault="00CA6360" w:rsidP="00B62170">
      <w:pPr>
        <w:pStyle w:val="DefaultText"/>
        <w:spacing w:after="60"/>
        <w:rPr>
          <w:rStyle w:val="InitialStyle"/>
          <w:bCs/>
          <w:szCs w:val="28"/>
        </w:rPr>
      </w:pPr>
    </w:p>
    <w:p w:rsidR="00715569" w:rsidRPr="00BC46A6" w:rsidRDefault="00715569" w:rsidP="00B62170">
      <w:pPr>
        <w:pStyle w:val="DefaultText"/>
        <w:spacing w:after="60"/>
        <w:rPr>
          <w:rStyle w:val="InitialStyle"/>
          <w:bCs/>
          <w:szCs w:val="28"/>
        </w:rPr>
      </w:pPr>
    </w:p>
    <w:p w:rsidR="00B62170" w:rsidRDefault="00B62170" w:rsidP="00B62170">
      <w:pPr>
        <w:pStyle w:val="DefaultText"/>
        <w:numPr>
          <w:ilvl w:val="0"/>
          <w:numId w:val="5"/>
        </w:numPr>
        <w:spacing w:after="60"/>
        <w:rPr>
          <w:rStyle w:val="InitialStyle"/>
          <w:b/>
          <w:bCs/>
          <w:szCs w:val="28"/>
          <w:u w:val="single"/>
        </w:rPr>
      </w:pPr>
      <w:r>
        <w:rPr>
          <w:rStyle w:val="InitialStyle"/>
          <w:b/>
          <w:bCs/>
          <w:szCs w:val="28"/>
          <w:u w:val="single"/>
        </w:rPr>
        <w:t>Project Duration: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6239"/>
      </w:tblGrid>
      <w:tr w:rsidR="00B62170" w:rsidRPr="000F4C57" w:rsidTr="00EB753E">
        <w:trPr>
          <w:trHeight w:val="346"/>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sidRPr="000F4C57">
              <w:rPr>
                <w:bCs/>
                <w:szCs w:val="28"/>
              </w:rPr>
              <w:t xml:space="preserve">Project Start Date </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Pr>
                <w:bCs/>
                <w:szCs w:val="28"/>
              </w:rPr>
              <w:t>October 2017</w:t>
            </w:r>
          </w:p>
        </w:tc>
      </w:tr>
      <w:tr w:rsidR="00B62170" w:rsidRPr="000F4C57" w:rsidTr="00EB753E">
        <w:trPr>
          <w:trHeight w:val="346"/>
        </w:trPr>
        <w:tc>
          <w:tcPr>
            <w:tcW w:w="3168" w:type="dxa"/>
            <w:shd w:val="clear" w:color="auto" w:fill="auto"/>
            <w:vAlign w:val="center"/>
          </w:tcPr>
          <w:p w:rsidR="00B62170" w:rsidRPr="000F4C57" w:rsidRDefault="00B62170" w:rsidP="00EB753E">
            <w:pPr>
              <w:pStyle w:val="DefaultText"/>
              <w:rPr>
                <w:bCs/>
                <w:szCs w:val="28"/>
              </w:rPr>
            </w:pPr>
            <w:r w:rsidRPr="000F4C57">
              <w:rPr>
                <w:bCs/>
                <w:szCs w:val="28"/>
              </w:rPr>
              <w:t xml:space="preserve">Project Completion Date </w:t>
            </w:r>
          </w:p>
        </w:tc>
        <w:tc>
          <w:tcPr>
            <w:tcW w:w="6408" w:type="dxa"/>
            <w:shd w:val="clear" w:color="auto" w:fill="auto"/>
            <w:vAlign w:val="center"/>
          </w:tcPr>
          <w:p w:rsidR="00B62170" w:rsidRPr="000F4C57" w:rsidRDefault="00B62170" w:rsidP="00EB753E">
            <w:pPr>
              <w:pStyle w:val="DefaultText"/>
              <w:rPr>
                <w:bCs/>
                <w:szCs w:val="28"/>
              </w:rPr>
            </w:pPr>
            <w:r>
              <w:rPr>
                <w:bCs/>
                <w:szCs w:val="28"/>
              </w:rPr>
              <w:t>April 2019</w:t>
            </w:r>
          </w:p>
        </w:tc>
      </w:tr>
    </w:tbl>
    <w:p w:rsidR="00B62170" w:rsidRDefault="00B62170" w:rsidP="00B62170">
      <w:pPr>
        <w:pStyle w:val="DefaultText"/>
        <w:rPr>
          <w:rStyle w:val="InitialStyle"/>
          <w:b/>
          <w:bCs/>
          <w:szCs w:val="28"/>
          <w:u w:val="single"/>
        </w:rPr>
      </w:pPr>
    </w:p>
    <w:p w:rsidR="00B62170" w:rsidRDefault="00B62170" w:rsidP="00B62170">
      <w:pPr>
        <w:pStyle w:val="DefaultText"/>
        <w:numPr>
          <w:ilvl w:val="0"/>
          <w:numId w:val="5"/>
        </w:numPr>
        <w:rPr>
          <w:rStyle w:val="InitialStyle"/>
          <w:b/>
          <w:bCs/>
          <w:szCs w:val="28"/>
          <w:u w:val="single"/>
        </w:rPr>
      </w:pPr>
      <w:r>
        <w:rPr>
          <w:rStyle w:val="InitialStyle"/>
          <w:b/>
          <w:bCs/>
          <w:szCs w:val="28"/>
          <w:u w:val="single"/>
        </w:rPr>
        <w:t>General Project Plan</w:t>
      </w:r>
    </w:p>
    <w:p w:rsidR="00B62170" w:rsidRPr="00CD69D6" w:rsidRDefault="00B62170" w:rsidP="00B62170">
      <w:pPr>
        <w:widowControl/>
        <w:autoSpaceDE/>
        <w:autoSpaceDN/>
        <w:spacing w:before="120" w:after="120"/>
        <w:ind w:right="144"/>
        <w:jc w:val="both"/>
        <w:rPr>
          <w:rFonts w:cs="Calibri"/>
          <w:sz w:val="24"/>
          <w:szCs w:val="22"/>
        </w:rPr>
      </w:pPr>
      <w:r w:rsidRPr="00CD69D6">
        <w:rPr>
          <w:rFonts w:cs="Calibri"/>
          <w:sz w:val="24"/>
          <w:szCs w:val="22"/>
        </w:rPr>
        <w:t xml:space="preserve">The WBP will focus on the portion of the watershed located below </w:t>
      </w:r>
      <w:proofErr w:type="spellStart"/>
      <w:r w:rsidRPr="00CD69D6">
        <w:rPr>
          <w:rFonts w:cs="Calibri"/>
          <w:sz w:val="24"/>
          <w:szCs w:val="22"/>
        </w:rPr>
        <w:t>Medomak</w:t>
      </w:r>
      <w:proofErr w:type="spellEnd"/>
      <w:r w:rsidRPr="00CD69D6">
        <w:rPr>
          <w:rFonts w:cs="Calibri"/>
          <w:sz w:val="24"/>
          <w:szCs w:val="22"/>
        </w:rPr>
        <w:t xml:space="preserve"> Pond. This includes the small tributary area to the northwest of </w:t>
      </w:r>
      <w:proofErr w:type="spellStart"/>
      <w:r w:rsidRPr="00CD69D6">
        <w:rPr>
          <w:rFonts w:cs="Calibri"/>
          <w:sz w:val="24"/>
          <w:szCs w:val="22"/>
        </w:rPr>
        <w:t>Medomak</w:t>
      </w:r>
      <w:proofErr w:type="spellEnd"/>
      <w:r w:rsidRPr="00CD69D6">
        <w:rPr>
          <w:rFonts w:cs="Calibri"/>
          <w:sz w:val="24"/>
          <w:szCs w:val="22"/>
        </w:rPr>
        <w:t xml:space="preserve"> Pond. This focus area was created by merging the National Hydrography Dataset HUC12 boundary with the existing estuarine watershed boundary. This was done due to the significant bacterial contamination noted in this portion of the watershed that is causing a significant loss in access to </w:t>
      </w:r>
      <w:proofErr w:type="spellStart"/>
      <w:r w:rsidRPr="00CD69D6">
        <w:rPr>
          <w:rFonts w:cs="Calibri"/>
          <w:sz w:val="24"/>
          <w:szCs w:val="22"/>
        </w:rPr>
        <w:t>shellfishing</w:t>
      </w:r>
      <w:proofErr w:type="spellEnd"/>
      <w:r w:rsidRPr="00CD69D6">
        <w:rPr>
          <w:rFonts w:cs="Calibri"/>
          <w:sz w:val="24"/>
          <w:szCs w:val="22"/>
        </w:rPr>
        <w:t xml:space="preserve"> in the river.</w:t>
      </w:r>
    </w:p>
    <w:p w:rsidR="00B62170" w:rsidRPr="00CD69D6" w:rsidRDefault="00B62170" w:rsidP="00B62170">
      <w:pPr>
        <w:widowControl/>
        <w:autoSpaceDE/>
        <w:autoSpaceDN/>
        <w:spacing w:before="120" w:after="120"/>
        <w:ind w:right="144"/>
        <w:jc w:val="both"/>
        <w:rPr>
          <w:rFonts w:cs="Calibri"/>
          <w:sz w:val="24"/>
          <w:szCs w:val="22"/>
        </w:rPr>
      </w:pPr>
      <w:r w:rsidRPr="00CD69D6">
        <w:rPr>
          <w:rFonts w:cs="Calibri"/>
          <w:sz w:val="24"/>
          <w:szCs w:val="22"/>
        </w:rPr>
        <w:t xml:space="preserve">The Town of Waldoboro will manage the overall project with the assistance of the </w:t>
      </w:r>
      <w:proofErr w:type="spellStart"/>
      <w:r w:rsidRPr="00CD69D6">
        <w:rPr>
          <w:rFonts w:cs="Calibri"/>
          <w:sz w:val="24"/>
          <w:szCs w:val="22"/>
        </w:rPr>
        <w:t>Medomak</w:t>
      </w:r>
      <w:proofErr w:type="spellEnd"/>
      <w:r w:rsidRPr="00CD69D6">
        <w:rPr>
          <w:rFonts w:cs="Calibri"/>
          <w:sz w:val="24"/>
          <w:szCs w:val="22"/>
        </w:rPr>
        <w:t xml:space="preserve"> Valley Land Trust. The Town will also retain a project consultant to assist with the technical aspects of the project. The consultant will be assisting the Town and project stakeholders with </w:t>
      </w:r>
      <w:proofErr w:type="gramStart"/>
      <w:r w:rsidRPr="00CD69D6">
        <w:rPr>
          <w:rFonts w:cs="Calibri"/>
          <w:sz w:val="24"/>
          <w:szCs w:val="22"/>
        </w:rPr>
        <w:t>all of</w:t>
      </w:r>
      <w:proofErr w:type="gramEnd"/>
      <w:r w:rsidRPr="00CD69D6">
        <w:rPr>
          <w:rFonts w:cs="Calibri"/>
          <w:sz w:val="24"/>
          <w:szCs w:val="22"/>
        </w:rPr>
        <w:t xml:space="preserve"> the project tasks. The project consultant (hired under the appropriate procurement practices outlined below), will retain the following key characteristics:</w:t>
      </w:r>
    </w:p>
    <w:p w:rsidR="00B62170" w:rsidRPr="00CD69D6" w:rsidRDefault="00B62170" w:rsidP="00B62170">
      <w:pPr>
        <w:widowControl/>
        <w:numPr>
          <w:ilvl w:val="0"/>
          <w:numId w:val="2"/>
        </w:numPr>
        <w:autoSpaceDE/>
        <w:autoSpaceDN/>
        <w:spacing w:before="120" w:after="120"/>
        <w:ind w:right="144"/>
        <w:contextualSpacing/>
        <w:jc w:val="both"/>
        <w:rPr>
          <w:rFonts w:cs="Calibri"/>
          <w:sz w:val="24"/>
          <w:szCs w:val="22"/>
        </w:rPr>
      </w:pPr>
      <w:r w:rsidRPr="00CD69D6">
        <w:rPr>
          <w:rFonts w:cs="Calibri"/>
          <w:sz w:val="24"/>
          <w:szCs w:val="22"/>
        </w:rPr>
        <w:t>Have significant experience with project management at the local level, including experience with landowner and stakeholder engagement, meeting facilitation, and project scheduling.</w:t>
      </w:r>
    </w:p>
    <w:p w:rsidR="00B62170" w:rsidRPr="00CD69D6" w:rsidRDefault="00B62170" w:rsidP="00B62170">
      <w:pPr>
        <w:widowControl/>
        <w:numPr>
          <w:ilvl w:val="0"/>
          <w:numId w:val="2"/>
        </w:numPr>
        <w:autoSpaceDE/>
        <w:autoSpaceDN/>
        <w:spacing w:before="120" w:after="120"/>
        <w:ind w:right="144"/>
        <w:contextualSpacing/>
        <w:jc w:val="both"/>
        <w:rPr>
          <w:rFonts w:cs="Calibri"/>
          <w:sz w:val="24"/>
          <w:szCs w:val="22"/>
        </w:rPr>
      </w:pPr>
      <w:r w:rsidRPr="00CD69D6">
        <w:rPr>
          <w:rFonts w:cs="Calibri"/>
          <w:sz w:val="24"/>
          <w:szCs w:val="22"/>
        </w:rPr>
        <w:t>Have a solid understanding of fecal indicator bacteria, bacteria fate and transport in estuarine environments, and water quality monitoring studies. The consultant will be familiar with using proper quality assurance (QAPP) State protocols.</w:t>
      </w:r>
    </w:p>
    <w:p w:rsidR="00B62170" w:rsidRDefault="00B62170" w:rsidP="00B62170">
      <w:pPr>
        <w:widowControl/>
        <w:numPr>
          <w:ilvl w:val="0"/>
          <w:numId w:val="2"/>
        </w:numPr>
        <w:autoSpaceDE/>
        <w:autoSpaceDN/>
        <w:spacing w:before="120" w:after="120"/>
        <w:ind w:right="144"/>
        <w:contextualSpacing/>
        <w:jc w:val="both"/>
        <w:rPr>
          <w:rFonts w:cs="Calibri"/>
          <w:sz w:val="24"/>
          <w:szCs w:val="22"/>
        </w:rPr>
      </w:pPr>
      <w:r w:rsidRPr="00CD69D6">
        <w:rPr>
          <w:rFonts w:cs="Calibri"/>
          <w:sz w:val="24"/>
          <w:szCs w:val="22"/>
        </w:rPr>
        <w:t>Be well-acquainted with Maine WBP development, writing, and follow-through.</w:t>
      </w:r>
    </w:p>
    <w:p w:rsidR="00B62170" w:rsidRPr="00CD69D6" w:rsidRDefault="00B62170" w:rsidP="00B62170">
      <w:pPr>
        <w:widowControl/>
        <w:autoSpaceDE/>
        <w:autoSpaceDN/>
        <w:spacing w:before="120" w:after="120"/>
        <w:ind w:left="720" w:right="144"/>
        <w:contextualSpacing/>
        <w:jc w:val="both"/>
        <w:rPr>
          <w:rFonts w:cs="Calibri"/>
          <w:sz w:val="24"/>
          <w:szCs w:val="22"/>
        </w:rPr>
      </w:pPr>
    </w:p>
    <w:p w:rsidR="00B62170" w:rsidRPr="00CD69D6" w:rsidRDefault="00B62170" w:rsidP="00B62170">
      <w:pPr>
        <w:widowControl/>
        <w:autoSpaceDE/>
        <w:autoSpaceDN/>
        <w:spacing w:before="120" w:after="120"/>
        <w:ind w:right="144"/>
        <w:jc w:val="both"/>
        <w:rPr>
          <w:rFonts w:cs="Calibri"/>
          <w:sz w:val="24"/>
          <w:szCs w:val="22"/>
        </w:rPr>
      </w:pPr>
      <w:r w:rsidRPr="00CD69D6">
        <w:rPr>
          <w:rFonts w:cs="Calibri"/>
          <w:sz w:val="24"/>
          <w:szCs w:val="22"/>
        </w:rPr>
        <w:t xml:space="preserve">The Town will use appropriate competitive procurement procedures to secure assistance with plan development by the </w:t>
      </w:r>
      <w:proofErr w:type="gramStart"/>
      <w:r w:rsidRPr="00CD69D6">
        <w:rPr>
          <w:rFonts w:cs="Calibri"/>
          <w:sz w:val="24"/>
          <w:szCs w:val="22"/>
        </w:rPr>
        <w:t>aforementioned project</w:t>
      </w:r>
      <w:proofErr w:type="gramEnd"/>
      <w:r w:rsidRPr="00CD69D6">
        <w:rPr>
          <w:rFonts w:cs="Calibri"/>
          <w:sz w:val="24"/>
          <w:szCs w:val="22"/>
        </w:rPr>
        <w:t xml:space="preserve"> consultant. All bids requested by the Town of Waldoboro are competitive in nature, and the Town makes every effort to utilize underrepresented businesses. Products and services paid for with grant funds will be carried out using procurement procedures as described under Section 4 of DEP’s Nonpoint Source Grant Administrative Guidelines. This project will be conducted to meet applicable quality assurance procedures in the DEP document “Maine Section 319 NPS Management Program Quality Assurance Program Plan, 2011” http://www.maine.gov/dep/water/grants/319.html.</w:t>
      </w:r>
    </w:p>
    <w:p w:rsidR="00B62170" w:rsidRPr="00CD69D6" w:rsidRDefault="00B62170" w:rsidP="00B62170">
      <w:pPr>
        <w:widowControl/>
        <w:autoSpaceDE/>
        <w:autoSpaceDN/>
        <w:spacing w:before="120" w:after="120"/>
        <w:ind w:right="144"/>
        <w:jc w:val="both"/>
        <w:rPr>
          <w:rFonts w:cs="Calibri"/>
          <w:sz w:val="24"/>
          <w:szCs w:val="22"/>
        </w:rPr>
      </w:pPr>
      <w:r w:rsidRPr="00CD69D6">
        <w:rPr>
          <w:rFonts w:cs="Calibri"/>
          <w:sz w:val="24"/>
          <w:szCs w:val="22"/>
        </w:rPr>
        <w:t xml:space="preserve">The </w:t>
      </w:r>
      <w:proofErr w:type="spellStart"/>
      <w:r w:rsidRPr="00CD69D6">
        <w:rPr>
          <w:rFonts w:cs="Calibri"/>
          <w:sz w:val="24"/>
          <w:szCs w:val="22"/>
        </w:rPr>
        <w:t>Medomak</w:t>
      </w:r>
      <w:proofErr w:type="spellEnd"/>
      <w:r w:rsidRPr="00CD69D6">
        <w:rPr>
          <w:rFonts w:cs="Calibri"/>
          <w:sz w:val="24"/>
          <w:szCs w:val="22"/>
        </w:rPr>
        <w:t xml:space="preserve"> River WBP project will rely heavily on the input of a technical advisory committee (TAC) that will include and expand upon the current </w:t>
      </w:r>
      <w:proofErr w:type="spellStart"/>
      <w:r w:rsidRPr="00CD69D6">
        <w:rPr>
          <w:rFonts w:cs="Calibri"/>
          <w:sz w:val="24"/>
          <w:szCs w:val="22"/>
        </w:rPr>
        <w:t>Medomak</w:t>
      </w:r>
      <w:proofErr w:type="spellEnd"/>
      <w:r w:rsidRPr="00CD69D6">
        <w:rPr>
          <w:rFonts w:cs="Calibri"/>
          <w:sz w:val="24"/>
          <w:szCs w:val="22"/>
        </w:rPr>
        <w:t xml:space="preserve"> Task Force, including individuals who can help identify fecal bacteria sources and locations and provide input into developing a realistic and action-oriented WBP. The TAC will refine methodologies for all field assessment tasks and will oversee the development of the Sampling and Analysis Plan (SAP) for the Storm Event Sampling (Task 5). </w:t>
      </w:r>
    </w:p>
    <w:p w:rsidR="00B62170" w:rsidRPr="00CD69D6" w:rsidRDefault="00B62170" w:rsidP="00B62170">
      <w:pPr>
        <w:widowControl/>
        <w:autoSpaceDE/>
        <w:autoSpaceDN/>
        <w:spacing w:before="120" w:after="120"/>
        <w:ind w:right="144"/>
        <w:jc w:val="both"/>
        <w:rPr>
          <w:rFonts w:cs="Calibri"/>
          <w:sz w:val="24"/>
          <w:szCs w:val="22"/>
        </w:rPr>
      </w:pPr>
      <w:r w:rsidRPr="00CD69D6">
        <w:rPr>
          <w:rFonts w:cs="Calibri"/>
          <w:sz w:val="24"/>
          <w:szCs w:val="22"/>
        </w:rPr>
        <w:t>Watershed education and outreach needs will be addressed by informing the public about the project and posting project updates on the Town’s website and through press releases. Press releases will contain information about the nature and scope of the project as well as information on NPS pollution.</w:t>
      </w:r>
    </w:p>
    <w:p w:rsidR="00B62170" w:rsidRPr="00CD69D6" w:rsidRDefault="00B62170" w:rsidP="00B62170">
      <w:pPr>
        <w:widowControl/>
        <w:autoSpaceDE/>
        <w:autoSpaceDN/>
        <w:spacing w:before="120"/>
        <w:ind w:right="144"/>
        <w:jc w:val="both"/>
        <w:rPr>
          <w:rFonts w:cs="Calibri"/>
          <w:sz w:val="24"/>
          <w:szCs w:val="22"/>
        </w:rPr>
      </w:pPr>
      <w:r w:rsidRPr="00CD69D6">
        <w:rPr>
          <w:rFonts w:cs="Calibri"/>
          <w:sz w:val="24"/>
          <w:szCs w:val="22"/>
        </w:rPr>
        <w:t>All press releases, outreach materials, project signs, and plans will acknowledge that the project is funded in part by the United States Environmental Protection Agency (EPA) under Section 604(b) of the Clean Water Act. EPA’s logo will not be included on materials unless the Grantee receives prior instruction and approval from EPA. Refer to the Grant Agreement, Rider A. Section III. F. Acknowledgement.</w:t>
      </w:r>
    </w:p>
    <w:p w:rsidR="00B62170" w:rsidRPr="00BC46A6" w:rsidRDefault="00B62170" w:rsidP="00B62170">
      <w:pPr>
        <w:pStyle w:val="DefaultText"/>
        <w:rPr>
          <w:rStyle w:val="InitialStyle"/>
          <w:bCs/>
          <w:szCs w:val="28"/>
        </w:rPr>
      </w:pPr>
    </w:p>
    <w:p w:rsidR="00B62170" w:rsidRDefault="00B62170" w:rsidP="00B62170">
      <w:pPr>
        <w:pStyle w:val="DefaultText"/>
        <w:rPr>
          <w:rStyle w:val="InitialStyle"/>
          <w:b/>
          <w:bCs/>
          <w:szCs w:val="28"/>
          <w:u w:val="single"/>
        </w:rPr>
      </w:pPr>
      <w:r w:rsidRPr="00BC46A6">
        <w:rPr>
          <w:rStyle w:val="InitialStyle"/>
          <w:b/>
          <w:bCs/>
          <w:szCs w:val="28"/>
        </w:rPr>
        <w:t xml:space="preserve">VII. </w:t>
      </w:r>
      <w:r>
        <w:rPr>
          <w:rStyle w:val="InitialStyle"/>
          <w:b/>
          <w:bCs/>
          <w:szCs w:val="28"/>
          <w:u w:val="single"/>
        </w:rPr>
        <w:t>Tasks, Schedules and Estimated Costs:</w:t>
      </w:r>
    </w:p>
    <w:p w:rsidR="00B62170" w:rsidRPr="00886092" w:rsidRDefault="00B62170" w:rsidP="00B62170">
      <w:pPr>
        <w:pStyle w:val="DefaultText"/>
        <w:rPr>
          <w:rStyle w:val="InitialStyle"/>
          <w:bCs/>
          <w:szCs w:val="28"/>
        </w:rPr>
      </w:pPr>
    </w:p>
    <w:p w:rsidR="00B62170" w:rsidRDefault="00B62170" w:rsidP="00B62170">
      <w:pPr>
        <w:pStyle w:val="DefaultText"/>
        <w:spacing w:after="60"/>
        <w:rPr>
          <w:rStyle w:val="InitialStyle"/>
          <w:b/>
          <w:bCs/>
          <w:szCs w:val="28"/>
        </w:rPr>
      </w:pPr>
      <w:r>
        <w:rPr>
          <w:rStyle w:val="InitialStyle"/>
          <w:b/>
          <w:bCs/>
          <w:szCs w:val="28"/>
        </w:rPr>
        <w:t>Task 1 – Project Administration</w:t>
      </w:r>
    </w:p>
    <w:p w:rsidR="00B62170" w:rsidRPr="00CD69D6" w:rsidRDefault="00B62170" w:rsidP="00B62170">
      <w:pPr>
        <w:widowControl/>
        <w:autoSpaceDE/>
        <w:autoSpaceDN/>
        <w:spacing w:before="120" w:after="120"/>
        <w:ind w:right="144"/>
        <w:jc w:val="both"/>
        <w:rPr>
          <w:rFonts w:cs="Calibri"/>
          <w:sz w:val="24"/>
          <w:szCs w:val="22"/>
        </w:rPr>
      </w:pPr>
      <w:r w:rsidRPr="00CD69D6">
        <w:rPr>
          <w:rFonts w:cs="Calibri"/>
          <w:sz w:val="24"/>
          <w:szCs w:val="22"/>
        </w:rPr>
        <w:t xml:space="preserve">The Town of Waldoboro will administer the project </w:t>
      </w:r>
      <w:proofErr w:type="gramStart"/>
      <w:r w:rsidRPr="00CD69D6">
        <w:rPr>
          <w:rFonts w:cs="Calibri"/>
          <w:sz w:val="24"/>
          <w:szCs w:val="22"/>
        </w:rPr>
        <w:t>according to</w:t>
      </w:r>
      <w:proofErr w:type="gramEnd"/>
      <w:r w:rsidRPr="00CD69D6">
        <w:rPr>
          <w:rFonts w:cs="Calibri"/>
          <w:sz w:val="24"/>
          <w:szCs w:val="22"/>
        </w:rPr>
        <w:t xml:space="preserve"> the grant agreement with DEP.  The Town of Waldoboro will be responsible for outlining project roles, responsibilities, and funding arrangements. The Town will also communicate with key partners, procure services and products, track project progress, expenses, matching funds, submit reports (semi-annual Progress Reports, Final Project Report) and other deliverables. The Town will sub-contract with a project consultant to assist with all tasks and coordinate communication with project stakeholders, landowners, and technical advisors.  DEP will approve sub-contract process and final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B62170" w:rsidRPr="000F4C57" w:rsidTr="00EB753E">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sidRPr="000F4C57">
              <w:rPr>
                <w:bCs/>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
                <w:bCs/>
                <w:szCs w:val="28"/>
                <w:u w:val="single"/>
              </w:rPr>
            </w:pPr>
            <w:r w:rsidRPr="004F0AAE">
              <w:rPr>
                <w:rFonts w:cs="Calibri"/>
                <w:szCs w:val="22"/>
              </w:rPr>
              <w:t>October 2017 – April 2019</w:t>
            </w:r>
          </w:p>
        </w:tc>
      </w:tr>
      <w:tr w:rsidR="00B62170" w:rsidRPr="000F4C57" w:rsidTr="00EB753E">
        <w:trPr>
          <w:trHeight w:val="346"/>
        </w:trPr>
        <w:tc>
          <w:tcPr>
            <w:tcW w:w="3129" w:type="dxa"/>
            <w:shd w:val="clear" w:color="auto" w:fill="auto"/>
            <w:vAlign w:val="center"/>
          </w:tcPr>
          <w:p w:rsidR="00B62170" w:rsidRPr="000F4C57" w:rsidRDefault="00B62170" w:rsidP="00EB753E">
            <w:pPr>
              <w:pStyle w:val="DefaultText"/>
              <w:rPr>
                <w:bCs/>
                <w:szCs w:val="28"/>
              </w:rPr>
            </w:pPr>
            <w:r w:rsidRPr="000F4C57">
              <w:rPr>
                <w:bCs/>
                <w:szCs w:val="28"/>
              </w:rPr>
              <w:t>Grant Cost: $</w:t>
            </w:r>
            <w:r>
              <w:rPr>
                <w:bCs/>
                <w:szCs w:val="28"/>
              </w:rPr>
              <w:t>3,000</w:t>
            </w:r>
          </w:p>
        </w:tc>
        <w:tc>
          <w:tcPr>
            <w:tcW w:w="3112" w:type="dxa"/>
            <w:shd w:val="clear" w:color="auto" w:fill="auto"/>
            <w:vAlign w:val="center"/>
          </w:tcPr>
          <w:p w:rsidR="00B62170" w:rsidRPr="000F4C57" w:rsidRDefault="00B62170" w:rsidP="00EB753E">
            <w:pPr>
              <w:pStyle w:val="DefaultText"/>
              <w:rPr>
                <w:bCs/>
                <w:szCs w:val="28"/>
              </w:rPr>
            </w:pPr>
            <w:r w:rsidRPr="000F4C57">
              <w:rPr>
                <w:bCs/>
                <w:szCs w:val="28"/>
              </w:rPr>
              <w:t>Match Cost: $</w:t>
            </w:r>
            <w:r>
              <w:rPr>
                <w:bCs/>
                <w:szCs w:val="28"/>
              </w:rPr>
              <w:t>2,400</w:t>
            </w:r>
          </w:p>
        </w:tc>
        <w:tc>
          <w:tcPr>
            <w:tcW w:w="3109" w:type="dxa"/>
            <w:shd w:val="clear" w:color="auto" w:fill="auto"/>
            <w:vAlign w:val="center"/>
          </w:tcPr>
          <w:p w:rsidR="00B62170" w:rsidRPr="00753B1F" w:rsidRDefault="00B62170" w:rsidP="00EB753E">
            <w:pPr>
              <w:pStyle w:val="DefaultText"/>
              <w:rPr>
                <w:b/>
                <w:bCs/>
                <w:szCs w:val="28"/>
              </w:rPr>
            </w:pPr>
            <w:r w:rsidRPr="00753B1F">
              <w:rPr>
                <w:b/>
                <w:bCs/>
                <w:szCs w:val="28"/>
              </w:rPr>
              <w:t>Total Cost: $</w:t>
            </w:r>
            <w:r>
              <w:rPr>
                <w:b/>
                <w:bCs/>
                <w:szCs w:val="28"/>
              </w:rPr>
              <w:t>5,400</w:t>
            </w:r>
          </w:p>
        </w:tc>
      </w:tr>
      <w:tr w:rsidR="00B62170" w:rsidRPr="000F4C57" w:rsidTr="00EB753E">
        <w:trPr>
          <w:trHeight w:val="346"/>
        </w:trPr>
        <w:tc>
          <w:tcPr>
            <w:tcW w:w="9350" w:type="dxa"/>
            <w:gridSpan w:val="3"/>
            <w:shd w:val="clear" w:color="auto" w:fill="auto"/>
            <w:vAlign w:val="center"/>
          </w:tcPr>
          <w:p w:rsidR="00B62170" w:rsidRPr="000F4C57" w:rsidRDefault="00B62170" w:rsidP="00EB753E">
            <w:pPr>
              <w:pStyle w:val="DefaultText"/>
              <w:rPr>
                <w:b/>
                <w:bCs/>
                <w:szCs w:val="28"/>
                <w:u w:val="single"/>
              </w:rPr>
            </w:pPr>
            <w:r w:rsidRPr="000F4C57">
              <w:rPr>
                <w:bCs/>
                <w:szCs w:val="28"/>
              </w:rPr>
              <w:t>Breakdown of G</w:t>
            </w:r>
            <w:r>
              <w:rPr>
                <w:bCs/>
                <w:szCs w:val="28"/>
              </w:rPr>
              <w:t xml:space="preserve">rant </w:t>
            </w:r>
            <w:r w:rsidRPr="000F4C57">
              <w:rPr>
                <w:bCs/>
                <w:szCs w:val="28"/>
              </w:rPr>
              <w:t xml:space="preserve">by Budget Category: </w:t>
            </w:r>
            <w:r>
              <w:rPr>
                <w:bCs/>
                <w:szCs w:val="28"/>
              </w:rPr>
              <w:t>$3,000 (contractual)</w:t>
            </w:r>
          </w:p>
        </w:tc>
      </w:tr>
      <w:tr w:rsidR="00B62170" w:rsidRPr="000F4C57" w:rsidTr="00EB753E">
        <w:trPr>
          <w:trHeight w:val="346"/>
        </w:trPr>
        <w:tc>
          <w:tcPr>
            <w:tcW w:w="9350" w:type="dxa"/>
            <w:gridSpan w:val="3"/>
            <w:shd w:val="clear" w:color="auto" w:fill="auto"/>
            <w:vAlign w:val="center"/>
          </w:tcPr>
          <w:p w:rsidR="00B62170" w:rsidRPr="000F4C57" w:rsidRDefault="00B62170" w:rsidP="00EB753E">
            <w:pPr>
              <w:pStyle w:val="DefaultText"/>
              <w:rPr>
                <w:bCs/>
                <w:szCs w:val="28"/>
              </w:rPr>
            </w:pPr>
            <w:r>
              <w:rPr>
                <w:bCs/>
                <w:szCs w:val="28"/>
              </w:rPr>
              <w:t>Breakdown o</w:t>
            </w:r>
            <w:r w:rsidR="00FB7B8B">
              <w:rPr>
                <w:bCs/>
                <w:szCs w:val="28"/>
              </w:rPr>
              <w:t>f Match by Budget Category: $2,0</w:t>
            </w:r>
            <w:r>
              <w:rPr>
                <w:bCs/>
                <w:szCs w:val="28"/>
              </w:rPr>
              <w:t>00 (</w:t>
            </w:r>
            <w:r w:rsidR="00FB7B8B">
              <w:rPr>
                <w:bCs/>
                <w:szCs w:val="28"/>
              </w:rPr>
              <w:t>salary/fringe</w:t>
            </w:r>
            <w:r>
              <w:rPr>
                <w:bCs/>
                <w:szCs w:val="28"/>
              </w:rPr>
              <w:t>)</w:t>
            </w:r>
            <w:r w:rsidR="00FB7B8B">
              <w:rPr>
                <w:bCs/>
                <w:szCs w:val="28"/>
              </w:rPr>
              <w:t>; $400 (supplies)</w:t>
            </w:r>
          </w:p>
        </w:tc>
      </w:tr>
    </w:tbl>
    <w:p w:rsidR="00B62170" w:rsidRDefault="00B62170" w:rsidP="00B62170">
      <w:pPr>
        <w:pStyle w:val="DefaultText"/>
        <w:rPr>
          <w:rStyle w:val="InitialStyle"/>
          <w:b/>
          <w:bCs/>
          <w:szCs w:val="28"/>
          <w:u w:val="single"/>
        </w:rPr>
      </w:pPr>
    </w:p>
    <w:p w:rsidR="00B62170" w:rsidRPr="00DC6333" w:rsidRDefault="00B62170" w:rsidP="00B62170">
      <w:pPr>
        <w:pStyle w:val="DefaultText"/>
        <w:rPr>
          <w:b/>
          <w:bCs/>
          <w:szCs w:val="28"/>
        </w:rPr>
      </w:pPr>
      <w:r w:rsidRPr="00DC6333">
        <w:rPr>
          <w:b/>
          <w:bCs/>
          <w:szCs w:val="28"/>
        </w:rPr>
        <w:t xml:space="preserve">Task 2 – </w:t>
      </w:r>
      <w:r w:rsidRPr="00947056">
        <w:rPr>
          <w:b/>
          <w:bCs/>
          <w:szCs w:val="28"/>
        </w:rPr>
        <w:t>Stakeholder Meetings / Landowner Participation</w:t>
      </w:r>
    </w:p>
    <w:p w:rsidR="00B62170" w:rsidRPr="00BC46A6" w:rsidRDefault="00B62170" w:rsidP="00B62170">
      <w:pPr>
        <w:pStyle w:val="DefaultText"/>
        <w:rPr>
          <w:bCs/>
          <w:szCs w:val="28"/>
        </w:rPr>
      </w:pPr>
      <w:r w:rsidRPr="00947056">
        <w:rPr>
          <w:bCs/>
          <w:szCs w:val="28"/>
        </w:rPr>
        <w:t xml:space="preserve">The Town of Waldoboro and project consultant will convene and facilitate </w:t>
      </w:r>
      <w:r w:rsidRPr="00947056">
        <w:rPr>
          <w:bCs/>
          <w:szCs w:val="28"/>
          <w:u w:val="single"/>
        </w:rPr>
        <w:t xml:space="preserve">two stakeholder meetings </w:t>
      </w:r>
      <w:r w:rsidRPr="00947056">
        <w:rPr>
          <w:bCs/>
          <w:szCs w:val="28"/>
        </w:rPr>
        <w:t xml:space="preserve">with the Shellfish Committee and the MVLT to garner input and support for the project. The first meeting will take place in the spring of 2018 and will include a presentation to be delivered by project staff to illustrate the water quality issues, gather input from stakeholders and discuss potential solutions to these issues. The second meeting will take place in the fall of 2018 and will focus on developing an action plan (see task 6) to address the NPS issues identified throughout the project. Both meetings will be facilitated in a manner so that public input will be allowed to guide </w:t>
      </w:r>
      <w:proofErr w:type="gramStart"/>
      <w:r w:rsidRPr="00947056">
        <w:rPr>
          <w:bCs/>
          <w:szCs w:val="28"/>
        </w:rPr>
        <w:t>particular elements</w:t>
      </w:r>
      <w:proofErr w:type="gramEnd"/>
      <w:r w:rsidRPr="00947056">
        <w:rPr>
          <w:bCs/>
          <w:szCs w:val="28"/>
        </w:rPr>
        <w:t xml:space="preserve"> of the plan, including the specifics of the watershed action plan. Additionally, </w:t>
      </w:r>
      <w:r w:rsidRPr="00947056">
        <w:rPr>
          <w:bCs/>
          <w:szCs w:val="28"/>
          <w:u w:val="single"/>
        </w:rPr>
        <w:t>two on-site landowner meetings</w:t>
      </w:r>
      <w:r w:rsidRPr="00947056">
        <w:rPr>
          <w:bCs/>
          <w:szCs w:val="28"/>
        </w:rPr>
        <w:t xml:space="preserve"> will be organized to discuss BMP recommendations for high priority sites identified in the stormwater bacteria sampling (see Task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B62170" w:rsidRPr="000F4C57" w:rsidTr="00EB753E">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sidRPr="000F4C57">
              <w:rPr>
                <w:bCs/>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sidRPr="004F0AAE">
              <w:rPr>
                <w:bCs/>
                <w:szCs w:val="28"/>
              </w:rPr>
              <w:t>November 2017 – April 2019</w:t>
            </w:r>
          </w:p>
        </w:tc>
      </w:tr>
      <w:tr w:rsidR="00B62170" w:rsidRPr="000F4C57" w:rsidTr="00EB753E">
        <w:trPr>
          <w:trHeight w:val="346"/>
        </w:trPr>
        <w:tc>
          <w:tcPr>
            <w:tcW w:w="3129" w:type="dxa"/>
            <w:shd w:val="clear" w:color="auto" w:fill="auto"/>
            <w:vAlign w:val="center"/>
          </w:tcPr>
          <w:p w:rsidR="00B62170" w:rsidRPr="000F4C57" w:rsidRDefault="00B62170" w:rsidP="00EB753E">
            <w:pPr>
              <w:pStyle w:val="DefaultText"/>
              <w:rPr>
                <w:bCs/>
                <w:szCs w:val="28"/>
              </w:rPr>
            </w:pPr>
            <w:r w:rsidRPr="000F4C57">
              <w:rPr>
                <w:bCs/>
                <w:szCs w:val="28"/>
              </w:rPr>
              <w:t>Grant Cost: $</w:t>
            </w:r>
            <w:r>
              <w:rPr>
                <w:bCs/>
                <w:szCs w:val="28"/>
              </w:rPr>
              <w:t>3,800</w:t>
            </w:r>
          </w:p>
        </w:tc>
        <w:tc>
          <w:tcPr>
            <w:tcW w:w="3112" w:type="dxa"/>
            <w:shd w:val="clear" w:color="auto" w:fill="auto"/>
            <w:vAlign w:val="center"/>
          </w:tcPr>
          <w:p w:rsidR="00B62170" w:rsidRPr="000F4C57" w:rsidRDefault="00B62170" w:rsidP="00EB753E">
            <w:pPr>
              <w:pStyle w:val="DefaultText"/>
              <w:rPr>
                <w:bCs/>
                <w:szCs w:val="28"/>
              </w:rPr>
            </w:pPr>
            <w:r w:rsidRPr="000F4C57">
              <w:rPr>
                <w:bCs/>
                <w:szCs w:val="28"/>
              </w:rPr>
              <w:t>Match Cost: $</w:t>
            </w:r>
            <w:r>
              <w:rPr>
                <w:bCs/>
                <w:szCs w:val="28"/>
              </w:rPr>
              <w:t>400</w:t>
            </w:r>
          </w:p>
        </w:tc>
        <w:tc>
          <w:tcPr>
            <w:tcW w:w="3109" w:type="dxa"/>
            <w:shd w:val="clear" w:color="auto" w:fill="auto"/>
            <w:vAlign w:val="center"/>
          </w:tcPr>
          <w:p w:rsidR="00B62170" w:rsidRPr="00753B1F" w:rsidRDefault="00B62170" w:rsidP="00EB753E">
            <w:pPr>
              <w:pStyle w:val="DefaultText"/>
              <w:rPr>
                <w:b/>
                <w:bCs/>
                <w:szCs w:val="28"/>
              </w:rPr>
            </w:pPr>
            <w:r w:rsidRPr="00753B1F">
              <w:rPr>
                <w:b/>
                <w:bCs/>
                <w:szCs w:val="28"/>
              </w:rPr>
              <w:t>Total Cost: $</w:t>
            </w:r>
            <w:r>
              <w:rPr>
                <w:b/>
                <w:bCs/>
                <w:szCs w:val="28"/>
              </w:rPr>
              <w:t>4,200</w:t>
            </w:r>
          </w:p>
        </w:tc>
      </w:tr>
      <w:tr w:rsidR="00B62170" w:rsidRPr="000F4C57" w:rsidTr="00EB753E">
        <w:trPr>
          <w:trHeight w:val="346"/>
        </w:trPr>
        <w:tc>
          <w:tcPr>
            <w:tcW w:w="9350" w:type="dxa"/>
            <w:gridSpan w:val="3"/>
            <w:shd w:val="clear" w:color="auto" w:fill="auto"/>
            <w:vAlign w:val="center"/>
          </w:tcPr>
          <w:p w:rsidR="00B62170" w:rsidRPr="000F4C57" w:rsidRDefault="00B62170" w:rsidP="00EB753E">
            <w:pPr>
              <w:pStyle w:val="DefaultText"/>
              <w:rPr>
                <w:bCs/>
                <w:szCs w:val="28"/>
              </w:rPr>
            </w:pPr>
            <w:r>
              <w:rPr>
                <w:bCs/>
                <w:szCs w:val="28"/>
              </w:rPr>
              <w:t xml:space="preserve">Breakdown of Grant </w:t>
            </w:r>
            <w:r w:rsidRPr="000F4C57">
              <w:rPr>
                <w:bCs/>
                <w:szCs w:val="28"/>
              </w:rPr>
              <w:t xml:space="preserve">by Budget Category: </w:t>
            </w:r>
            <w:r w:rsidR="004E192B">
              <w:rPr>
                <w:bCs/>
                <w:szCs w:val="28"/>
              </w:rPr>
              <w:t>$3,800 (contractual)</w:t>
            </w:r>
          </w:p>
        </w:tc>
      </w:tr>
      <w:tr w:rsidR="00B62170" w:rsidRPr="000F4C57" w:rsidTr="00EB753E">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Pr>
                <w:bCs/>
                <w:szCs w:val="28"/>
              </w:rPr>
              <w:t>Breakdown of Match by Budget Category:</w:t>
            </w:r>
            <w:r w:rsidR="004E192B">
              <w:rPr>
                <w:bCs/>
                <w:szCs w:val="28"/>
              </w:rPr>
              <w:t xml:space="preserve"> $400 (</w:t>
            </w:r>
            <w:r w:rsidR="00FB7B8B">
              <w:rPr>
                <w:bCs/>
                <w:szCs w:val="28"/>
              </w:rPr>
              <w:t>travel</w:t>
            </w:r>
            <w:r w:rsidR="004E192B">
              <w:rPr>
                <w:bCs/>
                <w:szCs w:val="28"/>
              </w:rPr>
              <w:t>)</w:t>
            </w:r>
          </w:p>
        </w:tc>
      </w:tr>
    </w:tbl>
    <w:p w:rsidR="00B62170" w:rsidRPr="00DC6333" w:rsidRDefault="00B62170" w:rsidP="00B62170">
      <w:pPr>
        <w:pStyle w:val="DefaultText"/>
        <w:rPr>
          <w:b/>
          <w:bCs/>
          <w:szCs w:val="28"/>
          <w:u w:val="single"/>
        </w:rPr>
      </w:pPr>
    </w:p>
    <w:p w:rsidR="00B62170" w:rsidRPr="00DC6333" w:rsidRDefault="00B62170" w:rsidP="00B62170">
      <w:pPr>
        <w:pStyle w:val="DefaultText"/>
        <w:rPr>
          <w:b/>
          <w:bCs/>
          <w:szCs w:val="28"/>
        </w:rPr>
      </w:pPr>
      <w:r>
        <w:rPr>
          <w:b/>
          <w:bCs/>
          <w:szCs w:val="28"/>
        </w:rPr>
        <w:t>Task 3</w:t>
      </w:r>
      <w:r w:rsidR="004E192B">
        <w:rPr>
          <w:b/>
          <w:bCs/>
          <w:szCs w:val="28"/>
        </w:rPr>
        <w:t xml:space="preserve"> – </w:t>
      </w:r>
      <w:r w:rsidR="004E192B" w:rsidRPr="00947056">
        <w:rPr>
          <w:b/>
          <w:bCs/>
          <w:szCs w:val="28"/>
        </w:rPr>
        <w:t>Develop Technical Components through Technical Advisory Committee</w:t>
      </w:r>
    </w:p>
    <w:p w:rsidR="004E192B" w:rsidRPr="00947056" w:rsidRDefault="004E192B" w:rsidP="004E192B">
      <w:pPr>
        <w:pStyle w:val="DefaultText"/>
        <w:rPr>
          <w:bCs/>
          <w:szCs w:val="28"/>
        </w:rPr>
      </w:pPr>
      <w:r w:rsidRPr="00947056">
        <w:rPr>
          <w:bCs/>
          <w:szCs w:val="28"/>
        </w:rPr>
        <w:t xml:space="preserve">The Town of Waldoboro (with project consultant assistance) will develop a Technical Advisory Committee (TAC) consisting of key stakeholders and agencies. This TAC group will consist of the current members of the </w:t>
      </w:r>
      <w:proofErr w:type="spellStart"/>
      <w:r w:rsidRPr="00947056">
        <w:rPr>
          <w:bCs/>
          <w:szCs w:val="28"/>
        </w:rPr>
        <w:t>Medomak</w:t>
      </w:r>
      <w:proofErr w:type="spellEnd"/>
      <w:r w:rsidRPr="00947056">
        <w:rPr>
          <w:bCs/>
          <w:szCs w:val="28"/>
        </w:rPr>
        <w:t xml:space="preserve"> Task Force, and will build upon this group as necessary.  The </w:t>
      </w:r>
      <w:r w:rsidRPr="00947056">
        <w:rPr>
          <w:bCs/>
          <w:szCs w:val="28"/>
          <w:u w:val="single"/>
        </w:rPr>
        <w:t>TAC will meet three times</w:t>
      </w:r>
      <w:r w:rsidRPr="00947056">
        <w:rPr>
          <w:bCs/>
          <w:szCs w:val="28"/>
        </w:rPr>
        <w:t xml:space="preserve"> and will oversee the technical elements of the project. Responsibilities will include:</w:t>
      </w:r>
    </w:p>
    <w:p w:rsidR="004E192B" w:rsidRPr="00947056" w:rsidRDefault="004E192B" w:rsidP="004E192B">
      <w:pPr>
        <w:pStyle w:val="DefaultText"/>
        <w:numPr>
          <w:ilvl w:val="0"/>
          <w:numId w:val="3"/>
        </w:numPr>
        <w:rPr>
          <w:bCs/>
          <w:szCs w:val="28"/>
        </w:rPr>
      </w:pPr>
      <w:r w:rsidRPr="00947056">
        <w:rPr>
          <w:bCs/>
          <w:szCs w:val="28"/>
        </w:rPr>
        <w:t>Refining sampling locations and protocols for bacteria storm event monitoring;</w:t>
      </w:r>
    </w:p>
    <w:p w:rsidR="004E192B" w:rsidRPr="00947056" w:rsidRDefault="004E192B" w:rsidP="004E192B">
      <w:pPr>
        <w:pStyle w:val="DefaultText"/>
        <w:numPr>
          <w:ilvl w:val="0"/>
          <w:numId w:val="3"/>
        </w:numPr>
        <w:rPr>
          <w:bCs/>
          <w:szCs w:val="28"/>
        </w:rPr>
      </w:pPr>
      <w:r w:rsidRPr="00947056">
        <w:rPr>
          <w:bCs/>
          <w:szCs w:val="28"/>
        </w:rPr>
        <w:t>Provide input on water quality database development and maintenance</w:t>
      </w:r>
    </w:p>
    <w:p w:rsidR="004E192B" w:rsidRPr="00947056" w:rsidRDefault="004E192B" w:rsidP="004E192B">
      <w:pPr>
        <w:pStyle w:val="DefaultText"/>
        <w:numPr>
          <w:ilvl w:val="0"/>
          <w:numId w:val="3"/>
        </w:numPr>
        <w:rPr>
          <w:bCs/>
          <w:szCs w:val="28"/>
        </w:rPr>
      </w:pPr>
      <w:r w:rsidRPr="00947056">
        <w:rPr>
          <w:bCs/>
          <w:szCs w:val="28"/>
        </w:rPr>
        <w:t>Providing input on the WBMP strategies and action plan;</w:t>
      </w:r>
    </w:p>
    <w:p w:rsidR="004E192B" w:rsidRPr="00947056" w:rsidRDefault="004E192B" w:rsidP="004E192B">
      <w:pPr>
        <w:pStyle w:val="DefaultText"/>
        <w:numPr>
          <w:ilvl w:val="0"/>
          <w:numId w:val="3"/>
        </w:numPr>
        <w:rPr>
          <w:bCs/>
          <w:szCs w:val="28"/>
        </w:rPr>
      </w:pPr>
      <w:r w:rsidRPr="00947056">
        <w:rPr>
          <w:bCs/>
          <w:szCs w:val="28"/>
        </w:rPr>
        <w:t>Prioritizing sites and areas for stormwater mitigation and/or NPS source control;</w:t>
      </w:r>
    </w:p>
    <w:p w:rsidR="004E192B" w:rsidRPr="00947056" w:rsidRDefault="004E192B" w:rsidP="004E192B">
      <w:pPr>
        <w:pStyle w:val="DefaultText"/>
        <w:numPr>
          <w:ilvl w:val="0"/>
          <w:numId w:val="3"/>
        </w:numPr>
        <w:rPr>
          <w:bCs/>
          <w:szCs w:val="28"/>
        </w:rPr>
      </w:pPr>
      <w:r w:rsidRPr="00947056">
        <w:rPr>
          <w:bCs/>
          <w:szCs w:val="28"/>
        </w:rPr>
        <w:t>Helping identify a site for a local demonstration project; and</w:t>
      </w:r>
    </w:p>
    <w:p w:rsidR="00B62170" w:rsidRPr="004E192B" w:rsidRDefault="004E192B" w:rsidP="004E192B">
      <w:pPr>
        <w:pStyle w:val="DefaultText"/>
        <w:numPr>
          <w:ilvl w:val="0"/>
          <w:numId w:val="3"/>
        </w:numPr>
        <w:rPr>
          <w:bCs/>
          <w:szCs w:val="28"/>
        </w:rPr>
      </w:pPr>
      <w:r w:rsidRPr="00947056">
        <w:rPr>
          <w:bCs/>
          <w:szCs w:val="28"/>
        </w:rPr>
        <w:t>Reviewing the draft WBMP.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B62170" w:rsidRPr="000F4C57" w:rsidTr="00EB753E">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sidRPr="000F4C57">
              <w:rPr>
                <w:bCs/>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4E192B" w:rsidP="00EB753E">
            <w:pPr>
              <w:pStyle w:val="DefaultText"/>
              <w:rPr>
                <w:bCs/>
                <w:szCs w:val="28"/>
              </w:rPr>
            </w:pPr>
            <w:r w:rsidRPr="004F0AAE">
              <w:rPr>
                <w:bCs/>
                <w:szCs w:val="28"/>
              </w:rPr>
              <w:t>October 2017 – April 2019</w:t>
            </w:r>
          </w:p>
        </w:tc>
      </w:tr>
      <w:tr w:rsidR="00B62170" w:rsidRPr="000F4C57" w:rsidTr="00EB753E">
        <w:trPr>
          <w:trHeight w:val="346"/>
        </w:trPr>
        <w:tc>
          <w:tcPr>
            <w:tcW w:w="3129" w:type="dxa"/>
            <w:shd w:val="clear" w:color="auto" w:fill="auto"/>
            <w:vAlign w:val="center"/>
          </w:tcPr>
          <w:p w:rsidR="00B62170" w:rsidRPr="000F4C57" w:rsidRDefault="00B62170" w:rsidP="00EB753E">
            <w:pPr>
              <w:pStyle w:val="DefaultText"/>
              <w:rPr>
                <w:bCs/>
                <w:szCs w:val="28"/>
              </w:rPr>
            </w:pPr>
            <w:r w:rsidRPr="000F4C57">
              <w:rPr>
                <w:bCs/>
                <w:szCs w:val="28"/>
              </w:rPr>
              <w:t>Grant Cost: $</w:t>
            </w:r>
            <w:r w:rsidR="004E192B">
              <w:rPr>
                <w:bCs/>
                <w:szCs w:val="28"/>
              </w:rPr>
              <w:t>3,100</w:t>
            </w:r>
          </w:p>
        </w:tc>
        <w:tc>
          <w:tcPr>
            <w:tcW w:w="3112" w:type="dxa"/>
            <w:shd w:val="clear" w:color="auto" w:fill="auto"/>
            <w:vAlign w:val="center"/>
          </w:tcPr>
          <w:p w:rsidR="00B62170" w:rsidRPr="000F4C57" w:rsidRDefault="00B62170" w:rsidP="00EB753E">
            <w:pPr>
              <w:pStyle w:val="DefaultText"/>
              <w:rPr>
                <w:bCs/>
                <w:szCs w:val="28"/>
              </w:rPr>
            </w:pPr>
            <w:r w:rsidRPr="000F4C57">
              <w:rPr>
                <w:bCs/>
                <w:szCs w:val="28"/>
              </w:rPr>
              <w:t>Match Cost: $</w:t>
            </w:r>
            <w:r w:rsidR="004E192B">
              <w:rPr>
                <w:bCs/>
                <w:szCs w:val="28"/>
              </w:rPr>
              <w:t>1,816</w:t>
            </w:r>
          </w:p>
        </w:tc>
        <w:tc>
          <w:tcPr>
            <w:tcW w:w="3109" w:type="dxa"/>
            <w:shd w:val="clear" w:color="auto" w:fill="auto"/>
            <w:vAlign w:val="center"/>
          </w:tcPr>
          <w:p w:rsidR="00B62170" w:rsidRPr="00753B1F" w:rsidRDefault="00B62170" w:rsidP="00EB753E">
            <w:pPr>
              <w:pStyle w:val="DefaultText"/>
              <w:rPr>
                <w:b/>
                <w:bCs/>
                <w:szCs w:val="28"/>
              </w:rPr>
            </w:pPr>
            <w:r w:rsidRPr="00753B1F">
              <w:rPr>
                <w:b/>
                <w:bCs/>
                <w:szCs w:val="28"/>
              </w:rPr>
              <w:t>Total Cost: $</w:t>
            </w:r>
            <w:r w:rsidR="004E192B">
              <w:rPr>
                <w:b/>
                <w:bCs/>
                <w:szCs w:val="28"/>
              </w:rPr>
              <w:t>4,916</w:t>
            </w:r>
          </w:p>
        </w:tc>
      </w:tr>
      <w:tr w:rsidR="00B62170" w:rsidRPr="000F4C57" w:rsidTr="00EB753E">
        <w:trPr>
          <w:trHeight w:val="346"/>
        </w:trPr>
        <w:tc>
          <w:tcPr>
            <w:tcW w:w="9350" w:type="dxa"/>
            <w:gridSpan w:val="3"/>
            <w:shd w:val="clear" w:color="auto" w:fill="auto"/>
            <w:vAlign w:val="center"/>
          </w:tcPr>
          <w:p w:rsidR="00B62170" w:rsidRPr="000F4C57" w:rsidRDefault="004E192B" w:rsidP="00EB753E">
            <w:pPr>
              <w:pStyle w:val="DefaultText"/>
              <w:rPr>
                <w:bCs/>
                <w:szCs w:val="28"/>
              </w:rPr>
            </w:pPr>
            <w:r>
              <w:rPr>
                <w:bCs/>
                <w:szCs w:val="28"/>
              </w:rPr>
              <w:t xml:space="preserve">Breakdown of Grant </w:t>
            </w:r>
            <w:r w:rsidR="00B62170" w:rsidRPr="000F4C57">
              <w:rPr>
                <w:bCs/>
                <w:szCs w:val="28"/>
              </w:rPr>
              <w:t xml:space="preserve">by Budget Category: </w:t>
            </w:r>
            <w:r>
              <w:rPr>
                <w:bCs/>
                <w:szCs w:val="28"/>
              </w:rPr>
              <w:t>$3,100 (contractual)</w:t>
            </w:r>
          </w:p>
        </w:tc>
      </w:tr>
      <w:tr w:rsidR="00B62170" w:rsidRPr="000F4C57" w:rsidTr="00EB753E">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Pr>
                <w:bCs/>
                <w:szCs w:val="28"/>
              </w:rPr>
              <w:t>Breakdown of Match by Budget Category:</w:t>
            </w:r>
            <w:r w:rsidR="004E192B">
              <w:rPr>
                <w:bCs/>
                <w:szCs w:val="28"/>
              </w:rPr>
              <w:t xml:space="preserve"> $1,816 (donated services)</w:t>
            </w:r>
          </w:p>
        </w:tc>
      </w:tr>
    </w:tbl>
    <w:p w:rsidR="00B62170" w:rsidRDefault="00B62170" w:rsidP="00B62170">
      <w:pPr>
        <w:pStyle w:val="DefaultText"/>
        <w:rPr>
          <w:rStyle w:val="InitialStyle"/>
          <w:b/>
          <w:bCs/>
          <w:szCs w:val="28"/>
          <w:u w:val="single"/>
        </w:rPr>
      </w:pPr>
    </w:p>
    <w:p w:rsidR="00B62170" w:rsidRPr="00DC6333" w:rsidRDefault="00B62170" w:rsidP="00B62170">
      <w:pPr>
        <w:pStyle w:val="DefaultText"/>
        <w:rPr>
          <w:b/>
          <w:bCs/>
          <w:szCs w:val="28"/>
        </w:rPr>
      </w:pPr>
      <w:r w:rsidRPr="00DC6333">
        <w:rPr>
          <w:b/>
          <w:bCs/>
          <w:szCs w:val="28"/>
        </w:rPr>
        <w:t xml:space="preserve">Task </w:t>
      </w:r>
      <w:r>
        <w:rPr>
          <w:b/>
          <w:bCs/>
          <w:szCs w:val="28"/>
        </w:rPr>
        <w:t>4</w:t>
      </w:r>
      <w:r w:rsidR="004E192B">
        <w:rPr>
          <w:b/>
          <w:bCs/>
          <w:szCs w:val="28"/>
        </w:rPr>
        <w:t xml:space="preserve"> – </w:t>
      </w:r>
      <w:r w:rsidR="004E192B" w:rsidRPr="00EC15FE">
        <w:rPr>
          <w:b/>
          <w:bCs/>
          <w:szCs w:val="28"/>
        </w:rPr>
        <w:t>Data Management &amp; Gap Analysis</w:t>
      </w:r>
    </w:p>
    <w:p w:rsidR="004E192B" w:rsidRPr="00EC15FE" w:rsidRDefault="004E192B" w:rsidP="004E192B">
      <w:pPr>
        <w:widowControl/>
        <w:autoSpaceDE/>
        <w:autoSpaceDN/>
        <w:spacing w:before="120" w:after="120"/>
        <w:ind w:right="144"/>
        <w:jc w:val="both"/>
        <w:rPr>
          <w:rFonts w:cs="Calibri"/>
          <w:sz w:val="24"/>
          <w:szCs w:val="22"/>
        </w:rPr>
      </w:pPr>
      <w:r w:rsidRPr="00EC15FE">
        <w:rPr>
          <w:rFonts w:cs="Calibri"/>
          <w:sz w:val="24"/>
          <w:szCs w:val="22"/>
        </w:rPr>
        <w:t xml:space="preserve">The Town of Waldoboro proposes using grant monies to organize the large amount of bacteria data collected on the </w:t>
      </w:r>
      <w:proofErr w:type="spellStart"/>
      <w:r w:rsidRPr="00EC15FE">
        <w:rPr>
          <w:rFonts w:cs="Calibri"/>
          <w:sz w:val="24"/>
          <w:szCs w:val="22"/>
        </w:rPr>
        <w:t>Medomak</w:t>
      </w:r>
      <w:proofErr w:type="spellEnd"/>
      <w:r w:rsidRPr="00EC15FE">
        <w:rPr>
          <w:rFonts w:cs="Calibri"/>
          <w:sz w:val="24"/>
          <w:szCs w:val="22"/>
        </w:rPr>
        <w:t xml:space="preserve"> River. This will include creating a complete water quality database. </w:t>
      </w:r>
    </w:p>
    <w:p w:rsidR="004E192B" w:rsidRPr="00EC15FE" w:rsidRDefault="004E192B" w:rsidP="004E192B">
      <w:pPr>
        <w:widowControl/>
        <w:autoSpaceDE/>
        <w:autoSpaceDN/>
        <w:spacing w:before="120" w:after="120"/>
        <w:ind w:right="144"/>
        <w:jc w:val="both"/>
        <w:rPr>
          <w:rFonts w:cs="Calibri"/>
          <w:sz w:val="24"/>
          <w:szCs w:val="22"/>
        </w:rPr>
      </w:pPr>
      <w:r w:rsidRPr="00EC15FE">
        <w:rPr>
          <w:rFonts w:cs="Calibri"/>
          <w:sz w:val="24"/>
          <w:szCs w:val="22"/>
          <w:u w:val="single"/>
        </w:rPr>
        <w:t>Subtask 4a: Database</w:t>
      </w:r>
      <w:r w:rsidRPr="00EC15FE">
        <w:rPr>
          <w:rFonts w:cs="Calibri"/>
          <w:sz w:val="24"/>
          <w:szCs w:val="22"/>
        </w:rPr>
        <w:t xml:space="preserve"> A complete database will be created using Microsoft Access or Excel (or similar program) to organize all pre-existing data collected in the </w:t>
      </w:r>
      <w:proofErr w:type="spellStart"/>
      <w:r w:rsidRPr="00EC15FE">
        <w:rPr>
          <w:rFonts w:cs="Calibri"/>
          <w:sz w:val="24"/>
          <w:szCs w:val="22"/>
        </w:rPr>
        <w:t>Medomak</w:t>
      </w:r>
      <w:proofErr w:type="spellEnd"/>
      <w:r w:rsidRPr="00EC15FE">
        <w:rPr>
          <w:rFonts w:cs="Calibri"/>
          <w:sz w:val="24"/>
          <w:szCs w:val="22"/>
        </w:rPr>
        <w:t xml:space="preserve"> River watershed. Data will be cataloged based on geographic location, parameter, time, laboratory analysis etc. The appropriate Maine DEP/Maine DMR classification thresholds will be used to flag data that is in exceedance of the state requirements. Once all data is cataloged, fecal bacteria data will be summarized and analyzed spatially to identify historical trends and patterns to lead to additional sampling and to guide the stormwater sampling event (Task 5). Data will be co-plotted with precipitation data to identify the response of FIB to both dry and stormflow conditions.</w:t>
      </w:r>
    </w:p>
    <w:p w:rsidR="004E192B" w:rsidRPr="00EC15FE" w:rsidRDefault="004E192B" w:rsidP="004E192B">
      <w:pPr>
        <w:widowControl/>
        <w:autoSpaceDE/>
        <w:autoSpaceDN/>
        <w:spacing w:before="120" w:after="120"/>
        <w:ind w:right="144"/>
        <w:jc w:val="both"/>
        <w:rPr>
          <w:rFonts w:cs="Calibri"/>
          <w:i/>
          <w:sz w:val="24"/>
          <w:szCs w:val="22"/>
        </w:rPr>
      </w:pPr>
      <w:r w:rsidRPr="00EC15FE">
        <w:rPr>
          <w:rFonts w:cs="Calibri"/>
          <w:sz w:val="24"/>
          <w:szCs w:val="22"/>
          <w:u w:val="single"/>
        </w:rPr>
        <w:t xml:space="preserve">Subtask 4b:  Secondary Data Quality Assurance </w:t>
      </w:r>
      <w:proofErr w:type="gramStart"/>
      <w:r w:rsidRPr="00EC15FE">
        <w:rPr>
          <w:rFonts w:cs="Calibri"/>
          <w:sz w:val="24"/>
          <w:szCs w:val="22"/>
          <w:u w:val="single"/>
        </w:rPr>
        <w:t>Guide</w:t>
      </w:r>
      <w:r w:rsidRPr="00EC15FE">
        <w:rPr>
          <w:rFonts w:cs="Calibri"/>
          <w:sz w:val="24"/>
          <w:szCs w:val="22"/>
        </w:rPr>
        <w:t xml:space="preserve">  Development</w:t>
      </w:r>
      <w:proofErr w:type="gramEnd"/>
      <w:r w:rsidRPr="00EC15FE">
        <w:rPr>
          <w:rFonts w:cs="Calibri"/>
          <w:sz w:val="24"/>
          <w:szCs w:val="22"/>
        </w:rPr>
        <w:t xml:space="preserve"> of the watershed plan depends on the use of pre-existing data (secondary data) that may come from a number of sources (other studies, publications, government, etc.).  Before using pre-existing data, project staff will evaluate the data to determine if the data is acceptable to use for this project. Staff will prepare a brief “Secondary Data Quality Assurance Guidance” describing how the data will be evaluated.  The evaluation will be documented in a table: data type; data source (originating organization, report title, date); how data will be used for the project; and limitations on data use, if any.</w:t>
      </w:r>
    </w:p>
    <w:p w:rsidR="00B62170" w:rsidRPr="004E192B" w:rsidRDefault="004E192B" w:rsidP="004E192B">
      <w:pPr>
        <w:widowControl/>
        <w:autoSpaceDE/>
        <w:autoSpaceDN/>
        <w:spacing w:before="120" w:after="120"/>
        <w:ind w:right="144"/>
        <w:jc w:val="both"/>
        <w:rPr>
          <w:rFonts w:cs="Calibri"/>
          <w:sz w:val="24"/>
          <w:szCs w:val="22"/>
        </w:rPr>
      </w:pPr>
      <w:r w:rsidRPr="00EC15FE">
        <w:rPr>
          <w:rFonts w:cs="Calibri"/>
          <w:sz w:val="24"/>
          <w:szCs w:val="22"/>
          <w:u w:val="single"/>
        </w:rPr>
        <w:t>Subtask 4c: Gap Analysis</w:t>
      </w:r>
      <w:r w:rsidRPr="00EC15FE">
        <w:rPr>
          <w:rFonts w:cs="Calibri"/>
          <w:sz w:val="24"/>
          <w:szCs w:val="22"/>
        </w:rPr>
        <w:t xml:space="preserve"> Once the database is complete, and pre-existing data is synthesized, the qualified consultant will write a detailed </w:t>
      </w:r>
      <w:r w:rsidRPr="00EC15FE">
        <w:rPr>
          <w:rFonts w:cs="Calibri"/>
          <w:sz w:val="24"/>
          <w:szCs w:val="22"/>
          <w:u w:val="single"/>
        </w:rPr>
        <w:t>Gap Analysis</w:t>
      </w:r>
      <w:r w:rsidRPr="00EC15FE">
        <w:rPr>
          <w:rFonts w:cs="Calibri"/>
          <w:sz w:val="24"/>
          <w:szCs w:val="22"/>
        </w:rPr>
        <w:t xml:space="preserve"> that outlines missing data. The Gap Analysis will be in the form of a detailed memorandum and will be used to inform the development of a specific monitoring reg</w:t>
      </w:r>
      <w:r>
        <w:rPr>
          <w:rFonts w:cs="Calibri"/>
          <w:sz w:val="24"/>
          <w:szCs w:val="22"/>
        </w:rPr>
        <w:t>ime, outlined in the final WBP.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B62170" w:rsidRPr="000F4C57" w:rsidTr="00EB753E">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sidRPr="000F4C57">
              <w:rPr>
                <w:bCs/>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4E192B" w:rsidP="00EB753E">
            <w:pPr>
              <w:pStyle w:val="DefaultText"/>
              <w:rPr>
                <w:bCs/>
                <w:szCs w:val="28"/>
              </w:rPr>
            </w:pPr>
            <w:r w:rsidRPr="004F0AAE">
              <w:rPr>
                <w:bCs/>
                <w:szCs w:val="28"/>
              </w:rPr>
              <w:t>October 2017 – April 2018</w:t>
            </w:r>
          </w:p>
        </w:tc>
      </w:tr>
      <w:tr w:rsidR="00B62170" w:rsidRPr="000F4C57" w:rsidTr="00EB753E">
        <w:trPr>
          <w:trHeight w:val="346"/>
        </w:trPr>
        <w:tc>
          <w:tcPr>
            <w:tcW w:w="3129" w:type="dxa"/>
            <w:shd w:val="clear" w:color="auto" w:fill="auto"/>
            <w:vAlign w:val="center"/>
          </w:tcPr>
          <w:p w:rsidR="00B62170" w:rsidRPr="000F4C57" w:rsidRDefault="00B62170" w:rsidP="00EB753E">
            <w:pPr>
              <w:pStyle w:val="DefaultText"/>
              <w:rPr>
                <w:bCs/>
                <w:szCs w:val="28"/>
              </w:rPr>
            </w:pPr>
            <w:r w:rsidRPr="000F4C57">
              <w:rPr>
                <w:bCs/>
                <w:szCs w:val="28"/>
              </w:rPr>
              <w:t>Grant Cost: $</w:t>
            </w:r>
            <w:r w:rsidR="004E192B">
              <w:rPr>
                <w:bCs/>
                <w:szCs w:val="28"/>
              </w:rPr>
              <w:t>3,200</w:t>
            </w:r>
          </w:p>
        </w:tc>
        <w:tc>
          <w:tcPr>
            <w:tcW w:w="3112" w:type="dxa"/>
            <w:shd w:val="clear" w:color="auto" w:fill="auto"/>
            <w:vAlign w:val="center"/>
          </w:tcPr>
          <w:p w:rsidR="00B62170" w:rsidRPr="000F4C57" w:rsidRDefault="00B62170" w:rsidP="00EB753E">
            <w:pPr>
              <w:pStyle w:val="DefaultText"/>
              <w:rPr>
                <w:bCs/>
                <w:szCs w:val="28"/>
              </w:rPr>
            </w:pPr>
            <w:r w:rsidRPr="000F4C57">
              <w:rPr>
                <w:bCs/>
                <w:szCs w:val="28"/>
              </w:rPr>
              <w:t>Match Cost: $</w:t>
            </w:r>
            <w:r w:rsidR="004E192B">
              <w:rPr>
                <w:bCs/>
                <w:szCs w:val="28"/>
              </w:rPr>
              <w:t>0</w:t>
            </w:r>
          </w:p>
        </w:tc>
        <w:tc>
          <w:tcPr>
            <w:tcW w:w="3109" w:type="dxa"/>
            <w:shd w:val="clear" w:color="auto" w:fill="auto"/>
            <w:vAlign w:val="center"/>
          </w:tcPr>
          <w:p w:rsidR="00B62170" w:rsidRPr="00753B1F" w:rsidRDefault="00B62170" w:rsidP="00EB753E">
            <w:pPr>
              <w:pStyle w:val="DefaultText"/>
              <w:rPr>
                <w:b/>
                <w:bCs/>
                <w:szCs w:val="28"/>
              </w:rPr>
            </w:pPr>
            <w:r w:rsidRPr="00753B1F">
              <w:rPr>
                <w:b/>
                <w:bCs/>
                <w:szCs w:val="28"/>
              </w:rPr>
              <w:t>Total Cost: $</w:t>
            </w:r>
            <w:r w:rsidR="004E192B">
              <w:rPr>
                <w:b/>
                <w:bCs/>
                <w:szCs w:val="28"/>
              </w:rPr>
              <w:t>3,200</w:t>
            </w:r>
          </w:p>
        </w:tc>
      </w:tr>
      <w:tr w:rsidR="00B62170" w:rsidRPr="000F4C57" w:rsidTr="00EB753E">
        <w:trPr>
          <w:trHeight w:val="346"/>
        </w:trPr>
        <w:tc>
          <w:tcPr>
            <w:tcW w:w="9350" w:type="dxa"/>
            <w:gridSpan w:val="3"/>
            <w:shd w:val="clear" w:color="auto" w:fill="auto"/>
            <w:vAlign w:val="center"/>
          </w:tcPr>
          <w:p w:rsidR="00B62170" w:rsidRPr="000F4C57" w:rsidRDefault="004E192B" w:rsidP="00EB753E">
            <w:pPr>
              <w:pStyle w:val="DefaultText"/>
              <w:rPr>
                <w:bCs/>
                <w:szCs w:val="28"/>
              </w:rPr>
            </w:pPr>
            <w:r>
              <w:rPr>
                <w:bCs/>
                <w:szCs w:val="28"/>
              </w:rPr>
              <w:t xml:space="preserve">Breakdown of Grant </w:t>
            </w:r>
            <w:r w:rsidR="00B62170" w:rsidRPr="000F4C57">
              <w:rPr>
                <w:bCs/>
                <w:szCs w:val="28"/>
              </w:rPr>
              <w:t xml:space="preserve">by Budget Category: </w:t>
            </w:r>
            <w:r>
              <w:rPr>
                <w:bCs/>
                <w:szCs w:val="28"/>
              </w:rPr>
              <w:t>$3,200 (contractual)</w:t>
            </w:r>
          </w:p>
        </w:tc>
      </w:tr>
      <w:tr w:rsidR="00B62170" w:rsidRPr="000F4C57" w:rsidTr="00EB753E">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Pr>
                <w:bCs/>
                <w:szCs w:val="28"/>
              </w:rPr>
              <w:t>Breakdown of Match by Budget Category:</w:t>
            </w:r>
            <w:r w:rsidR="004E192B">
              <w:rPr>
                <w:bCs/>
                <w:szCs w:val="28"/>
              </w:rPr>
              <w:t xml:space="preserve"> $0</w:t>
            </w:r>
          </w:p>
        </w:tc>
      </w:tr>
    </w:tbl>
    <w:p w:rsidR="00B62170" w:rsidRDefault="00B62170" w:rsidP="00B62170">
      <w:pPr>
        <w:pStyle w:val="DefaultText"/>
        <w:rPr>
          <w:rStyle w:val="InitialStyle"/>
          <w:b/>
          <w:bCs/>
          <w:szCs w:val="28"/>
          <w:u w:val="single"/>
        </w:rPr>
      </w:pPr>
    </w:p>
    <w:p w:rsidR="00B62170" w:rsidRPr="00DC6333" w:rsidRDefault="00B62170" w:rsidP="00B62170">
      <w:pPr>
        <w:pStyle w:val="DefaultText"/>
        <w:rPr>
          <w:b/>
          <w:bCs/>
          <w:szCs w:val="28"/>
        </w:rPr>
      </w:pPr>
      <w:r>
        <w:rPr>
          <w:b/>
          <w:bCs/>
          <w:szCs w:val="28"/>
        </w:rPr>
        <w:t>Task 5</w:t>
      </w:r>
      <w:r w:rsidRPr="00DC6333">
        <w:rPr>
          <w:b/>
          <w:bCs/>
          <w:szCs w:val="28"/>
        </w:rPr>
        <w:t xml:space="preserve"> – </w:t>
      </w:r>
      <w:r w:rsidR="004E192B" w:rsidRPr="004E192B">
        <w:rPr>
          <w:b/>
          <w:szCs w:val="22"/>
        </w:rPr>
        <w:t>Sampling and Analysis Plan; Bacteria Storm Sampling</w:t>
      </w:r>
    </w:p>
    <w:p w:rsidR="004E192B" w:rsidRPr="00515119" w:rsidRDefault="004E192B" w:rsidP="004E192B">
      <w:pPr>
        <w:widowControl/>
        <w:autoSpaceDE/>
        <w:autoSpaceDN/>
        <w:ind w:right="144"/>
        <w:jc w:val="both"/>
        <w:rPr>
          <w:rFonts w:cs="Calibri"/>
          <w:sz w:val="24"/>
          <w:szCs w:val="22"/>
        </w:rPr>
      </w:pPr>
      <w:r w:rsidRPr="00515119">
        <w:rPr>
          <w:rFonts w:cs="Calibri"/>
          <w:sz w:val="24"/>
          <w:szCs w:val="22"/>
        </w:rPr>
        <w:t xml:space="preserve">Project staff will develop a </w:t>
      </w:r>
      <w:r w:rsidRPr="00515119">
        <w:rPr>
          <w:rFonts w:cs="Calibri"/>
          <w:sz w:val="24"/>
          <w:szCs w:val="22"/>
          <w:u w:val="single"/>
        </w:rPr>
        <w:t xml:space="preserve">Sampling and Analysis Plan (SAP) </w:t>
      </w:r>
      <w:r w:rsidRPr="00515119">
        <w:rPr>
          <w:rFonts w:cs="Calibri"/>
          <w:sz w:val="24"/>
          <w:szCs w:val="22"/>
        </w:rPr>
        <w:t xml:space="preserve">based on existing storm sampling Quality Assurance Project Plans (QAPPs). Project staff and volunteers will initiate a bacteria sampling ‘blitz’ during one qualifying storm event during the project duration in the </w:t>
      </w:r>
      <w:proofErr w:type="spellStart"/>
      <w:r w:rsidRPr="00515119">
        <w:rPr>
          <w:rFonts w:cs="Calibri"/>
          <w:sz w:val="24"/>
          <w:szCs w:val="22"/>
        </w:rPr>
        <w:t>Medomak</w:t>
      </w:r>
      <w:proofErr w:type="spellEnd"/>
      <w:r w:rsidRPr="00515119">
        <w:rPr>
          <w:rFonts w:cs="Calibri"/>
          <w:sz w:val="24"/>
          <w:szCs w:val="22"/>
        </w:rPr>
        <w:t xml:space="preserve"> River estuary. This sampling will be targeted during a rainfall event greater than one inch, the current conditional closure criteria for the Maine DMR. Project staff and volunteers will convene prior to the event to pre-determine sampling locations. Locations will be chosen based on (1) the primary hotspots for bacterial contamination, (2) available staff and volunteers to complete sampling, and (3) laboratory capacity for analysis within hold times. Sampling will occur prior to the storm event, during the storm event (at a minimum at peak discharge and once on the falling limb), and after the storm. The project consultant will organize and lead the sampling effort and will provide data analysis and a summary report. The goal of this effort is to isolate geographic areas contributing to bacteria as well as contributing </w:t>
      </w:r>
      <w:proofErr w:type="spellStart"/>
      <w:r w:rsidRPr="00515119">
        <w:rPr>
          <w:rFonts w:cs="Calibri"/>
          <w:sz w:val="24"/>
          <w:szCs w:val="22"/>
        </w:rPr>
        <w:t>flowpaths</w:t>
      </w:r>
      <w:proofErr w:type="spellEnd"/>
      <w:r w:rsidRPr="00515119">
        <w:rPr>
          <w:rFonts w:cs="Calibri"/>
          <w:sz w:val="24"/>
          <w:szCs w:val="22"/>
        </w:rPr>
        <w:t xml:space="preserve"> (i.e. surface runoff or groundwater contamination).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12"/>
        <w:gridCol w:w="3109"/>
      </w:tblGrid>
      <w:tr w:rsidR="00B62170" w:rsidRPr="000F4C57" w:rsidTr="00EB753E">
        <w:trPr>
          <w:trHeight w:val="346"/>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sidRPr="000F4C57">
              <w:rPr>
                <w:bCs/>
                <w:szCs w:val="28"/>
              </w:rPr>
              <w:t xml:space="preserve">Start and Completion Dates </w:t>
            </w:r>
          </w:p>
        </w:tc>
        <w:tc>
          <w:tcPr>
            <w:tcW w:w="6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4E192B" w:rsidP="00EB753E">
            <w:pPr>
              <w:pStyle w:val="DefaultText"/>
              <w:rPr>
                <w:bCs/>
                <w:szCs w:val="28"/>
              </w:rPr>
            </w:pPr>
            <w:r w:rsidRPr="004F0AAE">
              <w:rPr>
                <w:bCs/>
                <w:szCs w:val="28"/>
              </w:rPr>
              <w:t>May 2018 – October 2018</w:t>
            </w:r>
          </w:p>
        </w:tc>
      </w:tr>
      <w:tr w:rsidR="00B62170" w:rsidRPr="000F4C57" w:rsidTr="00EB753E">
        <w:trPr>
          <w:trHeight w:val="346"/>
        </w:trPr>
        <w:tc>
          <w:tcPr>
            <w:tcW w:w="3129" w:type="dxa"/>
            <w:shd w:val="clear" w:color="auto" w:fill="auto"/>
            <w:vAlign w:val="center"/>
          </w:tcPr>
          <w:p w:rsidR="00B62170" w:rsidRPr="000F4C57" w:rsidRDefault="00B62170" w:rsidP="00EB753E">
            <w:pPr>
              <w:pStyle w:val="DefaultText"/>
              <w:rPr>
                <w:bCs/>
                <w:szCs w:val="28"/>
              </w:rPr>
            </w:pPr>
            <w:r w:rsidRPr="000F4C57">
              <w:rPr>
                <w:bCs/>
                <w:szCs w:val="28"/>
              </w:rPr>
              <w:t>Grant Cost: $</w:t>
            </w:r>
            <w:r w:rsidR="004E192B">
              <w:rPr>
                <w:bCs/>
                <w:szCs w:val="28"/>
              </w:rPr>
              <w:t>0</w:t>
            </w:r>
          </w:p>
        </w:tc>
        <w:tc>
          <w:tcPr>
            <w:tcW w:w="3112" w:type="dxa"/>
            <w:shd w:val="clear" w:color="auto" w:fill="auto"/>
            <w:vAlign w:val="center"/>
          </w:tcPr>
          <w:p w:rsidR="00B62170" w:rsidRPr="000F4C57" w:rsidRDefault="00B62170" w:rsidP="00EB753E">
            <w:pPr>
              <w:pStyle w:val="DefaultText"/>
              <w:rPr>
                <w:bCs/>
                <w:szCs w:val="28"/>
              </w:rPr>
            </w:pPr>
            <w:r w:rsidRPr="000F4C57">
              <w:rPr>
                <w:bCs/>
                <w:szCs w:val="28"/>
              </w:rPr>
              <w:t>Match Cost: $</w:t>
            </w:r>
            <w:r w:rsidR="004E192B">
              <w:rPr>
                <w:bCs/>
                <w:szCs w:val="28"/>
              </w:rPr>
              <w:t>6,264</w:t>
            </w:r>
          </w:p>
        </w:tc>
        <w:tc>
          <w:tcPr>
            <w:tcW w:w="3109" w:type="dxa"/>
            <w:shd w:val="clear" w:color="auto" w:fill="auto"/>
            <w:vAlign w:val="center"/>
          </w:tcPr>
          <w:p w:rsidR="00B62170" w:rsidRPr="00753B1F" w:rsidRDefault="00B62170" w:rsidP="00EB753E">
            <w:pPr>
              <w:pStyle w:val="DefaultText"/>
              <w:rPr>
                <w:b/>
                <w:bCs/>
                <w:szCs w:val="28"/>
              </w:rPr>
            </w:pPr>
            <w:r w:rsidRPr="00753B1F">
              <w:rPr>
                <w:b/>
                <w:bCs/>
                <w:szCs w:val="28"/>
              </w:rPr>
              <w:t>Total Cost: $</w:t>
            </w:r>
            <w:r w:rsidR="004E192B">
              <w:rPr>
                <w:b/>
                <w:bCs/>
                <w:szCs w:val="28"/>
              </w:rPr>
              <w:t>6,264</w:t>
            </w:r>
          </w:p>
        </w:tc>
      </w:tr>
      <w:tr w:rsidR="00B62170" w:rsidRPr="000F4C57" w:rsidTr="00EB753E">
        <w:trPr>
          <w:trHeight w:val="346"/>
        </w:trPr>
        <w:tc>
          <w:tcPr>
            <w:tcW w:w="9350" w:type="dxa"/>
            <w:gridSpan w:val="3"/>
            <w:shd w:val="clear" w:color="auto" w:fill="auto"/>
            <w:vAlign w:val="center"/>
          </w:tcPr>
          <w:p w:rsidR="00B62170" w:rsidRPr="000F4C57" w:rsidRDefault="004E192B" w:rsidP="00EB753E">
            <w:pPr>
              <w:pStyle w:val="DefaultText"/>
              <w:rPr>
                <w:bCs/>
                <w:szCs w:val="28"/>
              </w:rPr>
            </w:pPr>
            <w:r>
              <w:rPr>
                <w:bCs/>
                <w:szCs w:val="28"/>
              </w:rPr>
              <w:t>Breakdown of Grant</w:t>
            </w:r>
            <w:r w:rsidR="00B62170" w:rsidRPr="000F4C57">
              <w:rPr>
                <w:bCs/>
                <w:szCs w:val="28"/>
              </w:rPr>
              <w:t xml:space="preserve"> by Budget Category: </w:t>
            </w:r>
            <w:r>
              <w:rPr>
                <w:bCs/>
                <w:szCs w:val="28"/>
              </w:rPr>
              <w:t>$0</w:t>
            </w:r>
          </w:p>
        </w:tc>
      </w:tr>
      <w:tr w:rsidR="00B62170" w:rsidRPr="000F4C57" w:rsidTr="00EB753E">
        <w:trPr>
          <w:trHeight w:val="346"/>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Pr>
                <w:bCs/>
                <w:szCs w:val="28"/>
              </w:rPr>
              <w:t>Breakdown of Match by Budget Category:</w:t>
            </w:r>
            <w:r w:rsidR="00FB7B8B">
              <w:rPr>
                <w:bCs/>
                <w:szCs w:val="28"/>
              </w:rPr>
              <w:t xml:space="preserve"> $5</w:t>
            </w:r>
            <w:bookmarkStart w:id="0" w:name="_GoBack"/>
            <w:bookmarkEnd w:id="0"/>
            <w:r w:rsidR="00FB7B8B">
              <w:rPr>
                <w:bCs/>
                <w:szCs w:val="28"/>
              </w:rPr>
              <w:t>,6</w:t>
            </w:r>
            <w:r w:rsidR="004E192B">
              <w:rPr>
                <w:bCs/>
                <w:szCs w:val="28"/>
              </w:rPr>
              <w:t>64 (donated services)</w:t>
            </w:r>
            <w:r w:rsidR="00FB7B8B">
              <w:rPr>
                <w:bCs/>
                <w:szCs w:val="28"/>
              </w:rPr>
              <w:t>; $600 (travel)</w:t>
            </w:r>
          </w:p>
        </w:tc>
      </w:tr>
    </w:tbl>
    <w:p w:rsidR="004E192B" w:rsidRDefault="004E192B" w:rsidP="004E192B">
      <w:pPr>
        <w:pStyle w:val="Heading2"/>
        <w:spacing w:before="0" w:after="0"/>
        <w:rPr>
          <w:rFonts w:ascii="Times New Roman" w:hAnsi="Times New Roman" w:cs="Times New Roman"/>
        </w:rPr>
      </w:pPr>
    </w:p>
    <w:p w:rsidR="004E192B" w:rsidRPr="00515119" w:rsidRDefault="004E192B" w:rsidP="004E192B">
      <w:pPr>
        <w:pStyle w:val="Heading2"/>
        <w:rPr>
          <w:rFonts w:ascii="Times New Roman" w:hAnsi="Times New Roman" w:cs="Times New Roman"/>
          <w:b w:val="0"/>
          <w:szCs w:val="22"/>
        </w:rPr>
      </w:pPr>
      <w:r w:rsidRPr="00515119">
        <w:rPr>
          <w:rFonts w:ascii="Times New Roman" w:hAnsi="Times New Roman" w:cs="Times New Roman"/>
        </w:rPr>
        <w:t xml:space="preserve">Task </w:t>
      </w:r>
      <w:r>
        <w:rPr>
          <w:rFonts w:ascii="Times New Roman" w:hAnsi="Times New Roman" w:cs="Times New Roman"/>
        </w:rPr>
        <w:t>6</w:t>
      </w:r>
      <w:r w:rsidRPr="00515119">
        <w:rPr>
          <w:rFonts w:ascii="Times New Roman" w:hAnsi="Times New Roman" w:cs="Times New Roman"/>
        </w:rPr>
        <w:t xml:space="preserve"> –</w:t>
      </w:r>
      <w:r w:rsidRPr="00515119">
        <w:rPr>
          <w:rFonts w:ascii="Times New Roman" w:hAnsi="Times New Roman" w:cs="Times New Roman"/>
          <w:szCs w:val="22"/>
        </w:rPr>
        <w:t xml:space="preserve"> Hotspot Source Analysis and Action Plan Development</w:t>
      </w:r>
    </w:p>
    <w:p w:rsidR="004E192B" w:rsidRPr="00515119" w:rsidRDefault="004E192B" w:rsidP="004E192B">
      <w:pPr>
        <w:widowControl/>
        <w:autoSpaceDE/>
        <w:autoSpaceDN/>
        <w:spacing w:before="120" w:after="120"/>
        <w:ind w:right="144"/>
        <w:jc w:val="both"/>
        <w:rPr>
          <w:rFonts w:cs="Calibri"/>
          <w:sz w:val="24"/>
          <w:szCs w:val="22"/>
        </w:rPr>
      </w:pPr>
      <w:r w:rsidRPr="00515119">
        <w:rPr>
          <w:rFonts w:cs="Calibri"/>
          <w:sz w:val="24"/>
          <w:szCs w:val="22"/>
        </w:rPr>
        <w:t xml:space="preserve">Project staff will compile and analyze the existing shoreline septic survey data available through the Town, the Maine DMR, the Maine DEP, and the Waldoboro Utility District (WUD) to identify potential FIB hotspots within the watershed focus area. These data will be compiled into a septic survey database that will be managed by the Town of Waldoboro. Following the compilation of survey data, the team will compare this information with the 2016 FIB results and the results of the gap analysis to further identify areas of high fecal contamination. With significant input from the TAC, the team will then develop an </w:t>
      </w:r>
      <w:r w:rsidRPr="00515119">
        <w:rPr>
          <w:rFonts w:cs="Calibri"/>
          <w:sz w:val="24"/>
          <w:szCs w:val="22"/>
          <w:u w:val="single"/>
        </w:rPr>
        <w:t>action plan</w:t>
      </w:r>
      <w:r w:rsidRPr="00515119">
        <w:rPr>
          <w:rFonts w:cs="Calibri"/>
          <w:sz w:val="24"/>
          <w:szCs w:val="22"/>
        </w:rPr>
        <w:t xml:space="preserve"> for addressing these sources using both structural and non-structural best management practices (BMPs). These actions might include but are not limited to, additional septic surveys, bracket sampling, sewer and septic pipe inspection, remediation of identified bacteria sources, and landowner outreach.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0"/>
        <w:gridCol w:w="3112"/>
      </w:tblGrid>
      <w:tr w:rsidR="004E192B" w:rsidRPr="00DC6333" w:rsidTr="001232F2">
        <w:trPr>
          <w:trHeight w:val="350"/>
        </w:trPr>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4E192B" w:rsidRPr="004F0AAE" w:rsidRDefault="004E192B" w:rsidP="001232F2">
            <w:pPr>
              <w:pStyle w:val="DefaultText"/>
              <w:rPr>
                <w:bCs/>
                <w:szCs w:val="28"/>
              </w:rPr>
            </w:pPr>
            <w:r w:rsidRPr="004F0AAE">
              <w:rPr>
                <w:bCs/>
                <w:szCs w:val="28"/>
              </w:rPr>
              <w:t xml:space="preserve">Start and Completion Dates </w:t>
            </w:r>
          </w:p>
        </w:tc>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192B" w:rsidRPr="004F0AAE" w:rsidRDefault="004E192B" w:rsidP="001232F2">
            <w:pPr>
              <w:pStyle w:val="DefaultText"/>
              <w:rPr>
                <w:bCs/>
                <w:szCs w:val="28"/>
              </w:rPr>
            </w:pPr>
            <w:r w:rsidRPr="004F0AAE">
              <w:rPr>
                <w:bCs/>
                <w:szCs w:val="28"/>
              </w:rPr>
              <w:t xml:space="preserve">October 2018 - August 2018 </w:t>
            </w:r>
          </w:p>
        </w:tc>
      </w:tr>
      <w:tr w:rsidR="004E192B" w:rsidRPr="00DC6333" w:rsidTr="001232F2">
        <w:trPr>
          <w:trHeight w:val="341"/>
        </w:trPr>
        <w:tc>
          <w:tcPr>
            <w:tcW w:w="3192" w:type="dxa"/>
            <w:shd w:val="clear" w:color="auto" w:fill="auto"/>
          </w:tcPr>
          <w:p w:rsidR="004E192B" w:rsidRPr="004F0AAE" w:rsidRDefault="004E192B" w:rsidP="001232F2">
            <w:pPr>
              <w:pStyle w:val="DefaultText"/>
              <w:rPr>
                <w:bCs/>
                <w:szCs w:val="28"/>
              </w:rPr>
            </w:pPr>
            <w:r w:rsidRPr="004F0AAE">
              <w:rPr>
                <w:bCs/>
                <w:szCs w:val="28"/>
              </w:rPr>
              <w:t>Grant Cost: $4,500</w:t>
            </w:r>
          </w:p>
        </w:tc>
        <w:tc>
          <w:tcPr>
            <w:tcW w:w="3192" w:type="dxa"/>
            <w:shd w:val="clear" w:color="auto" w:fill="auto"/>
          </w:tcPr>
          <w:p w:rsidR="004E192B" w:rsidRPr="004F0AAE" w:rsidRDefault="004E192B" w:rsidP="001232F2">
            <w:pPr>
              <w:pStyle w:val="DefaultText"/>
              <w:rPr>
                <w:bCs/>
                <w:szCs w:val="28"/>
              </w:rPr>
            </w:pPr>
            <w:r w:rsidRPr="004F0AAE">
              <w:rPr>
                <w:bCs/>
                <w:szCs w:val="28"/>
              </w:rPr>
              <w:t>Match Cost: $0</w:t>
            </w:r>
          </w:p>
        </w:tc>
        <w:tc>
          <w:tcPr>
            <w:tcW w:w="3192" w:type="dxa"/>
            <w:shd w:val="clear" w:color="auto" w:fill="auto"/>
          </w:tcPr>
          <w:p w:rsidR="004E192B" w:rsidRPr="004F0AAE" w:rsidRDefault="004E192B" w:rsidP="001232F2">
            <w:pPr>
              <w:pStyle w:val="DefaultText"/>
              <w:rPr>
                <w:bCs/>
                <w:szCs w:val="28"/>
              </w:rPr>
            </w:pPr>
            <w:r w:rsidRPr="004F0AAE">
              <w:rPr>
                <w:bCs/>
                <w:szCs w:val="28"/>
              </w:rPr>
              <w:t>Total Cost: $4,500</w:t>
            </w:r>
          </w:p>
        </w:tc>
      </w:tr>
      <w:tr w:rsidR="004E192B" w:rsidRPr="00DC6333" w:rsidTr="001232F2">
        <w:trPr>
          <w:trHeight w:val="341"/>
        </w:trPr>
        <w:tc>
          <w:tcPr>
            <w:tcW w:w="9576" w:type="dxa"/>
            <w:gridSpan w:val="3"/>
            <w:shd w:val="clear" w:color="auto" w:fill="auto"/>
          </w:tcPr>
          <w:p w:rsidR="004E192B" w:rsidRPr="004F0AAE" w:rsidRDefault="004E192B" w:rsidP="001232F2">
            <w:pPr>
              <w:pStyle w:val="DefaultText"/>
              <w:rPr>
                <w:bCs/>
                <w:szCs w:val="28"/>
              </w:rPr>
            </w:pPr>
            <w:r>
              <w:rPr>
                <w:bCs/>
                <w:szCs w:val="28"/>
              </w:rPr>
              <w:t>Breakdown of Grant</w:t>
            </w:r>
            <w:r w:rsidRPr="004F0AAE">
              <w:rPr>
                <w:bCs/>
                <w:szCs w:val="28"/>
              </w:rPr>
              <w:t xml:space="preserve"> by Budget Category: $4,500 (contractual)</w:t>
            </w:r>
          </w:p>
        </w:tc>
      </w:tr>
      <w:tr w:rsidR="004E192B" w:rsidRPr="00DC6333" w:rsidTr="001232F2">
        <w:trPr>
          <w:trHeight w:val="341"/>
        </w:trPr>
        <w:tc>
          <w:tcPr>
            <w:tcW w:w="9576" w:type="dxa"/>
            <w:gridSpan w:val="3"/>
            <w:shd w:val="clear" w:color="auto" w:fill="auto"/>
          </w:tcPr>
          <w:p w:rsidR="004E192B" w:rsidRPr="004F0AAE" w:rsidRDefault="004E192B" w:rsidP="001232F2">
            <w:pPr>
              <w:pStyle w:val="DefaultText"/>
              <w:rPr>
                <w:bCs/>
                <w:szCs w:val="28"/>
              </w:rPr>
            </w:pPr>
            <w:r w:rsidRPr="004E192B">
              <w:rPr>
                <w:bCs/>
                <w:szCs w:val="28"/>
              </w:rPr>
              <w:t>Breakdown of Match by Budget Category:</w:t>
            </w:r>
            <w:r>
              <w:rPr>
                <w:bCs/>
                <w:szCs w:val="28"/>
              </w:rPr>
              <w:t xml:space="preserve"> $0</w:t>
            </w:r>
          </w:p>
        </w:tc>
      </w:tr>
    </w:tbl>
    <w:p w:rsidR="004E192B" w:rsidRDefault="004E192B" w:rsidP="004E192B">
      <w:pPr>
        <w:pStyle w:val="DefaultText"/>
        <w:rPr>
          <w:rStyle w:val="InitialStyle"/>
          <w:b/>
          <w:bCs/>
          <w:szCs w:val="28"/>
          <w:u w:val="single"/>
        </w:rPr>
      </w:pPr>
    </w:p>
    <w:p w:rsidR="004E192B" w:rsidRPr="00515119" w:rsidRDefault="004E192B" w:rsidP="004E192B">
      <w:pPr>
        <w:pStyle w:val="Heading2"/>
        <w:spacing w:before="0"/>
        <w:rPr>
          <w:rFonts w:ascii="Times New Roman" w:hAnsi="Times New Roman" w:cs="Times New Roman"/>
          <w:b w:val="0"/>
          <w:szCs w:val="22"/>
        </w:rPr>
      </w:pPr>
      <w:r w:rsidRPr="00515119">
        <w:rPr>
          <w:rFonts w:ascii="Times New Roman" w:hAnsi="Times New Roman" w:cs="Times New Roman"/>
        </w:rPr>
        <w:t xml:space="preserve">Task </w:t>
      </w:r>
      <w:r>
        <w:rPr>
          <w:rFonts w:ascii="Times New Roman" w:hAnsi="Times New Roman" w:cs="Times New Roman"/>
        </w:rPr>
        <w:t>7</w:t>
      </w:r>
      <w:r w:rsidRPr="00515119">
        <w:rPr>
          <w:rFonts w:ascii="Times New Roman" w:hAnsi="Times New Roman" w:cs="Times New Roman"/>
        </w:rPr>
        <w:t xml:space="preserve"> –</w:t>
      </w:r>
      <w:r w:rsidRPr="00515119">
        <w:rPr>
          <w:rFonts w:ascii="Times New Roman" w:hAnsi="Times New Roman" w:cs="Times New Roman"/>
          <w:szCs w:val="22"/>
        </w:rPr>
        <w:t xml:space="preserve"> </w:t>
      </w:r>
      <w:r>
        <w:rPr>
          <w:rFonts w:ascii="Times New Roman" w:hAnsi="Times New Roman" w:cs="Times New Roman"/>
          <w:szCs w:val="22"/>
        </w:rPr>
        <w:t>Education and Outreach</w:t>
      </w:r>
    </w:p>
    <w:p w:rsidR="004E192B" w:rsidRPr="00515119" w:rsidRDefault="004E192B" w:rsidP="004E192B">
      <w:pPr>
        <w:widowControl/>
        <w:autoSpaceDE/>
        <w:autoSpaceDN/>
        <w:spacing w:before="120" w:after="120"/>
        <w:ind w:right="144"/>
        <w:jc w:val="both"/>
        <w:rPr>
          <w:rFonts w:cs="Calibri"/>
          <w:sz w:val="24"/>
          <w:szCs w:val="22"/>
        </w:rPr>
      </w:pPr>
      <w:r w:rsidRPr="00515119">
        <w:rPr>
          <w:rFonts w:cs="Calibri"/>
          <w:sz w:val="24"/>
          <w:szCs w:val="22"/>
        </w:rPr>
        <w:t xml:space="preserve">The Town of Waldoboro and its partners will keep the public informed of the grant project through a </w:t>
      </w:r>
      <w:r w:rsidRPr="00515119">
        <w:rPr>
          <w:rFonts w:cs="Calibri"/>
          <w:sz w:val="24"/>
          <w:szCs w:val="22"/>
          <w:u w:val="single"/>
        </w:rPr>
        <w:t>project-specific webpage and press releases (two minimum)</w:t>
      </w:r>
      <w:r w:rsidRPr="00515119">
        <w:rPr>
          <w:rFonts w:cs="Calibri"/>
          <w:sz w:val="24"/>
          <w:szCs w:val="22"/>
        </w:rPr>
        <w:t xml:space="preserve">. Press releases will contain information about the nature and scope of the project as well as information on NPS pollution. Additionally, the project team will host a </w:t>
      </w:r>
      <w:r w:rsidRPr="00515119">
        <w:rPr>
          <w:rFonts w:cs="Calibri"/>
          <w:sz w:val="24"/>
          <w:szCs w:val="22"/>
          <w:u w:val="single"/>
        </w:rPr>
        <w:t>public presentation</w:t>
      </w:r>
      <w:r w:rsidRPr="00515119">
        <w:rPr>
          <w:rFonts w:cs="Calibri"/>
          <w:sz w:val="24"/>
          <w:szCs w:val="22"/>
        </w:rPr>
        <w:t xml:space="preserve"> to the Waldoboro Board of Selectmen at the completion of the project. All press releases, outreach materials, project signs, and plans will acknowledge that the project is funded in part by the United States Environmental Protection Agency under Section 604(b) of the Clean Water Act. EPA’s logo will not be included on materials unless the Grantee receives prior instruction and approval from EPA.  Refer to the Grant Agreement, Rider A. Section III. F. Acknowledgement.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1"/>
        <w:gridCol w:w="3111"/>
      </w:tblGrid>
      <w:tr w:rsidR="004E192B" w:rsidRPr="00DC6333" w:rsidTr="001232F2">
        <w:trPr>
          <w:trHeight w:val="350"/>
        </w:trPr>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4E192B" w:rsidRPr="004F0AAE" w:rsidRDefault="004E192B" w:rsidP="001232F2">
            <w:pPr>
              <w:pStyle w:val="DefaultText"/>
              <w:rPr>
                <w:bCs/>
                <w:szCs w:val="28"/>
              </w:rPr>
            </w:pPr>
            <w:r w:rsidRPr="004F0AAE">
              <w:rPr>
                <w:bCs/>
                <w:szCs w:val="28"/>
              </w:rPr>
              <w:t xml:space="preserve">Start and Completion Dates </w:t>
            </w:r>
          </w:p>
        </w:tc>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192B" w:rsidRPr="004F0AAE" w:rsidRDefault="004E192B" w:rsidP="001232F2">
            <w:pPr>
              <w:pStyle w:val="DefaultText"/>
              <w:rPr>
                <w:bCs/>
                <w:szCs w:val="28"/>
              </w:rPr>
            </w:pPr>
            <w:r w:rsidRPr="004F0AAE">
              <w:rPr>
                <w:bCs/>
                <w:szCs w:val="28"/>
              </w:rPr>
              <w:t xml:space="preserve">October 2017 – April 2019 </w:t>
            </w:r>
          </w:p>
        </w:tc>
      </w:tr>
      <w:tr w:rsidR="004E192B" w:rsidRPr="00DC6333" w:rsidTr="001232F2">
        <w:trPr>
          <w:trHeight w:val="341"/>
        </w:trPr>
        <w:tc>
          <w:tcPr>
            <w:tcW w:w="3192" w:type="dxa"/>
            <w:shd w:val="clear" w:color="auto" w:fill="auto"/>
          </w:tcPr>
          <w:p w:rsidR="004E192B" w:rsidRPr="004F0AAE" w:rsidRDefault="004E192B" w:rsidP="001232F2">
            <w:pPr>
              <w:pStyle w:val="DefaultText"/>
              <w:rPr>
                <w:bCs/>
                <w:szCs w:val="28"/>
              </w:rPr>
            </w:pPr>
            <w:r w:rsidRPr="004F0AAE">
              <w:rPr>
                <w:bCs/>
                <w:szCs w:val="28"/>
              </w:rPr>
              <w:t>Grant Cost: $1,400</w:t>
            </w:r>
          </w:p>
        </w:tc>
        <w:tc>
          <w:tcPr>
            <w:tcW w:w="3192" w:type="dxa"/>
            <w:shd w:val="clear" w:color="auto" w:fill="auto"/>
          </w:tcPr>
          <w:p w:rsidR="004E192B" w:rsidRPr="004F0AAE" w:rsidRDefault="004E192B" w:rsidP="001232F2">
            <w:pPr>
              <w:pStyle w:val="DefaultText"/>
              <w:rPr>
                <w:bCs/>
                <w:szCs w:val="28"/>
              </w:rPr>
            </w:pPr>
            <w:r w:rsidRPr="004F0AAE">
              <w:rPr>
                <w:bCs/>
                <w:szCs w:val="28"/>
              </w:rPr>
              <w:t>Match Cost: $1,200</w:t>
            </w:r>
          </w:p>
        </w:tc>
        <w:tc>
          <w:tcPr>
            <w:tcW w:w="3192" w:type="dxa"/>
            <w:shd w:val="clear" w:color="auto" w:fill="auto"/>
          </w:tcPr>
          <w:p w:rsidR="004E192B" w:rsidRPr="004F0AAE" w:rsidRDefault="004E192B" w:rsidP="001232F2">
            <w:pPr>
              <w:pStyle w:val="DefaultText"/>
              <w:rPr>
                <w:bCs/>
                <w:szCs w:val="28"/>
              </w:rPr>
            </w:pPr>
            <w:r w:rsidRPr="004F0AAE">
              <w:rPr>
                <w:bCs/>
                <w:szCs w:val="28"/>
              </w:rPr>
              <w:t>Total Cost: $2,600</w:t>
            </w:r>
          </w:p>
        </w:tc>
      </w:tr>
      <w:tr w:rsidR="004E192B" w:rsidRPr="00DC6333" w:rsidTr="001232F2">
        <w:trPr>
          <w:trHeight w:val="341"/>
        </w:trPr>
        <w:tc>
          <w:tcPr>
            <w:tcW w:w="9576" w:type="dxa"/>
            <w:gridSpan w:val="3"/>
            <w:shd w:val="clear" w:color="auto" w:fill="auto"/>
          </w:tcPr>
          <w:p w:rsidR="004E192B" w:rsidRPr="004F0AAE" w:rsidRDefault="004E192B" w:rsidP="001232F2">
            <w:pPr>
              <w:pStyle w:val="DefaultText"/>
              <w:rPr>
                <w:bCs/>
                <w:szCs w:val="28"/>
              </w:rPr>
            </w:pPr>
            <w:r>
              <w:rPr>
                <w:bCs/>
                <w:szCs w:val="28"/>
              </w:rPr>
              <w:t xml:space="preserve">Breakdown of Grant </w:t>
            </w:r>
            <w:r w:rsidRPr="004F0AAE">
              <w:rPr>
                <w:bCs/>
                <w:szCs w:val="28"/>
              </w:rPr>
              <w:t>by Budget Category: $1,400 (contractual)</w:t>
            </w:r>
          </w:p>
        </w:tc>
      </w:tr>
      <w:tr w:rsidR="004E192B" w:rsidRPr="00DC6333" w:rsidTr="001232F2">
        <w:trPr>
          <w:trHeight w:val="341"/>
        </w:trPr>
        <w:tc>
          <w:tcPr>
            <w:tcW w:w="9576" w:type="dxa"/>
            <w:gridSpan w:val="3"/>
            <w:shd w:val="clear" w:color="auto" w:fill="auto"/>
          </w:tcPr>
          <w:p w:rsidR="004E192B" w:rsidRPr="004F0AAE" w:rsidRDefault="004E192B" w:rsidP="001232F2">
            <w:pPr>
              <w:pStyle w:val="DefaultText"/>
              <w:rPr>
                <w:bCs/>
                <w:szCs w:val="28"/>
              </w:rPr>
            </w:pPr>
            <w:r w:rsidRPr="004E192B">
              <w:rPr>
                <w:bCs/>
                <w:szCs w:val="28"/>
              </w:rPr>
              <w:t xml:space="preserve">Breakdown of </w:t>
            </w:r>
            <w:r>
              <w:rPr>
                <w:bCs/>
                <w:szCs w:val="28"/>
              </w:rPr>
              <w:t>Match by Budget Category: $1,2</w:t>
            </w:r>
            <w:r w:rsidRPr="004E192B">
              <w:rPr>
                <w:bCs/>
                <w:szCs w:val="28"/>
              </w:rPr>
              <w:t>00 (</w:t>
            </w:r>
            <w:r>
              <w:rPr>
                <w:bCs/>
                <w:szCs w:val="28"/>
              </w:rPr>
              <w:t>donated services)</w:t>
            </w:r>
          </w:p>
        </w:tc>
      </w:tr>
    </w:tbl>
    <w:p w:rsidR="004E192B" w:rsidRDefault="004E192B" w:rsidP="004E192B">
      <w:pPr>
        <w:pStyle w:val="DefaultText"/>
        <w:rPr>
          <w:rStyle w:val="InitialStyle"/>
          <w:b/>
          <w:bCs/>
          <w:szCs w:val="28"/>
          <w:u w:val="single"/>
        </w:rPr>
      </w:pPr>
    </w:p>
    <w:p w:rsidR="004E192B" w:rsidRPr="00515119" w:rsidRDefault="004E192B" w:rsidP="004E192B">
      <w:pPr>
        <w:pStyle w:val="Heading2"/>
        <w:rPr>
          <w:rFonts w:ascii="Times New Roman" w:hAnsi="Times New Roman" w:cs="Times New Roman"/>
          <w:b w:val="0"/>
          <w:szCs w:val="22"/>
        </w:rPr>
      </w:pPr>
      <w:r w:rsidRPr="00515119">
        <w:rPr>
          <w:rFonts w:ascii="Times New Roman" w:hAnsi="Times New Roman" w:cs="Times New Roman"/>
        </w:rPr>
        <w:t xml:space="preserve">Task </w:t>
      </w:r>
      <w:r>
        <w:rPr>
          <w:rFonts w:ascii="Times New Roman" w:hAnsi="Times New Roman" w:cs="Times New Roman"/>
        </w:rPr>
        <w:t>8</w:t>
      </w:r>
      <w:r w:rsidRPr="00515119">
        <w:rPr>
          <w:rFonts w:ascii="Times New Roman" w:hAnsi="Times New Roman" w:cs="Times New Roman"/>
        </w:rPr>
        <w:t xml:space="preserve"> –</w:t>
      </w:r>
      <w:r w:rsidRPr="00515119">
        <w:rPr>
          <w:rFonts w:ascii="Times New Roman" w:hAnsi="Times New Roman" w:cs="Times New Roman"/>
          <w:szCs w:val="22"/>
        </w:rPr>
        <w:t xml:space="preserve"> Develop Watershed-Based Plan</w:t>
      </w:r>
    </w:p>
    <w:p w:rsidR="004E192B" w:rsidRPr="00515119" w:rsidRDefault="004E192B" w:rsidP="004E192B">
      <w:pPr>
        <w:widowControl/>
        <w:autoSpaceDE/>
        <w:autoSpaceDN/>
        <w:spacing w:before="120" w:after="120"/>
        <w:ind w:right="144"/>
        <w:jc w:val="both"/>
        <w:rPr>
          <w:rFonts w:cs="Calibri"/>
          <w:sz w:val="24"/>
          <w:szCs w:val="22"/>
        </w:rPr>
      </w:pPr>
      <w:r w:rsidRPr="00515119">
        <w:rPr>
          <w:rFonts w:cs="Calibri"/>
          <w:sz w:val="24"/>
          <w:szCs w:val="22"/>
        </w:rPr>
        <w:t xml:space="preserve">Project staff will develop a WBMP for the </w:t>
      </w:r>
      <w:proofErr w:type="spellStart"/>
      <w:r w:rsidRPr="00515119">
        <w:rPr>
          <w:rFonts w:cs="Calibri"/>
          <w:sz w:val="24"/>
          <w:szCs w:val="22"/>
        </w:rPr>
        <w:t>Medomak</w:t>
      </w:r>
      <w:proofErr w:type="spellEnd"/>
      <w:r w:rsidRPr="00515119">
        <w:rPr>
          <w:rFonts w:cs="Calibri"/>
          <w:sz w:val="24"/>
          <w:szCs w:val="22"/>
        </w:rPr>
        <w:t xml:space="preserve"> River estuary to guide stakeholders in addressing NPS contamination (specifically bacteria) in the estuary. The plan will be a dynamic document, with recommendations for actions over a ten-year period, but written to allow flexibility and adjustments as data is acquired. The plan will be developed to meet EPA’s nine minimum elements of watershed planning, including estimating current pollutant loads and the necessary pollutant load reductions needed for the river to comply with Maine DMR bacteria standards. Recommendations will include provisions for adaptive management to provide the flexibility needed to ensure efficient and successful plan implementation. </w:t>
      </w:r>
    </w:p>
    <w:p w:rsidR="004E192B" w:rsidRPr="00515119" w:rsidRDefault="004E192B" w:rsidP="004E192B">
      <w:pPr>
        <w:widowControl/>
        <w:autoSpaceDE/>
        <w:autoSpaceDN/>
        <w:spacing w:before="120" w:after="120"/>
        <w:ind w:right="144"/>
        <w:jc w:val="both"/>
        <w:rPr>
          <w:rFonts w:cs="Calibri"/>
          <w:sz w:val="24"/>
          <w:szCs w:val="22"/>
        </w:rPr>
      </w:pPr>
      <w:r w:rsidRPr="00515119">
        <w:rPr>
          <w:rFonts w:cs="Calibri"/>
          <w:sz w:val="24"/>
          <w:szCs w:val="22"/>
        </w:rPr>
        <w:t xml:space="preserve">The plan will include prioritized and scheduled action items as well as identify the responsible parties for implementing said action items. Available funding strategies will be discussed </w:t>
      </w:r>
      <w:proofErr w:type="gramStart"/>
      <w:r w:rsidRPr="00515119">
        <w:rPr>
          <w:rFonts w:cs="Calibri"/>
          <w:sz w:val="24"/>
          <w:szCs w:val="22"/>
        </w:rPr>
        <w:t>in order to</w:t>
      </w:r>
      <w:proofErr w:type="gramEnd"/>
      <w:r w:rsidRPr="00515119">
        <w:rPr>
          <w:rFonts w:cs="Calibri"/>
          <w:sz w:val="24"/>
          <w:szCs w:val="22"/>
        </w:rPr>
        <w:t xml:space="preserve"> implement the action items. The draft plan will be reviewed by the TAC and any other interested parties for refinement and revision. The draft plan will also be submitted to DEP and EPA for review at least two months prior to project completion.</w:t>
      </w:r>
    </w:p>
    <w:p w:rsidR="004E192B" w:rsidRPr="00515119" w:rsidRDefault="004E192B" w:rsidP="004E192B">
      <w:pPr>
        <w:widowControl/>
        <w:autoSpaceDE/>
        <w:autoSpaceDN/>
        <w:spacing w:before="120" w:after="120"/>
        <w:ind w:right="144"/>
        <w:jc w:val="both"/>
        <w:rPr>
          <w:rFonts w:cs="Calibri"/>
          <w:sz w:val="24"/>
          <w:szCs w:val="22"/>
        </w:rPr>
      </w:pPr>
      <w:r w:rsidRPr="00515119">
        <w:rPr>
          <w:rFonts w:cs="Calibri"/>
          <w:sz w:val="24"/>
          <w:szCs w:val="22"/>
        </w:rPr>
        <w:t>Key findings and recommendations from the plan will be presented to the Town Council and other relevant committees (i.e., Shellfish Committee), incorporating all relevant comments and suggestions to produce the final version.  The final plan will be submitted to DEP and EPA at least one month prior to project completion.  DEP and EPA comments will be addressed to produce the final approved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1"/>
        <w:gridCol w:w="3111"/>
      </w:tblGrid>
      <w:tr w:rsidR="004E192B" w:rsidRPr="00DC6333" w:rsidTr="001232F2">
        <w:trPr>
          <w:trHeight w:val="350"/>
        </w:trPr>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4E192B" w:rsidRPr="004F0AAE" w:rsidRDefault="004E192B" w:rsidP="001232F2">
            <w:pPr>
              <w:pStyle w:val="DefaultText"/>
              <w:rPr>
                <w:bCs/>
                <w:szCs w:val="28"/>
              </w:rPr>
            </w:pPr>
            <w:r w:rsidRPr="004F0AAE">
              <w:rPr>
                <w:bCs/>
                <w:szCs w:val="28"/>
              </w:rPr>
              <w:t xml:space="preserve">Start and Completion Dates </w:t>
            </w:r>
          </w:p>
        </w:tc>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192B" w:rsidRPr="004F0AAE" w:rsidRDefault="004E192B" w:rsidP="001232F2">
            <w:pPr>
              <w:pStyle w:val="DefaultText"/>
              <w:rPr>
                <w:bCs/>
                <w:szCs w:val="28"/>
              </w:rPr>
            </w:pPr>
            <w:r w:rsidRPr="004F0AAE">
              <w:rPr>
                <w:bCs/>
                <w:szCs w:val="28"/>
              </w:rPr>
              <w:t xml:space="preserve">October 2018 – April 2019 </w:t>
            </w:r>
          </w:p>
        </w:tc>
      </w:tr>
      <w:tr w:rsidR="004E192B" w:rsidRPr="00DC6333" w:rsidTr="001232F2">
        <w:trPr>
          <w:trHeight w:val="341"/>
        </w:trPr>
        <w:tc>
          <w:tcPr>
            <w:tcW w:w="3192" w:type="dxa"/>
            <w:shd w:val="clear" w:color="auto" w:fill="auto"/>
          </w:tcPr>
          <w:p w:rsidR="004E192B" w:rsidRPr="004F0AAE" w:rsidRDefault="004E192B" w:rsidP="001232F2">
            <w:pPr>
              <w:pStyle w:val="DefaultText"/>
              <w:rPr>
                <w:bCs/>
                <w:szCs w:val="28"/>
              </w:rPr>
            </w:pPr>
            <w:r w:rsidRPr="004F0AAE">
              <w:rPr>
                <w:bCs/>
                <w:szCs w:val="28"/>
              </w:rPr>
              <w:t>Grant Cost: $3,000</w:t>
            </w:r>
          </w:p>
        </w:tc>
        <w:tc>
          <w:tcPr>
            <w:tcW w:w="3192" w:type="dxa"/>
            <w:shd w:val="clear" w:color="auto" w:fill="auto"/>
          </w:tcPr>
          <w:p w:rsidR="004E192B" w:rsidRPr="004F0AAE" w:rsidRDefault="004E192B" w:rsidP="001232F2">
            <w:pPr>
              <w:pStyle w:val="DefaultText"/>
              <w:rPr>
                <w:bCs/>
                <w:szCs w:val="28"/>
              </w:rPr>
            </w:pPr>
            <w:r w:rsidRPr="004F0AAE">
              <w:rPr>
                <w:bCs/>
                <w:szCs w:val="28"/>
              </w:rPr>
              <w:t>Match Cost: $3,000</w:t>
            </w:r>
          </w:p>
        </w:tc>
        <w:tc>
          <w:tcPr>
            <w:tcW w:w="3192" w:type="dxa"/>
            <w:shd w:val="clear" w:color="auto" w:fill="auto"/>
          </w:tcPr>
          <w:p w:rsidR="004E192B" w:rsidRPr="004F0AAE" w:rsidRDefault="004E192B" w:rsidP="001232F2">
            <w:pPr>
              <w:pStyle w:val="DefaultText"/>
              <w:rPr>
                <w:bCs/>
                <w:szCs w:val="28"/>
              </w:rPr>
            </w:pPr>
            <w:r w:rsidRPr="004F0AAE">
              <w:rPr>
                <w:bCs/>
                <w:szCs w:val="28"/>
              </w:rPr>
              <w:t>Total Cost: $6,000</w:t>
            </w:r>
          </w:p>
        </w:tc>
      </w:tr>
      <w:tr w:rsidR="004E192B" w:rsidRPr="00DC6333" w:rsidTr="001232F2">
        <w:trPr>
          <w:trHeight w:val="341"/>
        </w:trPr>
        <w:tc>
          <w:tcPr>
            <w:tcW w:w="9576" w:type="dxa"/>
            <w:gridSpan w:val="3"/>
            <w:shd w:val="clear" w:color="auto" w:fill="auto"/>
          </w:tcPr>
          <w:p w:rsidR="004E192B" w:rsidRPr="004F0AAE" w:rsidRDefault="004E192B" w:rsidP="001232F2">
            <w:pPr>
              <w:pStyle w:val="DefaultText"/>
              <w:rPr>
                <w:bCs/>
                <w:szCs w:val="28"/>
              </w:rPr>
            </w:pPr>
            <w:r>
              <w:rPr>
                <w:bCs/>
                <w:szCs w:val="28"/>
              </w:rPr>
              <w:t xml:space="preserve">Breakdown of Grant </w:t>
            </w:r>
            <w:r w:rsidRPr="004F0AAE">
              <w:rPr>
                <w:bCs/>
                <w:szCs w:val="28"/>
              </w:rPr>
              <w:t>by Budget Category: $3,000 (contractual)</w:t>
            </w:r>
          </w:p>
        </w:tc>
      </w:tr>
      <w:tr w:rsidR="004E192B" w:rsidRPr="00DC6333" w:rsidTr="001232F2">
        <w:trPr>
          <w:trHeight w:val="341"/>
        </w:trPr>
        <w:tc>
          <w:tcPr>
            <w:tcW w:w="9576" w:type="dxa"/>
            <w:gridSpan w:val="3"/>
            <w:shd w:val="clear" w:color="auto" w:fill="auto"/>
          </w:tcPr>
          <w:p w:rsidR="004E192B" w:rsidRPr="004F0AAE" w:rsidRDefault="004E192B" w:rsidP="001232F2">
            <w:pPr>
              <w:pStyle w:val="DefaultText"/>
              <w:rPr>
                <w:bCs/>
                <w:szCs w:val="28"/>
              </w:rPr>
            </w:pPr>
            <w:r w:rsidRPr="004E192B">
              <w:rPr>
                <w:bCs/>
                <w:szCs w:val="28"/>
              </w:rPr>
              <w:t>Breakdown o</w:t>
            </w:r>
            <w:r>
              <w:rPr>
                <w:bCs/>
                <w:szCs w:val="28"/>
              </w:rPr>
              <w:t>f Match by Budget Category: $3,0</w:t>
            </w:r>
            <w:r w:rsidRPr="004E192B">
              <w:rPr>
                <w:bCs/>
                <w:szCs w:val="28"/>
              </w:rPr>
              <w:t>00 (donated services)</w:t>
            </w:r>
          </w:p>
        </w:tc>
      </w:tr>
    </w:tbl>
    <w:p w:rsidR="00B62170" w:rsidRDefault="00B62170" w:rsidP="00B62170">
      <w:pPr>
        <w:pStyle w:val="DefaultText"/>
        <w:rPr>
          <w:rStyle w:val="InitialStyle"/>
          <w:bCs/>
          <w:szCs w:val="28"/>
        </w:rPr>
      </w:pPr>
    </w:p>
    <w:p w:rsidR="00B62170" w:rsidRDefault="00B62170" w:rsidP="00B62170">
      <w:pPr>
        <w:pStyle w:val="DefaultText"/>
        <w:rPr>
          <w:rStyle w:val="InitialStyle"/>
          <w:b/>
          <w:bCs/>
          <w:szCs w:val="28"/>
          <w:u w:val="single"/>
        </w:rPr>
      </w:pPr>
      <w:r w:rsidRPr="00BC46A6">
        <w:rPr>
          <w:rStyle w:val="InitialStyle"/>
          <w:b/>
          <w:bCs/>
          <w:szCs w:val="28"/>
        </w:rPr>
        <w:t xml:space="preserve">VIII. </w:t>
      </w:r>
      <w:r w:rsidRPr="00DC6333">
        <w:rPr>
          <w:rStyle w:val="InitialStyle"/>
          <w:b/>
          <w:bCs/>
          <w:szCs w:val="28"/>
          <w:u w:val="single"/>
        </w:rPr>
        <w:t>Deliverables</w:t>
      </w:r>
    </w:p>
    <w:p w:rsidR="004E192B" w:rsidRPr="00515119" w:rsidRDefault="004E192B" w:rsidP="004E192B">
      <w:pPr>
        <w:keepNext/>
        <w:widowControl/>
        <w:autoSpaceDE/>
        <w:autoSpaceDN/>
        <w:spacing w:before="120" w:after="60"/>
        <w:ind w:right="144"/>
        <w:jc w:val="both"/>
        <w:outlineLvl w:val="0"/>
        <w:rPr>
          <w:rFonts w:cs="Calibri"/>
          <w:bCs/>
          <w:kern w:val="32"/>
          <w:sz w:val="24"/>
          <w:szCs w:val="28"/>
        </w:rPr>
      </w:pPr>
      <w:r>
        <w:rPr>
          <w:rFonts w:cs="Calibri"/>
          <w:bCs/>
          <w:kern w:val="32"/>
          <w:sz w:val="24"/>
          <w:szCs w:val="28"/>
        </w:rPr>
        <w:t>Two</w:t>
      </w:r>
      <w:r w:rsidRPr="00515119">
        <w:rPr>
          <w:rFonts w:cs="Calibri"/>
          <w:bCs/>
          <w:kern w:val="32"/>
          <w:sz w:val="24"/>
          <w:szCs w:val="28"/>
        </w:rPr>
        <w:t xml:space="preserve"> copies of each deliverable will be provided to the DEP Agreement Administrator.  Each deliverable will be labeled </w:t>
      </w:r>
      <w:proofErr w:type="gramStart"/>
      <w:r w:rsidRPr="00515119">
        <w:rPr>
          <w:rFonts w:cs="Calibri"/>
          <w:bCs/>
          <w:kern w:val="32"/>
          <w:sz w:val="24"/>
          <w:szCs w:val="28"/>
        </w:rPr>
        <w:t>according to</w:t>
      </w:r>
      <w:proofErr w:type="gramEnd"/>
      <w:r w:rsidRPr="00515119">
        <w:rPr>
          <w:rFonts w:cs="Calibri"/>
          <w:bCs/>
          <w:kern w:val="32"/>
          <w:sz w:val="24"/>
          <w:szCs w:val="28"/>
        </w:rPr>
        <w:t xml:space="preserve"> procedures described in the DEP document "Nonpoint Source Grant Administrative Guidelines".</w:t>
      </w:r>
    </w:p>
    <w:p w:rsidR="004E192B" w:rsidRPr="00515119" w:rsidRDefault="004E192B" w:rsidP="004E192B">
      <w:pPr>
        <w:widowControl/>
        <w:numPr>
          <w:ilvl w:val="0"/>
          <w:numId w:val="4"/>
        </w:numPr>
        <w:autoSpaceDE/>
        <w:autoSpaceDN/>
        <w:spacing w:before="120" w:after="120"/>
        <w:ind w:right="144"/>
        <w:contextualSpacing/>
        <w:jc w:val="both"/>
        <w:rPr>
          <w:rFonts w:cs="Calibri"/>
          <w:i/>
          <w:sz w:val="24"/>
          <w:szCs w:val="22"/>
        </w:rPr>
      </w:pPr>
      <w:r w:rsidRPr="00515119">
        <w:rPr>
          <w:rFonts w:cs="Calibri"/>
          <w:sz w:val="24"/>
          <w:szCs w:val="22"/>
        </w:rPr>
        <w:t xml:space="preserve">Semi-annual Progress Reports, Final Project Report, Sub-contract </w:t>
      </w:r>
      <w:r w:rsidRPr="00515119">
        <w:rPr>
          <w:rFonts w:cs="Calibri"/>
          <w:i/>
          <w:sz w:val="24"/>
          <w:szCs w:val="22"/>
        </w:rPr>
        <w:t>(Task 1)</w:t>
      </w:r>
    </w:p>
    <w:p w:rsidR="004E192B" w:rsidRPr="00515119" w:rsidRDefault="004E192B" w:rsidP="004E192B">
      <w:pPr>
        <w:widowControl/>
        <w:numPr>
          <w:ilvl w:val="0"/>
          <w:numId w:val="4"/>
        </w:numPr>
        <w:autoSpaceDE/>
        <w:autoSpaceDN/>
        <w:spacing w:before="120" w:after="120"/>
        <w:ind w:right="144"/>
        <w:contextualSpacing/>
        <w:jc w:val="both"/>
        <w:rPr>
          <w:rFonts w:cs="Calibri"/>
          <w:sz w:val="24"/>
          <w:szCs w:val="22"/>
        </w:rPr>
      </w:pPr>
      <w:r w:rsidRPr="00515119">
        <w:rPr>
          <w:rFonts w:cs="Calibri"/>
          <w:sz w:val="24"/>
          <w:szCs w:val="22"/>
        </w:rPr>
        <w:t xml:space="preserve">Stakeholder/landowner meeting minutes </w:t>
      </w:r>
      <w:r w:rsidRPr="00515119">
        <w:rPr>
          <w:rFonts w:cs="Calibri"/>
          <w:i/>
          <w:sz w:val="24"/>
          <w:szCs w:val="22"/>
        </w:rPr>
        <w:t>(Task 2)</w:t>
      </w:r>
    </w:p>
    <w:p w:rsidR="004E192B" w:rsidRPr="00515119" w:rsidRDefault="004E192B" w:rsidP="004E192B">
      <w:pPr>
        <w:widowControl/>
        <w:numPr>
          <w:ilvl w:val="0"/>
          <w:numId w:val="4"/>
        </w:numPr>
        <w:autoSpaceDE/>
        <w:autoSpaceDN/>
        <w:spacing w:before="120" w:after="120"/>
        <w:ind w:right="144"/>
        <w:contextualSpacing/>
        <w:jc w:val="both"/>
        <w:rPr>
          <w:rFonts w:cs="Calibri"/>
          <w:sz w:val="24"/>
          <w:szCs w:val="22"/>
        </w:rPr>
      </w:pPr>
      <w:r w:rsidRPr="00515119">
        <w:rPr>
          <w:rFonts w:cs="Calibri"/>
          <w:sz w:val="24"/>
          <w:szCs w:val="22"/>
        </w:rPr>
        <w:t xml:space="preserve">Technical Advisory Committee meeting minutes </w:t>
      </w:r>
      <w:r w:rsidRPr="00515119">
        <w:rPr>
          <w:rFonts w:cs="Calibri"/>
          <w:i/>
          <w:sz w:val="24"/>
          <w:szCs w:val="22"/>
        </w:rPr>
        <w:t>(Task 3)</w:t>
      </w:r>
    </w:p>
    <w:p w:rsidR="004E192B" w:rsidRPr="00515119" w:rsidRDefault="004E192B" w:rsidP="004E192B">
      <w:pPr>
        <w:widowControl/>
        <w:numPr>
          <w:ilvl w:val="0"/>
          <w:numId w:val="4"/>
        </w:numPr>
        <w:autoSpaceDE/>
        <w:autoSpaceDN/>
        <w:spacing w:before="120" w:after="120"/>
        <w:ind w:right="144"/>
        <w:contextualSpacing/>
        <w:jc w:val="both"/>
        <w:rPr>
          <w:rFonts w:cs="Calibri"/>
          <w:sz w:val="24"/>
          <w:szCs w:val="22"/>
        </w:rPr>
      </w:pPr>
      <w:r w:rsidRPr="00515119">
        <w:rPr>
          <w:rFonts w:cs="Calibri"/>
          <w:sz w:val="24"/>
          <w:szCs w:val="22"/>
        </w:rPr>
        <w:t xml:space="preserve">Complete Database, Secondary Data Quality Assurance Guide, Gap Analysis </w:t>
      </w:r>
      <w:r w:rsidRPr="00515119">
        <w:rPr>
          <w:rFonts w:cs="Calibri"/>
          <w:i/>
          <w:sz w:val="24"/>
          <w:szCs w:val="22"/>
        </w:rPr>
        <w:t>(Task 4)</w:t>
      </w:r>
    </w:p>
    <w:p w:rsidR="004E192B" w:rsidRPr="00515119" w:rsidRDefault="004E192B" w:rsidP="004E192B">
      <w:pPr>
        <w:widowControl/>
        <w:numPr>
          <w:ilvl w:val="0"/>
          <w:numId w:val="4"/>
        </w:numPr>
        <w:autoSpaceDE/>
        <w:autoSpaceDN/>
        <w:spacing w:before="120" w:after="120"/>
        <w:ind w:right="144"/>
        <w:contextualSpacing/>
        <w:jc w:val="both"/>
        <w:rPr>
          <w:rFonts w:cs="Calibri"/>
          <w:sz w:val="24"/>
          <w:szCs w:val="22"/>
        </w:rPr>
      </w:pPr>
      <w:r w:rsidRPr="00515119">
        <w:rPr>
          <w:rFonts w:cs="Calibri"/>
          <w:sz w:val="24"/>
          <w:szCs w:val="22"/>
        </w:rPr>
        <w:t xml:space="preserve">Sampling &amp; Analysis Plan (SAP), Final Sampling Report </w:t>
      </w:r>
      <w:r w:rsidRPr="00515119">
        <w:rPr>
          <w:rFonts w:cs="Calibri"/>
          <w:i/>
          <w:sz w:val="24"/>
          <w:szCs w:val="22"/>
        </w:rPr>
        <w:t>(Task 5)</w:t>
      </w:r>
    </w:p>
    <w:p w:rsidR="004E192B" w:rsidRPr="00515119" w:rsidRDefault="004E192B" w:rsidP="004E192B">
      <w:pPr>
        <w:widowControl/>
        <w:numPr>
          <w:ilvl w:val="0"/>
          <w:numId w:val="4"/>
        </w:numPr>
        <w:autoSpaceDE/>
        <w:autoSpaceDN/>
        <w:spacing w:before="120" w:after="120"/>
        <w:ind w:right="144"/>
        <w:contextualSpacing/>
        <w:jc w:val="both"/>
        <w:rPr>
          <w:rFonts w:cs="Calibri"/>
          <w:sz w:val="24"/>
          <w:szCs w:val="22"/>
        </w:rPr>
      </w:pPr>
      <w:r w:rsidRPr="00515119">
        <w:rPr>
          <w:rFonts w:cs="Calibri"/>
          <w:sz w:val="24"/>
          <w:szCs w:val="22"/>
        </w:rPr>
        <w:t xml:space="preserve">Hotspot Source Analysis and Action Plan </w:t>
      </w:r>
      <w:r w:rsidRPr="00515119">
        <w:rPr>
          <w:rFonts w:cs="Calibri"/>
          <w:i/>
          <w:sz w:val="24"/>
          <w:szCs w:val="22"/>
        </w:rPr>
        <w:t>(Task 6)</w:t>
      </w:r>
    </w:p>
    <w:p w:rsidR="004E192B" w:rsidRPr="00515119" w:rsidRDefault="004E192B" w:rsidP="004E192B">
      <w:pPr>
        <w:widowControl/>
        <w:numPr>
          <w:ilvl w:val="0"/>
          <w:numId w:val="4"/>
        </w:numPr>
        <w:autoSpaceDE/>
        <w:autoSpaceDN/>
        <w:spacing w:before="120" w:after="120"/>
        <w:ind w:right="144"/>
        <w:contextualSpacing/>
        <w:jc w:val="both"/>
        <w:rPr>
          <w:rFonts w:cs="Calibri"/>
          <w:sz w:val="24"/>
          <w:szCs w:val="22"/>
        </w:rPr>
      </w:pPr>
      <w:r w:rsidRPr="00515119">
        <w:rPr>
          <w:rFonts w:cs="Calibri"/>
          <w:sz w:val="24"/>
          <w:szCs w:val="22"/>
        </w:rPr>
        <w:t xml:space="preserve">Copies of education &amp; outreach materials </w:t>
      </w:r>
      <w:r w:rsidRPr="00515119">
        <w:rPr>
          <w:rFonts w:cs="Calibri"/>
          <w:i/>
          <w:sz w:val="24"/>
          <w:szCs w:val="22"/>
        </w:rPr>
        <w:t>(Task 7)</w:t>
      </w:r>
    </w:p>
    <w:p w:rsidR="004E192B" w:rsidRPr="00515119" w:rsidRDefault="004E192B" w:rsidP="004E192B">
      <w:pPr>
        <w:widowControl/>
        <w:numPr>
          <w:ilvl w:val="0"/>
          <w:numId w:val="4"/>
        </w:numPr>
        <w:autoSpaceDE/>
        <w:autoSpaceDN/>
        <w:spacing w:before="120"/>
        <w:ind w:right="144"/>
        <w:contextualSpacing/>
        <w:jc w:val="both"/>
        <w:rPr>
          <w:rFonts w:cs="Calibri"/>
          <w:sz w:val="24"/>
          <w:szCs w:val="22"/>
        </w:rPr>
      </w:pPr>
      <w:r w:rsidRPr="00515119">
        <w:rPr>
          <w:rFonts w:cs="Calibri"/>
          <w:sz w:val="24"/>
          <w:szCs w:val="22"/>
        </w:rPr>
        <w:t>Final Watershed-based Plan</w:t>
      </w:r>
      <w:r w:rsidRPr="00515119">
        <w:rPr>
          <w:rFonts w:cs="Calibri"/>
          <w:i/>
          <w:sz w:val="24"/>
          <w:szCs w:val="22"/>
        </w:rPr>
        <w:t xml:space="preserve"> (Task 8)</w:t>
      </w:r>
    </w:p>
    <w:p w:rsidR="004E192B" w:rsidRDefault="004E192B" w:rsidP="00B62170">
      <w:pPr>
        <w:pStyle w:val="DefaultText"/>
        <w:rPr>
          <w:rStyle w:val="InitialStyle"/>
          <w:b/>
          <w:bCs/>
          <w:szCs w:val="28"/>
        </w:rPr>
      </w:pPr>
    </w:p>
    <w:p w:rsidR="00715569" w:rsidRDefault="00715569" w:rsidP="00B62170">
      <w:pPr>
        <w:pStyle w:val="DefaultText"/>
        <w:rPr>
          <w:rStyle w:val="InitialStyle"/>
          <w:b/>
          <w:bCs/>
          <w:szCs w:val="28"/>
        </w:rPr>
      </w:pPr>
    </w:p>
    <w:p w:rsidR="00B62170" w:rsidRPr="00DC6333" w:rsidRDefault="00B62170" w:rsidP="00B62170">
      <w:pPr>
        <w:pStyle w:val="DefaultText"/>
        <w:rPr>
          <w:rStyle w:val="InitialStyle"/>
          <w:b/>
          <w:bCs/>
          <w:szCs w:val="28"/>
          <w:u w:val="single"/>
        </w:rPr>
      </w:pPr>
      <w:r w:rsidRPr="00BC46A6">
        <w:rPr>
          <w:rStyle w:val="InitialStyle"/>
          <w:b/>
          <w:bCs/>
          <w:szCs w:val="28"/>
        </w:rPr>
        <w:t xml:space="preserve">IX. </w:t>
      </w:r>
      <w:r w:rsidRPr="00DC6333">
        <w:rPr>
          <w:rStyle w:val="InitialStyle"/>
          <w:b/>
          <w:bCs/>
          <w:szCs w:val="28"/>
          <w:u w:val="single"/>
        </w:rPr>
        <w:t>Interagency Coordination, Roles and Responsibility</w:t>
      </w:r>
    </w:p>
    <w:p w:rsidR="00B62170" w:rsidRDefault="00B62170" w:rsidP="00B62170">
      <w:pPr>
        <w:pStyle w:val="DefaultText"/>
        <w:rPr>
          <w:rStyle w:val="InitialStyle"/>
          <w:bCs/>
          <w:szCs w:val="28"/>
        </w:rPr>
      </w:pPr>
    </w:p>
    <w:p w:rsidR="004E192B" w:rsidRPr="00515119" w:rsidRDefault="004E192B" w:rsidP="004E192B">
      <w:pPr>
        <w:widowControl/>
        <w:autoSpaceDE/>
        <w:autoSpaceDN/>
        <w:spacing w:after="120"/>
        <w:ind w:right="144"/>
        <w:jc w:val="both"/>
        <w:rPr>
          <w:rFonts w:cs="Calibri"/>
          <w:sz w:val="24"/>
          <w:szCs w:val="22"/>
        </w:rPr>
      </w:pPr>
      <w:r w:rsidRPr="00515119">
        <w:rPr>
          <w:rFonts w:cs="Calibri"/>
          <w:b/>
          <w:sz w:val="24"/>
          <w:szCs w:val="22"/>
        </w:rPr>
        <w:t xml:space="preserve">Town of Waldoboro. </w:t>
      </w:r>
      <w:r w:rsidRPr="00515119">
        <w:rPr>
          <w:rFonts w:cs="Calibri"/>
          <w:sz w:val="24"/>
          <w:szCs w:val="22"/>
        </w:rPr>
        <w:t xml:space="preserve">Will act as the project coordinator and be an active participant in all phases of the project. </w:t>
      </w:r>
    </w:p>
    <w:p w:rsidR="004E192B" w:rsidRPr="00515119" w:rsidRDefault="004E192B" w:rsidP="004E192B">
      <w:pPr>
        <w:widowControl/>
        <w:autoSpaceDE/>
        <w:autoSpaceDN/>
        <w:spacing w:after="120"/>
        <w:ind w:right="144"/>
        <w:jc w:val="both"/>
        <w:rPr>
          <w:rFonts w:cs="Calibri"/>
          <w:sz w:val="24"/>
          <w:szCs w:val="22"/>
        </w:rPr>
      </w:pPr>
      <w:r w:rsidRPr="00515119">
        <w:rPr>
          <w:rFonts w:cs="Calibri"/>
          <w:b/>
          <w:sz w:val="24"/>
          <w:szCs w:val="22"/>
        </w:rPr>
        <w:t xml:space="preserve">Waldoboro Shellfish Committee. </w:t>
      </w:r>
      <w:r w:rsidRPr="00515119">
        <w:rPr>
          <w:rFonts w:cs="Calibri"/>
          <w:sz w:val="24"/>
          <w:szCs w:val="22"/>
        </w:rPr>
        <w:t>Will serve as a key member on the TAC and support sampling.</w:t>
      </w:r>
    </w:p>
    <w:p w:rsidR="004E192B" w:rsidRPr="00515119" w:rsidRDefault="004E192B" w:rsidP="004E192B">
      <w:pPr>
        <w:widowControl/>
        <w:autoSpaceDE/>
        <w:autoSpaceDN/>
        <w:spacing w:after="120"/>
        <w:ind w:right="144"/>
        <w:jc w:val="both"/>
        <w:rPr>
          <w:rFonts w:cs="Calibri"/>
          <w:sz w:val="24"/>
          <w:szCs w:val="22"/>
        </w:rPr>
      </w:pPr>
      <w:r w:rsidRPr="00515119">
        <w:rPr>
          <w:rFonts w:cs="Calibri"/>
          <w:b/>
          <w:sz w:val="24"/>
          <w:szCs w:val="22"/>
        </w:rPr>
        <w:t>Waldoboro Utility District.</w:t>
      </w:r>
      <w:r w:rsidRPr="00515119">
        <w:rPr>
          <w:rFonts w:cs="Calibri"/>
          <w:sz w:val="24"/>
          <w:szCs w:val="22"/>
        </w:rPr>
        <w:t xml:space="preserve"> Will serve as a key member on the Technical Advisory Committee.</w:t>
      </w:r>
    </w:p>
    <w:p w:rsidR="004E192B" w:rsidRPr="00515119" w:rsidRDefault="004E192B" w:rsidP="004E192B">
      <w:pPr>
        <w:widowControl/>
        <w:autoSpaceDE/>
        <w:autoSpaceDN/>
        <w:spacing w:after="120"/>
        <w:ind w:right="144"/>
        <w:jc w:val="both"/>
        <w:rPr>
          <w:rFonts w:cs="Calibri"/>
          <w:sz w:val="24"/>
          <w:szCs w:val="22"/>
        </w:rPr>
      </w:pPr>
      <w:proofErr w:type="spellStart"/>
      <w:r w:rsidRPr="00515119">
        <w:rPr>
          <w:rFonts w:cs="Calibri"/>
          <w:b/>
          <w:sz w:val="24"/>
          <w:szCs w:val="22"/>
        </w:rPr>
        <w:t>Medomak</w:t>
      </w:r>
      <w:proofErr w:type="spellEnd"/>
      <w:r w:rsidRPr="00515119">
        <w:rPr>
          <w:rFonts w:cs="Calibri"/>
          <w:b/>
          <w:sz w:val="24"/>
          <w:szCs w:val="22"/>
        </w:rPr>
        <w:t xml:space="preserve"> Valley Land Trust. </w:t>
      </w:r>
      <w:r w:rsidRPr="00515119">
        <w:rPr>
          <w:rFonts w:cs="Calibri"/>
          <w:sz w:val="24"/>
          <w:szCs w:val="22"/>
        </w:rPr>
        <w:t xml:space="preserve">The </w:t>
      </w:r>
      <w:proofErr w:type="spellStart"/>
      <w:r w:rsidRPr="00515119">
        <w:rPr>
          <w:rFonts w:cs="Calibri"/>
          <w:sz w:val="24"/>
          <w:szCs w:val="22"/>
        </w:rPr>
        <w:t>Medomak</w:t>
      </w:r>
      <w:proofErr w:type="spellEnd"/>
      <w:r w:rsidRPr="00515119">
        <w:rPr>
          <w:rFonts w:cs="Calibri"/>
          <w:sz w:val="24"/>
          <w:szCs w:val="22"/>
        </w:rPr>
        <w:t xml:space="preserve"> Valley Land Trust will serve as assistants to the town with project management; specifically helping with landowner coordination.</w:t>
      </w:r>
    </w:p>
    <w:p w:rsidR="004E192B" w:rsidRPr="00515119" w:rsidRDefault="004E192B" w:rsidP="004E192B">
      <w:pPr>
        <w:widowControl/>
        <w:autoSpaceDE/>
        <w:autoSpaceDN/>
        <w:spacing w:after="120"/>
        <w:ind w:right="144"/>
        <w:jc w:val="both"/>
        <w:rPr>
          <w:rFonts w:cs="Calibri"/>
          <w:sz w:val="24"/>
          <w:szCs w:val="22"/>
        </w:rPr>
      </w:pPr>
      <w:r w:rsidRPr="00515119">
        <w:rPr>
          <w:rFonts w:cs="Calibri"/>
          <w:b/>
          <w:sz w:val="24"/>
          <w:szCs w:val="22"/>
        </w:rPr>
        <w:t xml:space="preserve">Maine Department of Environmental Protection (Maine DEP). </w:t>
      </w:r>
      <w:r w:rsidRPr="00515119">
        <w:rPr>
          <w:rFonts w:cs="Calibri"/>
          <w:sz w:val="24"/>
          <w:szCs w:val="22"/>
        </w:rPr>
        <w:t>Will serve as technical advisors for the project, including a seat on the TAC. Maine DEP will administer the grant and will provide review and comment on all deliverables.</w:t>
      </w:r>
    </w:p>
    <w:p w:rsidR="004E192B" w:rsidRPr="00515119" w:rsidRDefault="004E192B" w:rsidP="004E192B">
      <w:pPr>
        <w:widowControl/>
        <w:autoSpaceDE/>
        <w:autoSpaceDN/>
        <w:spacing w:after="120"/>
        <w:ind w:right="144"/>
        <w:jc w:val="both"/>
        <w:rPr>
          <w:rFonts w:cs="Calibri"/>
          <w:b/>
          <w:sz w:val="24"/>
          <w:szCs w:val="22"/>
        </w:rPr>
      </w:pPr>
      <w:r w:rsidRPr="00515119">
        <w:rPr>
          <w:rFonts w:cs="Calibri"/>
          <w:b/>
          <w:sz w:val="24"/>
          <w:szCs w:val="22"/>
        </w:rPr>
        <w:t>Maine Department of Marine Resources (Maine DMR).</w:t>
      </w:r>
      <w:r w:rsidRPr="00515119">
        <w:rPr>
          <w:rFonts w:cs="Calibri"/>
          <w:sz w:val="24"/>
          <w:szCs w:val="22"/>
        </w:rPr>
        <w:t xml:space="preserve"> Will serve on the TAC and will provide technical input on the shellfish closures and historical data collected by Maine DMR.</w:t>
      </w:r>
    </w:p>
    <w:p w:rsidR="004E192B" w:rsidRPr="00515119" w:rsidRDefault="004E192B" w:rsidP="004E192B">
      <w:pPr>
        <w:widowControl/>
        <w:autoSpaceDE/>
        <w:autoSpaceDN/>
        <w:spacing w:after="120"/>
        <w:ind w:right="144"/>
        <w:jc w:val="both"/>
        <w:rPr>
          <w:rFonts w:cs="Calibri"/>
          <w:sz w:val="24"/>
          <w:szCs w:val="22"/>
        </w:rPr>
      </w:pPr>
      <w:r w:rsidRPr="00515119">
        <w:rPr>
          <w:rFonts w:cs="Calibri"/>
          <w:b/>
          <w:sz w:val="24"/>
          <w:szCs w:val="22"/>
        </w:rPr>
        <w:t>University of Maine.</w:t>
      </w:r>
      <w:r w:rsidRPr="00515119">
        <w:rPr>
          <w:rFonts w:cs="Calibri"/>
          <w:sz w:val="24"/>
          <w:szCs w:val="22"/>
        </w:rPr>
        <w:t xml:space="preserve"> Will serve as a member on the Technical Advisory Committee.</w:t>
      </w:r>
    </w:p>
    <w:p w:rsidR="004E192B" w:rsidRDefault="004E192B" w:rsidP="004E192B">
      <w:pPr>
        <w:widowControl/>
        <w:autoSpaceDE/>
        <w:autoSpaceDN/>
        <w:ind w:right="144"/>
        <w:jc w:val="both"/>
      </w:pPr>
      <w:r w:rsidRPr="00515119">
        <w:rPr>
          <w:rFonts w:cs="Calibri"/>
          <w:b/>
          <w:sz w:val="24"/>
          <w:szCs w:val="22"/>
        </w:rPr>
        <w:t xml:space="preserve">US Environmental Protection Agency (US EPA).  </w:t>
      </w:r>
      <w:r w:rsidRPr="00515119">
        <w:rPr>
          <w:rFonts w:cs="Calibri"/>
          <w:sz w:val="24"/>
          <w:szCs w:val="22"/>
        </w:rPr>
        <w:t>Will provide project funding and guidance.</w:t>
      </w:r>
    </w:p>
    <w:p w:rsidR="00B62170" w:rsidRDefault="00B62170" w:rsidP="00B62170">
      <w:pPr>
        <w:pStyle w:val="DefaultText"/>
        <w:rPr>
          <w:rStyle w:val="InitialStyle"/>
          <w:bCs/>
          <w:szCs w:val="28"/>
        </w:rPr>
      </w:pPr>
      <w:r w:rsidRPr="00DC6333">
        <w:rPr>
          <w:rStyle w:val="InitialStyle"/>
          <w:b/>
          <w:bCs/>
          <w:szCs w:val="28"/>
        </w:rPr>
        <w:t>Maine Department of Environmental Protection</w:t>
      </w:r>
      <w:r>
        <w:rPr>
          <w:rStyle w:val="InitialStyle"/>
          <w:bCs/>
          <w:szCs w:val="28"/>
        </w:rPr>
        <w:t xml:space="preserve"> will administer project funding, serve as the project advisor and provide project and technical support.</w:t>
      </w:r>
    </w:p>
    <w:p w:rsidR="00B62170" w:rsidRDefault="00B62170" w:rsidP="00B62170">
      <w:pPr>
        <w:pStyle w:val="DefaultText"/>
        <w:rPr>
          <w:rStyle w:val="InitialStyle"/>
          <w:bCs/>
          <w:szCs w:val="28"/>
        </w:rPr>
      </w:pPr>
    </w:p>
    <w:p w:rsidR="00B62170" w:rsidRDefault="00B62170" w:rsidP="00B62170">
      <w:pPr>
        <w:jc w:val="both"/>
        <w:rPr>
          <w:b/>
          <w:sz w:val="24"/>
          <w:u w:val="single"/>
        </w:rPr>
      </w:pPr>
      <w:r w:rsidRPr="008801D7">
        <w:rPr>
          <w:b/>
          <w:sz w:val="24"/>
        </w:rPr>
        <w:t xml:space="preserve">X.  </w:t>
      </w:r>
      <w:r w:rsidRPr="008801D7">
        <w:rPr>
          <w:b/>
          <w:sz w:val="24"/>
          <w:u w:val="single"/>
        </w:rPr>
        <w:t>Project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05"/>
      </w:tblGrid>
      <w:tr w:rsidR="00B62170" w:rsidRPr="000F4C57" w:rsidTr="00EB753E">
        <w:trPr>
          <w:trHeight w:val="346"/>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B62170" w:rsidP="00EB753E">
            <w:pPr>
              <w:pStyle w:val="DefaultText"/>
              <w:rPr>
                <w:bCs/>
                <w:szCs w:val="28"/>
              </w:rPr>
            </w:pPr>
            <w:r>
              <w:rPr>
                <w:bCs/>
                <w:szCs w:val="28"/>
              </w:rPr>
              <w:t>Name</w:t>
            </w:r>
            <w:r w:rsidRPr="000F4C57">
              <w:rPr>
                <w:bCs/>
                <w:szCs w:val="28"/>
              </w:rPr>
              <w:t xml:space="preserve"> </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rsidR="00B62170" w:rsidRPr="000F4C57" w:rsidRDefault="004E192B" w:rsidP="00EB753E">
            <w:pPr>
              <w:pStyle w:val="DefaultText"/>
              <w:rPr>
                <w:bCs/>
                <w:szCs w:val="28"/>
              </w:rPr>
            </w:pPr>
            <w:r>
              <w:rPr>
                <w:bCs/>
                <w:szCs w:val="28"/>
              </w:rPr>
              <w:t>Julie Keizer, Town Manager</w:t>
            </w:r>
          </w:p>
        </w:tc>
      </w:tr>
      <w:tr w:rsidR="00B62170" w:rsidRPr="000F4C57" w:rsidTr="00EB753E">
        <w:trPr>
          <w:trHeight w:val="346"/>
        </w:trPr>
        <w:tc>
          <w:tcPr>
            <w:tcW w:w="3145" w:type="dxa"/>
            <w:shd w:val="clear" w:color="auto" w:fill="auto"/>
            <w:vAlign w:val="center"/>
          </w:tcPr>
          <w:p w:rsidR="00B62170" w:rsidRPr="000F4C57" w:rsidRDefault="00B62170" w:rsidP="00EB753E">
            <w:pPr>
              <w:pStyle w:val="DefaultText"/>
              <w:rPr>
                <w:bCs/>
                <w:szCs w:val="28"/>
              </w:rPr>
            </w:pPr>
            <w:r>
              <w:rPr>
                <w:bCs/>
                <w:szCs w:val="28"/>
              </w:rPr>
              <w:t>Organization</w:t>
            </w:r>
            <w:r w:rsidRPr="000F4C57">
              <w:rPr>
                <w:bCs/>
                <w:szCs w:val="28"/>
              </w:rPr>
              <w:t xml:space="preserve"> </w:t>
            </w:r>
          </w:p>
        </w:tc>
        <w:tc>
          <w:tcPr>
            <w:tcW w:w="6205" w:type="dxa"/>
            <w:shd w:val="clear" w:color="auto" w:fill="auto"/>
            <w:vAlign w:val="center"/>
          </w:tcPr>
          <w:p w:rsidR="00B62170" w:rsidRPr="000F4C57" w:rsidRDefault="004E192B" w:rsidP="00EB753E">
            <w:pPr>
              <w:pStyle w:val="DefaultText"/>
              <w:rPr>
                <w:bCs/>
                <w:szCs w:val="28"/>
              </w:rPr>
            </w:pPr>
            <w:r>
              <w:rPr>
                <w:bCs/>
                <w:szCs w:val="28"/>
              </w:rPr>
              <w:t>Town of Waldoboro</w:t>
            </w:r>
          </w:p>
        </w:tc>
      </w:tr>
      <w:tr w:rsidR="00B62170" w:rsidRPr="000F4C57" w:rsidTr="00EB753E">
        <w:trPr>
          <w:trHeight w:val="346"/>
        </w:trPr>
        <w:tc>
          <w:tcPr>
            <w:tcW w:w="3145" w:type="dxa"/>
            <w:shd w:val="clear" w:color="auto" w:fill="auto"/>
            <w:vAlign w:val="center"/>
          </w:tcPr>
          <w:p w:rsidR="00B62170" w:rsidRDefault="00B62170" w:rsidP="00EB753E">
            <w:pPr>
              <w:pStyle w:val="DefaultText"/>
              <w:rPr>
                <w:bCs/>
                <w:szCs w:val="28"/>
              </w:rPr>
            </w:pPr>
            <w:r>
              <w:rPr>
                <w:bCs/>
                <w:szCs w:val="28"/>
              </w:rPr>
              <w:t>Mailing Address</w:t>
            </w:r>
          </w:p>
        </w:tc>
        <w:tc>
          <w:tcPr>
            <w:tcW w:w="6205" w:type="dxa"/>
            <w:shd w:val="clear" w:color="auto" w:fill="auto"/>
            <w:vAlign w:val="center"/>
          </w:tcPr>
          <w:p w:rsidR="004E192B" w:rsidRPr="004E192B" w:rsidRDefault="004E192B" w:rsidP="004E192B">
            <w:pPr>
              <w:pStyle w:val="DefaultText"/>
              <w:rPr>
                <w:bCs/>
                <w:szCs w:val="28"/>
              </w:rPr>
            </w:pPr>
            <w:r w:rsidRPr="004E192B">
              <w:rPr>
                <w:bCs/>
                <w:szCs w:val="28"/>
              </w:rPr>
              <w:t>1600 Atlantic Highway</w:t>
            </w:r>
            <w:r w:rsidR="00CA6360">
              <w:rPr>
                <w:bCs/>
                <w:szCs w:val="28"/>
              </w:rPr>
              <w:t xml:space="preserve">, </w:t>
            </w:r>
            <w:r w:rsidRPr="004E192B">
              <w:rPr>
                <w:bCs/>
                <w:szCs w:val="28"/>
              </w:rPr>
              <w:t>P.O. Box J</w:t>
            </w:r>
          </w:p>
          <w:p w:rsidR="00B62170" w:rsidRPr="000F4C57" w:rsidRDefault="004E192B" w:rsidP="004E192B">
            <w:pPr>
              <w:pStyle w:val="DefaultText"/>
              <w:rPr>
                <w:bCs/>
                <w:szCs w:val="28"/>
              </w:rPr>
            </w:pPr>
            <w:r w:rsidRPr="004E192B">
              <w:rPr>
                <w:bCs/>
                <w:szCs w:val="28"/>
              </w:rPr>
              <w:t>Waldoboro, ME 04572</w:t>
            </w:r>
          </w:p>
        </w:tc>
      </w:tr>
      <w:tr w:rsidR="00B62170" w:rsidRPr="000F4C57" w:rsidTr="00EB753E">
        <w:trPr>
          <w:trHeight w:val="346"/>
        </w:trPr>
        <w:tc>
          <w:tcPr>
            <w:tcW w:w="3145" w:type="dxa"/>
            <w:shd w:val="clear" w:color="auto" w:fill="auto"/>
            <w:vAlign w:val="center"/>
          </w:tcPr>
          <w:p w:rsidR="00B62170" w:rsidRDefault="00B62170" w:rsidP="00EB753E">
            <w:pPr>
              <w:pStyle w:val="DefaultText"/>
              <w:rPr>
                <w:bCs/>
                <w:szCs w:val="28"/>
              </w:rPr>
            </w:pPr>
            <w:r>
              <w:rPr>
                <w:bCs/>
                <w:szCs w:val="28"/>
              </w:rPr>
              <w:t>Telephone Number</w:t>
            </w:r>
          </w:p>
        </w:tc>
        <w:tc>
          <w:tcPr>
            <w:tcW w:w="6205" w:type="dxa"/>
            <w:shd w:val="clear" w:color="auto" w:fill="auto"/>
            <w:vAlign w:val="center"/>
          </w:tcPr>
          <w:p w:rsidR="00B62170" w:rsidRPr="000F4C57" w:rsidRDefault="004E192B" w:rsidP="00EB753E">
            <w:pPr>
              <w:pStyle w:val="DefaultText"/>
              <w:rPr>
                <w:bCs/>
                <w:szCs w:val="28"/>
              </w:rPr>
            </w:pPr>
            <w:r>
              <w:rPr>
                <w:bCs/>
                <w:szCs w:val="28"/>
              </w:rPr>
              <w:t>(207) 832-</w:t>
            </w:r>
            <w:r w:rsidRPr="004E192B">
              <w:rPr>
                <w:bCs/>
                <w:szCs w:val="28"/>
              </w:rPr>
              <w:t>5369</w:t>
            </w:r>
          </w:p>
        </w:tc>
      </w:tr>
      <w:tr w:rsidR="00B62170" w:rsidRPr="000F4C57" w:rsidTr="00EB753E">
        <w:trPr>
          <w:trHeight w:val="346"/>
        </w:trPr>
        <w:tc>
          <w:tcPr>
            <w:tcW w:w="3145" w:type="dxa"/>
            <w:shd w:val="clear" w:color="auto" w:fill="auto"/>
            <w:vAlign w:val="center"/>
          </w:tcPr>
          <w:p w:rsidR="00B62170" w:rsidRDefault="00B62170" w:rsidP="00EB753E">
            <w:pPr>
              <w:pStyle w:val="DefaultText"/>
              <w:rPr>
                <w:bCs/>
                <w:szCs w:val="28"/>
              </w:rPr>
            </w:pPr>
            <w:r>
              <w:rPr>
                <w:bCs/>
                <w:szCs w:val="28"/>
              </w:rPr>
              <w:t>Email Address</w:t>
            </w:r>
          </w:p>
        </w:tc>
        <w:tc>
          <w:tcPr>
            <w:tcW w:w="6205" w:type="dxa"/>
            <w:shd w:val="clear" w:color="auto" w:fill="auto"/>
            <w:vAlign w:val="center"/>
          </w:tcPr>
          <w:p w:rsidR="00B62170" w:rsidRPr="000F4C57" w:rsidRDefault="00FB7B8B" w:rsidP="00EB753E">
            <w:pPr>
              <w:pStyle w:val="DefaultText"/>
              <w:rPr>
                <w:bCs/>
                <w:szCs w:val="28"/>
              </w:rPr>
            </w:pPr>
            <w:hyperlink r:id="rId7" w:history="1">
              <w:r w:rsidR="004E192B" w:rsidRPr="00E46DB0">
                <w:rPr>
                  <w:rStyle w:val="Hyperlink"/>
                  <w:szCs w:val="28"/>
                </w:rPr>
                <w:t>townmgr@waldoboromaine.org</w:t>
              </w:r>
            </w:hyperlink>
            <w:r w:rsidR="004E192B">
              <w:rPr>
                <w:bCs/>
                <w:szCs w:val="28"/>
              </w:rPr>
              <w:t xml:space="preserve"> </w:t>
            </w:r>
          </w:p>
        </w:tc>
      </w:tr>
    </w:tbl>
    <w:p w:rsidR="005D51ED" w:rsidRDefault="005D51ED"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Default="00715569" w:rsidP="00CA6360"/>
    <w:p w:rsidR="00715569" w:rsidRPr="00715569" w:rsidRDefault="00715569" w:rsidP="00715569">
      <w:pPr>
        <w:widowControl/>
        <w:autoSpaceDE/>
        <w:autoSpaceDN/>
        <w:spacing w:before="120"/>
        <w:ind w:right="144"/>
        <w:jc w:val="both"/>
        <w:rPr>
          <w:b/>
          <w:sz w:val="24"/>
          <w:szCs w:val="24"/>
          <w:u w:val="single"/>
        </w:rPr>
      </w:pPr>
      <w:r w:rsidRPr="00715569">
        <w:rPr>
          <w:b/>
          <w:sz w:val="24"/>
          <w:szCs w:val="24"/>
          <w:u w:val="single"/>
        </w:rPr>
        <w:t>Project Budget:</w:t>
      </w:r>
    </w:p>
    <w:p w:rsidR="00715569" w:rsidRPr="00715569" w:rsidRDefault="00715569" w:rsidP="00715569">
      <w:pPr>
        <w:widowControl/>
        <w:autoSpaceDE/>
        <w:autoSpaceDN/>
        <w:ind w:right="144"/>
        <w:jc w:val="both"/>
        <w:rPr>
          <w:sz w:val="24"/>
          <w:szCs w:val="24"/>
          <w:u w:val="single"/>
        </w:rPr>
      </w:pPr>
    </w:p>
    <w:p w:rsidR="00715569" w:rsidRPr="00715569" w:rsidRDefault="00715569" w:rsidP="00715569">
      <w:pPr>
        <w:widowControl/>
        <w:autoSpaceDE/>
        <w:autoSpaceDN/>
        <w:spacing w:after="120"/>
        <w:ind w:right="144"/>
        <w:jc w:val="both"/>
        <w:rPr>
          <w:b/>
          <w:sz w:val="24"/>
          <w:szCs w:val="24"/>
        </w:rPr>
      </w:pPr>
      <w:r w:rsidRPr="00715569">
        <w:rPr>
          <w:b/>
          <w:sz w:val="24"/>
          <w:szCs w:val="24"/>
          <w:u w:val="single"/>
        </w:rPr>
        <w:t>Part 1</w:t>
      </w:r>
      <w:r w:rsidRPr="00715569">
        <w:rPr>
          <w:b/>
          <w:sz w:val="24"/>
          <w:szCs w:val="24"/>
        </w:rPr>
        <w:t xml:space="preserve"> Estimated Personnel Expenses</w:t>
      </w:r>
    </w:p>
    <w:tbl>
      <w:tblPr>
        <w:tblStyle w:val="TableGrid"/>
        <w:tblW w:w="9805" w:type="dxa"/>
        <w:tblLook w:val="04A0" w:firstRow="1" w:lastRow="0" w:firstColumn="1" w:lastColumn="0" w:noHBand="0" w:noVBand="1"/>
      </w:tblPr>
      <w:tblGrid>
        <w:gridCol w:w="2495"/>
        <w:gridCol w:w="1227"/>
        <w:gridCol w:w="1525"/>
        <w:gridCol w:w="2055"/>
        <w:gridCol w:w="2503"/>
      </w:tblGrid>
      <w:tr w:rsidR="00715569" w:rsidRPr="00715569" w:rsidTr="00715569">
        <w:tc>
          <w:tcPr>
            <w:tcW w:w="2515" w:type="dxa"/>
            <w:shd w:val="clear" w:color="auto" w:fill="D9D9D9"/>
          </w:tcPr>
          <w:p w:rsidR="00715569" w:rsidRPr="00715569" w:rsidRDefault="00715569" w:rsidP="00715569">
            <w:pPr>
              <w:widowControl/>
              <w:autoSpaceDE/>
              <w:autoSpaceDN/>
              <w:spacing w:before="120" w:after="120"/>
              <w:ind w:right="144"/>
              <w:jc w:val="center"/>
              <w:rPr>
                <w:b/>
                <w:sz w:val="24"/>
                <w:szCs w:val="24"/>
              </w:rPr>
            </w:pPr>
            <w:r w:rsidRPr="00715569">
              <w:rPr>
                <w:b/>
                <w:sz w:val="24"/>
                <w:szCs w:val="24"/>
              </w:rPr>
              <w:t>Position Name &amp; Title</w:t>
            </w:r>
          </w:p>
        </w:tc>
        <w:tc>
          <w:tcPr>
            <w:tcW w:w="1170" w:type="dxa"/>
            <w:shd w:val="clear" w:color="auto" w:fill="D9D9D9"/>
          </w:tcPr>
          <w:p w:rsidR="00715569" w:rsidRPr="00715569" w:rsidRDefault="00715569" w:rsidP="00715569">
            <w:pPr>
              <w:widowControl/>
              <w:autoSpaceDE/>
              <w:autoSpaceDN/>
              <w:spacing w:before="120" w:after="120"/>
              <w:ind w:right="144"/>
              <w:jc w:val="center"/>
              <w:rPr>
                <w:b/>
                <w:sz w:val="24"/>
                <w:szCs w:val="24"/>
              </w:rPr>
            </w:pPr>
            <w:r w:rsidRPr="00715569">
              <w:rPr>
                <w:b/>
                <w:sz w:val="24"/>
                <w:szCs w:val="24"/>
              </w:rPr>
              <w:t>Hourly Rate</w:t>
            </w:r>
          </w:p>
        </w:tc>
        <w:tc>
          <w:tcPr>
            <w:tcW w:w="1530" w:type="dxa"/>
            <w:shd w:val="clear" w:color="auto" w:fill="D9D9D9"/>
          </w:tcPr>
          <w:p w:rsidR="00715569" w:rsidRPr="00715569" w:rsidRDefault="00715569" w:rsidP="00715569">
            <w:pPr>
              <w:widowControl/>
              <w:autoSpaceDE/>
              <w:autoSpaceDN/>
              <w:spacing w:before="120" w:after="120"/>
              <w:ind w:right="144"/>
              <w:jc w:val="center"/>
              <w:rPr>
                <w:b/>
                <w:sz w:val="24"/>
                <w:szCs w:val="24"/>
              </w:rPr>
            </w:pPr>
            <w:r w:rsidRPr="00715569">
              <w:rPr>
                <w:b/>
                <w:sz w:val="24"/>
                <w:szCs w:val="24"/>
              </w:rPr>
              <w:t>Number of Hours</w:t>
            </w:r>
          </w:p>
        </w:tc>
        <w:tc>
          <w:tcPr>
            <w:tcW w:w="2070" w:type="dxa"/>
            <w:shd w:val="clear" w:color="auto" w:fill="D9D9D9"/>
          </w:tcPr>
          <w:p w:rsidR="00715569" w:rsidRPr="00715569" w:rsidRDefault="00715569" w:rsidP="00715569">
            <w:pPr>
              <w:widowControl/>
              <w:autoSpaceDE/>
              <w:autoSpaceDN/>
              <w:spacing w:before="120" w:after="120"/>
              <w:ind w:right="144"/>
              <w:jc w:val="center"/>
              <w:rPr>
                <w:b/>
                <w:sz w:val="24"/>
                <w:szCs w:val="24"/>
              </w:rPr>
            </w:pPr>
            <w:r w:rsidRPr="00715569">
              <w:rPr>
                <w:b/>
                <w:sz w:val="24"/>
                <w:szCs w:val="24"/>
              </w:rPr>
              <w:t>Salary &amp; Fringe</w:t>
            </w:r>
          </w:p>
        </w:tc>
        <w:tc>
          <w:tcPr>
            <w:tcW w:w="2520" w:type="dxa"/>
            <w:shd w:val="clear" w:color="auto" w:fill="D9D9D9"/>
          </w:tcPr>
          <w:p w:rsidR="00715569" w:rsidRPr="00715569" w:rsidRDefault="00715569" w:rsidP="00715569">
            <w:pPr>
              <w:widowControl/>
              <w:autoSpaceDE/>
              <w:autoSpaceDN/>
              <w:spacing w:before="120" w:after="120"/>
              <w:ind w:right="144"/>
              <w:jc w:val="center"/>
              <w:rPr>
                <w:b/>
                <w:sz w:val="24"/>
                <w:szCs w:val="24"/>
              </w:rPr>
            </w:pPr>
            <w:r w:rsidRPr="00715569">
              <w:rPr>
                <w:b/>
                <w:sz w:val="24"/>
                <w:szCs w:val="24"/>
              </w:rPr>
              <w:t>Total Grantee Personnel Expenses</w:t>
            </w:r>
          </w:p>
        </w:tc>
      </w:tr>
      <w:tr w:rsidR="00715569" w:rsidRPr="00715569" w:rsidTr="00446DAB">
        <w:tc>
          <w:tcPr>
            <w:tcW w:w="2515" w:type="dxa"/>
          </w:tcPr>
          <w:p w:rsidR="00715569" w:rsidRDefault="00715569" w:rsidP="00715569">
            <w:pPr>
              <w:widowControl/>
              <w:autoSpaceDE/>
              <w:autoSpaceDN/>
              <w:spacing w:before="120"/>
              <w:ind w:right="144"/>
              <w:jc w:val="both"/>
              <w:rPr>
                <w:sz w:val="24"/>
                <w:szCs w:val="24"/>
              </w:rPr>
            </w:pPr>
            <w:r w:rsidRPr="00715569">
              <w:rPr>
                <w:sz w:val="24"/>
                <w:szCs w:val="24"/>
              </w:rPr>
              <w:t xml:space="preserve">Julie Keizer, </w:t>
            </w:r>
          </w:p>
          <w:p w:rsidR="00715569" w:rsidRPr="00715569" w:rsidRDefault="00715569" w:rsidP="00715569">
            <w:pPr>
              <w:widowControl/>
              <w:autoSpaceDE/>
              <w:autoSpaceDN/>
              <w:spacing w:before="120" w:after="120"/>
              <w:ind w:right="144"/>
              <w:jc w:val="both"/>
              <w:rPr>
                <w:sz w:val="24"/>
                <w:szCs w:val="24"/>
              </w:rPr>
            </w:pPr>
            <w:r w:rsidRPr="00715569">
              <w:rPr>
                <w:sz w:val="24"/>
                <w:szCs w:val="24"/>
              </w:rPr>
              <w:t>Town Manager</w:t>
            </w:r>
          </w:p>
        </w:tc>
        <w:tc>
          <w:tcPr>
            <w:tcW w:w="1170" w:type="dxa"/>
          </w:tcPr>
          <w:p w:rsidR="00715569" w:rsidRPr="00715569" w:rsidRDefault="00715569" w:rsidP="00715569">
            <w:pPr>
              <w:widowControl/>
              <w:autoSpaceDE/>
              <w:autoSpaceDN/>
              <w:spacing w:before="120" w:after="120"/>
              <w:ind w:right="144"/>
              <w:jc w:val="center"/>
              <w:rPr>
                <w:sz w:val="24"/>
                <w:szCs w:val="24"/>
              </w:rPr>
            </w:pPr>
            <w:r w:rsidRPr="00715569">
              <w:rPr>
                <w:sz w:val="24"/>
                <w:szCs w:val="24"/>
              </w:rPr>
              <w:t>$50/hour</w:t>
            </w:r>
          </w:p>
        </w:tc>
        <w:tc>
          <w:tcPr>
            <w:tcW w:w="1530" w:type="dxa"/>
          </w:tcPr>
          <w:p w:rsidR="00715569" w:rsidRPr="00715569" w:rsidRDefault="00715569" w:rsidP="00715569">
            <w:pPr>
              <w:widowControl/>
              <w:autoSpaceDE/>
              <w:autoSpaceDN/>
              <w:spacing w:before="120" w:after="120"/>
              <w:ind w:right="144"/>
              <w:jc w:val="center"/>
              <w:rPr>
                <w:sz w:val="24"/>
                <w:szCs w:val="24"/>
              </w:rPr>
            </w:pPr>
            <w:r w:rsidRPr="00715569">
              <w:rPr>
                <w:sz w:val="24"/>
                <w:szCs w:val="24"/>
              </w:rPr>
              <w:t>40</w:t>
            </w:r>
          </w:p>
        </w:tc>
        <w:tc>
          <w:tcPr>
            <w:tcW w:w="2070" w:type="dxa"/>
          </w:tcPr>
          <w:p w:rsidR="00715569" w:rsidRPr="00715569" w:rsidRDefault="00715569" w:rsidP="00715569">
            <w:pPr>
              <w:widowControl/>
              <w:autoSpaceDE/>
              <w:autoSpaceDN/>
              <w:spacing w:before="120" w:after="120"/>
              <w:ind w:right="144"/>
              <w:jc w:val="center"/>
              <w:rPr>
                <w:sz w:val="24"/>
                <w:szCs w:val="24"/>
              </w:rPr>
            </w:pPr>
          </w:p>
        </w:tc>
        <w:tc>
          <w:tcPr>
            <w:tcW w:w="2520" w:type="dxa"/>
          </w:tcPr>
          <w:p w:rsidR="00715569" w:rsidRPr="00715569" w:rsidRDefault="00715569" w:rsidP="00715569">
            <w:pPr>
              <w:widowControl/>
              <w:autoSpaceDE/>
              <w:autoSpaceDN/>
              <w:spacing w:before="120" w:after="120"/>
              <w:ind w:right="144"/>
              <w:jc w:val="center"/>
              <w:rPr>
                <w:sz w:val="24"/>
                <w:szCs w:val="24"/>
              </w:rPr>
            </w:pPr>
            <w:r w:rsidRPr="00715569">
              <w:rPr>
                <w:sz w:val="24"/>
                <w:szCs w:val="24"/>
              </w:rPr>
              <w:t>$2,000</w:t>
            </w:r>
          </w:p>
        </w:tc>
      </w:tr>
    </w:tbl>
    <w:p w:rsidR="00715569" w:rsidRPr="00715569" w:rsidRDefault="00715569" w:rsidP="00715569">
      <w:pPr>
        <w:widowControl/>
        <w:autoSpaceDE/>
        <w:autoSpaceDN/>
        <w:spacing w:before="120" w:after="120"/>
        <w:ind w:right="144"/>
        <w:jc w:val="both"/>
        <w:rPr>
          <w:b/>
          <w:sz w:val="24"/>
          <w:szCs w:val="24"/>
        </w:rPr>
      </w:pPr>
    </w:p>
    <w:p w:rsidR="00715569" w:rsidRPr="00715569" w:rsidRDefault="00715569" w:rsidP="00715569">
      <w:pPr>
        <w:widowControl/>
        <w:autoSpaceDE/>
        <w:autoSpaceDN/>
        <w:spacing w:before="120" w:after="120"/>
        <w:ind w:right="144"/>
        <w:jc w:val="both"/>
        <w:rPr>
          <w:b/>
          <w:sz w:val="24"/>
          <w:szCs w:val="24"/>
        </w:rPr>
      </w:pPr>
      <w:r w:rsidRPr="00715569">
        <w:rPr>
          <w:b/>
          <w:sz w:val="24"/>
          <w:szCs w:val="24"/>
          <w:u w:val="single"/>
        </w:rPr>
        <w:t>Part 2</w:t>
      </w:r>
      <w:r w:rsidRPr="00715569">
        <w:rPr>
          <w:b/>
          <w:sz w:val="24"/>
          <w:szCs w:val="24"/>
        </w:rPr>
        <w:t xml:space="preserve"> Budget Estimates by Cost Category</w:t>
      </w:r>
    </w:p>
    <w:tbl>
      <w:tblPr>
        <w:tblStyle w:val="TableGrid"/>
        <w:tblW w:w="9805" w:type="dxa"/>
        <w:tblLook w:val="04A0" w:firstRow="1" w:lastRow="0" w:firstColumn="1" w:lastColumn="0" w:noHBand="0" w:noVBand="1"/>
      </w:tblPr>
      <w:tblGrid>
        <w:gridCol w:w="4135"/>
        <w:gridCol w:w="1890"/>
        <w:gridCol w:w="1530"/>
        <w:gridCol w:w="2250"/>
      </w:tblGrid>
      <w:tr w:rsidR="00715569" w:rsidRPr="00715569" w:rsidTr="00715569">
        <w:tc>
          <w:tcPr>
            <w:tcW w:w="4135" w:type="dxa"/>
            <w:shd w:val="clear" w:color="auto" w:fill="D9D9D9"/>
          </w:tcPr>
          <w:p w:rsidR="00715569" w:rsidRPr="00715569" w:rsidRDefault="00715569" w:rsidP="00715569">
            <w:pPr>
              <w:widowControl/>
              <w:autoSpaceDE/>
              <w:autoSpaceDN/>
              <w:spacing w:before="60" w:after="60"/>
              <w:ind w:right="144"/>
              <w:jc w:val="center"/>
              <w:rPr>
                <w:b/>
                <w:sz w:val="24"/>
                <w:szCs w:val="24"/>
              </w:rPr>
            </w:pPr>
            <w:r w:rsidRPr="00715569">
              <w:rPr>
                <w:b/>
                <w:sz w:val="24"/>
                <w:szCs w:val="24"/>
              </w:rPr>
              <w:t>Cost Category</w:t>
            </w:r>
          </w:p>
        </w:tc>
        <w:tc>
          <w:tcPr>
            <w:tcW w:w="1890" w:type="dxa"/>
            <w:shd w:val="clear" w:color="auto" w:fill="D9D9D9"/>
          </w:tcPr>
          <w:p w:rsidR="00715569" w:rsidRPr="00715569" w:rsidRDefault="00715569" w:rsidP="00715569">
            <w:pPr>
              <w:widowControl/>
              <w:autoSpaceDE/>
              <w:autoSpaceDN/>
              <w:spacing w:before="60" w:after="60"/>
              <w:ind w:right="144"/>
              <w:jc w:val="center"/>
              <w:rPr>
                <w:b/>
                <w:sz w:val="24"/>
                <w:szCs w:val="24"/>
              </w:rPr>
            </w:pPr>
            <w:r w:rsidRPr="00715569">
              <w:rPr>
                <w:b/>
                <w:sz w:val="24"/>
                <w:szCs w:val="24"/>
              </w:rPr>
              <w:t>Federal Funds Section 604(b)</w:t>
            </w:r>
          </w:p>
        </w:tc>
        <w:tc>
          <w:tcPr>
            <w:tcW w:w="1530" w:type="dxa"/>
            <w:shd w:val="clear" w:color="auto" w:fill="D9D9D9"/>
          </w:tcPr>
          <w:p w:rsidR="00715569" w:rsidRPr="00715569" w:rsidRDefault="00715569" w:rsidP="00715569">
            <w:pPr>
              <w:widowControl/>
              <w:autoSpaceDE/>
              <w:autoSpaceDN/>
              <w:spacing w:before="60" w:after="60"/>
              <w:ind w:right="144"/>
              <w:jc w:val="center"/>
              <w:rPr>
                <w:b/>
                <w:sz w:val="24"/>
                <w:szCs w:val="24"/>
              </w:rPr>
            </w:pPr>
            <w:r w:rsidRPr="00715569">
              <w:rPr>
                <w:b/>
                <w:sz w:val="24"/>
                <w:szCs w:val="24"/>
              </w:rPr>
              <w:t>Non-Federal Match</w:t>
            </w:r>
          </w:p>
        </w:tc>
        <w:tc>
          <w:tcPr>
            <w:tcW w:w="2250" w:type="dxa"/>
            <w:shd w:val="clear" w:color="auto" w:fill="D9D9D9"/>
          </w:tcPr>
          <w:p w:rsidR="00715569" w:rsidRPr="00715569" w:rsidRDefault="00715569" w:rsidP="00715569">
            <w:pPr>
              <w:widowControl/>
              <w:autoSpaceDE/>
              <w:autoSpaceDN/>
              <w:spacing w:before="60" w:after="60"/>
              <w:ind w:right="144"/>
              <w:jc w:val="center"/>
              <w:rPr>
                <w:b/>
                <w:sz w:val="24"/>
                <w:szCs w:val="24"/>
              </w:rPr>
            </w:pPr>
            <w:r w:rsidRPr="00715569">
              <w:rPr>
                <w:b/>
                <w:sz w:val="24"/>
                <w:szCs w:val="24"/>
              </w:rPr>
              <w:t>Total Cost</w:t>
            </w:r>
          </w:p>
        </w:tc>
      </w:tr>
      <w:tr w:rsidR="00715569" w:rsidRPr="00715569" w:rsidTr="00446DAB">
        <w:tc>
          <w:tcPr>
            <w:tcW w:w="4135" w:type="dxa"/>
          </w:tcPr>
          <w:p w:rsidR="00715569" w:rsidRPr="00715569" w:rsidRDefault="00715569" w:rsidP="00715569">
            <w:pPr>
              <w:widowControl/>
              <w:tabs>
                <w:tab w:val="right" w:pos="3919"/>
              </w:tabs>
              <w:autoSpaceDE/>
              <w:autoSpaceDN/>
              <w:spacing w:before="60" w:after="60"/>
              <w:ind w:right="144"/>
              <w:jc w:val="both"/>
              <w:rPr>
                <w:sz w:val="24"/>
                <w:szCs w:val="24"/>
              </w:rPr>
            </w:pPr>
            <w:r w:rsidRPr="00715569">
              <w:rPr>
                <w:sz w:val="24"/>
                <w:szCs w:val="24"/>
              </w:rPr>
              <w:t>Salary &amp; Fringe (from Part 1)</w:t>
            </w:r>
          </w:p>
        </w:tc>
        <w:tc>
          <w:tcPr>
            <w:tcW w:w="1890" w:type="dxa"/>
          </w:tcPr>
          <w:p w:rsidR="00715569" w:rsidRPr="00715569" w:rsidRDefault="00715569" w:rsidP="00715569">
            <w:pPr>
              <w:widowControl/>
              <w:autoSpaceDE/>
              <w:autoSpaceDN/>
              <w:spacing w:before="60" w:after="60"/>
              <w:ind w:right="144"/>
              <w:jc w:val="center"/>
              <w:rPr>
                <w:sz w:val="24"/>
                <w:szCs w:val="24"/>
              </w:rPr>
            </w:pPr>
          </w:p>
        </w:tc>
        <w:tc>
          <w:tcPr>
            <w:tcW w:w="153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$2,000</w:t>
            </w:r>
          </w:p>
        </w:tc>
        <w:tc>
          <w:tcPr>
            <w:tcW w:w="225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$2,000</w:t>
            </w:r>
          </w:p>
        </w:tc>
      </w:tr>
      <w:tr w:rsidR="00715569" w:rsidRPr="00715569" w:rsidTr="00446DAB">
        <w:tc>
          <w:tcPr>
            <w:tcW w:w="4135" w:type="dxa"/>
          </w:tcPr>
          <w:p w:rsidR="00715569" w:rsidRPr="00715569" w:rsidRDefault="00715569" w:rsidP="00715569">
            <w:pPr>
              <w:widowControl/>
              <w:tabs>
                <w:tab w:val="right" w:pos="3919"/>
              </w:tabs>
              <w:autoSpaceDE/>
              <w:autoSpaceDN/>
              <w:spacing w:before="60" w:after="60"/>
              <w:ind w:right="144"/>
              <w:jc w:val="both"/>
              <w:rPr>
                <w:sz w:val="24"/>
                <w:szCs w:val="24"/>
              </w:rPr>
            </w:pPr>
            <w:r w:rsidRPr="00715569">
              <w:rPr>
                <w:sz w:val="24"/>
                <w:szCs w:val="24"/>
              </w:rPr>
              <w:t>Contractual</w:t>
            </w:r>
          </w:p>
        </w:tc>
        <w:tc>
          <w:tcPr>
            <w:tcW w:w="189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$21,000</w:t>
            </w:r>
          </w:p>
        </w:tc>
        <w:tc>
          <w:tcPr>
            <w:tcW w:w="153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$7,600</w:t>
            </w:r>
          </w:p>
        </w:tc>
        <w:tc>
          <w:tcPr>
            <w:tcW w:w="225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$28,600</w:t>
            </w:r>
          </w:p>
        </w:tc>
      </w:tr>
      <w:tr w:rsidR="00715569" w:rsidRPr="00715569" w:rsidTr="00446DAB">
        <w:tc>
          <w:tcPr>
            <w:tcW w:w="4135" w:type="dxa"/>
          </w:tcPr>
          <w:p w:rsidR="00715569" w:rsidRPr="00715569" w:rsidRDefault="00715569" w:rsidP="00715569">
            <w:pPr>
              <w:widowControl/>
              <w:tabs>
                <w:tab w:val="right" w:pos="3919"/>
              </w:tabs>
              <w:autoSpaceDE/>
              <w:autoSpaceDN/>
              <w:spacing w:before="60" w:after="60"/>
              <w:ind w:right="144"/>
              <w:jc w:val="both"/>
              <w:rPr>
                <w:sz w:val="24"/>
                <w:szCs w:val="24"/>
              </w:rPr>
            </w:pPr>
            <w:proofErr w:type="spellStart"/>
            <w:r w:rsidRPr="00715569">
              <w:rPr>
                <w:sz w:val="24"/>
                <w:szCs w:val="24"/>
              </w:rPr>
              <w:t>Subgrant</w:t>
            </w:r>
            <w:proofErr w:type="spellEnd"/>
          </w:p>
        </w:tc>
        <w:tc>
          <w:tcPr>
            <w:tcW w:w="1890" w:type="dxa"/>
          </w:tcPr>
          <w:p w:rsidR="00715569" w:rsidRPr="00715569" w:rsidRDefault="00715569" w:rsidP="00715569">
            <w:pPr>
              <w:widowControl/>
              <w:autoSpaceDE/>
              <w:autoSpaceDN/>
              <w:spacing w:before="60" w:after="60"/>
              <w:ind w:right="144"/>
              <w:jc w:val="center"/>
              <w:rPr>
                <w:sz w:val="24"/>
                <w:szCs w:val="24"/>
              </w:rPr>
            </w:pPr>
          </w:p>
        </w:tc>
        <w:tc>
          <w:tcPr>
            <w:tcW w:w="1530" w:type="dxa"/>
          </w:tcPr>
          <w:p w:rsidR="00715569" w:rsidRPr="00715569" w:rsidRDefault="00715569" w:rsidP="00715569">
            <w:pPr>
              <w:widowControl/>
              <w:autoSpaceDE/>
              <w:autoSpaceDN/>
              <w:spacing w:before="60" w:after="60"/>
              <w:ind w:right="144"/>
              <w:jc w:val="center"/>
              <w:rPr>
                <w:sz w:val="24"/>
                <w:szCs w:val="24"/>
              </w:rPr>
            </w:pPr>
          </w:p>
        </w:tc>
        <w:tc>
          <w:tcPr>
            <w:tcW w:w="2250" w:type="dxa"/>
          </w:tcPr>
          <w:p w:rsidR="00715569" w:rsidRPr="00715569" w:rsidRDefault="00715569" w:rsidP="00715569">
            <w:pPr>
              <w:widowControl/>
              <w:autoSpaceDE/>
              <w:autoSpaceDN/>
              <w:spacing w:before="60" w:after="60"/>
              <w:ind w:right="144"/>
              <w:jc w:val="center"/>
              <w:rPr>
                <w:sz w:val="24"/>
                <w:szCs w:val="24"/>
              </w:rPr>
            </w:pPr>
          </w:p>
        </w:tc>
      </w:tr>
      <w:tr w:rsidR="00715569" w:rsidRPr="00715569" w:rsidTr="00446DAB">
        <w:tc>
          <w:tcPr>
            <w:tcW w:w="4135" w:type="dxa"/>
          </w:tcPr>
          <w:p w:rsidR="00715569" w:rsidRPr="00715569" w:rsidRDefault="00715569" w:rsidP="00715569">
            <w:pPr>
              <w:widowControl/>
              <w:tabs>
                <w:tab w:val="right" w:pos="3919"/>
              </w:tabs>
              <w:autoSpaceDE/>
              <w:autoSpaceDN/>
              <w:spacing w:before="60" w:after="60"/>
              <w:ind w:right="144"/>
              <w:jc w:val="both"/>
              <w:rPr>
                <w:sz w:val="24"/>
                <w:szCs w:val="24"/>
              </w:rPr>
            </w:pPr>
            <w:r w:rsidRPr="00715569">
              <w:rPr>
                <w:sz w:val="24"/>
                <w:szCs w:val="24"/>
              </w:rPr>
              <w:t>Donated Services – Labor</w:t>
            </w:r>
          </w:p>
        </w:tc>
        <w:tc>
          <w:tcPr>
            <w:tcW w:w="1890" w:type="dxa"/>
          </w:tcPr>
          <w:p w:rsidR="00715569" w:rsidRPr="00715569" w:rsidRDefault="00715569" w:rsidP="00715569">
            <w:pPr>
              <w:widowControl/>
              <w:autoSpaceDE/>
              <w:autoSpaceDN/>
              <w:spacing w:before="60" w:after="60"/>
              <w:ind w:right="144"/>
              <w:jc w:val="center"/>
              <w:rPr>
                <w:sz w:val="24"/>
                <w:szCs w:val="24"/>
              </w:rPr>
            </w:pPr>
          </w:p>
        </w:tc>
        <w:tc>
          <w:tcPr>
            <w:tcW w:w="153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$5,480.50</w:t>
            </w:r>
          </w:p>
        </w:tc>
        <w:tc>
          <w:tcPr>
            <w:tcW w:w="225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$5,480.50</w:t>
            </w:r>
          </w:p>
        </w:tc>
      </w:tr>
      <w:tr w:rsidR="00715569" w:rsidRPr="00715569" w:rsidTr="00446DAB">
        <w:tc>
          <w:tcPr>
            <w:tcW w:w="4135" w:type="dxa"/>
          </w:tcPr>
          <w:p w:rsidR="00715569" w:rsidRPr="00715569" w:rsidRDefault="00715569" w:rsidP="00715569">
            <w:pPr>
              <w:widowControl/>
              <w:tabs>
                <w:tab w:val="right" w:pos="3919"/>
              </w:tabs>
              <w:autoSpaceDE/>
              <w:autoSpaceDN/>
              <w:spacing w:before="60" w:after="60"/>
              <w:ind w:right="144"/>
              <w:jc w:val="both"/>
              <w:rPr>
                <w:sz w:val="24"/>
                <w:szCs w:val="24"/>
              </w:rPr>
            </w:pPr>
            <w:r w:rsidRPr="00715569">
              <w:rPr>
                <w:sz w:val="24"/>
                <w:szCs w:val="24"/>
              </w:rPr>
              <w:t>Travel (mileage total)</w:t>
            </w:r>
          </w:p>
        </w:tc>
        <w:tc>
          <w:tcPr>
            <w:tcW w:w="189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$600</w:t>
            </w:r>
          </w:p>
        </w:tc>
        <w:tc>
          <w:tcPr>
            <w:tcW w:w="1530" w:type="dxa"/>
          </w:tcPr>
          <w:p w:rsidR="00715569" w:rsidRPr="00715569" w:rsidRDefault="00715569" w:rsidP="00715569">
            <w:pPr>
              <w:widowControl/>
              <w:autoSpaceDE/>
              <w:autoSpaceDN/>
              <w:spacing w:before="60" w:after="60"/>
              <w:ind w:right="144"/>
              <w:jc w:val="center"/>
              <w:rPr>
                <w:sz w:val="24"/>
                <w:szCs w:val="24"/>
              </w:rPr>
            </w:pPr>
          </w:p>
        </w:tc>
        <w:tc>
          <w:tcPr>
            <w:tcW w:w="225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$600</w:t>
            </w:r>
          </w:p>
        </w:tc>
      </w:tr>
      <w:tr w:rsidR="00715569" w:rsidRPr="00715569" w:rsidTr="00446DAB">
        <w:tc>
          <w:tcPr>
            <w:tcW w:w="4135" w:type="dxa"/>
          </w:tcPr>
          <w:p w:rsidR="00715569" w:rsidRPr="00715569" w:rsidRDefault="00715569" w:rsidP="00715569">
            <w:pPr>
              <w:widowControl/>
              <w:tabs>
                <w:tab w:val="right" w:pos="3919"/>
              </w:tabs>
              <w:autoSpaceDE/>
              <w:autoSpaceDN/>
              <w:spacing w:before="60" w:after="60"/>
              <w:ind w:right="144"/>
              <w:jc w:val="both"/>
              <w:rPr>
                <w:sz w:val="24"/>
                <w:szCs w:val="24"/>
              </w:rPr>
            </w:pPr>
            <w:r w:rsidRPr="00715569">
              <w:rPr>
                <w:sz w:val="24"/>
                <w:szCs w:val="24"/>
              </w:rPr>
              <w:t>Supplies</w:t>
            </w:r>
          </w:p>
        </w:tc>
        <w:tc>
          <w:tcPr>
            <w:tcW w:w="189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$400</w:t>
            </w:r>
          </w:p>
        </w:tc>
        <w:tc>
          <w:tcPr>
            <w:tcW w:w="1530" w:type="dxa"/>
          </w:tcPr>
          <w:p w:rsidR="00715569" w:rsidRPr="00715569" w:rsidRDefault="00715569" w:rsidP="00715569">
            <w:pPr>
              <w:widowControl/>
              <w:autoSpaceDE/>
              <w:autoSpaceDN/>
              <w:spacing w:before="60" w:after="60"/>
              <w:ind w:right="144"/>
              <w:jc w:val="center"/>
              <w:rPr>
                <w:sz w:val="24"/>
                <w:szCs w:val="24"/>
              </w:rPr>
            </w:pPr>
          </w:p>
        </w:tc>
        <w:tc>
          <w:tcPr>
            <w:tcW w:w="225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$400</w:t>
            </w:r>
          </w:p>
        </w:tc>
      </w:tr>
      <w:tr w:rsidR="00715569" w:rsidRPr="00715569" w:rsidTr="00446DAB">
        <w:tc>
          <w:tcPr>
            <w:tcW w:w="4135" w:type="dxa"/>
          </w:tcPr>
          <w:p w:rsidR="00715569" w:rsidRPr="00715569" w:rsidRDefault="00715569" w:rsidP="00715569">
            <w:pPr>
              <w:widowControl/>
              <w:tabs>
                <w:tab w:val="right" w:pos="3919"/>
              </w:tabs>
              <w:autoSpaceDE/>
              <w:autoSpaceDN/>
              <w:spacing w:before="60" w:after="60"/>
              <w:ind w:right="144"/>
              <w:jc w:val="both"/>
              <w:rPr>
                <w:sz w:val="24"/>
                <w:szCs w:val="24"/>
              </w:rPr>
            </w:pPr>
            <w:r w:rsidRPr="00715569">
              <w:rPr>
                <w:sz w:val="24"/>
                <w:szCs w:val="24"/>
              </w:rPr>
              <w:t>Other (specify)</w:t>
            </w:r>
          </w:p>
        </w:tc>
        <w:tc>
          <w:tcPr>
            <w:tcW w:w="1890" w:type="dxa"/>
          </w:tcPr>
          <w:p w:rsidR="00715569" w:rsidRPr="00715569" w:rsidRDefault="00715569" w:rsidP="00715569">
            <w:pPr>
              <w:widowControl/>
              <w:autoSpaceDE/>
              <w:autoSpaceDN/>
              <w:spacing w:before="60" w:after="60"/>
              <w:ind w:right="144"/>
              <w:jc w:val="center"/>
              <w:rPr>
                <w:sz w:val="24"/>
                <w:szCs w:val="24"/>
              </w:rPr>
            </w:pPr>
          </w:p>
        </w:tc>
        <w:tc>
          <w:tcPr>
            <w:tcW w:w="1530" w:type="dxa"/>
          </w:tcPr>
          <w:p w:rsidR="00715569" w:rsidRPr="00715569" w:rsidRDefault="00715569" w:rsidP="00715569">
            <w:pPr>
              <w:widowControl/>
              <w:autoSpaceDE/>
              <w:autoSpaceDN/>
              <w:spacing w:before="60" w:after="60"/>
              <w:ind w:right="144"/>
              <w:jc w:val="center"/>
              <w:rPr>
                <w:sz w:val="24"/>
                <w:szCs w:val="24"/>
              </w:rPr>
            </w:pPr>
          </w:p>
        </w:tc>
        <w:tc>
          <w:tcPr>
            <w:tcW w:w="2250" w:type="dxa"/>
          </w:tcPr>
          <w:p w:rsidR="00715569" w:rsidRPr="00715569" w:rsidRDefault="00715569" w:rsidP="00715569">
            <w:pPr>
              <w:widowControl/>
              <w:autoSpaceDE/>
              <w:autoSpaceDN/>
              <w:spacing w:before="60" w:after="60"/>
              <w:ind w:right="144"/>
              <w:jc w:val="center"/>
              <w:rPr>
                <w:sz w:val="24"/>
                <w:szCs w:val="24"/>
              </w:rPr>
            </w:pPr>
          </w:p>
        </w:tc>
      </w:tr>
      <w:tr w:rsidR="00715569" w:rsidRPr="00715569" w:rsidTr="00446DAB">
        <w:tc>
          <w:tcPr>
            <w:tcW w:w="4135" w:type="dxa"/>
          </w:tcPr>
          <w:p w:rsidR="00715569" w:rsidRPr="00715569" w:rsidRDefault="00715569" w:rsidP="00715569">
            <w:pPr>
              <w:widowControl/>
              <w:tabs>
                <w:tab w:val="right" w:pos="3919"/>
              </w:tabs>
              <w:autoSpaceDE/>
              <w:autoSpaceDN/>
              <w:spacing w:before="60" w:after="60"/>
              <w:ind w:right="144"/>
              <w:jc w:val="both"/>
              <w:rPr>
                <w:sz w:val="24"/>
                <w:szCs w:val="24"/>
              </w:rPr>
            </w:pPr>
            <w:r w:rsidRPr="00715569">
              <w:rPr>
                <w:sz w:val="24"/>
                <w:szCs w:val="24"/>
              </w:rPr>
              <w:t>Indirect Costs</w:t>
            </w:r>
          </w:p>
        </w:tc>
        <w:tc>
          <w:tcPr>
            <w:tcW w:w="1890" w:type="dxa"/>
          </w:tcPr>
          <w:p w:rsidR="00715569" w:rsidRPr="00715569" w:rsidRDefault="00715569" w:rsidP="00715569">
            <w:pPr>
              <w:widowControl/>
              <w:autoSpaceDE/>
              <w:autoSpaceDN/>
              <w:spacing w:before="60" w:after="60"/>
              <w:ind w:right="144"/>
              <w:jc w:val="center"/>
              <w:rPr>
                <w:sz w:val="24"/>
                <w:szCs w:val="24"/>
              </w:rPr>
            </w:pPr>
          </w:p>
        </w:tc>
        <w:tc>
          <w:tcPr>
            <w:tcW w:w="1530" w:type="dxa"/>
          </w:tcPr>
          <w:p w:rsidR="00715569" w:rsidRPr="00715569" w:rsidRDefault="00715569" w:rsidP="00715569">
            <w:pPr>
              <w:widowControl/>
              <w:autoSpaceDE/>
              <w:autoSpaceDN/>
              <w:spacing w:before="60" w:after="60"/>
              <w:ind w:right="144"/>
              <w:jc w:val="center"/>
              <w:rPr>
                <w:sz w:val="24"/>
                <w:szCs w:val="24"/>
              </w:rPr>
            </w:pPr>
          </w:p>
        </w:tc>
        <w:tc>
          <w:tcPr>
            <w:tcW w:w="2250" w:type="dxa"/>
          </w:tcPr>
          <w:p w:rsidR="00715569" w:rsidRPr="00715569" w:rsidRDefault="00715569" w:rsidP="00715569">
            <w:pPr>
              <w:widowControl/>
              <w:autoSpaceDE/>
              <w:autoSpaceDN/>
              <w:spacing w:before="60" w:after="60"/>
              <w:ind w:right="144"/>
              <w:jc w:val="center"/>
              <w:rPr>
                <w:sz w:val="24"/>
                <w:szCs w:val="24"/>
              </w:rPr>
            </w:pPr>
          </w:p>
        </w:tc>
      </w:tr>
      <w:tr w:rsidR="00715569" w:rsidRPr="00715569" w:rsidTr="00446DAB">
        <w:tc>
          <w:tcPr>
            <w:tcW w:w="4135" w:type="dxa"/>
          </w:tcPr>
          <w:p w:rsidR="00715569" w:rsidRPr="00715569" w:rsidRDefault="00715569" w:rsidP="00715569">
            <w:pPr>
              <w:widowControl/>
              <w:tabs>
                <w:tab w:val="right" w:pos="3919"/>
              </w:tabs>
              <w:autoSpaceDE/>
              <w:autoSpaceDN/>
              <w:spacing w:before="60" w:after="60"/>
              <w:ind w:right="144"/>
              <w:rPr>
                <w:sz w:val="24"/>
                <w:szCs w:val="24"/>
              </w:rPr>
            </w:pPr>
            <w:r w:rsidRPr="00715569">
              <w:rPr>
                <w:sz w:val="24"/>
                <w:szCs w:val="24"/>
              </w:rPr>
              <w:t>Totals</w:t>
            </w:r>
          </w:p>
        </w:tc>
        <w:tc>
          <w:tcPr>
            <w:tcW w:w="189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$22,000</w:t>
            </w:r>
          </w:p>
        </w:tc>
        <w:tc>
          <w:tcPr>
            <w:tcW w:w="153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$15,080.50</w:t>
            </w:r>
          </w:p>
        </w:tc>
        <w:tc>
          <w:tcPr>
            <w:tcW w:w="2250" w:type="dxa"/>
          </w:tcPr>
          <w:p w:rsidR="00715569" w:rsidRPr="00715569" w:rsidRDefault="00715569" w:rsidP="00715569">
            <w:pPr>
              <w:widowControl/>
              <w:autoSpaceDE/>
              <w:autoSpaceDN/>
              <w:spacing w:before="60" w:after="60"/>
              <w:ind w:right="144"/>
              <w:jc w:val="center"/>
              <w:rPr>
                <w:sz w:val="24"/>
                <w:szCs w:val="24"/>
              </w:rPr>
            </w:pPr>
            <w:r w:rsidRPr="00715569">
              <w:rPr>
                <w:sz w:val="24"/>
                <w:szCs w:val="24"/>
              </w:rPr>
              <w:t>$37,080.50</w:t>
            </w:r>
          </w:p>
        </w:tc>
      </w:tr>
    </w:tbl>
    <w:p w:rsidR="00715569" w:rsidRPr="00715569" w:rsidRDefault="00715569" w:rsidP="00715569">
      <w:pPr>
        <w:widowControl/>
        <w:autoSpaceDE/>
        <w:autoSpaceDN/>
        <w:ind w:right="144"/>
        <w:jc w:val="both"/>
        <w:rPr>
          <w:b/>
          <w:sz w:val="24"/>
          <w:szCs w:val="24"/>
        </w:rPr>
      </w:pPr>
    </w:p>
    <w:p w:rsidR="00715569" w:rsidRPr="00715569" w:rsidRDefault="00715569" w:rsidP="00715569">
      <w:pPr>
        <w:widowControl/>
        <w:autoSpaceDE/>
        <w:autoSpaceDN/>
        <w:spacing w:after="120"/>
        <w:ind w:right="144"/>
        <w:jc w:val="both"/>
        <w:rPr>
          <w:b/>
          <w:sz w:val="24"/>
          <w:szCs w:val="24"/>
        </w:rPr>
      </w:pPr>
      <w:r w:rsidRPr="00715569">
        <w:rPr>
          <w:b/>
          <w:sz w:val="24"/>
          <w:szCs w:val="24"/>
        </w:rPr>
        <w:t>Part 2 Notes:</w:t>
      </w:r>
    </w:p>
    <w:p w:rsidR="00715569" w:rsidRPr="00715569" w:rsidRDefault="00715569" w:rsidP="00715569">
      <w:pPr>
        <w:widowControl/>
        <w:autoSpaceDE/>
        <w:autoSpaceDN/>
        <w:spacing w:before="120" w:after="120"/>
        <w:ind w:right="144"/>
        <w:jc w:val="both"/>
        <w:rPr>
          <w:sz w:val="24"/>
          <w:szCs w:val="24"/>
        </w:rPr>
      </w:pPr>
      <w:r w:rsidRPr="00715569">
        <w:rPr>
          <w:sz w:val="24"/>
          <w:szCs w:val="24"/>
        </w:rPr>
        <w:t>Salary &amp; Fringe ($2,000) includes 40 hours of in-kind match from Town Manager for project management (Task 1).</w:t>
      </w:r>
    </w:p>
    <w:p w:rsidR="00715569" w:rsidRPr="00715569" w:rsidRDefault="00715569" w:rsidP="00715569">
      <w:pPr>
        <w:widowControl/>
        <w:autoSpaceDE/>
        <w:autoSpaceDN/>
        <w:spacing w:before="120" w:after="120"/>
        <w:ind w:right="144"/>
        <w:jc w:val="both"/>
        <w:rPr>
          <w:sz w:val="24"/>
          <w:szCs w:val="24"/>
        </w:rPr>
      </w:pPr>
      <w:r w:rsidRPr="00715569">
        <w:rPr>
          <w:sz w:val="24"/>
          <w:szCs w:val="24"/>
        </w:rPr>
        <w:t>Contractual ($28,600) includes estimated 390 hours of labor at $70/</w:t>
      </w:r>
      <w:proofErr w:type="spellStart"/>
      <w:r w:rsidRPr="00715569">
        <w:rPr>
          <w:sz w:val="24"/>
          <w:szCs w:val="24"/>
        </w:rPr>
        <w:t>hr</w:t>
      </w:r>
      <w:proofErr w:type="spellEnd"/>
      <w:r w:rsidRPr="00715569">
        <w:rPr>
          <w:sz w:val="24"/>
          <w:szCs w:val="24"/>
        </w:rPr>
        <w:t xml:space="preserve"> ($27,300) and estimated $1,300 in lab fees ($21,000 requested; $7,600 non-federal cash match from Town of Waldoboro Shellfish Committee). Contractual work will be performed for all tasks. </w:t>
      </w:r>
    </w:p>
    <w:p w:rsidR="00715569" w:rsidRPr="00715569" w:rsidRDefault="00715569" w:rsidP="00715569">
      <w:pPr>
        <w:widowControl/>
        <w:autoSpaceDE/>
        <w:autoSpaceDN/>
        <w:spacing w:before="120"/>
        <w:ind w:right="144"/>
        <w:jc w:val="both"/>
        <w:rPr>
          <w:sz w:val="24"/>
          <w:szCs w:val="24"/>
        </w:rPr>
      </w:pPr>
      <w:r w:rsidRPr="00715569">
        <w:rPr>
          <w:sz w:val="24"/>
          <w:szCs w:val="24"/>
        </w:rPr>
        <w:t>Donated Services – Labor ($5,480.50) includes:</w:t>
      </w:r>
    </w:p>
    <w:p w:rsidR="00715569" w:rsidRPr="00715569" w:rsidRDefault="00715569" w:rsidP="00715569">
      <w:pPr>
        <w:widowControl/>
        <w:autoSpaceDE/>
        <w:autoSpaceDN/>
        <w:spacing w:before="120"/>
        <w:ind w:left="360" w:right="144"/>
        <w:jc w:val="both"/>
        <w:rPr>
          <w:sz w:val="24"/>
          <w:szCs w:val="24"/>
        </w:rPr>
      </w:pPr>
      <w:proofErr w:type="spellStart"/>
      <w:r w:rsidRPr="00715569">
        <w:rPr>
          <w:sz w:val="24"/>
          <w:szCs w:val="24"/>
        </w:rPr>
        <w:t>Medomak</w:t>
      </w:r>
      <w:proofErr w:type="spellEnd"/>
      <w:r w:rsidRPr="00715569">
        <w:rPr>
          <w:sz w:val="24"/>
          <w:szCs w:val="24"/>
        </w:rPr>
        <w:t xml:space="preserve"> Valley Land Trust ($2,400 noncash match):</w:t>
      </w:r>
    </w:p>
    <w:p w:rsidR="00715569" w:rsidRPr="00715569" w:rsidRDefault="00715569" w:rsidP="00715569">
      <w:pPr>
        <w:widowControl/>
        <w:numPr>
          <w:ilvl w:val="0"/>
          <w:numId w:val="6"/>
        </w:numPr>
        <w:shd w:val="clear" w:color="auto" w:fill="FFFFFF"/>
        <w:autoSpaceDE/>
        <w:autoSpaceDN/>
        <w:spacing w:before="120" w:after="120"/>
        <w:ind w:left="1080" w:right="144"/>
        <w:contextualSpacing/>
        <w:jc w:val="both"/>
        <w:rPr>
          <w:color w:val="222222"/>
          <w:sz w:val="24"/>
          <w:szCs w:val="24"/>
        </w:rPr>
      </w:pPr>
      <w:r w:rsidRPr="00715569">
        <w:rPr>
          <w:color w:val="222222"/>
          <w:sz w:val="24"/>
          <w:szCs w:val="24"/>
        </w:rPr>
        <w:t>Project management support (Task 1) - Estimated 10 hours @ $40/</w:t>
      </w:r>
      <w:proofErr w:type="spellStart"/>
      <w:r w:rsidRPr="00715569">
        <w:rPr>
          <w:color w:val="222222"/>
          <w:sz w:val="24"/>
          <w:szCs w:val="24"/>
        </w:rPr>
        <w:t>hr</w:t>
      </w:r>
      <w:proofErr w:type="spellEnd"/>
      <w:r w:rsidRPr="00715569">
        <w:rPr>
          <w:color w:val="222222"/>
          <w:sz w:val="24"/>
          <w:szCs w:val="24"/>
        </w:rPr>
        <w:t xml:space="preserve"> = $400</w:t>
      </w:r>
    </w:p>
    <w:p w:rsidR="00715569" w:rsidRPr="00715569" w:rsidRDefault="00715569" w:rsidP="00715569">
      <w:pPr>
        <w:widowControl/>
        <w:numPr>
          <w:ilvl w:val="0"/>
          <w:numId w:val="6"/>
        </w:numPr>
        <w:shd w:val="clear" w:color="auto" w:fill="FFFFFF"/>
        <w:autoSpaceDE/>
        <w:autoSpaceDN/>
        <w:spacing w:before="120" w:after="120"/>
        <w:ind w:left="1080" w:right="144"/>
        <w:contextualSpacing/>
        <w:jc w:val="both"/>
        <w:rPr>
          <w:color w:val="222222"/>
          <w:sz w:val="24"/>
          <w:szCs w:val="24"/>
        </w:rPr>
      </w:pPr>
      <w:r w:rsidRPr="00715569">
        <w:rPr>
          <w:color w:val="222222"/>
          <w:sz w:val="24"/>
          <w:szCs w:val="24"/>
        </w:rPr>
        <w:t>Landowner / stakeholder meetings (Task 2) – Estimated 10 hours @ $40/hour = $400</w:t>
      </w:r>
    </w:p>
    <w:p w:rsidR="00715569" w:rsidRPr="00715569" w:rsidRDefault="00715569" w:rsidP="00715569">
      <w:pPr>
        <w:widowControl/>
        <w:numPr>
          <w:ilvl w:val="0"/>
          <w:numId w:val="6"/>
        </w:numPr>
        <w:shd w:val="clear" w:color="auto" w:fill="FFFFFF"/>
        <w:autoSpaceDE/>
        <w:autoSpaceDN/>
        <w:spacing w:before="120" w:after="120"/>
        <w:ind w:left="1080" w:right="144"/>
        <w:contextualSpacing/>
        <w:jc w:val="both"/>
        <w:rPr>
          <w:color w:val="222222"/>
          <w:sz w:val="24"/>
          <w:szCs w:val="24"/>
        </w:rPr>
      </w:pPr>
      <w:r w:rsidRPr="00715569">
        <w:rPr>
          <w:color w:val="222222"/>
          <w:sz w:val="24"/>
          <w:szCs w:val="24"/>
        </w:rPr>
        <w:t>Participation in TAC (Task 3) - Estimated 10 hours @ $40/hour = $400</w:t>
      </w:r>
    </w:p>
    <w:p w:rsidR="00715569" w:rsidRPr="00715569" w:rsidRDefault="00715569" w:rsidP="00715569">
      <w:pPr>
        <w:widowControl/>
        <w:numPr>
          <w:ilvl w:val="0"/>
          <w:numId w:val="6"/>
        </w:numPr>
        <w:shd w:val="clear" w:color="auto" w:fill="FFFFFF"/>
        <w:autoSpaceDE/>
        <w:autoSpaceDN/>
        <w:spacing w:before="120" w:after="120"/>
        <w:ind w:left="1080" w:right="144"/>
        <w:contextualSpacing/>
        <w:jc w:val="both"/>
        <w:rPr>
          <w:color w:val="222222"/>
          <w:sz w:val="24"/>
          <w:szCs w:val="24"/>
        </w:rPr>
      </w:pPr>
      <w:r w:rsidRPr="00715569">
        <w:rPr>
          <w:color w:val="222222"/>
          <w:sz w:val="24"/>
          <w:szCs w:val="24"/>
        </w:rPr>
        <w:t>Additional outreach &amp; education (Task 7)- Estimated 30 hours @ $40/</w:t>
      </w:r>
      <w:proofErr w:type="spellStart"/>
      <w:r w:rsidRPr="00715569">
        <w:rPr>
          <w:color w:val="222222"/>
          <w:sz w:val="24"/>
          <w:szCs w:val="24"/>
        </w:rPr>
        <w:t>hr</w:t>
      </w:r>
      <w:proofErr w:type="spellEnd"/>
      <w:r w:rsidRPr="00715569">
        <w:rPr>
          <w:color w:val="222222"/>
          <w:sz w:val="24"/>
          <w:szCs w:val="24"/>
        </w:rPr>
        <w:t xml:space="preserve"> = $1,200</w:t>
      </w:r>
    </w:p>
    <w:p w:rsidR="00715569" w:rsidRPr="00715569" w:rsidRDefault="00715569" w:rsidP="00715569">
      <w:pPr>
        <w:widowControl/>
        <w:shd w:val="clear" w:color="auto" w:fill="FFFFFF"/>
        <w:autoSpaceDE/>
        <w:autoSpaceDN/>
        <w:spacing w:before="120"/>
        <w:ind w:left="360" w:right="144"/>
        <w:jc w:val="both"/>
        <w:rPr>
          <w:color w:val="222222"/>
          <w:sz w:val="24"/>
          <w:szCs w:val="24"/>
        </w:rPr>
      </w:pPr>
      <w:r w:rsidRPr="00715569">
        <w:rPr>
          <w:color w:val="222222"/>
          <w:sz w:val="24"/>
          <w:szCs w:val="24"/>
        </w:rPr>
        <w:t>Town of Waldoboro Shellfish Committee ($1880.50 noncash match):</w:t>
      </w:r>
    </w:p>
    <w:p w:rsidR="00715569" w:rsidRPr="00715569" w:rsidRDefault="00715569" w:rsidP="00715569">
      <w:pPr>
        <w:widowControl/>
        <w:numPr>
          <w:ilvl w:val="0"/>
          <w:numId w:val="7"/>
        </w:numPr>
        <w:shd w:val="clear" w:color="auto" w:fill="FFFFFF"/>
        <w:autoSpaceDE/>
        <w:autoSpaceDN/>
        <w:spacing w:before="120" w:after="120"/>
        <w:ind w:left="1080" w:right="144"/>
        <w:contextualSpacing/>
        <w:jc w:val="both"/>
        <w:rPr>
          <w:color w:val="222222"/>
          <w:sz w:val="24"/>
          <w:szCs w:val="24"/>
        </w:rPr>
      </w:pPr>
      <w:r w:rsidRPr="00715569">
        <w:rPr>
          <w:color w:val="222222"/>
          <w:sz w:val="24"/>
          <w:szCs w:val="24"/>
        </w:rPr>
        <w:t>Participation in TAC (Task 3) - Estimated 10 hours @ $21.61/hour = $216.10</w:t>
      </w:r>
    </w:p>
    <w:p w:rsidR="00715569" w:rsidRPr="00715569" w:rsidRDefault="00715569" w:rsidP="00715569">
      <w:pPr>
        <w:widowControl/>
        <w:numPr>
          <w:ilvl w:val="0"/>
          <w:numId w:val="7"/>
        </w:numPr>
        <w:shd w:val="clear" w:color="auto" w:fill="FFFFFF"/>
        <w:autoSpaceDE/>
        <w:autoSpaceDN/>
        <w:spacing w:before="120" w:after="120"/>
        <w:ind w:left="1080" w:right="144"/>
        <w:contextualSpacing/>
        <w:jc w:val="both"/>
        <w:rPr>
          <w:color w:val="222222"/>
          <w:sz w:val="24"/>
          <w:szCs w:val="24"/>
        </w:rPr>
      </w:pPr>
      <w:r w:rsidRPr="00715569">
        <w:rPr>
          <w:color w:val="222222"/>
          <w:sz w:val="24"/>
          <w:szCs w:val="24"/>
        </w:rPr>
        <w:t xml:space="preserve">Volunteer sampling efforts (Task 5) – Estimated 40 hours @ $21.61/hour (rate established by </w:t>
      </w:r>
      <w:r w:rsidRPr="00715569">
        <w:rPr>
          <w:i/>
          <w:color w:val="222222"/>
          <w:sz w:val="24"/>
          <w:szCs w:val="24"/>
        </w:rPr>
        <w:t xml:space="preserve">Independent Sector </w:t>
      </w:r>
      <w:proofErr w:type="gramStart"/>
      <w:r w:rsidRPr="00715569">
        <w:rPr>
          <w:i/>
          <w:color w:val="222222"/>
          <w:sz w:val="24"/>
          <w:szCs w:val="24"/>
        </w:rPr>
        <w:t xml:space="preserve">2016 </w:t>
      </w:r>
      <w:r w:rsidRPr="00715569">
        <w:rPr>
          <w:color w:val="222222"/>
          <w:sz w:val="24"/>
          <w:szCs w:val="24"/>
        </w:rPr>
        <w:t>)</w:t>
      </w:r>
      <w:proofErr w:type="gramEnd"/>
      <w:r w:rsidRPr="00715569">
        <w:rPr>
          <w:color w:val="222222"/>
          <w:sz w:val="24"/>
          <w:szCs w:val="24"/>
        </w:rPr>
        <w:t xml:space="preserve"> = $864.40</w:t>
      </w:r>
    </w:p>
    <w:p w:rsidR="00715569" w:rsidRPr="00715569" w:rsidRDefault="00715569" w:rsidP="00715569">
      <w:pPr>
        <w:widowControl/>
        <w:numPr>
          <w:ilvl w:val="0"/>
          <w:numId w:val="7"/>
        </w:numPr>
        <w:shd w:val="clear" w:color="auto" w:fill="FFFFFF"/>
        <w:autoSpaceDE/>
        <w:autoSpaceDN/>
        <w:spacing w:before="120" w:after="120"/>
        <w:ind w:left="1080" w:right="144"/>
        <w:contextualSpacing/>
        <w:jc w:val="both"/>
        <w:rPr>
          <w:color w:val="222222"/>
          <w:sz w:val="24"/>
          <w:szCs w:val="24"/>
        </w:rPr>
      </w:pPr>
      <w:r w:rsidRPr="00715569">
        <w:rPr>
          <w:color w:val="222222"/>
          <w:sz w:val="24"/>
          <w:szCs w:val="24"/>
        </w:rPr>
        <w:t>Private boat services (Task 5) – Estimated 8 hours @ $100/hour = $800</w:t>
      </w:r>
    </w:p>
    <w:p w:rsidR="00715569" w:rsidRPr="00715569" w:rsidRDefault="00715569" w:rsidP="00715569">
      <w:pPr>
        <w:widowControl/>
        <w:shd w:val="clear" w:color="auto" w:fill="FFFFFF"/>
        <w:autoSpaceDE/>
        <w:autoSpaceDN/>
        <w:spacing w:before="120"/>
        <w:ind w:left="360" w:right="144"/>
        <w:jc w:val="both"/>
        <w:rPr>
          <w:color w:val="222222"/>
          <w:sz w:val="24"/>
          <w:szCs w:val="24"/>
        </w:rPr>
      </w:pPr>
      <w:r w:rsidRPr="00715569">
        <w:rPr>
          <w:bCs/>
          <w:color w:val="222222"/>
          <w:sz w:val="24"/>
          <w:szCs w:val="24"/>
        </w:rPr>
        <w:t>University of Maine, Darling Marine Center</w:t>
      </w:r>
      <w:r w:rsidRPr="00715569">
        <w:rPr>
          <w:color w:val="222222"/>
          <w:sz w:val="24"/>
          <w:szCs w:val="24"/>
        </w:rPr>
        <w:t> ($600 noncash match):</w:t>
      </w:r>
    </w:p>
    <w:p w:rsidR="00715569" w:rsidRPr="00715569" w:rsidRDefault="00715569" w:rsidP="00715569">
      <w:pPr>
        <w:widowControl/>
        <w:numPr>
          <w:ilvl w:val="0"/>
          <w:numId w:val="6"/>
        </w:numPr>
        <w:shd w:val="clear" w:color="auto" w:fill="FFFFFF"/>
        <w:autoSpaceDE/>
        <w:autoSpaceDN/>
        <w:spacing w:before="120" w:after="120"/>
        <w:ind w:left="1080" w:right="144"/>
        <w:contextualSpacing/>
        <w:jc w:val="both"/>
        <w:rPr>
          <w:color w:val="222222"/>
          <w:sz w:val="24"/>
          <w:szCs w:val="24"/>
        </w:rPr>
      </w:pPr>
      <w:r w:rsidRPr="00715569">
        <w:rPr>
          <w:color w:val="222222"/>
          <w:sz w:val="24"/>
          <w:szCs w:val="24"/>
        </w:rPr>
        <w:t>Participation in TAC (Task 3) - Estimated 10 hours @ $60/hour = $600</w:t>
      </w:r>
    </w:p>
    <w:p w:rsidR="00715569" w:rsidRPr="00715569" w:rsidRDefault="00715569" w:rsidP="00715569">
      <w:pPr>
        <w:widowControl/>
        <w:autoSpaceDE/>
        <w:autoSpaceDN/>
        <w:spacing w:before="120"/>
        <w:ind w:left="360" w:right="144"/>
        <w:jc w:val="both"/>
        <w:rPr>
          <w:sz w:val="24"/>
          <w:szCs w:val="24"/>
        </w:rPr>
      </w:pPr>
      <w:r w:rsidRPr="00715569">
        <w:rPr>
          <w:sz w:val="24"/>
          <w:szCs w:val="24"/>
        </w:rPr>
        <w:t xml:space="preserve">Department of Marine Resources </w:t>
      </w:r>
      <w:r w:rsidRPr="00715569">
        <w:rPr>
          <w:color w:val="222222"/>
          <w:sz w:val="24"/>
          <w:szCs w:val="24"/>
        </w:rPr>
        <w:t>($600 noncash match):</w:t>
      </w:r>
    </w:p>
    <w:p w:rsidR="00715569" w:rsidRPr="00715569" w:rsidRDefault="00715569" w:rsidP="00715569">
      <w:pPr>
        <w:widowControl/>
        <w:numPr>
          <w:ilvl w:val="0"/>
          <w:numId w:val="6"/>
        </w:numPr>
        <w:shd w:val="clear" w:color="auto" w:fill="FFFFFF"/>
        <w:autoSpaceDE/>
        <w:autoSpaceDN/>
        <w:spacing w:before="120" w:after="120"/>
        <w:ind w:left="1080" w:right="144"/>
        <w:contextualSpacing/>
        <w:jc w:val="both"/>
        <w:rPr>
          <w:color w:val="222222"/>
          <w:sz w:val="24"/>
          <w:szCs w:val="24"/>
        </w:rPr>
      </w:pPr>
      <w:r w:rsidRPr="00715569">
        <w:rPr>
          <w:color w:val="222222"/>
          <w:sz w:val="24"/>
          <w:szCs w:val="24"/>
        </w:rPr>
        <w:t>Participation in TAC (Task 3) - Estimated 10 hours @ $60/hour = $600</w:t>
      </w:r>
    </w:p>
    <w:p w:rsidR="00715569" w:rsidRPr="00715569" w:rsidRDefault="00715569" w:rsidP="00715569">
      <w:pPr>
        <w:widowControl/>
        <w:autoSpaceDE/>
        <w:autoSpaceDN/>
        <w:spacing w:before="120"/>
        <w:ind w:right="144"/>
        <w:jc w:val="both"/>
        <w:rPr>
          <w:sz w:val="24"/>
          <w:szCs w:val="24"/>
        </w:rPr>
      </w:pPr>
    </w:p>
    <w:p w:rsidR="00715569" w:rsidRPr="00715569" w:rsidRDefault="00715569" w:rsidP="00715569">
      <w:pPr>
        <w:widowControl/>
        <w:autoSpaceDE/>
        <w:autoSpaceDN/>
        <w:spacing w:before="120" w:after="120"/>
        <w:ind w:right="144"/>
        <w:jc w:val="both"/>
        <w:rPr>
          <w:sz w:val="24"/>
          <w:szCs w:val="24"/>
        </w:rPr>
      </w:pPr>
      <w:r w:rsidRPr="00715569">
        <w:rPr>
          <w:sz w:val="24"/>
          <w:szCs w:val="24"/>
        </w:rPr>
        <w:t>Travel costs are estimated at $600 at</w:t>
      </w:r>
      <w:r w:rsidRPr="00715569">
        <w:rPr>
          <w:rFonts w:cs="Calibri"/>
          <w:sz w:val="24"/>
          <w:szCs w:val="22"/>
        </w:rPr>
        <w:t xml:space="preserve"> rate of ($0.44/mile)</w:t>
      </w:r>
    </w:p>
    <w:p w:rsidR="00715569" w:rsidRPr="00715569" w:rsidRDefault="00715569" w:rsidP="00715569">
      <w:pPr>
        <w:widowControl/>
        <w:autoSpaceDE/>
        <w:autoSpaceDN/>
        <w:spacing w:before="120" w:after="120"/>
        <w:ind w:right="144"/>
        <w:jc w:val="both"/>
        <w:rPr>
          <w:sz w:val="24"/>
          <w:szCs w:val="24"/>
        </w:rPr>
      </w:pPr>
      <w:r w:rsidRPr="00715569">
        <w:rPr>
          <w:sz w:val="24"/>
          <w:szCs w:val="24"/>
        </w:rPr>
        <w:t>Field supplies are estimated at $400.</w:t>
      </w:r>
    </w:p>
    <w:p w:rsidR="00715569" w:rsidRPr="00715569" w:rsidRDefault="00715569" w:rsidP="00715569">
      <w:pPr>
        <w:widowControl/>
        <w:autoSpaceDE/>
        <w:autoSpaceDN/>
        <w:spacing w:before="120" w:after="120"/>
        <w:ind w:right="144"/>
        <w:jc w:val="both"/>
        <w:rPr>
          <w:b/>
          <w:sz w:val="24"/>
          <w:szCs w:val="24"/>
          <w:u w:val="single"/>
        </w:rPr>
      </w:pPr>
    </w:p>
    <w:p w:rsidR="00715569" w:rsidRPr="00715569" w:rsidRDefault="00715569" w:rsidP="00715569">
      <w:pPr>
        <w:widowControl/>
        <w:autoSpaceDE/>
        <w:autoSpaceDN/>
        <w:spacing w:before="120" w:after="120"/>
        <w:ind w:right="144"/>
        <w:jc w:val="both"/>
        <w:rPr>
          <w:b/>
          <w:sz w:val="24"/>
          <w:szCs w:val="24"/>
        </w:rPr>
      </w:pPr>
      <w:r w:rsidRPr="00715569">
        <w:rPr>
          <w:b/>
          <w:sz w:val="24"/>
          <w:szCs w:val="24"/>
          <w:u w:val="single"/>
        </w:rPr>
        <w:t xml:space="preserve">Part </w:t>
      </w:r>
      <w:proofErr w:type="gramStart"/>
      <w:r w:rsidRPr="00715569">
        <w:rPr>
          <w:b/>
          <w:sz w:val="24"/>
          <w:szCs w:val="24"/>
          <w:u w:val="single"/>
        </w:rPr>
        <w:t>3</w:t>
      </w:r>
      <w:r w:rsidRPr="00715569">
        <w:rPr>
          <w:b/>
          <w:sz w:val="24"/>
          <w:szCs w:val="24"/>
        </w:rPr>
        <w:t xml:space="preserve">  Sources</w:t>
      </w:r>
      <w:proofErr w:type="gramEnd"/>
      <w:r w:rsidRPr="00715569">
        <w:rPr>
          <w:b/>
          <w:sz w:val="24"/>
          <w:szCs w:val="24"/>
        </w:rPr>
        <w:t xml:space="preserve"> of Non-federal Match and Estimated Amounts</w:t>
      </w:r>
    </w:p>
    <w:tbl>
      <w:tblPr>
        <w:tblStyle w:val="TableGrid"/>
        <w:tblW w:w="9805" w:type="dxa"/>
        <w:tblLook w:val="04A0" w:firstRow="1" w:lastRow="0" w:firstColumn="1" w:lastColumn="0" w:noHBand="0" w:noVBand="1"/>
      </w:tblPr>
      <w:tblGrid>
        <w:gridCol w:w="6729"/>
        <w:gridCol w:w="3076"/>
      </w:tblGrid>
      <w:tr w:rsidR="00715569" w:rsidRPr="00715569" w:rsidTr="00715569">
        <w:tc>
          <w:tcPr>
            <w:tcW w:w="6729" w:type="dxa"/>
            <w:shd w:val="clear" w:color="auto" w:fill="D9D9D9"/>
          </w:tcPr>
          <w:p w:rsidR="00715569" w:rsidRPr="00715569" w:rsidRDefault="00715569" w:rsidP="00715569">
            <w:pPr>
              <w:widowControl/>
              <w:autoSpaceDE/>
              <w:autoSpaceDN/>
              <w:spacing w:before="120" w:after="120"/>
              <w:ind w:right="144"/>
              <w:jc w:val="center"/>
              <w:rPr>
                <w:b/>
                <w:sz w:val="24"/>
                <w:szCs w:val="24"/>
              </w:rPr>
            </w:pPr>
            <w:r w:rsidRPr="00715569">
              <w:rPr>
                <w:b/>
                <w:sz w:val="24"/>
                <w:szCs w:val="24"/>
              </w:rPr>
              <w:t>Sources of Non-federal Match</w:t>
            </w:r>
          </w:p>
        </w:tc>
        <w:tc>
          <w:tcPr>
            <w:tcW w:w="3076" w:type="dxa"/>
            <w:shd w:val="clear" w:color="auto" w:fill="D9D9D9"/>
          </w:tcPr>
          <w:p w:rsidR="00715569" w:rsidRPr="00715569" w:rsidRDefault="00715569" w:rsidP="00715569">
            <w:pPr>
              <w:widowControl/>
              <w:autoSpaceDE/>
              <w:autoSpaceDN/>
              <w:spacing w:before="120" w:after="120"/>
              <w:ind w:right="144"/>
              <w:jc w:val="center"/>
              <w:rPr>
                <w:b/>
                <w:sz w:val="24"/>
                <w:szCs w:val="24"/>
              </w:rPr>
            </w:pPr>
            <w:r w:rsidRPr="00715569">
              <w:rPr>
                <w:b/>
                <w:sz w:val="24"/>
                <w:szCs w:val="24"/>
              </w:rPr>
              <w:t>Amount</w:t>
            </w:r>
          </w:p>
        </w:tc>
      </w:tr>
      <w:tr w:rsidR="00715569" w:rsidRPr="00715569" w:rsidTr="00446DAB">
        <w:tc>
          <w:tcPr>
            <w:tcW w:w="6729" w:type="dxa"/>
          </w:tcPr>
          <w:p w:rsidR="00715569" w:rsidRPr="00715569" w:rsidRDefault="00715569" w:rsidP="00715569">
            <w:pPr>
              <w:widowControl/>
              <w:tabs>
                <w:tab w:val="right" w:pos="3919"/>
              </w:tabs>
              <w:autoSpaceDE/>
              <w:autoSpaceDN/>
              <w:spacing w:before="120" w:after="120"/>
              <w:ind w:right="144"/>
              <w:jc w:val="both"/>
              <w:rPr>
                <w:sz w:val="24"/>
                <w:szCs w:val="24"/>
              </w:rPr>
            </w:pPr>
            <w:r w:rsidRPr="00715569">
              <w:rPr>
                <w:sz w:val="24"/>
                <w:szCs w:val="24"/>
              </w:rPr>
              <w:t>Town of Waldoboro</w:t>
            </w:r>
          </w:p>
        </w:tc>
        <w:tc>
          <w:tcPr>
            <w:tcW w:w="3076" w:type="dxa"/>
          </w:tcPr>
          <w:p w:rsidR="00715569" w:rsidRPr="00715569" w:rsidRDefault="00715569" w:rsidP="00715569">
            <w:pPr>
              <w:widowControl/>
              <w:autoSpaceDE/>
              <w:autoSpaceDN/>
              <w:spacing w:before="120" w:after="120"/>
              <w:ind w:right="144"/>
              <w:jc w:val="center"/>
              <w:rPr>
                <w:sz w:val="24"/>
                <w:szCs w:val="24"/>
              </w:rPr>
            </w:pPr>
            <w:r w:rsidRPr="00715569">
              <w:rPr>
                <w:sz w:val="24"/>
                <w:szCs w:val="24"/>
              </w:rPr>
              <w:t>$2,000</w:t>
            </w:r>
          </w:p>
        </w:tc>
      </w:tr>
      <w:tr w:rsidR="00715569" w:rsidRPr="00715569" w:rsidTr="00446DAB">
        <w:tc>
          <w:tcPr>
            <w:tcW w:w="6729" w:type="dxa"/>
          </w:tcPr>
          <w:p w:rsidR="00715569" w:rsidRPr="00715569" w:rsidRDefault="00715569" w:rsidP="00715569">
            <w:pPr>
              <w:widowControl/>
              <w:tabs>
                <w:tab w:val="right" w:pos="3919"/>
              </w:tabs>
              <w:autoSpaceDE/>
              <w:autoSpaceDN/>
              <w:spacing w:before="120" w:after="120"/>
              <w:ind w:right="144"/>
              <w:jc w:val="both"/>
              <w:rPr>
                <w:sz w:val="24"/>
                <w:szCs w:val="24"/>
              </w:rPr>
            </w:pPr>
            <w:r w:rsidRPr="00715569">
              <w:rPr>
                <w:sz w:val="24"/>
                <w:szCs w:val="24"/>
              </w:rPr>
              <w:t>Town of Waldoboro Shellfish Committee</w:t>
            </w:r>
          </w:p>
        </w:tc>
        <w:tc>
          <w:tcPr>
            <w:tcW w:w="3076" w:type="dxa"/>
          </w:tcPr>
          <w:p w:rsidR="00715569" w:rsidRPr="00715569" w:rsidRDefault="00715569" w:rsidP="00715569">
            <w:pPr>
              <w:widowControl/>
              <w:autoSpaceDE/>
              <w:autoSpaceDN/>
              <w:spacing w:before="120" w:after="120"/>
              <w:ind w:right="144"/>
              <w:jc w:val="center"/>
              <w:rPr>
                <w:sz w:val="24"/>
                <w:szCs w:val="24"/>
              </w:rPr>
            </w:pPr>
            <w:r w:rsidRPr="00715569">
              <w:rPr>
                <w:sz w:val="24"/>
                <w:szCs w:val="24"/>
              </w:rPr>
              <w:t>$9,480.50</w:t>
            </w:r>
          </w:p>
        </w:tc>
      </w:tr>
      <w:tr w:rsidR="00715569" w:rsidRPr="00715569" w:rsidTr="00446DAB">
        <w:tc>
          <w:tcPr>
            <w:tcW w:w="6729" w:type="dxa"/>
          </w:tcPr>
          <w:p w:rsidR="00715569" w:rsidRPr="00715569" w:rsidRDefault="00715569" w:rsidP="00715569">
            <w:pPr>
              <w:widowControl/>
              <w:tabs>
                <w:tab w:val="right" w:pos="3919"/>
              </w:tabs>
              <w:autoSpaceDE/>
              <w:autoSpaceDN/>
              <w:spacing w:before="120" w:after="120"/>
              <w:ind w:right="144"/>
              <w:jc w:val="both"/>
              <w:rPr>
                <w:sz w:val="24"/>
                <w:szCs w:val="24"/>
              </w:rPr>
            </w:pPr>
            <w:proofErr w:type="spellStart"/>
            <w:r w:rsidRPr="00715569">
              <w:rPr>
                <w:sz w:val="24"/>
                <w:szCs w:val="24"/>
              </w:rPr>
              <w:t>Medomak</w:t>
            </w:r>
            <w:proofErr w:type="spellEnd"/>
            <w:r w:rsidRPr="00715569">
              <w:rPr>
                <w:sz w:val="24"/>
                <w:szCs w:val="24"/>
              </w:rPr>
              <w:t xml:space="preserve"> Valley Land Trust</w:t>
            </w:r>
          </w:p>
        </w:tc>
        <w:tc>
          <w:tcPr>
            <w:tcW w:w="3076" w:type="dxa"/>
          </w:tcPr>
          <w:p w:rsidR="00715569" w:rsidRPr="00715569" w:rsidRDefault="00715569" w:rsidP="00715569">
            <w:pPr>
              <w:widowControl/>
              <w:autoSpaceDE/>
              <w:autoSpaceDN/>
              <w:spacing w:before="120" w:after="120"/>
              <w:ind w:right="144"/>
              <w:jc w:val="center"/>
              <w:rPr>
                <w:sz w:val="24"/>
                <w:szCs w:val="24"/>
              </w:rPr>
            </w:pPr>
            <w:r w:rsidRPr="00715569">
              <w:rPr>
                <w:sz w:val="24"/>
                <w:szCs w:val="24"/>
              </w:rPr>
              <w:t>$2,400</w:t>
            </w:r>
          </w:p>
        </w:tc>
      </w:tr>
      <w:tr w:rsidR="00715569" w:rsidRPr="00715569" w:rsidTr="00446DAB">
        <w:tc>
          <w:tcPr>
            <w:tcW w:w="6729" w:type="dxa"/>
          </w:tcPr>
          <w:p w:rsidR="00715569" w:rsidRPr="00715569" w:rsidRDefault="00715569" w:rsidP="00715569">
            <w:pPr>
              <w:widowControl/>
              <w:tabs>
                <w:tab w:val="right" w:pos="3919"/>
              </w:tabs>
              <w:autoSpaceDE/>
              <w:autoSpaceDN/>
              <w:spacing w:before="120" w:after="120"/>
              <w:ind w:right="144"/>
              <w:jc w:val="both"/>
              <w:rPr>
                <w:sz w:val="24"/>
                <w:szCs w:val="24"/>
              </w:rPr>
            </w:pPr>
            <w:r w:rsidRPr="00715569">
              <w:rPr>
                <w:sz w:val="24"/>
                <w:szCs w:val="24"/>
              </w:rPr>
              <w:t>University of Maine, Darling Marine Center</w:t>
            </w:r>
          </w:p>
        </w:tc>
        <w:tc>
          <w:tcPr>
            <w:tcW w:w="3076" w:type="dxa"/>
          </w:tcPr>
          <w:p w:rsidR="00715569" w:rsidRPr="00715569" w:rsidRDefault="00715569" w:rsidP="00715569">
            <w:pPr>
              <w:widowControl/>
              <w:autoSpaceDE/>
              <w:autoSpaceDN/>
              <w:spacing w:before="120" w:after="120"/>
              <w:ind w:right="144"/>
              <w:jc w:val="center"/>
              <w:rPr>
                <w:sz w:val="24"/>
                <w:szCs w:val="24"/>
              </w:rPr>
            </w:pPr>
            <w:r w:rsidRPr="00715569">
              <w:rPr>
                <w:sz w:val="24"/>
                <w:szCs w:val="24"/>
              </w:rPr>
              <w:t>$600</w:t>
            </w:r>
          </w:p>
        </w:tc>
      </w:tr>
      <w:tr w:rsidR="00715569" w:rsidRPr="00715569" w:rsidTr="00446DAB">
        <w:tc>
          <w:tcPr>
            <w:tcW w:w="6729" w:type="dxa"/>
          </w:tcPr>
          <w:p w:rsidR="00715569" w:rsidRPr="00715569" w:rsidRDefault="00715569" w:rsidP="00715569">
            <w:pPr>
              <w:widowControl/>
              <w:tabs>
                <w:tab w:val="center" w:pos="3256"/>
              </w:tabs>
              <w:autoSpaceDE/>
              <w:autoSpaceDN/>
              <w:spacing w:before="120" w:after="120"/>
              <w:ind w:right="144"/>
              <w:jc w:val="both"/>
              <w:rPr>
                <w:sz w:val="24"/>
                <w:szCs w:val="24"/>
              </w:rPr>
            </w:pPr>
            <w:r w:rsidRPr="00715569">
              <w:rPr>
                <w:sz w:val="24"/>
                <w:szCs w:val="24"/>
              </w:rPr>
              <w:t>Department of Marine Resources</w:t>
            </w:r>
          </w:p>
        </w:tc>
        <w:tc>
          <w:tcPr>
            <w:tcW w:w="3076" w:type="dxa"/>
          </w:tcPr>
          <w:p w:rsidR="00715569" w:rsidRPr="00715569" w:rsidRDefault="00715569" w:rsidP="00715569">
            <w:pPr>
              <w:widowControl/>
              <w:autoSpaceDE/>
              <w:autoSpaceDN/>
              <w:spacing w:before="120" w:after="120"/>
              <w:ind w:right="144"/>
              <w:jc w:val="center"/>
              <w:rPr>
                <w:sz w:val="24"/>
                <w:szCs w:val="24"/>
              </w:rPr>
            </w:pPr>
            <w:r w:rsidRPr="00715569">
              <w:rPr>
                <w:sz w:val="24"/>
                <w:szCs w:val="24"/>
              </w:rPr>
              <w:t>$600</w:t>
            </w:r>
          </w:p>
        </w:tc>
      </w:tr>
      <w:tr w:rsidR="00715569" w:rsidRPr="00715569" w:rsidTr="00446DAB">
        <w:tc>
          <w:tcPr>
            <w:tcW w:w="6729" w:type="dxa"/>
          </w:tcPr>
          <w:p w:rsidR="00715569" w:rsidRPr="00715569" w:rsidRDefault="00715569" w:rsidP="00715569">
            <w:pPr>
              <w:widowControl/>
              <w:tabs>
                <w:tab w:val="right" w:pos="3919"/>
              </w:tabs>
              <w:autoSpaceDE/>
              <w:autoSpaceDN/>
              <w:spacing w:before="120" w:after="120"/>
              <w:ind w:right="144"/>
              <w:jc w:val="right"/>
              <w:rPr>
                <w:sz w:val="24"/>
                <w:szCs w:val="24"/>
              </w:rPr>
            </w:pPr>
            <w:r w:rsidRPr="00715569">
              <w:rPr>
                <w:sz w:val="24"/>
                <w:szCs w:val="24"/>
              </w:rPr>
              <w:t>Totals</w:t>
            </w:r>
          </w:p>
        </w:tc>
        <w:tc>
          <w:tcPr>
            <w:tcW w:w="3076" w:type="dxa"/>
          </w:tcPr>
          <w:p w:rsidR="00715569" w:rsidRPr="00715569" w:rsidRDefault="00715569" w:rsidP="00715569">
            <w:pPr>
              <w:widowControl/>
              <w:autoSpaceDE/>
              <w:autoSpaceDN/>
              <w:spacing w:before="120" w:after="120"/>
              <w:ind w:right="144"/>
              <w:jc w:val="center"/>
              <w:rPr>
                <w:sz w:val="24"/>
                <w:szCs w:val="24"/>
              </w:rPr>
            </w:pPr>
            <w:r w:rsidRPr="00715569">
              <w:rPr>
                <w:sz w:val="24"/>
                <w:szCs w:val="24"/>
              </w:rPr>
              <w:t>$15,080.50</w:t>
            </w:r>
          </w:p>
        </w:tc>
      </w:tr>
    </w:tbl>
    <w:p w:rsidR="00715569" w:rsidRPr="00715569" w:rsidRDefault="00715569" w:rsidP="00715569">
      <w:pPr>
        <w:widowControl/>
        <w:autoSpaceDE/>
        <w:autoSpaceDN/>
        <w:spacing w:before="120" w:after="120"/>
        <w:ind w:right="144"/>
        <w:jc w:val="both"/>
        <w:rPr>
          <w:b/>
          <w:sz w:val="23"/>
          <w:szCs w:val="23"/>
        </w:rPr>
      </w:pPr>
    </w:p>
    <w:p w:rsidR="00715569" w:rsidRPr="00715569" w:rsidRDefault="00715569" w:rsidP="00715569">
      <w:pPr>
        <w:widowControl/>
        <w:autoSpaceDE/>
        <w:autoSpaceDN/>
        <w:spacing w:before="120" w:after="120"/>
        <w:ind w:right="144"/>
        <w:jc w:val="both"/>
        <w:rPr>
          <w:rFonts w:cs="Calibri"/>
          <w:sz w:val="24"/>
          <w:szCs w:val="22"/>
        </w:rPr>
      </w:pPr>
    </w:p>
    <w:p w:rsidR="00715569" w:rsidRDefault="00715569" w:rsidP="00CA6360"/>
    <w:sectPr w:rsidR="00715569" w:rsidSect="00CA6360">
      <w:pgSz w:w="12240" w:h="15840" w:code="1"/>
      <w:pgMar w:top="1440" w:right="1440" w:bottom="1440" w:left="144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170" w:rsidRDefault="00B62170" w:rsidP="00B62170">
      <w:r>
        <w:separator/>
      </w:r>
    </w:p>
  </w:endnote>
  <w:endnote w:type="continuationSeparator" w:id="0">
    <w:p w:rsidR="00B62170" w:rsidRDefault="00B62170" w:rsidP="00B6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170" w:rsidRDefault="00B62170" w:rsidP="00B62170">
      <w:r>
        <w:separator/>
      </w:r>
    </w:p>
  </w:footnote>
  <w:footnote w:type="continuationSeparator" w:id="0">
    <w:p w:rsidR="00B62170" w:rsidRDefault="00B62170" w:rsidP="00B62170">
      <w:r>
        <w:continuationSeparator/>
      </w:r>
    </w:p>
  </w:footnote>
  <w:footnote w:id="1">
    <w:p w:rsidR="00B62170" w:rsidRPr="007008E0" w:rsidRDefault="00B62170" w:rsidP="00B62170">
      <w:r w:rsidRPr="007008E0">
        <w:rPr>
          <w:rStyle w:val="FootnoteReference"/>
        </w:rPr>
        <w:footnoteRef/>
      </w:r>
      <w:r w:rsidRPr="007008E0">
        <w:t xml:space="preserve"> Prohibited areas are completely closed for shellfish harvesting. Restricted areas require a Maine DMR permit. </w:t>
      </w:r>
      <w:r>
        <w:t>Conditionally Approved a</w:t>
      </w:r>
      <w:r w:rsidRPr="007008E0">
        <w:t>reas are closed for nine days following precipitation events greater than one inch in 24 hours. At this point, the closure areas are automatically re-opened. However, if days seven through nine receive cumulative rainfall totals of greater than or equal to 0.75 inches, the areas remain closed for three additional days. Seasonally Approved areas are closed from May 1</w:t>
      </w:r>
      <w:r w:rsidRPr="007008E0">
        <w:rPr>
          <w:vertAlign w:val="superscript"/>
        </w:rPr>
        <w:t>st</w:t>
      </w:r>
      <w:r w:rsidRPr="007008E0">
        <w:t xml:space="preserve"> to September 30</w:t>
      </w:r>
      <w:r w:rsidRPr="007008E0">
        <w:rPr>
          <w:vertAlign w:val="superscript"/>
        </w:rPr>
        <w:t>th</w:t>
      </w:r>
      <w:r w:rsidRPr="007008E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F4C63"/>
    <w:multiLevelType w:val="hybridMultilevel"/>
    <w:tmpl w:val="90A48A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B3CFA"/>
    <w:multiLevelType w:val="hybridMultilevel"/>
    <w:tmpl w:val="07687492"/>
    <w:lvl w:ilvl="0" w:tplc="70E0BF6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81A5E"/>
    <w:multiLevelType w:val="hybridMultilevel"/>
    <w:tmpl w:val="632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76C5C"/>
    <w:multiLevelType w:val="multilevel"/>
    <w:tmpl w:val="2FA6623C"/>
    <w:lvl w:ilvl="0">
      <w:start w:val="2"/>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color w:val="auto"/>
      </w:rPr>
    </w:lvl>
    <w:lvl w:ilvl="6">
      <w:start w:val="1"/>
      <w:numFmt w:val="lowerLetter"/>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9746D78"/>
    <w:multiLevelType w:val="hybridMultilevel"/>
    <w:tmpl w:val="D108CD34"/>
    <w:lvl w:ilvl="0" w:tplc="04090001">
      <w:start w:val="1"/>
      <w:numFmt w:val="bullet"/>
      <w:lvlText w:val=""/>
      <w:lvlJc w:val="left"/>
      <w:pPr>
        <w:ind w:left="450" w:hanging="45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3518FF"/>
    <w:multiLevelType w:val="hybridMultilevel"/>
    <w:tmpl w:val="410A8C58"/>
    <w:lvl w:ilvl="0" w:tplc="70E0BF6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F3AC3"/>
    <w:multiLevelType w:val="hybridMultilevel"/>
    <w:tmpl w:val="32F4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70"/>
    <w:rsid w:val="004E192B"/>
    <w:rsid w:val="005A332E"/>
    <w:rsid w:val="005D51ED"/>
    <w:rsid w:val="00715569"/>
    <w:rsid w:val="007B3339"/>
    <w:rsid w:val="00B62170"/>
    <w:rsid w:val="00CA6360"/>
    <w:rsid w:val="00DC5B81"/>
    <w:rsid w:val="00FB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CA93"/>
  <w15:chartTrackingRefBased/>
  <w15:docId w15:val="{5143DEEA-B490-4360-8EF0-D71AB729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2170"/>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qFormat/>
    <w:rsid w:val="00B62170"/>
    <w:pPr>
      <w:spacing w:before="120" w:after="120"/>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2170"/>
    <w:rPr>
      <w:rFonts w:ascii="Arial" w:eastAsia="Times New Roman" w:hAnsi="Arial" w:cs="Arial"/>
      <w:b/>
      <w:bCs/>
      <w:sz w:val="24"/>
      <w:szCs w:val="24"/>
    </w:rPr>
  </w:style>
  <w:style w:type="paragraph" w:customStyle="1" w:styleId="DefaultText">
    <w:name w:val="Default Text"/>
    <w:basedOn w:val="Normal"/>
    <w:rsid w:val="00B62170"/>
    <w:rPr>
      <w:sz w:val="24"/>
      <w:szCs w:val="24"/>
    </w:rPr>
  </w:style>
  <w:style w:type="character" w:customStyle="1" w:styleId="InitialStyle">
    <w:name w:val="InitialStyle"/>
    <w:rsid w:val="00B62170"/>
  </w:style>
  <w:style w:type="paragraph" w:styleId="NormalWeb">
    <w:name w:val="Normal (Web)"/>
    <w:basedOn w:val="Normal"/>
    <w:uiPriority w:val="99"/>
    <w:rsid w:val="00B62170"/>
    <w:pPr>
      <w:widowControl/>
      <w:autoSpaceDE/>
      <w:autoSpaceDN/>
      <w:spacing w:before="100" w:beforeAutospacing="1" w:after="100" w:afterAutospacing="1"/>
    </w:pPr>
    <w:rPr>
      <w:rFonts w:ascii="Arial Unicode MS" w:eastAsia="Arial Unicode MS" w:hAnsi="Arial Unicode MS"/>
      <w:sz w:val="24"/>
      <w:szCs w:val="48"/>
    </w:rPr>
  </w:style>
  <w:style w:type="paragraph" w:styleId="FootnoteText">
    <w:name w:val="footnote text"/>
    <w:basedOn w:val="Normal"/>
    <w:link w:val="FootnoteTextChar"/>
    <w:semiHidden/>
    <w:rsid w:val="00B62170"/>
    <w:pPr>
      <w:widowControl/>
      <w:autoSpaceDE/>
      <w:autoSpaceDN/>
    </w:pPr>
  </w:style>
  <w:style w:type="character" w:customStyle="1" w:styleId="FootnoteTextChar">
    <w:name w:val="Footnote Text Char"/>
    <w:basedOn w:val="DefaultParagraphFont"/>
    <w:link w:val="FootnoteText"/>
    <w:semiHidden/>
    <w:rsid w:val="00B62170"/>
    <w:rPr>
      <w:rFonts w:ascii="Times New Roman" w:eastAsia="Times New Roman" w:hAnsi="Times New Roman" w:cs="Times New Roman"/>
      <w:sz w:val="20"/>
      <w:szCs w:val="20"/>
    </w:rPr>
  </w:style>
  <w:style w:type="character" w:styleId="FootnoteReference">
    <w:name w:val="footnote reference"/>
    <w:semiHidden/>
    <w:rsid w:val="00B62170"/>
    <w:rPr>
      <w:vertAlign w:val="superscript"/>
    </w:rPr>
  </w:style>
  <w:style w:type="paragraph" w:styleId="ListParagraph">
    <w:name w:val="List Paragraph"/>
    <w:basedOn w:val="Normal"/>
    <w:uiPriority w:val="34"/>
    <w:qFormat/>
    <w:rsid w:val="00B62170"/>
    <w:pPr>
      <w:ind w:left="720"/>
    </w:pPr>
  </w:style>
  <w:style w:type="character" w:styleId="Hyperlink">
    <w:name w:val="Hyperlink"/>
    <w:basedOn w:val="DefaultParagraphFont"/>
    <w:uiPriority w:val="99"/>
    <w:unhideWhenUsed/>
    <w:rsid w:val="004E192B"/>
    <w:rPr>
      <w:color w:val="0000FF" w:themeColor="hyperlink"/>
      <w:u w:val="single"/>
    </w:rPr>
  </w:style>
  <w:style w:type="character" w:styleId="Mention">
    <w:name w:val="Mention"/>
    <w:basedOn w:val="DefaultParagraphFont"/>
    <w:uiPriority w:val="99"/>
    <w:semiHidden/>
    <w:unhideWhenUsed/>
    <w:rsid w:val="004E192B"/>
    <w:rPr>
      <w:color w:val="2B579A"/>
      <w:shd w:val="clear" w:color="auto" w:fill="E6E6E6"/>
    </w:rPr>
  </w:style>
  <w:style w:type="table" w:styleId="TableGrid">
    <w:name w:val="Table Grid"/>
    <w:basedOn w:val="TableNormal"/>
    <w:uiPriority w:val="39"/>
    <w:rsid w:val="007155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wnmgr@waldoboroma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 Wendy</dc:creator>
  <cp:keywords/>
  <dc:description/>
  <cp:lastModifiedBy>Garland, Wendy</cp:lastModifiedBy>
  <cp:revision>4</cp:revision>
  <dcterms:created xsi:type="dcterms:W3CDTF">2018-02-08T15:30:00Z</dcterms:created>
  <dcterms:modified xsi:type="dcterms:W3CDTF">2018-03-09T17:01:00Z</dcterms:modified>
</cp:coreProperties>
</file>