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1C51" w:rsidRPr="00E745C2" w:rsidRDefault="003A6609" w:rsidP="00A12D87">
      <w:pPr>
        <w:spacing w:before="2160"/>
        <w:ind w:right="72"/>
        <w:jc w:val="center"/>
        <w:rPr>
          <w:rFonts w:ascii="Arial" w:hAnsi="Arial" w:cs="Arial"/>
          <w:b/>
          <w:bCs/>
          <w:spacing w:val="-6"/>
          <w:w w:val="105"/>
          <w:sz w:val="52"/>
          <w:szCs w:val="52"/>
        </w:rPr>
      </w:pPr>
      <w:r>
        <w:rPr>
          <w:noProof/>
        </w:rPr>
        <w:drawing>
          <wp:anchor distT="0" distB="0" distL="114300" distR="114300" simplePos="0" relativeHeight="251676672" behindDoc="1" locked="0" layoutInCell="1" allowOverlap="1">
            <wp:simplePos x="0" y="0"/>
            <wp:positionH relativeFrom="column">
              <wp:posOffset>2821940</wp:posOffset>
            </wp:positionH>
            <wp:positionV relativeFrom="paragraph">
              <wp:posOffset>-419100</wp:posOffset>
            </wp:positionV>
            <wp:extent cx="4038600" cy="1800225"/>
            <wp:effectExtent l="19050" t="0" r="0" b="0"/>
            <wp:wrapNone/>
            <wp:docPr id="78" name="Picture 1" descr="MANE-VU Work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E-VU Working Logo"/>
                    <pic:cNvPicPr>
                      <a:picLocks noChangeAspect="1" noChangeArrowheads="1"/>
                    </pic:cNvPicPr>
                  </pic:nvPicPr>
                  <pic:blipFill>
                    <a:blip r:embed="rId9"/>
                    <a:srcRect/>
                    <a:stretch>
                      <a:fillRect/>
                    </a:stretch>
                  </pic:blipFill>
                  <pic:spPr bwMode="auto">
                    <a:xfrm>
                      <a:off x="0" y="0"/>
                      <a:ext cx="4038600" cy="1800225"/>
                    </a:xfrm>
                    <a:prstGeom prst="rect">
                      <a:avLst/>
                    </a:prstGeom>
                    <a:noFill/>
                    <a:ln w="9525">
                      <a:noFill/>
                      <a:miter lim="800000"/>
                      <a:headEnd/>
                      <a:tailEnd/>
                    </a:ln>
                  </pic:spPr>
                </pic:pic>
              </a:graphicData>
            </a:graphic>
          </wp:anchor>
        </w:drawing>
      </w:r>
      <w:r w:rsidR="00E71C51" w:rsidRPr="00E745C2">
        <w:rPr>
          <w:rFonts w:ascii="Arial" w:hAnsi="Arial" w:cs="Arial"/>
          <w:b/>
          <w:bCs/>
          <w:spacing w:val="-6"/>
          <w:w w:val="105"/>
          <w:sz w:val="52"/>
          <w:szCs w:val="52"/>
        </w:rPr>
        <w:t>MANE-VU Template</w:t>
      </w:r>
      <w:r w:rsidR="00E450AE">
        <w:rPr>
          <w:rFonts w:ascii="Arial" w:hAnsi="Arial" w:cs="Arial"/>
          <w:b/>
          <w:bCs/>
          <w:spacing w:val="-6"/>
          <w:w w:val="105"/>
          <w:sz w:val="52"/>
          <w:szCs w:val="52"/>
        </w:rPr>
        <w:t>:</w:t>
      </w:r>
    </w:p>
    <w:p w:rsidR="00E71C51" w:rsidRDefault="00A15345" w:rsidP="006146D7">
      <w:pPr>
        <w:ind w:right="72"/>
        <w:jc w:val="center"/>
        <w:rPr>
          <w:rFonts w:ascii="Arial" w:hAnsi="Arial" w:cs="Arial"/>
          <w:b/>
          <w:bCs/>
          <w:spacing w:val="-6"/>
          <w:w w:val="105"/>
          <w:sz w:val="52"/>
          <w:szCs w:val="52"/>
        </w:rPr>
      </w:pPr>
      <w:r>
        <w:rPr>
          <w:rFonts w:ascii="Arial" w:hAnsi="Arial" w:cs="Arial"/>
          <w:b/>
          <w:bCs/>
          <w:noProof/>
          <w:spacing w:val="-6"/>
          <w:sz w:val="52"/>
          <w:szCs w:val="52"/>
        </w:rPr>
        <w:drawing>
          <wp:anchor distT="0" distB="0" distL="114300" distR="114300" simplePos="0" relativeHeight="251679744" behindDoc="1" locked="0" layoutInCell="1" allowOverlap="1">
            <wp:simplePos x="0" y="0"/>
            <wp:positionH relativeFrom="column">
              <wp:posOffset>-38100</wp:posOffset>
            </wp:positionH>
            <wp:positionV relativeFrom="paragraph">
              <wp:posOffset>1258570</wp:posOffset>
            </wp:positionV>
            <wp:extent cx="2857500" cy="1914525"/>
            <wp:effectExtent l="19050" t="0" r="0" b="0"/>
            <wp:wrapSquare wrapText="bothSides"/>
            <wp:docPr id="85" name="Picture 79" descr="acadia hazy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adia hazy day.jpg"/>
                    <pic:cNvPicPr/>
                  </pic:nvPicPr>
                  <pic:blipFill>
                    <a:blip r:embed="rId10"/>
                    <a:stretch>
                      <a:fillRect/>
                    </a:stretch>
                  </pic:blipFill>
                  <pic:spPr>
                    <a:xfrm>
                      <a:off x="0" y="0"/>
                      <a:ext cx="2857500" cy="1914525"/>
                    </a:xfrm>
                    <a:prstGeom prst="rect">
                      <a:avLst/>
                    </a:prstGeom>
                    <a:noFill/>
                    <a:ln>
                      <a:noFill/>
                    </a:ln>
                  </pic:spPr>
                </pic:pic>
              </a:graphicData>
            </a:graphic>
          </wp:anchor>
        </w:drawing>
      </w:r>
      <w:r w:rsidR="00E71C51" w:rsidRPr="00E745C2">
        <w:rPr>
          <w:rFonts w:ascii="Arial" w:hAnsi="Arial" w:cs="Arial"/>
          <w:b/>
          <w:bCs/>
          <w:spacing w:val="-6"/>
          <w:w w:val="105"/>
          <w:sz w:val="52"/>
          <w:szCs w:val="52"/>
        </w:rPr>
        <w:t>Regional Haze Five Year Progress Report</w:t>
      </w:r>
    </w:p>
    <w:p w:rsidR="00A15345" w:rsidRPr="00A15345" w:rsidRDefault="00A15345" w:rsidP="006146D7">
      <w:pPr>
        <w:ind w:right="72"/>
        <w:jc w:val="center"/>
        <w:rPr>
          <w:rFonts w:ascii="Arial" w:hAnsi="Arial" w:cs="Arial"/>
          <w:b/>
          <w:bCs/>
          <w:spacing w:val="-6"/>
          <w:w w:val="105"/>
          <w:sz w:val="28"/>
          <w:szCs w:val="52"/>
        </w:rPr>
      </w:pPr>
      <w:r w:rsidRPr="00A15345">
        <w:rPr>
          <w:rFonts w:ascii="Arial" w:hAnsi="Arial" w:cs="Arial"/>
          <w:b/>
          <w:bCs/>
          <w:noProof/>
          <w:spacing w:val="-6"/>
          <w:sz w:val="28"/>
          <w:szCs w:val="52"/>
        </w:rPr>
        <w:drawing>
          <wp:anchor distT="0" distB="0" distL="114300" distR="114300" simplePos="0" relativeHeight="251681792" behindDoc="0" locked="0" layoutInCell="1" allowOverlap="1">
            <wp:simplePos x="0" y="0"/>
            <wp:positionH relativeFrom="column">
              <wp:posOffset>209550</wp:posOffset>
            </wp:positionH>
            <wp:positionV relativeFrom="paragraph">
              <wp:posOffset>309245</wp:posOffset>
            </wp:positionV>
            <wp:extent cx="2867025" cy="1914525"/>
            <wp:effectExtent l="19050" t="0" r="9525" b="0"/>
            <wp:wrapSquare wrapText="bothSides"/>
            <wp:docPr id="92" name="Picture 90" descr="Acadia clear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adia clear day.jpg"/>
                    <pic:cNvPicPr/>
                  </pic:nvPicPr>
                  <pic:blipFill>
                    <a:blip r:embed="rId11"/>
                    <a:stretch>
                      <a:fillRect/>
                    </a:stretch>
                  </pic:blipFill>
                  <pic:spPr>
                    <a:xfrm>
                      <a:off x="0" y="0"/>
                      <a:ext cx="2867025" cy="1914525"/>
                    </a:xfrm>
                    <a:prstGeom prst="rect">
                      <a:avLst/>
                    </a:prstGeom>
                    <a:noFill/>
                    <a:ln>
                      <a:noFill/>
                    </a:ln>
                  </pic:spPr>
                </pic:pic>
              </a:graphicData>
            </a:graphic>
          </wp:anchor>
        </w:drawing>
      </w:r>
    </w:p>
    <w:p w:rsidR="003A6609" w:rsidRPr="00A15345" w:rsidRDefault="00A15345" w:rsidP="00A15345">
      <w:pPr>
        <w:ind w:right="72"/>
        <w:rPr>
          <w:rFonts w:ascii="Arial" w:hAnsi="Arial" w:cs="Arial"/>
          <w:b/>
          <w:bCs/>
          <w:spacing w:val="-6"/>
          <w:w w:val="105"/>
          <w:sz w:val="16"/>
          <w:szCs w:val="52"/>
        </w:rPr>
      </w:pPr>
      <w:r>
        <w:rPr>
          <w:rFonts w:ascii="Arial" w:hAnsi="Arial" w:cs="Arial"/>
          <w:b/>
          <w:bCs/>
          <w:i/>
          <w:spacing w:val="-6"/>
          <w:w w:val="105"/>
          <w:szCs w:val="36"/>
        </w:rPr>
        <w:t xml:space="preserve">    </w:t>
      </w:r>
      <w:r w:rsidR="00487C8C" w:rsidRPr="00487C8C">
        <w:rPr>
          <w:rFonts w:ascii="Arial" w:hAnsi="Arial" w:cs="Arial"/>
          <w:b/>
          <w:bCs/>
          <w:i/>
          <w:spacing w:val="-6"/>
          <w:w w:val="105"/>
          <w:szCs w:val="36"/>
        </w:rPr>
        <w:t xml:space="preserve">Acadia </w:t>
      </w:r>
      <w:r w:rsidR="00487C8C">
        <w:rPr>
          <w:rFonts w:ascii="Arial" w:hAnsi="Arial" w:cs="Arial"/>
          <w:b/>
          <w:bCs/>
          <w:i/>
          <w:spacing w:val="-6"/>
          <w:w w:val="105"/>
          <w:szCs w:val="36"/>
        </w:rPr>
        <w:t xml:space="preserve">National Park </w:t>
      </w:r>
      <w:r w:rsidR="00487C8C" w:rsidRPr="00487C8C">
        <w:rPr>
          <w:rFonts w:ascii="Arial" w:hAnsi="Arial" w:cs="Arial"/>
          <w:b/>
          <w:bCs/>
          <w:i/>
          <w:spacing w:val="-6"/>
          <w:w w:val="105"/>
          <w:szCs w:val="36"/>
        </w:rPr>
        <w:t xml:space="preserve">on a </w:t>
      </w:r>
      <w:r w:rsidR="00E0135B">
        <w:rPr>
          <w:rFonts w:ascii="Arial" w:hAnsi="Arial" w:cs="Arial"/>
          <w:b/>
          <w:bCs/>
          <w:i/>
          <w:spacing w:val="-6"/>
          <w:w w:val="105"/>
          <w:szCs w:val="36"/>
        </w:rPr>
        <w:t>hazy</w:t>
      </w:r>
      <w:r w:rsidR="00487C8C" w:rsidRPr="00487C8C">
        <w:rPr>
          <w:rFonts w:ascii="Arial" w:hAnsi="Arial" w:cs="Arial"/>
          <w:b/>
          <w:bCs/>
          <w:i/>
          <w:spacing w:val="-6"/>
          <w:w w:val="105"/>
          <w:szCs w:val="36"/>
        </w:rPr>
        <w:t xml:space="preserve"> day</w:t>
      </w:r>
      <w:r w:rsidR="00D2077A">
        <w:rPr>
          <w:rFonts w:ascii="Arial" w:hAnsi="Arial" w:cs="Arial"/>
          <w:b/>
          <w:bCs/>
          <w:i/>
          <w:spacing w:val="-6"/>
          <w:w w:val="105"/>
          <w:szCs w:val="36"/>
        </w:rPr>
        <w:tab/>
        <w:t xml:space="preserve"> </w:t>
      </w:r>
      <w:r>
        <w:rPr>
          <w:rFonts w:ascii="Arial" w:hAnsi="Arial" w:cs="Arial"/>
          <w:b/>
          <w:bCs/>
          <w:i/>
          <w:spacing w:val="-6"/>
          <w:w w:val="105"/>
          <w:szCs w:val="36"/>
        </w:rPr>
        <w:tab/>
        <w:t xml:space="preserve">    </w:t>
      </w:r>
      <w:r w:rsidR="00487C8C">
        <w:rPr>
          <w:rFonts w:ascii="Arial" w:hAnsi="Arial" w:cs="Arial"/>
          <w:b/>
          <w:bCs/>
          <w:i/>
          <w:spacing w:val="-6"/>
          <w:w w:val="105"/>
          <w:szCs w:val="36"/>
        </w:rPr>
        <w:t xml:space="preserve">Acadia National Park on a </w:t>
      </w:r>
      <w:r w:rsidR="00E0135B">
        <w:rPr>
          <w:rFonts w:ascii="Arial" w:hAnsi="Arial" w:cs="Arial"/>
          <w:b/>
          <w:bCs/>
          <w:i/>
          <w:spacing w:val="-6"/>
          <w:w w:val="105"/>
          <w:szCs w:val="36"/>
        </w:rPr>
        <w:t>clear</w:t>
      </w:r>
      <w:r w:rsidR="00487C8C">
        <w:rPr>
          <w:rFonts w:ascii="Arial" w:hAnsi="Arial" w:cs="Arial"/>
          <w:b/>
          <w:bCs/>
          <w:i/>
          <w:spacing w:val="-6"/>
          <w:w w:val="105"/>
          <w:szCs w:val="36"/>
        </w:rPr>
        <w:t xml:space="preserve"> day</w:t>
      </w:r>
    </w:p>
    <w:p w:rsidR="003A6609" w:rsidRDefault="003A6609" w:rsidP="003A6609">
      <w:pPr>
        <w:spacing w:before="120"/>
        <w:ind w:right="72"/>
        <w:jc w:val="center"/>
        <w:rPr>
          <w:rFonts w:ascii="Arial" w:hAnsi="Arial" w:cs="Arial"/>
          <w:b/>
          <w:bCs/>
          <w:spacing w:val="-6"/>
          <w:w w:val="105"/>
          <w:sz w:val="28"/>
          <w:szCs w:val="36"/>
        </w:rPr>
      </w:pPr>
    </w:p>
    <w:p w:rsidR="00A12D87" w:rsidRDefault="00A12D87" w:rsidP="003A6609">
      <w:pPr>
        <w:spacing w:before="120"/>
        <w:ind w:right="72"/>
        <w:jc w:val="center"/>
        <w:rPr>
          <w:rFonts w:ascii="Arial" w:hAnsi="Arial" w:cs="Arial"/>
          <w:b/>
          <w:bCs/>
          <w:spacing w:val="-6"/>
          <w:w w:val="105"/>
          <w:sz w:val="28"/>
          <w:szCs w:val="36"/>
        </w:rPr>
      </w:pPr>
    </w:p>
    <w:p w:rsidR="006E54E3" w:rsidRPr="001E0750" w:rsidRDefault="00016A50" w:rsidP="006E54E3">
      <w:pPr>
        <w:ind w:right="72"/>
        <w:jc w:val="center"/>
        <w:rPr>
          <w:rFonts w:ascii="Arial" w:hAnsi="Arial" w:cs="Arial"/>
          <w:b/>
          <w:bCs/>
          <w:spacing w:val="-6"/>
          <w:w w:val="105"/>
          <w:sz w:val="28"/>
          <w:szCs w:val="28"/>
        </w:rPr>
      </w:pPr>
      <w:r>
        <w:rPr>
          <w:rFonts w:ascii="Arial" w:hAnsi="Arial" w:cs="Arial"/>
          <w:noProof/>
          <w:sz w:val="28"/>
          <w:szCs w:val="28"/>
        </w:rPr>
        <mc:AlternateContent>
          <mc:Choice Requires="wps">
            <w:drawing>
              <wp:anchor distT="4294967295" distB="4294967295" distL="0" distR="0" simplePos="0" relativeHeight="251654144" behindDoc="0" locked="0" layoutInCell="0" allowOverlap="1">
                <wp:simplePos x="0" y="0"/>
                <wp:positionH relativeFrom="column">
                  <wp:posOffset>-123825</wp:posOffset>
                </wp:positionH>
                <wp:positionV relativeFrom="paragraph">
                  <wp:posOffset>431164</wp:posOffset>
                </wp:positionV>
                <wp:extent cx="5969635" cy="0"/>
                <wp:effectExtent l="0" t="0" r="0" b="0"/>
                <wp:wrapSquare wrapText="bothSides"/>
                <wp:docPr id="6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9635" cy="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z-index:251654144;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page;mso-height-relative:page" from="-9.75pt,33.95pt" to="460.3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" o:allowincell="f" strokeweight=".7pt">
                <w10:wrap type="square"/>
              </v:line>
            </w:pict>
          </mc:Fallback>
        </mc:AlternateContent>
      </w:r>
      <w:r w:rsidR="006E54E3" w:rsidRPr="001E0750">
        <w:rPr>
          <w:rFonts w:ascii="Arial" w:hAnsi="Arial" w:cs="Arial"/>
          <w:b/>
          <w:bCs/>
          <w:spacing w:val="-2"/>
          <w:w w:val="105"/>
          <w:sz w:val="28"/>
          <w:szCs w:val="28"/>
        </w:rPr>
        <w:t xml:space="preserve">Revised </w:t>
      </w:r>
      <w:r w:rsidR="00DD5ADB">
        <w:rPr>
          <w:rFonts w:ascii="Arial" w:hAnsi="Arial" w:cs="Arial"/>
          <w:b/>
          <w:bCs/>
          <w:spacing w:val="-2"/>
          <w:w w:val="105"/>
          <w:sz w:val="28"/>
          <w:szCs w:val="28"/>
        </w:rPr>
        <w:t>March</w:t>
      </w:r>
      <w:r w:rsidR="004D5CB4">
        <w:rPr>
          <w:rFonts w:ascii="Arial" w:hAnsi="Arial" w:cs="Arial"/>
          <w:b/>
          <w:bCs/>
          <w:spacing w:val="-2"/>
          <w:w w:val="105"/>
          <w:sz w:val="28"/>
          <w:szCs w:val="28"/>
        </w:rPr>
        <w:t xml:space="preserve"> </w:t>
      </w:r>
      <w:r w:rsidR="00381D60">
        <w:rPr>
          <w:rFonts w:ascii="Arial" w:hAnsi="Arial" w:cs="Arial"/>
          <w:b/>
          <w:bCs/>
          <w:spacing w:val="-2"/>
          <w:w w:val="105"/>
          <w:sz w:val="28"/>
          <w:szCs w:val="28"/>
        </w:rPr>
        <w:t>30</w:t>
      </w:r>
      <w:r w:rsidR="00EA3775">
        <w:rPr>
          <w:rFonts w:ascii="Arial" w:hAnsi="Arial" w:cs="Arial"/>
          <w:b/>
          <w:bCs/>
          <w:spacing w:val="-2"/>
          <w:w w:val="105"/>
          <w:sz w:val="28"/>
          <w:szCs w:val="28"/>
        </w:rPr>
        <w:t>, 201</w:t>
      </w:r>
      <w:r w:rsidR="00DD5ADB">
        <w:rPr>
          <w:rFonts w:ascii="Arial" w:hAnsi="Arial" w:cs="Arial"/>
          <w:b/>
          <w:bCs/>
          <w:spacing w:val="-2"/>
          <w:w w:val="105"/>
          <w:sz w:val="28"/>
          <w:szCs w:val="28"/>
        </w:rPr>
        <w:t>5</w:t>
      </w:r>
      <w:r w:rsidR="00EA3775">
        <w:rPr>
          <w:rFonts w:ascii="Arial" w:hAnsi="Arial" w:cs="Arial"/>
          <w:b/>
          <w:bCs/>
          <w:spacing w:val="-2"/>
          <w:w w:val="105"/>
          <w:sz w:val="28"/>
          <w:szCs w:val="28"/>
        </w:rPr>
        <w:t xml:space="preserve"> (TD)</w:t>
      </w:r>
      <w:r w:rsidR="006E54E3" w:rsidRPr="001E0750">
        <w:rPr>
          <w:rFonts w:ascii="Arial" w:hAnsi="Arial" w:cs="Arial"/>
          <w:b/>
          <w:bCs/>
          <w:spacing w:val="-6"/>
          <w:w w:val="105"/>
          <w:sz w:val="28"/>
          <w:szCs w:val="28"/>
        </w:rPr>
        <w:t xml:space="preserve">    </w:t>
      </w:r>
    </w:p>
    <w:p w:rsidR="00AF3B63" w:rsidRDefault="00AF3B63" w:rsidP="003A6609">
      <w:pPr>
        <w:spacing w:before="120"/>
        <w:ind w:right="72"/>
        <w:jc w:val="center"/>
        <w:rPr>
          <w:rFonts w:ascii="Arial" w:hAnsi="Arial" w:cs="Arial"/>
          <w:b/>
          <w:bCs/>
          <w:spacing w:val="-6"/>
          <w:w w:val="105"/>
          <w:sz w:val="28"/>
          <w:szCs w:val="36"/>
        </w:rPr>
      </w:pPr>
    </w:p>
    <w:p w:rsidR="003A6609" w:rsidRPr="003A6609" w:rsidRDefault="003A6609" w:rsidP="003A6609">
      <w:pPr>
        <w:spacing w:before="120"/>
        <w:ind w:right="72"/>
        <w:jc w:val="center"/>
        <w:rPr>
          <w:rFonts w:ascii="Arial" w:hAnsi="Arial" w:cs="Arial"/>
          <w:b/>
          <w:bCs/>
          <w:spacing w:val="-6"/>
          <w:w w:val="105"/>
          <w:sz w:val="28"/>
          <w:szCs w:val="36"/>
        </w:rPr>
      </w:pPr>
      <w:r w:rsidRPr="003A6609">
        <w:rPr>
          <w:rFonts w:ascii="Arial" w:hAnsi="Arial" w:cs="Arial"/>
          <w:b/>
          <w:bCs/>
          <w:spacing w:val="-6"/>
          <w:w w:val="105"/>
          <w:sz w:val="28"/>
          <w:szCs w:val="36"/>
        </w:rPr>
        <w:t>Prepared by the</w:t>
      </w:r>
    </w:p>
    <w:p w:rsidR="00FF1373" w:rsidRPr="003A6609" w:rsidRDefault="003A6609" w:rsidP="00A12D87">
      <w:pPr>
        <w:spacing w:before="120"/>
        <w:ind w:right="72"/>
        <w:jc w:val="center"/>
        <w:rPr>
          <w:rFonts w:ascii="Arial" w:hAnsi="Arial" w:cs="Arial"/>
          <w:b/>
          <w:bCs/>
          <w:spacing w:val="-6"/>
          <w:w w:val="105"/>
          <w:sz w:val="28"/>
          <w:szCs w:val="36"/>
        </w:rPr>
      </w:pPr>
      <w:r w:rsidRPr="003A6609">
        <w:rPr>
          <w:rFonts w:ascii="Arial" w:hAnsi="Arial" w:cs="Arial"/>
          <w:b/>
          <w:bCs/>
          <w:spacing w:val="-6"/>
          <w:w w:val="105"/>
          <w:sz w:val="28"/>
          <w:szCs w:val="36"/>
        </w:rPr>
        <w:t>Mid-Atlantic Regional Air Management Association</w:t>
      </w:r>
      <w:r w:rsidR="00A12D87">
        <w:rPr>
          <w:rFonts w:ascii="Arial" w:hAnsi="Arial" w:cs="Arial"/>
          <w:b/>
          <w:bCs/>
          <w:spacing w:val="-6"/>
          <w:w w:val="105"/>
          <w:sz w:val="28"/>
          <w:szCs w:val="36"/>
        </w:rPr>
        <w:t xml:space="preserve"> </w:t>
      </w:r>
      <w:r w:rsidR="00E71C51" w:rsidRPr="003A6609">
        <w:rPr>
          <w:rFonts w:ascii="Arial" w:hAnsi="Arial" w:cs="Arial"/>
          <w:b/>
          <w:bCs/>
          <w:spacing w:val="-6"/>
          <w:w w:val="105"/>
          <w:sz w:val="28"/>
          <w:szCs w:val="36"/>
        </w:rPr>
        <w:t>(MARAMA</w:t>
      </w:r>
      <w:r w:rsidR="00E71C51" w:rsidRPr="003A6609">
        <w:rPr>
          <w:rFonts w:ascii="Arial" w:hAnsi="Arial" w:cs="Arial"/>
          <w:b/>
          <w:bCs/>
          <w:w w:val="105"/>
          <w:sz w:val="28"/>
          <w:szCs w:val="36"/>
        </w:rPr>
        <w:t>)</w:t>
      </w:r>
    </w:p>
    <w:p w:rsidR="00FF1373" w:rsidRPr="003A6609" w:rsidRDefault="00FF1373" w:rsidP="00FF1373">
      <w:pPr>
        <w:spacing w:before="120" w:after="0"/>
        <w:ind w:right="72"/>
        <w:jc w:val="center"/>
        <w:rPr>
          <w:rFonts w:ascii="Arial" w:hAnsi="Arial" w:cs="Arial"/>
          <w:b/>
          <w:bCs/>
          <w:w w:val="105"/>
          <w:sz w:val="28"/>
          <w:szCs w:val="36"/>
        </w:rPr>
      </w:pPr>
      <w:proofErr w:type="gramStart"/>
      <w:r w:rsidRPr="003A6609">
        <w:rPr>
          <w:rFonts w:ascii="Arial" w:hAnsi="Arial" w:cs="Arial"/>
          <w:b/>
          <w:bCs/>
          <w:w w:val="105"/>
          <w:sz w:val="28"/>
          <w:szCs w:val="36"/>
        </w:rPr>
        <w:t>for</w:t>
      </w:r>
      <w:proofErr w:type="gramEnd"/>
      <w:r w:rsidRPr="003A6609">
        <w:rPr>
          <w:rFonts w:ascii="Arial" w:hAnsi="Arial" w:cs="Arial"/>
          <w:b/>
          <w:bCs/>
          <w:w w:val="105"/>
          <w:sz w:val="28"/>
          <w:szCs w:val="36"/>
        </w:rPr>
        <w:t xml:space="preserve"> the</w:t>
      </w:r>
    </w:p>
    <w:p w:rsidR="003A6609" w:rsidRDefault="00487C8C" w:rsidP="00A12D87">
      <w:pPr>
        <w:spacing w:after="0"/>
        <w:ind w:right="72"/>
        <w:jc w:val="center"/>
        <w:rPr>
          <w:rFonts w:ascii="Arial" w:hAnsi="Arial" w:cs="Arial"/>
          <w:b/>
          <w:bCs/>
          <w:w w:val="105"/>
          <w:sz w:val="28"/>
          <w:szCs w:val="36"/>
        </w:rPr>
      </w:pPr>
      <w:r>
        <w:rPr>
          <w:rFonts w:ascii="Arial" w:hAnsi="Arial" w:cs="Arial"/>
          <w:b/>
          <w:bCs/>
          <w:w w:val="105"/>
          <w:sz w:val="28"/>
          <w:szCs w:val="36"/>
        </w:rPr>
        <w:t xml:space="preserve">Mid-Atlantic/Northeast </w:t>
      </w:r>
      <w:r w:rsidR="00E71C51" w:rsidRPr="003A6609">
        <w:rPr>
          <w:rFonts w:ascii="Arial" w:hAnsi="Arial" w:cs="Arial"/>
          <w:b/>
          <w:bCs/>
          <w:w w:val="105"/>
          <w:sz w:val="28"/>
          <w:szCs w:val="36"/>
        </w:rPr>
        <w:t>Visibility Union (MANE-VU)</w:t>
      </w:r>
      <w:r w:rsidR="003A6609">
        <w:rPr>
          <w:rFonts w:ascii="Arial" w:hAnsi="Arial" w:cs="Arial"/>
          <w:b/>
          <w:bCs/>
          <w:w w:val="105"/>
          <w:sz w:val="28"/>
          <w:szCs w:val="36"/>
        </w:rPr>
        <w:br w:type="page"/>
      </w:r>
    </w:p>
    <w:p w:rsidR="00E902B8" w:rsidRPr="00E745C2" w:rsidRDefault="00E902B8" w:rsidP="00E745C2">
      <w:pPr>
        <w:pStyle w:val="Heading2"/>
      </w:pPr>
      <w:bookmarkStart w:id="0" w:name="_Toc357514595"/>
      <w:bookmarkStart w:id="1" w:name="_Toc357520840"/>
      <w:bookmarkStart w:id="2" w:name="_Toc373843477"/>
      <w:r w:rsidRPr="00E745C2">
        <w:lastRenderedPageBreak/>
        <w:t>Note</w:t>
      </w:r>
      <w:r w:rsidR="00A774E6" w:rsidRPr="00E745C2">
        <w:t>s</w:t>
      </w:r>
      <w:r w:rsidRPr="00E745C2">
        <w:t xml:space="preserve"> to Reader</w:t>
      </w:r>
      <w:bookmarkEnd w:id="0"/>
      <w:bookmarkEnd w:id="1"/>
      <w:bookmarkEnd w:id="2"/>
    </w:p>
    <w:p w:rsidR="001E0750" w:rsidRDefault="00E71C51" w:rsidP="00E745C2">
      <w:pPr>
        <w:rPr>
          <w:spacing w:val="-3"/>
        </w:rPr>
      </w:pPr>
      <w:r w:rsidRPr="00E745C2">
        <w:t xml:space="preserve">This template is considered a starting point for </w:t>
      </w:r>
      <w:r w:rsidR="001E0750">
        <w:t xml:space="preserve">use by individual states </w:t>
      </w:r>
      <w:r w:rsidRPr="00E745C2">
        <w:t>in developing the Regional Haze Five Year Progress Reports (Progress Reports) required under the Code of Federal Regulations, Title 40, Section 51.</w:t>
      </w:r>
      <w:r w:rsidRPr="00E745C2">
        <w:rPr>
          <w:spacing w:val="-3"/>
        </w:rPr>
        <w:t xml:space="preserve">308 (40 CFR 51.308).  </w:t>
      </w:r>
    </w:p>
    <w:p w:rsidR="001E0750" w:rsidRDefault="00A56EF1" w:rsidP="00E745C2">
      <w:pPr>
        <w:rPr>
          <w:spacing w:val="-3"/>
        </w:rPr>
      </w:pPr>
      <w:r>
        <w:rPr>
          <w:spacing w:val="-3"/>
        </w:rPr>
        <w:t xml:space="preserve">The purpose of each Progress Report is to assess whether the approved State Implementation Plan (SIP) is being implemented appropriately and whether reasonable progress in improving visibility has been achieved. </w:t>
      </w:r>
      <w:r w:rsidR="00DB6C74">
        <w:rPr>
          <w:spacing w:val="-3"/>
        </w:rPr>
        <w:t xml:space="preserve">The </w:t>
      </w:r>
      <w:r w:rsidR="00E71C51" w:rsidRPr="00E745C2">
        <w:rPr>
          <w:spacing w:val="-3"/>
        </w:rPr>
        <w:t xml:space="preserve">submittal deadlines are based on the submittal date of each state’s initial Regional Haze SIP, </w:t>
      </w:r>
      <w:r w:rsidR="00DB6C74">
        <w:rPr>
          <w:spacing w:val="-3"/>
        </w:rPr>
        <w:t>and the p</w:t>
      </w:r>
      <w:r w:rsidR="001E0750">
        <w:rPr>
          <w:spacing w:val="-3"/>
        </w:rPr>
        <w:t>rovisions of each state’s SIP va</w:t>
      </w:r>
      <w:r w:rsidR="00DB6C74">
        <w:rPr>
          <w:spacing w:val="-3"/>
        </w:rPr>
        <w:t xml:space="preserve">ry, so </w:t>
      </w:r>
      <w:r w:rsidR="00E71C51" w:rsidRPr="00E745C2">
        <w:rPr>
          <w:spacing w:val="-3"/>
        </w:rPr>
        <w:t xml:space="preserve">it is expected that </w:t>
      </w:r>
      <w:r w:rsidR="00DB6C74">
        <w:rPr>
          <w:spacing w:val="-3"/>
        </w:rPr>
        <w:t>each MANE-VU state</w:t>
      </w:r>
      <w:r w:rsidR="00E71C51" w:rsidRPr="00E745C2">
        <w:rPr>
          <w:spacing w:val="-3"/>
        </w:rPr>
        <w:t xml:space="preserve"> will amend this template to fit the</w:t>
      </w:r>
      <w:r w:rsidR="00DB6C74">
        <w:rPr>
          <w:spacing w:val="-3"/>
        </w:rPr>
        <w:t>ir</w:t>
      </w:r>
      <w:r w:rsidR="00E71C51" w:rsidRPr="00E745C2">
        <w:rPr>
          <w:spacing w:val="-3"/>
        </w:rPr>
        <w:t xml:space="preserve"> timing</w:t>
      </w:r>
      <w:r w:rsidR="00DB6C74">
        <w:rPr>
          <w:spacing w:val="-3"/>
        </w:rPr>
        <w:t xml:space="preserve"> and reflect the requirements applicable to them. </w:t>
      </w:r>
      <w:r w:rsidR="00E71C51" w:rsidRPr="00E745C2">
        <w:rPr>
          <w:spacing w:val="-3"/>
        </w:rPr>
        <w:t xml:space="preserve">  </w:t>
      </w:r>
    </w:p>
    <w:p w:rsidR="00E71C51" w:rsidRPr="00E745C2" w:rsidRDefault="00E71C51" w:rsidP="00E745C2">
      <w:pPr>
        <w:rPr>
          <w:spacing w:val="-2"/>
        </w:rPr>
      </w:pPr>
      <w:r w:rsidRPr="00E745C2">
        <w:t>This template provides guidance only; s</w:t>
      </w:r>
      <w:r w:rsidRPr="00E745C2">
        <w:rPr>
          <w:spacing w:val="1"/>
        </w:rPr>
        <w:t xml:space="preserve">tates can opt out and </w:t>
      </w:r>
      <w:r w:rsidRPr="00E745C2">
        <w:rPr>
          <w:spacing w:val="-2"/>
        </w:rPr>
        <w:t>choose to compile their Progress Report without the assistance of the template.</w:t>
      </w:r>
    </w:p>
    <w:p w:rsidR="00E71C51" w:rsidRPr="00E745C2" w:rsidRDefault="00E71C51" w:rsidP="00E745C2">
      <w:r w:rsidRPr="00E745C2">
        <w:rPr>
          <w:highlight w:val="yellow"/>
        </w:rPr>
        <w:t>Items highlighted in yellow require further review</w:t>
      </w:r>
      <w:r w:rsidR="00DB6C74">
        <w:rPr>
          <w:highlight w:val="yellow"/>
        </w:rPr>
        <w:t xml:space="preserve"> to customize the report for your state.</w:t>
      </w:r>
    </w:p>
    <w:p w:rsidR="00460605" w:rsidRPr="00E745C2" w:rsidRDefault="00460605" w:rsidP="00E745C2">
      <w:pPr>
        <w:pStyle w:val="Heading2"/>
      </w:pPr>
      <w:bookmarkStart w:id="3" w:name="_Toc357514596"/>
      <w:bookmarkStart w:id="4" w:name="_Toc357520841"/>
      <w:bookmarkStart w:id="5" w:name="_Toc373843478"/>
      <w:r w:rsidRPr="00E745C2">
        <w:t>Acknowledgements</w:t>
      </w:r>
      <w:bookmarkEnd w:id="3"/>
      <w:bookmarkEnd w:id="4"/>
      <w:bookmarkEnd w:id="5"/>
    </w:p>
    <w:p w:rsidR="00460605" w:rsidRPr="00A774E6" w:rsidRDefault="00DB6C74" w:rsidP="00E745C2">
      <w:r>
        <w:t>This document has been revised in re</w:t>
      </w:r>
      <w:r w:rsidR="00A56EF1">
        <w:t>s</w:t>
      </w:r>
      <w:r>
        <w:t xml:space="preserve">ponse to comments from the MANE-VU Technical Support Committee </w:t>
      </w:r>
      <w:r w:rsidR="00FF1373">
        <w:t xml:space="preserve">beginning </w:t>
      </w:r>
      <w:r>
        <w:t>in January 2013</w:t>
      </w:r>
      <w:r w:rsidR="00A56EF1">
        <w:t xml:space="preserve">.  </w:t>
      </w:r>
      <w:r w:rsidR="00460605" w:rsidRPr="00A774E6">
        <w:t>Thanks to the following reviewers whose careful review and thoughtful co</w:t>
      </w:r>
      <w:r w:rsidR="00A56EF1">
        <w:t>mments helped improve this</w:t>
      </w:r>
      <w:r w:rsidR="00460605" w:rsidRPr="00A774E6">
        <w:t xml:space="preserve"> template:</w:t>
      </w:r>
    </w:p>
    <w:p w:rsidR="00460605" w:rsidRPr="00A774E6" w:rsidRDefault="00460605" w:rsidP="00E745C2">
      <w:r w:rsidRPr="00A774E6">
        <w:t>David Healy, NH DES;  Wendy Jacobs, C</w:t>
      </w:r>
      <w:r w:rsidR="00A56EF1">
        <w:t>T DEP;  Charles</w:t>
      </w:r>
      <w:r w:rsidRPr="00A774E6">
        <w:t xml:space="preserve"> </w:t>
      </w:r>
      <w:proofErr w:type="spellStart"/>
      <w:r w:rsidRPr="00A774E6">
        <w:t>Martone</w:t>
      </w:r>
      <w:proofErr w:type="spellEnd"/>
      <w:r w:rsidRPr="00A774E6">
        <w:t xml:space="preserve">, NH DES;  Rich </w:t>
      </w:r>
      <w:proofErr w:type="spellStart"/>
      <w:r w:rsidRPr="00A774E6">
        <w:t>Poirot</w:t>
      </w:r>
      <w:proofErr w:type="spellEnd"/>
      <w:r w:rsidRPr="00A774E6">
        <w:t xml:space="preserve">, VT DEC;  </w:t>
      </w:r>
      <w:r w:rsidR="00CD5A35">
        <w:t xml:space="preserve">Glenn Keith and </w:t>
      </w:r>
      <w:r w:rsidRPr="00A774E6">
        <w:t xml:space="preserve">Kenneth </w:t>
      </w:r>
      <w:proofErr w:type="spellStart"/>
      <w:r w:rsidRPr="00A774E6">
        <w:t>Santlal</w:t>
      </w:r>
      <w:proofErr w:type="spellEnd"/>
      <w:r w:rsidRPr="00A774E6">
        <w:t xml:space="preserve">, MA DEP;  </w:t>
      </w:r>
      <w:r w:rsidR="006D02C1">
        <w:t xml:space="preserve">Tom Downs, ME DEP; </w:t>
      </w:r>
      <w:r w:rsidRPr="00A774E6">
        <w:t xml:space="preserve">John L. </w:t>
      </w:r>
      <w:proofErr w:type="spellStart"/>
      <w:r w:rsidRPr="00A774E6">
        <w:t>Sipple</w:t>
      </w:r>
      <w:proofErr w:type="spellEnd"/>
      <w:r w:rsidRPr="00A774E6">
        <w:t xml:space="preserve">, DE DNREC;  Diana </w:t>
      </w:r>
      <w:proofErr w:type="spellStart"/>
      <w:r w:rsidRPr="00A774E6">
        <w:t>Rivenburgh</w:t>
      </w:r>
      <w:proofErr w:type="spellEnd"/>
      <w:r w:rsidRPr="00A774E6">
        <w:t xml:space="preserve">, </w:t>
      </w:r>
      <w:r w:rsidR="000D487F">
        <w:t xml:space="preserve">Michael Sheehan, and Rob Sliwinski, </w:t>
      </w:r>
      <w:r w:rsidRPr="00A774E6">
        <w:t xml:space="preserve">NY DEC;  Mary Jane </w:t>
      </w:r>
      <w:proofErr w:type="spellStart"/>
      <w:r w:rsidRPr="00A774E6">
        <w:t>Rutkowski</w:t>
      </w:r>
      <w:proofErr w:type="spellEnd"/>
      <w:r w:rsidRPr="00A774E6">
        <w:t>, MDE</w:t>
      </w:r>
      <w:r w:rsidR="00FF1373">
        <w:t xml:space="preserve">; Stella </w:t>
      </w:r>
      <w:proofErr w:type="spellStart"/>
      <w:r w:rsidR="00FF1373">
        <w:t>Oluwaseun</w:t>
      </w:r>
      <w:proofErr w:type="spellEnd"/>
      <w:r w:rsidR="00FF1373">
        <w:t>-Apo,</w:t>
      </w:r>
      <w:r w:rsidR="006D02C1">
        <w:t xml:space="preserve"> NJ DEP</w:t>
      </w:r>
      <w:r w:rsidR="004A39EB">
        <w:t xml:space="preserve">; </w:t>
      </w:r>
      <w:r w:rsidR="000D487F">
        <w:t xml:space="preserve">Bryan </w:t>
      </w:r>
      <w:proofErr w:type="spellStart"/>
      <w:r w:rsidR="000D487F">
        <w:t>Oshinski</w:t>
      </w:r>
      <w:proofErr w:type="spellEnd"/>
      <w:r w:rsidR="000D487F">
        <w:t xml:space="preserve">, PA DEP; </w:t>
      </w:r>
      <w:r w:rsidR="004A39EB">
        <w:t>Patricia Brewer, National Park S</w:t>
      </w:r>
      <w:r w:rsidR="00FF1373">
        <w:t>ervice; A</w:t>
      </w:r>
      <w:r w:rsidR="00CD5A35">
        <w:t>nne McWilliams, US EPA Region I; and Paul Miller, NESCAUM.</w:t>
      </w:r>
    </w:p>
    <w:p w:rsidR="00460605" w:rsidRPr="00A774E6" w:rsidRDefault="00460605" w:rsidP="00E745C2">
      <w:r w:rsidRPr="00A774E6">
        <w:t>MARAMA staff who contributed to this docume</w:t>
      </w:r>
      <w:r w:rsidR="00A56EF1">
        <w:t>nt</w:t>
      </w:r>
      <w:r w:rsidR="001E0750">
        <w:t xml:space="preserve"> </w:t>
      </w:r>
      <w:proofErr w:type="gramStart"/>
      <w:r w:rsidR="001E0750">
        <w:t>are</w:t>
      </w:r>
      <w:proofErr w:type="gramEnd"/>
      <w:r w:rsidR="00A56EF1">
        <w:t xml:space="preserve">:  Susan </w:t>
      </w:r>
      <w:proofErr w:type="spellStart"/>
      <w:r w:rsidR="00A56EF1">
        <w:t>Wierman</w:t>
      </w:r>
      <w:proofErr w:type="spellEnd"/>
      <w:r w:rsidR="00A56EF1">
        <w:t xml:space="preserve">, </w:t>
      </w:r>
      <w:r w:rsidR="001E0750">
        <w:t>project manager</w:t>
      </w:r>
      <w:r w:rsidR="00A56EF1">
        <w:t>;</w:t>
      </w:r>
      <w:r w:rsidRPr="00A774E6">
        <w:t xml:space="preserve"> Julie </w:t>
      </w:r>
      <w:proofErr w:type="spellStart"/>
      <w:r w:rsidRPr="00A774E6">
        <w:t>McDill</w:t>
      </w:r>
      <w:proofErr w:type="spellEnd"/>
      <w:r w:rsidRPr="00A774E6">
        <w:t xml:space="preserve"> and Abig</w:t>
      </w:r>
      <w:r w:rsidR="00A56EF1">
        <w:t>ail Vickers</w:t>
      </w:r>
      <w:r w:rsidR="001E0750">
        <w:t xml:space="preserve"> </w:t>
      </w:r>
      <w:proofErr w:type="spellStart"/>
      <w:r w:rsidR="001E0750">
        <w:t>Paty</w:t>
      </w:r>
      <w:proofErr w:type="spellEnd"/>
      <w:r w:rsidR="00A56EF1">
        <w:t>, emissions analysis;</w:t>
      </w:r>
      <w:r w:rsidRPr="00A774E6">
        <w:t xml:space="preserve"> Hannah Andrews, </w:t>
      </w:r>
      <w:r w:rsidR="00A56EF1">
        <w:t>Abigail Vickers</w:t>
      </w:r>
      <w:r w:rsidR="001E0750">
        <w:t xml:space="preserve"> </w:t>
      </w:r>
      <w:proofErr w:type="spellStart"/>
      <w:r w:rsidR="001E0750">
        <w:t>Paty</w:t>
      </w:r>
      <w:proofErr w:type="spellEnd"/>
      <w:r w:rsidR="00A56EF1">
        <w:t xml:space="preserve">, and Sharon Ray </w:t>
      </w:r>
      <w:r w:rsidRPr="00A774E6">
        <w:t>clerical support.</w:t>
      </w:r>
    </w:p>
    <w:p w:rsidR="00460605" w:rsidRPr="00460605" w:rsidRDefault="00A56EF1" w:rsidP="00E745C2">
      <w:r>
        <w:t>Funds for this project were</w:t>
      </w:r>
      <w:r w:rsidR="00460605" w:rsidRPr="00460605">
        <w:t xml:space="preserve"> provided by MARAMA’s Memorandum of Agreement with the Ozone Transport Commission (OTC), which is funded by USEPA grant agreement XA</w:t>
      </w:r>
      <w:r w:rsidR="001E0750">
        <w:t xml:space="preserve"> </w:t>
      </w:r>
      <w:r w:rsidR="00460605">
        <w:t>9630900</w:t>
      </w:r>
      <w:r w:rsidR="00460605" w:rsidRPr="00460605">
        <w:t xml:space="preserve">1.  </w:t>
      </w:r>
      <w:r w:rsidR="00460605">
        <w:t>A</w:t>
      </w:r>
      <w:r w:rsidR="00460605" w:rsidRPr="00460605">
        <w:t xml:space="preserve"> purpose of that Memorandum of Agreement</w:t>
      </w:r>
      <w:r w:rsidR="001E0750">
        <w:t xml:space="preserve"> is to support the Mid-Atlantic/</w:t>
      </w:r>
      <w:r w:rsidR="00460605" w:rsidRPr="00460605">
        <w:t>Northeast Visibility Union (MANE-VU) in developing programs to control regional haze or visibility impairment in the Northeast and Mid-Atlantic states.</w:t>
      </w:r>
    </w:p>
    <w:p w:rsidR="00460605" w:rsidRPr="00460605" w:rsidRDefault="00460605" w:rsidP="00E745C2">
      <w:pPr>
        <w:pStyle w:val="Heading2"/>
      </w:pPr>
      <w:bookmarkStart w:id="6" w:name="_Toc357514597"/>
      <w:bookmarkStart w:id="7" w:name="_Toc357520842"/>
      <w:bookmarkStart w:id="8" w:name="_Toc373843479"/>
      <w:r w:rsidRPr="00460605">
        <w:t>About MARAMA</w:t>
      </w:r>
      <w:bookmarkEnd w:id="6"/>
      <w:bookmarkEnd w:id="7"/>
      <w:bookmarkEnd w:id="8"/>
    </w:p>
    <w:p w:rsidR="00FF1373" w:rsidRPr="00460605" w:rsidRDefault="00460605" w:rsidP="00E745C2">
      <w:r w:rsidRPr="00460605">
        <w:t>The Mid-Atlantic Regional Air Management Association, Inc. is a voluntary, non-profit association of ten state and local air pollution control agencies. MARAMA's mission is to strengthen the skills and capabilities of member agencies and to help them work together to prevent and reduce air pollution in the Mid-Atlantic Region.  MARAMA provides cost-effective approaches to regional collaboration by pooling resources to develop and analyze data, share ideas, and train staff t</w:t>
      </w:r>
      <w:r w:rsidR="00FF1373">
        <w:t xml:space="preserve">o implement common requirements.  Seven of MARAMA’s member agencies are located in the MANE-VU region, </w:t>
      </w:r>
      <w:r w:rsidR="00CD5A35">
        <w:t>shown on page 18</w:t>
      </w:r>
      <w:r w:rsidR="00FF1373">
        <w:t>.</w:t>
      </w:r>
    </w:p>
    <w:p w:rsidR="00210FE6" w:rsidRDefault="00E902B8" w:rsidP="00210FE6">
      <w:pPr>
        <w:jc w:val="center"/>
        <w:rPr>
          <w:spacing w:val="-2"/>
        </w:rPr>
      </w:pPr>
      <w:r>
        <w:rPr>
          <w:spacing w:val="-2"/>
        </w:rPr>
        <w:br w:type="page"/>
      </w:r>
    </w:p>
    <w:p w:rsidR="00E71C51" w:rsidRDefault="00E71C51" w:rsidP="00210FE6">
      <w:pPr>
        <w:jc w:val="center"/>
        <w:rPr>
          <w:spacing w:val="-2"/>
        </w:rPr>
      </w:pPr>
    </w:p>
    <w:p w:rsidR="00E71C51" w:rsidRPr="00E745C2" w:rsidRDefault="00E71C51" w:rsidP="00A57D6D">
      <w:pPr>
        <w:spacing w:before="2400"/>
        <w:ind w:right="72"/>
        <w:jc w:val="center"/>
        <w:rPr>
          <w:rFonts w:ascii="Arial" w:hAnsi="Arial" w:cs="Arial"/>
          <w:b/>
          <w:bCs/>
          <w:spacing w:val="-6"/>
          <w:w w:val="105"/>
          <w:sz w:val="52"/>
          <w:szCs w:val="52"/>
        </w:rPr>
      </w:pPr>
      <w:r w:rsidRPr="00E745C2">
        <w:rPr>
          <w:rFonts w:ascii="Arial" w:hAnsi="Arial" w:cs="Arial"/>
          <w:b/>
          <w:bCs/>
          <w:spacing w:val="-6"/>
          <w:w w:val="105"/>
          <w:sz w:val="52"/>
          <w:szCs w:val="52"/>
        </w:rPr>
        <w:t>MANE-VU Template</w:t>
      </w:r>
      <w:r w:rsidR="00E450AE">
        <w:rPr>
          <w:rFonts w:ascii="Arial" w:hAnsi="Arial" w:cs="Arial"/>
          <w:b/>
          <w:bCs/>
          <w:spacing w:val="-6"/>
          <w:w w:val="105"/>
          <w:sz w:val="52"/>
          <w:szCs w:val="52"/>
        </w:rPr>
        <w:t>:</w:t>
      </w:r>
    </w:p>
    <w:p w:rsidR="00E71C51" w:rsidRPr="00E745C2" w:rsidRDefault="00E71C51" w:rsidP="008E7EBD">
      <w:pPr>
        <w:spacing w:before="240"/>
        <w:ind w:right="72"/>
        <w:jc w:val="center"/>
        <w:rPr>
          <w:rFonts w:ascii="Arial" w:hAnsi="Arial" w:cs="Arial"/>
          <w:b/>
          <w:bCs/>
          <w:spacing w:val="-6"/>
          <w:w w:val="105"/>
          <w:sz w:val="52"/>
          <w:szCs w:val="52"/>
        </w:rPr>
      </w:pPr>
      <w:r w:rsidRPr="00E745C2">
        <w:rPr>
          <w:rFonts w:ascii="Arial" w:hAnsi="Arial" w:cs="Arial"/>
          <w:b/>
          <w:bCs/>
          <w:spacing w:val="-6"/>
          <w:w w:val="105"/>
          <w:sz w:val="52"/>
          <w:szCs w:val="52"/>
        </w:rPr>
        <w:t>Regional Haze Five Year Progress Report</w:t>
      </w:r>
    </w:p>
    <w:p w:rsidR="00E71C51" w:rsidRPr="00E0135B" w:rsidRDefault="00FF1373" w:rsidP="00E0135B">
      <w:pPr>
        <w:spacing w:before="1920"/>
        <w:ind w:right="72"/>
        <w:jc w:val="center"/>
        <w:rPr>
          <w:rFonts w:ascii="Arial" w:hAnsi="Arial" w:cs="Arial"/>
          <w:bCs/>
          <w:spacing w:val="-2"/>
          <w:w w:val="105"/>
          <w:sz w:val="36"/>
          <w:szCs w:val="36"/>
        </w:rPr>
      </w:pPr>
      <w:r w:rsidRPr="00E0135B">
        <w:rPr>
          <w:rFonts w:ascii="Arial" w:hAnsi="Arial" w:cs="Arial"/>
          <w:bCs/>
          <w:spacing w:val="-2"/>
          <w:w w:val="105"/>
          <w:sz w:val="36"/>
          <w:szCs w:val="36"/>
        </w:rPr>
        <w:t xml:space="preserve">Revised </w:t>
      </w:r>
      <w:r w:rsidR="00DD5ADB">
        <w:rPr>
          <w:rFonts w:ascii="Arial" w:hAnsi="Arial" w:cs="Arial"/>
          <w:bCs/>
          <w:spacing w:val="-2"/>
          <w:w w:val="105"/>
          <w:sz w:val="36"/>
          <w:szCs w:val="36"/>
        </w:rPr>
        <w:t>March</w:t>
      </w:r>
      <w:r w:rsidR="004D5CB4">
        <w:rPr>
          <w:rFonts w:ascii="Arial" w:hAnsi="Arial" w:cs="Arial"/>
          <w:bCs/>
          <w:spacing w:val="-2"/>
          <w:w w:val="105"/>
          <w:sz w:val="36"/>
          <w:szCs w:val="36"/>
        </w:rPr>
        <w:t xml:space="preserve"> </w:t>
      </w:r>
      <w:r w:rsidR="00381D60">
        <w:rPr>
          <w:rFonts w:ascii="Arial" w:hAnsi="Arial" w:cs="Arial"/>
          <w:bCs/>
          <w:spacing w:val="-2"/>
          <w:w w:val="105"/>
          <w:sz w:val="36"/>
          <w:szCs w:val="36"/>
        </w:rPr>
        <w:t>30</w:t>
      </w:r>
      <w:r w:rsidR="00E71C51" w:rsidRPr="00E0135B">
        <w:rPr>
          <w:rFonts w:ascii="Arial" w:hAnsi="Arial" w:cs="Arial"/>
          <w:bCs/>
          <w:spacing w:val="-2"/>
          <w:w w:val="105"/>
          <w:sz w:val="36"/>
          <w:szCs w:val="36"/>
        </w:rPr>
        <w:t>, 201</w:t>
      </w:r>
      <w:r w:rsidR="00DD5ADB">
        <w:rPr>
          <w:rFonts w:ascii="Arial" w:hAnsi="Arial" w:cs="Arial"/>
          <w:bCs/>
          <w:spacing w:val="-2"/>
          <w:w w:val="105"/>
          <w:sz w:val="36"/>
          <w:szCs w:val="36"/>
        </w:rPr>
        <w:t>5</w:t>
      </w:r>
    </w:p>
    <w:p w:rsidR="00E0135B" w:rsidRPr="00E0135B" w:rsidRDefault="00E0135B" w:rsidP="00A57D6D">
      <w:pPr>
        <w:spacing w:before="120"/>
        <w:ind w:right="72"/>
        <w:jc w:val="center"/>
        <w:rPr>
          <w:rFonts w:ascii="Arial" w:hAnsi="Arial" w:cs="Arial"/>
          <w:bCs/>
          <w:w w:val="105"/>
          <w:sz w:val="28"/>
          <w:szCs w:val="28"/>
        </w:rPr>
      </w:pPr>
    </w:p>
    <w:p w:rsidR="00E71C51" w:rsidRPr="00E0135B" w:rsidRDefault="00E0135B" w:rsidP="00E0135B">
      <w:pPr>
        <w:spacing w:before="1440"/>
        <w:ind w:right="72"/>
        <w:jc w:val="center"/>
        <w:rPr>
          <w:rFonts w:ascii="Arial" w:hAnsi="Arial" w:cs="Arial"/>
          <w:bCs/>
          <w:w w:val="105"/>
          <w:sz w:val="28"/>
          <w:szCs w:val="28"/>
        </w:rPr>
      </w:pPr>
      <w:r w:rsidRPr="00E0135B">
        <w:rPr>
          <w:rFonts w:ascii="Arial" w:hAnsi="Arial" w:cs="Arial"/>
          <w:bCs/>
          <w:w w:val="105"/>
          <w:sz w:val="28"/>
          <w:szCs w:val="28"/>
        </w:rPr>
        <w:t>Prepared for</w:t>
      </w:r>
      <w:r w:rsidR="00E71C51" w:rsidRPr="00E0135B">
        <w:rPr>
          <w:rFonts w:ascii="Arial" w:hAnsi="Arial" w:cs="Arial"/>
          <w:bCs/>
          <w:w w:val="105"/>
          <w:sz w:val="28"/>
          <w:szCs w:val="28"/>
        </w:rPr>
        <w:t xml:space="preserve"> the</w:t>
      </w:r>
    </w:p>
    <w:p w:rsidR="00E71C51" w:rsidRPr="00E0135B" w:rsidRDefault="00E71C51" w:rsidP="00E0135B">
      <w:pPr>
        <w:spacing w:before="120"/>
        <w:ind w:right="72"/>
        <w:jc w:val="center"/>
        <w:rPr>
          <w:rFonts w:cs="Arial"/>
          <w:bCs/>
          <w:w w:val="105"/>
          <w:sz w:val="28"/>
          <w:szCs w:val="28"/>
        </w:rPr>
      </w:pPr>
      <w:r w:rsidRPr="00E0135B">
        <w:rPr>
          <w:rFonts w:ascii="Arial" w:hAnsi="Arial" w:cs="Arial"/>
          <w:bCs/>
          <w:w w:val="105"/>
          <w:sz w:val="28"/>
          <w:szCs w:val="28"/>
        </w:rPr>
        <w:t>Mid-Atlantic/Northeast Visibility Union (MANE-VU)</w:t>
      </w:r>
    </w:p>
    <w:p w:rsidR="00E0135B" w:rsidRPr="00E0135B" w:rsidRDefault="00E0135B" w:rsidP="00E0135B">
      <w:pPr>
        <w:spacing w:before="120"/>
        <w:ind w:right="72"/>
        <w:jc w:val="center"/>
        <w:rPr>
          <w:rFonts w:ascii="Arial" w:hAnsi="Arial" w:cs="Arial"/>
          <w:bCs/>
          <w:spacing w:val="-6"/>
          <w:w w:val="105"/>
          <w:sz w:val="28"/>
          <w:szCs w:val="28"/>
        </w:rPr>
      </w:pPr>
      <w:proofErr w:type="gramStart"/>
      <w:r w:rsidRPr="00E0135B">
        <w:rPr>
          <w:rFonts w:ascii="Arial" w:hAnsi="Arial" w:cs="Arial"/>
          <w:bCs/>
          <w:spacing w:val="-6"/>
          <w:w w:val="105"/>
          <w:sz w:val="28"/>
          <w:szCs w:val="28"/>
        </w:rPr>
        <w:t>by</w:t>
      </w:r>
      <w:proofErr w:type="gramEnd"/>
      <w:r w:rsidRPr="00E0135B">
        <w:rPr>
          <w:rFonts w:ascii="Arial" w:hAnsi="Arial" w:cs="Arial"/>
          <w:bCs/>
          <w:spacing w:val="-6"/>
          <w:w w:val="105"/>
          <w:sz w:val="28"/>
          <w:szCs w:val="28"/>
        </w:rPr>
        <w:t xml:space="preserve"> the</w:t>
      </w:r>
    </w:p>
    <w:p w:rsidR="00E0135B" w:rsidRPr="00E0135B" w:rsidRDefault="00E0135B" w:rsidP="00E0135B">
      <w:pPr>
        <w:spacing w:before="120"/>
        <w:ind w:right="72"/>
        <w:jc w:val="center"/>
        <w:rPr>
          <w:rFonts w:ascii="Arial" w:hAnsi="Arial" w:cs="Arial"/>
          <w:bCs/>
          <w:w w:val="105"/>
          <w:sz w:val="28"/>
          <w:szCs w:val="28"/>
        </w:rPr>
      </w:pPr>
      <w:r w:rsidRPr="00E0135B">
        <w:rPr>
          <w:rFonts w:ascii="Arial" w:hAnsi="Arial" w:cs="Arial"/>
          <w:bCs/>
          <w:spacing w:val="-6"/>
          <w:w w:val="105"/>
          <w:sz w:val="28"/>
          <w:szCs w:val="28"/>
        </w:rPr>
        <w:t>Mid-Atlantic Regional Air Management Association (MARAMA</w:t>
      </w:r>
      <w:r w:rsidRPr="00E0135B">
        <w:rPr>
          <w:rFonts w:ascii="Arial" w:hAnsi="Arial" w:cs="Arial"/>
          <w:bCs/>
          <w:w w:val="105"/>
          <w:sz w:val="28"/>
          <w:szCs w:val="28"/>
        </w:rPr>
        <w:t>)</w:t>
      </w:r>
    </w:p>
    <w:p w:rsidR="00E0135B" w:rsidRPr="00E0135B" w:rsidRDefault="00E0135B" w:rsidP="00E0135B">
      <w:pPr>
        <w:spacing w:before="120"/>
        <w:ind w:right="72"/>
        <w:jc w:val="center"/>
        <w:rPr>
          <w:rFonts w:ascii="Arial" w:hAnsi="Arial" w:cs="Arial"/>
          <w:bCs/>
          <w:w w:val="105"/>
          <w:sz w:val="28"/>
          <w:szCs w:val="28"/>
        </w:rPr>
      </w:pPr>
      <w:r w:rsidRPr="00E0135B">
        <w:rPr>
          <w:rFonts w:ascii="Arial" w:hAnsi="Arial" w:cs="Arial"/>
          <w:bCs/>
          <w:w w:val="105"/>
          <w:sz w:val="28"/>
          <w:szCs w:val="28"/>
        </w:rPr>
        <w:t>8600 LaSalle Road, Suite 636</w:t>
      </w:r>
    </w:p>
    <w:p w:rsidR="00E0135B" w:rsidRPr="00E0135B" w:rsidRDefault="00E0135B" w:rsidP="00E0135B">
      <w:pPr>
        <w:jc w:val="center"/>
        <w:rPr>
          <w:rFonts w:ascii="Arial" w:hAnsi="Arial" w:cs="Arial"/>
          <w:bCs/>
          <w:w w:val="105"/>
          <w:sz w:val="28"/>
          <w:szCs w:val="28"/>
        </w:rPr>
      </w:pPr>
      <w:r w:rsidRPr="00E0135B">
        <w:rPr>
          <w:rFonts w:ascii="Arial" w:hAnsi="Arial" w:cs="Arial"/>
          <w:bCs/>
          <w:w w:val="105"/>
          <w:sz w:val="28"/>
          <w:szCs w:val="28"/>
        </w:rPr>
        <w:t>Towson, Maryland 21286</w:t>
      </w:r>
    </w:p>
    <w:p w:rsidR="00E0135B" w:rsidRDefault="00E0135B">
      <w:pPr>
        <w:spacing w:after="0" w:line="240" w:lineRule="auto"/>
        <w:rPr>
          <w:rFonts w:ascii="Arial" w:hAnsi="Arial" w:cs="Arial"/>
          <w:b/>
          <w:bCs/>
          <w:w w:val="105"/>
          <w:sz w:val="28"/>
          <w:szCs w:val="28"/>
        </w:rPr>
      </w:pPr>
      <w:r>
        <w:rPr>
          <w:rFonts w:ascii="Arial" w:hAnsi="Arial" w:cs="Arial"/>
          <w:b/>
          <w:bCs/>
          <w:w w:val="105"/>
          <w:sz w:val="28"/>
          <w:szCs w:val="28"/>
        </w:rPr>
        <w:br w:type="page"/>
      </w:r>
    </w:p>
    <w:p w:rsidR="00E71C51" w:rsidRDefault="00E71C51" w:rsidP="00E0135B">
      <w:pPr>
        <w:rPr>
          <w:rFonts w:ascii="Cambria" w:hAnsi="Cambria"/>
          <w:b/>
          <w:bCs/>
          <w:color w:val="000000"/>
          <w:sz w:val="26"/>
          <w:szCs w:val="26"/>
        </w:rPr>
      </w:pPr>
    </w:p>
    <w:p w:rsidR="00E71C51" w:rsidRPr="00E745C2" w:rsidRDefault="00E71C51" w:rsidP="00E745C2">
      <w:pPr>
        <w:pStyle w:val="Heading2"/>
      </w:pPr>
      <w:bookmarkStart w:id="9" w:name="_Toc373843480"/>
      <w:r w:rsidRPr="00E745C2">
        <w:t>E</w:t>
      </w:r>
      <w:r w:rsidR="00E745C2">
        <w:t>xecutive</w:t>
      </w:r>
      <w:r w:rsidRPr="00E745C2">
        <w:t xml:space="preserve"> S</w:t>
      </w:r>
      <w:r w:rsidR="00E745C2">
        <w:t>ummary</w:t>
      </w:r>
      <w:bookmarkEnd w:id="9"/>
    </w:p>
    <w:p w:rsidR="00E71C51" w:rsidRPr="008763E5" w:rsidRDefault="00E71C51" w:rsidP="00E745C2">
      <w:r w:rsidRPr="008763E5">
        <w:t xml:space="preserve">The Clean Air Act mandates </w:t>
      </w:r>
      <w:r w:rsidR="002A6083">
        <w:t>actions</w:t>
      </w:r>
      <w:r w:rsidRPr="008763E5">
        <w:t xml:space="preserve"> to protect visibility, especially in Class I Federal areas. In 1999, the U.S. Environmental Protection Agency (EPA) finalized the Regional Haze Rule (64 FR 35714, </w:t>
      </w:r>
      <w:proofErr w:type="gramStart"/>
      <w:r w:rsidRPr="008763E5">
        <w:t>40 CFR 51.300 et seq.</w:t>
      </w:r>
      <w:proofErr w:type="gramEnd"/>
      <w:r w:rsidRPr="008763E5">
        <w:t>).  The rule calls for state, tribal, and federal agencies to work together to improve visibility in 156 national parks and wilderness areas designated as Class I Federal areas.</w:t>
      </w:r>
    </w:p>
    <w:p w:rsidR="00E71C51" w:rsidRPr="008763E5" w:rsidRDefault="00E71C51" w:rsidP="00E745C2">
      <w:r w:rsidRPr="008763E5">
        <w:t xml:space="preserve">States are required to develop and implement plans (State Implementation Plans, </w:t>
      </w:r>
      <w:r w:rsidR="002A6083">
        <w:t xml:space="preserve">or </w:t>
      </w:r>
      <w:r w:rsidRPr="008763E5">
        <w:t>SIPs) in order to reduce the pollution that causes visibility impairment.  These plans establish reasonable progress goals for visibility improvement and include strategies to reduce air pollutant emissions from sources contributing to v</w:t>
      </w:r>
      <w:r w:rsidR="00E745C2">
        <w:t>isibility impairment.</w:t>
      </w:r>
    </w:p>
    <w:p w:rsidR="00E71C51" w:rsidRPr="008763E5" w:rsidRDefault="00E71C51" w:rsidP="00E745C2">
      <w:r w:rsidRPr="008763E5">
        <w:t xml:space="preserve">Regional haze is caused by numerous sources over a broad area, and it obscures vistas integral to the value of our parks and wilderness areas.  The predominant cause of haze pollution in </w:t>
      </w:r>
      <w:r w:rsidR="00C203B2">
        <w:t>the Mid-Atlantic/Northeast</w:t>
      </w:r>
      <w:r w:rsidR="00C203B2" w:rsidRPr="008763E5">
        <w:t xml:space="preserve"> </w:t>
      </w:r>
      <w:r w:rsidRPr="008763E5">
        <w:t>region is sulfate particles caused by emissio</w:t>
      </w:r>
      <w:r w:rsidR="00E745C2">
        <w:t xml:space="preserve">ns from burning coal and oil.  </w:t>
      </w:r>
    </w:p>
    <w:p w:rsidR="00E71C51" w:rsidRPr="008763E5" w:rsidRDefault="00E71C51" w:rsidP="00E745C2">
      <w:r w:rsidRPr="00BA317B">
        <w:rPr>
          <w:highlight w:val="yellow"/>
        </w:rPr>
        <w:t xml:space="preserve">As a member of the Mid-Atlantic/Northeast Visibility Union (MANE-VU) </w:t>
      </w:r>
      <w:r w:rsidR="002A6083" w:rsidRPr="00BA317B">
        <w:rPr>
          <w:highlight w:val="yellow"/>
        </w:rPr>
        <w:t>&lt;</w:t>
      </w:r>
      <w:r w:rsidRPr="00BA317B">
        <w:rPr>
          <w:highlight w:val="yellow"/>
        </w:rPr>
        <w:t>the State</w:t>
      </w:r>
      <w:r w:rsidR="002A6083" w:rsidRPr="00BA317B">
        <w:rPr>
          <w:highlight w:val="yellow"/>
        </w:rPr>
        <w:t>&gt;</w:t>
      </w:r>
      <w:r w:rsidRPr="00BA317B">
        <w:rPr>
          <w:highlight w:val="yellow"/>
        </w:rPr>
        <w:t xml:space="preserve"> has committed to implement MANE-VU’s long term strategy to improve visibility.</w:t>
      </w:r>
      <w:r w:rsidRPr="008763E5">
        <w:t xml:space="preserve">  The MANE-VU strategy for 2018 includes:</w:t>
      </w:r>
    </w:p>
    <w:p w:rsidR="00E71C51" w:rsidRPr="008763E5" w:rsidRDefault="00E71C51" w:rsidP="001000E1">
      <w:pPr>
        <w:pStyle w:val="TableTitle"/>
        <w:numPr>
          <w:ilvl w:val="0"/>
          <w:numId w:val="8"/>
        </w:numPr>
        <w:spacing w:line="276" w:lineRule="auto"/>
        <w:jc w:val="left"/>
        <w:rPr>
          <w:rFonts w:ascii="Times New Roman" w:hAnsi="Times New Roman" w:cs="Times New Roman"/>
          <w:b w:val="0"/>
          <w:bCs w:val="0"/>
          <w:sz w:val="22"/>
          <w:szCs w:val="22"/>
        </w:rPr>
      </w:pPr>
      <w:r w:rsidRPr="008763E5">
        <w:rPr>
          <w:rFonts w:ascii="Times New Roman" w:hAnsi="Times New Roman" w:cs="Times New Roman"/>
          <w:b w:val="0"/>
          <w:bCs w:val="0"/>
          <w:sz w:val="22"/>
          <w:szCs w:val="22"/>
        </w:rPr>
        <w:t xml:space="preserve">Timely implementation of </w:t>
      </w:r>
      <w:r w:rsidR="00392E66">
        <w:rPr>
          <w:rFonts w:ascii="Times New Roman" w:hAnsi="Times New Roman" w:cs="Times New Roman"/>
          <w:b w:val="0"/>
          <w:bCs w:val="0"/>
          <w:sz w:val="22"/>
          <w:szCs w:val="22"/>
        </w:rPr>
        <w:t>Best Available Retrofit Technology (</w:t>
      </w:r>
      <w:r w:rsidRPr="008763E5">
        <w:rPr>
          <w:rFonts w:ascii="Times New Roman" w:hAnsi="Times New Roman" w:cs="Times New Roman"/>
          <w:b w:val="0"/>
          <w:bCs w:val="0"/>
          <w:sz w:val="22"/>
          <w:szCs w:val="22"/>
        </w:rPr>
        <w:t>BART</w:t>
      </w:r>
      <w:r w:rsidR="00392E66">
        <w:rPr>
          <w:rFonts w:ascii="Times New Roman" w:hAnsi="Times New Roman" w:cs="Times New Roman"/>
          <w:b w:val="0"/>
          <w:bCs w:val="0"/>
          <w:sz w:val="22"/>
          <w:szCs w:val="22"/>
        </w:rPr>
        <w:t>)</w:t>
      </w:r>
      <w:r w:rsidRPr="008763E5">
        <w:rPr>
          <w:rFonts w:ascii="Times New Roman" w:hAnsi="Times New Roman" w:cs="Times New Roman"/>
          <w:b w:val="0"/>
          <w:bCs w:val="0"/>
          <w:sz w:val="22"/>
          <w:szCs w:val="22"/>
        </w:rPr>
        <w:t>,</w:t>
      </w:r>
    </w:p>
    <w:p w:rsidR="00E71C51" w:rsidRPr="008763E5" w:rsidRDefault="00E71C51" w:rsidP="001000E1">
      <w:pPr>
        <w:pStyle w:val="TableTitle"/>
        <w:numPr>
          <w:ilvl w:val="0"/>
          <w:numId w:val="8"/>
        </w:numPr>
        <w:spacing w:line="276" w:lineRule="auto"/>
        <w:jc w:val="left"/>
        <w:rPr>
          <w:rFonts w:ascii="Times New Roman" w:hAnsi="Times New Roman" w:cs="Times New Roman"/>
          <w:b w:val="0"/>
          <w:bCs w:val="0"/>
          <w:sz w:val="22"/>
          <w:szCs w:val="22"/>
        </w:rPr>
      </w:pPr>
      <w:r w:rsidRPr="008763E5">
        <w:rPr>
          <w:rFonts w:ascii="Times New Roman" w:hAnsi="Times New Roman" w:cs="Times New Roman"/>
          <w:b w:val="0"/>
          <w:bCs w:val="0"/>
          <w:sz w:val="22"/>
          <w:szCs w:val="22"/>
        </w:rPr>
        <w:t xml:space="preserve">Reducing the sulfur content of fuel oil, </w:t>
      </w:r>
    </w:p>
    <w:p w:rsidR="00E71C51" w:rsidRPr="008763E5" w:rsidRDefault="00E71C51" w:rsidP="001000E1">
      <w:pPr>
        <w:pStyle w:val="TableTitle"/>
        <w:numPr>
          <w:ilvl w:val="0"/>
          <w:numId w:val="8"/>
        </w:numPr>
        <w:spacing w:line="276" w:lineRule="auto"/>
        <w:jc w:val="left"/>
        <w:rPr>
          <w:rFonts w:ascii="Times New Roman" w:hAnsi="Times New Roman" w:cs="Times New Roman"/>
          <w:b w:val="0"/>
          <w:bCs w:val="0"/>
          <w:sz w:val="22"/>
          <w:szCs w:val="22"/>
        </w:rPr>
      </w:pPr>
      <w:r w:rsidRPr="008763E5">
        <w:rPr>
          <w:rFonts w:ascii="Times New Roman" w:hAnsi="Times New Roman" w:cs="Times New Roman"/>
          <w:b w:val="0"/>
          <w:bCs w:val="0"/>
          <w:sz w:val="22"/>
          <w:szCs w:val="22"/>
        </w:rPr>
        <w:t xml:space="preserve">Reducing sulfur dioxide emissions from electric power plants, </w:t>
      </w:r>
    </w:p>
    <w:p w:rsidR="00E71C51" w:rsidRPr="008763E5" w:rsidRDefault="00E71C51" w:rsidP="001000E1">
      <w:pPr>
        <w:pStyle w:val="TableTitle"/>
        <w:numPr>
          <w:ilvl w:val="0"/>
          <w:numId w:val="8"/>
        </w:numPr>
        <w:spacing w:line="276" w:lineRule="auto"/>
        <w:jc w:val="left"/>
        <w:rPr>
          <w:rFonts w:ascii="Times New Roman" w:hAnsi="Times New Roman" w:cs="Times New Roman"/>
          <w:b w:val="0"/>
          <w:bCs w:val="0"/>
          <w:sz w:val="22"/>
          <w:szCs w:val="22"/>
        </w:rPr>
      </w:pPr>
      <w:r w:rsidRPr="008763E5">
        <w:rPr>
          <w:rFonts w:ascii="Times New Roman" w:hAnsi="Times New Roman" w:cs="Times New Roman"/>
          <w:b w:val="0"/>
          <w:bCs w:val="0"/>
          <w:sz w:val="22"/>
          <w:szCs w:val="22"/>
        </w:rPr>
        <w:t>Seeking to reduce emissions outside MANE-VU that impair visibility in our region, and</w:t>
      </w:r>
    </w:p>
    <w:p w:rsidR="00E71C51" w:rsidRPr="001000E1" w:rsidRDefault="00E71C51" w:rsidP="001000E1">
      <w:pPr>
        <w:pStyle w:val="TableTitle"/>
        <w:numPr>
          <w:ilvl w:val="0"/>
          <w:numId w:val="8"/>
        </w:numPr>
        <w:spacing w:after="120" w:line="276" w:lineRule="auto"/>
        <w:jc w:val="left"/>
        <w:rPr>
          <w:rFonts w:ascii="Times New Roman" w:hAnsi="Times New Roman" w:cs="Times New Roman"/>
          <w:b w:val="0"/>
          <w:bCs w:val="0"/>
          <w:sz w:val="22"/>
          <w:szCs w:val="22"/>
        </w:rPr>
      </w:pPr>
      <w:r w:rsidRPr="008763E5">
        <w:rPr>
          <w:rFonts w:ascii="Times New Roman" w:hAnsi="Times New Roman" w:cs="Times New Roman"/>
          <w:b w:val="0"/>
          <w:bCs w:val="0"/>
          <w:sz w:val="22"/>
          <w:szCs w:val="22"/>
        </w:rPr>
        <w:t>Continuing to evaluate other measures such as energy efficiency, alternative clean fuels, and measures to reduce emissions from wood and coal combustion.</w:t>
      </w:r>
    </w:p>
    <w:p w:rsidR="00E71C51" w:rsidRPr="008763E5" w:rsidRDefault="00E71C51" w:rsidP="001000E1">
      <w:r w:rsidRPr="002A6083">
        <w:rPr>
          <w:highlight w:val="yellow"/>
        </w:rPr>
        <w:t xml:space="preserve">This document is intended to address the requirements of 40 CFR 51.308(g) requiring periodic reports evaluating progress in implementing the measures included in </w:t>
      </w:r>
      <w:r w:rsidR="002A6083" w:rsidRPr="002A6083">
        <w:rPr>
          <w:highlight w:val="yellow"/>
        </w:rPr>
        <w:t>&lt;</w:t>
      </w:r>
      <w:r w:rsidRPr="002A6083">
        <w:rPr>
          <w:highlight w:val="yellow"/>
        </w:rPr>
        <w:t>the State’s</w:t>
      </w:r>
      <w:r w:rsidR="002A6083" w:rsidRPr="002A6083">
        <w:rPr>
          <w:highlight w:val="yellow"/>
        </w:rPr>
        <w:t>&gt;</w:t>
      </w:r>
      <w:r w:rsidRPr="002A6083">
        <w:rPr>
          <w:highlight w:val="yellow"/>
        </w:rPr>
        <w:t xml:space="preserve"> regional haze SIP.</w:t>
      </w:r>
      <w:r w:rsidR="00392E66" w:rsidRPr="002A6083">
        <w:rPr>
          <w:highlight w:val="yellow"/>
        </w:rPr>
        <w:t xml:space="preserve">  The </w:t>
      </w:r>
      <w:r w:rsidR="00392E66" w:rsidRPr="00392E66">
        <w:rPr>
          <w:highlight w:val="yellow"/>
        </w:rPr>
        <w:t>control strategies in the SIP are continuing to be implemented, and emissions of sulfur dioxide (SO</w:t>
      </w:r>
      <w:r w:rsidR="00392E66" w:rsidRPr="00392E66">
        <w:rPr>
          <w:highlight w:val="yellow"/>
          <w:vertAlign w:val="subscript"/>
        </w:rPr>
        <w:t>2</w:t>
      </w:r>
      <w:r w:rsidR="00392E66" w:rsidRPr="00392E66">
        <w:rPr>
          <w:highlight w:val="yellow"/>
        </w:rPr>
        <w:t>) have declined.</w:t>
      </w:r>
    </w:p>
    <w:p w:rsidR="00E71C51" w:rsidRDefault="00E71C51" w:rsidP="001000E1">
      <w:r w:rsidRPr="002A6083">
        <w:rPr>
          <w:highlight w:val="yellow"/>
        </w:rPr>
        <w:t>Based on the progress made in</w:t>
      </w:r>
      <w:r w:rsidR="002A6083" w:rsidRPr="002A6083">
        <w:rPr>
          <w:highlight w:val="yellow"/>
        </w:rPr>
        <w:t xml:space="preserve"> reducing emissions within the S</w:t>
      </w:r>
      <w:r w:rsidRPr="002A6083">
        <w:rPr>
          <w:highlight w:val="yellow"/>
        </w:rPr>
        <w:t xml:space="preserve">tate and implementing other requirements of </w:t>
      </w:r>
      <w:r w:rsidR="002A6083" w:rsidRPr="002A6083">
        <w:rPr>
          <w:highlight w:val="yellow"/>
        </w:rPr>
        <w:t>&lt;</w:t>
      </w:r>
      <w:r w:rsidRPr="002A6083">
        <w:rPr>
          <w:highlight w:val="yellow"/>
        </w:rPr>
        <w:t>the State’s</w:t>
      </w:r>
      <w:r w:rsidR="002A6083" w:rsidRPr="002A6083">
        <w:rPr>
          <w:highlight w:val="yellow"/>
        </w:rPr>
        <w:t>&gt;</w:t>
      </w:r>
      <w:r w:rsidRPr="002A6083">
        <w:rPr>
          <w:highlight w:val="yellow"/>
        </w:rPr>
        <w:t xml:space="preserve"> Regional Haze SIP, the </w:t>
      </w:r>
      <w:r w:rsidRPr="008763E5">
        <w:rPr>
          <w:highlight w:val="yellow"/>
        </w:rPr>
        <w:t>State submits a negative declaration to EPA specifying that its Regional Haze SIP is sufficient in meeting the requirements outlined in EPA’s Regional Haze Rule.</w:t>
      </w:r>
      <w:r w:rsidRPr="008763E5">
        <w:t xml:space="preserve">  </w:t>
      </w:r>
    </w:p>
    <w:p w:rsidR="00E71C51" w:rsidRPr="008763E5" w:rsidRDefault="00E71C51" w:rsidP="00095B62">
      <w:pPr>
        <w:autoSpaceDE w:val="0"/>
        <w:autoSpaceDN w:val="0"/>
        <w:adjustRightInd w:val="0"/>
        <w:spacing w:after="0" w:line="240" w:lineRule="auto"/>
        <w:rPr>
          <w:b/>
          <w:bCs/>
        </w:rPr>
      </w:pPr>
      <w:r w:rsidRPr="008763E5">
        <w:rPr>
          <w:b/>
          <w:bCs/>
        </w:rPr>
        <w:br w:type="page"/>
      </w:r>
    </w:p>
    <w:p w:rsidR="00E71C51" w:rsidRPr="001000E1" w:rsidRDefault="00E71C51" w:rsidP="001000E1">
      <w:pPr>
        <w:pStyle w:val="Heading2"/>
      </w:pPr>
      <w:bookmarkStart w:id="10" w:name="_Toc373843481"/>
      <w:r w:rsidRPr="001000E1">
        <w:lastRenderedPageBreak/>
        <w:t>SIP Submittal</w:t>
      </w:r>
      <w:bookmarkEnd w:id="10"/>
    </w:p>
    <w:p w:rsidR="00E71C51" w:rsidRPr="00131F07" w:rsidRDefault="00E71C51" w:rsidP="001000E1">
      <w:pPr>
        <w:rPr>
          <w:w w:val="105"/>
        </w:rPr>
      </w:pPr>
      <w:r w:rsidRPr="00131F07">
        <w:rPr>
          <w:w w:val="105"/>
        </w:rPr>
        <w:t>Pursuant to the requirements of 40 CFR 51.308(g), (h), and (</w:t>
      </w:r>
      <w:proofErr w:type="spellStart"/>
      <w:r w:rsidRPr="00131F07">
        <w:rPr>
          <w:w w:val="105"/>
        </w:rPr>
        <w:t>i</w:t>
      </w:r>
      <w:proofErr w:type="spellEnd"/>
      <w:r w:rsidR="00C9142D" w:rsidRPr="00131F07">
        <w:rPr>
          <w:w w:val="105"/>
        </w:rPr>
        <w:t>),</w:t>
      </w:r>
      <w:r w:rsidRPr="00131F07">
        <w:rPr>
          <w:w w:val="105"/>
        </w:rPr>
        <w:t xml:space="preserve"> </w:t>
      </w:r>
      <w:r w:rsidRPr="00050C0F">
        <w:rPr>
          <w:w w:val="105"/>
        </w:rPr>
        <w:t>&lt;</w:t>
      </w:r>
      <w:r w:rsidRPr="00050C0F">
        <w:rPr>
          <w:w w:val="105"/>
          <w:highlight w:val="yellow"/>
        </w:rPr>
        <w:t>state name</w:t>
      </w:r>
      <w:r w:rsidRPr="00050C0F">
        <w:rPr>
          <w:w w:val="105"/>
        </w:rPr>
        <w:t>&gt; submits this Progress Report as a SIP revision</w:t>
      </w:r>
      <w:r w:rsidRPr="00050C0F">
        <w:rPr>
          <w:spacing w:val="-5"/>
          <w:w w:val="105"/>
        </w:rPr>
        <w:t xml:space="preserve"> as adopted by &lt;</w:t>
      </w:r>
      <w:r w:rsidRPr="00050C0F">
        <w:rPr>
          <w:spacing w:val="-5"/>
          <w:w w:val="105"/>
          <w:highlight w:val="yellow"/>
        </w:rPr>
        <w:t>name of adopting entity</w:t>
      </w:r>
      <w:r w:rsidRPr="00050C0F">
        <w:rPr>
          <w:spacing w:val="-5"/>
          <w:w w:val="105"/>
        </w:rPr>
        <w:t>&gt;</w:t>
      </w:r>
      <w:r w:rsidRPr="00050C0F">
        <w:rPr>
          <w:spacing w:val="-2"/>
          <w:w w:val="105"/>
        </w:rPr>
        <w:t xml:space="preserve">. </w:t>
      </w:r>
      <w:r w:rsidRPr="00050C0F">
        <w:rPr>
          <w:spacing w:val="-9"/>
          <w:w w:val="105"/>
        </w:rPr>
        <w:t>&lt;</w:t>
      </w:r>
      <w:r w:rsidRPr="00050C0F">
        <w:rPr>
          <w:spacing w:val="-9"/>
          <w:w w:val="105"/>
          <w:highlight w:val="yellow"/>
        </w:rPr>
        <w:t>State name</w:t>
      </w:r>
      <w:r w:rsidRPr="00050C0F">
        <w:rPr>
          <w:spacing w:val="-9"/>
          <w:w w:val="105"/>
        </w:rPr>
        <w:t>&gt; has adopted this SIP revision in accordance with State laws and rules. &lt;</w:t>
      </w:r>
      <w:r w:rsidR="003E1935" w:rsidRPr="00050C0F">
        <w:rPr>
          <w:spacing w:val="-9"/>
          <w:w w:val="105"/>
          <w:highlight w:val="yellow"/>
        </w:rPr>
        <w:t>Each</w:t>
      </w:r>
      <w:r w:rsidRPr="00050C0F">
        <w:rPr>
          <w:spacing w:val="-2"/>
          <w:highlight w:val="yellow"/>
        </w:rPr>
        <w:t xml:space="preserve"> state can include citations for authority here</w:t>
      </w:r>
      <w:r w:rsidRPr="00050C0F">
        <w:rPr>
          <w:spacing w:val="-2"/>
        </w:rPr>
        <w:t>&gt;</w:t>
      </w:r>
    </w:p>
    <w:p w:rsidR="00E71C51" w:rsidRPr="00050C0F" w:rsidRDefault="00E71C51" w:rsidP="001000E1">
      <w:pPr>
        <w:rPr>
          <w:spacing w:val="-5"/>
          <w:w w:val="105"/>
        </w:rPr>
      </w:pPr>
      <w:r w:rsidRPr="00131F07">
        <w:rPr>
          <w:spacing w:val="-2"/>
          <w:w w:val="105"/>
        </w:rPr>
        <w:t xml:space="preserve">The </w:t>
      </w:r>
      <w:r w:rsidRPr="00050C0F">
        <w:rPr>
          <w:spacing w:val="-2"/>
          <w:w w:val="105"/>
        </w:rPr>
        <w:t>requirements addressed in the following sections include the status of implementing committed control measures, summaries and analyses of emission and monitoring changes, and a determination that the SIP &lt;</w:t>
      </w:r>
      <w:r w:rsidRPr="00050C0F">
        <w:rPr>
          <w:spacing w:val="-2"/>
          <w:w w:val="105"/>
          <w:highlight w:val="yellow"/>
        </w:rPr>
        <w:t>is/is not</w:t>
      </w:r>
      <w:r w:rsidRPr="00050C0F">
        <w:rPr>
          <w:spacing w:val="-2"/>
          <w:w w:val="105"/>
        </w:rPr>
        <w:t>&gt; adequate to achieve continued progress towards the 2064 natural visibility conditions goal for mandatory Class I areas impacted by sources in &lt;</w:t>
      </w:r>
      <w:r w:rsidRPr="00050C0F">
        <w:rPr>
          <w:spacing w:val="-2"/>
          <w:w w:val="105"/>
          <w:highlight w:val="yellow"/>
        </w:rPr>
        <w:t>state name</w:t>
      </w:r>
      <w:r w:rsidRPr="00050C0F">
        <w:rPr>
          <w:spacing w:val="-2"/>
          <w:w w:val="105"/>
        </w:rPr>
        <w:t>&gt;</w:t>
      </w:r>
      <w:r w:rsidRPr="00050C0F">
        <w:rPr>
          <w:spacing w:val="-5"/>
          <w:w w:val="105"/>
        </w:rPr>
        <w:t>.</w:t>
      </w:r>
    </w:p>
    <w:p w:rsidR="00E71C51" w:rsidRPr="00DE4BD5" w:rsidRDefault="00E71C51" w:rsidP="001000E1">
      <w:pPr>
        <w:rPr>
          <w:spacing w:val="-2"/>
          <w:w w:val="105"/>
          <w:highlight w:val="yellow"/>
        </w:rPr>
      </w:pPr>
      <w:r w:rsidRPr="00DE4BD5">
        <w:rPr>
          <w:spacing w:val="-2"/>
          <w:w w:val="105"/>
          <w:highlight w:val="yellow"/>
        </w:rPr>
        <w:t>&lt;The State’s&gt; Regional Haze Plan contains the emission reductions needed to achieve &lt;the State’s&gt; share of emission reductions agreed upon through the regional planning process.  Furthermore, &lt;the State's&gt; Regional Haze Plan ensures that emissions from the State will not interfere with the reasonable progress goals for neighboring state</w:t>
      </w:r>
      <w:r w:rsidR="00F767F2">
        <w:rPr>
          <w:spacing w:val="-2"/>
          <w:w w:val="105"/>
          <w:highlight w:val="yellow"/>
        </w:rPr>
        <w:t xml:space="preserve">s' Class I areas.  </w:t>
      </w:r>
      <w:r w:rsidRPr="00DE4BD5">
        <w:rPr>
          <w:spacing w:val="-2"/>
          <w:w w:val="105"/>
          <w:highlight w:val="yellow"/>
        </w:rPr>
        <w:t>EPA approved &lt;the State’s Regional Haze SIP&gt; because it meets the applicable visibility related requirements of the CAA section 110(a)(2) including, but not limited to 110(a)(2)(D)(</w:t>
      </w:r>
      <w:proofErr w:type="spellStart"/>
      <w:r w:rsidRPr="00DE4BD5">
        <w:rPr>
          <w:spacing w:val="-2"/>
          <w:w w:val="105"/>
          <w:highlight w:val="yellow"/>
        </w:rPr>
        <w:t>i</w:t>
      </w:r>
      <w:proofErr w:type="spellEnd"/>
      <w:r w:rsidRPr="00DE4BD5">
        <w:rPr>
          <w:spacing w:val="-2"/>
          <w:w w:val="105"/>
          <w:highlight w:val="yellow"/>
        </w:rPr>
        <w:t>)(II) and 110(a)(2)(J), relating to visibility protection for the 1997 8-Hour Ozone</w:t>
      </w:r>
      <w:r>
        <w:rPr>
          <w:spacing w:val="-2"/>
          <w:w w:val="105"/>
          <w:highlight w:val="yellow"/>
        </w:rPr>
        <w:t xml:space="preserve"> NAAQS and the 1997 and 2006 PM</w:t>
      </w:r>
      <w:r w:rsidRPr="00C951C9">
        <w:rPr>
          <w:spacing w:val="-2"/>
          <w:w w:val="105"/>
          <w:highlight w:val="yellow"/>
          <w:vertAlign w:val="subscript"/>
        </w:rPr>
        <w:t>2.5</w:t>
      </w:r>
      <w:r w:rsidRPr="00DE4BD5">
        <w:rPr>
          <w:spacing w:val="-2"/>
          <w:w w:val="105"/>
          <w:highlight w:val="yellow"/>
        </w:rPr>
        <w:t xml:space="preserve"> NAAQS.</w:t>
      </w:r>
      <w:r w:rsidR="00557C64">
        <w:rPr>
          <w:spacing w:val="-2"/>
          <w:w w:val="105"/>
          <w:highlight w:val="yellow"/>
        </w:rPr>
        <w:t xml:space="preserve">  (Include date of approval and citati</w:t>
      </w:r>
      <w:r w:rsidR="00FF1373">
        <w:rPr>
          <w:spacing w:val="-2"/>
          <w:w w:val="105"/>
          <w:highlight w:val="yellow"/>
        </w:rPr>
        <w:t>on to Federal Register</w:t>
      </w:r>
      <w:r w:rsidR="00557C64">
        <w:rPr>
          <w:spacing w:val="-2"/>
          <w:w w:val="105"/>
          <w:highlight w:val="yellow"/>
        </w:rPr>
        <w:t>.)</w:t>
      </w:r>
    </w:p>
    <w:p w:rsidR="00E71C51" w:rsidRPr="00217CE9" w:rsidRDefault="00E71C51" w:rsidP="001000E1">
      <w:pPr>
        <w:rPr>
          <w:i/>
          <w:spacing w:val="-4"/>
          <w:w w:val="105"/>
          <w:highlight w:val="yellow"/>
        </w:rPr>
      </w:pPr>
      <w:r w:rsidRPr="00217CE9">
        <w:rPr>
          <w:w w:val="105"/>
        </w:rPr>
        <w:t xml:space="preserve">Per 40 CFR 51.308(g), this submittal also complies with 40 CFR 51.102 and 103 to offer the public the opportunity to request a hearing and/or comment on a proposed SIP revision and to submit the SIP revision to EPA.  </w:t>
      </w:r>
      <w:r w:rsidRPr="00217CE9">
        <w:rPr>
          <w:w w:val="105"/>
          <w:highlight w:val="yellow"/>
        </w:rPr>
        <w:t xml:space="preserve">&lt;State name&gt; provided public notice of the opportunity to comment on the SIP revision on </w:t>
      </w:r>
      <w:r w:rsidRPr="00217CE9">
        <w:rPr>
          <w:spacing w:val="-4"/>
          <w:w w:val="105"/>
          <w:highlight w:val="yellow"/>
        </w:rPr>
        <w:t xml:space="preserve">&lt;dates&gt;. &lt;State name&gt; provided notice of public hearing on &lt;dates&gt;. &lt;State name&gt; held public hearings regarding the SIP revision on &lt;dates&gt;. </w:t>
      </w:r>
      <w:r w:rsidRPr="00217CE9">
        <w:t>Comments by EPA, Federal Land Managers and the Public were addressed and are incorporated into the final proposed SIP</w:t>
      </w:r>
      <w:r w:rsidR="005C05B5">
        <w:t>,</w:t>
      </w:r>
      <w:r w:rsidRPr="00217CE9">
        <w:t xml:space="preserve"> an</w:t>
      </w:r>
      <w:r w:rsidR="00557C64">
        <w:t>d FLM comments are summarized in</w:t>
      </w:r>
      <w:r w:rsidRPr="00217CE9">
        <w:t xml:space="preserve"> </w:t>
      </w:r>
      <w:r w:rsidRPr="00217CE9">
        <w:rPr>
          <w:highlight w:val="yellow"/>
        </w:rPr>
        <w:t>Attachment XXX</w:t>
      </w:r>
      <w:r w:rsidR="00557C64">
        <w:t xml:space="preserve"> of</w:t>
      </w:r>
      <w:r w:rsidRPr="00217CE9">
        <w:t xml:space="preserve"> this SIP</w:t>
      </w:r>
      <w:r w:rsidR="00FF1373">
        <w:t xml:space="preserve"> revision</w:t>
      </w:r>
      <w:r w:rsidRPr="00217CE9">
        <w:t>.  Furthermore,</w:t>
      </w:r>
      <w:r w:rsidR="00F767F2">
        <w:t xml:space="preserve"> as</w:t>
      </w:r>
      <w:r w:rsidRPr="00217CE9">
        <w:t xml:space="preserve"> demonstrated in </w:t>
      </w:r>
      <w:r w:rsidR="00F767F2">
        <w:t>this report,</w:t>
      </w:r>
      <w:r w:rsidRPr="00217CE9">
        <w:t xml:space="preserve"> &lt;</w:t>
      </w:r>
      <w:r w:rsidRPr="00217CE9">
        <w:rPr>
          <w:highlight w:val="yellow"/>
        </w:rPr>
        <w:t>the State</w:t>
      </w:r>
      <w:r w:rsidRPr="00217CE9">
        <w:t>&gt; has met the requirements of 40 CFR 51.308(g), (h), and (</w:t>
      </w:r>
      <w:proofErr w:type="spellStart"/>
      <w:r w:rsidRPr="00217CE9">
        <w:t>i</w:t>
      </w:r>
      <w:proofErr w:type="spellEnd"/>
      <w:r w:rsidRPr="00217CE9">
        <w:t>).  &lt;</w:t>
      </w:r>
      <w:r w:rsidRPr="00217CE9">
        <w:rPr>
          <w:highlight w:val="yellow"/>
        </w:rPr>
        <w:t>State</w:t>
      </w:r>
      <w:r w:rsidRPr="00217CE9">
        <w:t xml:space="preserve">&gt; submits this </w:t>
      </w:r>
      <w:r w:rsidRPr="00217CE9">
        <w:rPr>
          <w:i/>
        </w:rPr>
        <w:t>5-Year Progress Report</w:t>
      </w:r>
      <w:r w:rsidRPr="00217CE9">
        <w:t xml:space="preserve"> as a SIP revision as adopted by the &lt;</w:t>
      </w:r>
      <w:r w:rsidRPr="00217CE9">
        <w:rPr>
          <w:highlight w:val="yellow"/>
        </w:rPr>
        <w:t>Name of agency</w:t>
      </w:r>
      <w:r w:rsidRPr="00217CE9">
        <w:t>&gt; in accordance with &lt;</w:t>
      </w:r>
      <w:r w:rsidRPr="00217CE9">
        <w:rPr>
          <w:highlight w:val="yellow"/>
        </w:rPr>
        <w:t>State</w:t>
      </w:r>
      <w:r w:rsidRPr="00217CE9">
        <w:t xml:space="preserve">&gt; law.   </w:t>
      </w:r>
    </w:p>
    <w:p w:rsidR="00E71C51" w:rsidRPr="00BD3BB1" w:rsidRDefault="00E71C51" w:rsidP="001000E1">
      <w:pPr>
        <w:rPr>
          <w:spacing w:val="-4"/>
          <w:w w:val="105"/>
          <w:highlight w:val="yellow"/>
        </w:rPr>
      </w:pPr>
      <w:r w:rsidRPr="00BD3BB1">
        <w:rPr>
          <w:spacing w:val="-4"/>
          <w:w w:val="105"/>
        </w:rPr>
        <w:t>In accordance with 40</w:t>
      </w:r>
      <w:r w:rsidR="00557C64">
        <w:rPr>
          <w:spacing w:val="-4"/>
          <w:w w:val="105"/>
        </w:rPr>
        <w:t xml:space="preserve"> </w:t>
      </w:r>
      <w:r w:rsidRPr="00BD3BB1">
        <w:rPr>
          <w:spacing w:val="-4"/>
          <w:w w:val="105"/>
        </w:rPr>
        <w:t>CFR</w:t>
      </w:r>
      <w:r w:rsidR="00557C64">
        <w:rPr>
          <w:spacing w:val="-4"/>
          <w:w w:val="105"/>
        </w:rPr>
        <w:t xml:space="preserve"> </w:t>
      </w:r>
      <w:r w:rsidRPr="00BD3BB1">
        <w:rPr>
          <w:spacing w:val="-4"/>
          <w:w w:val="105"/>
        </w:rPr>
        <w:t>51.308(</w:t>
      </w:r>
      <w:proofErr w:type="spellStart"/>
      <w:r w:rsidRPr="00BD3BB1">
        <w:rPr>
          <w:spacing w:val="-4"/>
          <w:w w:val="105"/>
        </w:rPr>
        <w:t>i</w:t>
      </w:r>
      <w:proofErr w:type="spellEnd"/>
      <w:r w:rsidRPr="00BD3BB1">
        <w:rPr>
          <w:spacing w:val="-4"/>
          <w:w w:val="105"/>
        </w:rPr>
        <w:t xml:space="preserve">), </w:t>
      </w:r>
      <w:r w:rsidRPr="00557C64">
        <w:rPr>
          <w:spacing w:val="-4"/>
          <w:w w:val="105"/>
          <w:highlight w:val="yellow"/>
        </w:rPr>
        <w:t>&lt;the State&gt;</w:t>
      </w:r>
      <w:r w:rsidRPr="00BD3BB1">
        <w:rPr>
          <w:spacing w:val="-4"/>
          <w:w w:val="105"/>
        </w:rPr>
        <w:t xml:space="preserve"> provided Federal Land Managers an opportunity for consultation, in person and at least 60 days before holding any public hearing on this SIP revision.  </w:t>
      </w:r>
      <w:r w:rsidRPr="00BD3BB1">
        <w:rPr>
          <w:spacing w:val="-4"/>
          <w:w w:val="105"/>
          <w:highlight w:val="yellow"/>
        </w:rPr>
        <w:t xml:space="preserve">&lt;The State&gt; </w:t>
      </w:r>
      <w:r w:rsidRPr="00BD3BB1">
        <w:rPr>
          <w:spacing w:val="-4"/>
          <w:w w:val="105"/>
        </w:rPr>
        <w:t xml:space="preserve">will continue to coordinate with the Federal Land Managers on future revisions to the State’s regional haze SIP.  </w:t>
      </w:r>
      <w:r w:rsidRPr="00BD3BB1">
        <w:rPr>
          <w:spacing w:val="-4"/>
          <w:w w:val="105"/>
          <w:highlight w:val="yellow"/>
        </w:rPr>
        <w:t>&lt; Section 13 of this document provides details of consultation with FLMs.&gt;</w:t>
      </w:r>
    </w:p>
    <w:p w:rsidR="00E71C51" w:rsidRPr="00217CE9" w:rsidRDefault="00E71C51" w:rsidP="001000E1">
      <w:r w:rsidRPr="00217CE9">
        <w:t xml:space="preserve">In summary, this </w:t>
      </w:r>
      <w:r w:rsidRPr="00217CE9">
        <w:rPr>
          <w:i/>
        </w:rPr>
        <w:t>5-Year Progress Report</w:t>
      </w:r>
      <w:r w:rsidRPr="00217CE9">
        <w:t xml:space="preserve"> fulfills all requirements for progress reports pursuant to 40 CFR 51.102, 40 CFR 51.103 and 40 CFR Part 51 Sections 308 (g), (h) and (</w:t>
      </w:r>
      <w:proofErr w:type="spellStart"/>
      <w:r w:rsidRPr="00217CE9">
        <w:t>i</w:t>
      </w:r>
      <w:proofErr w:type="spellEnd"/>
      <w:r w:rsidRPr="00217CE9">
        <w:t xml:space="preserve">), and thus meets EPA criteria for full approval.  </w:t>
      </w:r>
    </w:p>
    <w:p w:rsidR="00E71C51" w:rsidRPr="00B616CE" w:rsidRDefault="00E71C51" w:rsidP="00B616CE">
      <w:pPr>
        <w:pStyle w:val="Heading2"/>
      </w:pPr>
      <w:r>
        <w:rPr>
          <w:rFonts w:ascii="Times New Roman" w:hAnsi="Times New Roman"/>
          <w:i/>
          <w:spacing w:val="-4"/>
          <w:w w:val="105"/>
          <w:highlight w:val="yellow"/>
        </w:rPr>
        <w:br w:type="page"/>
      </w:r>
      <w:bookmarkStart w:id="11" w:name="_Toc301337054"/>
      <w:bookmarkStart w:id="12" w:name="_Toc373843482"/>
      <w:r w:rsidRPr="00B616CE">
        <w:lastRenderedPageBreak/>
        <w:t>MANE-VU’s Class I Areas</w:t>
      </w:r>
      <w:bookmarkEnd w:id="11"/>
      <w:bookmarkEnd w:id="12"/>
    </w:p>
    <w:p w:rsidR="00E71C51" w:rsidRPr="00B616CE" w:rsidRDefault="0022132B" w:rsidP="00B616CE">
      <w:pPr>
        <w:pStyle w:val="subhead"/>
        <w:spacing w:after="120" w:afterAutospacing="0"/>
        <w:rPr>
          <w:rFonts w:ascii="Arial" w:hAnsi="Arial" w:cs="Arial"/>
          <w:b/>
          <w:sz w:val="22"/>
          <w:szCs w:val="22"/>
        </w:rPr>
      </w:pPr>
      <w:r w:rsidRPr="00B616CE">
        <w:rPr>
          <w:rFonts w:ascii="Arial" w:hAnsi="Arial" w:cs="Arial"/>
          <w:noProof/>
          <w:sz w:val="22"/>
          <w:szCs w:val="22"/>
        </w:rPr>
        <w:drawing>
          <wp:anchor distT="0" distB="0" distL="114300" distR="114300" simplePos="0" relativeHeight="251655168" behindDoc="0" locked="0" layoutInCell="1" allowOverlap="1">
            <wp:simplePos x="0" y="0"/>
            <wp:positionH relativeFrom="column">
              <wp:posOffset>-3810</wp:posOffset>
            </wp:positionH>
            <wp:positionV relativeFrom="paragraph">
              <wp:posOffset>156845</wp:posOffset>
            </wp:positionV>
            <wp:extent cx="2060575" cy="1544320"/>
            <wp:effectExtent l="19050" t="0" r="0" b="0"/>
            <wp:wrapSquare wrapText="bothSides"/>
            <wp:docPr id="2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
                    <a:srcRect/>
                    <a:stretch>
                      <a:fillRect/>
                    </a:stretch>
                  </pic:blipFill>
                  <pic:spPr bwMode="auto">
                    <a:xfrm>
                      <a:off x="0" y="0"/>
                      <a:ext cx="2060575" cy="1544320"/>
                    </a:xfrm>
                    <a:prstGeom prst="rect">
                      <a:avLst/>
                    </a:prstGeom>
                    <a:noFill/>
                  </pic:spPr>
                </pic:pic>
              </a:graphicData>
            </a:graphic>
          </wp:anchor>
        </w:drawing>
      </w:r>
      <w:r w:rsidR="00E71C51" w:rsidRPr="00B616CE">
        <w:rPr>
          <w:rFonts w:ascii="Arial" w:hAnsi="Arial" w:cs="Arial"/>
          <w:b/>
          <w:sz w:val="22"/>
          <w:szCs w:val="22"/>
        </w:rPr>
        <w:t>Acadia National Park</w:t>
      </w:r>
    </w:p>
    <w:p w:rsidR="00E71C51" w:rsidRPr="00EB12D2" w:rsidRDefault="00E71C51" w:rsidP="00EB12D2">
      <w:pPr>
        <w:spacing w:after="288"/>
        <w:rPr>
          <w:color w:val="000000"/>
        </w:rPr>
      </w:pPr>
      <w:r w:rsidRPr="00EB12D2">
        <w:rPr>
          <w:color w:val="000000"/>
        </w:rPr>
        <w:t>People have been drawn to the rugged coast of Maine throughout history. Awed by its beauty and diversity, early 20th-century visionaries donated the land that became Acadia National Park, the first national park east of the Mississippi River. The park is home to the tallest mountain on the U.S. Atlantic coast. Today visitors come to Acadia to hike granite peaks, bike historic carriage roads, or relax and enjoy the scenery.</w:t>
      </w:r>
    </w:p>
    <w:p w:rsidR="00E71C51" w:rsidRPr="00B616CE" w:rsidRDefault="0022132B" w:rsidP="00C31E57">
      <w:pPr>
        <w:pStyle w:val="subhead"/>
        <w:spacing w:before="0" w:beforeAutospacing="0" w:after="120" w:afterAutospacing="0"/>
        <w:jc w:val="right"/>
        <w:rPr>
          <w:rFonts w:ascii="Arial" w:hAnsi="Arial" w:cs="Arial"/>
          <w:b/>
          <w:sz w:val="22"/>
          <w:szCs w:val="22"/>
        </w:rPr>
      </w:pPr>
      <w:r w:rsidRPr="00B616CE">
        <w:rPr>
          <w:rFonts w:ascii="Arial" w:hAnsi="Arial" w:cs="Arial"/>
          <w:noProof/>
          <w:sz w:val="22"/>
          <w:szCs w:val="22"/>
        </w:rPr>
        <w:drawing>
          <wp:anchor distT="0" distB="0" distL="182880" distR="114300" simplePos="0" relativeHeight="251657216" behindDoc="0" locked="0" layoutInCell="1" allowOverlap="1">
            <wp:simplePos x="0" y="0"/>
            <wp:positionH relativeFrom="column">
              <wp:posOffset>3371850</wp:posOffset>
            </wp:positionH>
            <wp:positionV relativeFrom="paragraph">
              <wp:posOffset>38735</wp:posOffset>
            </wp:positionV>
            <wp:extent cx="2533650" cy="1571625"/>
            <wp:effectExtent l="19050" t="0" r="0" b="0"/>
            <wp:wrapSquare wrapText="bothSides"/>
            <wp:docPr id="1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
                    <a:srcRect/>
                    <a:stretch>
                      <a:fillRect/>
                    </a:stretch>
                  </pic:blipFill>
                  <pic:spPr bwMode="auto">
                    <a:xfrm>
                      <a:off x="0" y="0"/>
                      <a:ext cx="2533650" cy="1571625"/>
                    </a:xfrm>
                    <a:prstGeom prst="rect">
                      <a:avLst/>
                    </a:prstGeom>
                    <a:noFill/>
                  </pic:spPr>
                </pic:pic>
              </a:graphicData>
            </a:graphic>
          </wp:anchor>
        </w:drawing>
      </w:r>
      <w:r w:rsidR="00E71C51" w:rsidRPr="00B616CE">
        <w:rPr>
          <w:rFonts w:ascii="Arial" w:hAnsi="Arial" w:cs="Arial"/>
          <w:b/>
          <w:sz w:val="22"/>
          <w:szCs w:val="22"/>
        </w:rPr>
        <w:t>Roosevelt Campobello International Park</w:t>
      </w:r>
    </w:p>
    <w:p w:rsidR="00E71C51" w:rsidRDefault="00E71C51" w:rsidP="00084F88">
      <w:pPr>
        <w:spacing w:after="288"/>
        <w:jc w:val="right"/>
        <w:rPr>
          <w:color w:val="000000"/>
        </w:rPr>
      </w:pPr>
      <w:r>
        <w:rPr>
          <w:color w:val="000000"/>
        </w:rPr>
        <w:t xml:space="preserve">A memorial to Franklin Delano Roosevelt and symbol of Canadian-American friendship, </w:t>
      </w:r>
      <w:r w:rsidRPr="00B10284">
        <w:rPr>
          <w:color w:val="000000"/>
        </w:rPr>
        <w:t>Roosevelt Campobello International Park is a combination indoor/outdoor site renowned internationally</w:t>
      </w:r>
      <w:r>
        <w:rPr>
          <w:color w:val="000000"/>
        </w:rPr>
        <w:t>.  Its historic beauty</w:t>
      </w:r>
      <w:r w:rsidRPr="00B10284">
        <w:rPr>
          <w:color w:val="000000"/>
        </w:rPr>
        <w:t xml:space="preserve"> contributes to the </w:t>
      </w:r>
      <w:r>
        <w:rPr>
          <w:color w:val="000000"/>
        </w:rPr>
        <w:t xml:space="preserve">tourism in both </w:t>
      </w:r>
      <w:r w:rsidRPr="00B10284">
        <w:rPr>
          <w:color w:val="000000"/>
        </w:rPr>
        <w:t>the Province of New Brunswick</w:t>
      </w:r>
      <w:r>
        <w:rPr>
          <w:color w:val="000000"/>
        </w:rPr>
        <w:t xml:space="preserve"> and the State of Maine</w:t>
      </w:r>
      <w:r w:rsidRPr="00B10284">
        <w:rPr>
          <w:color w:val="000000"/>
        </w:rPr>
        <w:t>.  Wooded paths and fields offer vistas of nearby islands, bays, and shores.</w:t>
      </w:r>
    </w:p>
    <w:p w:rsidR="00E71C51" w:rsidRPr="00B616CE" w:rsidRDefault="0022132B" w:rsidP="00B616CE">
      <w:pPr>
        <w:pStyle w:val="subhead"/>
        <w:spacing w:before="0" w:beforeAutospacing="0" w:after="120" w:afterAutospacing="0"/>
        <w:rPr>
          <w:rStyle w:val="Heading2Char"/>
          <w:sz w:val="22"/>
          <w:szCs w:val="22"/>
          <w:u w:val="none"/>
        </w:rPr>
      </w:pPr>
      <w:r w:rsidRPr="00B616CE">
        <w:rPr>
          <w:rFonts w:ascii="Arial" w:hAnsi="Arial" w:cs="Arial"/>
          <w:noProof/>
          <w:sz w:val="22"/>
          <w:szCs w:val="22"/>
        </w:rPr>
        <w:drawing>
          <wp:anchor distT="0" distB="0" distL="114300" distR="114300" simplePos="0" relativeHeight="251656192" behindDoc="0" locked="0" layoutInCell="1" allowOverlap="1">
            <wp:simplePos x="0" y="0"/>
            <wp:positionH relativeFrom="column">
              <wp:posOffset>0</wp:posOffset>
            </wp:positionH>
            <wp:positionV relativeFrom="paragraph">
              <wp:posOffset>59055</wp:posOffset>
            </wp:positionV>
            <wp:extent cx="1826895" cy="1447800"/>
            <wp:effectExtent l="19050" t="0" r="1905" b="0"/>
            <wp:wrapSquare wrapText="bothSides"/>
            <wp:docPr id="1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
                    <a:srcRect r="3418"/>
                    <a:stretch>
                      <a:fillRect/>
                    </a:stretch>
                  </pic:blipFill>
                  <pic:spPr bwMode="auto">
                    <a:xfrm>
                      <a:off x="0" y="0"/>
                      <a:ext cx="1826895" cy="1447800"/>
                    </a:xfrm>
                    <a:prstGeom prst="rect">
                      <a:avLst/>
                    </a:prstGeom>
                    <a:noFill/>
                  </pic:spPr>
                </pic:pic>
              </a:graphicData>
            </a:graphic>
          </wp:anchor>
        </w:drawing>
      </w:r>
      <w:r w:rsidR="00E71C51" w:rsidRPr="00B616CE">
        <w:rPr>
          <w:rFonts w:ascii="Arial" w:hAnsi="Arial" w:cs="Arial"/>
          <w:b/>
          <w:sz w:val="22"/>
          <w:szCs w:val="22"/>
        </w:rPr>
        <w:t>B</w:t>
      </w:r>
      <w:r w:rsidR="00E71C51" w:rsidRPr="00B616CE">
        <w:rPr>
          <w:rStyle w:val="Heading2Char"/>
          <w:sz w:val="22"/>
          <w:szCs w:val="22"/>
          <w:u w:val="none"/>
        </w:rPr>
        <w:t>rigantine Wilderness</w:t>
      </w:r>
    </w:p>
    <w:p w:rsidR="00E71C51" w:rsidRDefault="00E71C51" w:rsidP="00EB12D2">
      <w:pPr>
        <w:spacing w:after="288"/>
        <w:rPr>
          <w:color w:val="000000"/>
        </w:rPr>
      </w:pPr>
      <w:r w:rsidRPr="00EB12D2">
        <w:rPr>
          <w:color w:val="000000"/>
        </w:rPr>
        <w:t xml:space="preserve">This </w:t>
      </w:r>
      <w:proofErr w:type="spellStart"/>
      <w:r w:rsidRPr="00EB12D2">
        <w:rPr>
          <w:color w:val="000000"/>
        </w:rPr>
        <w:t>trailless</w:t>
      </w:r>
      <w:proofErr w:type="spellEnd"/>
      <w:r w:rsidRPr="00EB12D2">
        <w:rPr>
          <w:color w:val="000000"/>
        </w:rPr>
        <w:t xml:space="preserve"> area, a tidal wetland and shallow bay habitat along New Jersey’s Atlantic coastline, is one of the most active flyways for migratory </w:t>
      </w:r>
      <w:r w:rsidR="00D14E84" w:rsidRPr="00EB12D2">
        <w:rPr>
          <w:color w:val="000000"/>
        </w:rPr>
        <w:t>water birds</w:t>
      </w:r>
      <w:r w:rsidRPr="00EB12D2">
        <w:rPr>
          <w:color w:val="000000"/>
        </w:rPr>
        <w:t xml:space="preserve"> in North America. Birdwatchers, binoculars in hand, have zoomed in on close to 300 species, including Atlantic </w:t>
      </w:r>
      <w:r w:rsidR="00D813C8" w:rsidRPr="00EB12D2">
        <w:rPr>
          <w:color w:val="000000"/>
        </w:rPr>
        <w:t>B</w:t>
      </w:r>
      <w:r w:rsidRPr="00EB12D2">
        <w:rPr>
          <w:color w:val="000000"/>
        </w:rPr>
        <w:t xml:space="preserve">rant and American </w:t>
      </w:r>
      <w:r w:rsidR="00D813C8" w:rsidRPr="00EB12D2">
        <w:rPr>
          <w:color w:val="000000"/>
        </w:rPr>
        <w:t>B</w:t>
      </w:r>
      <w:r w:rsidRPr="00EB12D2">
        <w:rPr>
          <w:color w:val="000000"/>
        </w:rPr>
        <w:t xml:space="preserve">lack </w:t>
      </w:r>
      <w:r w:rsidR="00D813C8" w:rsidRPr="00EB12D2">
        <w:rPr>
          <w:color w:val="000000"/>
        </w:rPr>
        <w:t>D</w:t>
      </w:r>
      <w:r w:rsidRPr="00EB12D2">
        <w:rPr>
          <w:color w:val="000000"/>
        </w:rPr>
        <w:t xml:space="preserve">uck. </w:t>
      </w:r>
    </w:p>
    <w:p w:rsidR="00B616CE" w:rsidRPr="00EB12D2" w:rsidRDefault="00B616CE" w:rsidP="00EB12D2">
      <w:pPr>
        <w:spacing w:after="288"/>
        <w:rPr>
          <w:color w:val="000000"/>
        </w:rPr>
      </w:pPr>
    </w:p>
    <w:p w:rsidR="00E71C51" w:rsidRPr="00B616CE" w:rsidRDefault="0022132B" w:rsidP="00084F88">
      <w:pPr>
        <w:pStyle w:val="subhead"/>
        <w:spacing w:after="0" w:afterAutospacing="0"/>
        <w:ind w:left="1440" w:firstLine="720"/>
        <w:jc w:val="right"/>
        <w:rPr>
          <w:rFonts w:ascii="Arial" w:hAnsi="Arial" w:cs="Arial"/>
          <w:b/>
          <w:sz w:val="22"/>
          <w:szCs w:val="22"/>
        </w:rPr>
      </w:pPr>
      <w:r w:rsidRPr="00B616CE">
        <w:rPr>
          <w:rFonts w:ascii="Arial" w:hAnsi="Arial" w:cs="Arial"/>
          <w:noProof/>
          <w:sz w:val="22"/>
          <w:szCs w:val="22"/>
        </w:rPr>
        <w:drawing>
          <wp:anchor distT="0" distB="0" distL="182880" distR="114300" simplePos="0" relativeHeight="251658240" behindDoc="0" locked="0" layoutInCell="1" allowOverlap="1">
            <wp:simplePos x="0" y="0"/>
            <wp:positionH relativeFrom="column">
              <wp:posOffset>3441065</wp:posOffset>
            </wp:positionH>
            <wp:positionV relativeFrom="paragraph">
              <wp:posOffset>34290</wp:posOffset>
            </wp:positionV>
            <wp:extent cx="2461260" cy="1847850"/>
            <wp:effectExtent l="0" t="0" r="0" b="0"/>
            <wp:wrapSquare wrapText="bothSides"/>
            <wp:docPr id="17" name="Picture 74" descr="http://www.fs.fed.us/r9/forests/white_mountain/images/great-gulf_pe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fs.fed.us/r9/forests/white_mountain/images/great-gulf_peters.jpg"/>
                    <pic:cNvPicPr>
                      <a:picLocks noChangeAspect="1" noChangeArrowheads="1"/>
                    </pic:cNvPicPr>
                  </pic:nvPicPr>
                  <pic:blipFill>
                    <a:blip r:embed="rId15"/>
                    <a:srcRect/>
                    <a:stretch>
                      <a:fillRect/>
                    </a:stretch>
                  </pic:blipFill>
                  <pic:spPr bwMode="auto">
                    <a:xfrm>
                      <a:off x="0" y="0"/>
                      <a:ext cx="2461260" cy="1847850"/>
                    </a:xfrm>
                    <a:prstGeom prst="rect">
                      <a:avLst/>
                    </a:prstGeom>
                    <a:noFill/>
                  </pic:spPr>
                </pic:pic>
              </a:graphicData>
            </a:graphic>
          </wp:anchor>
        </w:drawing>
      </w:r>
      <w:r w:rsidR="00E71C51" w:rsidRPr="00B616CE">
        <w:rPr>
          <w:rFonts w:ascii="Arial" w:hAnsi="Arial" w:cs="Arial"/>
          <w:b/>
          <w:sz w:val="22"/>
          <w:szCs w:val="22"/>
        </w:rPr>
        <w:t>Great Gulf Wilderness</w:t>
      </w:r>
    </w:p>
    <w:p w:rsidR="00B616CE" w:rsidRPr="00B616CE" w:rsidRDefault="00E71C51" w:rsidP="00B616CE">
      <w:pPr>
        <w:spacing w:before="120" w:after="240"/>
        <w:jc w:val="right"/>
        <w:rPr>
          <w:color w:val="000000"/>
        </w:rPr>
      </w:pPr>
      <w:r w:rsidRPr="00B10284">
        <w:rPr>
          <w:color w:val="000000"/>
        </w:rPr>
        <w:t xml:space="preserve">Cradled </w:t>
      </w:r>
      <w:r w:rsidRPr="00004FFC">
        <w:rPr>
          <w:color w:val="000000"/>
        </w:rPr>
        <w:t xml:space="preserve">within the rugged crescent of New Hampshire's Presidential Range </w:t>
      </w:r>
      <w:proofErr w:type="gramStart"/>
      <w:r w:rsidRPr="00E902B8">
        <w:rPr>
          <w:color w:val="000000"/>
        </w:rPr>
        <w:t>lies</w:t>
      </w:r>
      <w:proofErr w:type="gramEnd"/>
      <w:r w:rsidRPr="00004FFC">
        <w:rPr>
          <w:color w:val="000000"/>
        </w:rPr>
        <w:t xml:space="preserve"> the Great Gulf Wilderness. This </w:t>
      </w:r>
      <w:r>
        <w:rPr>
          <w:color w:val="000000"/>
        </w:rPr>
        <w:t>steep-walled bowl</w:t>
      </w:r>
      <w:r w:rsidRPr="00004FFC">
        <w:rPr>
          <w:color w:val="000000"/>
        </w:rPr>
        <w:t xml:space="preserve"> begins at Mount Washington, </w:t>
      </w:r>
      <w:r w:rsidRPr="00B10284">
        <w:rPr>
          <w:color w:val="000000"/>
        </w:rPr>
        <w:t xml:space="preserve">and </w:t>
      </w:r>
      <w:r>
        <w:rPr>
          <w:color w:val="000000"/>
        </w:rPr>
        <w:t>is flanked by</w:t>
      </w:r>
      <w:r w:rsidRPr="00B10284">
        <w:rPr>
          <w:color w:val="000000"/>
        </w:rPr>
        <w:t xml:space="preserve"> Mounts Jefferson, Adams, and Madison. Great Gulf</w:t>
      </w:r>
      <w:r>
        <w:rPr>
          <w:color w:val="000000"/>
        </w:rPr>
        <w:t xml:space="preserve"> is</w:t>
      </w:r>
      <w:r w:rsidRPr="00B10284">
        <w:rPr>
          <w:color w:val="000000"/>
        </w:rPr>
        <w:t xml:space="preserve"> the largest cirque in the W</w:t>
      </w:r>
      <w:r>
        <w:rPr>
          <w:color w:val="000000"/>
        </w:rPr>
        <w:t>hite Mountains of New Hampshire with</w:t>
      </w:r>
      <w:r w:rsidRPr="00B10284">
        <w:rPr>
          <w:color w:val="000000"/>
        </w:rPr>
        <w:t xml:space="preserve"> </w:t>
      </w:r>
      <w:r>
        <w:rPr>
          <w:color w:val="000000"/>
        </w:rPr>
        <w:t>t</w:t>
      </w:r>
      <w:r w:rsidRPr="00B10284">
        <w:rPr>
          <w:color w:val="000000"/>
        </w:rPr>
        <w:t xml:space="preserve">he small </w:t>
      </w:r>
      <w:r>
        <w:rPr>
          <w:color w:val="000000"/>
        </w:rPr>
        <w:t>and beautiful Spaulding Lake lying at its</w:t>
      </w:r>
      <w:r w:rsidRPr="00B10284">
        <w:rPr>
          <w:color w:val="000000"/>
        </w:rPr>
        <w:t xml:space="preserve"> floor</w:t>
      </w:r>
      <w:r>
        <w:rPr>
          <w:color w:val="000000"/>
        </w:rPr>
        <w:t xml:space="preserve">. From the cirque’s low end, the West </w:t>
      </w:r>
      <w:r w:rsidRPr="00B10284">
        <w:rPr>
          <w:color w:val="000000"/>
        </w:rPr>
        <w:t>Branch of the Peabody River</w:t>
      </w:r>
      <w:r>
        <w:rPr>
          <w:color w:val="000000"/>
        </w:rPr>
        <w:t xml:space="preserve"> flows eastward</w:t>
      </w:r>
      <w:r w:rsidRPr="00B10284">
        <w:rPr>
          <w:color w:val="000000"/>
        </w:rPr>
        <w:t xml:space="preserve">. </w:t>
      </w:r>
    </w:p>
    <w:p w:rsidR="00E71C51" w:rsidRPr="00B10284" w:rsidRDefault="0022132B" w:rsidP="00B616CE">
      <w:pPr>
        <w:pStyle w:val="subhead"/>
        <w:spacing w:after="120" w:afterAutospacing="0"/>
        <w:rPr>
          <w:rFonts w:ascii="Calibri" w:hAnsi="Calibri"/>
          <w:b/>
          <w:sz w:val="28"/>
          <w:szCs w:val="28"/>
        </w:rPr>
      </w:pPr>
      <w:r w:rsidRPr="00B616CE">
        <w:rPr>
          <w:rFonts w:ascii="Arial" w:hAnsi="Arial" w:cs="Arial"/>
          <w:noProof/>
          <w:sz w:val="22"/>
          <w:szCs w:val="22"/>
        </w:rPr>
        <w:lastRenderedPageBreak/>
        <w:drawing>
          <wp:anchor distT="0" distB="0" distL="114300" distR="114300" simplePos="0" relativeHeight="251659264" behindDoc="0" locked="0" layoutInCell="1" allowOverlap="1">
            <wp:simplePos x="0" y="0"/>
            <wp:positionH relativeFrom="column">
              <wp:posOffset>-635</wp:posOffset>
            </wp:positionH>
            <wp:positionV relativeFrom="paragraph">
              <wp:posOffset>0</wp:posOffset>
            </wp:positionV>
            <wp:extent cx="1910715" cy="2276475"/>
            <wp:effectExtent l="19050" t="0" r="0" b="0"/>
            <wp:wrapSquare wrapText="bothSides"/>
            <wp:docPr id="16"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
                    <a:srcRect/>
                    <a:stretch>
                      <a:fillRect/>
                    </a:stretch>
                  </pic:blipFill>
                  <pic:spPr bwMode="auto">
                    <a:xfrm>
                      <a:off x="0" y="0"/>
                      <a:ext cx="1910715" cy="2276475"/>
                    </a:xfrm>
                    <a:prstGeom prst="rect">
                      <a:avLst/>
                    </a:prstGeom>
                    <a:noFill/>
                  </pic:spPr>
                </pic:pic>
              </a:graphicData>
            </a:graphic>
          </wp:anchor>
        </w:drawing>
      </w:r>
      <w:r w:rsidR="00E71C51" w:rsidRPr="00B616CE">
        <w:rPr>
          <w:rFonts w:ascii="Arial" w:hAnsi="Arial" w:cs="Arial"/>
          <w:b/>
          <w:sz w:val="22"/>
          <w:szCs w:val="22"/>
        </w:rPr>
        <w:t>Lye Brook Wilderness</w:t>
      </w:r>
    </w:p>
    <w:p w:rsidR="00E71C51" w:rsidRDefault="00E71C51" w:rsidP="00D26E19">
      <w:pPr>
        <w:spacing w:after="288"/>
        <w:rPr>
          <w:color w:val="000000"/>
        </w:rPr>
      </w:pPr>
      <w:r w:rsidRPr="00B10284">
        <w:rPr>
          <w:color w:val="000000"/>
        </w:rPr>
        <w:t xml:space="preserve">The Lye Brook Wilderness is in the southern Green Mountains of Vermont. Lye Brook flows through the western half of this wilderness, which ranges from 900 feet to 2900 feet above sea level. Most </w:t>
      </w:r>
      <w:r>
        <w:rPr>
          <w:color w:val="000000"/>
        </w:rPr>
        <w:t xml:space="preserve">of the wilderness </w:t>
      </w:r>
      <w:r w:rsidRPr="00B10284">
        <w:rPr>
          <w:color w:val="000000"/>
        </w:rPr>
        <w:t xml:space="preserve">is above 2500 feet, on a high plateau with several ponds and bogs. Waterfalls and rocky streams </w:t>
      </w:r>
      <w:r>
        <w:rPr>
          <w:color w:val="000000"/>
        </w:rPr>
        <w:t>are</w:t>
      </w:r>
      <w:r w:rsidRPr="00B10284">
        <w:rPr>
          <w:color w:val="000000"/>
        </w:rPr>
        <w:t xml:space="preserve"> found here as well as reflecting pools. The western section is extremely steep, facing west-northwest towards U.S. Route 7 and Manchester. Four and a half miles of the Appalachian/Long Trail cross the northwest tip of the wilderness.</w:t>
      </w:r>
    </w:p>
    <w:p w:rsidR="00B616CE" w:rsidRDefault="00B616CE" w:rsidP="00084F88">
      <w:pPr>
        <w:pStyle w:val="subhead"/>
        <w:spacing w:after="200" w:afterAutospacing="0"/>
        <w:jc w:val="right"/>
        <w:rPr>
          <w:rFonts w:ascii="Arial" w:hAnsi="Arial" w:cs="Arial"/>
          <w:b/>
          <w:sz w:val="22"/>
          <w:szCs w:val="22"/>
        </w:rPr>
      </w:pPr>
    </w:p>
    <w:p w:rsidR="00E71C51" w:rsidRPr="00B616CE" w:rsidRDefault="0022132B" w:rsidP="00B616CE">
      <w:pPr>
        <w:pStyle w:val="subhead"/>
        <w:spacing w:after="120" w:afterAutospacing="0"/>
        <w:jc w:val="right"/>
        <w:rPr>
          <w:rFonts w:ascii="Arial" w:hAnsi="Arial" w:cs="Arial"/>
          <w:b/>
          <w:sz w:val="22"/>
          <w:szCs w:val="22"/>
        </w:rPr>
      </w:pPr>
      <w:r w:rsidRPr="00B616CE">
        <w:rPr>
          <w:rFonts w:ascii="Arial" w:hAnsi="Arial" w:cs="Arial"/>
          <w:noProof/>
          <w:sz w:val="22"/>
          <w:szCs w:val="22"/>
        </w:rPr>
        <w:drawing>
          <wp:anchor distT="0" distB="0" distL="182880" distR="114300" simplePos="0" relativeHeight="251660288" behindDoc="0" locked="0" layoutInCell="1" allowOverlap="1">
            <wp:simplePos x="0" y="0"/>
            <wp:positionH relativeFrom="column">
              <wp:posOffset>2995930</wp:posOffset>
            </wp:positionH>
            <wp:positionV relativeFrom="paragraph">
              <wp:posOffset>161925</wp:posOffset>
            </wp:positionV>
            <wp:extent cx="3136265" cy="1800225"/>
            <wp:effectExtent l="19050" t="0" r="6985" b="0"/>
            <wp:wrapSquare wrapText="bothSides"/>
            <wp:docPr id="15"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
                    <a:srcRect/>
                    <a:stretch>
                      <a:fillRect/>
                    </a:stretch>
                  </pic:blipFill>
                  <pic:spPr bwMode="auto">
                    <a:xfrm>
                      <a:off x="0" y="0"/>
                      <a:ext cx="3136265" cy="1800225"/>
                    </a:xfrm>
                    <a:prstGeom prst="rect">
                      <a:avLst/>
                    </a:prstGeom>
                    <a:noFill/>
                  </pic:spPr>
                </pic:pic>
              </a:graphicData>
            </a:graphic>
          </wp:anchor>
        </w:drawing>
      </w:r>
      <w:proofErr w:type="spellStart"/>
      <w:r w:rsidR="00E71C51" w:rsidRPr="00B616CE">
        <w:rPr>
          <w:rFonts w:ascii="Arial" w:hAnsi="Arial" w:cs="Arial"/>
          <w:b/>
          <w:sz w:val="22"/>
          <w:szCs w:val="22"/>
        </w:rPr>
        <w:t>Moosehorn</w:t>
      </w:r>
      <w:proofErr w:type="spellEnd"/>
      <w:r w:rsidR="00E71C51" w:rsidRPr="00B616CE">
        <w:rPr>
          <w:rFonts w:ascii="Arial" w:hAnsi="Arial" w:cs="Arial"/>
          <w:b/>
          <w:sz w:val="22"/>
          <w:szCs w:val="22"/>
        </w:rPr>
        <w:t xml:space="preserve"> Wilderness</w:t>
      </w:r>
    </w:p>
    <w:p w:rsidR="00E71C51" w:rsidRDefault="00E71C51" w:rsidP="00084F88">
      <w:pPr>
        <w:jc w:val="right"/>
        <w:rPr>
          <w:color w:val="000000"/>
        </w:rPr>
      </w:pPr>
      <w:r>
        <w:rPr>
          <w:color w:val="000000"/>
        </w:rPr>
        <w:t xml:space="preserve">This wilderness is located within </w:t>
      </w:r>
      <w:r w:rsidRPr="00926750">
        <w:rPr>
          <w:color w:val="000000"/>
        </w:rPr>
        <w:t xml:space="preserve">northern Maine’s </w:t>
      </w:r>
      <w:proofErr w:type="spellStart"/>
      <w:r w:rsidRPr="00926750">
        <w:rPr>
          <w:color w:val="000000"/>
        </w:rPr>
        <w:t>Moosehorn</w:t>
      </w:r>
      <w:proofErr w:type="spellEnd"/>
      <w:r w:rsidRPr="00926750">
        <w:rPr>
          <w:color w:val="000000"/>
        </w:rPr>
        <w:t xml:space="preserve"> National Wildlife Refuge, a refuge and breeding ground for migratory birds, endangered species</w:t>
      </w:r>
      <w:r>
        <w:rPr>
          <w:color w:val="000000"/>
        </w:rPr>
        <w:t xml:space="preserve">, and other wildlife. Scientists at </w:t>
      </w:r>
      <w:proofErr w:type="spellStart"/>
      <w:r>
        <w:rPr>
          <w:color w:val="000000"/>
        </w:rPr>
        <w:t>Moosehorn</w:t>
      </w:r>
      <w:proofErr w:type="spellEnd"/>
      <w:r>
        <w:rPr>
          <w:color w:val="000000"/>
        </w:rPr>
        <w:t xml:space="preserve"> have provided valuable information to stem the decline in</w:t>
      </w:r>
      <w:r w:rsidRPr="00B10284">
        <w:rPr>
          <w:color w:val="000000"/>
        </w:rPr>
        <w:t xml:space="preserve"> the American </w:t>
      </w:r>
      <w:r w:rsidR="00E902B8">
        <w:rPr>
          <w:color w:val="000000"/>
        </w:rPr>
        <w:t>W</w:t>
      </w:r>
      <w:r w:rsidRPr="00B10284">
        <w:rPr>
          <w:color w:val="000000"/>
        </w:rPr>
        <w:t>oodcock</w:t>
      </w:r>
      <w:r>
        <w:rPr>
          <w:color w:val="000000"/>
        </w:rPr>
        <w:t xml:space="preserve">, also called a </w:t>
      </w:r>
      <w:proofErr w:type="spellStart"/>
      <w:r>
        <w:rPr>
          <w:color w:val="000000"/>
        </w:rPr>
        <w:t>Timberdoodle</w:t>
      </w:r>
      <w:proofErr w:type="spellEnd"/>
      <w:r w:rsidRPr="00B10284">
        <w:rPr>
          <w:color w:val="000000"/>
        </w:rPr>
        <w:t>. Bald eagles frequent the refuge, and black bears and white-tailed deer are common. Ducks, geese, and loons congregate on more than 50 lakes.</w:t>
      </w:r>
    </w:p>
    <w:p w:rsidR="00E71C51" w:rsidRPr="00B10284" w:rsidRDefault="00E71C51" w:rsidP="00B616CE">
      <w:pPr>
        <w:pStyle w:val="subhead"/>
        <w:spacing w:after="120" w:afterAutospacing="0"/>
        <w:rPr>
          <w:rFonts w:ascii="Calibri" w:hAnsi="Calibri"/>
          <w:b/>
          <w:sz w:val="28"/>
          <w:szCs w:val="28"/>
        </w:rPr>
      </w:pPr>
      <w:r w:rsidRPr="00B616CE">
        <w:rPr>
          <w:rFonts w:ascii="Arial" w:hAnsi="Arial" w:cs="Arial"/>
          <w:b/>
          <w:sz w:val="22"/>
          <w:szCs w:val="22"/>
        </w:rPr>
        <w:t>Presidential Range/Dry River Wilderness</w:t>
      </w:r>
    </w:p>
    <w:p w:rsidR="00E71C51" w:rsidRPr="00B10284" w:rsidRDefault="006E54E3" w:rsidP="00B17EBE">
      <w:pPr>
        <w:spacing w:after="288"/>
        <w:ind w:left="4320"/>
        <w:rPr>
          <w:color w:val="000000"/>
        </w:rPr>
      </w:pPr>
      <w:r>
        <w:rPr>
          <w:noProof/>
          <w:color w:val="000000"/>
        </w:rPr>
        <w:drawing>
          <wp:anchor distT="0" distB="0" distL="114300" distR="114300" simplePos="0" relativeHeight="251661312" behindDoc="0" locked="0" layoutInCell="1" allowOverlap="1">
            <wp:simplePos x="0" y="0"/>
            <wp:positionH relativeFrom="column">
              <wp:posOffset>-295275</wp:posOffset>
            </wp:positionH>
            <wp:positionV relativeFrom="paragraph">
              <wp:posOffset>33020</wp:posOffset>
            </wp:positionV>
            <wp:extent cx="3238500" cy="2200275"/>
            <wp:effectExtent l="19050" t="0" r="0" b="0"/>
            <wp:wrapSquare wrapText="bothSides"/>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stretch>
                      <a:fillRect/>
                    </a:stretch>
                  </pic:blipFill>
                  <pic:spPr bwMode="auto">
                    <a:xfrm>
                      <a:off x="0" y="0"/>
                      <a:ext cx="3238500" cy="2200275"/>
                    </a:xfrm>
                    <a:prstGeom prst="rect">
                      <a:avLst/>
                    </a:prstGeom>
                    <a:noFill/>
                    <a:ln>
                      <a:noFill/>
                    </a:ln>
                  </pic:spPr>
                </pic:pic>
              </a:graphicData>
            </a:graphic>
          </wp:anchor>
        </w:drawing>
      </w:r>
      <w:r w:rsidR="00E71C51" w:rsidRPr="00B10284">
        <w:rPr>
          <w:color w:val="000000"/>
        </w:rPr>
        <w:t xml:space="preserve">The large glacial </w:t>
      </w:r>
      <w:r w:rsidR="00E71C51" w:rsidRPr="00926750">
        <w:rPr>
          <w:color w:val="000000"/>
        </w:rPr>
        <w:t>cirque known as Oakes Gulf lies at the headwaters of the Dry River in New Hampshire. This river - and just to the east the Rocky Branch - carve sharply</w:t>
      </w:r>
      <w:r w:rsidR="00E71C51" w:rsidRPr="00B10284">
        <w:rPr>
          <w:color w:val="000000"/>
        </w:rPr>
        <w:t xml:space="preserve"> down through the heart of this Wilderness and offer contrast to the surrounding long, high ridgelin</w:t>
      </w:r>
      <w:r w:rsidR="00E71C51">
        <w:rPr>
          <w:color w:val="000000"/>
        </w:rPr>
        <w:t>es of the Southern Presidential Range</w:t>
      </w:r>
      <w:r w:rsidR="00E71C51" w:rsidRPr="00B10284">
        <w:rPr>
          <w:color w:val="000000"/>
        </w:rPr>
        <w:t xml:space="preserve"> and </w:t>
      </w:r>
      <w:proofErr w:type="spellStart"/>
      <w:r w:rsidR="00E71C51" w:rsidRPr="00B10284">
        <w:rPr>
          <w:color w:val="000000"/>
        </w:rPr>
        <w:t>Montalban</w:t>
      </w:r>
      <w:proofErr w:type="spellEnd"/>
      <w:r w:rsidR="00E71C51" w:rsidRPr="00B10284">
        <w:rPr>
          <w:color w:val="000000"/>
        </w:rPr>
        <w:t xml:space="preserve"> Ridge. The Dry River is something of a misnomer, as anyone who has tried to cross it after a period of even moderate rain can attest. </w:t>
      </w:r>
      <w:r w:rsidR="00E71C51">
        <w:rPr>
          <w:color w:val="000000"/>
        </w:rPr>
        <w:t xml:space="preserve"> T</w:t>
      </w:r>
      <w:r w:rsidR="00E71C51" w:rsidRPr="00B10284">
        <w:rPr>
          <w:color w:val="000000"/>
        </w:rPr>
        <w:t>he streams in this Wilderness are flashy and swift and run cold and clear from snow that melts well into the summer.</w:t>
      </w:r>
    </w:p>
    <w:p w:rsidR="00E71C51" w:rsidRDefault="00E71C51" w:rsidP="00084F88">
      <w:pPr>
        <w:pStyle w:val="TableTitle"/>
        <w:jc w:val="left"/>
        <w:rPr>
          <w:rFonts w:ascii="Calibri" w:hAnsi="Calibri" w:cs="Times New Roman"/>
          <w:b w:val="0"/>
          <w:bCs w:val="0"/>
          <w:sz w:val="22"/>
          <w:szCs w:val="22"/>
        </w:rPr>
      </w:pPr>
    </w:p>
    <w:p w:rsidR="00911F94" w:rsidRDefault="00E71C51" w:rsidP="00084F88">
      <w:pPr>
        <w:pStyle w:val="TableTitle"/>
        <w:jc w:val="left"/>
        <w:rPr>
          <w:rFonts w:ascii="Calibri" w:hAnsi="Calibri" w:cs="Times New Roman"/>
          <w:b w:val="0"/>
          <w:bCs w:val="0"/>
          <w:sz w:val="22"/>
          <w:szCs w:val="22"/>
        </w:rPr>
      </w:pPr>
      <w:r w:rsidRPr="00745E30">
        <w:rPr>
          <w:rFonts w:ascii="Calibri" w:hAnsi="Calibri" w:cs="Times New Roman"/>
          <w:b w:val="0"/>
          <w:bCs w:val="0"/>
          <w:sz w:val="22"/>
          <w:szCs w:val="22"/>
        </w:rPr>
        <w:t>Photo credits:  National Park Service, US Fish and Wildlife Service, wilderness.net</w:t>
      </w:r>
    </w:p>
    <w:p w:rsidR="00BC2554" w:rsidRPr="00BC2554" w:rsidRDefault="00911F94" w:rsidP="00BC2554">
      <w:pPr>
        <w:pStyle w:val="Heading2"/>
        <w:rPr>
          <w:rFonts w:cs="Arial"/>
        </w:rPr>
      </w:pPr>
      <w:r>
        <w:rPr>
          <w:rFonts w:ascii="Calibri" w:hAnsi="Calibri"/>
        </w:rPr>
        <w:br w:type="page"/>
      </w:r>
      <w:bookmarkStart w:id="13" w:name="_Toc373843483"/>
      <w:r w:rsidR="00B17EBE" w:rsidRPr="00BC2554">
        <w:rPr>
          <w:rFonts w:cs="Arial"/>
        </w:rPr>
        <w:lastRenderedPageBreak/>
        <w:t>Completeness Checklis</w:t>
      </w:r>
      <w:r w:rsidR="00BC2554" w:rsidRPr="00BC2554">
        <w:rPr>
          <w:rFonts w:cs="Arial"/>
        </w:rPr>
        <w:t>t</w:t>
      </w:r>
      <w:bookmarkEnd w:id="13"/>
    </w:p>
    <w:p w:rsidR="00BC2554" w:rsidRPr="00BC2554" w:rsidRDefault="00BC2554" w:rsidP="00BC2554"/>
    <w:p w:rsidR="00BC2554" w:rsidRDefault="00B17EBE" w:rsidP="00BC2554">
      <w:pPr>
        <w:rPr>
          <w:b/>
        </w:rPr>
      </w:pPr>
      <w:r w:rsidRPr="00BC2554">
        <w:t>The checklist on the following pages has been provided by the U.S. Environmental Protection Agency to help states submit complete Progress Reports.  Material is provided in this template to assist MANE-VU states in meeting EPA’s requirements, as referenced in the next to last column.  Refer to the Table of Contents for page numbers.</w:t>
      </w:r>
      <w:r w:rsidR="00911F94" w:rsidRPr="00BC2554">
        <w:br w:type="page"/>
      </w:r>
    </w:p>
    <w:p w:rsidR="00BC2554" w:rsidRDefault="00BC2554" w:rsidP="00BC2554">
      <w:pPr>
        <w:rPr>
          <w:b/>
        </w:rPr>
      </w:pP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1" w:type="dxa"/>
          <w:right w:w="101" w:type="dxa"/>
        </w:tblCellMar>
        <w:tblLook w:val="0000" w:firstRow="0" w:lastRow="0" w:firstColumn="0" w:lastColumn="0" w:noHBand="0" w:noVBand="0"/>
      </w:tblPr>
      <w:tblGrid>
        <w:gridCol w:w="422"/>
        <w:gridCol w:w="208"/>
        <w:gridCol w:w="1785"/>
        <w:gridCol w:w="4493"/>
        <w:gridCol w:w="1261"/>
        <w:gridCol w:w="1393"/>
      </w:tblGrid>
      <w:tr w:rsidR="00BC2554" w:rsidTr="00BC2554">
        <w:trPr>
          <w:cantSplit/>
          <w:trHeight w:hRule="exact" w:val="864"/>
          <w:tblHeader/>
        </w:trPr>
        <w:tc>
          <w:tcPr>
            <w:tcW w:w="224" w:type="pct"/>
            <w:vMerge w:val="restart"/>
            <w:tcBorders>
              <w:top w:val="single" w:sz="7" w:space="0" w:color="000000"/>
              <w:left w:val="single" w:sz="7" w:space="0" w:color="000000"/>
              <w:bottom w:val="single" w:sz="7" w:space="0" w:color="000000"/>
              <w:right w:val="single" w:sz="8" w:space="0" w:color="000000"/>
            </w:tcBorders>
            <w:vAlign w:val="center"/>
          </w:tcPr>
          <w:p w:rsidR="00BC2554" w:rsidRDefault="00BC2554" w:rsidP="00BC2554">
            <w:pPr>
              <w:widowControl w:val="0"/>
              <w:spacing w:before="84" w:after="49"/>
            </w:pPr>
            <w:r>
              <w:rPr>
                <w:b/>
              </w:rPr>
              <w:t xml:space="preserve">Y/ N </w:t>
            </w:r>
          </w:p>
        </w:tc>
        <w:tc>
          <w:tcPr>
            <w:tcW w:w="84" w:type="pct"/>
            <w:tcBorders>
              <w:top w:val="nil"/>
              <w:left w:val="single" w:sz="8" w:space="0" w:color="000000"/>
              <w:bottom w:val="nil"/>
              <w:right w:val="single" w:sz="8" w:space="0" w:color="000000"/>
            </w:tcBorders>
          </w:tcPr>
          <w:p w:rsidR="00BC2554" w:rsidRDefault="00BC2554" w:rsidP="00BC2554">
            <w:pPr>
              <w:widowControl w:val="0"/>
              <w:spacing w:before="84" w:after="49"/>
              <w:jc w:val="center"/>
            </w:pPr>
          </w:p>
        </w:tc>
        <w:tc>
          <w:tcPr>
            <w:tcW w:w="4692" w:type="pct"/>
            <w:gridSpan w:val="4"/>
            <w:tcBorders>
              <w:top w:val="single" w:sz="7" w:space="0" w:color="000000"/>
              <w:left w:val="single" w:sz="8" w:space="0" w:color="000000"/>
              <w:bottom w:val="single" w:sz="7" w:space="0" w:color="000000"/>
              <w:right w:val="single" w:sz="7" w:space="0" w:color="000000"/>
            </w:tcBorders>
            <w:vAlign w:val="center"/>
          </w:tcPr>
          <w:p w:rsidR="00FF1373" w:rsidRDefault="00BC2554" w:rsidP="00BC2554">
            <w:pPr>
              <w:widowControl w:val="0"/>
              <w:spacing w:before="84" w:after="49"/>
              <w:jc w:val="center"/>
              <w:rPr>
                <w:b/>
              </w:rPr>
            </w:pPr>
            <w:r>
              <w:rPr>
                <w:b/>
              </w:rPr>
              <w:t xml:space="preserve">5-yr Progress Report Submittal Checklist </w:t>
            </w:r>
          </w:p>
          <w:p w:rsidR="00BC2554" w:rsidRDefault="00BC2554" w:rsidP="00BC2554">
            <w:pPr>
              <w:widowControl w:val="0"/>
              <w:spacing w:before="84" w:after="49"/>
              <w:jc w:val="center"/>
            </w:pPr>
            <w:r>
              <w:rPr>
                <w:b/>
              </w:rPr>
              <w:t xml:space="preserve">Submitted under 40 CFR 51.308 (g)-(h) and 40 CFR 51.309(d)(10) </w:t>
            </w:r>
          </w:p>
        </w:tc>
      </w:tr>
      <w:tr w:rsidR="00BC2554" w:rsidTr="00BC2554">
        <w:trPr>
          <w:cantSplit/>
          <w:trHeight w:hRule="exact" w:val="1574"/>
          <w:tblHeader/>
        </w:trPr>
        <w:tc>
          <w:tcPr>
            <w:tcW w:w="224" w:type="pct"/>
            <w:vMerge/>
            <w:tcBorders>
              <w:top w:val="single" w:sz="7" w:space="0" w:color="000000"/>
              <w:left w:val="single" w:sz="7" w:space="0" w:color="000000"/>
              <w:bottom w:val="single" w:sz="7" w:space="0" w:color="000000"/>
              <w:right w:val="single" w:sz="8" w:space="0" w:color="000000"/>
            </w:tcBorders>
          </w:tcPr>
          <w:p w:rsidR="00BC2554" w:rsidRDefault="00BC2554" w:rsidP="00BC2554">
            <w:pPr>
              <w:widowControl w:val="0"/>
              <w:spacing w:before="84" w:after="49"/>
              <w:jc w:val="center"/>
            </w:pPr>
          </w:p>
        </w:tc>
        <w:tc>
          <w:tcPr>
            <w:tcW w:w="84" w:type="pct"/>
            <w:tcBorders>
              <w:top w:val="nil"/>
              <w:left w:val="single" w:sz="8" w:space="0" w:color="000000"/>
              <w:bottom w:val="nil"/>
              <w:right w:val="single" w:sz="8" w:space="0" w:color="000000"/>
            </w:tcBorders>
          </w:tcPr>
          <w:p w:rsidR="00BC2554" w:rsidRDefault="00BC2554" w:rsidP="00BC2554">
            <w:pPr>
              <w:widowControl w:val="0"/>
              <w:spacing w:before="84" w:after="49"/>
              <w:jc w:val="center"/>
            </w:pPr>
          </w:p>
        </w:tc>
        <w:tc>
          <w:tcPr>
            <w:tcW w:w="719" w:type="pct"/>
            <w:tcBorders>
              <w:top w:val="single" w:sz="7" w:space="0" w:color="000000"/>
              <w:left w:val="single" w:sz="8" w:space="0" w:color="000000"/>
              <w:bottom w:val="single" w:sz="7" w:space="0" w:color="000000"/>
              <w:right w:val="single" w:sz="7" w:space="0" w:color="000000"/>
            </w:tcBorders>
          </w:tcPr>
          <w:p w:rsidR="00BC2554" w:rsidRDefault="00BC2554" w:rsidP="00BC2554">
            <w:pPr>
              <w:widowControl w:val="0"/>
              <w:spacing w:before="84" w:after="49"/>
              <w:jc w:val="center"/>
            </w:pPr>
            <w:r>
              <w:rPr>
                <w:b/>
              </w:rPr>
              <w:t>Regulation Citation</w:t>
            </w:r>
          </w:p>
        </w:tc>
        <w:tc>
          <w:tcPr>
            <w:tcW w:w="2466" w:type="pct"/>
            <w:tcBorders>
              <w:top w:val="single" w:sz="7" w:space="0" w:color="000000"/>
              <w:left w:val="single" w:sz="7" w:space="0" w:color="000000"/>
              <w:bottom w:val="single" w:sz="7" w:space="0" w:color="000000"/>
              <w:right w:val="single" w:sz="7" w:space="0" w:color="000000"/>
            </w:tcBorders>
          </w:tcPr>
          <w:p w:rsidR="00BC2554" w:rsidRDefault="00BC2554" w:rsidP="00BC2554">
            <w:pPr>
              <w:widowControl w:val="0"/>
              <w:spacing w:before="84" w:after="49"/>
              <w:jc w:val="center"/>
            </w:pPr>
            <w:r>
              <w:rPr>
                <w:b/>
              </w:rPr>
              <w:t>Regulation Summary (</w:t>
            </w:r>
            <w:r>
              <w:rPr>
                <w:b/>
                <w:i/>
              </w:rPr>
              <w:t>not verbatim</w:t>
            </w:r>
            <w:r>
              <w:rPr>
                <w:b/>
              </w:rPr>
              <w:t>)</w:t>
            </w:r>
          </w:p>
        </w:tc>
        <w:tc>
          <w:tcPr>
            <w:tcW w:w="719" w:type="pct"/>
            <w:tcBorders>
              <w:top w:val="single" w:sz="7" w:space="0" w:color="000000"/>
              <w:left w:val="single" w:sz="7" w:space="0" w:color="000000"/>
              <w:bottom w:val="single" w:sz="7" w:space="0" w:color="000000"/>
              <w:right w:val="single" w:sz="7" w:space="0" w:color="000000"/>
            </w:tcBorders>
          </w:tcPr>
          <w:p w:rsidR="00BC2554" w:rsidRDefault="00BC2554" w:rsidP="00BC2554">
            <w:pPr>
              <w:widowControl w:val="0"/>
              <w:spacing w:before="84"/>
              <w:jc w:val="center"/>
            </w:pPr>
            <w:r>
              <w:rPr>
                <w:b/>
              </w:rPr>
              <w:t>Location in 5-year progress report template</w:t>
            </w:r>
          </w:p>
        </w:tc>
        <w:tc>
          <w:tcPr>
            <w:tcW w:w="788" w:type="pct"/>
            <w:tcBorders>
              <w:top w:val="single" w:sz="7" w:space="0" w:color="000000"/>
              <w:left w:val="single" w:sz="7" w:space="0" w:color="000000"/>
              <w:bottom w:val="single" w:sz="7" w:space="0" w:color="000000"/>
              <w:right w:val="single" w:sz="7" w:space="0" w:color="000000"/>
            </w:tcBorders>
          </w:tcPr>
          <w:p w:rsidR="00BC2554" w:rsidRPr="00F93BD0" w:rsidRDefault="00BC2554" w:rsidP="00BC2554">
            <w:pPr>
              <w:widowControl w:val="0"/>
              <w:spacing w:before="84" w:after="49"/>
              <w:jc w:val="center"/>
              <w:rPr>
                <w:b/>
              </w:rPr>
            </w:pPr>
            <w:r>
              <w:rPr>
                <w:b/>
              </w:rPr>
              <w:t>Comments</w:t>
            </w:r>
          </w:p>
        </w:tc>
      </w:tr>
      <w:tr w:rsidR="00BC2554" w:rsidTr="00BC2554">
        <w:trPr>
          <w:cantSplit/>
        </w:trPr>
        <w:tc>
          <w:tcPr>
            <w:tcW w:w="224" w:type="pct"/>
            <w:vMerge/>
            <w:tcBorders>
              <w:top w:val="single" w:sz="7" w:space="0" w:color="000000"/>
              <w:left w:val="single" w:sz="7" w:space="0" w:color="000000"/>
              <w:bottom w:val="single" w:sz="7" w:space="0" w:color="000000"/>
            </w:tcBorders>
            <w:vAlign w:val="center"/>
          </w:tcPr>
          <w:p w:rsidR="00BC2554" w:rsidRDefault="00BC2554" w:rsidP="00BC2554">
            <w:pPr>
              <w:widowControl w:val="0"/>
              <w:spacing w:before="84" w:after="49"/>
            </w:pPr>
          </w:p>
        </w:tc>
        <w:tc>
          <w:tcPr>
            <w:tcW w:w="84" w:type="pct"/>
            <w:tcBorders>
              <w:top w:val="nil"/>
              <w:left w:val="single" w:sz="7" w:space="0" w:color="000000"/>
              <w:bottom w:val="nil"/>
              <w:right w:val="single" w:sz="7" w:space="0" w:color="000000"/>
            </w:tcBorders>
          </w:tcPr>
          <w:p w:rsidR="00BC2554" w:rsidRDefault="00BC2554" w:rsidP="00BC2554">
            <w:pPr>
              <w:widowControl w:val="0"/>
              <w:spacing w:before="84" w:after="49"/>
            </w:pPr>
          </w:p>
        </w:tc>
        <w:tc>
          <w:tcPr>
            <w:tcW w:w="4692" w:type="pct"/>
            <w:gridSpan w:val="4"/>
            <w:tcBorders>
              <w:left w:val="single" w:sz="7" w:space="0" w:color="000000"/>
              <w:bottom w:val="single" w:sz="7" w:space="0" w:color="000000"/>
              <w:right w:val="single" w:sz="7" w:space="0" w:color="000000"/>
            </w:tcBorders>
            <w:vAlign w:val="center"/>
          </w:tcPr>
          <w:p w:rsidR="00BC2554" w:rsidRPr="00BC2554" w:rsidRDefault="00BC2554" w:rsidP="00BC2554">
            <w:pPr>
              <w:jc w:val="center"/>
              <w:rPr>
                <w:b/>
              </w:rPr>
            </w:pPr>
            <w:r w:rsidRPr="00BC2554">
              <w:rPr>
                <w:b/>
              </w:rPr>
              <w:t>Report Requirements</w:t>
            </w:r>
          </w:p>
        </w:tc>
      </w:tr>
      <w:tr w:rsidR="00BC2554" w:rsidTr="00BC2554">
        <w:trPr>
          <w:cantSplit/>
          <w:trHeight w:val="1234"/>
        </w:trPr>
        <w:tc>
          <w:tcPr>
            <w:tcW w:w="224" w:type="pct"/>
            <w:tcBorders>
              <w:top w:val="single" w:sz="7" w:space="0" w:color="000000"/>
              <w:left w:val="single" w:sz="7" w:space="0" w:color="000000"/>
              <w:bottom w:val="single" w:sz="7" w:space="0" w:color="000000"/>
              <w:right w:val="single" w:sz="8" w:space="0" w:color="000000"/>
            </w:tcBorders>
            <w:vAlign w:val="center"/>
          </w:tcPr>
          <w:p w:rsidR="00BC2554" w:rsidRDefault="00BC2554" w:rsidP="00BC2554">
            <w:pPr>
              <w:widowControl w:val="0"/>
              <w:spacing w:before="84" w:after="49"/>
            </w:pPr>
          </w:p>
        </w:tc>
        <w:tc>
          <w:tcPr>
            <w:tcW w:w="84" w:type="pct"/>
            <w:tcBorders>
              <w:top w:val="nil"/>
              <w:left w:val="single" w:sz="8" w:space="0" w:color="000000"/>
              <w:bottom w:val="nil"/>
              <w:right w:val="single" w:sz="8" w:space="0" w:color="000000"/>
            </w:tcBorders>
          </w:tcPr>
          <w:p w:rsidR="00BC2554" w:rsidRDefault="00BC2554" w:rsidP="00BC2554">
            <w:pPr>
              <w:widowControl w:val="0"/>
              <w:spacing w:before="84" w:after="49"/>
            </w:pPr>
          </w:p>
        </w:tc>
        <w:tc>
          <w:tcPr>
            <w:tcW w:w="719" w:type="pct"/>
            <w:tcBorders>
              <w:top w:val="single" w:sz="7" w:space="0" w:color="000000"/>
              <w:left w:val="single" w:sz="8" w:space="0" w:color="000000"/>
              <w:bottom w:val="single" w:sz="7" w:space="0" w:color="000000"/>
              <w:right w:val="single" w:sz="7" w:space="0" w:color="000000"/>
            </w:tcBorders>
            <w:vAlign w:val="center"/>
          </w:tcPr>
          <w:p w:rsidR="00BC2554" w:rsidRPr="00115943" w:rsidRDefault="00BC2554" w:rsidP="00BC2554">
            <w:pPr>
              <w:widowControl w:val="0"/>
              <w:rPr>
                <w:sz w:val="20"/>
              </w:rPr>
            </w:pPr>
            <w:r w:rsidRPr="00115943">
              <w:rPr>
                <w:sz w:val="20"/>
              </w:rPr>
              <w:t xml:space="preserve"> 51.308(g)(1)</w:t>
            </w:r>
          </w:p>
          <w:p w:rsidR="00BC2554" w:rsidRPr="00115943" w:rsidRDefault="00BC2554" w:rsidP="00BC2554">
            <w:pPr>
              <w:widowControl w:val="0"/>
            </w:pPr>
            <w:r w:rsidRPr="00115943">
              <w:rPr>
                <w:sz w:val="20"/>
              </w:rPr>
              <w:t>51.309(d)(10)(i)(A)</w:t>
            </w:r>
          </w:p>
        </w:tc>
        <w:tc>
          <w:tcPr>
            <w:tcW w:w="2466" w:type="pct"/>
            <w:tcBorders>
              <w:top w:val="single" w:sz="7" w:space="0" w:color="000000"/>
              <w:left w:val="single" w:sz="7" w:space="0" w:color="000000"/>
              <w:bottom w:val="single" w:sz="7" w:space="0" w:color="000000"/>
              <w:right w:val="single" w:sz="7" w:space="0" w:color="000000"/>
            </w:tcBorders>
          </w:tcPr>
          <w:p w:rsidR="00BC2554" w:rsidRPr="00894573" w:rsidRDefault="00BC2554" w:rsidP="00BC2554">
            <w:pPr>
              <w:widowControl w:val="0"/>
              <w:spacing w:before="84" w:after="49"/>
              <w:rPr>
                <w:i/>
              </w:rPr>
            </w:pPr>
            <w:r w:rsidRPr="009E7138">
              <w:t>Status of Control Strategies in the Regional Haze SIP</w:t>
            </w:r>
            <w:r>
              <w:t xml:space="preserve">: Does the report include a list of measures the state relied upon? </w:t>
            </w:r>
            <w:r>
              <w:rPr>
                <w:i/>
              </w:rPr>
              <w:t>(all states)</w:t>
            </w:r>
          </w:p>
        </w:tc>
        <w:tc>
          <w:tcPr>
            <w:tcW w:w="719" w:type="pct"/>
            <w:tcBorders>
              <w:top w:val="single" w:sz="7" w:space="0" w:color="000000"/>
              <w:left w:val="single" w:sz="7" w:space="0" w:color="000000"/>
              <w:bottom w:val="single" w:sz="7" w:space="0" w:color="000000"/>
              <w:right w:val="single" w:sz="7" w:space="0" w:color="000000"/>
            </w:tcBorders>
          </w:tcPr>
          <w:p w:rsidR="00BC2554" w:rsidRPr="00BC2554" w:rsidRDefault="00BC2554" w:rsidP="00BC2554">
            <w:pPr>
              <w:widowControl w:val="0"/>
              <w:spacing w:after="0"/>
              <w:rPr>
                <w:sz w:val="14"/>
              </w:rPr>
            </w:pPr>
            <w:r w:rsidRPr="00BC2554">
              <w:rPr>
                <w:sz w:val="14"/>
              </w:rPr>
              <w:t>Section 3 – BART</w:t>
            </w:r>
          </w:p>
          <w:p w:rsidR="00BC2554" w:rsidRPr="00BC2554" w:rsidRDefault="00BC2554" w:rsidP="00BC2554">
            <w:pPr>
              <w:widowControl w:val="0"/>
              <w:spacing w:after="0"/>
              <w:rPr>
                <w:sz w:val="14"/>
              </w:rPr>
            </w:pPr>
            <w:r w:rsidRPr="00BC2554">
              <w:rPr>
                <w:sz w:val="14"/>
              </w:rPr>
              <w:t>Section 4 – EGU    Controls</w:t>
            </w:r>
          </w:p>
          <w:p w:rsidR="00BC2554" w:rsidRDefault="00BC2554" w:rsidP="00BC2554">
            <w:pPr>
              <w:widowControl w:val="0"/>
              <w:spacing w:after="0"/>
            </w:pPr>
            <w:r w:rsidRPr="00BC2554">
              <w:rPr>
                <w:sz w:val="14"/>
              </w:rPr>
              <w:t>Section 5-Add’l measures</w:t>
            </w:r>
          </w:p>
        </w:tc>
        <w:tc>
          <w:tcPr>
            <w:tcW w:w="788" w:type="pct"/>
            <w:tcBorders>
              <w:top w:val="single" w:sz="7" w:space="0" w:color="000000"/>
              <w:left w:val="single" w:sz="7" w:space="0" w:color="000000"/>
              <w:bottom w:val="single" w:sz="7" w:space="0" w:color="000000"/>
              <w:right w:val="single" w:sz="7" w:space="0" w:color="000000"/>
            </w:tcBorders>
          </w:tcPr>
          <w:p w:rsidR="00BC2554" w:rsidRPr="00557C64" w:rsidRDefault="00557C64" w:rsidP="00BC2554">
            <w:pPr>
              <w:widowControl w:val="0"/>
              <w:spacing w:before="84" w:after="49"/>
              <w:rPr>
                <w:sz w:val="14"/>
              </w:rPr>
            </w:pPr>
            <w:r>
              <w:rPr>
                <w:sz w:val="14"/>
              </w:rPr>
              <w:t>State must update to make this state – specific.</w:t>
            </w:r>
          </w:p>
        </w:tc>
      </w:tr>
      <w:tr w:rsidR="00BC2554" w:rsidTr="00BC2554">
        <w:trPr>
          <w:cantSplit/>
        </w:trPr>
        <w:tc>
          <w:tcPr>
            <w:tcW w:w="224" w:type="pct"/>
            <w:tcBorders>
              <w:top w:val="single" w:sz="7" w:space="0" w:color="000000"/>
              <w:left w:val="single" w:sz="7" w:space="0" w:color="000000"/>
              <w:bottom w:val="single" w:sz="7" w:space="0" w:color="000000"/>
              <w:right w:val="single" w:sz="8" w:space="0" w:color="000000"/>
            </w:tcBorders>
            <w:vAlign w:val="center"/>
          </w:tcPr>
          <w:p w:rsidR="00BC2554" w:rsidRDefault="00BC2554" w:rsidP="00BC2554">
            <w:pPr>
              <w:widowControl w:val="0"/>
              <w:spacing w:before="84" w:after="49"/>
            </w:pPr>
          </w:p>
        </w:tc>
        <w:tc>
          <w:tcPr>
            <w:tcW w:w="84" w:type="pct"/>
            <w:tcBorders>
              <w:top w:val="nil"/>
              <w:left w:val="single" w:sz="8" w:space="0" w:color="000000"/>
              <w:bottom w:val="nil"/>
              <w:right w:val="single" w:sz="8" w:space="0" w:color="000000"/>
            </w:tcBorders>
          </w:tcPr>
          <w:p w:rsidR="00BC2554" w:rsidRDefault="00BC2554" w:rsidP="00BC2554">
            <w:pPr>
              <w:widowControl w:val="0"/>
              <w:spacing w:before="84" w:after="49"/>
            </w:pPr>
          </w:p>
        </w:tc>
        <w:tc>
          <w:tcPr>
            <w:tcW w:w="719" w:type="pct"/>
            <w:tcBorders>
              <w:top w:val="single" w:sz="7" w:space="0" w:color="000000"/>
              <w:left w:val="single" w:sz="8" w:space="0" w:color="000000"/>
              <w:bottom w:val="single" w:sz="7" w:space="0" w:color="000000"/>
              <w:right w:val="single" w:sz="7" w:space="0" w:color="000000"/>
            </w:tcBorders>
            <w:vAlign w:val="center"/>
          </w:tcPr>
          <w:p w:rsidR="00BC2554" w:rsidRPr="00115943" w:rsidRDefault="00BC2554" w:rsidP="00BC2554">
            <w:pPr>
              <w:widowControl w:val="0"/>
              <w:rPr>
                <w:sz w:val="20"/>
              </w:rPr>
            </w:pPr>
            <w:r w:rsidRPr="00115943">
              <w:rPr>
                <w:sz w:val="20"/>
              </w:rPr>
              <w:t>51.308(g)(2)</w:t>
            </w:r>
          </w:p>
          <w:p w:rsidR="00BC2554" w:rsidRPr="00115943" w:rsidRDefault="00BC2554" w:rsidP="00BC2554">
            <w:pPr>
              <w:widowControl w:val="0"/>
            </w:pPr>
            <w:r w:rsidRPr="00115943">
              <w:rPr>
                <w:sz w:val="20"/>
              </w:rPr>
              <w:t>51.309(d)(10)(i)(B</w:t>
            </w:r>
          </w:p>
        </w:tc>
        <w:tc>
          <w:tcPr>
            <w:tcW w:w="2466" w:type="pct"/>
            <w:tcBorders>
              <w:top w:val="single" w:sz="7" w:space="0" w:color="000000"/>
              <w:left w:val="single" w:sz="7" w:space="0" w:color="000000"/>
              <w:bottom w:val="single" w:sz="7" w:space="0" w:color="000000"/>
              <w:right w:val="single" w:sz="7" w:space="0" w:color="000000"/>
            </w:tcBorders>
          </w:tcPr>
          <w:p w:rsidR="00BC2554" w:rsidRPr="00894573" w:rsidRDefault="00BC2554" w:rsidP="00BC2554">
            <w:pPr>
              <w:widowControl w:val="0"/>
              <w:spacing w:before="84" w:after="49"/>
              <w:rPr>
                <w:i/>
              </w:rPr>
            </w:pPr>
            <w:r w:rsidRPr="009E7138">
              <w:t>Emissions Reductions from Regional Haze SIP Strategies</w:t>
            </w:r>
            <w:r>
              <w:t>: Does</w:t>
            </w:r>
            <w:r w:rsidDel="00BC69F8">
              <w:t xml:space="preserve"> </w:t>
            </w:r>
            <w:r>
              <w:t>the report include estimated reduction estimates for these measures? (</w:t>
            </w:r>
            <w:r>
              <w:rPr>
                <w:i/>
              </w:rPr>
              <w:t>all states)</w:t>
            </w:r>
          </w:p>
        </w:tc>
        <w:tc>
          <w:tcPr>
            <w:tcW w:w="719" w:type="pct"/>
            <w:tcBorders>
              <w:top w:val="single" w:sz="7" w:space="0" w:color="000000"/>
              <w:left w:val="single" w:sz="7" w:space="0" w:color="000000"/>
              <w:bottom w:val="single" w:sz="7" w:space="0" w:color="000000"/>
              <w:right w:val="single" w:sz="7" w:space="0" w:color="000000"/>
            </w:tcBorders>
          </w:tcPr>
          <w:p w:rsidR="00BC2554" w:rsidRPr="00BC2554" w:rsidRDefault="00BC2554" w:rsidP="00BC2554">
            <w:pPr>
              <w:widowControl w:val="0"/>
              <w:spacing w:before="84" w:after="49"/>
              <w:rPr>
                <w:sz w:val="14"/>
              </w:rPr>
            </w:pPr>
            <w:r>
              <w:rPr>
                <w:sz w:val="14"/>
              </w:rPr>
              <w:t>Section 6</w:t>
            </w:r>
          </w:p>
        </w:tc>
        <w:tc>
          <w:tcPr>
            <w:tcW w:w="788" w:type="pct"/>
            <w:tcBorders>
              <w:top w:val="single" w:sz="7" w:space="0" w:color="000000"/>
              <w:left w:val="single" w:sz="7" w:space="0" w:color="000000"/>
              <w:bottom w:val="single" w:sz="7" w:space="0" w:color="000000"/>
              <w:right w:val="single" w:sz="7" w:space="0" w:color="000000"/>
            </w:tcBorders>
          </w:tcPr>
          <w:p w:rsidR="00BC2554" w:rsidRPr="00557C64" w:rsidRDefault="00557C64" w:rsidP="00BC2554">
            <w:pPr>
              <w:widowControl w:val="0"/>
              <w:spacing w:before="84" w:after="49"/>
              <w:rPr>
                <w:sz w:val="14"/>
              </w:rPr>
            </w:pPr>
            <w:r>
              <w:rPr>
                <w:sz w:val="14"/>
              </w:rPr>
              <w:t>State must update.  See EPA guidance re: level of detail.</w:t>
            </w:r>
          </w:p>
        </w:tc>
      </w:tr>
      <w:tr w:rsidR="00BC2554" w:rsidTr="00BC2554">
        <w:trPr>
          <w:cantSplit/>
        </w:trPr>
        <w:tc>
          <w:tcPr>
            <w:tcW w:w="224" w:type="pct"/>
            <w:tcBorders>
              <w:top w:val="single" w:sz="7" w:space="0" w:color="000000"/>
              <w:left w:val="single" w:sz="7" w:space="0" w:color="000000"/>
              <w:bottom w:val="single" w:sz="7" w:space="0" w:color="000000"/>
              <w:right w:val="single" w:sz="8" w:space="0" w:color="000000"/>
            </w:tcBorders>
            <w:vAlign w:val="center"/>
          </w:tcPr>
          <w:p w:rsidR="00BC2554" w:rsidRDefault="00BC2554" w:rsidP="00BC2554">
            <w:pPr>
              <w:widowControl w:val="0"/>
              <w:spacing w:before="84" w:after="49"/>
            </w:pPr>
          </w:p>
        </w:tc>
        <w:tc>
          <w:tcPr>
            <w:tcW w:w="84" w:type="pct"/>
            <w:tcBorders>
              <w:top w:val="nil"/>
              <w:left w:val="single" w:sz="8" w:space="0" w:color="000000"/>
              <w:bottom w:val="nil"/>
              <w:right w:val="single" w:sz="8" w:space="0" w:color="000000"/>
            </w:tcBorders>
          </w:tcPr>
          <w:p w:rsidR="00BC2554" w:rsidRDefault="00BC2554" w:rsidP="00BC2554">
            <w:pPr>
              <w:widowControl w:val="0"/>
              <w:spacing w:before="84" w:after="49"/>
            </w:pPr>
          </w:p>
        </w:tc>
        <w:tc>
          <w:tcPr>
            <w:tcW w:w="719" w:type="pct"/>
            <w:tcBorders>
              <w:top w:val="single" w:sz="7" w:space="0" w:color="000000"/>
              <w:left w:val="single" w:sz="8" w:space="0" w:color="000000"/>
              <w:bottom w:val="single" w:sz="7" w:space="0" w:color="000000"/>
              <w:right w:val="single" w:sz="7" w:space="0" w:color="000000"/>
            </w:tcBorders>
            <w:vAlign w:val="center"/>
          </w:tcPr>
          <w:p w:rsidR="00BC2554" w:rsidRPr="00115943" w:rsidRDefault="00BC2554" w:rsidP="00BC2554">
            <w:pPr>
              <w:widowControl w:val="0"/>
              <w:rPr>
                <w:sz w:val="20"/>
              </w:rPr>
            </w:pPr>
            <w:r w:rsidRPr="00115943">
              <w:rPr>
                <w:sz w:val="20"/>
              </w:rPr>
              <w:t>51.308(g)(3)</w:t>
            </w:r>
          </w:p>
          <w:p w:rsidR="00BC2554" w:rsidRPr="00115943" w:rsidRDefault="00BC2554" w:rsidP="00BC2554">
            <w:pPr>
              <w:widowControl w:val="0"/>
            </w:pPr>
            <w:r w:rsidRPr="00115943">
              <w:rPr>
                <w:sz w:val="20"/>
              </w:rPr>
              <w:t>51.309(d)(10)(i)(C)</w:t>
            </w:r>
          </w:p>
        </w:tc>
        <w:tc>
          <w:tcPr>
            <w:tcW w:w="2466" w:type="pct"/>
            <w:tcBorders>
              <w:top w:val="single" w:sz="7" w:space="0" w:color="000000"/>
              <w:left w:val="single" w:sz="7" w:space="0" w:color="000000"/>
              <w:bottom w:val="single" w:sz="7" w:space="0" w:color="000000"/>
              <w:right w:val="single" w:sz="7" w:space="0" w:color="000000"/>
            </w:tcBorders>
          </w:tcPr>
          <w:p w:rsidR="00BC2554" w:rsidRPr="00894573" w:rsidRDefault="00BC2554" w:rsidP="00BC2554">
            <w:pPr>
              <w:widowControl w:val="0"/>
              <w:spacing w:before="84" w:after="49"/>
              <w:rPr>
                <w:i/>
              </w:rPr>
            </w:pPr>
            <w:r>
              <w:t>Visibility Progress: Does</w:t>
            </w:r>
            <w:r w:rsidDel="00BC69F8">
              <w:t xml:space="preserve"> </w:t>
            </w:r>
            <w:r>
              <w:t>the report include the summaries of monitored visibility data as required by the Regional Haze Rule? (</w:t>
            </w:r>
            <w:r>
              <w:rPr>
                <w:i/>
              </w:rPr>
              <w:t>states with Class I areas only)</w:t>
            </w:r>
          </w:p>
        </w:tc>
        <w:tc>
          <w:tcPr>
            <w:tcW w:w="719" w:type="pct"/>
            <w:tcBorders>
              <w:top w:val="single" w:sz="7" w:space="0" w:color="000000"/>
              <w:left w:val="single" w:sz="7" w:space="0" w:color="000000"/>
              <w:bottom w:val="single" w:sz="7" w:space="0" w:color="000000"/>
              <w:right w:val="single" w:sz="7" w:space="0" w:color="000000"/>
            </w:tcBorders>
          </w:tcPr>
          <w:p w:rsidR="00BC2554" w:rsidRPr="00BC2554" w:rsidRDefault="00BC2554" w:rsidP="00BC2554">
            <w:pPr>
              <w:widowControl w:val="0"/>
              <w:spacing w:before="84" w:after="49"/>
              <w:rPr>
                <w:sz w:val="14"/>
              </w:rPr>
            </w:pPr>
            <w:r>
              <w:rPr>
                <w:sz w:val="14"/>
              </w:rPr>
              <w:t>Section 2</w:t>
            </w:r>
          </w:p>
        </w:tc>
        <w:tc>
          <w:tcPr>
            <w:tcW w:w="788" w:type="pct"/>
            <w:tcBorders>
              <w:top w:val="single" w:sz="7" w:space="0" w:color="000000"/>
              <w:left w:val="single" w:sz="7" w:space="0" w:color="000000"/>
              <w:bottom w:val="single" w:sz="7" w:space="0" w:color="000000"/>
              <w:right w:val="single" w:sz="7" w:space="0" w:color="000000"/>
            </w:tcBorders>
          </w:tcPr>
          <w:p w:rsidR="00BC2554" w:rsidRPr="004F7584" w:rsidRDefault="004F7584" w:rsidP="00557C64">
            <w:pPr>
              <w:widowControl w:val="0"/>
              <w:spacing w:before="84" w:after="49"/>
              <w:rPr>
                <w:sz w:val="14"/>
              </w:rPr>
            </w:pPr>
            <w:r>
              <w:rPr>
                <w:sz w:val="14"/>
              </w:rPr>
              <w:t xml:space="preserve">Only required for Class I states, but useful for </w:t>
            </w:r>
            <w:r w:rsidR="00557C64">
              <w:rPr>
                <w:sz w:val="14"/>
              </w:rPr>
              <w:t>other states.</w:t>
            </w:r>
            <w:r w:rsidR="00FF1373">
              <w:rPr>
                <w:sz w:val="14"/>
              </w:rPr>
              <w:t xml:space="preserve">  See NESCAUM report for more detail.</w:t>
            </w:r>
          </w:p>
        </w:tc>
      </w:tr>
      <w:tr w:rsidR="00BC2554" w:rsidTr="00BC2554">
        <w:trPr>
          <w:cantSplit/>
        </w:trPr>
        <w:tc>
          <w:tcPr>
            <w:tcW w:w="224" w:type="pct"/>
            <w:tcBorders>
              <w:top w:val="single" w:sz="7" w:space="0" w:color="000000"/>
              <w:left w:val="single" w:sz="7" w:space="0" w:color="000000"/>
              <w:bottom w:val="single" w:sz="7" w:space="0" w:color="000000"/>
              <w:right w:val="single" w:sz="8" w:space="0" w:color="000000"/>
            </w:tcBorders>
            <w:vAlign w:val="center"/>
          </w:tcPr>
          <w:p w:rsidR="00BC2554" w:rsidRDefault="00BC2554" w:rsidP="00BC2554">
            <w:pPr>
              <w:widowControl w:val="0"/>
              <w:spacing w:before="84" w:after="49"/>
            </w:pPr>
          </w:p>
        </w:tc>
        <w:tc>
          <w:tcPr>
            <w:tcW w:w="84" w:type="pct"/>
            <w:tcBorders>
              <w:top w:val="nil"/>
              <w:left w:val="single" w:sz="8" w:space="0" w:color="000000"/>
              <w:bottom w:val="nil"/>
              <w:right w:val="single" w:sz="8" w:space="0" w:color="000000"/>
            </w:tcBorders>
          </w:tcPr>
          <w:p w:rsidR="00BC2554" w:rsidRDefault="00BC2554" w:rsidP="00BC2554">
            <w:pPr>
              <w:widowControl w:val="0"/>
              <w:spacing w:before="84" w:after="49"/>
            </w:pPr>
          </w:p>
        </w:tc>
        <w:tc>
          <w:tcPr>
            <w:tcW w:w="719" w:type="pct"/>
            <w:tcBorders>
              <w:top w:val="single" w:sz="7" w:space="0" w:color="000000"/>
              <w:left w:val="single" w:sz="8" w:space="0" w:color="000000"/>
              <w:bottom w:val="single" w:sz="7" w:space="0" w:color="000000"/>
              <w:right w:val="single" w:sz="7" w:space="0" w:color="000000"/>
            </w:tcBorders>
            <w:vAlign w:val="center"/>
          </w:tcPr>
          <w:p w:rsidR="00BC2554" w:rsidRPr="00115943" w:rsidRDefault="00BC2554" w:rsidP="00BC2554">
            <w:pPr>
              <w:widowControl w:val="0"/>
              <w:rPr>
                <w:sz w:val="20"/>
              </w:rPr>
            </w:pPr>
            <w:r w:rsidRPr="00115943">
              <w:rPr>
                <w:sz w:val="20"/>
              </w:rPr>
              <w:t>51.308(g)(4)</w:t>
            </w:r>
          </w:p>
          <w:p w:rsidR="00BC2554" w:rsidRPr="00115943" w:rsidRDefault="00BC2554" w:rsidP="00BC2554">
            <w:pPr>
              <w:widowControl w:val="0"/>
              <w:rPr>
                <w:sz w:val="20"/>
              </w:rPr>
            </w:pPr>
            <w:r w:rsidRPr="00115943">
              <w:rPr>
                <w:sz w:val="20"/>
              </w:rPr>
              <w:t>51.309(d)(10)(i)(D)</w:t>
            </w:r>
          </w:p>
        </w:tc>
        <w:tc>
          <w:tcPr>
            <w:tcW w:w="2466" w:type="pct"/>
            <w:tcBorders>
              <w:top w:val="single" w:sz="7" w:space="0" w:color="000000"/>
              <w:left w:val="single" w:sz="7" w:space="0" w:color="000000"/>
              <w:bottom w:val="single" w:sz="7" w:space="0" w:color="000000"/>
              <w:right w:val="single" w:sz="7" w:space="0" w:color="000000"/>
            </w:tcBorders>
          </w:tcPr>
          <w:p w:rsidR="00BC2554" w:rsidRPr="00894573" w:rsidRDefault="00BC2554" w:rsidP="00BC2554">
            <w:pPr>
              <w:widowControl w:val="0"/>
              <w:spacing w:before="84" w:after="49"/>
              <w:rPr>
                <w:i/>
              </w:rPr>
            </w:pPr>
            <w:r>
              <w:t>Emissions Progress: Does</w:t>
            </w:r>
            <w:r w:rsidDel="00BC69F8">
              <w:t xml:space="preserve"> </w:t>
            </w:r>
            <w:r>
              <w:t xml:space="preserve">the report provide emissions trends across the entire inventory for a 5-year period as required by the Regional Haze Rule? </w:t>
            </w:r>
            <w:r>
              <w:rPr>
                <w:i/>
              </w:rPr>
              <w:t>(all states)</w:t>
            </w:r>
          </w:p>
        </w:tc>
        <w:tc>
          <w:tcPr>
            <w:tcW w:w="719" w:type="pct"/>
            <w:tcBorders>
              <w:top w:val="single" w:sz="7" w:space="0" w:color="000000"/>
              <w:left w:val="single" w:sz="7" w:space="0" w:color="000000"/>
              <w:bottom w:val="single" w:sz="7" w:space="0" w:color="000000"/>
              <w:right w:val="single" w:sz="7" w:space="0" w:color="000000"/>
            </w:tcBorders>
          </w:tcPr>
          <w:p w:rsidR="00BC2554" w:rsidRPr="004F7584" w:rsidRDefault="004F7584" w:rsidP="00BC2554">
            <w:pPr>
              <w:widowControl w:val="0"/>
              <w:spacing w:before="84" w:after="49"/>
              <w:rPr>
                <w:sz w:val="14"/>
              </w:rPr>
            </w:pPr>
            <w:r>
              <w:rPr>
                <w:sz w:val="14"/>
              </w:rPr>
              <w:t>Section 7</w:t>
            </w:r>
          </w:p>
        </w:tc>
        <w:tc>
          <w:tcPr>
            <w:tcW w:w="788" w:type="pct"/>
            <w:tcBorders>
              <w:top w:val="single" w:sz="7" w:space="0" w:color="000000"/>
              <w:left w:val="single" w:sz="7" w:space="0" w:color="000000"/>
              <w:bottom w:val="single" w:sz="7" w:space="0" w:color="000000"/>
              <w:right w:val="single" w:sz="7" w:space="0" w:color="000000"/>
            </w:tcBorders>
          </w:tcPr>
          <w:p w:rsidR="00BC2554" w:rsidRPr="00557C64" w:rsidRDefault="00557C64" w:rsidP="00BC2554">
            <w:pPr>
              <w:widowControl w:val="0"/>
              <w:spacing w:before="84" w:after="49"/>
              <w:rPr>
                <w:sz w:val="14"/>
              </w:rPr>
            </w:pPr>
            <w:r>
              <w:rPr>
                <w:sz w:val="14"/>
              </w:rPr>
              <w:t>2002 &amp; 2007 inventories</w:t>
            </w:r>
            <w:r w:rsidR="00FF1373">
              <w:rPr>
                <w:sz w:val="14"/>
              </w:rPr>
              <w:t xml:space="preserve"> plus 2010 for EGUs.</w:t>
            </w:r>
            <w:r>
              <w:rPr>
                <w:sz w:val="14"/>
              </w:rPr>
              <w:t xml:space="preserve">  State may want to update EGUs.</w:t>
            </w:r>
          </w:p>
        </w:tc>
      </w:tr>
      <w:tr w:rsidR="00BC2554" w:rsidTr="00BC2554">
        <w:trPr>
          <w:cantSplit/>
        </w:trPr>
        <w:tc>
          <w:tcPr>
            <w:tcW w:w="224" w:type="pct"/>
            <w:tcBorders>
              <w:top w:val="single" w:sz="7" w:space="0" w:color="000000"/>
              <w:left w:val="single" w:sz="7" w:space="0" w:color="000000"/>
              <w:bottom w:val="single" w:sz="7" w:space="0" w:color="000000"/>
              <w:right w:val="single" w:sz="8" w:space="0" w:color="000000"/>
            </w:tcBorders>
            <w:vAlign w:val="center"/>
          </w:tcPr>
          <w:p w:rsidR="00BC2554" w:rsidRDefault="00BC2554" w:rsidP="00BC2554">
            <w:pPr>
              <w:widowControl w:val="0"/>
              <w:spacing w:before="84" w:after="49"/>
            </w:pPr>
          </w:p>
        </w:tc>
        <w:tc>
          <w:tcPr>
            <w:tcW w:w="84" w:type="pct"/>
            <w:tcBorders>
              <w:top w:val="nil"/>
              <w:left w:val="single" w:sz="8" w:space="0" w:color="000000"/>
              <w:bottom w:val="nil"/>
              <w:right w:val="single" w:sz="8" w:space="0" w:color="000000"/>
            </w:tcBorders>
          </w:tcPr>
          <w:p w:rsidR="00BC2554" w:rsidRDefault="00BC2554" w:rsidP="00BC2554">
            <w:pPr>
              <w:widowControl w:val="0"/>
              <w:spacing w:before="84" w:after="49"/>
            </w:pPr>
          </w:p>
        </w:tc>
        <w:tc>
          <w:tcPr>
            <w:tcW w:w="719" w:type="pct"/>
            <w:tcBorders>
              <w:top w:val="single" w:sz="7" w:space="0" w:color="000000"/>
              <w:left w:val="single" w:sz="8" w:space="0" w:color="000000"/>
              <w:bottom w:val="single" w:sz="7" w:space="0" w:color="000000"/>
              <w:right w:val="single" w:sz="7" w:space="0" w:color="000000"/>
            </w:tcBorders>
            <w:vAlign w:val="center"/>
          </w:tcPr>
          <w:p w:rsidR="00BC2554" w:rsidRPr="00115943" w:rsidRDefault="00BC2554" w:rsidP="00BC2554">
            <w:pPr>
              <w:widowControl w:val="0"/>
              <w:rPr>
                <w:sz w:val="20"/>
              </w:rPr>
            </w:pPr>
            <w:r w:rsidRPr="00115943">
              <w:rPr>
                <w:sz w:val="20"/>
              </w:rPr>
              <w:t>51.308(g)(5) 51.309(d)(10)(i)(E)</w:t>
            </w:r>
          </w:p>
        </w:tc>
        <w:tc>
          <w:tcPr>
            <w:tcW w:w="2466" w:type="pct"/>
            <w:tcBorders>
              <w:top w:val="single" w:sz="7" w:space="0" w:color="000000"/>
              <w:left w:val="single" w:sz="7" w:space="0" w:color="000000"/>
              <w:bottom w:val="single" w:sz="7" w:space="0" w:color="000000"/>
              <w:right w:val="single" w:sz="7" w:space="0" w:color="000000"/>
            </w:tcBorders>
          </w:tcPr>
          <w:p w:rsidR="00BC2554" w:rsidRPr="00894573" w:rsidRDefault="00BC2554" w:rsidP="00BC2554">
            <w:pPr>
              <w:widowControl w:val="0"/>
              <w:spacing w:before="84" w:after="49"/>
              <w:rPr>
                <w:i/>
                <w:u w:val="single"/>
              </w:rPr>
            </w:pPr>
            <w:r w:rsidRPr="009E7138">
              <w:t>Assessment of Changes Impeding Progress</w:t>
            </w:r>
            <w:r>
              <w:t>: Does</w:t>
            </w:r>
            <w:r w:rsidDel="00BC69F8">
              <w:t xml:space="preserve"> </w:t>
            </w:r>
            <w:r>
              <w:t>the report include an explicit statement of whether there are anthropogenic emissions changes impeding progress? (</w:t>
            </w:r>
            <w:r w:rsidRPr="00C71126">
              <w:rPr>
                <w:i/>
              </w:rPr>
              <w:t>all states)</w:t>
            </w:r>
          </w:p>
        </w:tc>
        <w:tc>
          <w:tcPr>
            <w:tcW w:w="719" w:type="pct"/>
            <w:tcBorders>
              <w:top w:val="single" w:sz="7" w:space="0" w:color="000000"/>
              <w:left w:val="single" w:sz="7" w:space="0" w:color="000000"/>
              <w:bottom w:val="single" w:sz="7" w:space="0" w:color="000000"/>
              <w:right w:val="single" w:sz="7" w:space="0" w:color="000000"/>
            </w:tcBorders>
          </w:tcPr>
          <w:p w:rsidR="00BC2554" w:rsidRPr="004F7584" w:rsidRDefault="004F7584" w:rsidP="00BC2554">
            <w:pPr>
              <w:widowControl w:val="0"/>
              <w:spacing w:before="84" w:after="49"/>
              <w:rPr>
                <w:sz w:val="14"/>
              </w:rPr>
            </w:pPr>
            <w:r>
              <w:rPr>
                <w:sz w:val="14"/>
              </w:rPr>
              <w:t>Section 8</w:t>
            </w:r>
          </w:p>
        </w:tc>
        <w:tc>
          <w:tcPr>
            <w:tcW w:w="788" w:type="pct"/>
            <w:tcBorders>
              <w:top w:val="single" w:sz="7" w:space="0" w:color="000000"/>
              <w:left w:val="single" w:sz="7" w:space="0" w:color="000000"/>
              <w:bottom w:val="single" w:sz="7" w:space="0" w:color="000000"/>
              <w:right w:val="single" w:sz="7" w:space="0" w:color="000000"/>
            </w:tcBorders>
          </w:tcPr>
          <w:p w:rsidR="00BC2554" w:rsidRPr="00557C64" w:rsidRDefault="00557C64" w:rsidP="00BC2554">
            <w:pPr>
              <w:widowControl w:val="0"/>
              <w:spacing w:before="84" w:after="49"/>
              <w:rPr>
                <w:sz w:val="14"/>
              </w:rPr>
            </w:pPr>
            <w:r>
              <w:rPr>
                <w:sz w:val="14"/>
              </w:rPr>
              <w:t>None identified.</w:t>
            </w:r>
          </w:p>
        </w:tc>
      </w:tr>
      <w:tr w:rsidR="00BC2554" w:rsidTr="00BC2554">
        <w:trPr>
          <w:cantSplit/>
        </w:trPr>
        <w:tc>
          <w:tcPr>
            <w:tcW w:w="224" w:type="pct"/>
            <w:tcBorders>
              <w:top w:val="single" w:sz="7" w:space="0" w:color="000000"/>
              <w:left w:val="single" w:sz="7" w:space="0" w:color="000000"/>
              <w:bottom w:val="single" w:sz="7" w:space="0" w:color="000000"/>
              <w:right w:val="single" w:sz="8" w:space="0" w:color="000000"/>
            </w:tcBorders>
            <w:vAlign w:val="center"/>
          </w:tcPr>
          <w:p w:rsidR="00BC2554" w:rsidRDefault="00BC2554" w:rsidP="00BC2554">
            <w:pPr>
              <w:widowControl w:val="0"/>
              <w:spacing w:before="84" w:after="49"/>
            </w:pPr>
          </w:p>
        </w:tc>
        <w:tc>
          <w:tcPr>
            <w:tcW w:w="84" w:type="pct"/>
            <w:tcBorders>
              <w:top w:val="nil"/>
              <w:left w:val="single" w:sz="8" w:space="0" w:color="000000"/>
              <w:bottom w:val="nil"/>
              <w:right w:val="single" w:sz="8" w:space="0" w:color="000000"/>
            </w:tcBorders>
          </w:tcPr>
          <w:p w:rsidR="00BC2554" w:rsidRDefault="00BC2554" w:rsidP="00BC2554">
            <w:pPr>
              <w:widowControl w:val="0"/>
              <w:spacing w:before="84" w:after="49"/>
            </w:pPr>
          </w:p>
        </w:tc>
        <w:tc>
          <w:tcPr>
            <w:tcW w:w="719" w:type="pct"/>
            <w:tcBorders>
              <w:top w:val="single" w:sz="7" w:space="0" w:color="000000"/>
              <w:left w:val="single" w:sz="8" w:space="0" w:color="000000"/>
              <w:bottom w:val="single" w:sz="7" w:space="0" w:color="000000"/>
              <w:right w:val="single" w:sz="7" w:space="0" w:color="000000"/>
            </w:tcBorders>
            <w:vAlign w:val="center"/>
          </w:tcPr>
          <w:p w:rsidR="00BC2554" w:rsidRPr="00115943" w:rsidRDefault="00BC2554" w:rsidP="00BC2554">
            <w:pPr>
              <w:widowControl w:val="0"/>
              <w:rPr>
                <w:sz w:val="20"/>
              </w:rPr>
            </w:pPr>
            <w:r w:rsidRPr="00115943">
              <w:rPr>
                <w:sz w:val="20"/>
              </w:rPr>
              <w:t>51.308(g)(6)</w:t>
            </w:r>
          </w:p>
          <w:p w:rsidR="00BC2554" w:rsidRPr="00115943" w:rsidRDefault="00BC2554" w:rsidP="00BC2554">
            <w:pPr>
              <w:widowControl w:val="0"/>
            </w:pPr>
            <w:r w:rsidRPr="00115943">
              <w:rPr>
                <w:sz w:val="20"/>
              </w:rPr>
              <w:t>51.309(d)(10)(i)(F)</w:t>
            </w:r>
          </w:p>
        </w:tc>
        <w:tc>
          <w:tcPr>
            <w:tcW w:w="2466" w:type="pct"/>
            <w:tcBorders>
              <w:top w:val="single" w:sz="7" w:space="0" w:color="000000"/>
              <w:left w:val="single" w:sz="7" w:space="0" w:color="000000"/>
              <w:bottom w:val="single" w:sz="7" w:space="0" w:color="000000"/>
              <w:right w:val="single" w:sz="7" w:space="0" w:color="000000"/>
            </w:tcBorders>
          </w:tcPr>
          <w:p w:rsidR="00BC2554" w:rsidRPr="00894573" w:rsidRDefault="00BC2554" w:rsidP="00BC2554">
            <w:pPr>
              <w:widowControl w:val="0"/>
              <w:spacing w:before="84" w:after="49"/>
              <w:rPr>
                <w:i/>
              </w:rPr>
            </w:pPr>
            <w:r>
              <w:t>Assessment of Current Strategy: Does</w:t>
            </w:r>
            <w:r w:rsidDel="00BC69F8">
              <w:t xml:space="preserve"> </w:t>
            </w:r>
            <w:r>
              <w:t xml:space="preserve">the report include an assessment of whether the state’s haze plan is on track to meet reasonable progress goals? </w:t>
            </w:r>
            <w:r>
              <w:rPr>
                <w:i/>
              </w:rPr>
              <w:t>(all states)</w:t>
            </w:r>
          </w:p>
        </w:tc>
        <w:tc>
          <w:tcPr>
            <w:tcW w:w="719" w:type="pct"/>
            <w:tcBorders>
              <w:top w:val="single" w:sz="7" w:space="0" w:color="000000"/>
              <w:left w:val="single" w:sz="7" w:space="0" w:color="000000"/>
              <w:bottom w:val="single" w:sz="7" w:space="0" w:color="000000"/>
              <w:right w:val="single" w:sz="7" w:space="0" w:color="000000"/>
            </w:tcBorders>
          </w:tcPr>
          <w:p w:rsidR="00BC2554" w:rsidRDefault="004F7584" w:rsidP="00BC2554">
            <w:pPr>
              <w:widowControl w:val="0"/>
              <w:spacing w:before="84" w:after="49"/>
              <w:rPr>
                <w:sz w:val="14"/>
              </w:rPr>
            </w:pPr>
            <w:r w:rsidRPr="004F7584">
              <w:rPr>
                <w:sz w:val="14"/>
              </w:rPr>
              <w:t>Section 9</w:t>
            </w:r>
          </w:p>
          <w:p w:rsidR="00ED1FAE" w:rsidRDefault="00ED1FAE" w:rsidP="00BC2554">
            <w:pPr>
              <w:widowControl w:val="0"/>
              <w:spacing w:before="84" w:after="49"/>
            </w:pPr>
            <w:r>
              <w:rPr>
                <w:sz w:val="14"/>
              </w:rPr>
              <w:t>May use Section 2 as reference.</w:t>
            </w:r>
          </w:p>
        </w:tc>
        <w:tc>
          <w:tcPr>
            <w:tcW w:w="788" w:type="pct"/>
            <w:tcBorders>
              <w:top w:val="single" w:sz="7" w:space="0" w:color="000000"/>
              <w:left w:val="single" w:sz="7" w:space="0" w:color="000000"/>
              <w:bottom w:val="single" w:sz="7" w:space="0" w:color="000000"/>
              <w:right w:val="single" w:sz="7" w:space="0" w:color="000000"/>
            </w:tcBorders>
          </w:tcPr>
          <w:p w:rsidR="00BC2554" w:rsidRPr="00ED1FAE" w:rsidRDefault="00ED1FAE" w:rsidP="00BC2554">
            <w:pPr>
              <w:widowControl w:val="0"/>
              <w:spacing w:before="84" w:after="49"/>
              <w:rPr>
                <w:sz w:val="14"/>
              </w:rPr>
            </w:pPr>
            <w:r>
              <w:rPr>
                <w:sz w:val="14"/>
              </w:rPr>
              <w:t>State must confirm status.</w:t>
            </w:r>
          </w:p>
        </w:tc>
      </w:tr>
      <w:tr w:rsidR="00BC2554" w:rsidTr="00BC2554">
        <w:trPr>
          <w:cantSplit/>
        </w:trPr>
        <w:tc>
          <w:tcPr>
            <w:tcW w:w="224" w:type="pct"/>
            <w:tcBorders>
              <w:top w:val="single" w:sz="7" w:space="0" w:color="000000"/>
              <w:left w:val="single" w:sz="7" w:space="0" w:color="000000"/>
              <w:bottom w:val="single" w:sz="7" w:space="0" w:color="000000"/>
              <w:right w:val="single" w:sz="8" w:space="0" w:color="000000"/>
            </w:tcBorders>
            <w:vAlign w:val="center"/>
          </w:tcPr>
          <w:p w:rsidR="00BC2554" w:rsidRDefault="00BC2554" w:rsidP="00BC2554">
            <w:pPr>
              <w:widowControl w:val="0"/>
              <w:spacing w:before="84" w:after="49"/>
            </w:pPr>
          </w:p>
        </w:tc>
        <w:tc>
          <w:tcPr>
            <w:tcW w:w="84" w:type="pct"/>
            <w:tcBorders>
              <w:top w:val="nil"/>
              <w:left w:val="single" w:sz="8" w:space="0" w:color="000000"/>
              <w:bottom w:val="nil"/>
              <w:right w:val="single" w:sz="8" w:space="0" w:color="000000"/>
            </w:tcBorders>
          </w:tcPr>
          <w:p w:rsidR="00BC2554" w:rsidRDefault="00BC2554" w:rsidP="00BC2554">
            <w:pPr>
              <w:widowControl w:val="0"/>
              <w:spacing w:before="84" w:after="49"/>
            </w:pPr>
          </w:p>
        </w:tc>
        <w:tc>
          <w:tcPr>
            <w:tcW w:w="719" w:type="pct"/>
            <w:tcBorders>
              <w:top w:val="single" w:sz="7" w:space="0" w:color="000000"/>
              <w:left w:val="single" w:sz="8" w:space="0" w:color="000000"/>
              <w:bottom w:val="single" w:sz="7" w:space="0" w:color="000000"/>
              <w:right w:val="single" w:sz="7" w:space="0" w:color="000000"/>
            </w:tcBorders>
            <w:vAlign w:val="center"/>
          </w:tcPr>
          <w:p w:rsidR="00BC2554" w:rsidRPr="00115943" w:rsidRDefault="00BC2554" w:rsidP="00BC2554">
            <w:pPr>
              <w:widowControl w:val="0"/>
              <w:spacing w:before="40" w:after="60"/>
              <w:rPr>
                <w:sz w:val="20"/>
              </w:rPr>
            </w:pPr>
            <w:r w:rsidRPr="00115943">
              <w:rPr>
                <w:sz w:val="20"/>
              </w:rPr>
              <w:t>51.308(g)(7)  51.309(d)(10)(i)(G)</w:t>
            </w:r>
          </w:p>
        </w:tc>
        <w:tc>
          <w:tcPr>
            <w:tcW w:w="2466" w:type="pct"/>
            <w:tcBorders>
              <w:top w:val="single" w:sz="7" w:space="0" w:color="000000"/>
              <w:left w:val="single" w:sz="7" w:space="0" w:color="000000"/>
              <w:bottom w:val="single" w:sz="7" w:space="0" w:color="000000"/>
              <w:right w:val="single" w:sz="7" w:space="0" w:color="000000"/>
            </w:tcBorders>
          </w:tcPr>
          <w:p w:rsidR="00BC2554" w:rsidRPr="00A9295A" w:rsidRDefault="00BC2554" w:rsidP="00BC2554">
            <w:pPr>
              <w:widowControl w:val="0"/>
              <w:spacing w:before="84" w:after="49"/>
              <w:rPr>
                <w:i/>
              </w:rPr>
            </w:pPr>
            <w:r>
              <w:t>Review of Monitoring Strategy: Does</w:t>
            </w:r>
            <w:r w:rsidDel="00BC69F8">
              <w:t xml:space="preserve"> </w:t>
            </w:r>
            <w:r>
              <w:t>the report review the monitoring plan including any non-IMPROVE monitors the state is using? (</w:t>
            </w:r>
            <w:r>
              <w:rPr>
                <w:i/>
              </w:rPr>
              <w:t>states with Class I areas only)</w:t>
            </w:r>
          </w:p>
        </w:tc>
        <w:tc>
          <w:tcPr>
            <w:tcW w:w="719" w:type="pct"/>
            <w:tcBorders>
              <w:top w:val="single" w:sz="7" w:space="0" w:color="000000"/>
              <w:left w:val="single" w:sz="7" w:space="0" w:color="000000"/>
              <w:bottom w:val="single" w:sz="7" w:space="0" w:color="000000"/>
              <w:right w:val="single" w:sz="7" w:space="0" w:color="000000"/>
            </w:tcBorders>
          </w:tcPr>
          <w:p w:rsidR="00BC2554" w:rsidRPr="004F7584" w:rsidRDefault="004F7584" w:rsidP="00BC2554">
            <w:pPr>
              <w:widowControl w:val="0"/>
              <w:spacing w:before="84" w:after="49"/>
              <w:rPr>
                <w:sz w:val="14"/>
              </w:rPr>
            </w:pPr>
            <w:r>
              <w:rPr>
                <w:sz w:val="14"/>
              </w:rPr>
              <w:t>Section 10</w:t>
            </w:r>
          </w:p>
        </w:tc>
        <w:tc>
          <w:tcPr>
            <w:tcW w:w="788" w:type="pct"/>
            <w:tcBorders>
              <w:top w:val="single" w:sz="7" w:space="0" w:color="000000"/>
              <w:left w:val="single" w:sz="7" w:space="0" w:color="000000"/>
              <w:bottom w:val="single" w:sz="7" w:space="0" w:color="000000"/>
              <w:right w:val="single" w:sz="7" w:space="0" w:color="000000"/>
            </w:tcBorders>
          </w:tcPr>
          <w:p w:rsidR="00BC2554" w:rsidRPr="004F7584" w:rsidRDefault="004F7584" w:rsidP="00BC2554">
            <w:pPr>
              <w:widowControl w:val="0"/>
              <w:spacing w:before="84" w:after="49"/>
              <w:rPr>
                <w:sz w:val="14"/>
              </w:rPr>
            </w:pPr>
            <w:r>
              <w:rPr>
                <w:sz w:val="14"/>
              </w:rPr>
              <w:t>Class I states only</w:t>
            </w:r>
          </w:p>
        </w:tc>
      </w:tr>
      <w:tr w:rsidR="00BC2554" w:rsidTr="00BC2554">
        <w:trPr>
          <w:cantSplit/>
        </w:trPr>
        <w:tc>
          <w:tcPr>
            <w:tcW w:w="224" w:type="pct"/>
            <w:tcBorders>
              <w:top w:val="single" w:sz="7" w:space="0" w:color="000000"/>
              <w:left w:val="single" w:sz="7" w:space="0" w:color="000000"/>
              <w:bottom w:val="single" w:sz="7" w:space="0" w:color="000000"/>
              <w:right w:val="single" w:sz="8" w:space="0" w:color="000000"/>
            </w:tcBorders>
            <w:vAlign w:val="center"/>
          </w:tcPr>
          <w:p w:rsidR="00BC2554" w:rsidRDefault="00BC2554" w:rsidP="00BC2554">
            <w:pPr>
              <w:widowControl w:val="0"/>
              <w:spacing w:before="84" w:after="49"/>
            </w:pPr>
          </w:p>
        </w:tc>
        <w:tc>
          <w:tcPr>
            <w:tcW w:w="84" w:type="pct"/>
            <w:tcBorders>
              <w:top w:val="nil"/>
              <w:left w:val="single" w:sz="8" w:space="0" w:color="000000"/>
              <w:bottom w:val="nil"/>
              <w:right w:val="single" w:sz="8" w:space="0" w:color="000000"/>
            </w:tcBorders>
          </w:tcPr>
          <w:p w:rsidR="00BC2554" w:rsidRDefault="00BC2554" w:rsidP="00BC2554">
            <w:pPr>
              <w:widowControl w:val="0"/>
              <w:spacing w:before="84" w:after="49"/>
            </w:pPr>
          </w:p>
        </w:tc>
        <w:tc>
          <w:tcPr>
            <w:tcW w:w="719" w:type="pct"/>
            <w:tcBorders>
              <w:top w:val="single" w:sz="7" w:space="0" w:color="000000"/>
              <w:left w:val="single" w:sz="8" w:space="0" w:color="000000"/>
              <w:bottom w:val="single" w:sz="7" w:space="0" w:color="000000"/>
              <w:right w:val="single" w:sz="7" w:space="0" w:color="000000"/>
            </w:tcBorders>
          </w:tcPr>
          <w:p w:rsidR="00BC2554" w:rsidRPr="00115943" w:rsidRDefault="00BC2554" w:rsidP="00BC2554">
            <w:pPr>
              <w:widowControl w:val="0"/>
              <w:rPr>
                <w:sz w:val="20"/>
              </w:rPr>
            </w:pPr>
            <w:r w:rsidRPr="00115943">
              <w:rPr>
                <w:sz w:val="20"/>
              </w:rPr>
              <w:t>51.308(h)  51.309(d)(10)(ii)</w:t>
            </w:r>
          </w:p>
        </w:tc>
        <w:tc>
          <w:tcPr>
            <w:tcW w:w="2466" w:type="pct"/>
            <w:tcBorders>
              <w:top w:val="single" w:sz="7" w:space="0" w:color="000000"/>
              <w:left w:val="single" w:sz="7" w:space="0" w:color="000000"/>
              <w:bottom w:val="single" w:sz="7" w:space="0" w:color="000000"/>
              <w:right w:val="single" w:sz="7" w:space="0" w:color="000000"/>
            </w:tcBorders>
          </w:tcPr>
          <w:p w:rsidR="00BC2554" w:rsidRPr="00A9295A" w:rsidRDefault="00BC2554" w:rsidP="00BC2554">
            <w:pPr>
              <w:widowControl w:val="0"/>
              <w:spacing w:before="84" w:after="49"/>
              <w:rPr>
                <w:i/>
              </w:rPr>
            </w:pPr>
            <w:r>
              <w:t xml:space="preserve">Determination of Adequacy: Does the report (or the transmittal materials) provide the explicit determination required by the Regional Haze Rule? </w:t>
            </w:r>
            <w:r>
              <w:rPr>
                <w:i/>
              </w:rPr>
              <w:t>(all states)</w:t>
            </w:r>
          </w:p>
        </w:tc>
        <w:tc>
          <w:tcPr>
            <w:tcW w:w="719" w:type="pct"/>
            <w:tcBorders>
              <w:top w:val="single" w:sz="7" w:space="0" w:color="000000"/>
              <w:left w:val="single" w:sz="7" w:space="0" w:color="000000"/>
              <w:bottom w:val="single" w:sz="7" w:space="0" w:color="000000"/>
              <w:right w:val="single" w:sz="7" w:space="0" w:color="000000"/>
            </w:tcBorders>
          </w:tcPr>
          <w:p w:rsidR="00BC2554" w:rsidRDefault="004F7584" w:rsidP="00BC2554">
            <w:pPr>
              <w:widowControl w:val="0"/>
              <w:spacing w:before="84" w:after="49"/>
              <w:rPr>
                <w:sz w:val="14"/>
              </w:rPr>
            </w:pPr>
            <w:r>
              <w:rPr>
                <w:sz w:val="14"/>
              </w:rPr>
              <w:t>Section 11</w:t>
            </w:r>
          </w:p>
          <w:p w:rsidR="00ED1FAE" w:rsidRPr="004F7584" w:rsidRDefault="00ED1FAE" w:rsidP="00BC2554">
            <w:pPr>
              <w:widowControl w:val="0"/>
              <w:spacing w:before="84" w:after="49"/>
              <w:rPr>
                <w:sz w:val="14"/>
              </w:rPr>
            </w:pPr>
            <w:r>
              <w:rPr>
                <w:sz w:val="14"/>
              </w:rPr>
              <w:t>May reference Section 2.</w:t>
            </w:r>
          </w:p>
        </w:tc>
        <w:tc>
          <w:tcPr>
            <w:tcW w:w="788" w:type="pct"/>
            <w:tcBorders>
              <w:top w:val="single" w:sz="7" w:space="0" w:color="000000"/>
              <w:left w:val="single" w:sz="7" w:space="0" w:color="000000"/>
              <w:bottom w:val="single" w:sz="7" w:space="0" w:color="000000"/>
              <w:right w:val="single" w:sz="7" w:space="0" w:color="000000"/>
            </w:tcBorders>
          </w:tcPr>
          <w:p w:rsidR="00BC2554" w:rsidRPr="00ED1FAE" w:rsidRDefault="00ED1FAE" w:rsidP="00BC2554">
            <w:pPr>
              <w:widowControl w:val="0"/>
              <w:spacing w:before="84" w:after="49"/>
              <w:rPr>
                <w:sz w:val="14"/>
              </w:rPr>
            </w:pPr>
            <w:r>
              <w:rPr>
                <w:sz w:val="14"/>
              </w:rPr>
              <w:t>State must confirm.</w:t>
            </w:r>
          </w:p>
        </w:tc>
      </w:tr>
    </w:tbl>
    <w:p w:rsidR="00BC2554" w:rsidRDefault="00BC2554" w:rsidP="00BC2554">
      <w:pPr>
        <w:widowControl w:val="0"/>
      </w:pPr>
    </w:p>
    <w:p w:rsidR="00BC2554" w:rsidRDefault="00BC2554" w:rsidP="00BC2554">
      <w:pPr>
        <w:rPr>
          <w:b/>
          <w:i/>
        </w:rPr>
      </w:pPr>
    </w:p>
    <w:p w:rsidR="00BC2554" w:rsidRDefault="00BC2554" w:rsidP="00BC2554">
      <w:pPr>
        <w:widowControl w:val="0"/>
      </w:pPr>
    </w:p>
    <w:p w:rsidR="00BC2554" w:rsidRDefault="00BC2554">
      <w:pPr>
        <w:spacing w:after="0" w:line="240" w:lineRule="auto"/>
      </w:pPr>
      <w:r>
        <w:br w:type="page"/>
      </w:r>
    </w:p>
    <w:p w:rsidR="00E71C51" w:rsidRPr="0040350E" w:rsidRDefault="0040350E" w:rsidP="0040350E">
      <w:pPr>
        <w:pStyle w:val="Heading2"/>
      </w:pPr>
      <w:bookmarkStart w:id="14" w:name="_Toc373843484"/>
      <w:r w:rsidRPr="0040350E">
        <w:lastRenderedPageBreak/>
        <w:t xml:space="preserve">Table of </w:t>
      </w:r>
      <w:r w:rsidR="00E71C51" w:rsidRPr="0040350E">
        <w:t>Contents</w:t>
      </w:r>
      <w:bookmarkEnd w:id="14"/>
    </w:p>
    <w:p w:rsidR="00DA27BA" w:rsidRDefault="00413C29">
      <w:pPr>
        <w:pStyle w:val="TOC2"/>
        <w:tabs>
          <w:tab w:val="right" w:leader="dot" w:pos="9350"/>
        </w:tabs>
        <w:rPr>
          <w:rFonts w:asciiTheme="minorHAnsi" w:eastAsiaTheme="minorEastAsia" w:hAnsiTheme="minorHAnsi" w:cstheme="minorBidi"/>
          <w:noProof/>
        </w:rPr>
      </w:pPr>
      <w:r w:rsidRPr="00AC5502">
        <w:fldChar w:fldCharType="begin"/>
      </w:r>
      <w:r w:rsidR="00E71C51" w:rsidRPr="00AC5502">
        <w:instrText xml:space="preserve"> TOC \o "1-7" \h \z \u </w:instrText>
      </w:r>
      <w:r w:rsidRPr="00AC5502">
        <w:fldChar w:fldCharType="separate"/>
      </w:r>
      <w:hyperlink w:anchor="_Toc373843477" w:history="1">
        <w:r w:rsidR="00DA27BA" w:rsidRPr="00FB4889">
          <w:rPr>
            <w:rStyle w:val="Hyperlink"/>
            <w:noProof/>
          </w:rPr>
          <w:t>Notes to Reader</w:t>
        </w:r>
        <w:r w:rsidR="00DA27BA">
          <w:rPr>
            <w:noProof/>
            <w:webHidden/>
          </w:rPr>
          <w:tab/>
        </w:r>
        <w:r w:rsidR="00DA27BA">
          <w:rPr>
            <w:noProof/>
            <w:webHidden/>
          </w:rPr>
          <w:fldChar w:fldCharType="begin"/>
        </w:r>
        <w:r w:rsidR="00DA27BA">
          <w:rPr>
            <w:noProof/>
            <w:webHidden/>
          </w:rPr>
          <w:instrText xml:space="preserve"> PAGEREF _Toc373843477 \h </w:instrText>
        </w:r>
        <w:r w:rsidR="00DA27BA">
          <w:rPr>
            <w:noProof/>
            <w:webHidden/>
          </w:rPr>
        </w:r>
        <w:r w:rsidR="00DA27BA">
          <w:rPr>
            <w:noProof/>
            <w:webHidden/>
          </w:rPr>
          <w:fldChar w:fldCharType="separate"/>
        </w:r>
        <w:r w:rsidR="000F722A">
          <w:rPr>
            <w:noProof/>
            <w:webHidden/>
          </w:rPr>
          <w:t>2</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478" w:history="1">
        <w:r w:rsidR="00DA27BA" w:rsidRPr="00FB4889">
          <w:rPr>
            <w:rStyle w:val="Hyperlink"/>
            <w:noProof/>
          </w:rPr>
          <w:t>Acknowledgements</w:t>
        </w:r>
        <w:r w:rsidR="00DA27BA">
          <w:rPr>
            <w:noProof/>
            <w:webHidden/>
          </w:rPr>
          <w:tab/>
        </w:r>
        <w:r w:rsidR="00DA27BA">
          <w:rPr>
            <w:noProof/>
            <w:webHidden/>
          </w:rPr>
          <w:fldChar w:fldCharType="begin"/>
        </w:r>
        <w:r w:rsidR="00DA27BA">
          <w:rPr>
            <w:noProof/>
            <w:webHidden/>
          </w:rPr>
          <w:instrText xml:space="preserve"> PAGEREF _Toc373843478 \h </w:instrText>
        </w:r>
        <w:r w:rsidR="00DA27BA">
          <w:rPr>
            <w:noProof/>
            <w:webHidden/>
          </w:rPr>
        </w:r>
        <w:r w:rsidR="00DA27BA">
          <w:rPr>
            <w:noProof/>
            <w:webHidden/>
          </w:rPr>
          <w:fldChar w:fldCharType="separate"/>
        </w:r>
        <w:r w:rsidR="000F722A">
          <w:rPr>
            <w:noProof/>
            <w:webHidden/>
          </w:rPr>
          <w:t>2</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479" w:history="1">
        <w:r w:rsidR="00DA27BA" w:rsidRPr="00FB4889">
          <w:rPr>
            <w:rStyle w:val="Hyperlink"/>
            <w:noProof/>
          </w:rPr>
          <w:t>About MARAMA</w:t>
        </w:r>
        <w:r w:rsidR="00DA27BA">
          <w:rPr>
            <w:noProof/>
            <w:webHidden/>
          </w:rPr>
          <w:tab/>
        </w:r>
        <w:r w:rsidR="00DA27BA">
          <w:rPr>
            <w:noProof/>
            <w:webHidden/>
          </w:rPr>
          <w:fldChar w:fldCharType="begin"/>
        </w:r>
        <w:r w:rsidR="00DA27BA">
          <w:rPr>
            <w:noProof/>
            <w:webHidden/>
          </w:rPr>
          <w:instrText xml:space="preserve"> PAGEREF _Toc373843479 \h </w:instrText>
        </w:r>
        <w:r w:rsidR="00DA27BA">
          <w:rPr>
            <w:noProof/>
            <w:webHidden/>
          </w:rPr>
        </w:r>
        <w:r w:rsidR="00DA27BA">
          <w:rPr>
            <w:noProof/>
            <w:webHidden/>
          </w:rPr>
          <w:fldChar w:fldCharType="separate"/>
        </w:r>
        <w:r w:rsidR="000F722A">
          <w:rPr>
            <w:noProof/>
            <w:webHidden/>
          </w:rPr>
          <w:t>2</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480" w:history="1">
        <w:r w:rsidR="00DA27BA" w:rsidRPr="00FB4889">
          <w:rPr>
            <w:rStyle w:val="Hyperlink"/>
            <w:noProof/>
          </w:rPr>
          <w:t>Executive Summary</w:t>
        </w:r>
        <w:r w:rsidR="00DA27BA">
          <w:rPr>
            <w:noProof/>
            <w:webHidden/>
          </w:rPr>
          <w:tab/>
        </w:r>
        <w:r w:rsidR="00DA27BA">
          <w:rPr>
            <w:noProof/>
            <w:webHidden/>
          </w:rPr>
          <w:fldChar w:fldCharType="begin"/>
        </w:r>
        <w:r w:rsidR="00DA27BA">
          <w:rPr>
            <w:noProof/>
            <w:webHidden/>
          </w:rPr>
          <w:instrText xml:space="preserve"> PAGEREF _Toc373843480 \h </w:instrText>
        </w:r>
        <w:r w:rsidR="00DA27BA">
          <w:rPr>
            <w:noProof/>
            <w:webHidden/>
          </w:rPr>
        </w:r>
        <w:r w:rsidR="00DA27BA">
          <w:rPr>
            <w:noProof/>
            <w:webHidden/>
          </w:rPr>
          <w:fldChar w:fldCharType="separate"/>
        </w:r>
        <w:r w:rsidR="000F722A">
          <w:rPr>
            <w:noProof/>
            <w:webHidden/>
          </w:rPr>
          <w:t>4</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481" w:history="1">
        <w:r w:rsidR="00DA27BA" w:rsidRPr="00FB4889">
          <w:rPr>
            <w:rStyle w:val="Hyperlink"/>
            <w:noProof/>
          </w:rPr>
          <w:t>SIP Submittal</w:t>
        </w:r>
        <w:r w:rsidR="00DA27BA">
          <w:rPr>
            <w:noProof/>
            <w:webHidden/>
          </w:rPr>
          <w:tab/>
        </w:r>
        <w:r w:rsidR="00DA27BA">
          <w:rPr>
            <w:noProof/>
            <w:webHidden/>
          </w:rPr>
          <w:fldChar w:fldCharType="begin"/>
        </w:r>
        <w:r w:rsidR="00DA27BA">
          <w:rPr>
            <w:noProof/>
            <w:webHidden/>
          </w:rPr>
          <w:instrText xml:space="preserve"> PAGEREF _Toc373843481 \h </w:instrText>
        </w:r>
        <w:r w:rsidR="00DA27BA">
          <w:rPr>
            <w:noProof/>
            <w:webHidden/>
          </w:rPr>
        </w:r>
        <w:r w:rsidR="00DA27BA">
          <w:rPr>
            <w:noProof/>
            <w:webHidden/>
          </w:rPr>
          <w:fldChar w:fldCharType="separate"/>
        </w:r>
        <w:r w:rsidR="000F722A">
          <w:rPr>
            <w:noProof/>
            <w:webHidden/>
          </w:rPr>
          <w:t>5</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482" w:history="1">
        <w:r w:rsidR="00DA27BA" w:rsidRPr="00FB4889">
          <w:rPr>
            <w:rStyle w:val="Hyperlink"/>
            <w:noProof/>
          </w:rPr>
          <w:t>MANE-VU’s Class I Areas</w:t>
        </w:r>
        <w:r w:rsidR="00DA27BA">
          <w:rPr>
            <w:noProof/>
            <w:webHidden/>
          </w:rPr>
          <w:tab/>
        </w:r>
        <w:r w:rsidR="00DA27BA">
          <w:rPr>
            <w:noProof/>
            <w:webHidden/>
          </w:rPr>
          <w:fldChar w:fldCharType="begin"/>
        </w:r>
        <w:r w:rsidR="00DA27BA">
          <w:rPr>
            <w:noProof/>
            <w:webHidden/>
          </w:rPr>
          <w:instrText xml:space="preserve"> PAGEREF _Toc373843482 \h </w:instrText>
        </w:r>
        <w:r w:rsidR="00DA27BA">
          <w:rPr>
            <w:noProof/>
            <w:webHidden/>
          </w:rPr>
        </w:r>
        <w:r w:rsidR="00DA27BA">
          <w:rPr>
            <w:noProof/>
            <w:webHidden/>
          </w:rPr>
          <w:fldChar w:fldCharType="separate"/>
        </w:r>
        <w:r w:rsidR="000F722A">
          <w:rPr>
            <w:noProof/>
            <w:webHidden/>
          </w:rPr>
          <w:t>6</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483" w:history="1">
        <w:r w:rsidR="00DA27BA" w:rsidRPr="00FB4889">
          <w:rPr>
            <w:rStyle w:val="Hyperlink"/>
            <w:rFonts w:cs="Arial"/>
            <w:noProof/>
          </w:rPr>
          <w:t>Completeness Checklist</w:t>
        </w:r>
        <w:r w:rsidR="00DA27BA">
          <w:rPr>
            <w:noProof/>
            <w:webHidden/>
          </w:rPr>
          <w:tab/>
        </w:r>
        <w:r w:rsidR="00DA27BA">
          <w:rPr>
            <w:noProof/>
            <w:webHidden/>
          </w:rPr>
          <w:fldChar w:fldCharType="begin"/>
        </w:r>
        <w:r w:rsidR="00DA27BA">
          <w:rPr>
            <w:noProof/>
            <w:webHidden/>
          </w:rPr>
          <w:instrText xml:space="preserve"> PAGEREF _Toc373843483 \h </w:instrText>
        </w:r>
        <w:r w:rsidR="00DA27BA">
          <w:rPr>
            <w:noProof/>
            <w:webHidden/>
          </w:rPr>
        </w:r>
        <w:r w:rsidR="00DA27BA">
          <w:rPr>
            <w:noProof/>
            <w:webHidden/>
          </w:rPr>
          <w:fldChar w:fldCharType="separate"/>
        </w:r>
        <w:r w:rsidR="000F722A">
          <w:rPr>
            <w:noProof/>
            <w:webHidden/>
          </w:rPr>
          <w:t>8</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484" w:history="1">
        <w:r w:rsidR="00DA27BA" w:rsidRPr="00FB4889">
          <w:rPr>
            <w:rStyle w:val="Hyperlink"/>
            <w:noProof/>
          </w:rPr>
          <w:t>Table of Contents</w:t>
        </w:r>
        <w:r w:rsidR="00DA27BA">
          <w:rPr>
            <w:noProof/>
            <w:webHidden/>
          </w:rPr>
          <w:tab/>
        </w:r>
        <w:r w:rsidR="00DA27BA">
          <w:rPr>
            <w:noProof/>
            <w:webHidden/>
          </w:rPr>
          <w:fldChar w:fldCharType="begin"/>
        </w:r>
        <w:r w:rsidR="00DA27BA">
          <w:rPr>
            <w:noProof/>
            <w:webHidden/>
          </w:rPr>
          <w:instrText xml:space="preserve"> PAGEREF _Toc373843484 \h </w:instrText>
        </w:r>
        <w:r w:rsidR="00DA27BA">
          <w:rPr>
            <w:noProof/>
            <w:webHidden/>
          </w:rPr>
        </w:r>
        <w:r w:rsidR="00DA27BA">
          <w:rPr>
            <w:noProof/>
            <w:webHidden/>
          </w:rPr>
          <w:fldChar w:fldCharType="separate"/>
        </w:r>
        <w:r w:rsidR="000F722A">
          <w:rPr>
            <w:noProof/>
            <w:webHidden/>
          </w:rPr>
          <w:t>11</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485" w:history="1">
        <w:r w:rsidR="00DA27BA" w:rsidRPr="00FB4889">
          <w:rPr>
            <w:rStyle w:val="Hyperlink"/>
            <w:noProof/>
          </w:rPr>
          <w:t>List of Figures</w:t>
        </w:r>
        <w:r w:rsidR="00DA27BA">
          <w:rPr>
            <w:noProof/>
            <w:webHidden/>
          </w:rPr>
          <w:tab/>
        </w:r>
        <w:r w:rsidR="00DA27BA">
          <w:rPr>
            <w:noProof/>
            <w:webHidden/>
          </w:rPr>
          <w:fldChar w:fldCharType="begin"/>
        </w:r>
        <w:r w:rsidR="00DA27BA">
          <w:rPr>
            <w:noProof/>
            <w:webHidden/>
          </w:rPr>
          <w:instrText xml:space="preserve"> PAGEREF _Toc373843485 \h </w:instrText>
        </w:r>
        <w:r w:rsidR="00DA27BA">
          <w:rPr>
            <w:noProof/>
            <w:webHidden/>
          </w:rPr>
        </w:r>
        <w:r w:rsidR="00DA27BA">
          <w:rPr>
            <w:noProof/>
            <w:webHidden/>
          </w:rPr>
          <w:fldChar w:fldCharType="separate"/>
        </w:r>
        <w:r w:rsidR="000F722A">
          <w:rPr>
            <w:noProof/>
            <w:webHidden/>
          </w:rPr>
          <w:t>14</w:t>
        </w:r>
        <w:r w:rsidR="00DA27BA">
          <w:rPr>
            <w:noProof/>
            <w:webHidden/>
          </w:rPr>
          <w:fldChar w:fldCharType="end"/>
        </w:r>
      </w:hyperlink>
    </w:p>
    <w:p w:rsidR="00DA27BA" w:rsidRPr="001005F7" w:rsidRDefault="00CC55EF" w:rsidP="001005F7">
      <w:pPr>
        <w:pStyle w:val="TOC2"/>
        <w:tabs>
          <w:tab w:val="right" w:leader="dot" w:pos="9350"/>
        </w:tabs>
        <w:rPr>
          <w:noProof/>
          <w:color w:val="0000FF"/>
          <w:u w:val="single"/>
        </w:rPr>
      </w:pPr>
      <w:hyperlink w:anchor="_Toc373843486" w:history="1">
        <w:r w:rsidR="001005F7">
          <w:rPr>
            <w:rStyle w:val="Hyperlink"/>
            <w:noProof/>
          </w:rPr>
          <w:t>List o</w:t>
        </w:r>
        <w:r w:rsidR="00DA27BA" w:rsidRPr="00FB4889">
          <w:rPr>
            <w:rStyle w:val="Hyperlink"/>
            <w:noProof/>
          </w:rPr>
          <w:t>f Tables</w:t>
        </w:r>
        <w:r w:rsidR="00DA27BA">
          <w:rPr>
            <w:noProof/>
            <w:webHidden/>
          </w:rPr>
          <w:tab/>
        </w:r>
        <w:r w:rsidR="00DA27BA">
          <w:rPr>
            <w:noProof/>
            <w:webHidden/>
          </w:rPr>
          <w:fldChar w:fldCharType="begin"/>
        </w:r>
        <w:r w:rsidR="00DA27BA">
          <w:rPr>
            <w:noProof/>
            <w:webHidden/>
          </w:rPr>
          <w:instrText xml:space="preserve"> PAGEREF _Toc373843486 \h </w:instrText>
        </w:r>
        <w:r w:rsidR="00DA27BA">
          <w:rPr>
            <w:noProof/>
            <w:webHidden/>
          </w:rPr>
        </w:r>
        <w:r w:rsidR="00DA27BA">
          <w:rPr>
            <w:noProof/>
            <w:webHidden/>
          </w:rPr>
          <w:fldChar w:fldCharType="separate"/>
        </w:r>
        <w:r w:rsidR="000F722A">
          <w:rPr>
            <w:noProof/>
            <w:webHidden/>
          </w:rPr>
          <w:t>15</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487" w:history="1">
        <w:r w:rsidR="00DA27BA" w:rsidRPr="00FB4889">
          <w:rPr>
            <w:rStyle w:val="Hyperlink"/>
            <w:noProof/>
          </w:rPr>
          <w:t>Section 1:  Federal Regional Haze Program Requirements</w:t>
        </w:r>
        <w:r w:rsidR="00DA27BA">
          <w:rPr>
            <w:noProof/>
            <w:webHidden/>
          </w:rPr>
          <w:tab/>
        </w:r>
        <w:r w:rsidR="00DA27BA">
          <w:rPr>
            <w:noProof/>
            <w:webHidden/>
          </w:rPr>
          <w:fldChar w:fldCharType="begin"/>
        </w:r>
        <w:r w:rsidR="00DA27BA">
          <w:rPr>
            <w:noProof/>
            <w:webHidden/>
          </w:rPr>
          <w:instrText xml:space="preserve"> PAGEREF _Toc373843487 \h </w:instrText>
        </w:r>
        <w:r w:rsidR="00DA27BA">
          <w:rPr>
            <w:noProof/>
            <w:webHidden/>
          </w:rPr>
        </w:r>
        <w:r w:rsidR="00DA27BA">
          <w:rPr>
            <w:noProof/>
            <w:webHidden/>
          </w:rPr>
          <w:fldChar w:fldCharType="separate"/>
        </w:r>
        <w:r w:rsidR="000F722A">
          <w:rPr>
            <w:noProof/>
            <w:webHidden/>
          </w:rPr>
          <w:t>17</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488" w:history="1">
        <w:r w:rsidR="00DA27BA" w:rsidRPr="00FB4889">
          <w:rPr>
            <w:rStyle w:val="Hyperlink"/>
            <w:noProof/>
          </w:rPr>
          <w:t>1.1. Background</w:t>
        </w:r>
        <w:r w:rsidR="00DA27BA">
          <w:rPr>
            <w:noProof/>
            <w:webHidden/>
          </w:rPr>
          <w:tab/>
        </w:r>
        <w:r w:rsidR="00DA27BA">
          <w:rPr>
            <w:noProof/>
            <w:webHidden/>
          </w:rPr>
          <w:fldChar w:fldCharType="begin"/>
        </w:r>
        <w:r w:rsidR="00DA27BA">
          <w:rPr>
            <w:noProof/>
            <w:webHidden/>
          </w:rPr>
          <w:instrText xml:space="preserve"> PAGEREF _Toc373843488 \h </w:instrText>
        </w:r>
        <w:r w:rsidR="00DA27BA">
          <w:rPr>
            <w:noProof/>
            <w:webHidden/>
          </w:rPr>
        </w:r>
        <w:r w:rsidR="00DA27BA">
          <w:rPr>
            <w:noProof/>
            <w:webHidden/>
          </w:rPr>
          <w:fldChar w:fldCharType="separate"/>
        </w:r>
        <w:r w:rsidR="000F722A">
          <w:rPr>
            <w:noProof/>
            <w:webHidden/>
          </w:rPr>
          <w:t>17</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489" w:history="1">
        <w:r w:rsidR="00DA27BA" w:rsidRPr="00FB4889">
          <w:rPr>
            <w:rStyle w:val="Hyperlink"/>
            <w:noProof/>
          </w:rPr>
          <w:t>1.2. Summary of the Requirements for Periodic Progress Reports</w:t>
        </w:r>
        <w:r w:rsidR="00DA27BA">
          <w:rPr>
            <w:noProof/>
            <w:webHidden/>
          </w:rPr>
          <w:tab/>
        </w:r>
        <w:r w:rsidR="00DA27BA">
          <w:rPr>
            <w:noProof/>
            <w:webHidden/>
          </w:rPr>
          <w:fldChar w:fldCharType="begin"/>
        </w:r>
        <w:r w:rsidR="00DA27BA">
          <w:rPr>
            <w:noProof/>
            <w:webHidden/>
          </w:rPr>
          <w:instrText xml:space="preserve"> PAGEREF _Toc373843489 \h </w:instrText>
        </w:r>
        <w:r w:rsidR="00DA27BA">
          <w:rPr>
            <w:noProof/>
            <w:webHidden/>
          </w:rPr>
        </w:r>
        <w:r w:rsidR="00DA27BA">
          <w:rPr>
            <w:noProof/>
            <w:webHidden/>
          </w:rPr>
          <w:fldChar w:fldCharType="separate"/>
        </w:r>
        <w:r w:rsidR="000F722A">
          <w:rPr>
            <w:noProof/>
            <w:webHidden/>
          </w:rPr>
          <w:t>19</w:t>
        </w:r>
        <w:r w:rsidR="00DA27BA">
          <w:rPr>
            <w:noProof/>
            <w:webHidden/>
          </w:rPr>
          <w:fldChar w:fldCharType="end"/>
        </w:r>
      </w:hyperlink>
    </w:p>
    <w:p w:rsidR="00DA27BA" w:rsidRDefault="00CC55EF">
      <w:pPr>
        <w:pStyle w:val="TOC4"/>
        <w:tabs>
          <w:tab w:val="right" w:leader="dot" w:pos="9350"/>
        </w:tabs>
        <w:rPr>
          <w:rFonts w:asciiTheme="minorHAnsi" w:eastAsiaTheme="minorEastAsia" w:hAnsiTheme="minorHAnsi" w:cstheme="minorBidi"/>
          <w:noProof/>
        </w:rPr>
      </w:pPr>
      <w:hyperlink w:anchor="_Toc373843490" w:history="1">
        <w:r w:rsidR="00DA27BA" w:rsidRPr="00FB4889">
          <w:rPr>
            <w:rStyle w:val="Hyperlink"/>
            <w:rFonts w:cs="Arial"/>
            <w:noProof/>
          </w:rPr>
          <w:t>1.2.1. General and Procedural Requirements</w:t>
        </w:r>
        <w:r w:rsidR="00DA27BA">
          <w:rPr>
            <w:noProof/>
            <w:webHidden/>
          </w:rPr>
          <w:tab/>
        </w:r>
        <w:r w:rsidR="00DA27BA">
          <w:rPr>
            <w:noProof/>
            <w:webHidden/>
          </w:rPr>
          <w:fldChar w:fldCharType="begin"/>
        </w:r>
        <w:r w:rsidR="00DA27BA">
          <w:rPr>
            <w:noProof/>
            <w:webHidden/>
          </w:rPr>
          <w:instrText xml:space="preserve"> PAGEREF _Toc373843490 \h </w:instrText>
        </w:r>
        <w:r w:rsidR="00DA27BA">
          <w:rPr>
            <w:noProof/>
            <w:webHidden/>
          </w:rPr>
        </w:r>
        <w:r w:rsidR="00DA27BA">
          <w:rPr>
            <w:noProof/>
            <w:webHidden/>
          </w:rPr>
          <w:fldChar w:fldCharType="separate"/>
        </w:r>
        <w:r w:rsidR="000F722A">
          <w:rPr>
            <w:noProof/>
            <w:webHidden/>
          </w:rPr>
          <w:t>19</w:t>
        </w:r>
        <w:r w:rsidR="00DA27BA">
          <w:rPr>
            <w:noProof/>
            <w:webHidden/>
          </w:rPr>
          <w:fldChar w:fldCharType="end"/>
        </w:r>
      </w:hyperlink>
    </w:p>
    <w:p w:rsidR="00DA27BA" w:rsidRDefault="00CC55EF">
      <w:pPr>
        <w:pStyle w:val="TOC4"/>
        <w:tabs>
          <w:tab w:val="right" w:leader="dot" w:pos="9350"/>
        </w:tabs>
        <w:rPr>
          <w:rFonts w:asciiTheme="minorHAnsi" w:eastAsiaTheme="minorEastAsia" w:hAnsiTheme="minorHAnsi" w:cstheme="minorBidi"/>
          <w:noProof/>
        </w:rPr>
      </w:pPr>
      <w:hyperlink w:anchor="_Toc373843491" w:history="1">
        <w:r w:rsidR="00DA27BA" w:rsidRPr="00FB4889">
          <w:rPr>
            <w:rStyle w:val="Hyperlink"/>
            <w:noProof/>
          </w:rPr>
          <w:t>1.2.2. Required Elements of the Progress Report SIP</w:t>
        </w:r>
        <w:r w:rsidR="00DA27BA">
          <w:rPr>
            <w:noProof/>
            <w:webHidden/>
          </w:rPr>
          <w:tab/>
        </w:r>
        <w:r w:rsidR="00DA27BA">
          <w:rPr>
            <w:noProof/>
            <w:webHidden/>
          </w:rPr>
          <w:fldChar w:fldCharType="begin"/>
        </w:r>
        <w:r w:rsidR="00DA27BA">
          <w:rPr>
            <w:noProof/>
            <w:webHidden/>
          </w:rPr>
          <w:instrText xml:space="preserve"> PAGEREF _Toc373843491 \h </w:instrText>
        </w:r>
        <w:r w:rsidR="00DA27BA">
          <w:rPr>
            <w:noProof/>
            <w:webHidden/>
          </w:rPr>
        </w:r>
        <w:r w:rsidR="00DA27BA">
          <w:rPr>
            <w:noProof/>
            <w:webHidden/>
          </w:rPr>
          <w:fldChar w:fldCharType="separate"/>
        </w:r>
        <w:r w:rsidR="000F722A">
          <w:rPr>
            <w:noProof/>
            <w:webHidden/>
          </w:rPr>
          <w:t>20</w:t>
        </w:r>
        <w:r w:rsidR="00DA27BA">
          <w:rPr>
            <w:noProof/>
            <w:webHidden/>
          </w:rPr>
          <w:fldChar w:fldCharType="end"/>
        </w:r>
      </w:hyperlink>
    </w:p>
    <w:p w:rsidR="00DA27BA" w:rsidRDefault="00CC55EF">
      <w:pPr>
        <w:pStyle w:val="TOC4"/>
        <w:tabs>
          <w:tab w:val="right" w:leader="dot" w:pos="9350"/>
        </w:tabs>
        <w:rPr>
          <w:rFonts w:asciiTheme="minorHAnsi" w:eastAsiaTheme="minorEastAsia" w:hAnsiTheme="minorHAnsi" w:cstheme="minorBidi"/>
          <w:noProof/>
        </w:rPr>
      </w:pPr>
      <w:hyperlink w:anchor="_Toc373843492" w:history="1">
        <w:r w:rsidR="00DA27BA" w:rsidRPr="00FB4889">
          <w:rPr>
            <w:rStyle w:val="Hyperlink"/>
            <w:noProof/>
          </w:rPr>
          <w:t>1.2.3. Required State Actions</w:t>
        </w:r>
        <w:r w:rsidR="00DA27BA">
          <w:rPr>
            <w:noProof/>
            <w:webHidden/>
          </w:rPr>
          <w:tab/>
        </w:r>
        <w:r w:rsidR="00DA27BA">
          <w:rPr>
            <w:noProof/>
            <w:webHidden/>
          </w:rPr>
          <w:fldChar w:fldCharType="begin"/>
        </w:r>
        <w:r w:rsidR="00DA27BA">
          <w:rPr>
            <w:noProof/>
            <w:webHidden/>
          </w:rPr>
          <w:instrText xml:space="preserve"> PAGEREF _Toc373843492 \h </w:instrText>
        </w:r>
        <w:r w:rsidR="00DA27BA">
          <w:rPr>
            <w:noProof/>
            <w:webHidden/>
          </w:rPr>
        </w:r>
        <w:r w:rsidR="00DA27BA">
          <w:rPr>
            <w:noProof/>
            <w:webHidden/>
          </w:rPr>
          <w:fldChar w:fldCharType="separate"/>
        </w:r>
        <w:r w:rsidR="000F722A">
          <w:rPr>
            <w:noProof/>
            <w:webHidden/>
          </w:rPr>
          <w:t>21</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493" w:history="1">
        <w:r w:rsidR="00DA27BA" w:rsidRPr="00FB4889">
          <w:rPr>
            <w:rStyle w:val="Hyperlink"/>
            <w:noProof/>
          </w:rPr>
          <w:t>1.3. MANE-VU Regional Course of Action</w:t>
        </w:r>
        <w:r w:rsidR="00DA27BA">
          <w:rPr>
            <w:noProof/>
            <w:webHidden/>
          </w:rPr>
          <w:tab/>
        </w:r>
        <w:r w:rsidR="00DA27BA">
          <w:rPr>
            <w:noProof/>
            <w:webHidden/>
          </w:rPr>
          <w:fldChar w:fldCharType="begin"/>
        </w:r>
        <w:r w:rsidR="00DA27BA">
          <w:rPr>
            <w:noProof/>
            <w:webHidden/>
          </w:rPr>
          <w:instrText xml:space="preserve"> PAGEREF _Toc373843493 \h </w:instrText>
        </w:r>
        <w:r w:rsidR="00DA27BA">
          <w:rPr>
            <w:noProof/>
            <w:webHidden/>
          </w:rPr>
        </w:r>
        <w:r w:rsidR="00DA27BA">
          <w:rPr>
            <w:noProof/>
            <w:webHidden/>
          </w:rPr>
          <w:fldChar w:fldCharType="separate"/>
        </w:r>
        <w:r w:rsidR="000F722A">
          <w:rPr>
            <w:noProof/>
            <w:webHidden/>
          </w:rPr>
          <w:t>21</w:t>
        </w:r>
        <w:r w:rsidR="00DA27BA">
          <w:rPr>
            <w:noProof/>
            <w:webHidden/>
          </w:rPr>
          <w:fldChar w:fldCharType="end"/>
        </w:r>
      </w:hyperlink>
    </w:p>
    <w:p w:rsidR="00DA27BA" w:rsidRDefault="00CC55EF">
      <w:pPr>
        <w:pStyle w:val="TOC4"/>
        <w:tabs>
          <w:tab w:val="right" w:leader="dot" w:pos="9350"/>
        </w:tabs>
        <w:rPr>
          <w:rFonts w:asciiTheme="minorHAnsi" w:eastAsiaTheme="minorEastAsia" w:hAnsiTheme="minorHAnsi" w:cstheme="minorBidi"/>
          <w:noProof/>
        </w:rPr>
      </w:pPr>
      <w:hyperlink w:anchor="_Toc373843494" w:history="1">
        <w:r w:rsidR="00DA27BA" w:rsidRPr="00FB4889">
          <w:rPr>
            <w:rStyle w:val="Hyperlink"/>
            <w:noProof/>
          </w:rPr>
          <w:t>1.3.1. Requested Action within MANE-VU</w:t>
        </w:r>
        <w:r w:rsidR="00DA27BA">
          <w:rPr>
            <w:noProof/>
            <w:webHidden/>
          </w:rPr>
          <w:tab/>
        </w:r>
        <w:r w:rsidR="00DA27BA">
          <w:rPr>
            <w:noProof/>
            <w:webHidden/>
          </w:rPr>
          <w:fldChar w:fldCharType="begin"/>
        </w:r>
        <w:r w:rsidR="00DA27BA">
          <w:rPr>
            <w:noProof/>
            <w:webHidden/>
          </w:rPr>
          <w:instrText xml:space="preserve"> PAGEREF _Toc373843494 \h </w:instrText>
        </w:r>
        <w:r w:rsidR="00DA27BA">
          <w:rPr>
            <w:noProof/>
            <w:webHidden/>
          </w:rPr>
        </w:r>
        <w:r w:rsidR="00DA27BA">
          <w:rPr>
            <w:noProof/>
            <w:webHidden/>
          </w:rPr>
          <w:fldChar w:fldCharType="separate"/>
        </w:r>
        <w:r w:rsidR="000F722A">
          <w:rPr>
            <w:noProof/>
            <w:webHidden/>
          </w:rPr>
          <w:t>22</w:t>
        </w:r>
        <w:r w:rsidR="00DA27BA">
          <w:rPr>
            <w:noProof/>
            <w:webHidden/>
          </w:rPr>
          <w:fldChar w:fldCharType="end"/>
        </w:r>
      </w:hyperlink>
    </w:p>
    <w:p w:rsidR="00DA27BA" w:rsidRDefault="00CC55EF">
      <w:pPr>
        <w:pStyle w:val="TOC4"/>
        <w:tabs>
          <w:tab w:val="right" w:leader="dot" w:pos="9350"/>
        </w:tabs>
        <w:rPr>
          <w:rFonts w:asciiTheme="minorHAnsi" w:eastAsiaTheme="minorEastAsia" w:hAnsiTheme="minorHAnsi" w:cstheme="minorBidi"/>
          <w:noProof/>
        </w:rPr>
      </w:pPr>
      <w:hyperlink w:anchor="_Toc373843495" w:history="1">
        <w:r w:rsidR="00DA27BA" w:rsidRPr="00FB4889">
          <w:rPr>
            <w:rStyle w:val="Hyperlink"/>
            <w:noProof/>
          </w:rPr>
          <w:t>1.3.2. Requested Action outside MANE-VU</w:t>
        </w:r>
        <w:r w:rsidR="00DA27BA">
          <w:rPr>
            <w:noProof/>
            <w:webHidden/>
          </w:rPr>
          <w:tab/>
        </w:r>
        <w:r w:rsidR="00DA27BA">
          <w:rPr>
            <w:noProof/>
            <w:webHidden/>
          </w:rPr>
          <w:fldChar w:fldCharType="begin"/>
        </w:r>
        <w:r w:rsidR="00DA27BA">
          <w:rPr>
            <w:noProof/>
            <w:webHidden/>
          </w:rPr>
          <w:instrText xml:space="preserve"> PAGEREF _Toc373843495 \h </w:instrText>
        </w:r>
        <w:r w:rsidR="00DA27BA">
          <w:rPr>
            <w:noProof/>
            <w:webHidden/>
          </w:rPr>
        </w:r>
        <w:r w:rsidR="00DA27BA">
          <w:rPr>
            <w:noProof/>
            <w:webHidden/>
          </w:rPr>
          <w:fldChar w:fldCharType="separate"/>
        </w:r>
        <w:r w:rsidR="000F722A">
          <w:rPr>
            <w:noProof/>
            <w:webHidden/>
          </w:rPr>
          <w:t>22</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496" w:history="1">
        <w:r w:rsidR="00DA27BA" w:rsidRPr="00FB4889">
          <w:rPr>
            <w:rStyle w:val="Hyperlink"/>
            <w:noProof/>
          </w:rPr>
          <w:t>Section 2:  Changes in Visibility for each Mandatory Federal Class I Area in and near MANE-VU</w:t>
        </w:r>
        <w:r w:rsidR="00DA27BA">
          <w:rPr>
            <w:noProof/>
            <w:webHidden/>
          </w:rPr>
          <w:tab/>
        </w:r>
        <w:r w:rsidR="00DA27BA">
          <w:rPr>
            <w:noProof/>
            <w:webHidden/>
          </w:rPr>
          <w:fldChar w:fldCharType="begin"/>
        </w:r>
        <w:r w:rsidR="00DA27BA">
          <w:rPr>
            <w:noProof/>
            <w:webHidden/>
          </w:rPr>
          <w:instrText xml:space="preserve"> PAGEREF _Toc373843496 \h </w:instrText>
        </w:r>
        <w:r w:rsidR="00DA27BA">
          <w:rPr>
            <w:noProof/>
            <w:webHidden/>
          </w:rPr>
        </w:r>
        <w:r w:rsidR="00DA27BA">
          <w:rPr>
            <w:noProof/>
            <w:webHidden/>
          </w:rPr>
          <w:fldChar w:fldCharType="separate"/>
        </w:r>
        <w:r w:rsidR="000F722A">
          <w:rPr>
            <w:noProof/>
            <w:webHidden/>
          </w:rPr>
          <w:t>25</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497" w:history="1">
        <w:r w:rsidR="00DA27BA" w:rsidRPr="00FB4889">
          <w:rPr>
            <w:rStyle w:val="Hyperlink"/>
            <w:noProof/>
          </w:rPr>
          <w:t>2.1. Reasonable Progress Goals</w:t>
        </w:r>
        <w:r w:rsidR="00DA27BA">
          <w:rPr>
            <w:noProof/>
            <w:webHidden/>
          </w:rPr>
          <w:tab/>
        </w:r>
        <w:r w:rsidR="00DA27BA">
          <w:rPr>
            <w:noProof/>
            <w:webHidden/>
          </w:rPr>
          <w:fldChar w:fldCharType="begin"/>
        </w:r>
        <w:r w:rsidR="00DA27BA">
          <w:rPr>
            <w:noProof/>
            <w:webHidden/>
          </w:rPr>
          <w:instrText xml:space="preserve"> PAGEREF _Toc373843497 \h </w:instrText>
        </w:r>
        <w:r w:rsidR="00DA27BA">
          <w:rPr>
            <w:noProof/>
            <w:webHidden/>
          </w:rPr>
        </w:r>
        <w:r w:rsidR="00DA27BA">
          <w:rPr>
            <w:noProof/>
            <w:webHidden/>
          </w:rPr>
          <w:fldChar w:fldCharType="separate"/>
        </w:r>
        <w:r w:rsidR="000F722A">
          <w:rPr>
            <w:noProof/>
            <w:webHidden/>
          </w:rPr>
          <w:t>25</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498" w:history="1">
        <w:r w:rsidR="00DA27BA" w:rsidRPr="00FB4889">
          <w:rPr>
            <w:rStyle w:val="Hyperlink"/>
            <w:noProof/>
          </w:rPr>
          <w:t>2.2. Requirements to Track Changes in Visibility</w:t>
        </w:r>
        <w:r w:rsidR="00DA27BA">
          <w:rPr>
            <w:noProof/>
            <w:webHidden/>
          </w:rPr>
          <w:tab/>
        </w:r>
        <w:r w:rsidR="00DA27BA">
          <w:rPr>
            <w:noProof/>
            <w:webHidden/>
          </w:rPr>
          <w:fldChar w:fldCharType="begin"/>
        </w:r>
        <w:r w:rsidR="00DA27BA">
          <w:rPr>
            <w:noProof/>
            <w:webHidden/>
          </w:rPr>
          <w:instrText xml:space="preserve"> PAGEREF _Toc373843498 \h </w:instrText>
        </w:r>
        <w:r w:rsidR="00DA27BA">
          <w:rPr>
            <w:noProof/>
            <w:webHidden/>
          </w:rPr>
        </w:r>
        <w:r w:rsidR="00DA27BA">
          <w:rPr>
            <w:noProof/>
            <w:webHidden/>
          </w:rPr>
          <w:fldChar w:fldCharType="separate"/>
        </w:r>
        <w:r w:rsidR="000F722A">
          <w:rPr>
            <w:noProof/>
            <w:webHidden/>
          </w:rPr>
          <w:t>26</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499" w:history="1">
        <w:r w:rsidR="00DA27BA" w:rsidRPr="00FB4889">
          <w:rPr>
            <w:rStyle w:val="Hyperlink"/>
            <w:noProof/>
          </w:rPr>
          <w:t>2.3. Review of Recent Improve Data</w:t>
        </w:r>
        <w:r w:rsidR="00DA27BA">
          <w:rPr>
            <w:noProof/>
            <w:webHidden/>
          </w:rPr>
          <w:tab/>
        </w:r>
        <w:r w:rsidR="00DA27BA">
          <w:rPr>
            <w:noProof/>
            <w:webHidden/>
          </w:rPr>
          <w:fldChar w:fldCharType="begin"/>
        </w:r>
        <w:r w:rsidR="00DA27BA">
          <w:rPr>
            <w:noProof/>
            <w:webHidden/>
          </w:rPr>
          <w:instrText xml:space="preserve"> PAGEREF _Toc373843499 \h </w:instrText>
        </w:r>
        <w:r w:rsidR="00DA27BA">
          <w:rPr>
            <w:noProof/>
            <w:webHidden/>
          </w:rPr>
        </w:r>
        <w:r w:rsidR="00DA27BA">
          <w:rPr>
            <w:noProof/>
            <w:webHidden/>
          </w:rPr>
          <w:fldChar w:fldCharType="separate"/>
        </w:r>
        <w:r w:rsidR="000F722A">
          <w:rPr>
            <w:noProof/>
            <w:webHidden/>
          </w:rPr>
          <w:t>27</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00" w:history="1">
        <w:r w:rsidR="00DA27BA" w:rsidRPr="00FB4889">
          <w:rPr>
            <w:rStyle w:val="Hyperlink"/>
            <w:noProof/>
          </w:rPr>
          <w:t>2.4. Tracking Visibility Progress – National Evaluation</w:t>
        </w:r>
        <w:r w:rsidR="00DA27BA">
          <w:rPr>
            <w:noProof/>
            <w:webHidden/>
          </w:rPr>
          <w:tab/>
        </w:r>
        <w:r w:rsidR="00DA27BA">
          <w:rPr>
            <w:noProof/>
            <w:webHidden/>
          </w:rPr>
          <w:fldChar w:fldCharType="begin"/>
        </w:r>
        <w:r w:rsidR="00DA27BA">
          <w:rPr>
            <w:noProof/>
            <w:webHidden/>
          </w:rPr>
          <w:instrText xml:space="preserve"> PAGEREF _Toc373843500 \h </w:instrText>
        </w:r>
        <w:r w:rsidR="00DA27BA">
          <w:rPr>
            <w:noProof/>
            <w:webHidden/>
          </w:rPr>
        </w:r>
        <w:r w:rsidR="00DA27BA">
          <w:rPr>
            <w:noProof/>
            <w:webHidden/>
          </w:rPr>
          <w:fldChar w:fldCharType="separate"/>
        </w:r>
        <w:r w:rsidR="000F722A">
          <w:rPr>
            <w:noProof/>
            <w:webHidden/>
          </w:rPr>
          <w:t>33</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501" w:history="1">
        <w:r w:rsidR="00DA27BA" w:rsidRPr="00FB4889">
          <w:rPr>
            <w:rStyle w:val="Hyperlink"/>
            <w:noProof/>
          </w:rPr>
          <w:t>Section 3:  Status of BART Measures in the Regional Haze SIP</w:t>
        </w:r>
        <w:r w:rsidR="00DA27BA">
          <w:rPr>
            <w:noProof/>
            <w:webHidden/>
          </w:rPr>
          <w:tab/>
        </w:r>
        <w:r w:rsidR="00DA27BA">
          <w:rPr>
            <w:noProof/>
            <w:webHidden/>
          </w:rPr>
          <w:fldChar w:fldCharType="begin"/>
        </w:r>
        <w:r w:rsidR="00DA27BA">
          <w:rPr>
            <w:noProof/>
            <w:webHidden/>
          </w:rPr>
          <w:instrText xml:space="preserve"> PAGEREF _Toc373843501 \h </w:instrText>
        </w:r>
        <w:r w:rsidR="00DA27BA">
          <w:rPr>
            <w:noProof/>
            <w:webHidden/>
          </w:rPr>
        </w:r>
        <w:r w:rsidR="00DA27BA">
          <w:rPr>
            <w:noProof/>
            <w:webHidden/>
          </w:rPr>
          <w:fldChar w:fldCharType="separate"/>
        </w:r>
        <w:r w:rsidR="000F722A">
          <w:rPr>
            <w:noProof/>
            <w:webHidden/>
          </w:rPr>
          <w:t>37</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02" w:history="1">
        <w:r w:rsidR="00DA27BA" w:rsidRPr="00FB4889">
          <w:rPr>
            <w:rStyle w:val="Hyperlink"/>
            <w:noProof/>
          </w:rPr>
          <w:t>3.1. Requirement to Track BART Implementation</w:t>
        </w:r>
        <w:r w:rsidR="00DA27BA">
          <w:rPr>
            <w:noProof/>
            <w:webHidden/>
          </w:rPr>
          <w:tab/>
        </w:r>
        <w:r w:rsidR="00DA27BA">
          <w:rPr>
            <w:noProof/>
            <w:webHidden/>
          </w:rPr>
          <w:fldChar w:fldCharType="begin"/>
        </w:r>
        <w:r w:rsidR="00DA27BA">
          <w:rPr>
            <w:noProof/>
            <w:webHidden/>
          </w:rPr>
          <w:instrText xml:space="preserve"> PAGEREF _Toc373843502 \h </w:instrText>
        </w:r>
        <w:r w:rsidR="00DA27BA">
          <w:rPr>
            <w:noProof/>
            <w:webHidden/>
          </w:rPr>
        </w:r>
        <w:r w:rsidR="00DA27BA">
          <w:rPr>
            <w:noProof/>
            <w:webHidden/>
          </w:rPr>
          <w:fldChar w:fldCharType="separate"/>
        </w:r>
        <w:r w:rsidR="000F722A">
          <w:rPr>
            <w:noProof/>
            <w:webHidden/>
          </w:rPr>
          <w:t>37</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03" w:history="1">
        <w:r w:rsidR="00DA27BA" w:rsidRPr="00FB4889">
          <w:rPr>
            <w:rStyle w:val="Hyperlink"/>
            <w:noProof/>
          </w:rPr>
          <w:t>3.2. Status of BART Measures</w:t>
        </w:r>
        <w:r w:rsidR="00DA27BA">
          <w:rPr>
            <w:noProof/>
            <w:webHidden/>
          </w:rPr>
          <w:tab/>
        </w:r>
        <w:r w:rsidR="00DA27BA">
          <w:rPr>
            <w:noProof/>
            <w:webHidden/>
          </w:rPr>
          <w:fldChar w:fldCharType="begin"/>
        </w:r>
        <w:r w:rsidR="00DA27BA">
          <w:rPr>
            <w:noProof/>
            <w:webHidden/>
          </w:rPr>
          <w:instrText xml:space="preserve"> PAGEREF _Toc373843503 \h </w:instrText>
        </w:r>
        <w:r w:rsidR="00DA27BA">
          <w:rPr>
            <w:noProof/>
            <w:webHidden/>
          </w:rPr>
        </w:r>
        <w:r w:rsidR="00DA27BA">
          <w:rPr>
            <w:noProof/>
            <w:webHidden/>
          </w:rPr>
          <w:fldChar w:fldCharType="separate"/>
        </w:r>
        <w:r w:rsidR="000F722A">
          <w:rPr>
            <w:noProof/>
            <w:webHidden/>
          </w:rPr>
          <w:t>37</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504" w:history="1">
        <w:r w:rsidR="00DA27BA" w:rsidRPr="00FB4889">
          <w:rPr>
            <w:rStyle w:val="Hyperlink"/>
            <w:noProof/>
          </w:rPr>
          <w:t>Section 4:  Status of EGU Controls including Controls at 167 Key Sources</w:t>
        </w:r>
        <w:r w:rsidR="00DA27BA">
          <w:rPr>
            <w:noProof/>
            <w:webHidden/>
          </w:rPr>
          <w:tab/>
        </w:r>
        <w:r w:rsidR="00DA27BA">
          <w:rPr>
            <w:noProof/>
            <w:webHidden/>
          </w:rPr>
          <w:fldChar w:fldCharType="begin"/>
        </w:r>
        <w:r w:rsidR="00DA27BA">
          <w:rPr>
            <w:noProof/>
            <w:webHidden/>
          </w:rPr>
          <w:instrText xml:space="preserve"> PAGEREF _Toc373843504 \h </w:instrText>
        </w:r>
        <w:r w:rsidR="00DA27BA">
          <w:rPr>
            <w:noProof/>
            <w:webHidden/>
          </w:rPr>
        </w:r>
        <w:r w:rsidR="00DA27BA">
          <w:rPr>
            <w:noProof/>
            <w:webHidden/>
          </w:rPr>
          <w:fldChar w:fldCharType="separate"/>
        </w:r>
        <w:r w:rsidR="000F722A">
          <w:rPr>
            <w:noProof/>
            <w:webHidden/>
          </w:rPr>
          <w:t>39</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05" w:history="1">
        <w:r w:rsidR="00DA27BA" w:rsidRPr="00FB4889">
          <w:rPr>
            <w:rStyle w:val="Hyperlink"/>
            <w:noProof/>
          </w:rPr>
          <w:t>4.1. Requirement to Track Implementation of EGU Control Measures</w:t>
        </w:r>
        <w:r w:rsidR="00DA27BA">
          <w:rPr>
            <w:noProof/>
            <w:webHidden/>
          </w:rPr>
          <w:tab/>
        </w:r>
        <w:r w:rsidR="00DA27BA">
          <w:rPr>
            <w:noProof/>
            <w:webHidden/>
          </w:rPr>
          <w:fldChar w:fldCharType="begin"/>
        </w:r>
        <w:r w:rsidR="00DA27BA">
          <w:rPr>
            <w:noProof/>
            <w:webHidden/>
          </w:rPr>
          <w:instrText xml:space="preserve"> PAGEREF _Toc373843505 \h </w:instrText>
        </w:r>
        <w:r w:rsidR="00DA27BA">
          <w:rPr>
            <w:noProof/>
            <w:webHidden/>
          </w:rPr>
        </w:r>
        <w:r w:rsidR="00DA27BA">
          <w:rPr>
            <w:noProof/>
            <w:webHidden/>
          </w:rPr>
          <w:fldChar w:fldCharType="separate"/>
        </w:r>
        <w:r w:rsidR="000F722A">
          <w:rPr>
            <w:noProof/>
            <w:webHidden/>
          </w:rPr>
          <w:t>39</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06" w:history="1">
        <w:r w:rsidR="00DA27BA" w:rsidRPr="00FB4889">
          <w:rPr>
            <w:rStyle w:val="Hyperlink"/>
            <w:noProof/>
          </w:rPr>
          <w:t>4.2. MANE-VU Focus on Sulfates and EGUs</w:t>
        </w:r>
        <w:r w:rsidR="00DA27BA">
          <w:rPr>
            <w:noProof/>
            <w:webHidden/>
          </w:rPr>
          <w:tab/>
        </w:r>
        <w:r w:rsidR="00DA27BA">
          <w:rPr>
            <w:noProof/>
            <w:webHidden/>
          </w:rPr>
          <w:fldChar w:fldCharType="begin"/>
        </w:r>
        <w:r w:rsidR="00DA27BA">
          <w:rPr>
            <w:noProof/>
            <w:webHidden/>
          </w:rPr>
          <w:instrText xml:space="preserve"> PAGEREF _Toc373843506 \h </w:instrText>
        </w:r>
        <w:r w:rsidR="00DA27BA">
          <w:rPr>
            <w:noProof/>
            <w:webHidden/>
          </w:rPr>
        </w:r>
        <w:r w:rsidR="00DA27BA">
          <w:rPr>
            <w:noProof/>
            <w:webHidden/>
          </w:rPr>
          <w:fldChar w:fldCharType="separate"/>
        </w:r>
        <w:r w:rsidR="000F722A">
          <w:rPr>
            <w:noProof/>
            <w:webHidden/>
          </w:rPr>
          <w:t>39</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07" w:history="1">
        <w:r w:rsidR="00DA27BA" w:rsidRPr="00FB4889">
          <w:rPr>
            <w:rStyle w:val="Hyperlink"/>
            <w:noProof/>
          </w:rPr>
          <w:t>4.3. Status of Implementation of EPA’s Clean Air Interstate Rule and other EGU Controls</w:t>
        </w:r>
        <w:r w:rsidR="00DA27BA">
          <w:rPr>
            <w:noProof/>
            <w:webHidden/>
          </w:rPr>
          <w:tab/>
        </w:r>
        <w:r w:rsidR="00DA27BA">
          <w:rPr>
            <w:noProof/>
            <w:webHidden/>
          </w:rPr>
          <w:fldChar w:fldCharType="begin"/>
        </w:r>
        <w:r w:rsidR="00DA27BA">
          <w:rPr>
            <w:noProof/>
            <w:webHidden/>
          </w:rPr>
          <w:instrText xml:space="preserve"> PAGEREF _Toc373843507 \h </w:instrText>
        </w:r>
        <w:r w:rsidR="00DA27BA">
          <w:rPr>
            <w:noProof/>
            <w:webHidden/>
          </w:rPr>
        </w:r>
        <w:r w:rsidR="00DA27BA">
          <w:rPr>
            <w:noProof/>
            <w:webHidden/>
          </w:rPr>
          <w:fldChar w:fldCharType="separate"/>
        </w:r>
        <w:r w:rsidR="000F722A">
          <w:rPr>
            <w:noProof/>
            <w:webHidden/>
          </w:rPr>
          <w:t>39</w:t>
        </w:r>
        <w:r w:rsidR="00DA27BA">
          <w:rPr>
            <w:noProof/>
            <w:webHidden/>
          </w:rPr>
          <w:fldChar w:fldCharType="end"/>
        </w:r>
      </w:hyperlink>
    </w:p>
    <w:p w:rsidR="00DA27BA" w:rsidRDefault="00CC55EF">
      <w:pPr>
        <w:pStyle w:val="TOC4"/>
        <w:tabs>
          <w:tab w:val="right" w:leader="dot" w:pos="9350"/>
        </w:tabs>
        <w:rPr>
          <w:rFonts w:asciiTheme="minorHAnsi" w:eastAsiaTheme="minorEastAsia" w:hAnsiTheme="minorHAnsi" w:cstheme="minorBidi"/>
          <w:noProof/>
        </w:rPr>
      </w:pPr>
      <w:hyperlink w:anchor="_Toc373843508" w:history="1">
        <w:r w:rsidR="00DA27BA" w:rsidRPr="00FB4889">
          <w:rPr>
            <w:rStyle w:val="Hyperlink"/>
            <w:noProof/>
          </w:rPr>
          <w:t>4.3.1. Clean Air Interstate Rule and Cross State Air Pollution Rule</w:t>
        </w:r>
        <w:r w:rsidR="00DA27BA">
          <w:rPr>
            <w:noProof/>
            <w:webHidden/>
          </w:rPr>
          <w:tab/>
        </w:r>
        <w:r w:rsidR="00DA27BA">
          <w:rPr>
            <w:noProof/>
            <w:webHidden/>
          </w:rPr>
          <w:fldChar w:fldCharType="begin"/>
        </w:r>
        <w:r w:rsidR="00DA27BA">
          <w:rPr>
            <w:noProof/>
            <w:webHidden/>
          </w:rPr>
          <w:instrText xml:space="preserve"> PAGEREF _Toc373843508 \h </w:instrText>
        </w:r>
        <w:r w:rsidR="00DA27BA">
          <w:rPr>
            <w:noProof/>
            <w:webHidden/>
          </w:rPr>
        </w:r>
        <w:r w:rsidR="00DA27BA">
          <w:rPr>
            <w:noProof/>
            <w:webHidden/>
          </w:rPr>
          <w:fldChar w:fldCharType="separate"/>
        </w:r>
        <w:r w:rsidR="000F722A">
          <w:rPr>
            <w:noProof/>
            <w:webHidden/>
          </w:rPr>
          <w:t>40</w:t>
        </w:r>
        <w:r w:rsidR="00DA27BA">
          <w:rPr>
            <w:noProof/>
            <w:webHidden/>
          </w:rPr>
          <w:fldChar w:fldCharType="end"/>
        </w:r>
      </w:hyperlink>
    </w:p>
    <w:p w:rsidR="00DA27BA" w:rsidRDefault="00CC55EF">
      <w:pPr>
        <w:pStyle w:val="TOC4"/>
        <w:tabs>
          <w:tab w:val="right" w:leader="dot" w:pos="9350"/>
        </w:tabs>
        <w:rPr>
          <w:rFonts w:asciiTheme="minorHAnsi" w:eastAsiaTheme="minorEastAsia" w:hAnsiTheme="minorHAnsi" w:cstheme="minorBidi"/>
          <w:noProof/>
        </w:rPr>
      </w:pPr>
      <w:hyperlink w:anchor="_Toc373843509" w:history="1">
        <w:r w:rsidR="00DA27BA" w:rsidRPr="00FB4889">
          <w:rPr>
            <w:rStyle w:val="Hyperlink"/>
            <w:noProof/>
          </w:rPr>
          <w:t>4.3.2. EGU Control Measure</w:t>
        </w:r>
        <w:r w:rsidR="00DA27BA" w:rsidRPr="00B75F4F">
          <w:rPr>
            <w:rStyle w:val="Hyperlink"/>
            <w:noProof/>
          </w:rPr>
          <w:t>s &lt;in MANE-VU or in the State&gt; other th</w:t>
        </w:r>
        <w:r w:rsidR="00DA27BA" w:rsidRPr="00FB4889">
          <w:rPr>
            <w:rStyle w:val="Hyperlink"/>
            <w:noProof/>
          </w:rPr>
          <w:t>an CAIR</w:t>
        </w:r>
        <w:r w:rsidR="00DA27BA">
          <w:rPr>
            <w:noProof/>
            <w:webHidden/>
          </w:rPr>
          <w:tab/>
        </w:r>
        <w:r w:rsidR="00DA27BA">
          <w:rPr>
            <w:noProof/>
            <w:webHidden/>
          </w:rPr>
          <w:fldChar w:fldCharType="begin"/>
        </w:r>
        <w:r w:rsidR="00DA27BA">
          <w:rPr>
            <w:noProof/>
            <w:webHidden/>
          </w:rPr>
          <w:instrText xml:space="preserve"> PAGEREF _Toc373843509 \h </w:instrText>
        </w:r>
        <w:r w:rsidR="00DA27BA">
          <w:rPr>
            <w:noProof/>
            <w:webHidden/>
          </w:rPr>
        </w:r>
        <w:r w:rsidR="00DA27BA">
          <w:rPr>
            <w:noProof/>
            <w:webHidden/>
          </w:rPr>
          <w:fldChar w:fldCharType="separate"/>
        </w:r>
        <w:r w:rsidR="000F722A">
          <w:rPr>
            <w:noProof/>
            <w:webHidden/>
          </w:rPr>
          <w:t>40</w:t>
        </w:r>
        <w:r w:rsidR="00DA27BA">
          <w:rPr>
            <w:noProof/>
            <w:webHidden/>
          </w:rPr>
          <w:fldChar w:fldCharType="end"/>
        </w:r>
      </w:hyperlink>
    </w:p>
    <w:p w:rsidR="00DA27BA" w:rsidRDefault="00CC55EF">
      <w:pPr>
        <w:pStyle w:val="TOC4"/>
        <w:tabs>
          <w:tab w:val="right" w:leader="dot" w:pos="9350"/>
        </w:tabs>
        <w:rPr>
          <w:rFonts w:asciiTheme="minorHAnsi" w:eastAsiaTheme="minorEastAsia" w:hAnsiTheme="minorHAnsi" w:cstheme="minorBidi"/>
          <w:noProof/>
        </w:rPr>
      </w:pPr>
      <w:hyperlink w:anchor="_Toc373843510" w:history="1">
        <w:r w:rsidR="00DA27BA" w:rsidRPr="00FB4889">
          <w:rPr>
            <w:rStyle w:val="Hyperlink"/>
            <w:noProof/>
          </w:rPr>
          <w:t>4.3.3. Specific EGU Estimates and Reductions</w:t>
        </w:r>
        <w:r w:rsidR="00DA27BA">
          <w:rPr>
            <w:noProof/>
            <w:webHidden/>
          </w:rPr>
          <w:tab/>
        </w:r>
        <w:r w:rsidR="00DA27BA">
          <w:rPr>
            <w:noProof/>
            <w:webHidden/>
          </w:rPr>
          <w:fldChar w:fldCharType="begin"/>
        </w:r>
        <w:r w:rsidR="00DA27BA">
          <w:rPr>
            <w:noProof/>
            <w:webHidden/>
          </w:rPr>
          <w:instrText xml:space="preserve"> PAGEREF _Toc373843510 \h </w:instrText>
        </w:r>
        <w:r w:rsidR="00DA27BA">
          <w:rPr>
            <w:noProof/>
            <w:webHidden/>
          </w:rPr>
        </w:r>
        <w:r w:rsidR="00DA27BA">
          <w:rPr>
            <w:noProof/>
            <w:webHidden/>
          </w:rPr>
          <w:fldChar w:fldCharType="separate"/>
        </w:r>
        <w:r w:rsidR="000F722A">
          <w:rPr>
            <w:noProof/>
            <w:webHidden/>
          </w:rPr>
          <w:t>43</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11" w:history="1">
        <w:r w:rsidR="00DA27BA" w:rsidRPr="00FB4889">
          <w:rPr>
            <w:rStyle w:val="Hyperlink"/>
            <w:noProof/>
          </w:rPr>
          <w:t>4.4. Status of Controls at 167 EGU Sources</w:t>
        </w:r>
        <w:r w:rsidR="00DA27BA">
          <w:rPr>
            <w:noProof/>
            <w:webHidden/>
          </w:rPr>
          <w:tab/>
        </w:r>
        <w:r w:rsidR="00DA27BA">
          <w:rPr>
            <w:noProof/>
            <w:webHidden/>
          </w:rPr>
          <w:fldChar w:fldCharType="begin"/>
        </w:r>
        <w:r w:rsidR="00DA27BA">
          <w:rPr>
            <w:noProof/>
            <w:webHidden/>
          </w:rPr>
          <w:instrText xml:space="preserve"> PAGEREF _Toc373843511 \h </w:instrText>
        </w:r>
        <w:r w:rsidR="00DA27BA">
          <w:rPr>
            <w:noProof/>
            <w:webHidden/>
          </w:rPr>
        </w:r>
        <w:r w:rsidR="00DA27BA">
          <w:rPr>
            <w:noProof/>
            <w:webHidden/>
          </w:rPr>
          <w:fldChar w:fldCharType="separate"/>
        </w:r>
        <w:r w:rsidR="000F722A">
          <w:rPr>
            <w:noProof/>
            <w:webHidden/>
          </w:rPr>
          <w:t>43</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512" w:history="1">
        <w:r w:rsidR="00DA27BA" w:rsidRPr="00FB4889">
          <w:rPr>
            <w:rStyle w:val="Hyperlink"/>
            <w:noProof/>
          </w:rPr>
          <w:t>Section 5:  Status of Additional Measures in the Regional Haze SIP</w:t>
        </w:r>
        <w:r w:rsidR="00DA27BA">
          <w:rPr>
            <w:noProof/>
            <w:webHidden/>
          </w:rPr>
          <w:tab/>
        </w:r>
        <w:r w:rsidR="00DA27BA">
          <w:rPr>
            <w:noProof/>
            <w:webHidden/>
          </w:rPr>
          <w:fldChar w:fldCharType="begin"/>
        </w:r>
        <w:r w:rsidR="00DA27BA">
          <w:rPr>
            <w:noProof/>
            <w:webHidden/>
          </w:rPr>
          <w:instrText xml:space="preserve"> PAGEREF _Toc373843512 \h </w:instrText>
        </w:r>
        <w:r w:rsidR="00DA27BA">
          <w:rPr>
            <w:noProof/>
            <w:webHidden/>
          </w:rPr>
        </w:r>
        <w:r w:rsidR="00DA27BA">
          <w:rPr>
            <w:noProof/>
            <w:webHidden/>
          </w:rPr>
          <w:fldChar w:fldCharType="separate"/>
        </w:r>
        <w:r w:rsidR="000F722A">
          <w:rPr>
            <w:noProof/>
            <w:webHidden/>
          </w:rPr>
          <w:t>47</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13" w:history="1">
        <w:r w:rsidR="00DA27BA" w:rsidRPr="00FB4889">
          <w:rPr>
            <w:rStyle w:val="Hyperlink"/>
            <w:noProof/>
          </w:rPr>
          <w:t>5.1. Requirement to Track Implementation of Other Control Measures</w:t>
        </w:r>
        <w:r w:rsidR="00DA27BA">
          <w:rPr>
            <w:noProof/>
            <w:webHidden/>
          </w:rPr>
          <w:tab/>
        </w:r>
        <w:r w:rsidR="00DA27BA">
          <w:rPr>
            <w:noProof/>
            <w:webHidden/>
          </w:rPr>
          <w:fldChar w:fldCharType="begin"/>
        </w:r>
        <w:r w:rsidR="00DA27BA">
          <w:rPr>
            <w:noProof/>
            <w:webHidden/>
          </w:rPr>
          <w:instrText xml:space="preserve"> PAGEREF _Toc373843513 \h </w:instrText>
        </w:r>
        <w:r w:rsidR="00DA27BA">
          <w:rPr>
            <w:noProof/>
            <w:webHidden/>
          </w:rPr>
        </w:r>
        <w:r w:rsidR="00DA27BA">
          <w:rPr>
            <w:noProof/>
            <w:webHidden/>
          </w:rPr>
          <w:fldChar w:fldCharType="separate"/>
        </w:r>
        <w:r w:rsidR="000F722A">
          <w:rPr>
            <w:noProof/>
            <w:webHidden/>
          </w:rPr>
          <w:t>47</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14" w:history="1">
        <w:r w:rsidR="00DA27BA" w:rsidRPr="00FB4889">
          <w:rPr>
            <w:rStyle w:val="Hyperlink"/>
            <w:noProof/>
          </w:rPr>
          <w:t>5.2. Status of Low Sulfur Oil Strategy</w:t>
        </w:r>
        <w:r w:rsidR="00DA27BA">
          <w:rPr>
            <w:noProof/>
            <w:webHidden/>
          </w:rPr>
          <w:tab/>
        </w:r>
        <w:r w:rsidR="00DA27BA">
          <w:rPr>
            <w:noProof/>
            <w:webHidden/>
          </w:rPr>
          <w:fldChar w:fldCharType="begin"/>
        </w:r>
        <w:r w:rsidR="00DA27BA">
          <w:rPr>
            <w:noProof/>
            <w:webHidden/>
          </w:rPr>
          <w:instrText xml:space="preserve"> PAGEREF _Toc373843514 \h </w:instrText>
        </w:r>
        <w:r w:rsidR="00DA27BA">
          <w:rPr>
            <w:noProof/>
            <w:webHidden/>
          </w:rPr>
        </w:r>
        <w:r w:rsidR="00DA27BA">
          <w:rPr>
            <w:noProof/>
            <w:webHidden/>
          </w:rPr>
          <w:fldChar w:fldCharType="separate"/>
        </w:r>
        <w:r w:rsidR="000F722A">
          <w:rPr>
            <w:noProof/>
            <w:webHidden/>
          </w:rPr>
          <w:t>47</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15" w:history="1">
        <w:r w:rsidR="00DA27BA" w:rsidRPr="00FB4889">
          <w:rPr>
            <w:rStyle w:val="Hyperlink"/>
            <w:noProof/>
          </w:rPr>
          <w:t>5.3. Status of Additional State-Specific Control Measures</w:t>
        </w:r>
        <w:r w:rsidR="00DA27BA">
          <w:rPr>
            <w:noProof/>
            <w:webHidden/>
          </w:rPr>
          <w:tab/>
        </w:r>
        <w:r w:rsidR="00DA27BA">
          <w:rPr>
            <w:noProof/>
            <w:webHidden/>
          </w:rPr>
          <w:fldChar w:fldCharType="begin"/>
        </w:r>
        <w:r w:rsidR="00DA27BA">
          <w:rPr>
            <w:noProof/>
            <w:webHidden/>
          </w:rPr>
          <w:instrText xml:space="preserve"> PAGEREF _Toc373843515 \h </w:instrText>
        </w:r>
        <w:r w:rsidR="00DA27BA">
          <w:rPr>
            <w:noProof/>
            <w:webHidden/>
          </w:rPr>
        </w:r>
        <w:r w:rsidR="00DA27BA">
          <w:rPr>
            <w:noProof/>
            <w:webHidden/>
          </w:rPr>
          <w:fldChar w:fldCharType="separate"/>
        </w:r>
        <w:r w:rsidR="000F722A">
          <w:rPr>
            <w:noProof/>
            <w:webHidden/>
          </w:rPr>
          <w:t>49</w:t>
        </w:r>
        <w:r w:rsidR="00DA27BA">
          <w:rPr>
            <w:noProof/>
            <w:webHidden/>
          </w:rPr>
          <w:fldChar w:fldCharType="end"/>
        </w:r>
      </w:hyperlink>
    </w:p>
    <w:p w:rsidR="00DA27BA" w:rsidRDefault="00CC55EF">
      <w:pPr>
        <w:pStyle w:val="TOC4"/>
        <w:tabs>
          <w:tab w:val="right" w:leader="dot" w:pos="9350"/>
        </w:tabs>
        <w:rPr>
          <w:rFonts w:asciiTheme="minorHAnsi" w:eastAsiaTheme="minorEastAsia" w:hAnsiTheme="minorHAnsi" w:cstheme="minorBidi"/>
          <w:noProof/>
        </w:rPr>
      </w:pPr>
      <w:hyperlink w:anchor="_Toc373843516" w:history="1">
        <w:r w:rsidR="00DA27BA" w:rsidRPr="00FB4889">
          <w:rPr>
            <w:rStyle w:val="Hyperlink"/>
            <w:noProof/>
          </w:rPr>
          <w:t>5.3.1. Agricultural and Forestry Smoke Management</w:t>
        </w:r>
        <w:r w:rsidR="00DA27BA">
          <w:rPr>
            <w:noProof/>
            <w:webHidden/>
          </w:rPr>
          <w:tab/>
        </w:r>
        <w:r w:rsidR="00DA27BA">
          <w:rPr>
            <w:noProof/>
            <w:webHidden/>
          </w:rPr>
          <w:fldChar w:fldCharType="begin"/>
        </w:r>
        <w:r w:rsidR="00DA27BA">
          <w:rPr>
            <w:noProof/>
            <w:webHidden/>
          </w:rPr>
          <w:instrText xml:space="preserve"> PAGEREF _Toc373843516 \h </w:instrText>
        </w:r>
        <w:r w:rsidR="00DA27BA">
          <w:rPr>
            <w:noProof/>
            <w:webHidden/>
          </w:rPr>
        </w:r>
        <w:r w:rsidR="00DA27BA">
          <w:rPr>
            <w:noProof/>
            <w:webHidden/>
          </w:rPr>
          <w:fldChar w:fldCharType="separate"/>
        </w:r>
        <w:r w:rsidR="000F722A">
          <w:rPr>
            <w:noProof/>
            <w:webHidden/>
          </w:rPr>
          <w:t>49</w:t>
        </w:r>
        <w:r w:rsidR="00DA27BA">
          <w:rPr>
            <w:noProof/>
            <w:webHidden/>
          </w:rPr>
          <w:fldChar w:fldCharType="end"/>
        </w:r>
      </w:hyperlink>
    </w:p>
    <w:p w:rsidR="00DA27BA" w:rsidRDefault="00CC55EF">
      <w:pPr>
        <w:pStyle w:val="TOC4"/>
        <w:tabs>
          <w:tab w:val="right" w:leader="dot" w:pos="9350"/>
        </w:tabs>
        <w:rPr>
          <w:rFonts w:asciiTheme="minorHAnsi" w:eastAsiaTheme="minorEastAsia" w:hAnsiTheme="minorHAnsi" w:cstheme="minorBidi"/>
          <w:noProof/>
        </w:rPr>
      </w:pPr>
      <w:hyperlink w:anchor="_Toc373843517" w:history="1">
        <w:r w:rsidR="00DA27BA" w:rsidRPr="00FB4889">
          <w:rPr>
            <w:rStyle w:val="Hyperlink"/>
            <w:noProof/>
          </w:rPr>
          <w:t>5.3.2. Measures to Mitigate Impacts of Construction Activities</w:t>
        </w:r>
        <w:r w:rsidR="00DA27BA">
          <w:rPr>
            <w:noProof/>
            <w:webHidden/>
          </w:rPr>
          <w:tab/>
        </w:r>
        <w:r w:rsidR="00DA27BA">
          <w:rPr>
            <w:noProof/>
            <w:webHidden/>
          </w:rPr>
          <w:fldChar w:fldCharType="begin"/>
        </w:r>
        <w:r w:rsidR="00DA27BA">
          <w:rPr>
            <w:noProof/>
            <w:webHidden/>
          </w:rPr>
          <w:instrText xml:space="preserve"> PAGEREF _Toc373843517 \h </w:instrText>
        </w:r>
        <w:r w:rsidR="00DA27BA">
          <w:rPr>
            <w:noProof/>
            <w:webHidden/>
          </w:rPr>
        </w:r>
        <w:r w:rsidR="00DA27BA">
          <w:rPr>
            <w:noProof/>
            <w:webHidden/>
          </w:rPr>
          <w:fldChar w:fldCharType="separate"/>
        </w:r>
        <w:r w:rsidR="000F722A">
          <w:rPr>
            <w:noProof/>
            <w:webHidden/>
          </w:rPr>
          <w:t>49</w:t>
        </w:r>
        <w:r w:rsidR="00DA27BA">
          <w:rPr>
            <w:noProof/>
            <w:webHidden/>
          </w:rPr>
          <w:fldChar w:fldCharType="end"/>
        </w:r>
      </w:hyperlink>
    </w:p>
    <w:p w:rsidR="00DA27BA" w:rsidRDefault="00CC55EF">
      <w:pPr>
        <w:pStyle w:val="TOC4"/>
        <w:tabs>
          <w:tab w:val="right" w:leader="dot" w:pos="9350"/>
        </w:tabs>
        <w:rPr>
          <w:rFonts w:asciiTheme="minorHAnsi" w:eastAsiaTheme="minorEastAsia" w:hAnsiTheme="minorHAnsi" w:cstheme="minorBidi"/>
          <w:noProof/>
        </w:rPr>
      </w:pPr>
      <w:hyperlink w:anchor="_Toc373843518" w:history="1">
        <w:r w:rsidR="00DA27BA" w:rsidRPr="00FB4889">
          <w:rPr>
            <w:rStyle w:val="Hyperlink"/>
            <w:noProof/>
          </w:rPr>
          <w:t>5.3.3. Prevention of Significant Deterioration</w:t>
        </w:r>
        <w:r w:rsidR="00DA27BA">
          <w:rPr>
            <w:noProof/>
            <w:webHidden/>
          </w:rPr>
          <w:tab/>
        </w:r>
        <w:r w:rsidR="00DA27BA">
          <w:rPr>
            <w:noProof/>
            <w:webHidden/>
          </w:rPr>
          <w:fldChar w:fldCharType="begin"/>
        </w:r>
        <w:r w:rsidR="00DA27BA">
          <w:rPr>
            <w:noProof/>
            <w:webHidden/>
          </w:rPr>
          <w:instrText xml:space="preserve"> PAGEREF _Toc373843518 \h </w:instrText>
        </w:r>
        <w:r w:rsidR="00DA27BA">
          <w:rPr>
            <w:noProof/>
            <w:webHidden/>
          </w:rPr>
        </w:r>
        <w:r w:rsidR="00DA27BA">
          <w:rPr>
            <w:noProof/>
            <w:webHidden/>
          </w:rPr>
          <w:fldChar w:fldCharType="separate"/>
        </w:r>
        <w:r w:rsidR="000F722A">
          <w:rPr>
            <w:noProof/>
            <w:webHidden/>
          </w:rPr>
          <w:t>50</w:t>
        </w:r>
        <w:r w:rsidR="00DA27BA">
          <w:rPr>
            <w:noProof/>
            <w:webHidden/>
          </w:rPr>
          <w:fldChar w:fldCharType="end"/>
        </w:r>
      </w:hyperlink>
    </w:p>
    <w:p w:rsidR="00DA27BA" w:rsidRDefault="00CC55EF">
      <w:pPr>
        <w:pStyle w:val="TOC4"/>
        <w:tabs>
          <w:tab w:val="right" w:leader="dot" w:pos="9350"/>
        </w:tabs>
        <w:rPr>
          <w:rFonts w:asciiTheme="minorHAnsi" w:eastAsiaTheme="minorEastAsia" w:hAnsiTheme="minorHAnsi" w:cstheme="minorBidi"/>
          <w:noProof/>
        </w:rPr>
      </w:pPr>
      <w:hyperlink w:anchor="_Toc373843519" w:history="1">
        <w:r w:rsidR="00DA27BA" w:rsidRPr="00FB4889">
          <w:rPr>
            <w:rStyle w:val="Hyperlink"/>
            <w:noProof/>
          </w:rPr>
          <w:t>5.3.4. Enforceability</w:t>
        </w:r>
        <w:r w:rsidR="00DA27BA">
          <w:rPr>
            <w:noProof/>
            <w:webHidden/>
          </w:rPr>
          <w:tab/>
        </w:r>
        <w:r w:rsidR="00DA27BA">
          <w:rPr>
            <w:noProof/>
            <w:webHidden/>
          </w:rPr>
          <w:fldChar w:fldCharType="begin"/>
        </w:r>
        <w:r w:rsidR="00DA27BA">
          <w:rPr>
            <w:noProof/>
            <w:webHidden/>
          </w:rPr>
          <w:instrText xml:space="preserve"> PAGEREF _Toc373843519 \h </w:instrText>
        </w:r>
        <w:r w:rsidR="00DA27BA">
          <w:rPr>
            <w:noProof/>
            <w:webHidden/>
          </w:rPr>
        </w:r>
        <w:r w:rsidR="00DA27BA">
          <w:rPr>
            <w:noProof/>
            <w:webHidden/>
          </w:rPr>
          <w:fldChar w:fldCharType="separate"/>
        </w:r>
        <w:r w:rsidR="000F722A">
          <w:rPr>
            <w:noProof/>
            <w:webHidden/>
          </w:rPr>
          <w:t>50</w:t>
        </w:r>
        <w:r w:rsidR="00DA27BA">
          <w:rPr>
            <w:noProof/>
            <w:webHidden/>
          </w:rPr>
          <w:fldChar w:fldCharType="end"/>
        </w:r>
      </w:hyperlink>
    </w:p>
    <w:p w:rsidR="00DA27BA" w:rsidRDefault="00CC55EF">
      <w:pPr>
        <w:pStyle w:val="TOC4"/>
        <w:tabs>
          <w:tab w:val="right" w:leader="dot" w:pos="9350"/>
        </w:tabs>
        <w:rPr>
          <w:rFonts w:asciiTheme="minorHAnsi" w:eastAsiaTheme="minorEastAsia" w:hAnsiTheme="minorHAnsi" w:cstheme="minorBidi"/>
          <w:noProof/>
        </w:rPr>
      </w:pPr>
      <w:hyperlink w:anchor="_Toc373843520" w:history="1">
        <w:r w:rsidR="00DA27BA" w:rsidRPr="00FB4889">
          <w:rPr>
            <w:rStyle w:val="Hyperlink"/>
            <w:noProof/>
          </w:rPr>
          <w:t>5.3.5. Status of Controls on Non-EGU Point Sources</w:t>
        </w:r>
        <w:r w:rsidR="00DA27BA">
          <w:rPr>
            <w:noProof/>
            <w:webHidden/>
          </w:rPr>
          <w:tab/>
        </w:r>
        <w:r w:rsidR="00DA27BA">
          <w:rPr>
            <w:noProof/>
            <w:webHidden/>
          </w:rPr>
          <w:fldChar w:fldCharType="begin"/>
        </w:r>
        <w:r w:rsidR="00DA27BA">
          <w:rPr>
            <w:noProof/>
            <w:webHidden/>
          </w:rPr>
          <w:instrText xml:space="preserve"> PAGEREF _Toc373843520 \h </w:instrText>
        </w:r>
        <w:r w:rsidR="00DA27BA">
          <w:rPr>
            <w:noProof/>
            <w:webHidden/>
          </w:rPr>
        </w:r>
        <w:r w:rsidR="00DA27BA">
          <w:rPr>
            <w:noProof/>
            <w:webHidden/>
          </w:rPr>
          <w:fldChar w:fldCharType="separate"/>
        </w:r>
        <w:r w:rsidR="000F722A">
          <w:rPr>
            <w:noProof/>
            <w:webHidden/>
          </w:rPr>
          <w:t>50</w:t>
        </w:r>
        <w:r w:rsidR="00DA27BA">
          <w:rPr>
            <w:noProof/>
            <w:webHidden/>
          </w:rPr>
          <w:fldChar w:fldCharType="end"/>
        </w:r>
      </w:hyperlink>
    </w:p>
    <w:p w:rsidR="00DA27BA" w:rsidRDefault="00CC55EF">
      <w:pPr>
        <w:pStyle w:val="TOC4"/>
        <w:tabs>
          <w:tab w:val="right" w:leader="dot" w:pos="9350"/>
        </w:tabs>
        <w:rPr>
          <w:rFonts w:asciiTheme="minorHAnsi" w:eastAsiaTheme="minorEastAsia" w:hAnsiTheme="minorHAnsi" w:cstheme="minorBidi"/>
          <w:noProof/>
        </w:rPr>
      </w:pPr>
      <w:hyperlink w:anchor="_Toc373843521" w:history="1">
        <w:r w:rsidR="00DA27BA" w:rsidRPr="00FB4889">
          <w:rPr>
            <w:rStyle w:val="Hyperlink"/>
            <w:noProof/>
          </w:rPr>
          <w:t>5.3.6. Controls on Area Sources Expected by 2018</w:t>
        </w:r>
        <w:r w:rsidR="00DA27BA">
          <w:rPr>
            <w:noProof/>
            <w:webHidden/>
          </w:rPr>
          <w:tab/>
        </w:r>
        <w:r w:rsidR="00DA27BA">
          <w:rPr>
            <w:noProof/>
            <w:webHidden/>
          </w:rPr>
          <w:fldChar w:fldCharType="begin"/>
        </w:r>
        <w:r w:rsidR="00DA27BA">
          <w:rPr>
            <w:noProof/>
            <w:webHidden/>
          </w:rPr>
          <w:instrText xml:space="preserve"> PAGEREF _Toc373843521 \h </w:instrText>
        </w:r>
        <w:r w:rsidR="00DA27BA">
          <w:rPr>
            <w:noProof/>
            <w:webHidden/>
          </w:rPr>
        </w:r>
        <w:r w:rsidR="00DA27BA">
          <w:rPr>
            <w:noProof/>
            <w:webHidden/>
          </w:rPr>
          <w:fldChar w:fldCharType="separate"/>
        </w:r>
        <w:r w:rsidR="000F722A">
          <w:rPr>
            <w:noProof/>
            <w:webHidden/>
          </w:rPr>
          <w:t>52</w:t>
        </w:r>
        <w:r w:rsidR="00DA27BA">
          <w:rPr>
            <w:noProof/>
            <w:webHidden/>
          </w:rPr>
          <w:fldChar w:fldCharType="end"/>
        </w:r>
      </w:hyperlink>
    </w:p>
    <w:p w:rsidR="00DA27BA" w:rsidRDefault="00CC55EF">
      <w:pPr>
        <w:pStyle w:val="TOC4"/>
        <w:tabs>
          <w:tab w:val="right" w:leader="dot" w:pos="9350"/>
        </w:tabs>
        <w:rPr>
          <w:rFonts w:asciiTheme="minorHAnsi" w:eastAsiaTheme="minorEastAsia" w:hAnsiTheme="minorHAnsi" w:cstheme="minorBidi"/>
          <w:noProof/>
        </w:rPr>
      </w:pPr>
      <w:hyperlink w:anchor="_Toc373843522" w:history="1">
        <w:r w:rsidR="00DA27BA" w:rsidRPr="00FB4889">
          <w:rPr>
            <w:rStyle w:val="Hyperlink"/>
            <w:noProof/>
          </w:rPr>
          <w:t>5.3.7. Controls on Mobile Sources Expected by 2018</w:t>
        </w:r>
        <w:r w:rsidR="00DA27BA">
          <w:rPr>
            <w:noProof/>
            <w:webHidden/>
          </w:rPr>
          <w:tab/>
        </w:r>
        <w:r w:rsidR="00DA27BA">
          <w:rPr>
            <w:noProof/>
            <w:webHidden/>
          </w:rPr>
          <w:fldChar w:fldCharType="begin"/>
        </w:r>
        <w:r w:rsidR="00DA27BA">
          <w:rPr>
            <w:noProof/>
            <w:webHidden/>
          </w:rPr>
          <w:instrText xml:space="preserve"> PAGEREF _Toc373843522 \h </w:instrText>
        </w:r>
        <w:r w:rsidR="00DA27BA">
          <w:rPr>
            <w:noProof/>
            <w:webHidden/>
          </w:rPr>
        </w:r>
        <w:r w:rsidR="00DA27BA">
          <w:rPr>
            <w:noProof/>
            <w:webHidden/>
          </w:rPr>
          <w:fldChar w:fldCharType="separate"/>
        </w:r>
        <w:r w:rsidR="000F722A">
          <w:rPr>
            <w:noProof/>
            <w:webHidden/>
          </w:rPr>
          <w:t>53</w:t>
        </w:r>
        <w:r w:rsidR="00DA27BA">
          <w:rPr>
            <w:noProof/>
            <w:webHidden/>
          </w:rPr>
          <w:fldChar w:fldCharType="end"/>
        </w:r>
      </w:hyperlink>
    </w:p>
    <w:p w:rsidR="00DA27BA" w:rsidRDefault="00CC55EF">
      <w:pPr>
        <w:pStyle w:val="TOC4"/>
        <w:tabs>
          <w:tab w:val="right" w:leader="dot" w:pos="9350"/>
        </w:tabs>
        <w:rPr>
          <w:rFonts w:asciiTheme="minorHAnsi" w:eastAsiaTheme="minorEastAsia" w:hAnsiTheme="minorHAnsi" w:cstheme="minorBidi"/>
          <w:noProof/>
        </w:rPr>
      </w:pPr>
      <w:hyperlink w:anchor="_Toc373843523" w:history="1">
        <w:r w:rsidR="00DA27BA" w:rsidRPr="00FB4889">
          <w:rPr>
            <w:rStyle w:val="Hyperlink"/>
            <w:noProof/>
          </w:rPr>
          <w:t>5.3.8. Controls on Non-Road Sources Expected by 2018</w:t>
        </w:r>
        <w:r w:rsidR="00DA27BA">
          <w:rPr>
            <w:noProof/>
            <w:webHidden/>
          </w:rPr>
          <w:tab/>
        </w:r>
        <w:r w:rsidR="00DA27BA">
          <w:rPr>
            <w:noProof/>
            <w:webHidden/>
          </w:rPr>
          <w:fldChar w:fldCharType="begin"/>
        </w:r>
        <w:r w:rsidR="00DA27BA">
          <w:rPr>
            <w:noProof/>
            <w:webHidden/>
          </w:rPr>
          <w:instrText xml:space="preserve"> PAGEREF _Toc373843523 \h </w:instrText>
        </w:r>
        <w:r w:rsidR="00DA27BA">
          <w:rPr>
            <w:noProof/>
            <w:webHidden/>
          </w:rPr>
        </w:r>
        <w:r w:rsidR="00DA27BA">
          <w:rPr>
            <w:noProof/>
            <w:webHidden/>
          </w:rPr>
          <w:fldChar w:fldCharType="separate"/>
        </w:r>
        <w:r w:rsidR="000F722A">
          <w:rPr>
            <w:noProof/>
            <w:webHidden/>
          </w:rPr>
          <w:t>54</w:t>
        </w:r>
        <w:r w:rsidR="00DA27BA">
          <w:rPr>
            <w:noProof/>
            <w:webHidden/>
          </w:rPr>
          <w:fldChar w:fldCharType="end"/>
        </w:r>
      </w:hyperlink>
    </w:p>
    <w:p w:rsidR="00DA27BA" w:rsidRDefault="00CC55EF" w:rsidP="001005F7">
      <w:pPr>
        <w:pStyle w:val="TOC2"/>
        <w:tabs>
          <w:tab w:val="right" w:leader="dot" w:pos="9350"/>
        </w:tabs>
        <w:rPr>
          <w:rFonts w:asciiTheme="minorHAnsi" w:eastAsiaTheme="minorEastAsia" w:hAnsiTheme="minorHAnsi" w:cstheme="minorBidi"/>
          <w:noProof/>
        </w:rPr>
      </w:pPr>
      <w:hyperlink w:anchor="_Toc373843524" w:history="1">
        <w:r w:rsidR="00DA27BA" w:rsidRPr="00FB4889">
          <w:rPr>
            <w:rStyle w:val="Hyperlink"/>
            <w:noProof/>
          </w:rPr>
          <w:t>Section 6:  State Summary of Emission Reductions Resulting from</w:t>
        </w:r>
      </w:hyperlink>
      <w:r w:rsidR="001005F7">
        <w:rPr>
          <w:noProof/>
        </w:rPr>
        <w:t xml:space="preserve"> </w:t>
      </w:r>
      <w:hyperlink w:anchor="_Toc373843525" w:history="1">
        <w:r w:rsidR="00DA27BA" w:rsidRPr="00FB4889">
          <w:rPr>
            <w:rStyle w:val="Hyperlink"/>
            <w:noProof/>
          </w:rPr>
          <w:t>Implementation of Control Measures</w:t>
        </w:r>
        <w:r w:rsidR="00DA27BA">
          <w:rPr>
            <w:noProof/>
            <w:webHidden/>
          </w:rPr>
          <w:tab/>
        </w:r>
        <w:r w:rsidR="00DA27BA">
          <w:rPr>
            <w:noProof/>
            <w:webHidden/>
          </w:rPr>
          <w:fldChar w:fldCharType="begin"/>
        </w:r>
        <w:r w:rsidR="00DA27BA">
          <w:rPr>
            <w:noProof/>
            <w:webHidden/>
          </w:rPr>
          <w:instrText xml:space="preserve"> PAGEREF _Toc373843525 \h </w:instrText>
        </w:r>
        <w:r w:rsidR="00DA27BA">
          <w:rPr>
            <w:noProof/>
            <w:webHidden/>
          </w:rPr>
        </w:r>
        <w:r w:rsidR="00DA27BA">
          <w:rPr>
            <w:noProof/>
            <w:webHidden/>
          </w:rPr>
          <w:fldChar w:fldCharType="separate"/>
        </w:r>
        <w:r w:rsidR="000F722A">
          <w:rPr>
            <w:noProof/>
            <w:webHidden/>
          </w:rPr>
          <w:t>57</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26" w:history="1">
        <w:r w:rsidR="00DA27BA" w:rsidRPr="00FB4889">
          <w:rPr>
            <w:rStyle w:val="Hyperlink"/>
            <w:noProof/>
          </w:rPr>
          <w:t>6.1. Requirement to Summarize Emissions Reductions</w:t>
        </w:r>
        <w:r w:rsidR="00DA27BA">
          <w:rPr>
            <w:noProof/>
            <w:webHidden/>
          </w:rPr>
          <w:tab/>
        </w:r>
        <w:r w:rsidR="00DA27BA">
          <w:rPr>
            <w:noProof/>
            <w:webHidden/>
          </w:rPr>
          <w:fldChar w:fldCharType="begin"/>
        </w:r>
        <w:r w:rsidR="00DA27BA">
          <w:rPr>
            <w:noProof/>
            <w:webHidden/>
          </w:rPr>
          <w:instrText xml:space="preserve"> PAGEREF _Toc373843526 \h </w:instrText>
        </w:r>
        <w:r w:rsidR="00DA27BA">
          <w:rPr>
            <w:noProof/>
            <w:webHidden/>
          </w:rPr>
        </w:r>
        <w:r w:rsidR="00DA27BA">
          <w:rPr>
            <w:noProof/>
            <w:webHidden/>
          </w:rPr>
          <w:fldChar w:fldCharType="separate"/>
        </w:r>
        <w:r w:rsidR="000F722A">
          <w:rPr>
            <w:noProof/>
            <w:webHidden/>
          </w:rPr>
          <w:t>57</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27" w:history="1">
        <w:r w:rsidR="00DA27BA" w:rsidRPr="00FB4889">
          <w:rPr>
            <w:rStyle w:val="Hyperlink"/>
            <w:noProof/>
          </w:rPr>
          <w:t>6.2. Summary of Key Emissions Changes in Last 5 Years</w:t>
        </w:r>
        <w:r w:rsidR="00DA27BA">
          <w:rPr>
            <w:noProof/>
            <w:webHidden/>
          </w:rPr>
          <w:tab/>
        </w:r>
        <w:r w:rsidR="00DA27BA">
          <w:rPr>
            <w:noProof/>
            <w:webHidden/>
          </w:rPr>
          <w:fldChar w:fldCharType="begin"/>
        </w:r>
        <w:r w:rsidR="00DA27BA">
          <w:rPr>
            <w:noProof/>
            <w:webHidden/>
          </w:rPr>
          <w:instrText xml:space="preserve"> PAGEREF _Toc373843527 \h </w:instrText>
        </w:r>
        <w:r w:rsidR="00DA27BA">
          <w:rPr>
            <w:noProof/>
            <w:webHidden/>
          </w:rPr>
        </w:r>
        <w:r w:rsidR="00DA27BA">
          <w:rPr>
            <w:noProof/>
            <w:webHidden/>
          </w:rPr>
          <w:fldChar w:fldCharType="separate"/>
        </w:r>
        <w:r w:rsidR="000F722A">
          <w:rPr>
            <w:noProof/>
            <w:webHidden/>
          </w:rPr>
          <w:t>57</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528" w:history="1">
        <w:r w:rsidR="00DA27BA" w:rsidRPr="00FB4889">
          <w:rPr>
            <w:rStyle w:val="Hyperlink"/>
            <w:noProof/>
          </w:rPr>
          <w:t>Section 7:  Analysis of Emission Changes in the Last Five Years from Visibility Impairing Pollutants</w:t>
        </w:r>
        <w:r w:rsidR="00DA27BA">
          <w:rPr>
            <w:noProof/>
            <w:webHidden/>
          </w:rPr>
          <w:tab/>
        </w:r>
        <w:r w:rsidR="00DA27BA">
          <w:rPr>
            <w:noProof/>
            <w:webHidden/>
          </w:rPr>
          <w:fldChar w:fldCharType="begin"/>
        </w:r>
        <w:r w:rsidR="00DA27BA">
          <w:rPr>
            <w:noProof/>
            <w:webHidden/>
          </w:rPr>
          <w:instrText xml:space="preserve"> PAGEREF _Toc373843528 \h </w:instrText>
        </w:r>
        <w:r w:rsidR="00DA27BA">
          <w:rPr>
            <w:noProof/>
            <w:webHidden/>
          </w:rPr>
        </w:r>
        <w:r w:rsidR="00DA27BA">
          <w:rPr>
            <w:noProof/>
            <w:webHidden/>
          </w:rPr>
          <w:fldChar w:fldCharType="separate"/>
        </w:r>
        <w:r w:rsidR="000F722A">
          <w:rPr>
            <w:noProof/>
            <w:webHidden/>
          </w:rPr>
          <w:t>59</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29" w:history="1">
        <w:r w:rsidR="00DA27BA" w:rsidRPr="00FB4889">
          <w:rPr>
            <w:rStyle w:val="Hyperlink"/>
            <w:noProof/>
          </w:rPr>
          <w:t>7.1. Requirement to Analyze and Track Changes in Emissions</w:t>
        </w:r>
        <w:r w:rsidR="00DA27BA">
          <w:rPr>
            <w:noProof/>
            <w:webHidden/>
          </w:rPr>
          <w:tab/>
        </w:r>
        <w:r w:rsidR="00DA27BA">
          <w:rPr>
            <w:noProof/>
            <w:webHidden/>
          </w:rPr>
          <w:fldChar w:fldCharType="begin"/>
        </w:r>
        <w:r w:rsidR="00DA27BA">
          <w:rPr>
            <w:noProof/>
            <w:webHidden/>
          </w:rPr>
          <w:instrText xml:space="preserve"> PAGEREF _Toc373843529 \h </w:instrText>
        </w:r>
        <w:r w:rsidR="00DA27BA">
          <w:rPr>
            <w:noProof/>
            <w:webHidden/>
          </w:rPr>
        </w:r>
        <w:r w:rsidR="00DA27BA">
          <w:rPr>
            <w:noProof/>
            <w:webHidden/>
          </w:rPr>
          <w:fldChar w:fldCharType="separate"/>
        </w:r>
        <w:r w:rsidR="000F722A">
          <w:rPr>
            <w:noProof/>
            <w:webHidden/>
          </w:rPr>
          <w:t>59</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30" w:history="1">
        <w:r w:rsidR="00DA27BA" w:rsidRPr="00FB4889">
          <w:rPr>
            <w:rStyle w:val="Hyperlink"/>
            <w:noProof/>
          </w:rPr>
          <w:t>7.2. MANE-VU Emissions Trends</w:t>
        </w:r>
        <w:r w:rsidR="00DA27BA">
          <w:rPr>
            <w:noProof/>
            <w:webHidden/>
          </w:rPr>
          <w:tab/>
        </w:r>
        <w:r w:rsidR="00DA27BA">
          <w:rPr>
            <w:noProof/>
            <w:webHidden/>
          </w:rPr>
          <w:fldChar w:fldCharType="begin"/>
        </w:r>
        <w:r w:rsidR="00DA27BA">
          <w:rPr>
            <w:noProof/>
            <w:webHidden/>
          </w:rPr>
          <w:instrText xml:space="preserve"> PAGEREF _Toc373843530 \h </w:instrText>
        </w:r>
        <w:r w:rsidR="00DA27BA">
          <w:rPr>
            <w:noProof/>
            <w:webHidden/>
          </w:rPr>
        </w:r>
        <w:r w:rsidR="00DA27BA">
          <w:rPr>
            <w:noProof/>
            <w:webHidden/>
          </w:rPr>
          <w:fldChar w:fldCharType="separate"/>
        </w:r>
        <w:r w:rsidR="000F722A">
          <w:rPr>
            <w:noProof/>
            <w:webHidden/>
          </w:rPr>
          <w:t>59</w:t>
        </w:r>
        <w:r w:rsidR="00DA27BA">
          <w:rPr>
            <w:noProof/>
            <w:webHidden/>
          </w:rPr>
          <w:fldChar w:fldCharType="end"/>
        </w:r>
      </w:hyperlink>
    </w:p>
    <w:p w:rsidR="00DA27BA" w:rsidRDefault="00CC55EF">
      <w:pPr>
        <w:pStyle w:val="TOC4"/>
        <w:tabs>
          <w:tab w:val="right" w:leader="dot" w:pos="9350"/>
        </w:tabs>
        <w:rPr>
          <w:rFonts w:asciiTheme="minorHAnsi" w:eastAsiaTheme="minorEastAsia" w:hAnsiTheme="minorHAnsi" w:cstheme="minorBidi"/>
          <w:noProof/>
        </w:rPr>
      </w:pPr>
      <w:hyperlink w:anchor="_Toc373843531" w:history="1">
        <w:r w:rsidR="00DA27BA" w:rsidRPr="00FB4889">
          <w:rPr>
            <w:rStyle w:val="Hyperlink"/>
            <w:noProof/>
          </w:rPr>
          <w:t>7.2.1. 2002 Modeling Inventory with Projections to 2018</w:t>
        </w:r>
        <w:r w:rsidR="00DA27BA">
          <w:rPr>
            <w:noProof/>
            <w:webHidden/>
          </w:rPr>
          <w:tab/>
        </w:r>
        <w:r w:rsidR="00DA27BA">
          <w:rPr>
            <w:noProof/>
            <w:webHidden/>
          </w:rPr>
          <w:fldChar w:fldCharType="begin"/>
        </w:r>
        <w:r w:rsidR="00DA27BA">
          <w:rPr>
            <w:noProof/>
            <w:webHidden/>
          </w:rPr>
          <w:instrText xml:space="preserve"> PAGEREF _Toc373843531 \h </w:instrText>
        </w:r>
        <w:r w:rsidR="00DA27BA">
          <w:rPr>
            <w:noProof/>
            <w:webHidden/>
          </w:rPr>
        </w:r>
        <w:r w:rsidR="00DA27BA">
          <w:rPr>
            <w:noProof/>
            <w:webHidden/>
          </w:rPr>
          <w:fldChar w:fldCharType="separate"/>
        </w:r>
        <w:r w:rsidR="000F722A">
          <w:rPr>
            <w:noProof/>
            <w:webHidden/>
          </w:rPr>
          <w:t>59</w:t>
        </w:r>
        <w:r w:rsidR="00DA27BA">
          <w:rPr>
            <w:noProof/>
            <w:webHidden/>
          </w:rPr>
          <w:fldChar w:fldCharType="end"/>
        </w:r>
      </w:hyperlink>
    </w:p>
    <w:p w:rsidR="00DA27BA" w:rsidRDefault="00CC55EF">
      <w:pPr>
        <w:pStyle w:val="TOC4"/>
        <w:tabs>
          <w:tab w:val="right" w:leader="dot" w:pos="9350"/>
        </w:tabs>
        <w:rPr>
          <w:rFonts w:asciiTheme="minorHAnsi" w:eastAsiaTheme="minorEastAsia" w:hAnsiTheme="minorHAnsi" w:cstheme="minorBidi"/>
          <w:noProof/>
        </w:rPr>
      </w:pPr>
      <w:hyperlink w:anchor="_Toc373843532" w:history="1">
        <w:r w:rsidR="00DA27BA" w:rsidRPr="00FB4889">
          <w:rPr>
            <w:rStyle w:val="Hyperlink"/>
            <w:noProof/>
          </w:rPr>
          <w:t>7.2.2. 2007 Modeling Inventory with Projections to 2017 and 2020</w:t>
        </w:r>
        <w:r w:rsidR="00DA27BA">
          <w:rPr>
            <w:noProof/>
            <w:webHidden/>
          </w:rPr>
          <w:tab/>
        </w:r>
        <w:r w:rsidR="00DA27BA">
          <w:rPr>
            <w:noProof/>
            <w:webHidden/>
          </w:rPr>
          <w:fldChar w:fldCharType="begin"/>
        </w:r>
        <w:r w:rsidR="00DA27BA">
          <w:rPr>
            <w:noProof/>
            <w:webHidden/>
          </w:rPr>
          <w:instrText xml:space="preserve"> PAGEREF _Toc373843532 \h </w:instrText>
        </w:r>
        <w:r w:rsidR="00DA27BA">
          <w:rPr>
            <w:noProof/>
            <w:webHidden/>
          </w:rPr>
        </w:r>
        <w:r w:rsidR="00DA27BA">
          <w:rPr>
            <w:noProof/>
            <w:webHidden/>
          </w:rPr>
          <w:fldChar w:fldCharType="separate"/>
        </w:r>
        <w:r w:rsidR="000F722A">
          <w:rPr>
            <w:noProof/>
            <w:webHidden/>
          </w:rPr>
          <w:t>60</w:t>
        </w:r>
        <w:r w:rsidR="00DA27BA">
          <w:rPr>
            <w:noProof/>
            <w:webHidden/>
          </w:rPr>
          <w:fldChar w:fldCharType="end"/>
        </w:r>
      </w:hyperlink>
    </w:p>
    <w:p w:rsidR="00DA27BA" w:rsidRDefault="00CC55EF">
      <w:pPr>
        <w:pStyle w:val="TOC4"/>
        <w:tabs>
          <w:tab w:val="right" w:leader="dot" w:pos="9350"/>
        </w:tabs>
        <w:rPr>
          <w:rFonts w:asciiTheme="minorHAnsi" w:eastAsiaTheme="minorEastAsia" w:hAnsiTheme="minorHAnsi" w:cstheme="minorBidi"/>
          <w:noProof/>
        </w:rPr>
      </w:pPr>
      <w:hyperlink w:anchor="_Toc373843533" w:history="1">
        <w:r w:rsidR="00DA27BA" w:rsidRPr="00FB4889">
          <w:rPr>
            <w:rStyle w:val="Hyperlink"/>
            <w:noProof/>
          </w:rPr>
          <w:t>7.2.3. 2010 Clean Air Markets Division (CAMD) Reported Emissions</w:t>
        </w:r>
        <w:r w:rsidR="00DA27BA">
          <w:rPr>
            <w:noProof/>
            <w:webHidden/>
          </w:rPr>
          <w:tab/>
        </w:r>
        <w:r w:rsidR="00DA27BA">
          <w:rPr>
            <w:noProof/>
            <w:webHidden/>
          </w:rPr>
          <w:fldChar w:fldCharType="begin"/>
        </w:r>
        <w:r w:rsidR="00DA27BA">
          <w:rPr>
            <w:noProof/>
            <w:webHidden/>
          </w:rPr>
          <w:instrText xml:space="preserve"> PAGEREF _Toc373843533 \h </w:instrText>
        </w:r>
        <w:r w:rsidR="00DA27BA">
          <w:rPr>
            <w:noProof/>
            <w:webHidden/>
          </w:rPr>
        </w:r>
        <w:r w:rsidR="00DA27BA">
          <w:rPr>
            <w:noProof/>
            <w:webHidden/>
          </w:rPr>
          <w:fldChar w:fldCharType="separate"/>
        </w:r>
        <w:r w:rsidR="000F722A">
          <w:rPr>
            <w:noProof/>
            <w:webHidden/>
          </w:rPr>
          <w:t>61</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534" w:history="1">
        <w:r w:rsidR="00DA27BA" w:rsidRPr="00FB4889">
          <w:rPr>
            <w:rStyle w:val="Hyperlink"/>
            <w:noProof/>
          </w:rPr>
          <w:t>Section 8:  Assessment of Significant Anthropogenic Emission Changes In or Outside the State in the Last Five Years that Have Limited or Impeded Progress in Reducing Emissions and Improving Visibility</w:t>
        </w:r>
        <w:r w:rsidR="00DA27BA">
          <w:rPr>
            <w:noProof/>
            <w:webHidden/>
          </w:rPr>
          <w:tab/>
        </w:r>
        <w:r w:rsidR="00DA27BA">
          <w:rPr>
            <w:noProof/>
            <w:webHidden/>
          </w:rPr>
          <w:fldChar w:fldCharType="begin"/>
        </w:r>
        <w:r w:rsidR="00DA27BA">
          <w:rPr>
            <w:noProof/>
            <w:webHidden/>
          </w:rPr>
          <w:instrText xml:space="preserve"> PAGEREF _Toc373843534 \h </w:instrText>
        </w:r>
        <w:r w:rsidR="00DA27BA">
          <w:rPr>
            <w:noProof/>
            <w:webHidden/>
          </w:rPr>
        </w:r>
        <w:r w:rsidR="00DA27BA">
          <w:rPr>
            <w:noProof/>
            <w:webHidden/>
          </w:rPr>
          <w:fldChar w:fldCharType="separate"/>
        </w:r>
        <w:r w:rsidR="000F722A">
          <w:rPr>
            <w:noProof/>
            <w:webHidden/>
          </w:rPr>
          <w:t>65</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35" w:history="1">
        <w:r w:rsidR="00DA27BA" w:rsidRPr="00FB4889">
          <w:rPr>
            <w:rStyle w:val="Hyperlink"/>
            <w:noProof/>
          </w:rPr>
          <w:t>8.1. Requirement to Assess whether Emissions Changes have Impeded Progress</w:t>
        </w:r>
        <w:r w:rsidR="00DA27BA">
          <w:rPr>
            <w:noProof/>
            <w:webHidden/>
          </w:rPr>
          <w:tab/>
        </w:r>
        <w:r w:rsidR="00DA27BA">
          <w:rPr>
            <w:noProof/>
            <w:webHidden/>
          </w:rPr>
          <w:fldChar w:fldCharType="begin"/>
        </w:r>
        <w:r w:rsidR="00DA27BA">
          <w:rPr>
            <w:noProof/>
            <w:webHidden/>
          </w:rPr>
          <w:instrText xml:space="preserve"> PAGEREF _Toc373843535 \h </w:instrText>
        </w:r>
        <w:r w:rsidR="00DA27BA">
          <w:rPr>
            <w:noProof/>
            <w:webHidden/>
          </w:rPr>
        </w:r>
        <w:r w:rsidR="00DA27BA">
          <w:rPr>
            <w:noProof/>
            <w:webHidden/>
          </w:rPr>
          <w:fldChar w:fldCharType="separate"/>
        </w:r>
        <w:r w:rsidR="000F722A">
          <w:rPr>
            <w:noProof/>
            <w:webHidden/>
          </w:rPr>
          <w:t>65</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36" w:history="1">
        <w:r w:rsidR="00DA27BA" w:rsidRPr="00FB4889">
          <w:rPr>
            <w:rStyle w:val="Hyperlink"/>
            <w:noProof/>
          </w:rPr>
          <w:t>8.2. Assessment</w:t>
        </w:r>
        <w:r w:rsidR="00DA27BA">
          <w:rPr>
            <w:noProof/>
            <w:webHidden/>
          </w:rPr>
          <w:tab/>
        </w:r>
        <w:r w:rsidR="00DA27BA">
          <w:rPr>
            <w:noProof/>
            <w:webHidden/>
          </w:rPr>
          <w:fldChar w:fldCharType="begin"/>
        </w:r>
        <w:r w:rsidR="00DA27BA">
          <w:rPr>
            <w:noProof/>
            <w:webHidden/>
          </w:rPr>
          <w:instrText xml:space="preserve"> PAGEREF _Toc373843536 \h </w:instrText>
        </w:r>
        <w:r w:rsidR="00DA27BA">
          <w:rPr>
            <w:noProof/>
            <w:webHidden/>
          </w:rPr>
        </w:r>
        <w:r w:rsidR="00DA27BA">
          <w:rPr>
            <w:noProof/>
            <w:webHidden/>
          </w:rPr>
          <w:fldChar w:fldCharType="separate"/>
        </w:r>
        <w:r w:rsidR="000F722A">
          <w:rPr>
            <w:noProof/>
            <w:webHidden/>
          </w:rPr>
          <w:t>65</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537" w:history="1">
        <w:r w:rsidR="00DA27BA" w:rsidRPr="00FB4889">
          <w:rPr>
            <w:rStyle w:val="Hyperlink"/>
            <w:noProof/>
          </w:rPr>
          <w:t>Section 9:  Assessment regarding whether Current Regional Haze State Implementation Plan (SIP) Elements and Strategies are Sufficient to Meet Reasonable Progress Goals</w:t>
        </w:r>
        <w:r w:rsidR="00DA27BA">
          <w:rPr>
            <w:noProof/>
            <w:webHidden/>
          </w:rPr>
          <w:tab/>
        </w:r>
        <w:r w:rsidR="00DA27BA">
          <w:rPr>
            <w:noProof/>
            <w:webHidden/>
          </w:rPr>
          <w:fldChar w:fldCharType="begin"/>
        </w:r>
        <w:r w:rsidR="00DA27BA">
          <w:rPr>
            <w:noProof/>
            <w:webHidden/>
          </w:rPr>
          <w:instrText xml:space="preserve"> PAGEREF _Toc373843537 \h </w:instrText>
        </w:r>
        <w:r w:rsidR="00DA27BA">
          <w:rPr>
            <w:noProof/>
            <w:webHidden/>
          </w:rPr>
        </w:r>
        <w:r w:rsidR="00DA27BA">
          <w:rPr>
            <w:noProof/>
            <w:webHidden/>
          </w:rPr>
          <w:fldChar w:fldCharType="separate"/>
        </w:r>
        <w:r w:rsidR="000F722A">
          <w:rPr>
            <w:noProof/>
            <w:webHidden/>
          </w:rPr>
          <w:t>67</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38" w:history="1">
        <w:r w:rsidR="00DA27BA" w:rsidRPr="00FB4889">
          <w:rPr>
            <w:rStyle w:val="Hyperlink"/>
            <w:noProof/>
          </w:rPr>
          <w:t>9.1. Requirement to Assess Sufficiency of Plan</w:t>
        </w:r>
        <w:r w:rsidR="00DA27BA">
          <w:rPr>
            <w:noProof/>
            <w:webHidden/>
          </w:rPr>
          <w:tab/>
        </w:r>
        <w:r w:rsidR="00DA27BA">
          <w:rPr>
            <w:noProof/>
            <w:webHidden/>
          </w:rPr>
          <w:fldChar w:fldCharType="begin"/>
        </w:r>
        <w:r w:rsidR="00DA27BA">
          <w:rPr>
            <w:noProof/>
            <w:webHidden/>
          </w:rPr>
          <w:instrText xml:space="preserve"> PAGEREF _Toc373843538 \h </w:instrText>
        </w:r>
        <w:r w:rsidR="00DA27BA">
          <w:rPr>
            <w:noProof/>
            <w:webHidden/>
          </w:rPr>
        </w:r>
        <w:r w:rsidR="00DA27BA">
          <w:rPr>
            <w:noProof/>
            <w:webHidden/>
          </w:rPr>
          <w:fldChar w:fldCharType="separate"/>
        </w:r>
        <w:r w:rsidR="000F722A">
          <w:rPr>
            <w:noProof/>
            <w:webHidden/>
          </w:rPr>
          <w:t>67</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39" w:history="1">
        <w:r w:rsidR="00DA27BA" w:rsidRPr="00FB4889">
          <w:rPr>
            <w:rStyle w:val="Hyperlink"/>
            <w:noProof/>
          </w:rPr>
          <w:t>9.2. Assessment</w:t>
        </w:r>
        <w:r w:rsidR="00DA27BA">
          <w:rPr>
            <w:noProof/>
            <w:webHidden/>
          </w:rPr>
          <w:tab/>
        </w:r>
        <w:r w:rsidR="00DA27BA">
          <w:rPr>
            <w:noProof/>
            <w:webHidden/>
          </w:rPr>
          <w:fldChar w:fldCharType="begin"/>
        </w:r>
        <w:r w:rsidR="00DA27BA">
          <w:rPr>
            <w:noProof/>
            <w:webHidden/>
          </w:rPr>
          <w:instrText xml:space="preserve"> PAGEREF _Toc373843539 \h </w:instrText>
        </w:r>
        <w:r w:rsidR="00DA27BA">
          <w:rPr>
            <w:noProof/>
            <w:webHidden/>
          </w:rPr>
        </w:r>
        <w:r w:rsidR="00DA27BA">
          <w:rPr>
            <w:noProof/>
            <w:webHidden/>
          </w:rPr>
          <w:fldChar w:fldCharType="separate"/>
        </w:r>
        <w:r w:rsidR="000F722A">
          <w:rPr>
            <w:noProof/>
            <w:webHidden/>
          </w:rPr>
          <w:t>67</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540" w:history="1">
        <w:r w:rsidR="00DA27BA" w:rsidRPr="00FB4889">
          <w:rPr>
            <w:rStyle w:val="Hyperlink"/>
            <w:noProof/>
          </w:rPr>
          <w:t>Section 10:  Monitoring Strategy Review</w:t>
        </w:r>
        <w:r w:rsidR="00DA27BA">
          <w:rPr>
            <w:noProof/>
            <w:webHidden/>
          </w:rPr>
          <w:tab/>
        </w:r>
        <w:r w:rsidR="00DA27BA">
          <w:rPr>
            <w:noProof/>
            <w:webHidden/>
          </w:rPr>
          <w:fldChar w:fldCharType="begin"/>
        </w:r>
        <w:r w:rsidR="00DA27BA">
          <w:rPr>
            <w:noProof/>
            <w:webHidden/>
          </w:rPr>
          <w:instrText xml:space="preserve"> PAGEREF _Toc373843540 \h </w:instrText>
        </w:r>
        <w:r w:rsidR="00DA27BA">
          <w:rPr>
            <w:noProof/>
            <w:webHidden/>
          </w:rPr>
        </w:r>
        <w:r w:rsidR="00DA27BA">
          <w:rPr>
            <w:noProof/>
            <w:webHidden/>
          </w:rPr>
          <w:fldChar w:fldCharType="separate"/>
        </w:r>
        <w:r w:rsidR="000F722A">
          <w:rPr>
            <w:noProof/>
            <w:webHidden/>
          </w:rPr>
          <w:t>69</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41" w:history="1">
        <w:r w:rsidR="00DA27BA" w:rsidRPr="00FB4889">
          <w:rPr>
            <w:rStyle w:val="Hyperlink"/>
            <w:noProof/>
          </w:rPr>
          <w:t>10.1. Requirement to Review Monitoring Strategy</w:t>
        </w:r>
        <w:r w:rsidR="00DA27BA">
          <w:rPr>
            <w:noProof/>
            <w:webHidden/>
          </w:rPr>
          <w:tab/>
        </w:r>
        <w:r w:rsidR="00DA27BA">
          <w:rPr>
            <w:noProof/>
            <w:webHidden/>
          </w:rPr>
          <w:fldChar w:fldCharType="begin"/>
        </w:r>
        <w:r w:rsidR="00DA27BA">
          <w:rPr>
            <w:noProof/>
            <w:webHidden/>
          </w:rPr>
          <w:instrText xml:space="preserve"> PAGEREF _Toc373843541 \h </w:instrText>
        </w:r>
        <w:r w:rsidR="00DA27BA">
          <w:rPr>
            <w:noProof/>
            <w:webHidden/>
          </w:rPr>
        </w:r>
        <w:r w:rsidR="00DA27BA">
          <w:rPr>
            <w:noProof/>
            <w:webHidden/>
          </w:rPr>
          <w:fldChar w:fldCharType="separate"/>
        </w:r>
        <w:r w:rsidR="000F722A">
          <w:rPr>
            <w:noProof/>
            <w:webHidden/>
          </w:rPr>
          <w:t>69</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42" w:history="1">
        <w:r w:rsidR="00DA27BA" w:rsidRPr="00FB4889">
          <w:rPr>
            <w:rStyle w:val="Hyperlink"/>
            <w:noProof/>
          </w:rPr>
          <w:t>10.2. Review</w:t>
        </w:r>
        <w:r w:rsidR="00DA27BA">
          <w:rPr>
            <w:noProof/>
            <w:webHidden/>
          </w:rPr>
          <w:tab/>
        </w:r>
        <w:r w:rsidR="00DA27BA">
          <w:rPr>
            <w:noProof/>
            <w:webHidden/>
          </w:rPr>
          <w:fldChar w:fldCharType="begin"/>
        </w:r>
        <w:r w:rsidR="00DA27BA">
          <w:rPr>
            <w:noProof/>
            <w:webHidden/>
          </w:rPr>
          <w:instrText xml:space="preserve"> PAGEREF _Toc373843542 \h </w:instrText>
        </w:r>
        <w:r w:rsidR="00DA27BA">
          <w:rPr>
            <w:noProof/>
            <w:webHidden/>
          </w:rPr>
        </w:r>
        <w:r w:rsidR="00DA27BA">
          <w:rPr>
            <w:noProof/>
            <w:webHidden/>
          </w:rPr>
          <w:fldChar w:fldCharType="separate"/>
        </w:r>
        <w:r w:rsidR="000F722A">
          <w:rPr>
            <w:noProof/>
            <w:webHidden/>
          </w:rPr>
          <w:t>69</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543" w:history="1">
        <w:r w:rsidR="00DA27BA" w:rsidRPr="00FB4889">
          <w:rPr>
            <w:rStyle w:val="Hyperlink"/>
            <w:noProof/>
          </w:rPr>
          <w:t>Section 11:  Determination of Adequacy of Current Regional Haze SIP</w:t>
        </w:r>
        <w:r w:rsidR="00DA27BA">
          <w:rPr>
            <w:noProof/>
            <w:webHidden/>
          </w:rPr>
          <w:tab/>
        </w:r>
        <w:r w:rsidR="00DA27BA">
          <w:rPr>
            <w:noProof/>
            <w:webHidden/>
          </w:rPr>
          <w:fldChar w:fldCharType="begin"/>
        </w:r>
        <w:r w:rsidR="00DA27BA">
          <w:rPr>
            <w:noProof/>
            <w:webHidden/>
          </w:rPr>
          <w:instrText xml:space="preserve"> PAGEREF _Toc373843543 \h </w:instrText>
        </w:r>
        <w:r w:rsidR="00DA27BA">
          <w:rPr>
            <w:noProof/>
            <w:webHidden/>
          </w:rPr>
        </w:r>
        <w:r w:rsidR="00DA27BA">
          <w:rPr>
            <w:noProof/>
            <w:webHidden/>
          </w:rPr>
          <w:fldChar w:fldCharType="separate"/>
        </w:r>
        <w:r w:rsidR="000F722A">
          <w:rPr>
            <w:noProof/>
            <w:webHidden/>
          </w:rPr>
          <w:t>71</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44" w:history="1">
        <w:r w:rsidR="00DA27BA" w:rsidRPr="00FB4889">
          <w:rPr>
            <w:rStyle w:val="Hyperlink"/>
            <w:noProof/>
          </w:rPr>
          <w:t>11.1. Requirement to Determine Adequacy of Current SIP</w:t>
        </w:r>
        <w:r w:rsidR="00DA27BA">
          <w:rPr>
            <w:noProof/>
            <w:webHidden/>
          </w:rPr>
          <w:tab/>
        </w:r>
        <w:r w:rsidR="00DA27BA">
          <w:rPr>
            <w:noProof/>
            <w:webHidden/>
          </w:rPr>
          <w:fldChar w:fldCharType="begin"/>
        </w:r>
        <w:r w:rsidR="00DA27BA">
          <w:rPr>
            <w:noProof/>
            <w:webHidden/>
          </w:rPr>
          <w:instrText xml:space="preserve"> PAGEREF _Toc373843544 \h </w:instrText>
        </w:r>
        <w:r w:rsidR="00DA27BA">
          <w:rPr>
            <w:noProof/>
            <w:webHidden/>
          </w:rPr>
        </w:r>
        <w:r w:rsidR="00DA27BA">
          <w:rPr>
            <w:noProof/>
            <w:webHidden/>
          </w:rPr>
          <w:fldChar w:fldCharType="separate"/>
        </w:r>
        <w:r w:rsidR="000F722A">
          <w:rPr>
            <w:noProof/>
            <w:webHidden/>
          </w:rPr>
          <w:t>71</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45" w:history="1">
        <w:r w:rsidR="00DA27BA" w:rsidRPr="00FB4889">
          <w:rPr>
            <w:rStyle w:val="Hyperlink"/>
            <w:noProof/>
          </w:rPr>
          <w:t>11.2. Determination</w:t>
        </w:r>
        <w:r w:rsidR="00DA27BA">
          <w:rPr>
            <w:noProof/>
            <w:webHidden/>
          </w:rPr>
          <w:tab/>
        </w:r>
        <w:r w:rsidR="00DA27BA">
          <w:rPr>
            <w:noProof/>
            <w:webHidden/>
          </w:rPr>
          <w:fldChar w:fldCharType="begin"/>
        </w:r>
        <w:r w:rsidR="00DA27BA">
          <w:rPr>
            <w:noProof/>
            <w:webHidden/>
          </w:rPr>
          <w:instrText xml:space="preserve"> PAGEREF _Toc373843545 \h </w:instrText>
        </w:r>
        <w:r w:rsidR="00DA27BA">
          <w:rPr>
            <w:noProof/>
            <w:webHidden/>
          </w:rPr>
        </w:r>
        <w:r w:rsidR="00DA27BA">
          <w:rPr>
            <w:noProof/>
            <w:webHidden/>
          </w:rPr>
          <w:fldChar w:fldCharType="separate"/>
        </w:r>
        <w:r w:rsidR="000F722A">
          <w:rPr>
            <w:noProof/>
            <w:webHidden/>
          </w:rPr>
          <w:t>71</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546" w:history="1">
        <w:r w:rsidR="00DA27BA" w:rsidRPr="00FB4889">
          <w:rPr>
            <w:rStyle w:val="Hyperlink"/>
            <w:noProof/>
          </w:rPr>
          <w:t>Section 12:  Consultation with Federal Land Managers</w:t>
        </w:r>
        <w:r w:rsidR="00DA27BA">
          <w:rPr>
            <w:noProof/>
            <w:webHidden/>
          </w:rPr>
          <w:tab/>
        </w:r>
        <w:r w:rsidR="00DA27BA">
          <w:rPr>
            <w:noProof/>
            <w:webHidden/>
          </w:rPr>
          <w:fldChar w:fldCharType="begin"/>
        </w:r>
        <w:r w:rsidR="00DA27BA">
          <w:rPr>
            <w:noProof/>
            <w:webHidden/>
          </w:rPr>
          <w:instrText xml:space="preserve"> PAGEREF _Toc373843546 \h </w:instrText>
        </w:r>
        <w:r w:rsidR="00DA27BA">
          <w:rPr>
            <w:noProof/>
            <w:webHidden/>
          </w:rPr>
        </w:r>
        <w:r w:rsidR="00DA27BA">
          <w:rPr>
            <w:noProof/>
            <w:webHidden/>
          </w:rPr>
          <w:fldChar w:fldCharType="separate"/>
        </w:r>
        <w:r w:rsidR="000F722A">
          <w:rPr>
            <w:noProof/>
            <w:webHidden/>
          </w:rPr>
          <w:t>73</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47" w:history="1">
        <w:r w:rsidR="00DA27BA" w:rsidRPr="00FB4889">
          <w:rPr>
            <w:rStyle w:val="Hyperlink"/>
            <w:noProof/>
          </w:rPr>
          <w:t>12.1. Requirement to Consult Federal Land Managers</w:t>
        </w:r>
        <w:r w:rsidR="00DA27BA">
          <w:rPr>
            <w:noProof/>
            <w:webHidden/>
          </w:rPr>
          <w:tab/>
        </w:r>
        <w:r w:rsidR="00DA27BA">
          <w:rPr>
            <w:noProof/>
            <w:webHidden/>
          </w:rPr>
          <w:fldChar w:fldCharType="begin"/>
        </w:r>
        <w:r w:rsidR="00DA27BA">
          <w:rPr>
            <w:noProof/>
            <w:webHidden/>
          </w:rPr>
          <w:instrText xml:space="preserve"> PAGEREF _Toc373843547 \h </w:instrText>
        </w:r>
        <w:r w:rsidR="00DA27BA">
          <w:rPr>
            <w:noProof/>
            <w:webHidden/>
          </w:rPr>
        </w:r>
        <w:r w:rsidR="00DA27BA">
          <w:rPr>
            <w:noProof/>
            <w:webHidden/>
          </w:rPr>
          <w:fldChar w:fldCharType="separate"/>
        </w:r>
        <w:r w:rsidR="000F722A">
          <w:rPr>
            <w:noProof/>
            <w:webHidden/>
          </w:rPr>
          <w:t>73</w:t>
        </w:r>
        <w:r w:rsidR="00DA27BA">
          <w:rPr>
            <w:noProof/>
            <w:webHidden/>
          </w:rPr>
          <w:fldChar w:fldCharType="end"/>
        </w:r>
      </w:hyperlink>
    </w:p>
    <w:p w:rsidR="00DA27BA" w:rsidRDefault="00CC55EF">
      <w:pPr>
        <w:pStyle w:val="TOC3"/>
        <w:tabs>
          <w:tab w:val="right" w:leader="dot" w:pos="9350"/>
        </w:tabs>
        <w:rPr>
          <w:rFonts w:asciiTheme="minorHAnsi" w:eastAsiaTheme="minorEastAsia" w:hAnsiTheme="minorHAnsi" w:cstheme="minorBidi"/>
          <w:noProof/>
        </w:rPr>
      </w:pPr>
      <w:hyperlink w:anchor="_Toc373843548" w:history="1">
        <w:r w:rsidR="00DA27BA" w:rsidRPr="00FB4889">
          <w:rPr>
            <w:rStyle w:val="Hyperlink"/>
            <w:noProof/>
          </w:rPr>
          <w:t>12.2. Consultation Process</w:t>
        </w:r>
        <w:r w:rsidR="00DA27BA">
          <w:rPr>
            <w:noProof/>
            <w:webHidden/>
          </w:rPr>
          <w:tab/>
        </w:r>
        <w:r w:rsidR="00DA27BA">
          <w:rPr>
            <w:noProof/>
            <w:webHidden/>
          </w:rPr>
          <w:fldChar w:fldCharType="begin"/>
        </w:r>
        <w:r w:rsidR="00DA27BA">
          <w:rPr>
            <w:noProof/>
            <w:webHidden/>
          </w:rPr>
          <w:instrText xml:space="preserve"> PAGEREF _Toc373843548 \h </w:instrText>
        </w:r>
        <w:r w:rsidR="00DA27BA">
          <w:rPr>
            <w:noProof/>
            <w:webHidden/>
          </w:rPr>
        </w:r>
        <w:r w:rsidR="00DA27BA">
          <w:rPr>
            <w:noProof/>
            <w:webHidden/>
          </w:rPr>
          <w:fldChar w:fldCharType="separate"/>
        </w:r>
        <w:r w:rsidR="000F722A">
          <w:rPr>
            <w:noProof/>
            <w:webHidden/>
          </w:rPr>
          <w:t>73</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549" w:history="1">
        <w:r w:rsidR="00DA27BA" w:rsidRPr="00FB4889">
          <w:rPr>
            <w:rStyle w:val="Hyperlink"/>
            <w:noProof/>
          </w:rPr>
          <w:t>Appendix XXX - Acronyms</w:t>
        </w:r>
        <w:r w:rsidR="00DA27BA">
          <w:rPr>
            <w:noProof/>
            <w:webHidden/>
          </w:rPr>
          <w:tab/>
        </w:r>
        <w:r w:rsidR="00DA27BA">
          <w:rPr>
            <w:noProof/>
            <w:webHidden/>
          </w:rPr>
          <w:fldChar w:fldCharType="begin"/>
        </w:r>
        <w:r w:rsidR="00DA27BA">
          <w:rPr>
            <w:noProof/>
            <w:webHidden/>
          </w:rPr>
          <w:instrText xml:space="preserve"> PAGEREF _Toc373843549 \h </w:instrText>
        </w:r>
        <w:r w:rsidR="00DA27BA">
          <w:rPr>
            <w:noProof/>
            <w:webHidden/>
          </w:rPr>
        </w:r>
        <w:r w:rsidR="00DA27BA">
          <w:rPr>
            <w:noProof/>
            <w:webHidden/>
          </w:rPr>
          <w:fldChar w:fldCharType="separate"/>
        </w:r>
        <w:r w:rsidR="000F722A">
          <w:rPr>
            <w:noProof/>
            <w:webHidden/>
          </w:rPr>
          <w:t>75</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550" w:history="1">
        <w:r w:rsidR="00DA27BA" w:rsidRPr="00FB4889">
          <w:rPr>
            <w:rStyle w:val="Hyperlink"/>
            <w:noProof/>
          </w:rPr>
          <w:t>Appendix XXX:  BART Determinations in the State</w:t>
        </w:r>
        <w:r w:rsidR="00DA27BA">
          <w:rPr>
            <w:noProof/>
            <w:webHidden/>
          </w:rPr>
          <w:tab/>
        </w:r>
        <w:r w:rsidR="00DA27BA">
          <w:rPr>
            <w:noProof/>
            <w:webHidden/>
          </w:rPr>
          <w:fldChar w:fldCharType="begin"/>
        </w:r>
        <w:r w:rsidR="00DA27BA">
          <w:rPr>
            <w:noProof/>
            <w:webHidden/>
          </w:rPr>
          <w:instrText xml:space="preserve"> PAGEREF _Toc373843550 \h </w:instrText>
        </w:r>
        <w:r w:rsidR="00DA27BA">
          <w:rPr>
            <w:noProof/>
            <w:webHidden/>
          </w:rPr>
        </w:r>
        <w:r w:rsidR="00DA27BA">
          <w:rPr>
            <w:noProof/>
            <w:webHidden/>
          </w:rPr>
          <w:fldChar w:fldCharType="separate"/>
        </w:r>
        <w:r w:rsidR="000F722A">
          <w:rPr>
            <w:noProof/>
            <w:webHidden/>
          </w:rPr>
          <w:t>76</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551" w:history="1">
        <w:r w:rsidR="00DA27BA" w:rsidRPr="00FB4889">
          <w:rPr>
            <w:rStyle w:val="Hyperlink"/>
            <w:noProof/>
          </w:rPr>
          <w:t>Appendix XXX:  Regional Haze Rule Metric</w:t>
        </w:r>
        <w:r w:rsidR="00DA27BA">
          <w:rPr>
            <w:noProof/>
            <w:webHidden/>
          </w:rPr>
          <w:tab/>
        </w:r>
        <w:r w:rsidR="00DA27BA">
          <w:rPr>
            <w:noProof/>
            <w:webHidden/>
          </w:rPr>
          <w:fldChar w:fldCharType="begin"/>
        </w:r>
        <w:r w:rsidR="00DA27BA">
          <w:rPr>
            <w:noProof/>
            <w:webHidden/>
          </w:rPr>
          <w:instrText xml:space="preserve"> PAGEREF _Toc373843551 \h </w:instrText>
        </w:r>
        <w:r w:rsidR="00DA27BA">
          <w:rPr>
            <w:noProof/>
            <w:webHidden/>
          </w:rPr>
        </w:r>
        <w:r w:rsidR="00DA27BA">
          <w:rPr>
            <w:noProof/>
            <w:webHidden/>
          </w:rPr>
          <w:fldChar w:fldCharType="separate"/>
        </w:r>
        <w:r w:rsidR="000F722A">
          <w:rPr>
            <w:noProof/>
            <w:webHidden/>
          </w:rPr>
          <w:t>77</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552" w:history="1">
        <w:r w:rsidR="00DA27BA" w:rsidRPr="00FB4889">
          <w:rPr>
            <w:rStyle w:val="Hyperlink"/>
            <w:noProof/>
          </w:rPr>
          <w:t>Appendix XXX:  Statement on Controls in MANE-VU</w:t>
        </w:r>
        <w:r w:rsidR="00DA27BA">
          <w:rPr>
            <w:noProof/>
            <w:webHidden/>
          </w:rPr>
          <w:tab/>
        </w:r>
        <w:r w:rsidR="00DA27BA">
          <w:rPr>
            <w:noProof/>
            <w:webHidden/>
          </w:rPr>
          <w:fldChar w:fldCharType="begin"/>
        </w:r>
        <w:r w:rsidR="00DA27BA">
          <w:rPr>
            <w:noProof/>
            <w:webHidden/>
          </w:rPr>
          <w:instrText xml:space="preserve"> PAGEREF _Toc373843552 \h </w:instrText>
        </w:r>
        <w:r w:rsidR="00DA27BA">
          <w:rPr>
            <w:noProof/>
            <w:webHidden/>
          </w:rPr>
        </w:r>
        <w:r w:rsidR="00DA27BA">
          <w:rPr>
            <w:noProof/>
            <w:webHidden/>
          </w:rPr>
          <w:fldChar w:fldCharType="separate"/>
        </w:r>
        <w:r w:rsidR="000F722A">
          <w:rPr>
            <w:noProof/>
            <w:webHidden/>
          </w:rPr>
          <w:t>79</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553" w:history="1">
        <w:r w:rsidR="00DA27BA" w:rsidRPr="00FB4889">
          <w:rPr>
            <w:rStyle w:val="Hyperlink"/>
            <w:noProof/>
          </w:rPr>
          <w:t>Appendix XXX:  Statement on Controls Outside of MANE-VU</w:t>
        </w:r>
        <w:r w:rsidR="00DA27BA">
          <w:rPr>
            <w:noProof/>
            <w:webHidden/>
          </w:rPr>
          <w:tab/>
        </w:r>
        <w:r w:rsidR="00DA27BA">
          <w:rPr>
            <w:noProof/>
            <w:webHidden/>
          </w:rPr>
          <w:fldChar w:fldCharType="begin"/>
        </w:r>
        <w:r w:rsidR="00DA27BA">
          <w:rPr>
            <w:noProof/>
            <w:webHidden/>
          </w:rPr>
          <w:instrText xml:space="preserve"> PAGEREF _Toc373843553 \h </w:instrText>
        </w:r>
        <w:r w:rsidR="00DA27BA">
          <w:rPr>
            <w:noProof/>
            <w:webHidden/>
          </w:rPr>
        </w:r>
        <w:r w:rsidR="00DA27BA">
          <w:rPr>
            <w:noProof/>
            <w:webHidden/>
          </w:rPr>
          <w:fldChar w:fldCharType="separate"/>
        </w:r>
        <w:r w:rsidR="000F722A">
          <w:rPr>
            <w:noProof/>
            <w:webHidden/>
          </w:rPr>
          <w:t>81</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554" w:history="1">
        <w:r w:rsidR="00DA27BA" w:rsidRPr="00FB4889">
          <w:rPr>
            <w:rStyle w:val="Hyperlink"/>
            <w:noProof/>
          </w:rPr>
          <w:t>Appendix XXX:  Statement on National Controls</w:t>
        </w:r>
        <w:r w:rsidR="00DA27BA">
          <w:rPr>
            <w:noProof/>
            <w:webHidden/>
          </w:rPr>
          <w:tab/>
        </w:r>
        <w:r w:rsidR="00DA27BA">
          <w:rPr>
            <w:noProof/>
            <w:webHidden/>
          </w:rPr>
          <w:fldChar w:fldCharType="begin"/>
        </w:r>
        <w:r w:rsidR="00DA27BA">
          <w:rPr>
            <w:noProof/>
            <w:webHidden/>
          </w:rPr>
          <w:instrText xml:space="preserve"> PAGEREF _Toc373843554 \h </w:instrText>
        </w:r>
        <w:r w:rsidR="00DA27BA">
          <w:rPr>
            <w:noProof/>
            <w:webHidden/>
          </w:rPr>
        </w:r>
        <w:r w:rsidR="00DA27BA">
          <w:rPr>
            <w:noProof/>
            <w:webHidden/>
          </w:rPr>
          <w:fldChar w:fldCharType="separate"/>
        </w:r>
        <w:r w:rsidR="000F722A">
          <w:rPr>
            <w:noProof/>
            <w:webHidden/>
          </w:rPr>
          <w:t>83</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555" w:history="1">
        <w:r w:rsidR="00DA27BA" w:rsidRPr="00FB4889">
          <w:rPr>
            <w:rStyle w:val="Hyperlink"/>
            <w:noProof/>
          </w:rPr>
          <w:t>Appendix XXX:  Summary of and Response to Comments from Federal Land Managers</w:t>
        </w:r>
        <w:r w:rsidR="00DA27BA">
          <w:rPr>
            <w:noProof/>
            <w:webHidden/>
          </w:rPr>
          <w:tab/>
        </w:r>
        <w:r w:rsidR="00DA27BA">
          <w:rPr>
            <w:noProof/>
            <w:webHidden/>
          </w:rPr>
          <w:fldChar w:fldCharType="begin"/>
        </w:r>
        <w:r w:rsidR="00DA27BA">
          <w:rPr>
            <w:noProof/>
            <w:webHidden/>
          </w:rPr>
          <w:instrText xml:space="preserve"> PAGEREF _Toc373843555 \h </w:instrText>
        </w:r>
        <w:r w:rsidR="00DA27BA">
          <w:rPr>
            <w:noProof/>
            <w:webHidden/>
          </w:rPr>
        </w:r>
        <w:r w:rsidR="00DA27BA">
          <w:rPr>
            <w:noProof/>
            <w:webHidden/>
          </w:rPr>
          <w:fldChar w:fldCharType="separate"/>
        </w:r>
        <w:r w:rsidR="000F722A">
          <w:rPr>
            <w:noProof/>
            <w:webHidden/>
          </w:rPr>
          <w:t>85</w:t>
        </w:r>
        <w:r w:rsidR="00DA27BA">
          <w:rPr>
            <w:noProof/>
            <w:webHidden/>
          </w:rPr>
          <w:fldChar w:fldCharType="end"/>
        </w:r>
      </w:hyperlink>
    </w:p>
    <w:p w:rsidR="00DA27BA" w:rsidRDefault="00CC55EF">
      <w:pPr>
        <w:pStyle w:val="TOC2"/>
        <w:tabs>
          <w:tab w:val="right" w:leader="dot" w:pos="9350"/>
        </w:tabs>
        <w:rPr>
          <w:rFonts w:asciiTheme="minorHAnsi" w:eastAsiaTheme="minorEastAsia" w:hAnsiTheme="minorHAnsi" w:cstheme="minorBidi"/>
          <w:noProof/>
        </w:rPr>
      </w:pPr>
      <w:hyperlink w:anchor="_Toc373843556" w:history="1">
        <w:r w:rsidR="00DA27BA" w:rsidRPr="00FB4889">
          <w:rPr>
            <w:rStyle w:val="Hyperlink"/>
            <w:noProof/>
          </w:rPr>
          <w:t>Appendix XXX:  Status of Emissions from 167 Key Stacks</w:t>
        </w:r>
        <w:r w:rsidR="00DA27BA">
          <w:rPr>
            <w:noProof/>
            <w:webHidden/>
          </w:rPr>
          <w:tab/>
        </w:r>
        <w:r w:rsidR="00DA27BA">
          <w:rPr>
            <w:noProof/>
            <w:webHidden/>
          </w:rPr>
          <w:fldChar w:fldCharType="begin"/>
        </w:r>
        <w:r w:rsidR="00DA27BA">
          <w:rPr>
            <w:noProof/>
            <w:webHidden/>
          </w:rPr>
          <w:instrText xml:space="preserve"> PAGEREF _Toc373843556 \h </w:instrText>
        </w:r>
        <w:r w:rsidR="00DA27BA">
          <w:rPr>
            <w:noProof/>
            <w:webHidden/>
          </w:rPr>
        </w:r>
        <w:r w:rsidR="00DA27BA">
          <w:rPr>
            <w:noProof/>
            <w:webHidden/>
          </w:rPr>
          <w:fldChar w:fldCharType="separate"/>
        </w:r>
        <w:r w:rsidR="000F722A">
          <w:rPr>
            <w:noProof/>
            <w:webHidden/>
          </w:rPr>
          <w:t>86</w:t>
        </w:r>
        <w:r w:rsidR="00DA27BA">
          <w:rPr>
            <w:noProof/>
            <w:webHidden/>
          </w:rPr>
          <w:fldChar w:fldCharType="end"/>
        </w:r>
      </w:hyperlink>
    </w:p>
    <w:p w:rsidR="00E71C51" w:rsidRDefault="00413C29">
      <w:r w:rsidRPr="00AC5502">
        <w:fldChar w:fldCharType="end"/>
      </w:r>
    </w:p>
    <w:p w:rsidR="00B374D0" w:rsidRDefault="00B374D0">
      <w:pPr>
        <w:spacing w:after="0" w:line="240" w:lineRule="auto"/>
        <w:rPr>
          <w:rFonts w:ascii="Cambria" w:hAnsi="Cambria"/>
          <w:b/>
          <w:bCs/>
          <w:color w:val="000000" w:themeColor="text1"/>
          <w:sz w:val="28"/>
          <w:szCs w:val="28"/>
          <w:lang w:eastAsia="ja-JP"/>
        </w:rPr>
      </w:pPr>
      <w:r>
        <w:rPr>
          <w:rFonts w:ascii="Cambria" w:hAnsi="Cambria"/>
          <w:b/>
          <w:bCs/>
          <w:color w:val="000000" w:themeColor="text1"/>
          <w:sz w:val="28"/>
          <w:szCs w:val="28"/>
          <w:lang w:eastAsia="ja-JP"/>
        </w:rPr>
        <w:br w:type="page"/>
      </w:r>
    </w:p>
    <w:p w:rsidR="00E71C51" w:rsidRPr="0040350E" w:rsidRDefault="00ED1FAE" w:rsidP="0040350E">
      <w:pPr>
        <w:pStyle w:val="Heading2"/>
      </w:pPr>
      <w:bookmarkStart w:id="15" w:name="_Toc373843485"/>
      <w:r>
        <w:lastRenderedPageBreak/>
        <w:t xml:space="preserve">List of </w:t>
      </w:r>
      <w:r w:rsidR="00E71C51" w:rsidRPr="0040350E">
        <w:t>Figures</w:t>
      </w:r>
      <w:bookmarkEnd w:id="15"/>
    </w:p>
    <w:p w:rsidR="005A723C" w:rsidRDefault="00C16F27">
      <w:pPr>
        <w:pStyle w:val="TableofFigures"/>
        <w:tabs>
          <w:tab w:val="right" w:leader="dot" w:pos="9350"/>
        </w:tabs>
        <w:rPr>
          <w:rFonts w:eastAsiaTheme="minorEastAsia" w:cstheme="minorBidi"/>
          <w:smallCaps w:val="0"/>
          <w:noProof/>
          <w:sz w:val="22"/>
          <w:szCs w:val="22"/>
        </w:rPr>
      </w:pPr>
      <w:r>
        <w:rPr>
          <w:b/>
          <w:caps/>
          <w:color w:val="365F91"/>
          <w:lang w:eastAsia="ja-JP"/>
        </w:rPr>
        <w:fldChar w:fldCharType="begin"/>
      </w:r>
      <w:r>
        <w:rPr>
          <w:b/>
          <w:caps/>
          <w:color w:val="365F91"/>
          <w:lang w:eastAsia="ja-JP"/>
        </w:rPr>
        <w:instrText xml:space="preserve"> TOC \h \z \t "2Tables and Figures2" \c </w:instrText>
      </w:r>
      <w:r>
        <w:rPr>
          <w:b/>
          <w:caps/>
          <w:color w:val="365F91"/>
          <w:lang w:eastAsia="ja-JP"/>
        </w:rPr>
        <w:fldChar w:fldCharType="separate"/>
      </w:r>
      <w:hyperlink w:anchor="_Toc374023001" w:history="1">
        <w:r w:rsidR="005A723C" w:rsidRPr="004A6253">
          <w:rPr>
            <w:rStyle w:val="Hyperlink"/>
            <w:noProof/>
          </w:rPr>
          <w:t>Figure 1.1. Nearby Class I Areas</w:t>
        </w:r>
        <w:r w:rsidR="005A723C">
          <w:rPr>
            <w:noProof/>
            <w:webHidden/>
          </w:rPr>
          <w:tab/>
        </w:r>
        <w:r w:rsidR="005A723C">
          <w:rPr>
            <w:noProof/>
            <w:webHidden/>
          </w:rPr>
          <w:fldChar w:fldCharType="begin"/>
        </w:r>
        <w:r w:rsidR="005A723C">
          <w:rPr>
            <w:noProof/>
            <w:webHidden/>
          </w:rPr>
          <w:instrText xml:space="preserve"> PAGEREF _Toc374023001 \h </w:instrText>
        </w:r>
        <w:r w:rsidR="005A723C">
          <w:rPr>
            <w:noProof/>
            <w:webHidden/>
          </w:rPr>
        </w:r>
        <w:r w:rsidR="005A723C">
          <w:rPr>
            <w:noProof/>
            <w:webHidden/>
          </w:rPr>
          <w:fldChar w:fldCharType="separate"/>
        </w:r>
        <w:r w:rsidR="005A723C">
          <w:rPr>
            <w:noProof/>
            <w:webHidden/>
          </w:rPr>
          <w:t>17</w:t>
        </w:r>
        <w:r w:rsidR="005A723C">
          <w:rPr>
            <w:noProof/>
            <w:webHidden/>
          </w:rPr>
          <w:fldChar w:fldCharType="end"/>
        </w:r>
      </w:hyperlink>
    </w:p>
    <w:p w:rsidR="005A723C" w:rsidRDefault="00CC55EF">
      <w:pPr>
        <w:pStyle w:val="TableofFigures"/>
        <w:tabs>
          <w:tab w:val="right" w:leader="dot" w:pos="9350"/>
        </w:tabs>
        <w:rPr>
          <w:rFonts w:eastAsiaTheme="minorEastAsia" w:cstheme="minorBidi"/>
          <w:smallCaps w:val="0"/>
          <w:noProof/>
          <w:sz w:val="22"/>
          <w:szCs w:val="22"/>
        </w:rPr>
      </w:pPr>
      <w:hyperlink w:anchor="_Toc374023002" w:history="1">
        <w:r w:rsidR="005A723C" w:rsidRPr="004A6253">
          <w:rPr>
            <w:rStyle w:val="Hyperlink"/>
            <w:noProof/>
          </w:rPr>
          <w:t>Figure 1.2. Map of U.S. Regional Planning Organizations</w:t>
        </w:r>
        <w:r w:rsidR="005A723C">
          <w:rPr>
            <w:noProof/>
            <w:webHidden/>
          </w:rPr>
          <w:tab/>
        </w:r>
        <w:r w:rsidR="005A723C">
          <w:rPr>
            <w:noProof/>
            <w:webHidden/>
          </w:rPr>
          <w:fldChar w:fldCharType="begin"/>
        </w:r>
        <w:r w:rsidR="005A723C">
          <w:rPr>
            <w:noProof/>
            <w:webHidden/>
          </w:rPr>
          <w:instrText xml:space="preserve"> PAGEREF _Toc374023002 \h </w:instrText>
        </w:r>
        <w:r w:rsidR="005A723C">
          <w:rPr>
            <w:noProof/>
            <w:webHidden/>
          </w:rPr>
        </w:r>
        <w:r w:rsidR="005A723C">
          <w:rPr>
            <w:noProof/>
            <w:webHidden/>
          </w:rPr>
          <w:fldChar w:fldCharType="separate"/>
        </w:r>
        <w:r w:rsidR="005A723C">
          <w:rPr>
            <w:noProof/>
            <w:webHidden/>
          </w:rPr>
          <w:t>18</w:t>
        </w:r>
        <w:r w:rsidR="005A723C">
          <w:rPr>
            <w:noProof/>
            <w:webHidden/>
          </w:rPr>
          <w:fldChar w:fldCharType="end"/>
        </w:r>
      </w:hyperlink>
    </w:p>
    <w:p w:rsidR="005A723C" w:rsidRDefault="00CC55EF">
      <w:pPr>
        <w:pStyle w:val="TableofFigures"/>
        <w:tabs>
          <w:tab w:val="right" w:leader="dot" w:pos="9350"/>
        </w:tabs>
        <w:rPr>
          <w:rFonts w:eastAsiaTheme="minorEastAsia" w:cstheme="minorBidi"/>
          <w:smallCaps w:val="0"/>
          <w:noProof/>
          <w:sz w:val="22"/>
          <w:szCs w:val="22"/>
        </w:rPr>
      </w:pPr>
      <w:hyperlink w:anchor="_Toc374023003" w:history="1">
        <w:r w:rsidR="005A723C" w:rsidRPr="004A6253">
          <w:rPr>
            <w:rStyle w:val="Hyperlink"/>
            <w:noProof/>
          </w:rPr>
          <w:t>Figure 2.1.  Charts of MANE-VU Class 1 Area Visibility 2000 – 2010, compared to Reasonable Progress Goals for 2018</w:t>
        </w:r>
        <w:r w:rsidR="005A723C">
          <w:rPr>
            <w:noProof/>
            <w:webHidden/>
          </w:rPr>
          <w:tab/>
        </w:r>
        <w:r w:rsidR="005A723C">
          <w:rPr>
            <w:noProof/>
            <w:webHidden/>
          </w:rPr>
          <w:fldChar w:fldCharType="begin"/>
        </w:r>
        <w:r w:rsidR="005A723C">
          <w:rPr>
            <w:noProof/>
            <w:webHidden/>
          </w:rPr>
          <w:instrText xml:space="preserve"> PAGEREF _Toc374023003 \h </w:instrText>
        </w:r>
        <w:r w:rsidR="005A723C">
          <w:rPr>
            <w:noProof/>
            <w:webHidden/>
          </w:rPr>
        </w:r>
        <w:r w:rsidR="005A723C">
          <w:rPr>
            <w:noProof/>
            <w:webHidden/>
          </w:rPr>
          <w:fldChar w:fldCharType="separate"/>
        </w:r>
        <w:r w:rsidR="005A723C">
          <w:rPr>
            <w:noProof/>
            <w:webHidden/>
          </w:rPr>
          <w:t>29</w:t>
        </w:r>
        <w:r w:rsidR="005A723C">
          <w:rPr>
            <w:noProof/>
            <w:webHidden/>
          </w:rPr>
          <w:fldChar w:fldCharType="end"/>
        </w:r>
      </w:hyperlink>
    </w:p>
    <w:p w:rsidR="005A723C" w:rsidRDefault="00CC55EF">
      <w:pPr>
        <w:pStyle w:val="TableofFigures"/>
        <w:tabs>
          <w:tab w:val="right" w:leader="dot" w:pos="9350"/>
        </w:tabs>
        <w:rPr>
          <w:rFonts w:eastAsiaTheme="minorEastAsia" w:cstheme="minorBidi"/>
          <w:smallCaps w:val="0"/>
          <w:noProof/>
          <w:sz w:val="22"/>
          <w:szCs w:val="22"/>
        </w:rPr>
      </w:pPr>
      <w:hyperlink w:anchor="_Toc374023004" w:history="1">
        <w:r w:rsidR="005A723C" w:rsidRPr="004A6253">
          <w:rPr>
            <w:rStyle w:val="Hyperlink"/>
            <w:noProof/>
          </w:rPr>
          <w:t>Figure 2.1.a. Acadia National Park</w:t>
        </w:r>
        <w:r w:rsidR="005A723C">
          <w:rPr>
            <w:noProof/>
            <w:webHidden/>
          </w:rPr>
          <w:tab/>
        </w:r>
        <w:r w:rsidR="005A723C">
          <w:rPr>
            <w:noProof/>
            <w:webHidden/>
          </w:rPr>
          <w:fldChar w:fldCharType="begin"/>
        </w:r>
        <w:r w:rsidR="005A723C">
          <w:rPr>
            <w:noProof/>
            <w:webHidden/>
          </w:rPr>
          <w:instrText xml:space="preserve"> PAGEREF _Toc374023004 \h </w:instrText>
        </w:r>
        <w:r w:rsidR="005A723C">
          <w:rPr>
            <w:noProof/>
            <w:webHidden/>
          </w:rPr>
        </w:r>
        <w:r w:rsidR="005A723C">
          <w:rPr>
            <w:noProof/>
            <w:webHidden/>
          </w:rPr>
          <w:fldChar w:fldCharType="separate"/>
        </w:r>
        <w:r w:rsidR="005A723C">
          <w:rPr>
            <w:noProof/>
            <w:webHidden/>
          </w:rPr>
          <w:t>29</w:t>
        </w:r>
        <w:r w:rsidR="005A723C">
          <w:rPr>
            <w:noProof/>
            <w:webHidden/>
          </w:rPr>
          <w:fldChar w:fldCharType="end"/>
        </w:r>
      </w:hyperlink>
    </w:p>
    <w:p w:rsidR="005A723C" w:rsidRDefault="00CC55EF">
      <w:pPr>
        <w:pStyle w:val="TableofFigures"/>
        <w:tabs>
          <w:tab w:val="right" w:leader="dot" w:pos="9350"/>
        </w:tabs>
        <w:rPr>
          <w:rFonts w:eastAsiaTheme="minorEastAsia" w:cstheme="minorBidi"/>
          <w:smallCaps w:val="0"/>
          <w:noProof/>
          <w:sz w:val="22"/>
          <w:szCs w:val="22"/>
        </w:rPr>
      </w:pPr>
      <w:hyperlink w:anchor="_Toc374023005" w:history="1">
        <w:r w:rsidR="005A723C" w:rsidRPr="004A6253">
          <w:rPr>
            <w:rStyle w:val="Hyperlink"/>
            <w:noProof/>
          </w:rPr>
          <w:t>Figure 2.1.b. Brigantine Wilderness</w:t>
        </w:r>
        <w:r w:rsidR="005A723C">
          <w:rPr>
            <w:noProof/>
            <w:webHidden/>
          </w:rPr>
          <w:tab/>
        </w:r>
        <w:r w:rsidR="005A723C">
          <w:rPr>
            <w:noProof/>
            <w:webHidden/>
          </w:rPr>
          <w:fldChar w:fldCharType="begin"/>
        </w:r>
        <w:r w:rsidR="005A723C">
          <w:rPr>
            <w:noProof/>
            <w:webHidden/>
          </w:rPr>
          <w:instrText xml:space="preserve"> PAGEREF _Toc374023005 \h </w:instrText>
        </w:r>
        <w:r w:rsidR="005A723C">
          <w:rPr>
            <w:noProof/>
            <w:webHidden/>
          </w:rPr>
        </w:r>
        <w:r w:rsidR="005A723C">
          <w:rPr>
            <w:noProof/>
            <w:webHidden/>
          </w:rPr>
          <w:fldChar w:fldCharType="separate"/>
        </w:r>
        <w:r w:rsidR="005A723C">
          <w:rPr>
            <w:noProof/>
            <w:webHidden/>
          </w:rPr>
          <w:t>30</w:t>
        </w:r>
        <w:r w:rsidR="005A723C">
          <w:rPr>
            <w:noProof/>
            <w:webHidden/>
          </w:rPr>
          <w:fldChar w:fldCharType="end"/>
        </w:r>
      </w:hyperlink>
    </w:p>
    <w:p w:rsidR="005A723C" w:rsidRDefault="00CC55EF">
      <w:pPr>
        <w:pStyle w:val="TableofFigures"/>
        <w:tabs>
          <w:tab w:val="right" w:leader="dot" w:pos="9350"/>
        </w:tabs>
        <w:rPr>
          <w:rFonts w:eastAsiaTheme="minorEastAsia" w:cstheme="minorBidi"/>
          <w:smallCaps w:val="0"/>
          <w:noProof/>
          <w:sz w:val="22"/>
          <w:szCs w:val="22"/>
        </w:rPr>
      </w:pPr>
      <w:hyperlink w:anchor="_Toc374023006" w:history="1">
        <w:r w:rsidR="005A723C" w:rsidRPr="004A6253">
          <w:rPr>
            <w:rStyle w:val="Hyperlink"/>
            <w:noProof/>
          </w:rPr>
          <w:t>Figure 2.1.c. Great Gulf Wilderness</w:t>
        </w:r>
        <w:r w:rsidR="005A723C">
          <w:rPr>
            <w:noProof/>
            <w:webHidden/>
          </w:rPr>
          <w:tab/>
        </w:r>
        <w:r w:rsidR="005A723C">
          <w:rPr>
            <w:noProof/>
            <w:webHidden/>
          </w:rPr>
          <w:fldChar w:fldCharType="begin"/>
        </w:r>
        <w:r w:rsidR="005A723C">
          <w:rPr>
            <w:noProof/>
            <w:webHidden/>
          </w:rPr>
          <w:instrText xml:space="preserve"> PAGEREF _Toc374023006 \h </w:instrText>
        </w:r>
        <w:r w:rsidR="005A723C">
          <w:rPr>
            <w:noProof/>
            <w:webHidden/>
          </w:rPr>
        </w:r>
        <w:r w:rsidR="005A723C">
          <w:rPr>
            <w:noProof/>
            <w:webHidden/>
          </w:rPr>
          <w:fldChar w:fldCharType="separate"/>
        </w:r>
        <w:r w:rsidR="005A723C">
          <w:rPr>
            <w:noProof/>
            <w:webHidden/>
          </w:rPr>
          <w:t>30</w:t>
        </w:r>
        <w:r w:rsidR="005A723C">
          <w:rPr>
            <w:noProof/>
            <w:webHidden/>
          </w:rPr>
          <w:fldChar w:fldCharType="end"/>
        </w:r>
      </w:hyperlink>
    </w:p>
    <w:p w:rsidR="005A723C" w:rsidRDefault="00CC55EF">
      <w:pPr>
        <w:pStyle w:val="TableofFigures"/>
        <w:tabs>
          <w:tab w:val="right" w:leader="dot" w:pos="9350"/>
        </w:tabs>
        <w:rPr>
          <w:rFonts w:eastAsiaTheme="minorEastAsia" w:cstheme="minorBidi"/>
          <w:smallCaps w:val="0"/>
          <w:noProof/>
          <w:sz w:val="22"/>
          <w:szCs w:val="22"/>
        </w:rPr>
      </w:pPr>
      <w:hyperlink w:anchor="_Toc374023007" w:history="1">
        <w:r w:rsidR="005A723C" w:rsidRPr="004A6253">
          <w:rPr>
            <w:rStyle w:val="Hyperlink"/>
            <w:noProof/>
          </w:rPr>
          <w:t>Figure 2.1.d. Lye Brook Wilderness</w:t>
        </w:r>
        <w:r w:rsidR="005A723C">
          <w:rPr>
            <w:noProof/>
            <w:webHidden/>
          </w:rPr>
          <w:tab/>
        </w:r>
        <w:r w:rsidR="005A723C">
          <w:rPr>
            <w:noProof/>
            <w:webHidden/>
          </w:rPr>
          <w:fldChar w:fldCharType="begin"/>
        </w:r>
        <w:r w:rsidR="005A723C">
          <w:rPr>
            <w:noProof/>
            <w:webHidden/>
          </w:rPr>
          <w:instrText xml:space="preserve"> PAGEREF _Toc374023007 \h </w:instrText>
        </w:r>
        <w:r w:rsidR="005A723C">
          <w:rPr>
            <w:noProof/>
            <w:webHidden/>
          </w:rPr>
        </w:r>
        <w:r w:rsidR="005A723C">
          <w:rPr>
            <w:noProof/>
            <w:webHidden/>
          </w:rPr>
          <w:fldChar w:fldCharType="separate"/>
        </w:r>
        <w:r w:rsidR="005A723C">
          <w:rPr>
            <w:noProof/>
            <w:webHidden/>
          </w:rPr>
          <w:t>31</w:t>
        </w:r>
        <w:r w:rsidR="005A723C">
          <w:rPr>
            <w:noProof/>
            <w:webHidden/>
          </w:rPr>
          <w:fldChar w:fldCharType="end"/>
        </w:r>
      </w:hyperlink>
    </w:p>
    <w:p w:rsidR="005A723C" w:rsidRDefault="00CC55EF">
      <w:pPr>
        <w:pStyle w:val="TableofFigures"/>
        <w:tabs>
          <w:tab w:val="right" w:leader="dot" w:pos="9350"/>
        </w:tabs>
        <w:rPr>
          <w:rFonts w:eastAsiaTheme="minorEastAsia" w:cstheme="minorBidi"/>
          <w:smallCaps w:val="0"/>
          <w:noProof/>
          <w:sz w:val="22"/>
          <w:szCs w:val="22"/>
        </w:rPr>
      </w:pPr>
      <w:hyperlink w:anchor="_Toc374023008" w:history="1">
        <w:r w:rsidR="005A723C" w:rsidRPr="004A6253">
          <w:rPr>
            <w:rStyle w:val="Hyperlink"/>
            <w:noProof/>
          </w:rPr>
          <w:t>Figure 2.1.e. Moosehorn Wilderness</w:t>
        </w:r>
        <w:r w:rsidR="005A723C">
          <w:rPr>
            <w:noProof/>
            <w:webHidden/>
          </w:rPr>
          <w:tab/>
        </w:r>
        <w:r w:rsidR="005A723C">
          <w:rPr>
            <w:noProof/>
            <w:webHidden/>
          </w:rPr>
          <w:fldChar w:fldCharType="begin"/>
        </w:r>
        <w:r w:rsidR="005A723C">
          <w:rPr>
            <w:noProof/>
            <w:webHidden/>
          </w:rPr>
          <w:instrText xml:space="preserve"> PAGEREF _Toc374023008 \h </w:instrText>
        </w:r>
        <w:r w:rsidR="005A723C">
          <w:rPr>
            <w:noProof/>
            <w:webHidden/>
          </w:rPr>
        </w:r>
        <w:r w:rsidR="005A723C">
          <w:rPr>
            <w:noProof/>
            <w:webHidden/>
          </w:rPr>
          <w:fldChar w:fldCharType="separate"/>
        </w:r>
        <w:r w:rsidR="005A723C">
          <w:rPr>
            <w:noProof/>
            <w:webHidden/>
          </w:rPr>
          <w:t>31</w:t>
        </w:r>
        <w:r w:rsidR="005A723C">
          <w:rPr>
            <w:noProof/>
            <w:webHidden/>
          </w:rPr>
          <w:fldChar w:fldCharType="end"/>
        </w:r>
      </w:hyperlink>
    </w:p>
    <w:p w:rsidR="005A723C" w:rsidRDefault="00CC55EF">
      <w:pPr>
        <w:pStyle w:val="TableofFigures"/>
        <w:tabs>
          <w:tab w:val="right" w:leader="dot" w:pos="9350"/>
        </w:tabs>
        <w:rPr>
          <w:rFonts w:eastAsiaTheme="minorEastAsia" w:cstheme="minorBidi"/>
          <w:smallCaps w:val="0"/>
          <w:noProof/>
          <w:sz w:val="22"/>
          <w:szCs w:val="22"/>
        </w:rPr>
      </w:pPr>
      <w:hyperlink w:anchor="_Toc374023009" w:history="1">
        <w:r w:rsidR="005A723C" w:rsidRPr="004A6253">
          <w:rPr>
            <w:rStyle w:val="Hyperlink"/>
            <w:noProof/>
          </w:rPr>
          <w:t>Figure 2.1.f. Dolly Sodds Wilderness</w:t>
        </w:r>
        <w:r w:rsidR="005A723C">
          <w:rPr>
            <w:noProof/>
            <w:webHidden/>
          </w:rPr>
          <w:tab/>
        </w:r>
        <w:r w:rsidR="005A723C">
          <w:rPr>
            <w:noProof/>
            <w:webHidden/>
          </w:rPr>
          <w:fldChar w:fldCharType="begin"/>
        </w:r>
        <w:r w:rsidR="005A723C">
          <w:rPr>
            <w:noProof/>
            <w:webHidden/>
          </w:rPr>
          <w:instrText xml:space="preserve"> PAGEREF _Toc374023009 \h </w:instrText>
        </w:r>
        <w:r w:rsidR="005A723C">
          <w:rPr>
            <w:noProof/>
            <w:webHidden/>
          </w:rPr>
        </w:r>
        <w:r w:rsidR="005A723C">
          <w:rPr>
            <w:noProof/>
            <w:webHidden/>
          </w:rPr>
          <w:fldChar w:fldCharType="separate"/>
        </w:r>
        <w:r w:rsidR="005A723C">
          <w:rPr>
            <w:noProof/>
            <w:webHidden/>
          </w:rPr>
          <w:t>32</w:t>
        </w:r>
        <w:r w:rsidR="005A723C">
          <w:rPr>
            <w:noProof/>
            <w:webHidden/>
          </w:rPr>
          <w:fldChar w:fldCharType="end"/>
        </w:r>
      </w:hyperlink>
    </w:p>
    <w:p w:rsidR="005A723C" w:rsidRDefault="00CC55EF">
      <w:pPr>
        <w:pStyle w:val="TableofFigures"/>
        <w:tabs>
          <w:tab w:val="right" w:leader="dot" w:pos="9350"/>
        </w:tabs>
        <w:rPr>
          <w:rFonts w:eastAsiaTheme="minorEastAsia" w:cstheme="minorBidi"/>
          <w:smallCaps w:val="0"/>
          <w:noProof/>
          <w:sz w:val="22"/>
          <w:szCs w:val="22"/>
        </w:rPr>
      </w:pPr>
      <w:hyperlink w:anchor="_Toc374023010" w:history="1">
        <w:r w:rsidR="005A723C" w:rsidRPr="004A6253">
          <w:rPr>
            <w:rStyle w:val="Hyperlink"/>
            <w:noProof/>
          </w:rPr>
          <w:t>Figure 2.1.g. Shenandoah Valley National Park</w:t>
        </w:r>
        <w:r w:rsidR="005A723C">
          <w:rPr>
            <w:noProof/>
            <w:webHidden/>
          </w:rPr>
          <w:tab/>
        </w:r>
        <w:r w:rsidR="005A723C">
          <w:rPr>
            <w:noProof/>
            <w:webHidden/>
          </w:rPr>
          <w:fldChar w:fldCharType="begin"/>
        </w:r>
        <w:r w:rsidR="005A723C">
          <w:rPr>
            <w:noProof/>
            <w:webHidden/>
          </w:rPr>
          <w:instrText xml:space="preserve"> PAGEREF _Toc374023010 \h </w:instrText>
        </w:r>
        <w:r w:rsidR="005A723C">
          <w:rPr>
            <w:noProof/>
            <w:webHidden/>
          </w:rPr>
        </w:r>
        <w:r w:rsidR="005A723C">
          <w:rPr>
            <w:noProof/>
            <w:webHidden/>
          </w:rPr>
          <w:fldChar w:fldCharType="separate"/>
        </w:r>
        <w:r w:rsidR="005A723C">
          <w:rPr>
            <w:noProof/>
            <w:webHidden/>
          </w:rPr>
          <w:t>32</w:t>
        </w:r>
        <w:r w:rsidR="005A723C">
          <w:rPr>
            <w:noProof/>
            <w:webHidden/>
          </w:rPr>
          <w:fldChar w:fldCharType="end"/>
        </w:r>
      </w:hyperlink>
    </w:p>
    <w:p w:rsidR="005A723C" w:rsidRDefault="00CC55EF">
      <w:pPr>
        <w:pStyle w:val="TableofFigures"/>
        <w:tabs>
          <w:tab w:val="right" w:leader="dot" w:pos="9350"/>
        </w:tabs>
        <w:rPr>
          <w:rFonts w:eastAsiaTheme="minorEastAsia" w:cstheme="minorBidi"/>
          <w:smallCaps w:val="0"/>
          <w:noProof/>
          <w:sz w:val="22"/>
          <w:szCs w:val="22"/>
        </w:rPr>
      </w:pPr>
      <w:hyperlink w:anchor="_Toc374023011" w:history="1">
        <w:r w:rsidR="005A723C" w:rsidRPr="004A6253">
          <w:rPr>
            <w:rStyle w:val="Hyperlink"/>
            <w:noProof/>
          </w:rPr>
          <w:t xml:space="preserve">Figure 2.2.  Visibility Improvements through 2009 by Particle Constituents on </w:t>
        </w:r>
        <w:r w:rsidR="005A723C" w:rsidRPr="005A723C">
          <w:rPr>
            <w:rStyle w:val="Hyperlink"/>
            <w:noProof/>
          </w:rPr>
          <w:t>Haziest</w:t>
        </w:r>
        <w:r w:rsidR="005A723C" w:rsidRPr="004A6253">
          <w:rPr>
            <w:rStyle w:val="Hyperlink"/>
            <w:noProof/>
          </w:rPr>
          <w:t xml:space="preserve"> 20% Days in MANE-VU Class I Areas</w:t>
        </w:r>
        <w:r w:rsidR="005A723C">
          <w:rPr>
            <w:noProof/>
            <w:webHidden/>
          </w:rPr>
          <w:tab/>
        </w:r>
        <w:r w:rsidR="005A723C">
          <w:rPr>
            <w:noProof/>
            <w:webHidden/>
          </w:rPr>
          <w:fldChar w:fldCharType="begin"/>
        </w:r>
        <w:r w:rsidR="005A723C">
          <w:rPr>
            <w:noProof/>
            <w:webHidden/>
          </w:rPr>
          <w:instrText xml:space="preserve"> PAGEREF _Toc374023011 \h </w:instrText>
        </w:r>
        <w:r w:rsidR="005A723C">
          <w:rPr>
            <w:noProof/>
            <w:webHidden/>
          </w:rPr>
        </w:r>
        <w:r w:rsidR="005A723C">
          <w:rPr>
            <w:noProof/>
            <w:webHidden/>
          </w:rPr>
          <w:fldChar w:fldCharType="separate"/>
        </w:r>
        <w:r w:rsidR="005A723C">
          <w:rPr>
            <w:noProof/>
            <w:webHidden/>
          </w:rPr>
          <w:t>35</w:t>
        </w:r>
        <w:r w:rsidR="005A723C">
          <w:rPr>
            <w:noProof/>
            <w:webHidden/>
          </w:rPr>
          <w:fldChar w:fldCharType="end"/>
        </w:r>
      </w:hyperlink>
    </w:p>
    <w:p w:rsidR="005A723C" w:rsidRDefault="00CC55EF">
      <w:pPr>
        <w:pStyle w:val="TableofFigures"/>
        <w:tabs>
          <w:tab w:val="right" w:leader="dot" w:pos="9350"/>
        </w:tabs>
        <w:rPr>
          <w:rFonts w:eastAsiaTheme="minorEastAsia" w:cstheme="minorBidi"/>
          <w:smallCaps w:val="0"/>
          <w:noProof/>
          <w:sz w:val="22"/>
          <w:szCs w:val="22"/>
        </w:rPr>
      </w:pPr>
      <w:hyperlink w:anchor="_Toc374023012" w:history="1">
        <w:r w:rsidR="005A723C" w:rsidRPr="004A6253">
          <w:rPr>
            <w:rStyle w:val="Hyperlink"/>
            <w:noProof/>
          </w:rPr>
          <w:t>Figure 2.3.  Visibility Improvements through 2009 by Particle Constituents on Clearest 20% Days in MANE-VU Class I Areas</w:t>
        </w:r>
        <w:r w:rsidR="005A723C">
          <w:rPr>
            <w:noProof/>
            <w:webHidden/>
          </w:rPr>
          <w:tab/>
        </w:r>
        <w:r w:rsidR="005A723C">
          <w:rPr>
            <w:noProof/>
            <w:webHidden/>
          </w:rPr>
          <w:fldChar w:fldCharType="begin"/>
        </w:r>
        <w:r w:rsidR="005A723C">
          <w:rPr>
            <w:noProof/>
            <w:webHidden/>
          </w:rPr>
          <w:instrText xml:space="preserve"> PAGEREF _Toc374023012 \h </w:instrText>
        </w:r>
        <w:r w:rsidR="005A723C">
          <w:rPr>
            <w:noProof/>
            <w:webHidden/>
          </w:rPr>
        </w:r>
        <w:r w:rsidR="005A723C">
          <w:rPr>
            <w:noProof/>
            <w:webHidden/>
          </w:rPr>
          <w:fldChar w:fldCharType="separate"/>
        </w:r>
        <w:r w:rsidR="005A723C">
          <w:rPr>
            <w:noProof/>
            <w:webHidden/>
          </w:rPr>
          <w:t>35</w:t>
        </w:r>
        <w:r w:rsidR="005A723C">
          <w:rPr>
            <w:noProof/>
            <w:webHidden/>
          </w:rPr>
          <w:fldChar w:fldCharType="end"/>
        </w:r>
      </w:hyperlink>
    </w:p>
    <w:p w:rsidR="005A723C" w:rsidRDefault="00CC55EF">
      <w:pPr>
        <w:pStyle w:val="TableofFigures"/>
        <w:tabs>
          <w:tab w:val="right" w:leader="dot" w:pos="9350"/>
        </w:tabs>
        <w:rPr>
          <w:rFonts w:eastAsiaTheme="minorEastAsia" w:cstheme="minorBidi"/>
          <w:smallCaps w:val="0"/>
          <w:noProof/>
          <w:sz w:val="22"/>
          <w:szCs w:val="22"/>
        </w:rPr>
      </w:pPr>
      <w:hyperlink w:anchor="_Toc374023013" w:history="1">
        <w:r w:rsidR="005A723C" w:rsidRPr="004A6253">
          <w:rPr>
            <w:rStyle w:val="Hyperlink"/>
            <w:noProof/>
          </w:rPr>
          <w:t>Figure 4.1.  167 EGU Stacks Identified as Affecting MANE-VU Class I Area(s) in 2002</w:t>
        </w:r>
        <w:r w:rsidR="005A723C">
          <w:rPr>
            <w:noProof/>
            <w:webHidden/>
          </w:rPr>
          <w:tab/>
        </w:r>
        <w:r w:rsidR="005A723C">
          <w:rPr>
            <w:noProof/>
            <w:webHidden/>
          </w:rPr>
          <w:fldChar w:fldCharType="begin"/>
        </w:r>
        <w:r w:rsidR="005A723C">
          <w:rPr>
            <w:noProof/>
            <w:webHidden/>
          </w:rPr>
          <w:instrText xml:space="preserve"> PAGEREF _Toc374023013 \h </w:instrText>
        </w:r>
        <w:r w:rsidR="005A723C">
          <w:rPr>
            <w:noProof/>
            <w:webHidden/>
          </w:rPr>
        </w:r>
        <w:r w:rsidR="005A723C">
          <w:rPr>
            <w:noProof/>
            <w:webHidden/>
          </w:rPr>
          <w:fldChar w:fldCharType="separate"/>
        </w:r>
        <w:r w:rsidR="005A723C">
          <w:rPr>
            <w:noProof/>
            <w:webHidden/>
          </w:rPr>
          <w:t>44</w:t>
        </w:r>
        <w:r w:rsidR="005A723C">
          <w:rPr>
            <w:noProof/>
            <w:webHidden/>
          </w:rPr>
          <w:fldChar w:fldCharType="end"/>
        </w:r>
      </w:hyperlink>
    </w:p>
    <w:p w:rsidR="005A723C" w:rsidRDefault="00CC55EF">
      <w:pPr>
        <w:pStyle w:val="TableofFigures"/>
        <w:tabs>
          <w:tab w:val="right" w:leader="dot" w:pos="9350"/>
        </w:tabs>
        <w:rPr>
          <w:rFonts w:eastAsiaTheme="minorEastAsia" w:cstheme="minorBidi"/>
          <w:smallCaps w:val="0"/>
          <w:noProof/>
          <w:sz w:val="22"/>
          <w:szCs w:val="22"/>
        </w:rPr>
      </w:pPr>
      <w:hyperlink w:anchor="_Toc374023014" w:history="1">
        <w:r w:rsidR="005A723C" w:rsidRPr="004A6253">
          <w:rPr>
            <w:rStyle w:val="Hyperlink"/>
            <w:noProof/>
          </w:rPr>
          <w:t>Figure 7.1. Regional SO</w:t>
        </w:r>
        <w:r w:rsidR="005A723C" w:rsidRPr="004A6253">
          <w:rPr>
            <w:rStyle w:val="Hyperlink"/>
            <w:noProof/>
            <w:vertAlign w:val="subscript"/>
          </w:rPr>
          <w:t>2</w:t>
        </w:r>
        <w:r w:rsidR="005A723C" w:rsidRPr="004A6253">
          <w:rPr>
            <w:rStyle w:val="Hyperlink"/>
            <w:noProof/>
          </w:rPr>
          <w:t xml:space="preserve"> Emissions Trends by Sector</w:t>
        </w:r>
        <w:r w:rsidR="005A723C">
          <w:rPr>
            <w:noProof/>
            <w:webHidden/>
          </w:rPr>
          <w:tab/>
        </w:r>
        <w:r w:rsidR="005A723C">
          <w:rPr>
            <w:noProof/>
            <w:webHidden/>
          </w:rPr>
          <w:fldChar w:fldCharType="begin"/>
        </w:r>
        <w:r w:rsidR="005A723C">
          <w:rPr>
            <w:noProof/>
            <w:webHidden/>
          </w:rPr>
          <w:instrText xml:space="preserve"> PAGEREF _Toc374023014 \h </w:instrText>
        </w:r>
        <w:r w:rsidR="005A723C">
          <w:rPr>
            <w:noProof/>
            <w:webHidden/>
          </w:rPr>
        </w:r>
        <w:r w:rsidR="005A723C">
          <w:rPr>
            <w:noProof/>
            <w:webHidden/>
          </w:rPr>
          <w:fldChar w:fldCharType="separate"/>
        </w:r>
        <w:r w:rsidR="005A723C">
          <w:rPr>
            <w:noProof/>
            <w:webHidden/>
          </w:rPr>
          <w:t>64</w:t>
        </w:r>
        <w:r w:rsidR="005A723C">
          <w:rPr>
            <w:noProof/>
            <w:webHidden/>
          </w:rPr>
          <w:fldChar w:fldCharType="end"/>
        </w:r>
      </w:hyperlink>
    </w:p>
    <w:p w:rsidR="00911F94" w:rsidRPr="00C16F27" w:rsidRDefault="00C16F27" w:rsidP="00224287">
      <w:pPr>
        <w:rPr>
          <w:b/>
          <w:bCs/>
          <w:color w:val="365F91"/>
          <w:sz w:val="20"/>
          <w:szCs w:val="20"/>
          <w:lang w:eastAsia="ja-JP"/>
        </w:rPr>
      </w:pPr>
      <w:r>
        <w:rPr>
          <w:rFonts w:asciiTheme="minorHAnsi" w:hAnsiTheme="minorHAnsi"/>
          <w:b/>
          <w:caps/>
          <w:color w:val="365F91"/>
          <w:sz w:val="20"/>
          <w:szCs w:val="20"/>
          <w:lang w:eastAsia="ja-JP"/>
        </w:rPr>
        <w:fldChar w:fldCharType="end"/>
      </w:r>
    </w:p>
    <w:p w:rsidR="00E71C51" w:rsidRDefault="00911F94" w:rsidP="00224287">
      <w:r>
        <w:rPr>
          <w:rFonts w:ascii="Cambria" w:hAnsi="Cambria"/>
          <w:b/>
          <w:bCs/>
          <w:color w:val="365F91"/>
          <w:sz w:val="28"/>
          <w:szCs w:val="28"/>
          <w:lang w:eastAsia="ja-JP"/>
        </w:rPr>
        <w:br w:type="page"/>
      </w:r>
    </w:p>
    <w:p w:rsidR="00E71C51" w:rsidRPr="005226AF" w:rsidRDefault="00ED1FAE" w:rsidP="005226AF">
      <w:pPr>
        <w:pStyle w:val="Heading2"/>
      </w:pPr>
      <w:bookmarkStart w:id="16" w:name="_Toc373843486"/>
      <w:r>
        <w:lastRenderedPageBreak/>
        <w:t xml:space="preserve">List </w:t>
      </w:r>
      <w:r w:rsidR="005D7E7B">
        <w:t>of</w:t>
      </w:r>
      <w:r w:rsidR="0077417B">
        <w:t xml:space="preserve"> </w:t>
      </w:r>
      <w:r w:rsidR="00E71C51" w:rsidRPr="005226AF">
        <w:t>Tables</w:t>
      </w:r>
      <w:bookmarkEnd w:id="16"/>
      <w:r w:rsidR="00E71C51" w:rsidRPr="005226AF">
        <w:t xml:space="preserve"> </w:t>
      </w:r>
    </w:p>
    <w:p w:rsidR="00B75F4F" w:rsidRDefault="00F60FE6" w:rsidP="00B75F4F">
      <w:pPr>
        <w:pStyle w:val="TableofFigures"/>
        <w:tabs>
          <w:tab w:val="right" w:leader="dot" w:pos="9350"/>
        </w:tabs>
        <w:rPr>
          <w:noProof/>
        </w:rPr>
      </w:pPr>
      <w:r w:rsidRPr="0077417B">
        <w:fldChar w:fldCharType="begin"/>
      </w:r>
      <w:r w:rsidRPr="0077417B">
        <w:instrText xml:space="preserve"> TOC \h \z \t "Caption" \c </w:instrText>
      </w:r>
      <w:r w:rsidRPr="0077417B">
        <w:fldChar w:fldCharType="separate"/>
      </w:r>
      <w:r w:rsidR="00B75F4F">
        <w:rPr>
          <w:rStyle w:val="Hyperlink"/>
          <w:noProof/>
        </w:rPr>
        <w:fldChar w:fldCharType="begin"/>
      </w:r>
      <w:r w:rsidR="00B75F4F">
        <w:rPr>
          <w:rStyle w:val="Hyperlink"/>
          <w:noProof/>
        </w:rPr>
        <w:instrText xml:space="preserve"> TOC \h \z \t "Caption" \c </w:instrText>
      </w:r>
      <w:r w:rsidR="00B75F4F">
        <w:rPr>
          <w:rStyle w:val="Hyperlink"/>
          <w:noProof/>
        </w:rPr>
        <w:fldChar w:fldCharType="separate"/>
      </w:r>
    </w:p>
    <w:p w:rsidR="00B75F4F" w:rsidRPr="00C16F27" w:rsidRDefault="00CC55EF">
      <w:pPr>
        <w:pStyle w:val="TableofFigures"/>
        <w:tabs>
          <w:tab w:val="right" w:leader="dot" w:pos="9350"/>
        </w:tabs>
        <w:rPr>
          <w:rFonts w:eastAsiaTheme="minorEastAsia" w:cstheme="minorBidi"/>
          <w:b/>
          <w:bCs/>
          <w:caps/>
          <w:noProof/>
          <w:sz w:val="22"/>
          <w:szCs w:val="22"/>
        </w:rPr>
      </w:pPr>
      <w:hyperlink w:anchor="_Toc373844547" w:history="1">
        <w:r w:rsidR="00B75F4F" w:rsidRPr="00C16F27">
          <w:rPr>
            <w:rStyle w:val="Hyperlink"/>
            <w:noProof/>
          </w:rPr>
          <w:t>Table 2.1.  Reasonable Progress Goals in Approved Regional Haze Plans</w:t>
        </w:r>
        <w:r w:rsidR="00B75F4F" w:rsidRPr="00C16F27">
          <w:rPr>
            <w:noProof/>
            <w:webHidden/>
          </w:rPr>
          <w:tab/>
        </w:r>
        <w:r w:rsidR="00B75F4F" w:rsidRPr="00C16F27">
          <w:rPr>
            <w:noProof/>
            <w:webHidden/>
          </w:rPr>
          <w:fldChar w:fldCharType="begin"/>
        </w:r>
        <w:r w:rsidR="00B75F4F" w:rsidRPr="00C16F27">
          <w:rPr>
            <w:noProof/>
            <w:webHidden/>
          </w:rPr>
          <w:instrText xml:space="preserve"> PAGEREF _Toc373844547 \h </w:instrText>
        </w:r>
        <w:r w:rsidR="00B75F4F" w:rsidRPr="00C16F27">
          <w:rPr>
            <w:noProof/>
            <w:webHidden/>
          </w:rPr>
        </w:r>
        <w:r w:rsidR="00B75F4F" w:rsidRPr="00C16F27">
          <w:rPr>
            <w:noProof/>
            <w:webHidden/>
          </w:rPr>
          <w:fldChar w:fldCharType="separate"/>
        </w:r>
        <w:r w:rsidR="000F722A">
          <w:rPr>
            <w:noProof/>
            <w:webHidden/>
          </w:rPr>
          <w:t>25</w:t>
        </w:r>
        <w:r w:rsidR="00B75F4F" w:rsidRPr="00C16F27">
          <w:rPr>
            <w:noProof/>
            <w:webHidden/>
          </w:rPr>
          <w:fldChar w:fldCharType="end"/>
        </w:r>
      </w:hyperlink>
    </w:p>
    <w:p w:rsidR="00B75F4F" w:rsidRPr="00C16F27" w:rsidRDefault="00CC55EF">
      <w:pPr>
        <w:pStyle w:val="TableofFigures"/>
        <w:tabs>
          <w:tab w:val="right" w:leader="dot" w:pos="9350"/>
        </w:tabs>
        <w:rPr>
          <w:rFonts w:eastAsiaTheme="minorEastAsia" w:cstheme="minorBidi"/>
          <w:b/>
          <w:bCs/>
          <w:caps/>
          <w:noProof/>
          <w:sz w:val="22"/>
          <w:szCs w:val="22"/>
        </w:rPr>
      </w:pPr>
      <w:hyperlink w:anchor="_Toc373844548" w:history="1">
        <w:r w:rsidR="00B75F4F" w:rsidRPr="00C16F27">
          <w:rPr>
            <w:rStyle w:val="Hyperlink"/>
            <w:rFonts w:cs="Arial"/>
            <w:noProof/>
          </w:rPr>
          <w:t xml:space="preserve">Table 2.2.  Visibility Improvements through </w:t>
        </w:r>
        <w:r w:rsidR="00B75F4F" w:rsidRPr="008F11D1">
          <w:rPr>
            <w:rStyle w:val="Hyperlink"/>
            <w:rFonts w:cs="Arial"/>
            <w:noProof/>
            <w:highlight w:val="yellow"/>
          </w:rPr>
          <w:t>201</w:t>
        </w:r>
        <w:r w:rsidR="008F11D1" w:rsidRPr="008F11D1">
          <w:rPr>
            <w:rStyle w:val="Hyperlink"/>
            <w:rFonts w:cs="Arial"/>
            <w:noProof/>
            <w:highlight w:val="yellow"/>
          </w:rPr>
          <w:t>3</w:t>
        </w:r>
        <w:r w:rsidR="00B75F4F" w:rsidRPr="00C16F27">
          <w:rPr>
            <w:rStyle w:val="Hyperlink"/>
            <w:rFonts w:cs="Arial"/>
            <w:noProof/>
          </w:rPr>
          <w:t xml:space="preserve"> at Class I Areas in and Near MANE-VU</w:t>
        </w:r>
        <w:r w:rsidR="00B75F4F" w:rsidRPr="00C16F27">
          <w:rPr>
            <w:noProof/>
            <w:webHidden/>
          </w:rPr>
          <w:tab/>
        </w:r>
        <w:r w:rsidR="00B75F4F" w:rsidRPr="00C16F27">
          <w:rPr>
            <w:noProof/>
            <w:webHidden/>
          </w:rPr>
          <w:fldChar w:fldCharType="begin"/>
        </w:r>
        <w:r w:rsidR="00B75F4F" w:rsidRPr="00C16F27">
          <w:rPr>
            <w:noProof/>
            <w:webHidden/>
          </w:rPr>
          <w:instrText xml:space="preserve"> PAGEREF _Toc373844548 \h </w:instrText>
        </w:r>
        <w:r w:rsidR="00B75F4F" w:rsidRPr="00C16F27">
          <w:rPr>
            <w:noProof/>
            <w:webHidden/>
          </w:rPr>
        </w:r>
        <w:r w:rsidR="00B75F4F" w:rsidRPr="00C16F27">
          <w:rPr>
            <w:noProof/>
            <w:webHidden/>
          </w:rPr>
          <w:fldChar w:fldCharType="separate"/>
        </w:r>
        <w:r w:rsidR="000F722A">
          <w:rPr>
            <w:noProof/>
            <w:webHidden/>
          </w:rPr>
          <w:t>28</w:t>
        </w:r>
        <w:r w:rsidR="00B75F4F" w:rsidRPr="00C16F27">
          <w:rPr>
            <w:noProof/>
            <w:webHidden/>
          </w:rPr>
          <w:fldChar w:fldCharType="end"/>
        </w:r>
      </w:hyperlink>
    </w:p>
    <w:p w:rsidR="00B75F4F" w:rsidRPr="00C16F27" w:rsidRDefault="00CC55EF">
      <w:pPr>
        <w:pStyle w:val="TableofFigures"/>
        <w:tabs>
          <w:tab w:val="right" w:leader="dot" w:pos="9350"/>
        </w:tabs>
        <w:rPr>
          <w:rFonts w:eastAsiaTheme="minorEastAsia" w:cstheme="minorBidi"/>
          <w:b/>
          <w:bCs/>
          <w:caps/>
          <w:noProof/>
          <w:sz w:val="22"/>
          <w:szCs w:val="22"/>
        </w:rPr>
      </w:pPr>
      <w:hyperlink w:anchor="_Toc373844549" w:history="1">
        <w:r w:rsidR="00B75F4F" w:rsidRPr="00C16F27">
          <w:rPr>
            <w:rStyle w:val="Hyperlink"/>
            <w:rFonts w:cs="Arial"/>
            <w:noProof/>
          </w:rPr>
          <w:t xml:space="preserve">Table 2.3.  Visibility Improvements by Particle Constituents through </w:t>
        </w:r>
        <w:r w:rsidR="00B75F4F" w:rsidRPr="008F11D1">
          <w:rPr>
            <w:rStyle w:val="Hyperlink"/>
            <w:rFonts w:cs="Arial"/>
            <w:noProof/>
            <w:highlight w:val="yellow"/>
          </w:rPr>
          <w:t>20</w:t>
        </w:r>
        <w:r w:rsidR="008F11D1" w:rsidRPr="008F11D1">
          <w:rPr>
            <w:rStyle w:val="Hyperlink"/>
            <w:rFonts w:cs="Arial"/>
            <w:noProof/>
            <w:highlight w:val="yellow"/>
          </w:rPr>
          <w:t>13</w:t>
        </w:r>
        <w:r w:rsidR="00B75F4F" w:rsidRPr="00C16F27">
          <w:rPr>
            <w:rStyle w:val="Hyperlink"/>
            <w:rFonts w:cs="Arial"/>
            <w:noProof/>
          </w:rPr>
          <w:t xml:space="preserve"> on Haziest 20% Days in MANE-VU Class I Areas</w:t>
        </w:r>
        <w:r w:rsidR="00B75F4F" w:rsidRPr="00C16F27">
          <w:rPr>
            <w:noProof/>
            <w:webHidden/>
          </w:rPr>
          <w:tab/>
        </w:r>
        <w:r w:rsidR="00B75F4F" w:rsidRPr="00C16F27">
          <w:rPr>
            <w:noProof/>
            <w:webHidden/>
          </w:rPr>
          <w:fldChar w:fldCharType="begin"/>
        </w:r>
        <w:r w:rsidR="00B75F4F" w:rsidRPr="00C16F27">
          <w:rPr>
            <w:noProof/>
            <w:webHidden/>
          </w:rPr>
          <w:instrText xml:space="preserve"> PAGEREF _Toc373844549 \h </w:instrText>
        </w:r>
        <w:r w:rsidR="00B75F4F" w:rsidRPr="00C16F27">
          <w:rPr>
            <w:noProof/>
            <w:webHidden/>
          </w:rPr>
        </w:r>
        <w:r w:rsidR="00B75F4F" w:rsidRPr="00C16F27">
          <w:rPr>
            <w:noProof/>
            <w:webHidden/>
          </w:rPr>
          <w:fldChar w:fldCharType="separate"/>
        </w:r>
        <w:r w:rsidR="000F722A">
          <w:rPr>
            <w:noProof/>
            <w:webHidden/>
          </w:rPr>
          <w:t>34</w:t>
        </w:r>
        <w:r w:rsidR="00B75F4F" w:rsidRPr="00C16F27">
          <w:rPr>
            <w:noProof/>
            <w:webHidden/>
          </w:rPr>
          <w:fldChar w:fldCharType="end"/>
        </w:r>
      </w:hyperlink>
    </w:p>
    <w:p w:rsidR="00B75F4F" w:rsidRPr="00C16F27" w:rsidRDefault="00CC55EF">
      <w:pPr>
        <w:pStyle w:val="TableofFigures"/>
        <w:tabs>
          <w:tab w:val="right" w:leader="dot" w:pos="9350"/>
        </w:tabs>
        <w:rPr>
          <w:rFonts w:eastAsiaTheme="minorEastAsia" w:cstheme="minorBidi"/>
          <w:b/>
          <w:bCs/>
          <w:caps/>
          <w:noProof/>
          <w:sz w:val="22"/>
          <w:szCs w:val="22"/>
        </w:rPr>
      </w:pPr>
      <w:hyperlink w:anchor="_Toc373844550" w:history="1">
        <w:r w:rsidR="00B75F4F" w:rsidRPr="00C16F27">
          <w:rPr>
            <w:rStyle w:val="Hyperlink"/>
            <w:rFonts w:cs="Arial"/>
            <w:noProof/>
          </w:rPr>
          <w:t xml:space="preserve">Table 2.4.  Visibility Improvements by Particle Constituents through </w:t>
        </w:r>
        <w:r w:rsidR="00B75F4F" w:rsidRPr="008F11D1">
          <w:rPr>
            <w:rStyle w:val="Hyperlink"/>
            <w:rFonts w:cs="Arial"/>
            <w:noProof/>
            <w:highlight w:val="yellow"/>
          </w:rPr>
          <w:t>20</w:t>
        </w:r>
        <w:r w:rsidR="008F11D1" w:rsidRPr="008F11D1">
          <w:rPr>
            <w:rStyle w:val="Hyperlink"/>
            <w:rFonts w:cs="Arial"/>
            <w:noProof/>
            <w:highlight w:val="yellow"/>
          </w:rPr>
          <w:t>13</w:t>
        </w:r>
        <w:r w:rsidR="00B75F4F" w:rsidRPr="00C16F27">
          <w:rPr>
            <w:rStyle w:val="Hyperlink"/>
            <w:rFonts w:cs="Arial"/>
            <w:noProof/>
          </w:rPr>
          <w:t xml:space="preserve"> on Clearest 20% Days in MANE-VU Class I Areas</w:t>
        </w:r>
        <w:r w:rsidR="00B75F4F" w:rsidRPr="00C16F27">
          <w:rPr>
            <w:noProof/>
            <w:webHidden/>
          </w:rPr>
          <w:tab/>
        </w:r>
        <w:r w:rsidR="00B75F4F" w:rsidRPr="00C16F27">
          <w:rPr>
            <w:noProof/>
            <w:webHidden/>
          </w:rPr>
          <w:fldChar w:fldCharType="begin"/>
        </w:r>
        <w:r w:rsidR="00B75F4F" w:rsidRPr="00C16F27">
          <w:rPr>
            <w:noProof/>
            <w:webHidden/>
          </w:rPr>
          <w:instrText xml:space="preserve"> PAGEREF _Toc373844550 \h </w:instrText>
        </w:r>
        <w:r w:rsidR="00B75F4F" w:rsidRPr="00C16F27">
          <w:rPr>
            <w:noProof/>
            <w:webHidden/>
          </w:rPr>
        </w:r>
        <w:r w:rsidR="00B75F4F" w:rsidRPr="00C16F27">
          <w:rPr>
            <w:noProof/>
            <w:webHidden/>
          </w:rPr>
          <w:fldChar w:fldCharType="separate"/>
        </w:r>
        <w:r w:rsidR="000F722A">
          <w:rPr>
            <w:noProof/>
            <w:webHidden/>
          </w:rPr>
          <w:t>34</w:t>
        </w:r>
        <w:r w:rsidR="00B75F4F" w:rsidRPr="00C16F27">
          <w:rPr>
            <w:noProof/>
            <w:webHidden/>
          </w:rPr>
          <w:fldChar w:fldCharType="end"/>
        </w:r>
      </w:hyperlink>
    </w:p>
    <w:p w:rsidR="00B75F4F" w:rsidRPr="00C16F27" w:rsidRDefault="00CC55EF">
      <w:pPr>
        <w:pStyle w:val="TableofFigures"/>
        <w:tabs>
          <w:tab w:val="right" w:leader="dot" w:pos="9350"/>
        </w:tabs>
        <w:rPr>
          <w:rFonts w:eastAsiaTheme="minorEastAsia" w:cstheme="minorBidi"/>
          <w:b/>
          <w:bCs/>
          <w:caps/>
          <w:noProof/>
          <w:sz w:val="22"/>
          <w:szCs w:val="22"/>
        </w:rPr>
      </w:pPr>
      <w:hyperlink w:anchor="_Toc373844551" w:history="1">
        <w:r w:rsidR="00B75F4F" w:rsidRPr="00C16F27">
          <w:rPr>
            <w:rStyle w:val="Hyperlink"/>
            <w:rFonts w:cs="Arial"/>
            <w:noProof/>
          </w:rPr>
          <w:t>Table 3.1.  Status of BART Adoption and Implementation</w:t>
        </w:r>
        <w:r w:rsidR="00B75F4F" w:rsidRPr="00C16F27">
          <w:rPr>
            <w:noProof/>
            <w:webHidden/>
          </w:rPr>
          <w:tab/>
        </w:r>
        <w:r w:rsidR="00B75F4F" w:rsidRPr="00C16F27">
          <w:rPr>
            <w:noProof/>
            <w:webHidden/>
          </w:rPr>
          <w:fldChar w:fldCharType="begin"/>
        </w:r>
        <w:r w:rsidR="00B75F4F" w:rsidRPr="00C16F27">
          <w:rPr>
            <w:noProof/>
            <w:webHidden/>
          </w:rPr>
          <w:instrText xml:space="preserve"> PAGEREF _Toc373844551 \h </w:instrText>
        </w:r>
        <w:r w:rsidR="00B75F4F" w:rsidRPr="00C16F27">
          <w:rPr>
            <w:noProof/>
            <w:webHidden/>
          </w:rPr>
        </w:r>
        <w:r w:rsidR="00B75F4F" w:rsidRPr="00C16F27">
          <w:rPr>
            <w:noProof/>
            <w:webHidden/>
          </w:rPr>
          <w:fldChar w:fldCharType="separate"/>
        </w:r>
        <w:r w:rsidR="000F722A">
          <w:rPr>
            <w:noProof/>
            <w:webHidden/>
          </w:rPr>
          <w:t>38</w:t>
        </w:r>
        <w:r w:rsidR="00B75F4F" w:rsidRPr="00C16F27">
          <w:rPr>
            <w:noProof/>
            <w:webHidden/>
          </w:rPr>
          <w:fldChar w:fldCharType="end"/>
        </w:r>
      </w:hyperlink>
    </w:p>
    <w:p w:rsidR="00B75F4F" w:rsidRPr="00C16F27" w:rsidRDefault="00CC55EF">
      <w:pPr>
        <w:pStyle w:val="TableofFigures"/>
        <w:tabs>
          <w:tab w:val="right" w:leader="dot" w:pos="9350"/>
        </w:tabs>
        <w:rPr>
          <w:rFonts w:eastAsiaTheme="minorEastAsia" w:cstheme="minorBidi"/>
          <w:b/>
          <w:bCs/>
          <w:caps/>
          <w:noProof/>
          <w:sz w:val="22"/>
          <w:szCs w:val="22"/>
        </w:rPr>
      </w:pPr>
      <w:hyperlink w:anchor="_Toc373844552" w:history="1">
        <w:r w:rsidR="00B75F4F" w:rsidRPr="00C16F27">
          <w:rPr>
            <w:rStyle w:val="Hyperlink"/>
            <w:rFonts w:cs="Arial"/>
            <w:noProof/>
          </w:rPr>
          <w:t>Table 4.1. Status of EGU Control Measures</w:t>
        </w:r>
        <w:r w:rsidR="00B75F4F" w:rsidRPr="00C16F27">
          <w:rPr>
            <w:noProof/>
            <w:webHidden/>
          </w:rPr>
          <w:tab/>
        </w:r>
        <w:r w:rsidR="00B75F4F" w:rsidRPr="00C16F27">
          <w:rPr>
            <w:noProof/>
            <w:webHidden/>
          </w:rPr>
          <w:fldChar w:fldCharType="begin"/>
        </w:r>
        <w:r w:rsidR="00B75F4F" w:rsidRPr="00C16F27">
          <w:rPr>
            <w:noProof/>
            <w:webHidden/>
          </w:rPr>
          <w:instrText xml:space="preserve"> PAGEREF _Toc373844552 \h </w:instrText>
        </w:r>
        <w:r w:rsidR="00B75F4F" w:rsidRPr="00C16F27">
          <w:rPr>
            <w:noProof/>
            <w:webHidden/>
          </w:rPr>
        </w:r>
        <w:r w:rsidR="00B75F4F" w:rsidRPr="00C16F27">
          <w:rPr>
            <w:noProof/>
            <w:webHidden/>
          </w:rPr>
          <w:fldChar w:fldCharType="separate"/>
        </w:r>
        <w:r w:rsidR="000F722A">
          <w:rPr>
            <w:noProof/>
            <w:webHidden/>
          </w:rPr>
          <w:t>40</w:t>
        </w:r>
        <w:r w:rsidR="00B75F4F" w:rsidRPr="00C16F27">
          <w:rPr>
            <w:noProof/>
            <w:webHidden/>
          </w:rPr>
          <w:fldChar w:fldCharType="end"/>
        </w:r>
      </w:hyperlink>
    </w:p>
    <w:p w:rsidR="00B75F4F" w:rsidRPr="00C16F27" w:rsidRDefault="00CC55EF">
      <w:pPr>
        <w:pStyle w:val="TableofFigures"/>
        <w:tabs>
          <w:tab w:val="right" w:leader="dot" w:pos="9350"/>
        </w:tabs>
        <w:rPr>
          <w:rFonts w:eastAsiaTheme="minorEastAsia" w:cstheme="minorBidi"/>
          <w:b/>
          <w:bCs/>
          <w:caps/>
          <w:noProof/>
          <w:sz w:val="22"/>
          <w:szCs w:val="22"/>
        </w:rPr>
      </w:pPr>
      <w:hyperlink w:anchor="_Toc373844553" w:history="1">
        <w:r w:rsidR="00B75F4F" w:rsidRPr="00C16F27">
          <w:rPr>
            <w:rStyle w:val="Hyperlink"/>
            <w:rFonts w:cs="Arial"/>
            <w:noProof/>
          </w:rPr>
          <w:t>Table 4.2. Status of Controls on EGUs in &lt;the State&gt; &lt;to be completed by the state&gt;</w:t>
        </w:r>
        <w:r w:rsidR="00B75F4F" w:rsidRPr="00C16F27">
          <w:rPr>
            <w:noProof/>
            <w:webHidden/>
          </w:rPr>
          <w:tab/>
        </w:r>
        <w:r w:rsidR="00B75F4F" w:rsidRPr="00C16F27">
          <w:rPr>
            <w:noProof/>
            <w:webHidden/>
          </w:rPr>
          <w:fldChar w:fldCharType="begin"/>
        </w:r>
        <w:r w:rsidR="00B75F4F" w:rsidRPr="00C16F27">
          <w:rPr>
            <w:noProof/>
            <w:webHidden/>
          </w:rPr>
          <w:instrText xml:space="preserve"> PAGEREF _Toc373844553 \h </w:instrText>
        </w:r>
        <w:r w:rsidR="00B75F4F" w:rsidRPr="00C16F27">
          <w:rPr>
            <w:noProof/>
            <w:webHidden/>
          </w:rPr>
        </w:r>
        <w:r w:rsidR="00B75F4F" w:rsidRPr="00C16F27">
          <w:rPr>
            <w:noProof/>
            <w:webHidden/>
          </w:rPr>
          <w:fldChar w:fldCharType="separate"/>
        </w:r>
        <w:r w:rsidR="000F722A">
          <w:rPr>
            <w:noProof/>
            <w:webHidden/>
          </w:rPr>
          <w:t>43</w:t>
        </w:r>
        <w:r w:rsidR="00B75F4F" w:rsidRPr="00C16F27">
          <w:rPr>
            <w:noProof/>
            <w:webHidden/>
          </w:rPr>
          <w:fldChar w:fldCharType="end"/>
        </w:r>
      </w:hyperlink>
    </w:p>
    <w:p w:rsidR="00B75F4F" w:rsidRPr="00C16F27" w:rsidRDefault="00CC55EF">
      <w:pPr>
        <w:pStyle w:val="TableofFigures"/>
        <w:tabs>
          <w:tab w:val="right" w:leader="dot" w:pos="9350"/>
        </w:tabs>
        <w:rPr>
          <w:rFonts w:eastAsiaTheme="minorEastAsia" w:cstheme="minorBidi"/>
          <w:b/>
          <w:bCs/>
          <w:caps/>
          <w:noProof/>
          <w:sz w:val="22"/>
          <w:szCs w:val="22"/>
        </w:rPr>
      </w:pPr>
      <w:hyperlink w:anchor="_Toc373844554" w:history="1">
        <w:r w:rsidR="00B75F4F" w:rsidRPr="00C16F27">
          <w:rPr>
            <w:rStyle w:val="Hyperlink"/>
            <w:rFonts w:cs="Arial"/>
            <w:noProof/>
          </w:rPr>
          <w:t xml:space="preserve">Table 4.3. SO2 Emissions from 167 Key EGU Stacks, 2002 and </w:t>
        </w:r>
        <w:r w:rsidR="00B75F4F" w:rsidRPr="00197BAD">
          <w:rPr>
            <w:rStyle w:val="Hyperlink"/>
            <w:rFonts w:cs="Arial"/>
            <w:noProof/>
            <w:highlight w:val="yellow"/>
          </w:rPr>
          <w:t>201</w:t>
        </w:r>
        <w:r w:rsidR="00197BAD" w:rsidRPr="00197BAD">
          <w:rPr>
            <w:rStyle w:val="Hyperlink"/>
            <w:rFonts w:cs="Arial"/>
            <w:noProof/>
            <w:highlight w:val="yellow"/>
          </w:rPr>
          <w:t>3</w:t>
        </w:r>
        <w:r w:rsidR="00B75F4F" w:rsidRPr="00C16F27">
          <w:rPr>
            <w:noProof/>
            <w:webHidden/>
          </w:rPr>
          <w:tab/>
        </w:r>
        <w:r w:rsidR="00B75F4F" w:rsidRPr="00C16F27">
          <w:rPr>
            <w:noProof/>
            <w:webHidden/>
          </w:rPr>
          <w:fldChar w:fldCharType="begin"/>
        </w:r>
        <w:r w:rsidR="00B75F4F" w:rsidRPr="00C16F27">
          <w:rPr>
            <w:noProof/>
            <w:webHidden/>
          </w:rPr>
          <w:instrText xml:space="preserve"> PAGEREF _Toc373844554 \h </w:instrText>
        </w:r>
        <w:r w:rsidR="00B75F4F" w:rsidRPr="00C16F27">
          <w:rPr>
            <w:noProof/>
            <w:webHidden/>
          </w:rPr>
        </w:r>
        <w:r w:rsidR="00B75F4F" w:rsidRPr="00C16F27">
          <w:rPr>
            <w:noProof/>
            <w:webHidden/>
          </w:rPr>
          <w:fldChar w:fldCharType="separate"/>
        </w:r>
        <w:r w:rsidR="000F722A">
          <w:rPr>
            <w:noProof/>
            <w:webHidden/>
          </w:rPr>
          <w:t>45</w:t>
        </w:r>
        <w:r w:rsidR="00B75F4F" w:rsidRPr="00C16F27">
          <w:rPr>
            <w:noProof/>
            <w:webHidden/>
          </w:rPr>
          <w:fldChar w:fldCharType="end"/>
        </w:r>
      </w:hyperlink>
    </w:p>
    <w:p w:rsidR="00B75F4F" w:rsidRPr="00C16F27" w:rsidRDefault="00CC55EF">
      <w:pPr>
        <w:pStyle w:val="TableofFigures"/>
        <w:tabs>
          <w:tab w:val="right" w:leader="dot" w:pos="9350"/>
        </w:tabs>
        <w:rPr>
          <w:rFonts w:eastAsiaTheme="minorEastAsia" w:cstheme="minorBidi"/>
          <w:b/>
          <w:bCs/>
          <w:caps/>
          <w:noProof/>
          <w:sz w:val="22"/>
          <w:szCs w:val="22"/>
        </w:rPr>
      </w:pPr>
      <w:hyperlink w:anchor="_Toc373844555" w:history="1">
        <w:r w:rsidR="00B75F4F" w:rsidRPr="00C16F27">
          <w:rPr>
            <w:rStyle w:val="Hyperlink"/>
            <w:rFonts w:cs="Arial"/>
            <w:noProof/>
          </w:rPr>
          <w:t>Table 5.1. Current State Sulfur in Fuel Limits</w:t>
        </w:r>
        <w:r w:rsidR="00B75F4F" w:rsidRPr="00C16F27">
          <w:rPr>
            <w:noProof/>
            <w:webHidden/>
          </w:rPr>
          <w:tab/>
        </w:r>
        <w:r w:rsidR="00B75F4F" w:rsidRPr="00C16F27">
          <w:rPr>
            <w:noProof/>
            <w:webHidden/>
          </w:rPr>
          <w:fldChar w:fldCharType="begin"/>
        </w:r>
        <w:r w:rsidR="00B75F4F" w:rsidRPr="00C16F27">
          <w:rPr>
            <w:noProof/>
            <w:webHidden/>
          </w:rPr>
          <w:instrText xml:space="preserve"> PAGEREF _Toc373844555 \h </w:instrText>
        </w:r>
        <w:r w:rsidR="00B75F4F" w:rsidRPr="00C16F27">
          <w:rPr>
            <w:noProof/>
            <w:webHidden/>
          </w:rPr>
        </w:r>
        <w:r w:rsidR="00B75F4F" w:rsidRPr="00C16F27">
          <w:rPr>
            <w:noProof/>
            <w:webHidden/>
          </w:rPr>
          <w:fldChar w:fldCharType="separate"/>
        </w:r>
        <w:r w:rsidR="000F722A">
          <w:rPr>
            <w:noProof/>
            <w:webHidden/>
          </w:rPr>
          <w:t>48</w:t>
        </w:r>
        <w:r w:rsidR="00B75F4F" w:rsidRPr="00C16F27">
          <w:rPr>
            <w:noProof/>
            <w:webHidden/>
          </w:rPr>
          <w:fldChar w:fldCharType="end"/>
        </w:r>
      </w:hyperlink>
    </w:p>
    <w:p w:rsidR="00B75F4F" w:rsidRPr="00C16F27" w:rsidRDefault="00CC55EF">
      <w:pPr>
        <w:pStyle w:val="TableofFigures"/>
        <w:tabs>
          <w:tab w:val="right" w:leader="dot" w:pos="9350"/>
        </w:tabs>
        <w:rPr>
          <w:rFonts w:eastAsiaTheme="minorEastAsia" w:cstheme="minorBidi"/>
          <w:b/>
          <w:bCs/>
          <w:caps/>
          <w:noProof/>
          <w:sz w:val="22"/>
          <w:szCs w:val="22"/>
        </w:rPr>
      </w:pPr>
      <w:hyperlink w:anchor="_Toc373844556" w:history="1">
        <w:r w:rsidR="00B75F4F" w:rsidRPr="00C16F27">
          <w:rPr>
            <w:rStyle w:val="Hyperlink"/>
            <w:rFonts w:cs="Arial"/>
            <w:noProof/>
          </w:rPr>
          <w:t>Table 5.2. Status of Control Measures – Non-EGU Point Sources, Part 1</w:t>
        </w:r>
        <w:r w:rsidR="00B75F4F" w:rsidRPr="00C16F27">
          <w:rPr>
            <w:noProof/>
            <w:webHidden/>
          </w:rPr>
          <w:tab/>
        </w:r>
        <w:r w:rsidR="00B75F4F" w:rsidRPr="00C16F27">
          <w:rPr>
            <w:noProof/>
            <w:webHidden/>
          </w:rPr>
          <w:fldChar w:fldCharType="begin"/>
        </w:r>
        <w:r w:rsidR="00B75F4F" w:rsidRPr="00C16F27">
          <w:rPr>
            <w:noProof/>
            <w:webHidden/>
          </w:rPr>
          <w:instrText xml:space="preserve"> PAGEREF _Toc373844556 \h </w:instrText>
        </w:r>
        <w:r w:rsidR="00B75F4F" w:rsidRPr="00C16F27">
          <w:rPr>
            <w:noProof/>
            <w:webHidden/>
          </w:rPr>
        </w:r>
        <w:r w:rsidR="00B75F4F" w:rsidRPr="00C16F27">
          <w:rPr>
            <w:noProof/>
            <w:webHidden/>
          </w:rPr>
          <w:fldChar w:fldCharType="separate"/>
        </w:r>
        <w:r w:rsidR="000F722A">
          <w:rPr>
            <w:noProof/>
            <w:webHidden/>
          </w:rPr>
          <w:t>51</w:t>
        </w:r>
        <w:r w:rsidR="00B75F4F" w:rsidRPr="00C16F27">
          <w:rPr>
            <w:noProof/>
            <w:webHidden/>
          </w:rPr>
          <w:fldChar w:fldCharType="end"/>
        </w:r>
      </w:hyperlink>
    </w:p>
    <w:p w:rsidR="00B75F4F" w:rsidRPr="00C16F27" w:rsidRDefault="00CC55EF">
      <w:pPr>
        <w:pStyle w:val="TableofFigures"/>
        <w:tabs>
          <w:tab w:val="right" w:leader="dot" w:pos="9350"/>
        </w:tabs>
        <w:rPr>
          <w:rFonts w:eastAsiaTheme="minorEastAsia" w:cstheme="minorBidi"/>
          <w:b/>
          <w:bCs/>
          <w:caps/>
          <w:noProof/>
          <w:sz w:val="22"/>
          <w:szCs w:val="22"/>
        </w:rPr>
      </w:pPr>
      <w:hyperlink w:anchor="_Toc373844557" w:history="1">
        <w:r w:rsidR="00B75F4F" w:rsidRPr="00C16F27">
          <w:rPr>
            <w:rStyle w:val="Hyperlink"/>
            <w:rFonts w:cs="Arial"/>
            <w:noProof/>
          </w:rPr>
          <w:t>Table 5.3. Status of Control Measures – Non-EGU Point Sources, Part 2</w:t>
        </w:r>
        <w:r w:rsidR="00B75F4F" w:rsidRPr="00C16F27">
          <w:rPr>
            <w:noProof/>
            <w:webHidden/>
          </w:rPr>
          <w:tab/>
        </w:r>
        <w:r w:rsidR="00B75F4F" w:rsidRPr="00C16F27">
          <w:rPr>
            <w:noProof/>
            <w:webHidden/>
          </w:rPr>
          <w:fldChar w:fldCharType="begin"/>
        </w:r>
        <w:r w:rsidR="00B75F4F" w:rsidRPr="00C16F27">
          <w:rPr>
            <w:noProof/>
            <w:webHidden/>
          </w:rPr>
          <w:instrText xml:space="preserve"> PAGEREF _Toc373844557 \h </w:instrText>
        </w:r>
        <w:r w:rsidR="00B75F4F" w:rsidRPr="00C16F27">
          <w:rPr>
            <w:noProof/>
            <w:webHidden/>
          </w:rPr>
        </w:r>
        <w:r w:rsidR="00B75F4F" w:rsidRPr="00C16F27">
          <w:rPr>
            <w:noProof/>
            <w:webHidden/>
          </w:rPr>
          <w:fldChar w:fldCharType="separate"/>
        </w:r>
        <w:r w:rsidR="000F722A">
          <w:rPr>
            <w:noProof/>
            <w:webHidden/>
          </w:rPr>
          <w:t>52</w:t>
        </w:r>
        <w:r w:rsidR="00B75F4F" w:rsidRPr="00C16F27">
          <w:rPr>
            <w:noProof/>
            <w:webHidden/>
          </w:rPr>
          <w:fldChar w:fldCharType="end"/>
        </w:r>
      </w:hyperlink>
    </w:p>
    <w:p w:rsidR="00B75F4F" w:rsidRPr="00C16F27" w:rsidRDefault="00CC55EF">
      <w:pPr>
        <w:pStyle w:val="TableofFigures"/>
        <w:tabs>
          <w:tab w:val="right" w:leader="dot" w:pos="9350"/>
        </w:tabs>
        <w:rPr>
          <w:rFonts w:eastAsiaTheme="minorEastAsia" w:cstheme="minorBidi"/>
          <w:b/>
          <w:bCs/>
          <w:caps/>
          <w:noProof/>
          <w:sz w:val="22"/>
          <w:szCs w:val="22"/>
        </w:rPr>
      </w:pPr>
      <w:hyperlink w:anchor="_Toc373844558" w:history="1">
        <w:r w:rsidR="00B75F4F" w:rsidRPr="00C16F27">
          <w:rPr>
            <w:rStyle w:val="Hyperlink"/>
            <w:rFonts w:cs="Arial"/>
            <w:noProof/>
          </w:rPr>
          <w:t>Table 5.4. Status of Control Measures – Area Sources</w:t>
        </w:r>
        <w:r w:rsidR="00B75F4F" w:rsidRPr="00C16F27">
          <w:rPr>
            <w:noProof/>
            <w:webHidden/>
          </w:rPr>
          <w:tab/>
        </w:r>
        <w:r w:rsidR="00B75F4F" w:rsidRPr="00C16F27">
          <w:rPr>
            <w:noProof/>
            <w:webHidden/>
          </w:rPr>
          <w:fldChar w:fldCharType="begin"/>
        </w:r>
        <w:r w:rsidR="00B75F4F" w:rsidRPr="00C16F27">
          <w:rPr>
            <w:noProof/>
            <w:webHidden/>
          </w:rPr>
          <w:instrText xml:space="preserve"> PAGEREF _Toc373844558 \h </w:instrText>
        </w:r>
        <w:r w:rsidR="00B75F4F" w:rsidRPr="00C16F27">
          <w:rPr>
            <w:noProof/>
            <w:webHidden/>
          </w:rPr>
        </w:r>
        <w:r w:rsidR="00B75F4F" w:rsidRPr="00C16F27">
          <w:rPr>
            <w:noProof/>
            <w:webHidden/>
          </w:rPr>
          <w:fldChar w:fldCharType="separate"/>
        </w:r>
        <w:r w:rsidR="000F722A">
          <w:rPr>
            <w:noProof/>
            <w:webHidden/>
          </w:rPr>
          <w:t>52</w:t>
        </w:r>
        <w:r w:rsidR="00B75F4F" w:rsidRPr="00C16F27">
          <w:rPr>
            <w:noProof/>
            <w:webHidden/>
          </w:rPr>
          <w:fldChar w:fldCharType="end"/>
        </w:r>
      </w:hyperlink>
    </w:p>
    <w:p w:rsidR="00B75F4F" w:rsidRPr="00C16F27" w:rsidRDefault="00CC55EF">
      <w:pPr>
        <w:pStyle w:val="TableofFigures"/>
        <w:tabs>
          <w:tab w:val="right" w:leader="dot" w:pos="9350"/>
        </w:tabs>
        <w:rPr>
          <w:rFonts w:eastAsiaTheme="minorEastAsia" w:cstheme="minorBidi"/>
          <w:b/>
          <w:bCs/>
          <w:caps/>
          <w:noProof/>
          <w:sz w:val="22"/>
          <w:szCs w:val="22"/>
        </w:rPr>
      </w:pPr>
      <w:hyperlink w:anchor="_Toc373844559" w:history="1">
        <w:r w:rsidR="00B75F4F" w:rsidRPr="00C16F27">
          <w:rPr>
            <w:rStyle w:val="Hyperlink"/>
            <w:rFonts w:cs="Arial"/>
            <w:noProof/>
          </w:rPr>
          <w:t>Table 5.5. Status of Control Measures – Mobile Sources</w:t>
        </w:r>
        <w:r w:rsidR="00B75F4F" w:rsidRPr="00C16F27">
          <w:rPr>
            <w:noProof/>
            <w:webHidden/>
          </w:rPr>
          <w:tab/>
        </w:r>
        <w:r w:rsidR="00B75F4F" w:rsidRPr="00C16F27">
          <w:rPr>
            <w:noProof/>
            <w:webHidden/>
          </w:rPr>
          <w:fldChar w:fldCharType="begin"/>
        </w:r>
        <w:r w:rsidR="00B75F4F" w:rsidRPr="00C16F27">
          <w:rPr>
            <w:noProof/>
            <w:webHidden/>
          </w:rPr>
          <w:instrText xml:space="preserve"> PAGEREF _Toc373844559 \h </w:instrText>
        </w:r>
        <w:r w:rsidR="00B75F4F" w:rsidRPr="00C16F27">
          <w:rPr>
            <w:noProof/>
            <w:webHidden/>
          </w:rPr>
        </w:r>
        <w:r w:rsidR="00B75F4F" w:rsidRPr="00C16F27">
          <w:rPr>
            <w:noProof/>
            <w:webHidden/>
          </w:rPr>
          <w:fldChar w:fldCharType="separate"/>
        </w:r>
        <w:r w:rsidR="000F722A">
          <w:rPr>
            <w:noProof/>
            <w:webHidden/>
          </w:rPr>
          <w:t>53</w:t>
        </w:r>
        <w:r w:rsidR="00B75F4F" w:rsidRPr="00C16F27">
          <w:rPr>
            <w:noProof/>
            <w:webHidden/>
          </w:rPr>
          <w:fldChar w:fldCharType="end"/>
        </w:r>
      </w:hyperlink>
    </w:p>
    <w:p w:rsidR="00B75F4F" w:rsidRPr="00C16F27" w:rsidRDefault="00CC55EF">
      <w:pPr>
        <w:pStyle w:val="TableofFigures"/>
        <w:tabs>
          <w:tab w:val="right" w:leader="dot" w:pos="9350"/>
        </w:tabs>
        <w:rPr>
          <w:rFonts w:eastAsiaTheme="minorEastAsia" w:cstheme="minorBidi"/>
          <w:b/>
          <w:bCs/>
          <w:caps/>
          <w:noProof/>
          <w:sz w:val="22"/>
          <w:szCs w:val="22"/>
        </w:rPr>
      </w:pPr>
      <w:hyperlink w:anchor="_Toc373844560" w:history="1">
        <w:r w:rsidR="00B75F4F" w:rsidRPr="00C16F27">
          <w:rPr>
            <w:rStyle w:val="Hyperlink"/>
            <w:rFonts w:cs="Arial"/>
            <w:noProof/>
          </w:rPr>
          <w:t>Table 5.6. Status of Control Measures – Nonroad Sources</w:t>
        </w:r>
        <w:r w:rsidR="00B75F4F" w:rsidRPr="00C16F27">
          <w:rPr>
            <w:noProof/>
            <w:webHidden/>
          </w:rPr>
          <w:tab/>
        </w:r>
        <w:r w:rsidR="00B75F4F" w:rsidRPr="00C16F27">
          <w:rPr>
            <w:noProof/>
            <w:webHidden/>
          </w:rPr>
          <w:fldChar w:fldCharType="begin"/>
        </w:r>
        <w:r w:rsidR="00B75F4F" w:rsidRPr="00C16F27">
          <w:rPr>
            <w:noProof/>
            <w:webHidden/>
          </w:rPr>
          <w:instrText xml:space="preserve"> PAGEREF _Toc373844560 \h </w:instrText>
        </w:r>
        <w:r w:rsidR="00B75F4F" w:rsidRPr="00C16F27">
          <w:rPr>
            <w:noProof/>
            <w:webHidden/>
          </w:rPr>
        </w:r>
        <w:r w:rsidR="00B75F4F" w:rsidRPr="00C16F27">
          <w:rPr>
            <w:noProof/>
            <w:webHidden/>
          </w:rPr>
          <w:fldChar w:fldCharType="separate"/>
        </w:r>
        <w:r w:rsidR="000F722A">
          <w:rPr>
            <w:noProof/>
            <w:webHidden/>
          </w:rPr>
          <w:t>54</w:t>
        </w:r>
        <w:r w:rsidR="00B75F4F" w:rsidRPr="00C16F27">
          <w:rPr>
            <w:noProof/>
            <w:webHidden/>
          </w:rPr>
          <w:fldChar w:fldCharType="end"/>
        </w:r>
      </w:hyperlink>
    </w:p>
    <w:p w:rsidR="00B75F4F" w:rsidRPr="00C16F27" w:rsidRDefault="00CC55EF">
      <w:pPr>
        <w:pStyle w:val="TableofFigures"/>
        <w:tabs>
          <w:tab w:val="right" w:leader="dot" w:pos="9350"/>
        </w:tabs>
        <w:rPr>
          <w:rFonts w:eastAsiaTheme="minorEastAsia" w:cstheme="minorBidi"/>
          <w:b/>
          <w:bCs/>
          <w:caps/>
          <w:noProof/>
          <w:sz w:val="22"/>
          <w:szCs w:val="22"/>
        </w:rPr>
      </w:pPr>
      <w:hyperlink w:anchor="_Toc373844561" w:history="1">
        <w:r w:rsidR="00B75F4F" w:rsidRPr="00C16F27">
          <w:rPr>
            <w:rStyle w:val="Hyperlink"/>
            <w:rFonts w:cs="Arial"/>
            <w:noProof/>
          </w:rPr>
          <w:t>Table 6.1. Source-Specific Emissions and Reductions in &lt;State&gt;</w:t>
        </w:r>
        <w:r w:rsidR="00B75F4F" w:rsidRPr="00C16F27">
          <w:rPr>
            <w:noProof/>
            <w:webHidden/>
          </w:rPr>
          <w:tab/>
        </w:r>
        <w:r w:rsidR="00B75F4F" w:rsidRPr="00C16F27">
          <w:rPr>
            <w:noProof/>
            <w:webHidden/>
          </w:rPr>
          <w:fldChar w:fldCharType="begin"/>
        </w:r>
        <w:r w:rsidR="00B75F4F" w:rsidRPr="00C16F27">
          <w:rPr>
            <w:noProof/>
            <w:webHidden/>
          </w:rPr>
          <w:instrText xml:space="preserve"> PAGEREF _Toc373844561 \h </w:instrText>
        </w:r>
        <w:r w:rsidR="00B75F4F" w:rsidRPr="00C16F27">
          <w:rPr>
            <w:noProof/>
            <w:webHidden/>
          </w:rPr>
        </w:r>
        <w:r w:rsidR="00B75F4F" w:rsidRPr="00C16F27">
          <w:rPr>
            <w:noProof/>
            <w:webHidden/>
          </w:rPr>
          <w:fldChar w:fldCharType="separate"/>
        </w:r>
        <w:r w:rsidR="000F722A">
          <w:rPr>
            <w:noProof/>
            <w:webHidden/>
          </w:rPr>
          <w:t>57</w:t>
        </w:r>
        <w:r w:rsidR="00B75F4F" w:rsidRPr="00C16F27">
          <w:rPr>
            <w:noProof/>
            <w:webHidden/>
          </w:rPr>
          <w:fldChar w:fldCharType="end"/>
        </w:r>
      </w:hyperlink>
    </w:p>
    <w:p w:rsidR="00B75F4F" w:rsidRDefault="00CC55EF">
      <w:pPr>
        <w:pStyle w:val="TableofFigures"/>
        <w:tabs>
          <w:tab w:val="right" w:leader="dot" w:pos="9350"/>
        </w:tabs>
        <w:rPr>
          <w:rFonts w:eastAsiaTheme="minorEastAsia" w:cstheme="minorBidi"/>
          <w:b/>
          <w:bCs/>
          <w:caps/>
          <w:noProof/>
          <w:sz w:val="22"/>
          <w:szCs w:val="22"/>
        </w:rPr>
      </w:pPr>
      <w:hyperlink w:anchor="_Toc373844562" w:history="1">
        <w:r w:rsidR="00B75F4F" w:rsidRPr="00C16F27">
          <w:rPr>
            <w:rStyle w:val="Hyperlink"/>
            <w:rFonts w:cs="Arial"/>
            <w:noProof/>
          </w:rPr>
          <w:t>Table 7.1. Emissions Data Sources by Sector</w:t>
        </w:r>
        <w:r w:rsidR="00B75F4F" w:rsidRPr="00C16F27">
          <w:rPr>
            <w:noProof/>
            <w:webHidden/>
          </w:rPr>
          <w:tab/>
        </w:r>
        <w:r w:rsidR="00B75F4F" w:rsidRPr="00C16F27">
          <w:rPr>
            <w:noProof/>
            <w:webHidden/>
          </w:rPr>
          <w:fldChar w:fldCharType="begin"/>
        </w:r>
        <w:r w:rsidR="00B75F4F" w:rsidRPr="00C16F27">
          <w:rPr>
            <w:noProof/>
            <w:webHidden/>
          </w:rPr>
          <w:instrText xml:space="preserve"> PAGEREF _Toc373844562 \h </w:instrText>
        </w:r>
        <w:r w:rsidR="00B75F4F" w:rsidRPr="00C16F27">
          <w:rPr>
            <w:noProof/>
            <w:webHidden/>
          </w:rPr>
        </w:r>
        <w:r w:rsidR="00B75F4F" w:rsidRPr="00C16F27">
          <w:rPr>
            <w:noProof/>
            <w:webHidden/>
          </w:rPr>
          <w:fldChar w:fldCharType="separate"/>
        </w:r>
        <w:r w:rsidR="000F722A">
          <w:rPr>
            <w:noProof/>
            <w:webHidden/>
          </w:rPr>
          <w:t>61</w:t>
        </w:r>
        <w:r w:rsidR="00B75F4F" w:rsidRPr="00C16F27">
          <w:rPr>
            <w:noProof/>
            <w:webHidden/>
          </w:rPr>
          <w:fldChar w:fldCharType="end"/>
        </w:r>
      </w:hyperlink>
    </w:p>
    <w:p w:rsidR="00B75F4F" w:rsidRDefault="00CC55EF">
      <w:pPr>
        <w:pStyle w:val="TableofFigures"/>
        <w:tabs>
          <w:tab w:val="right" w:leader="dot" w:pos="9350"/>
        </w:tabs>
        <w:rPr>
          <w:rFonts w:eastAsiaTheme="minorEastAsia" w:cstheme="minorBidi"/>
          <w:b/>
          <w:bCs/>
          <w:caps/>
          <w:noProof/>
          <w:sz w:val="22"/>
          <w:szCs w:val="22"/>
        </w:rPr>
      </w:pPr>
      <w:hyperlink w:anchor="_Toc373844563" w:history="1">
        <w:r w:rsidR="00B75F4F" w:rsidRPr="00197838">
          <w:rPr>
            <w:rStyle w:val="Hyperlink"/>
            <w:rFonts w:cs="Arial"/>
            <w:noProof/>
          </w:rPr>
          <w:t>Table 7.2. Air Pollutant Emission Trends between 2002 and 2020 for the MANE-VU Region</w:t>
        </w:r>
        <w:r w:rsidR="00B75F4F">
          <w:rPr>
            <w:noProof/>
            <w:webHidden/>
          </w:rPr>
          <w:tab/>
        </w:r>
        <w:r w:rsidR="00B75F4F">
          <w:rPr>
            <w:noProof/>
            <w:webHidden/>
          </w:rPr>
          <w:fldChar w:fldCharType="begin"/>
        </w:r>
        <w:r w:rsidR="00B75F4F">
          <w:rPr>
            <w:noProof/>
            <w:webHidden/>
          </w:rPr>
          <w:instrText xml:space="preserve"> PAGEREF _Toc373844563 \h </w:instrText>
        </w:r>
        <w:r w:rsidR="00B75F4F">
          <w:rPr>
            <w:noProof/>
            <w:webHidden/>
          </w:rPr>
        </w:r>
        <w:r w:rsidR="00B75F4F">
          <w:rPr>
            <w:noProof/>
            <w:webHidden/>
          </w:rPr>
          <w:fldChar w:fldCharType="separate"/>
        </w:r>
        <w:r w:rsidR="000F722A">
          <w:rPr>
            <w:noProof/>
            <w:webHidden/>
          </w:rPr>
          <w:t>63</w:t>
        </w:r>
        <w:r w:rsidR="00B75F4F">
          <w:rPr>
            <w:noProof/>
            <w:webHidden/>
          </w:rPr>
          <w:fldChar w:fldCharType="end"/>
        </w:r>
      </w:hyperlink>
    </w:p>
    <w:p w:rsidR="00B75F4F" w:rsidRDefault="00CC55EF">
      <w:pPr>
        <w:pStyle w:val="TableofFigures"/>
        <w:tabs>
          <w:tab w:val="right" w:leader="dot" w:pos="9350"/>
        </w:tabs>
        <w:rPr>
          <w:rFonts w:eastAsiaTheme="minorEastAsia" w:cstheme="minorBidi"/>
          <w:b/>
          <w:bCs/>
          <w:caps/>
          <w:noProof/>
          <w:sz w:val="22"/>
          <w:szCs w:val="22"/>
        </w:rPr>
      </w:pPr>
      <w:hyperlink w:anchor="_Toc373844564" w:history="1">
        <w:r w:rsidR="00B75F4F" w:rsidRPr="00197838">
          <w:rPr>
            <w:rStyle w:val="Hyperlink"/>
            <w:rFonts w:cs="Arial"/>
            <w:noProof/>
          </w:rPr>
          <w:t>Table 8.1. Sources Impeding Progress</w:t>
        </w:r>
        <w:r w:rsidR="00B75F4F">
          <w:rPr>
            <w:noProof/>
            <w:webHidden/>
          </w:rPr>
          <w:tab/>
        </w:r>
        <w:r w:rsidR="00B75F4F">
          <w:rPr>
            <w:noProof/>
            <w:webHidden/>
          </w:rPr>
          <w:fldChar w:fldCharType="begin"/>
        </w:r>
        <w:r w:rsidR="00B75F4F">
          <w:rPr>
            <w:noProof/>
            <w:webHidden/>
          </w:rPr>
          <w:instrText xml:space="preserve"> PAGEREF _Toc373844564 \h </w:instrText>
        </w:r>
        <w:r w:rsidR="00B75F4F">
          <w:rPr>
            <w:noProof/>
            <w:webHidden/>
          </w:rPr>
        </w:r>
        <w:r w:rsidR="00B75F4F">
          <w:rPr>
            <w:noProof/>
            <w:webHidden/>
          </w:rPr>
          <w:fldChar w:fldCharType="separate"/>
        </w:r>
        <w:r w:rsidR="000F722A">
          <w:rPr>
            <w:noProof/>
            <w:webHidden/>
          </w:rPr>
          <w:t>65</w:t>
        </w:r>
        <w:r w:rsidR="00B75F4F">
          <w:rPr>
            <w:noProof/>
            <w:webHidden/>
          </w:rPr>
          <w:fldChar w:fldCharType="end"/>
        </w:r>
      </w:hyperlink>
    </w:p>
    <w:p w:rsidR="00B75F4F" w:rsidRDefault="00CC55EF">
      <w:pPr>
        <w:pStyle w:val="TableofFigures"/>
        <w:tabs>
          <w:tab w:val="right" w:leader="dot" w:pos="9350"/>
        </w:tabs>
        <w:rPr>
          <w:rFonts w:eastAsiaTheme="minorEastAsia" w:cstheme="minorBidi"/>
          <w:b/>
          <w:bCs/>
          <w:caps/>
          <w:noProof/>
          <w:sz w:val="22"/>
          <w:szCs w:val="22"/>
        </w:rPr>
      </w:pPr>
      <w:hyperlink w:anchor="_Toc373844565" w:history="1">
        <w:r w:rsidR="00B75F4F" w:rsidRPr="00197838">
          <w:rPr>
            <w:rStyle w:val="Hyperlink"/>
            <w:rFonts w:cs="Arial"/>
            <w:noProof/>
          </w:rPr>
          <w:t>Table 10.1. Visibility Monitoring Sites in the State</w:t>
        </w:r>
        <w:r w:rsidR="00B75F4F">
          <w:rPr>
            <w:noProof/>
            <w:webHidden/>
          </w:rPr>
          <w:tab/>
        </w:r>
        <w:r w:rsidR="00B75F4F">
          <w:rPr>
            <w:noProof/>
            <w:webHidden/>
          </w:rPr>
          <w:fldChar w:fldCharType="begin"/>
        </w:r>
        <w:r w:rsidR="00B75F4F">
          <w:rPr>
            <w:noProof/>
            <w:webHidden/>
          </w:rPr>
          <w:instrText xml:space="preserve"> PAGEREF _Toc373844565 \h </w:instrText>
        </w:r>
        <w:r w:rsidR="00B75F4F">
          <w:rPr>
            <w:noProof/>
            <w:webHidden/>
          </w:rPr>
        </w:r>
        <w:r w:rsidR="00B75F4F">
          <w:rPr>
            <w:noProof/>
            <w:webHidden/>
          </w:rPr>
          <w:fldChar w:fldCharType="separate"/>
        </w:r>
        <w:r w:rsidR="000F722A">
          <w:rPr>
            <w:noProof/>
            <w:webHidden/>
          </w:rPr>
          <w:t>69</w:t>
        </w:r>
        <w:r w:rsidR="00B75F4F">
          <w:rPr>
            <w:noProof/>
            <w:webHidden/>
          </w:rPr>
          <w:fldChar w:fldCharType="end"/>
        </w:r>
      </w:hyperlink>
    </w:p>
    <w:p w:rsidR="0077417B" w:rsidRDefault="00B75F4F" w:rsidP="00B75F4F">
      <w:pPr>
        <w:pStyle w:val="TableofFigures"/>
        <w:tabs>
          <w:tab w:val="right" w:leader="dot" w:pos="9350"/>
        </w:tabs>
        <w:rPr>
          <w:rStyle w:val="Hyperlink"/>
          <w:caps/>
          <w:noProof/>
        </w:rPr>
      </w:pPr>
      <w:r>
        <w:rPr>
          <w:rStyle w:val="Hyperlink"/>
          <w:noProof/>
        </w:rPr>
        <w:fldChar w:fldCharType="end"/>
      </w:r>
      <w:r w:rsidR="0077417B">
        <w:rPr>
          <w:rStyle w:val="Hyperlink"/>
          <w:noProof/>
        </w:rPr>
        <w:br w:type="page"/>
      </w:r>
    </w:p>
    <w:p w:rsidR="00A142D1" w:rsidRPr="00A142D1" w:rsidRDefault="00F60FE6" w:rsidP="0077417B">
      <w:pPr>
        <w:pStyle w:val="TOC1"/>
        <w:tabs>
          <w:tab w:val="right" w:leader="dot" w:pos="9350"/>
        </w:tabs>
        <w:rPr>
          <w:rFonts w:ascii="Calibri" w:hAnsi="Calibri"/>
          <w:sz w:val="28"/>
          <w:szCs w:val="28"/>
        </w:rPr>
      </w:pPr>
      <w:r w:rsidRPr="0077417B">
        <w:rPr>
          <w:sz w:val="20"/>
        </w:rPr>
        <w:lastRenderedPageBreak/>
        <w:fldChar w:fldCharType="end"/>
      </w:r>
    </w:p>
    <w:p w:rsidR="00B75F4F" w:rsidRDefault="00B75F4F">
      <w:pPr>
        <w:spacing w:after="0" w:line="240" w:lineRule="auto"/>
        <w:rPr>
          <w:rFonts w:ascii="Arial" w:eastAsia="Times New Roman" w:hAnsi="Arial"/>
          <w:b/>
          <w:bCs/>
          <w:color w:val="000000" w:themeColor="text1"/>
          <w:szCs w:val="26"/>
          <w:u w:val="single"/>
        </w:rPr>
      </w:pPr>
      <w:bookmarkStart w:id="17" w:name="_Toc373843487"/>
      <w:r>
        <w:br w:type="page"/>
      </w:r>
    </w:p>
    <w:p w:rsidR="00E71C51" w:rsidRPr="00AC5502" w:rsidRDefault="00E71C51" w:rsidP="00AC5502">
      <w:pPr>
        <w:pStyle w:val="Heading2"/>
      </w:pPr>
      <w:r w:rsidRPr="00AC5502">
        <w:lastRenderedPageBreak/>
        <w:t>Section 1:  Federal Regional Haze Program Requirements</w:t>
      </w:r>
      <w:bookmarkEnd w:id="17"/>
    </w:p>
    <w:p w:rsidR="00E71C51" w:rsidRPr="00AC5502" w:rsidRDefault="00E71C51" w:rsidP="00AC5502">
      <w:pPr>
        <w:pStyle w:val="Heading3"/>
      </w:pPr>
      <w:bookmarkStart w:id="18" w:name="_Toc373843488"/>
      <w:r w:rsidRPr="00AC5502">
        <w:t>1.1</w:t>
      </w:r>
      <w:r w:rsidR="00D14E84" w:rsidRPr="00AC5502">
        <w:t>. Background</w:t>
      </w:r>
      <w:bookmarkEnd w:id="18"/>
    </w:p>
    <w:p w:rsidR="00E71C51" w:rsidRPr="008763E5" w:rsidRDefault="00E71C51" w:rsidP="00AC5502">
      <w:pPr>
        <w:rPr>
          <w:w w:val="105"/>
        </w:rPr>
      </w:pPr>
      <w:r w:rsidRPr="008763E5">
        <w:rPr>
          <w:w w:val="105"/>
        </w:rPr>
        <w:t xml:space="preserve">The U.S. Clean Air Act </w:t>
      </w:r>
      <w:r w:rsidR="00E46153">
        <w:rPr>
          <w:w w:val="105"/>
        </w:rPr>
        <w:t xml:space="preserve">(the Act) </w:t>
      </w:r>
      <w:r w:rsidRPr="008763E5">
        <w:rPr>
          <w:w w:val="105"/>
        </w:rPr>
        <w:t>sets requirements to protect the air quality-related values of national parks and wilderness areas.  Specifically, Section 169A of the Act requires the “prevention of any future, and the remedying of any existing impairment of visibility in Class I areas which impairment results from manmade air pollution.”</w:t>
      </w:r>
    </w:p>
    <w:p w:rsidR="00E71C51" w:rsidRPr="008763E5" w:rsidRDefault="00E71C51" w:rsidP="00AC5502">
      <w:pPr>
        <w:rPr>
          <w:w w:val="105"/>
        </w:rPr>
      </w:pPr>
      <w:r w:rsidRPr="008763E5">
        <w:rPr>
          <w:w w:val="105"/>
        </w:rPr>
        <w:t>Areas protected by this portion of the Act include national parks exceeding 6,000 acres, wilderness areas and national memorial parks exceeding 5,000 acres, and all international parks in existence on August 7, 1977. There are 156 Class I areas in the United States, of which eleven are in or near the Mid-Atlantic and Northeast Region (Figure 1).</w:t>
      </w:r>
    </w:p>
    <w:p w:rsidR="00E71C51" w:rsidRPr="00A15345" w:rsidRDefault="00AC5502" w:rsidP="00A15345">
      <w:pPr>
        <w:pStyle w:val="2TablesandFigures2"/>
        <w:rPr>
          <w:rStyle w:val="IntenseEmphasis"/>
          <w:rFonts w:cs="Arial"/>
          <w:b/>
          <w:bCs/>
          <w:i w:val="0"/>
          <w:iCs w:val="0"/>
          <w:color w:val="auto"/>
        </w:rPr>
      </w:pPr>
      <w:bookmarkStart w:id="19" w:name="_Toc341960492"/>
      <w:bookmarkStart w:id="20" w:name="_Toc374023001"/>
      <w:proofErr w:type="gramStart"/>
      <w:r w:rsidRPr="00A15345">
        <w:rPr>
          <w:rStyle w:val="IntenseEmphasis"/>
          <w:rFonts w:cs="Arial"/>
          <w:b/>
          <w:bCs/>
          <w:i w:val="0"/>
          <w:iCs w:val="0"/>
          <w:color w:val="auto"/>
        </w:rPr>
        <w:t>Figure 1.1</w:t>
      </w:r>
      <w:r w:rsidR="00A15345">
        <w:rPr>
          <w:rStyle w:val="IntenseEmphasis"/>
          <w:rFonts w:cs="Arial"/>
          <w:b/>
          <w:bCs/>
          <w:i w:val="0"/>
          <w:iCs w:val="0"/>
          <w:color w:val="auto"/>
        </w:rPr>
        <w:t>.</w:t>
      </w:r>
      <w:proofErr w:type="gramEnd"/>
      <w:r w:rsidR="00150C05" w:rsidRPr="00A15345">
        <w:rPr>
          <w:rStyle w:val="IntenseEmphasis"/>
          <w:rFonts w:cs="Arial"/>
          <w:b/>
          <w:bCs/>
          <w:i w:val="0"/>
          <w:iCs w:val="0"/>
          <w:color w:val="auto"/>
        </w:rPr>
        <w:t xml:space="preserve"> </w:t>
      </w:r>
      <w:r w:rsidR="00E71C51" w:rsidRPr="00A15345">
        <w:rPr>
          <w:rStyle w:val="IntenseEmphasis"/>
          <w:rFonts w:cs="Arial"/>
          <w:b/>
          <w:bCs/>
          <w:i w:val="0"/>
          <w:iCs w:val="0"/>
          <w:color w:val="auto"/>
        </w:rPr>
        <w:t>Nearby Class I Areas</w:t>
      </w:r>
      <w:bookmarkEnd w:id="19"/>
      <w:bookmarkEnd w:id="20"/>
    </w:p>
    <w:p w:rsidR="00E71C51" w:rsidRDefault="0022132B" w:rsidP="00D4358D">
      <w:pPr>
        <w:jc w:val="center"/>
        <w:rPr>
          <w:b/>
          <w:sz w:val="24"/>
          <w:szCs w:val="24"/>
        </w:rPr>
      </w:pPr>
      <w:r>
        <w:rPr>
          <w:noProof/>
        </w:rPr>
        <w:drawing>
          <wp:inline distT="0" distB="0" distL="0" distR="0">
            <wp:extent cx="4572000" cy="3348990"/>
            <wp:effectExtent l="19050" t="19050" r="19050" b="22860"/>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srcRect/>
                    <a:stretch>
                      <a:fillRect/>
                    </a:stretch>
                  </pic:blipFill>
                  <pic:spPr bwMode="auto">
                    <a:xfrm>
                      <a:off x="0" y="0"/>
                      <a:ext cx="4572000" cy="3348990"/>
                    </a:xfrm>
                    <a:prstGeom prst="rect">
                      <a:avLst/>
                    </a:prstGeom>
                    <a:noFill/>
                    <a:ln w="9525" cmpd="sng">
                      <a:solidFill>
                        <a:srgbClr val="000000"/>
                      </a:solidFill>
                      <a:miter lim="800000"/>
                      <a:headEnd/>
                      <a:tailEnd/>
                    </a:ln>
                    <a:effectLst/>
                  </pic:spPr>
                </pic:pic>
              </a:graphicData>
            </a:graphic>
          </wp:inline>
        </w:drawing>
      </w:r>
    </w:p>
    <w:p w:rsidR="00E71C51" w:rsidRDefault="00E71C51" w:rsidP="00D4358D">
      <w:pPr>
        <w:spacing w:before="252"/>
        <w:ind w:right="432"/>
        <w:rPr>
          <w:spacing w:val="-3"/>
          <w:w w:val="105"/>
          <w:sz w:val="24"/>
          <w:szCs w:val="24"/>
        </w:rPr>
      </w:pPr>
    </w:p>
    <w:p w:rsidR="00E71C51" w:rsidRPr="008763E5" w:rsidRDefault="00E71C51" w:rsidP="00AC5502">
      <w:r w:rsidRPr="008763E5">
        <w:rPr>
          <w:w w:val="105"/>
        </w:rPr>
        <w:t xml:space="preserve">The Clean Air Act directed </w:t>
      </w:r>
      <w:r w:rsidRPr="008763E5">
        <w:t>U.S. Environmental Protection Agency (EPA)</w:t>
      </w:r>
      <w:r w:rsidRPr="008763E5">
        <w:rPr>
          <w:w w:val="105"/>
        </w:rPr>
        <w:t xml:space="preserve"> to promulgate regulations to assure reasonable progress toward meeting the national goal of improved visibility in Class I areas.  </w:t>
      </w:r>
      <w:r w:rsidR="00E46153">
        <w:t>On July 1, 1999,</w:t>
      </w:r>
      <w:r w:rsidRPr="008763E5">
        <w:t xml:space="preserve"> EPA finalized the Regional Haze Rule (64 FR 35714) (40 CFR 51.300-308). The rule calls for state, tribal, and federal agencies to work together to improve visibility.  </w:t>
      </w:r>
    </w:p>
    <w:p w:rsidR="00E71C51" w:rsidRDefault="00E71C51" w:rsidP="00AC5502">
      <w:pPr>
        <w:rPr>
          <w:spacing w:val="-2"/>
          <w:w w:val="105"/>
        </w:rPr>
      </w:pPr>
      <w:r w:rsidRPr="008763E5">
        <w:t xml:space="preserve">In cooperation with the States, EPA </w:t>
      </w:r>
      <w:r w:rsidRPr="008763E5">
        <w:rPr>
          <w:spacing w:val="-9"/>
          <w:w w:val="105"/>
        </w:rPr>
        <w:t xml:space="preserve">designated five Regional </w:t>
      </w:r>
      <w:r w:rsidRPr="008763E5">
        <w:rPr>
          <w:spacing w:val="-5"/>
          <w:w w:val="105"/>
        </w:rPr>
        <w:t xml:space="preserve">Planning Organizations (RPOs) to assist with the coordination and cooperation states and tribes needed to address </w:t>
      </w:r>
      <w:r w:rsidRPr="008763E5">
        <w:rPr>
          <w:spacing w:val="-2"/>
          <w:w w:val="105"/>
        </w:rPr>
        <w:t>the visibility issue. &lt;</w:t>
      </w:r>
      <w:r w:rsidRPr="008763E5">
        <w:rPr>
          <w:spacing w:val="-2"/>
          <w:w w:val="105"/>
          <w:highlight w:val="yellow"/>
        </w:rPr>
        <w:t>State Name</w:t>
      </w:r>
      <w:r w:rsidRPr="008763E5">
        <w:rPr>
          <w:spacing w:val="-2"/>
          <w:w w:val="105"/>
        </w:rPr>
        <w:t>&gt; is a member of the Mid-Atlantic/Northeast Visibility Union (MANE-VU).</w:t>
      </w:r>
    </w:p>
    <w:p w:rsidR="00670FB4" w:rsidRDefault="00670FB4">
      <w:pPr>
        <w:spacing w:after="0" w:line="240" w:lineRule="auto"/>
        <w:rPr>
          <w:spacing w:val="-5"/>
          <w:w w:val="105"/>
        </w:rPr>
      </w:pPr>
      <w:r>
        <w:rPr>
          <w:spacing w:val="-5"/>
          <w:w w:val="105"/>
        </w:rPr>
        <w:br w:type="page"/>
      </w:r>
    </w:p>
    <w:p w:rsidR="00E71C51" w:rsidRPr="00AC5502" w:rsidRDefault="00AC5502" w:rsidP="0077417B">
      <w:pPr>
        <w:pStyle w:val="2TablesandFigures2"/>
        <w:rPr>
          <w:rStyle w:val="IntenseEmphasis"/>
          <w:rFonts w:cs="Arial"/>
          <w:b/>
          <w:bCs/>
          <w:i w:val="0"/>
          <w:iCs w:val="0"/>
          <w:color w:val="auto"/>
        </w:rPr>
      </w:pPr>
      <w:bookmarkStart w:id="21" w:name="_Toc341960493"/>
      <w:bookmarkStart w:id="22" w:name="_Toc373843557"/>
      <w:bookmarkStart w:id="23" w:name="_Toc374023002"/>
      <w:proofErr w:type="gramStart"/>
      <w:r>
        <w:rPr>
          <w:rStyle w:val="Heading8Char"/>
          <w:rFonts w:ascii="Arial" w:hAnsi="Arial" w:cs="Arial"/>
          <w:color w:val="auto"/>
          <w:szCs w:val="18"/>
        </w:rPr>
        <w:lastRenderedPageBreak/>
        <w:t>Figure 1.2</w:t>
      </w:r>
      <w:r w:rsidR="00A15345">
        <w:rPr>
          <w:rStyle w:val="Heading8Char"/>
          <w:rFonts w:ascii="Arial" w:hAnsi="Arial" w:cs="Arial"/>
          <w:color w:val="auto"/>
          <w:szCs w:val="18"/>
        </w:rPr>
        <w:t>.</w:t>
      </w:r>
      <w:proofErr w:type="gramEnd"/>
      <w:r w:rsidR="00150C05">
        <w:rPr>
          <w:rStyle w:val="Heading8Char"/>
          <w:rFonts w:ascii="Arial" w:hAnsi="Arial" w:cs="Arial"/>
          <w:color w:val="auto"/>
          <w:szCs w:val="18"/>
        </w:rPr>
        <w:t xml:space="preserve"> </w:t>
      </w:r>
      <w:r w:rsidR="00E71C51" w:rsidRPr="00AC5502">
        <w:rPr>
          <w:rStyle w:val="Heading8Char"/>
          <w:rFonts w:ascii="Arial" w:hAnsi="Arial" w:cs="Arial"/>
          <w:color w:val="auto"/>
          <w:szCs w:val="18"/>
        </w:rPr>
        <w:t>Map of U.S. Regional Planning Organizations</w:t>
      </w:r>
      <w:bookmarkEnd w:id="21"/>
      <w:bookmarkEnd w:id="22"/>
      <w:bookmarkEnd w:id="23"/>
    </w:p>
    <w:p w:rsidR="00E71C51" w:rsidRPr="00ED2D27" w:rsidRDefault="0022132B" w:rsidP="00095B62">
      <w:pPr>
        <w:spacing w:before="252"/>
        <w:ind w:right="72"/>
        <w:rPr>
          <w:spacing w:val="-5"/>
          <w:w w:val="105"/>
        </w:rPr>
      </w:pPr>
      <w:r>
        <w:rPr>
          <w:noProof/>
          <w:spacing w:val="-5"/>
          <w:w w:val="105"/>
        </w:rPr>
        <w:drawing>
          <wp:inline distT="0" distB="0" distL="0" distR="0">
            <wp:extent cx="5961380" cy="3717290"/>
            <wp:effectExtent l="19050" t="19050" r="20320"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srcRect/>
                    <a:stretch>
                      <a:fillRect/>
                    </a:stretch>
                  </pic:blipFill>
                  <pic:spPr bwMode="auto">
                    <a:xfrm>
                      <a:off x="0" y="0"/>
                      <a:ext cx="5961380" cy="3717290"/>
                    </a:xfrm>
                    <a:prstGeom prst="rect">
                      <a:avLst/>
                    </a:prstGeom>
                    <a:noFill/>
                    <a:ln w="9525" cmpd="sng">
                      <a:solidFill>
                        <a:srgbClr val="000000"/>
                      </a:solidFill>
                      <a:miter lim="800000"/>
                      <a:headEnd/>
                      <a:tailEnd/>
                    </a:ln>
                    <a:effectLst/>
                  </pic:spPr>
                </pic:pic>
              </a:graphicData>
            </a:graphic>
          </wp:inline>
        </w:drawing>
      </w:r>
    </w:p>
    <w:p w:rsidR="00E71C51" w:rsidRPr="00577F80" w:rsidRDefault="00E71C51" w:rsidP="00AC5502">
      <w:r w:rsidRPr="008763E5">
        <w:t xml:space="preserve">States and tribes in the Northeast and Mid-Atlantic region, along with Federal Land Management Agencies and the U.S. Environmental Protection Agency, worked together </w:t>
      </w:r>
      <w:r>
        <w:t xml:space="preserve">through MANE-VU </w:t>
      </w:r>
      <w:r w:rsidRPr="008763E5">
        <w:t xml:space="preserve">to develop strategies for reducing the haze that obscures natural vistas in areas designated in the Clean Air Act as Class I areas.  </w:t>
      </w:r>
      <w:r w:rsidR="004F2724">
        <w:t xml:space="preserve">In 2006, </w:t>
      </w:r>
      <w:r w:rsidRPr="008763E5">
        <w:t>MANE-VU determined that the predominant cause of haze pollution in Northeast parks and wilderness areas is sulfate particles due to sulfur dioxide emissions from burning coal and oil to provide heat and power to homes, businesses, and industries.  Additional pollutants contributing to regional haze are emitted by power plants, boilers, furnaces, motor vehicles, and other fuel-burning equipment as well as</w:t>
      </w:r>
      <w:r w:rsidR="004250EE">
        <w:t xml:space="preserve"> forest fires and wood combustion</w:t>
      </w:r>
      <w:r w:rsidRPr="008763E5">
        <w:t xml:space="preserve">.  </w:t>
      </w:r>
      <w:proofErr w:type="gramStart"/>
      <w:r w:rsidR="004F2724" w:rsidRPr="00577F80">
        <w:t>(</w:t>
      </w:r>
      <w:r w:rsidR="004F2724" w:rsidRPr="008203DF">
        <w:t xml:space="preserve">See </w:t>
      </w:r>
      <w:r w:rsidR="004F2724" w:rsidRPr="008A40F9">
        <w:rPr>
          <w:i/>
        </w:rPr>
        <w:t>Contributions to Regional Haze in the Northeast and Mid-Atlantic States,</w:t>
      </w:r>
      <w:r w:rsidR="004F2724" w:rsidRPr="00577F80">
        <w:t xml:space="preserve"> NESCAUM, 2006.)</w:t>
      </w:r>
      <w:proofErr w:type="gramEnd"/>
      <w:r w:rsidR="004F2724" w:rsidRPr="00577F80">
        <w:t xml:space="preserve">  </w:t>
      </w:r>
    </w:p>
    <w:p w:rsidR="00E71C51" w:rsidRPr="008763E5" w:rsidRDefault="00E71C51" w:rsidP="00AC5502">
      <w:pPr>
        <w:rPr>
          <w:spacing w:val="-3"/>
          <w:w w:val="105"/>
        </w:rPr>
      </w:pPr>
      <w:r w:rsidRPr="008763E5">
        <w:t>EPA’s Regional Haze Rule requires States to develop and implement plans (State Implementation Plans, or SIPs) to reduce the pollution that causes visibility imp</w:t>
      </w:r>
      <w:r>
        <w:t>airment. These plans establish</w:t>
      </w:r>
      <w:r w:rsidRPr="008763E5">
        <w:t xml:space="preserve"> reasonable progress goals and emission reduction strategies for various air pollution sources including area sources, mobile sources (both on-road and non-road sources), and point sources.</w:t>
      </w:r>
    </w:p>
    <w:p w:rsidR="003905DD" w:rsidRDefault="003905DD">
      <w:pPr>
        <w:spacing w:after="0" w:line="240" w:lineRule="auto"/>
        <w:rPr>
          <w:rFonts w:ascii="Cambria" w:eastAsia="Times New Roman" w:hAnsi="Cambria"/>
          <w:b/>
          <w:bCs/>
          <w:color w:val="000000" w:themeColor="text1"/>
        </w:rPr>
      </w:pPr>
      <w:r>
        <w:br w:type="page"/>
      </w:r>
    </w:p>
    <w:p w:rsidR="00751DDE" w:rsidRPr="00751DDE" w:rsidRDefault="00E71C51" w:rsidP="00AC5502">
      <w:pPr>
        <w:pStyle w:val="Heading3"/>
      </w:pPr>
      <w:bookmarkStart w:id="24" w:name="_Toc373843489"/>
      <w:r w:rsidRPr="00AC5502">
        <w:lastRenderedPageBreak/>
        <w:t>1.2</w:t>
      </w:r>
      <w:r w:rsidR="00D14E84" w:rsidRPr="00AC5502">
        <w:t>. Summary</w:t>
      </w:r>
      <w:r w:rsidRPr="00AC5502">
        <w:t xml:space="preserve"> of the Requirements for Periodic Progress Reports</w:t>
      </w:r>
      <w:bookmarkEnd w:id="24"/>
    </w:p>
    <w:p w:rsidR="00751DDE" w:rsidRPr="00B27876" w:rsidRDefault="00751DDE" w:rsidP="00AC5502">
      <w:r w:rsidRPr="00B27876">
        <w:t xml:space="preserve">This </w:t>
      </w:r>
      <w:r w:rsidRPr="00B27876">
        <w:rPr>
          <w:i/>
        </w:rPr>
        <w:t>5-Year Progress Report</w:t>
      </w:r>
      <w:r w:rsidRPr="00B27876">
        <w:t xml:space="preserve"> is a SIP revision which fulfills the requirements of 40 CFR Part 51, Section 308(g), 308(h), 308(i) and 40 CFR Part 51 Sections 102 and 103.  The following paragraphs summarize those requirements.</w:t>
      </w:r>
      <w:r w:rsidR="00E46153">
        <w:t xml:space="preserve">  The primary purpose of this report is to provide an update on the status of implementing measures in the state’s Regional Haze SIP.</w:t>
      </w:r>
    </w:p>
    <w:p w:rsidR="00E71C51" w:rsidRPr="00AC5502" w:rsidRDefault="005C05B5" w:rsidP="000B71D4">
      <w:pPr>
        <w:pStyle w:val="2ndLevelHeader"/>
      </w:pPr>
      <w:bookmarkStart w:id="25" w:name="_Toc373843490"/>
      <w:r w:rsidRPr="00AC5502">
        <w:rPr>
          <w:rStyle w:val="Strong"/>
        </w:rPr>
        <w:t>1.2.1</w:t>
      </w:r>
      <w:r w:rsidR="00E46153">
        <w:rPr>
          <w:rStyle w:val="Strong"/>
        </w:rPr>
        <w:t>.</w:t>
      </w:r>
      <w:r w:rsidRPr="00AC5502">
        <w:rPr>
          <w:rStyle w:val="Strong"/>
        </w:rPr>
        <w:t xml:space="preserve"> </w:t>
      </w:r>
      <w:r w:rsidR="00E71C51" w:rsidRPr="00AC5502">
        <w:rPr>
          <w:rStyle w:val="Strong"/>
        </w:rPr>
        <w:t>General and Procedural Requirements</w:t>
      </w:r>
      <w:bookmarkEnd w:id="25"/>
    </w:p>
    <w:p w:rsidR="00E71C51" w:rsidRPr="00B27876" w:rsidRDefault="00E71C51" w:rsidP="005A544E">
      <w:r w:rsidRPr="00B27876">
        <w:t xml:space="preserve">The EPA Regional Haze Rule requires </w:t>
      </w:r>
      <w:r w:rsidR="003905DD">
        <w:t xml:space="preserve">each 5-year periodic progress report </w:t>
      </w:r>
      <w:r w:rsidRPr="00B27876">
        <w:t>to be in the form of a SIP revision that complies with the pr</w:t>
      </w:r>
      <w:r w:rsidR="005A544E">
        <w:t>ocedural requirements of the Clean Air Act</w:t>
      </w:r>
      <w:r w:rsidRPr="00B27876">
        <w:t xml:space="preserve"> as well as the requirements of the Regional Haze Rule. Because &lt;</w:t>
      </w:r>
      <w:r w:rsidRPr="00B27876">
        <w:rPr>
          <w:highlight w:val="yellow"/>
        </w:rPr>
        <w:t>the State’s</w:t>
      </w:r>
      <w:r w:rsidRPr="00B27876">
        <w:t xml:space="preserve">&gt; first </w:t>
      </w:r>
      <w:r w:rsidR="00AE6806">
        <w:t>regional haze</w:t>
      </w:r>
      <w:r w:rsidR="00AE6806" w:rsidRPr="00B27876">
        <w:t xml:space="preserve"> </w:t>
      </w:r>
      <w:r w:rsidRPr="00B27876">
        <w:t>SIP was submitted on &lt;</w:t>
      </w:r>
      <w:r w:rsidRPr="00B27876">
        <w:rPr>
          <w:highlight w:val="yellow"/>
        </w:rPr>
        <w:t>date</w:t>
      </w:r>
      <w:r w:rsidRPr="00B27876">
        <w:t>&gt;, th</w:t>
      </w:r>
      <w:r w:rsidR="003905DD">
        <w:t>is</w:t>
      </w:r>
      <w:r w:rsidR="00AE6806">
        <w:t xml:space="preserve"> </w:t>
      </w:r>
      <w:r w:rsidRPr="00B27876">
        <w:rPr>
          <w:i/>
        </w:rPr>
        <w:t>5-Year Progress Report</w:t>
      </w:r>
      <w:r w:rsidRPr="00B27876">
        <w:t xml:space="preserve"> is due to EPA by &lt;</w:t>
      </w:r>
      <w:r w:rsidRPr="00B27876">
        <w:rPr>
          <w:highlight w:val="yellow"/>
        </w:rPr>
        <w:t>date</w:t>
      </w:r>
      <w:r w:rsidRPr="00B27876">
        <w:t xml:space="preserve">&gt;.  The periodic report must address the following </w:t>
      </w:r>
      <w:r w:rsidR="005A544E">
        <w:t xml:space="preserve">regulatory requirements: </w:t>
      </w:r>
    </w:p>
    <w:p w:rsidR="00E71C51" w:rsidRPr="00B27876" w:rsidRDefault="00E71C51" w:rsidP="005A544E">
      <w:pPr>
        <w:numPr>
          <w:ilvl w:val="0"/>
          <w:numId w:val="14"/>
        </w:numPr>
        <w:autoSpaceDE w:val="0"/>
        <w:autoSpaceDN w:val="0"/>
        <w:adjustRightInd w:val="0"/>
        <w:spacing w:line="240" w:lineRule="auto"/>
      </w:pPr>
      <w:r w:rsidRPr="00B27876">
        <w:t>40 CFR §51.102 (public hearings);</w:t>
      </w:r>
    </w:p>
    <w:p w:rsidR="00E71C51" w:rsidRPr="00B27876" w:rsidRDefault="00E71C51" w:rsidP="005A544E">
      <w:pPr>
        <w:numPr>
          <w:ilvl w:val="0"/>
          <w:numId w:val="14"/>
        </w:numPr>
        <w:autoSpaceDE w:val="0"/>
        <w:autoSpaceDN w:val="0"/>
        <w:adjustRightInd w:val="0"/>
        <w:spacing w:line="240" w:lineRule="auto"/>
      </w:pPr>
      <w:r w:rsidRPr="00B27876">
        <w:t xml:space="preserve">40 CFR §51.103 (EPA submittal requirements); </w:t>
      </w:r>
    </w:p>
    <w:p w:rsidR="00E71C51" w:rsidRPr="00B27876" w:rsidRDefault="00E71C51" w:rsidP="005A544E">
      <w:pPr>
        <w:numPr>
          <w:ilvl w:val="0"/>
          <w:numId w:val="14"/>
        </w:numPr>
        <w:autoSpaceDE w:val="0"/>
        <w:autoSpaceDN w:val="0"/>
        <w:adjustRightInd w:val="0"/>
      </w:pPr>
      <w:r w:rsidRPr="00B27876">
        <w:t xml:space="preserve">40 </w:t>
      </w:r>
      <w:r w:rsidRPr="000B71D4">
        <w:t>CFR Part 51 Section 308(g) - evaluate progress towards the reasonable progress goals established in the initial SIP for each mandatory Class I Federal area located within the State and each mandatory Class I Federal area located outside the State which may be affected by emissions from within the State;</w:t>
      </w:r>
    </w:p>
    <w:p w:rsidR="00E71C51" w:rsidRPr="00B27876" w:rsidRDefault="00E71C51" w:rsidP="005A544E">
      <w:pPr>
        <w:numPr>
          <w:ilvl w:val="0"/>
          <w:numId w:val="14"/>
        </w:numPr>
        <w:autoSpaceDE w:val="0"/>
        <w:autoSpaceDN w:val="0"/>
        <w:adjustRightInd w:val="0"/>
        <w:spacing w:line="240" w:lineRule="auto"/>
      </w:pPr>
      <w:r w:rsidRPr="00B27876">
        <w:t>40 CFR Part 51 Section 308(h) - determin</w:t>
      </w:r>
      <w:r w:rsidR="003905DD">
        <w:t>e</w:t>
      </w:r>
      <w:r w:rsidRPr="00B27876">
        <w:t xml:space="preserve"> the adequacy of existing implementation </w:t>
      </w:r>
      <w:r w:rsidR="00D14E84" w:rsidRPr="00B27876">
        <w:t>plan</w:t>
      </w:r>
      <w:r w:rsidR="00815190">
        <w:t>;</w:t>
      </w:r>
      <w:r w:rsidR="002D0FFA">
        <w:t xml:space="preserve"> </w:t>
      </w:r>
      <w:r w:rsidR="00815190">
        <w:t>and</w:t>
      </w:r>
      <w:r w:rsidRPr="00B27876">
        <w:t xml:space="preserve">  </w:t>
      </w:r>
    </w:p>
    <w:p w:rsidR="000B71D4" w:rsidRDefault="00E71C51" w:rsidP="000B71D4">
      <w:pPr>
        <w:numPr>
          <w:ilvl w:val="0"/>
          <w:numId w:val="14"/>
        </w:numPr>
        <w:autoSpaceDE w:val="0"/>
        <w:autoSpaceDN w:val="0"/>
        <w:adjustRightInd w:val="0"/>
        <w:spacing w:after="0"/>
      </w:pPr>
      <w:r w:rsidRPr="00B27876">
        <w:t xml:space="preserve">40 CFR Part 51 Section 308(i) -  provide continued coordination with other states with Class I areas impacted by </w:t>
      </w:r>
      <w:r w:rsidR="00223671">
        <w:t>&lt;</w:t>
      </w:r>
      <w:r w:rsidR="00223671" w:rsidRPr="00223671">
        <w:rPr>
          <w:highlight w:val="yellow"/>
        </w:rPr>
        <w:t>the State</w:t>
      </w:r>
      <w:r w:rsidR="00223671">
        <w:t>&gt;</w:t>
      </w:r>
      <w:r w:rsidRPr="00B27876">
        <w:t xml:space="preserve">, as well as consult with </w:t>
      </w:r>
      <w:r w:rsidR="005A544E">
        <w:t>Federal Land Managers (</w:t>
      </w:r>
      <w:r w:rsidRPr="00B27876">
        <w:t>FLMs</w:t>
      </w:r>
      <w:r w:rsidR="005A544E">
        <w:t>)</w:t>
      </w:r>
      <w:r w:rsidRPr="00B27876">
        <w:t xml:space="preserve"> and EPA in order to maintain and improve the</w:t>
      </w:r>
      <w:r w:rsidR="004250EE">
        <w:t xml:space="preserve"> visibility in the Class I area.  (</w:t>
      </w:r>
      <w:r w:rsidR="004250EE" w:rsidRPr="00DB70E8">
        <w:t xml:space="preserve">40 CFR Part 51 Section 308(i) requires States to give FLMs 60 days to review and draft comments on the proposed SIP, </w:t>
      </w:r>
      <w:r w:rsidR="004250EE" w:rsidRPr="00DB70E8">
        <w:rPr>
          <w:i/>
        </w:rPr>
        <w:t>prior</w:t>
      </w:r>
      <w:r w:rsidR="004250EE" w:rsidRPr="00DB70E8">
        <w:t xml:space="preserve"> to the public hearing on any SIP revision related to Regional Haze</w:t>
      </w:r>
      <w:r w:rsidR="004250EE">
        <w:t>.)</w:t>
      </w:r>
    </w:p>
    <w:p w:rsidR="000B71D4" w:rsidRDefault="000B71D4" w:rsidP="000B71D4">
      <w:pPr>
        <w:spacing w:after="0" w:line="240" w:lineRule="auto"/>
      </w:pPr>
      <w:r>
        <w:br w:type="page"/>
      </w:r>
    </w:p>
    <w:p w:rsidR="00E71C51" w:rsidRPr="00B27876" w:rsidRDefault="005C05B5" w:rsidP="000B71D4">
      <w:pPr>
        <w:pStyle w:val="2ndLevelHeader"/>
      </w:pPr>
      <w:bookmarkStart w:id="26" w:name="_Toc373843491"/>
      <w:r>
        <w:lastRenderedPageBreak/>
        <w:t>1.2.2</w:t>
      </w:r>
      <w:r w:rsidR="00E46153">
        <w:t>.</w:t>
      </w:r>
      <w:r>
        <w:t xml:space="preserve"> </w:t>
      </w:r>
      <w:r w:rsidR="00E71C51" w:rsidRPr="00230052">
        <w:t>Required Elements of the Progress Report SIP</w:t>
      </w:r>
      <w:bookmarkEnd w:id="26"/>
    </w:p>
    <w:p w:rsidR="00E71C51" w:rsidRPr="00B27876" w:rsidRDefault="00E46153" w:rsidP="000B71D4">
      <w:r>
        <w:t>According to 40 CFR Part 51 Section 308(g),</w:t>
      </w:r>
      <w:r w:rsidR="00E71C51" w:rsidRPr="00B27876">
        <w:t xml:space="preserve"> 5-Year Progress Reports must contain at a minimum the following elements: </w:t>
      </w:r>
    </w:p>
    <w:p w:rsidR="00E71C51" w:rsidRPr="00B27876" w:rsidRDefault="00E71C51" w:rsidP="000B71D4">
      <w:pPr>
        <w:pStyle w:val="Numbering"/>
      </w:pPr>
      <w:r w:rsidRPr="00B27876">
        <w:t xml:space="preserve">A description of the status of implementation of all measures included in the implementation plan for achieving reasonable progress goals for mandatory Class I Federal areas both within and outside the State. </w:t>
      </w:r>
    </w:p>
    <w:p w:rsidR="00E71C51" w:rsidRPr="00B27876" w:rsidRDefault="00E71C51" w:rsidP="000B71D4">
      <w:pPr>
        <w:pStyle w:val="Numbering"/>
      </w:pPr>
      <w:r w:rsidRPr="00B27876">
        <w:t>A summary of the emissions reductions achieved throughout the State through implementation of the measures described in paragraph (g</w:t>
      </w:r>
      <w:r w:rsidR="00150C05" w:rsidRPr="00B27876">
        <w:t>) (</w:t>
      </w:r>
      <w:r w:rsidRPr="00B27876">
        <w:t>1) of this section.</w:t>
      </w:r>
    </w:p>
    <w:p w:rsidR="00E71C51" w:rsidRPr="00B27876" w:rsidRDefault="00E71C51" w:rsidP="000B71D4">
      <w:pPr>
        <w:pStyle w:val="Numbering"/>
      </w:pPr>
      <w:r w:rsidRPr="00B27876">
        <w:t>For each mandatory Class I Federal area within the State, the State must assess the following visibility conditions and changes, with values for most impaired and least impaired days expressed in terms of 5-year averages of these annual values:</w:t>
      </w:r>
    </w:p>
    <w:p w:rsidR="00E71C51" w:rsidRPr="00B27876" w:rsidRDefault="00E71C51" w:rsidP="000B71D4">
      <w:pPr>
        <w:numPr>
          <w:ilvl w:val="0"/>
          <w:numId w:val="17"/>
        </w:numPr>
        <w:autoSpaceDE w:val="0"/>
        <w:autoSpaceDN w:val="0"/>
        <w:adjustRightInd w:val="0"/>
        <w:spacing w:after="0"/>
        <w:jc w:val="both"/>
      </w:pPr>
      <w:r w:rsidRPr="00B27876">
        <w:t>The current visibility conditions for the most impaired and least impaired days;</w:t>
      </w:r>
    </w:p>
    <w:p w:rsidR="00E71C51" w:rsidRPr="00B27876" w:rsidRDefault="00E71C51" w:rsidP="000B71D4">
      <w:pPr>
        <w:numPr>
          <w:ilvl w:val="0"/>
          <w:numId w:val="17"/>
        </w:numPr>
        <w:autoSpaceDE w:val="0"/>
        <w:autoSpaceDN w:val="0"/>
        <w:adjustRightInd w:val="0"/>
        <w:spacing w:after="0"/>
        <w:jc w:val="both"/>
      </w:pPr>
      <w:r w:rsidRPr="00B27876">
        <w:t>The difference between current visibility conditions for the most impaired and least impaired days and baseline visibility conditions;</w:t>
      </w:r>
      <w:r w:rsidR="005A544E">
        <w:t xml:space="preserve"> and</w:t>
      </w:r>
    </w:p>
    <w:p w:rsidR="00E71C51" w:rsidRDefault="00E71C51" w:rsidP="005A544E">
      <w:pPr>
        <w:pStyle w:val="Bullets"/>
        <w:ind w:left="1080"/>
      </w:pPr>
      <w:r w:rsidRPr="00B27876">
        <w:t>The change in visibility impairment for the most impaired and least impaired days over the past 5 years;</w:t>
      </w:r>
    </w:p>
    <w:p w:rsidR="005A544E" w:rsidRPr="00B27876" w:rsidRDefault="005A544E" w:rsidP="005A544E">
      <w:pPr>
        <w:pStyle w:val="Bullets"/>
        <w:numPr>
          <w:ilvl w:val="0"/>
          <w:numId w:val="0"/>
        </w:numPr>
        <w:ind w:left="720"/>
      </w:pPr>
      <w:r w:rsidRPr="005A544E">
        <w:rPr>
          <w:highlight w:val="yellow"/>
        </w:rPr>
        <w:t>&lt;Option:  This requirement does not apply to &lt;state name&gt; because there are no Class I areas in &lt;state name&gt;.&gt;</w:t>
      </w:r>
      <w:r w:rsidR="00E46153" w:rsidRPr="00B27876">
        <w:rPr>
          <w:vertAlign w:val="superscript"/>
        </w:rPr>
        <w:footnoteReference w:id="1"/>
      </w:r>
    </w:p>
    <w:p w:rsidR="00E71C51" w:rsidRPr="00B27876" w:rsidRDefault="00E71C51" w:rsidP="000B71D4">
      <w:pPr>
        <w:pStyle w:val="Numbering"/>
      </w:pPr>
      <w:r w:rsidRPr="00B27876">
        <w:t>An analysis tracking the change over the past 5 years in emissions of pollutants contributing to visibility impairment from all sources and activities within the State. Emissions changes should be identified by type of source or activity. The analysis must be based on the most recent updated emissions inventory, with estimates projected forward as necessary and appropriate, to account for emissions changes during the applicable 5-year period.</w:t>
      </w:r>
    </w:p>
    <w:p w:rsidR="00E71C51" w:rsidRPr="000B71D4" w:rsidRDefault="00E71C51" w:rsidP="000B71D4">
      <w:pPr>
        <w:pStyle w:val="Numbering"/>
      </w:pPr>
      <w:r w:rsidRPr="00B27876">
        <w:t>An assessment of any significant changes in anthropogenic emissions within or outside the State that have occurred over the past 5 years that have limited or impeded progress in reducing pollutant emissions and improving visibility.</w:t>
      </w:r>
    </w:p>
    <w:p w:rsidR="00E71C51" w:rsidRPr="00B27876" w:rsidRDefault="00E71C51" w:rsidP="000B71D4">
      <w:pPr>
        <w:pStyle w:val="Numbering"/>
      </w:pPr>
      <w:r w:rsidRPr="00B27876">
        <w:t>An assessment of whether the current implementation plan elements and strategies are sufficient to enable the State, or other States with mandatory Federal Class I areas affected by emissions from the State, to meet all established reasonable progress goals.</w:t>
      </w:r>
    </w:p>
    <w:p w:rsidR="00E71C51" w:rsidRPr="00B27876" w:rsidRDefault="00E71C51" w:rsidP="000B71D4">
      <w:pPr>
        <w:pStyle w:val="Numbering"/>
      </w:pPr>
      <w:r w:rsidRPr="00B27876">
        <w:t xml:space="preserve">A review of the State’s visibility monitoring strategy and any modifications to the strategy as necessary. </w:t>
      </w:r>
      <w:r w:rsidR="0031596C" w:rsidRPr="0031596C">
        <w:rPr>
          <w:highlight w:val="yellow"/>
        </w:rPr>
        <w:t>&lt;This applies only to states with Class I areas.&gt;</w:t>
      </w:r>
    </w:p>
    <w:p w:rsidR="00E71C51" w:rsidRDefault="00E71C51" w:rsidP="000B71D4">
      <w:r w:rsidRPr="00B27876">
        <w:t>Each of these required elements is addressed in subsequent sections of this template.</w:t>
      </w:r>
    </w:p>
    <w:p w:rsidR="00EA35BE" w:rsidRDefault="00EA35BE" w:rsidP="00EA35BE">
      <w:pPr>
        <w:autoSpaceDE w:val="0"/>
        <w:autoSpaceDN w:val="0"/>
        <w:adjustRightInd w:val="0"/>
        <w:rPr>
          <w:rFonts w:ascii="TimesNewRomanPS-BoldMT" w:hAnsi="TimesNewRomanPS-BoldMT" w:cs="TimesNewRomanPS-BoldMT"/>
          <w:b/>
          <w:bCs/>
          <w:sz w:val="28"/>
          <w:szCs w:val="28"/>
        </w:rPr>
      </w:pPr>
    </w:p>
    <w:p w:rsidR="00E71C51" w:rsidRPr="00230052" w:rsidRDefault="00E71C51" w:rsidP="000A31EC">
      <w:pPr>
        <w:pStyle w:val="2ndLevelHeader"/>
      </w:pPr>
      <w:bookmarkStart w:id="27" w:name="_Toc373843492"/>
      <w:r w:rsidRPr="00230052">
        <w:lastRenderedPageBreak/>
        <w:t>1.2.3</w:t>
      </w:r>
      <w:r w:rsidR="00D14E84" w:rsidRPr="00230052">
        <w:t>. Required</w:t>
      </w:r>
      <w:r w:rsidRPr="00230052">
        <w:t xml:space="preserve"> State Actions</w:t>
      </w:r>
      <w:bookmarkEnd w:id="27"/>
      <w:r w:rsidRPr="00230052">
        <w:t xml:space="preserve"> </w:t>
      </w:r>
    </w:p>
    <w:p w:rsidR="00E71C51" w:rsidRPr="008763E5" w:rsidRDefault="00E71C51" w:rsidP="000A31EC">
      <w:r w:rsidRPr="008763E5">
        <w:t>Based on the required calculations and assessments in the progress report, the State must take one of four actions as specified in section 51.308(h).  If the State finds that an additional substantive SIP revision is not r</w:t>
      </w:r>
      <w:r>
        <w:t>equired, then it may submit a “</w:t>
      </w:r>
      <w:r w:rsidRPr="008763E5">
        <w:t>negative declaration'' to EPA after opportunity for public review and comment.  The EPA anticipates that if the State is implementing a reasonable set of strategies according to the schedule as developed in the previous comprehensive SIP revision, and that visibility trends show that reasonable progress goals should be achieved over the 10-year long-term strategy period, then the State should be able to certify, through a negative declaration, that no additional control measures are needed at the time of this mid-course review.</w:t>
      </w:r>
    </w:p>
    <w:p w:rsidR="00E71C51" w:rsidRPr="008763E5" w:rsidRDefault="00E71C51" w:rsidP="000A31EC">
      <w:r w:rsidRPr="008763E5">
        <w:t xml:space="preserve">If the State finds that over the past 5 years there has been a substantial increase in emissions by intrastate sources, or there has been a deficiency in plan implementation, the Regional Haze Rule requires the State to revise the SIP </w:t>
      </w:r>
      <w:r w:rsidR="00521BBF">
        <w:t xml:space="preserve">via a mid-course correction </w:t>
      </w:r>
      <w:r w:rsidRPr="008763E5">
        <w:t>within 1 year, rather than waiting for the next</w:t>
      </w:r>
      <w:r w:rsidR="00521BBF">
        <w:t xml:space="preserve"> 10-year comprehensive review.</w:t>
      </w:r>
    </w:p>
    <w:p w:rsidR="00E71C51" w:rsidRPr="008763E5" w:rsidRDefault="00E71C51" w:rsidP="000A31EC">
      <w:r w:rsidRPr="008763E5">
        <w:t>If the State finds that there is a substantial increase in emissions or a deficiency in plan implementation resulting primarily from interstate emissions, section 51.308(h)(2) calls for the State to re-initiate the regional planning process with other States so that the deficiency can be addressed in the next comprehensiv</w:t>
      </w:r>
      <w:r w:rsidR="000A31EC">
        <w:t xml:space="preserve">e SIP revision due in 5 years. </w:t>
      </w:r>
    </w:p>
    <w:p w:rsidR="00EA35BE" w:rsidRDefault="00E71C51" w:rsidP="000A31EC">
      <w:r w:rsidRPr="008763E5">
        <w:t>If the State finds that international emissions sources are responsible for a substantial increase in emissions affecting visibility conditions in any Class I area or causing a deficiency in plan implementation, the State must submit a technical demonstration to EPA in support of its finding.  If EPA agrees with the State's finding, EPA will take appropriate action to address the international emission</w:t>
      </w:r>
      <w:r w:rsidR="000A31EC">
        <w:t>s through available mechanisms.</w:t>
      </w:r>
    </w:p>
    <w:p w:rsidR="000A31EC" w:rsidRPr="000A31EC" w:rsidRDefault="000A31EC" w:rsidP="000A31EC"/>
    <w:p w:rsidR="00E71C51" w:rsidRPr="000A31EC" w:rsidRDefault="00E71C51" w:rsidP="000A31EC">
      <w:pPr>
        <w:pStyle w:val="Heading3"/>
      </w:pPr>
      <w:bookmarkStart w:id="28" w:name="_Toc373843493"/>
      <w:r w:rsidRPr="000A31EC">
        <w:t>1.3</w:t>
      </w:r>
      <w:r w:rsidR="00D14E84" w:rsidRPr="000A31EC">
        <w:t>. MANE</w:t>
      </w:r>
      <w:r w:rsidRPr="000A31EC">
        <w:t>-VU Regional Course of Action</w:t>
      </w:r>
      <w:bookmarkEnd w:id="28"/>
    </w:p>
    <w:p w:rsidR="00521BBF" w:rsidRDefault="00E71C51" w:rsidP="000A31EC">
      <w:r w:rsidRPr="00B27876">
        <w:t xml:space="preserve">The Reasonable Progress Goals adopted by the MANE-VU Class I States represent implementation of the regional course of action set forth by MANE-VU on June 20, 2007 in </w:t>
      </w:r>
      <w:r w:rsidR="00521BBF">
        <w:t>the following documents:</w:t>
      </w:r>
    </w:p>
    <w:p w:rsidR="00521BBF" w:rsidRPr="00577F80" w:rsidRDefault="00E71C51" w:rsidP="00521BBF">
      <w:pPr>
        <w:pStyle w:val="ListParagraph"/>
        <w:numPr>
          <w:ilvl w:val="0"/>
          <w:numId w:val="35"/>
        </w:numPr>
      </w:pPr>
      <w:r w:rsidRPr="00577F80">
        <w:t xml:space="preserve">“Statement of the Mid-Atlantic/Northeast Visibility Union (MANE-VU) Concerning a Course of Action within MANE-VU toward Assuring Reasonable Progress,” </w:t>
      </w:r>
    </w:p>
    <w:p w:rsidR="00521BBF" w:rsidRDefault="00521BBF" w:rsidP="00521BBF">
      <w:pPr>
        <w:pStyle w:val="ListParagraph"/>
        <w:numPr>
          <w:ilvl w:val="0"/>
          <w:numId w:val="35"/>
        </w:numPr>
      </w:pPr>
      <w:r>
        <w:t xml:space="preserve">“Statement </w:t>
      </w:r>
      <w:r w:rsidR="005D7E7B">
        <w:t>of</w:t>
      </w:r>
      <w:r>
        <w:t xml:space="preserve"> the Mid-Atlantic/</w:t>
      </w:r>
      <w:r w:rsidR="005D7E7B">
        <w:t>Northeast</w:t>
      </w:r>
      <w:r>
        <w:t xml:space="preserve"> Visibility Union (MANE-VU) Concerning a Request for a Course of Action by States Outside MANE-VU Toward Assuring Reasonable Progress,”</w:t>
      </w:r>
    </w:p>
    <w:p w:rsidR="00521BBF" w:rsidRDefault="00521BBF" w:rsidP="00521BBF">
      <w:pPr>
        <w:pStyle w:val="ListParagraph"/>
        <w:numPr>
          <w:ilvl w:val="0"/>
          <w:numId w:val="35"/>
        </w:numPr>
      </w:pPr>
      <w:r>
        <w:t xml:space="preserve">“Statement of the Mid-Atlantic/Northeast Visibility Union (MANE-VU) Concerning a Request for a Course of Action by the U.S. Environmental Protection Agency (EPA) toward Assuring Reasonable Progress,” </w:t>
      </w:r>
      <w:r w:rsidRPr="00B27876">
        <w:t>and</w:t>
      </w:r>
    </w:p>
    <w:p w:rsidR="00E71C51" w:rsidRPr="00B27876" w:rsidRDefault="00521BBF" w:rsidP="00577F80">
      <w:pPr>
        <w:ind w:left="360"/>
      </w:pPr>
      <w:r>
        <w:t>These</w:t>
      </w:r>
      <w:r w:rsidR="00797D83">
        <w:t xml:space="preserve"> </w:t>
      </w:r>
      <w:r w:rsidR="00577F80">
        <w:t>statements</w:t>
      </w:r>
      <w:r w:rsidR="00797D83">
        <w:t xml:space="preserve"> are commonly known as the MANE-VU Ask</w:t>
      </w:r>
      <w:r w:rsidR="00577F80">
        <w:t xml:space="preserve"> and are summarized below</w:t>
      </w:r>
      <w:r w:rsidR="00797D83">
        <w:t>.</w:t>
      </w:r>
      <w:r w:rsidR="00577F80">
        <w:t xml:space="preserve">  </w:t>
      </w:r>
      <w:r w:rsidR="008A40F9">
        <w:rPr>
          <w:highlight w:val="yellow"/>
        </w:rPr>
        <w:t>(See also A</w:t>
      </w:r>
      <w:r w:rsidR="00577F80" w:rsidRPr="00577F80">
        <w:rPr>
          <w:highlight w:val="yellow"/>
        </w:rPr>
        <w:t xml:space="preserve">ppendices </w:t>
      </w:r>
      <w:r w:rsidR="008A40F9">
        <w:rPr>
          <w:highlight w:val="yellow"/>
        </w:rPr>
        <w:t>XXX-XXX</w:t>
      </w:r>
      <w:r w:rsidR="00577F80" w:rsidRPr="00577F80">
        <w:rPr>
          <w:highlight w:val="yellow"/>
        </w:rPr>
        <w:t>.)</w:t>
      </w:r>
    </w:p>
    <w:p w:rsidR="00E71C51" w:rsidRPr="00B27876" w:rsidRDefault="00E71C51" w:rsidP="000A31EC"/>
    <w:p w:rsidR="005B578E" w:rsidRPr="00B27876" w:rsidRDefault="00E71C51" w:rsidP="000A31EC">
      <w:pPr>
        <w:rPr>
          <w:snapToGrid w:val="0"/>
        </w:rPr>
      </w:pPr>
      <w:r w:rsidRPr="00B27876">
        <w:rPr>
          <w:snapToGrid w:val="0"/>
        </w:rPr>
        <w:t>MANE</w:t>
      </w:r>
      <w:r w:rsidR="00475241">
        <w:rPr>
          <w:snapToGrid w:val="0"/>
        </w:rPr>
        <w:t>-</w:t>
      </w:r>
      <w:r w:rsidRPr="00B27876">
        <w:rPr>
          <w:snapToGrid w:val="0"/>
        </w:rPr>
        <w:t>V</w:t>
      </w:r>
      <w:r w:rsidR="00521BBF">
        <w:rPr>
          <w:snapToGrid w:val="0"/>
        </w:rPr>
        <w:t>U modeling demonstrated that certain</w:t>
      </w:r>
      <w:r w:rsidRPr="00B27876">
        <w:rPr>
          <w:snapToGrid w:val="0"/>
        </w:rPr>
        <w:t xml:space="preserve"> control strategies </w:t>
      </w:r>
      <w:r w:rsidR="00521BBF">
        <w:rPr>
          <w:snapToGrid w:val="0"/>
        </w:rPr>
        <w:t>described below</w:t>
      </w:r>
      <w:r w:rsidRPr="00B27876">
        <w:rPr>
          <w:snapToGrid w:val="0"/>
        </w:rPr>
        <w:t xml:space="preserve">, in addition to on-the-books/on-the-way (OTB/OTW) </w:t>
      </w:r>
      <w:r w:rsidR="007F34B3" w:rsidRPr="00B27876">
        <w:rPr>
          <w:snapToGrid w:val="0"/>
        </w:rPr>
        <w:t>measures</w:t>
      </w:r>
      <w:r w:rsidRPr="00B27876">
        <w:rPr>
          <w:snapToGrid w:val="0"/>
        </w:rPr>
        <w:t xml:space="preserve"> would enable all MANE</w:t>
      </w:r>
      <w:r w:rsidR="00475241">
        <w:rPr>
          <w:snapToGrid w:val="0"/>
        </w:rPr>
        <w:t>-</w:t>
      </w:r>
      <w:r w:rsidRPr="00B27876">
        <w:rPr>
          <w:snapToGrid w:val="0"/>
        </w:rPr>
        <w:t xml:space="preserve">VU Class I areas to meet their </w:t>
      </w:r>
      <w:r w:rsidR="004250EE">
        <w:rPr>
          <w:snapToGrid w:val="0"/>
        </w:rPr>
        <w:t>reasonable</w:t>
      </w:r>
      <w:r w:rsidRPr="00B27876">
        <w:rPr>
          <w:snapToGrid w:val="0"/>
        </w:rPr>
        <w:t xml:space="preserve"> progress targets in 2018. </w:t>
      </w:r>
    </w:p>
    <w:p w:rsidR="005B578E" w:rsidRDefault="005B578E" w:rsidP="005B578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jc w:val="both"/>
        <w:rPr>
          <w:snapToGrid w:val="0"/>
          <w:sz w:val="24"/>
          <w:szCs w:val="24"/>
        </w:rPr>
      </w:pPr>
    </w:p>
    <w:p w:rsidR="004B08B2" w:rsidRPr="00230052" w:rsidRDefault="004B08B2" w:rsidP="000A31EC">
      <w:pPr>
        <w:pStyle w:val="2ndLevelHeader"/>
      </w:pPr>
      <w:bookmarkStart w:id="29" w:name="_Toc373843494"/>
      <w:r>
        <w:t>1.3.1</w:t>
      </w:r>
      <w:r w:rsidR="008A40F9">
        <w:t>.</w:t>
      </w:r>
      <w:r>
        <w:t xml:space="preserve"> Requested Action within MANE-VU</w:t>
      </w:r>
      <w:bookmarkEnd w:id="29"/>
      <w:r w:rsidRPr="00230052">
        <w:t xml:space="preserve"> </w:t>
      </w:r>
    </w:p>
    <w:p w:rsidR="005B578E" w:rsidRPr="00DE6C6A" w:rsidRDefault="004250EE" w:rsidP="000A31EC">
      <w:r>
        <w:t>O</w:t>
      </w:r>
      <w:r w:rsidR="005B578E" w:rsidRPr="00DE6C6A">
        <w:t xml:space="preserve">n June 20, 2007, the Mid-Atlantic and Northeast States agreed to pursue a coordinated course of action designed to assure reasonable progress toward preventing any future, and remedying any existing impairment of visibility in mandatory Class I Federal Areas </w:t>
      </w:r>
      <w:r>
        <w:t xml:space="preserve">within MANE-VU </w:t>
      </w:r>
      <w:r w:rsidR="005B578E" w:rsidRPr="00DE6C6A">
        <w:t>and to leverage the multi-pollutant benefits that such measures may provide for the protection of public health and the environment.  This course of action includes pursuing the adoption and implementation of the following “emission management” strategies</w:t>
      </w:r>
      <w:r w:rsidR="005B578E">
        <w:t xml:space="preserve"> by MANE-VU states</w:t>
      </w:r>
      <w:r w:rsidR="005B578E" w:rsidRPr="00DE6C6A">
        <w:t>, as appropriate and necessary:</w:t>
      </w:r>
    </w:p>
    <w:p w:rsidR="005B578E" w:rsidRPr="00DE6C6A" w:rsidRDefault="005B578E" w:rsidP="005B578E">
      <w:pPr>
        <w:pStyle w:val="ListParagraph"/>
        <w:numPr>
          <w:ilvl w:val="0"/>
          <w:numId w:val="28"/>
        </w:numPr>
        <w:contextualSpacing w:val="0"/>
      </w:pPr>
      <w:r w:rsidRPr="00DE6C6A">
        <w:t>Timely implementation of BART requirements; and</w:t>
      </w:r>
    </w:p>
    <w:p w:rsidR="005B578E" w:rsidRPr="000A31EC" w:rsidRDefault="005B578E" w:rsidP="000A31EC">
      <w:pPr>
        <w:pStyle w:val="Bullets"/>
      </w:pPr>
      <w:r w:rsidRPr="000A31EC">
        <w:t>A low sulfur fuel oil strategy in the inner zone States (New Jersey, New York, Delaware, and Pennsylvania, or portions thereof) to reduce the sulfur content</w:t>
      </w:r>
      <w:r w:rsidR="0043457D">
        <w:t>: of</w:t>
      </w:r>
      <w:r w:rsidRPr="000A31EC">
        <w:t xml:space="preserve"> distillate oil to 0.05% sulfur by weight (500 ppm) by no later than 2012, of #4 residual oil to 0.25% sulfur by weight by no later than 2012, of #6 residual oil to 0.3 – 0.5% sulfur by weight by no later than 2012, and to further reduce the sulfur content of distillate oil to 15 ppm by 2016; and</w:t>
      </w:r>
    </w:p>
    <w:p w:rsidR="005B578E" w:rsidRPr="00DE6C6A" w:rsidRDefault="005B578E" w:rsidP="005B578E">
      <w:pPr>
        <w:pStyle w:val="ListParagraph"/>
        <w:numPr>
          <w:ilvl w:val="0"/>
          <w:numId w:val="28"/>
        </w:numPr>
        <w:contextualSpacing w:val="0"/>
      </w:pPr>
      <w:r w:rsidRPr="00DE6C6A">
        <w:t>A low sulfur fuel oil strategy in the outer zone States (the remainder of the MANE-VU region) to reduce the sulfur content of distillate oil to 0.05% sulfur by weight (500 ppm) by no later than 2014, of #4 residual oil to 0.25 – 0.5% sulfur by weight by no later than 2018, and of #6 residual oil to no greater than 0.5% sulfur by weight by no later than 2018, and to further reduce the sulfur content of distillate oil to 15 ppm by 2018, depending on supply availability; and</w:t>
      </w:r>
    </w:p>
    <w:p w:rsidR="005B578E" w:rsidRPr="00DE6C6A" w:rsidRDefault="005B578E" w:rsidP="005B578E">
      <w:pPr>
        <w:pStyle w:val="ListParagraph"/>
        <w:numPr>
          <w:ilvl w:val="0"/>
          <w:numId w:val="28"/>
        </w:numPr>
        <w:contextualSpacing w:val="0"/>
      </w:pPr>
      <w:r w:rsidRPr="00DE6C6A">
        <w:t>A 90% or greater reduction in sulfur dioxide (SO</w:t>
      </w:r>
      <w:r w:rsidRPr="00A6574F">
        <w:rPr>
          <w:vertAlign w:val="subscript"/>
        </w:rPr>
        <w:t>2</w:t>
      </w:r>
      <w:r w:rsidRPr="00DE6C6A">
        <w:t xml:space="preserve">) emissions from each of the electric generating unit (EGU) stacks identified by MANE-VU </w:t>
      </w:r>
      <w:r w:rsidRPr="0043457D">
        <w:rPr>
          <w:highlight w:val="yellow"/>
        </w:rPr>
        <w:t>(Appendix XX</w:t>
      </w:r>
      <w:r w:rsidR="00D6042A" w:rsidRPr="0043457D">
        <w:rPr>
          <w:highlight w:val="yellow"/>
        </w:rPr>
        <w:t>)</w:t>
      </w:r>
      <w:r w:rsidRPr="00DE6C6A">
        <w:t xml:space="preserve"> – comprising a total of 167 stacks  as reasonably anticipated to cause or contribute to impairment of visibility in each mandatory Class I Federal area in the MANE-VU region.  If it is infeasible to achieve that level of reduction from a unit, alternative measures will be pursued in such State; and</w:t>
      </w:r>
    </w:p>
    <w:p w:rsidR="005B578E" w:rsidRPr="00DE6C6A" w:rsidRDefault="005B578E" w:rsidP="005B578E">
      <w:pPr>
        <w:pStyle w:val="ListParagraph"/>
        <w:numPr>
          <w:ilvl w:val="0"/>
          <w:numId w:val="28"/>
        </w:numPr>
      </w:pPr>
      <w:r w:rsidRPr="00DE6C6A">
        <w:t>Continued evaluation of other control measures including energy efficiency, alternative clean fuels, and other measures to reduce SO</w:t>
      </w:r>
      <w:r w:rsidRPr="00A6574F">
        <w:rPr>
          <w:vertAlign w:val="subscript"/>
        </w:rPr>
        <w:t>2</w:t>
      </w:r>
      <w:r w:rsidRPr="00DE6C6A">
        <w:t xml:space="preserve"> and nitrogen oxide (NO</w:t>
      </w:r>
      <w:r w:rsidRPr="007A1BD7">
        <w:rPr>
          <w:vertAlign w:val="subscript"/>
        </w:rPr>
        <w:t>x</w:t>
      </w:r>
      <w:r w:rsidR="00D6042A" w:rsidRPr="00D6042A">
        <w:t>)</w:t>
      </w:r>
      <w:r w:rsidRPr="00DE6C6A">
        <w:t xml:space="preserve"> emissions from all coal-burning facilities by 2018 and new source performance standards for wood combustion.  These measures and other measures identified will be evaluated during the consultation process to determine if they are reasonable and cost-effective.</w:t>
      </w:r>
    </w:p>
    <w:p w:rsidR="005B578E" w:rsidRDefault="005B578E" w:rsidP="000A31EC">
      <w:r w:rsidRPr="00DE6C6A">
        <w:t>This long-term strategy to reduce and prevent regional haze will allow each state up to 10 years to pursue adoption and implementation of reasonable and cost-effective NO</w:t>
      </w:r>
      <w:r w:rsidRPr="007A1BD7">
        <w:rPr>
          <w:vertAlign w:val="subscript"/>
        </w:rPr>
        <w:t>x</w:t>
      </w:r>
      <w:r w:rsidRPr="00DE6C6A">
        <w:t xml:space="preserve"> and SO</w:t>
      </w:r>
      <w:r w:rsidRPr="00A6574F">
        <w:rPr>
          <w:vertAlign w:val="subscript"/>
        </w:rPr>
        <w:t>2</w:t>
      </w:r>
      <w:r w:rsidRPr="00DE6C6A">
        <w:t xml:space="preserve"> control measures.</w:t>
      </w:r>
    </w:p>
    <w:p w:rsidR="00C17D1E" w:rsidRPr="00DE6C6A" w:rsidRDefault="00C17D1E" w:rsidP="000A31EC">
      <w:r w:rsidRPr="00577F80">
        <w:rPr>
          <w:highlight w:val="yellow"/>
        </w:rPr>
        <w:t>The control measures included in MANE-VU States’ SIPs in response to the MANE-VU agreement are further described in Sections 3-5, below.</w:t>
      </w:r>
    </w:p>
    <w:p w:rsidR="004B08B2" w:rsidRPr="00230052" w:rsidRDefault="004B08B2" w:rsidP="000A31EC">
      <w:pPr>
        <w:pStyle w:val="2ndLevelHeader"/>
      </w:pPr>
      <w:bookmarkStart w:id="30" w:name="_Toc373843495"/>
      <w:r>
        <w:t>1.3.2</w:t>
      </w:r>
      <w:r w:rsidR="008A40F9">
        <w:t>.</w:t>
      </w:r>
      <w:r>
        <w:t xml:space="preserve"> Requested Action outside MANE-VU</w:t>
      </w:r>
      <w:bookmarkEnd w:id="30"/>
      <w:r w:rsidRPr="00230052">
        <w:t xml:space="preserve"> </w:t>
      </w:r>
    </w:p>
    <w:p w:rsidR="005B578E" w:rsidRPr="00DE6C6A" w:rsidRDefault="005B578E" w:rsidP="000A31EC">
      <w:r w:rsidRPr="00DE6C6A">
        <w:t xml:space="preserve">Also on June 20, 2007, the MANE-VU states adopted a statement requesting that States outside of the MANE-VU region that had been identified as contributing to visibility impairment in the MANE-VU Mandatory Class I Federal areas pursue a course of action designed to assure reasonable progress toward preventing any future, and remedying any existing, impairment of visibility in Mandatory Class I Federal areas and to leverage the multi-pollutant benefits that such actions may provide for the protection of </w:t>
      </w:r>
      <w:r w:rsidRPr="00DE6C6A">
        <w:lastRenderedPageBreak/>
        <w:t>public health and the environment.  This request for a course of action included pursuing the adoption and implementation of the following control strategies, as appropriate and necessary:</w:t>
      </w:r>
    </w:p>
    <w:p w:rsidR="005B578E" w:rsidRPr="00B27876" w:rsidRDefault="005B578E" w:rsidP="000A31EC">
      <w:pPr>
        <w:pStyle w:val="Bullets"/>
      </w:pPr>
      <w:r w:rsidRPr="00B27876">
        <w:t>Timely implementation of BART requirements; and</w:t>
      </w:r>
    </w:p>
    <w:p w:rsidR="005B578E" w:rsidRPr="00B27876" w:rsidRDefault="005B578E" w:rsidP="000A31EC">
      <w:pPr>
        <w:pStyle w:val="Bullets"/>
      </w:pPr>
      <w:r w:rsidRPr="00B27876">
        <w:t>A 90% or greater reduction in sulfur dioxide (SO</w:t>
      </w:r>
      <w:r w:rsidRPr="00B27876">
        <w:rPr>
          <w:vertAlign w:val="subscript"/>
        </w:rPr>
        <w:t>2</w:t>
      </w:r>
      <w:r w:rsidRPr="00B27876">
        <w:t xml:space="preserve">) emissions from each of the electric generating unit (EGU) stacks identified by MANE-VU </w:t>
      </w:r>
      <w:r w:rsidRPr="00C17D1E">
        <w:rPr>
          <w:highlight w:val="yellow"/>
        </w:rPr>
        <w:t>(Appendix XX</w:t>
      </w:r>
      <w:r w:rsidR="00EA7A71" w:rsidRPr="00C17D1E">
        <w:rPr>
          <w:highlight w:val="yellow"/>
        </w:rPr>
        <w:t>)</w:t>
      </w:r>
      <w:r w:rsidR="00EA7A71">
        <w:t xml:space="preserve"> </w:t>
      </w:r>
      <w:r w:rsidRPr="00B27876">
        <w:t>– c</w:t>
      </w:r>
      <w:r w:rsidR="00EA7A71">
        <w:t>omprising a total of 167 stacks</w:t>
      </w:r>
      <w:r w:rsidRPr="00B27876">
        <w:t xml:space="preserve"> as reasonably anticipated to cause or contribute to impairment of visibility in each mandatory Class I Federal area in the MANE-VU region.  If it is infeasible to achieve that level of reduction from a unit, alternative measures will be pursued in such State; and</w:t>
      </w:r>
    </w:p>
    <w:p w:rsidR="005B578E" w:rsidRPr="00B27876" w:rsidRDefault="005B578E" w:rsidP="000A31EC">
      <w:pPr>
        <w:pStyle w:val="Bullets"/>
      </w:pPr>
      <w:r w:rsidRPr="00B27876">
        <w:t>The application of reasonable controls on non-EGU sources resulting in a 28% reduction in non-EGU SO</w:t>
      </w:r>
      <w:r w:rsidRPr="003E67E1">
        <w:rPr>
          <w:vertAlign w:val="subscript"/>
        </w:rPr>
        <w:t>2</w:t>
      </w:r>
      <w:r w:rsidRPr="00B27876">
        <w:t xml:space="preserve"> emissions, relative to on-the-books, on-the-way 2018 projections used in regional haze planning, by 2018, which is equivalent to the projected reductions MANE-VU will achieve through i</w:t>
      </w:r>
      <w:r w:rsidR="002D0FFA">
        <w:t>ts low sulfur fuel oil strategy</w:t>
      </w:r>
      <w:r w:rsidRPr="002D0FFA">
        <w:rPr>
          <w:vertAlign w:val="superscript"/>
        </w:rPr>
        <w:footnoteReference w:id="2"/>
      </w:r>
      <w:r w:rsidR="002D0FFA">
        <w:t>;</w:t>
      </w:r>
      <w:r w:rsidR="003E67E1" w:rsidRPr="003E67E1">
        <w:t xml:space="preserve"> </w:t>
      </w:r>
      <w:r w:rsidRPr="00B27876">
        <w:t>and</w:t>
      </w:r>
    </w:p>
    <w:p w:rsidR="005B578E" w:rsidRPr="00B27876" w:rsidRDefault="005B578E" w:rsidP="000A31EC">
      <w:pPr>
        <w:pStyle w:val="Bullets"/>
      </w:pPr>
      <w:r w:rsidRPr="00B27876">
        <w:t>Continued evaluation of other measures including measures to reduce SO</w:t>
      </w:r>
      <w:r w:rsidRPr="003E67E1">
        <w:rPr>
          <w:vertAlign w:val="subscript"/>
        </w:rPr>
        <w:t>2</w:t>
      </w:r>
      <w:r w:rsidRPr="00B27876">
        <w:t xml:space="preserve"> and nitrogen oxide (NO</w:t>
      </w:r>
      <w:r w:rsidRPr="003E67E1">
        <w:rPr>
          <w:vertAlign w:val="subscript"/>
        </w:rPr>
        <w:t>x</w:t>
      </w:r>
      <w:r w:rsidRPr="00B27876">
        <w:t>) emissions from all coal-burning facilities by 2018 and promulgation of new source performance standards for wood combustion.  These measures and other measures identified will be evaluated during the consultation process to determine if they are reasonable.</w:t>
      </w:r>
    </w:p>
    <w:p w:rsidR="005B578E" w:rsidRPr="00B27876" w:rsidRDefault="005B578E" w:rsidP="000A31EC">
      <w:r w:rsidRPr="00B27876">
        <w:t>This long-term strategy to reduce and prevent regional haze will allow each state up to 10 years to pursue adoption and implementation of reasonable NO</w:t>
      </w:r>
      <w:r w:rsidRPr="00B27876">
        <w:rPr>
          <w:vertAlign w:val="subscript"/>
        </w:rPr>
        <w:t>x</w:t>
      </w:r>
      <w:r w:rsidRPr="00B27876">
        <w:t xml:space="preserve"> and SO</w:t>
      </w:r>
      <w:r w:rsidRPr="00B27876">
        <w:rPr>
          <w:vertAlign w:val="subscript"/>
        </w:rPr>
        <w:t>2</w:t>
      </w:r>
      <w:r w:rsidRPr="00B27876">
        <w:t xml:space="preserve"> control measures.</w:t>
      </w:r>
    </w:p>
    <w:p w:rsidR="00E71C51" w:rsidRPr="00E6709E" w:rsidRDefault="004B0817" w:rsidP="000A31EC">
      <w:pPr>
        <w:rPr>
          <w:i/>
        </w:rPr>
      </w:pPr>
      <w:r w:rsidRPr="00E6709E">
        <w:rPr>
          <w:i/>
          <w:highlight w:val="yellow"/>
        </w:rPr>
        <w:t>&lt;Note: In some cases, a state’s regional haze SIP may have</w:t>
      </w:r>
      <w:r w:rsidR="00E71C51" w:rsidRPr="00E6709E">
        <w:rPr>
          <w:i/>
          <w:highlight w:val="yellow"/>
        </w:rPr>
        <w:t xml:space="preserve"> indicated that reductions in emissions from EGU sources could be used to meet the targets for emissions reductions from other sources.</w:t>
      </w:r>
      <w:r w:rsidRPr="00E6709E">
        <w:rPr>
          <w:i/>
          <w:highlight w:val="yellow"/>
        </w:rPr>
        <w:t xml:space="preserve">  See, for example, the New Jersey regional </w:t>
      </w:r>
      <w:proofErr w:type="gramStart"/>
      <w:r w:rsidRPr="00E6709E">
        <w:rPr>
          <w:i/>
          <w:highlight w:val="yellow"/>
        </w:rPr>
        <w:t>haze SIP.</w:t>
      </w:r>
      <w:proofErr w:type="gramEnd"/>
      <w:r w:rsidRPr="00E6709E">
        <w:rPr>
          <w:i/>
          <w:highlight w:val="yellow"/>
        </w:rPr>
        <w:t>&gt;</w:t>
      </w:r>
    </w:p>
    <w:p w:rsidR="00E71C51" w:rsidRDefault="00E71C51">
      <w:pPr>
        <w:rPr>
          <w:rFonts w:ascii="Cambria" w:hAnsi="Cambria"/>
          <w:b/>
          <w:bCs/>
          <w:color w:val="4F81BD"/>
          <w:sz w:val="26"/>
          <w:szCs w:val="26"/>
        </w:rPr>
      </w:pPr>
      <w:r>
        <w:br w:type="page"/>
      </w:r>
    </w:p>
    <w:p w:rsidR="000A31EC" w:rsidRDefault="000A31EC">
      <w:pPr>
        <w:spacing w:after="0" w:line="240" w:lineRule="auto"/>
        <w:rPr>
          <w:rFonts w:ascii="Arial" w:eastAsia="Times New Roman" w:hAnsi="Arial"/>
          <w:b/>
          <w:bCs/>
          <w:color w:val="000000" w:themeColor="text1"/>
          <w:szCs w:val="26"/>
          <w:u w:val="single"/>
        </w:rPr>
      </w:pPr>
      <w:r>
        <w:lastRenderedPageBreak/>
        <w:br w:type="page"/>
      </w:r>
    </w:p>
    <w:p w:rsidR="00E71C51" w:rsidRDefault="00E71C51" w:rsidP="008A40F9">
      <w:pPr>
        <w:pStyle w:val="Heading2"/>
        <w:spacing w:after="0"/>
      </w:pPr>
      <w:bookmarkStart w:id="31" w:name="_Toc373843496"/>
      <w:r w:rsidRPr="000A31EC">
        <w:lastRenderedPageBreak/>
        <w:t xml:space="preserve">Section 2:  Changes in Visibility for each Mandatory </w:t>
      </w:r>
      <w:r w:rsidR="00EA35BE" w:rsidRPr="000A31EC">
        <w:t xml:space="preserve">Federal </w:t>
      </w:r>
      <w:r w:rsidRPr="000A31EC">
        <w:t xml:space="preserve">Class I Area in </w:t>
      </w:r>
      <w:r w:rsidR="008A40F9">
        <w:t>and near MANE-VU</w:t>
      </w:r>
      <w:bookmarkEnd w:id="31"/>
    </w:p>
    <w:p w:rsidR="00D12144" w:rsidRDefault="00D12144" w:rsidP="000A31EC">
      <w:pPr>
        <w:pStyle w:val="Heading3"/>
      </w:pPr>
      <w:bookmarkStart w:id="32" w:name="_Toc373843497"/>
      <w:r w:rsidRPr="00230052">
        <w:t xml:space="preserve">2.1. </w:t>
      </w:r>
      <w:r>
        <w:t>Reasonable Progress Goals</w:t>
      </w:r>
      <w:bookmarkEnd w:id="32"/>
    </w:p>
    <w:p w:rsidR="008B4090" w:rsidRDefault="008B4090" w:rsidP="000A31EC">
      <w:r w:rsidRPr="002A7870">
        <w:t xml:space="preserve">The goal of the Regional Haze Rule is to restore natural visibility conditions to each of the 156 Class I </w:t>
      </w:r>
      <w:r w:rsidRPr="002A7870">
        <w:rPr>
          <w:spacing w:val="4"/>
        </w:rPr>
        <w:t>areas identified in the 1977</w:t>
      </w:r>
      <w:r w:rsidR="008A40F9">
        <w:rPr>
          <w:spacing w:val="4"/>
        </w:rPr>
        <w:t xml:space="preserve"> Clean Air Act Amendments. Section </w:t>
      </w:r>
      <w:r w:rsidRPr="002A7870">
        <w:rPr>
          <w:spacing w:val="4"/>
        </w:rPr>
        <w:t xml:space="preserve">51.301(q) defines natural </w:t>
      </w:r>
      <w:r w:rsidRPr="002A7870">
        <w:rPr>
          <w:spacing w:val="-4"/>
        </w:rPr>
        <w:t xml:space="preserve">conditions: "Natural conditions includes naturally occurring phenomena that reduce visibility as </w:t>
      </w:r>
      <w:r w:rsidRPr="002A7870">
        <w:rPr>
          <w:spacing w:val="-1"/>
        </w:rPr>
        <w:t xml:space="preserve">measured in terms of light extinction, visual range, contrast, or coloration." The Regional Haze </w:t>
      </w:r>
      <w:r w:rsidRPr="002A7870">
        <w:t xml:space="preserve">SIPs must contain measures that make "reasonable progress" toward this goal by reducing </w:t>
      </w:r>
      <w:r w:rsidRPr="002A7870">
        <w:rPr>
          <w:spacing w:val="3"/>
        </w:rPr>
        <w:t>anthropogenic emissions that cause haze.</w:t>
      </w:r>
    </w:p>
    <w:p w:rsidR="002D0FFA" w:rsidRDefault="002D0FFA" w:rsidP="000A31EC">
      <w:r>
        <w:t xml:space="preserve">Regional haze impairs visibility. </w:t>
      </w:r>
      <w:r w:rsidR="00171AB9">
        <w:t xml:space="preserve"> </w:t>
      </w:r>
      <w:r>
        <w:t>The deciview is a measure of visibility which is calculated from light extinction based on measurements of various air pollutants.</w:t>
      </w:r>
      <w:r w:rsidR="00171AB9">
        <w:t xml:space="preserve"> </w:t>
      </w:r>
      <w:r>
        <w:t xml:space="preserve"> </w:t>
      </w:r>
      <w:r w:rsidRPr="002D0FFA">
        <w:rPr>
          <w:highlight w:val="yellow"/>
        </w:rPr>
        <w:t>(</w:t>
      </w:r>
      <w:r w:rsidR="00150C05" w:rsidRPr="002D0FFA">
        <w:rPr>
          <w:highlight w:val="yellow"/>
        </w:rPr>
        <w:t>See</w:t>
      </w:r>
      <w:r w:rsidRPr="002D0FFA">
        <w:rPr>
          <w:highlight w:val="yellow"/>
        </w:rPr>
        <w:t xml:space="preserve"> Appendix xxx.)</w:t>
      </w:r>
      <w:r>
        <w:t xml:space="preserve"> </w:t>
      </w:r>
      <w:r w:rsidR="00171AB9">
        <w:t xml:space="preserve"> </w:t>
      </w:r>
      <w:r w:rsidR="00C17D1E">
        <w:t>Each MANE-VU State with one or more Class I areas adopted a Regional Haze SIP identifying</w:t>
      </w:r>
      <w:r>
        <w:t xml:space="preserve"> baseline visibility for the 5-year period from 2</w:t>
      </w:r>
      <w:r w:rsidR="00C17D1E">
        <w:t>000 through 2004 and establishing</w:t>
      </w:r>
      <w:r>
        <w:t xml:space="preserve"> goals that provide for reasonable </w:t>
      </w:r>
      <w:r w:rsidR="00171AB9">
        <w:t>progress in impr</w:t>
      </w:r>
      <w:r w:rsidR="00C17D1E">
        <w:t>oving visibility at C</w:t>
      </w:r>
      <w:r w:rsidR="00150C05">
        <w:t>lass I are</w:t>
      </w:r>
      <w:r w:rsidR="00171AB9">
        <w:t>as in the state by 2018.  Baseline visibility and reasonable progress goals were established for the 20% of days with the visibility and the 20% clearest days.</w:t>
      </w:r>
    </w:p>
    <w:p w:rsidR="008163F7" w:rsidRDefault="00D12144" w:rsidP="00670FB4">
      <w:pPr>
        <w:rPr>
          <w:rStyle w:val="Heading9Char"/>
          <w:rFonts w:ascii="Arial" w:hAnsi="Arial" w:cs="Arial"/>
          <w:i w:val="0"/>
          <w:iCs w:val="0"/>
          <w:color w:val="auto"/>
          <w:szCs w:val="18"/>
        </w:rPr>
      </w:pPr>
      <w:r w:rsidRPr="00D12144">
        <w:t>MANE-VU states with Class I areas adopted the following goals for visibility improvement at Class I areas by 2018.  These goals were approved by the US Environmental Protection Agency as reasonable progress toward achieving natural visibility conditions by the year 2064.</w:t>
      </w:r>
    </w:p>
    <w:p w:rsidR="008163F7" w:rsidRPr="00FF5E7F" w:rsidRDefault="00370C3A" w:rsidP="00670FB4">
      <w:pPr>
        <w:pStyle w:val="Caption"/>
        <w:rPr>
          <w:rStyle w:val="Heading8Char"/>
          <w:rFonts w:ascii="Arial" w:hAnsi="Arial" w:cs="Arial"/>
          <w:color w:val="auto"/>
          <w:szCs w:val="18"/>
        </w:rPr>
      </w:pPr>
      <w:bookmarkStart w:id="33" w:name="_Toc373842773"/>
      <w:bookmarkStart w:id="34" w:name="_Toc373844547"/>
      <w:proofErr w:type="gramStart"/>
      <w:r w:rsidRPr="00FF5E7F">
        <w:rPr>
          <w:rStyle w:val="Heading8Char"/>
          <w:rFonts w:ascii="Arial" w:hAnsi="Arial" w:cs="Arial"/>
          <w:color w:val="auto"/>
          <w:szCs w:val="18"/>
        </w:rPr>
        <w:t>Table 2.1.</w:t>
      </w:r>
      <w:proofErr w:type="gramEnd"/>
      <w:r w:rsidRPr="00FF5E7F">
        <w:rPr>
          <w:rStyle w:val="Heading8Char"/>
          <w:rFonts w:ascii="Arial" w:hAnsi="Arial" w:cs="Arial"/>
          <w:color w:val="auto"/>
          <w:szCs w:val="18"/>
        </w:rPr>
        <w:t xml:space="preserve">  Reasonable Progress Goals in Approved Regional Haze Plans</w:t>
      </w:r>
      <w:bookmarkEnd w:id="33"/>
      <w:bookmarkEnd w:id="34"/>
    </w:p>
    <w:tbl>
      <w:tblPr>
        <w:tblW w:w="101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4626"/>
        <w:gridCol w:w="1494"/>
        <w:gridCol w:w="1800"/>
        <w:gridCol w:w="1620"/>
      </w:tblGrid>
      <w:tr w:rsidR="00C17D1E" w:rsidTr="00ED5159">
        <w:trPr>
          <w:jc w:val="center"/>
        </w:trPr>
        <w:tc>
          <w:tcPr>
            <w:tcW w:w="648" w:type="dxa"/>
          </w:tcPr>
          <w:p w:rsidR="00C17D1E" w:rsidRPr="00171AB9" w:rsidRDefault="00C17D1E" w:rsidP="00D12144">
            <w:pPr>
              <w:rPr>
                <w:b/>
              </w:rPr>
            </w:pPr>
          </w:p>
        </w:tc>
        <w:tc>
          <w:tcPr>
            <w:tcW w:w="4626" w:type="dxa"/>
            <w:vAlign w:val="center"/>
          </w:tcPr>
          <w:p w:rsidR="00C17D1E" w:rsidRPr="00171AB9" w:rsidRDefault="00C17D1E" w:rsidP="00D12144">
            <w:pPr>
              <w:rPr>
                <w:b/>
              </w:rPr>
            </w:pPr>
            <w:r w:rsidRPr="00171AB9">
              <w:rPr>
                <w:b/>
              </w:rPr>
              <w:t>Class I Area</w:t>
            </w:r>
          </w:p>
        </w:tc>
        <w:tc>
          <w:tcPr>
            <w:tcW w:w="1494" w:type="dxa"/>
            <w:vAlign w:val="center"/>
          </w:tcPr>
          <w:p w:rsidR="00C17D1E" w:rsidRPr="0054478E" w:rsidRDefault="00C17D1E" w:rsidP="00173DEF">
            <w:pPr>
              <w:jc w:val="center"/>
              <w:rPr>
                <w:b/>
              </w:rPr>
            </w:pPr>
            <w:r w:rsidRPr="0054478E">
              <w:rPr>
                <w:b/>
              </w:rPr>
              <w:t>Baseline Visibility (2000 – 2004)</w:t>
            </w:r>
          </w:p>
        </w:tc>
        <w:tc>
          <w:tcPr>
            <w:tcW w:w="1800" w:type="dxa"/>
            <w:vAlign w:val="center"/>
          </w:tcPr>
          <w:p w:rsidR="00C17D1E" w:rsidRPr="0054478E" w:rsidRDefault="00C17D1E" w:rsidP="00171AB9">
            <w:pPr>
              <w:jc w:val="center"/>
              <w:rPr>
                <w:b/>
              </w:rPr>
            </w:pPr>
            <w:r w:rsidRPr="0054478E">
              <w:rPr>
                <w:b/>
              </w:rPr>
              <w:t>Reasonable Progress Goal Visibility (2018)</w:t>
            </w:r>
          </w:p>
        </w:tc>
        <w:tc>
          <w:tcPr>
            <w:tcW w:w="1620" w:type="dxa"/>
            <w:vAlign w:val="center"/>
          </w:tcPr>
          <w:p w:rsidR="00C17D1E" w:rsidRPr="0054478E" w:rsidRDefault="00C17D1E" w:rsidP="00173DEF">
            <w:pPr>
              <w:jc w:val="center"/>
              <w:rPr>
                <w:b/>
              </w:rPr>
            </w:pPr>
            <w:r w:rsidRPr="0054478E">
              <w:rPr>
                <w:b/>
              </w:rPr>
              <w:t>Natural Visibility Conditions</w:t>
            </w:r>
          </w:p>
        </w:tc>
      </w:tr>
      <w:tr w:rsidR="00C17D1E" w:rsidTr="00ED5159">
        <w:trPr>
          <w:jc w:val="center"/>
        </w:trPr>
        <w:tc>
          <w:tcPr>
            <w:tcW w:w="648" w:type="dxa"/>
            <w:vMerge w:val="restart"/>
            <w:textDirection w:val="btLr"/>
          </w:tcPr>
          <w:p w:rsidR="0054478E" w:rsidRPr="00C17D1E" w:rsidRDefault="00C17D1E" w:rsidP="0054478E">
            <w:pPr>
              <w:ind w:left="113" w:right="113"/>
              <w:jc w:val="center"/>
              <w:rPr>
                <w:b/>
              </w:rPr>
            </w:pPr>
            <w:r w:rsidRPr="00C17D1E">
              <w:rPr>
                <w:b/>
              </w:rPr>
              <w:t>20% Haziest Days</w:t>
            </w:r>
          </w:p>
        </w:tc>
        <w:tc>
          <w:tcPr>
            <w:tcW w:w="4626" w:type="dxa"/>
            <w:vAlign w:val="center"/>
          </w:tcPr>
          <w:p w:rsidR="00C17D1E" w:rsidRDefault="00C17D1E" w:rsidP="005441DD">
            <w:pPr>
              <w:spacing w:before="60" w:after="60" w:line="240" w:lineRule="auto"/>
            </w:pPr>
            <w:r>
              <w:t>Acadia National Park  (ME)</w:t>
            </w:r>
          </w:p>
        </w:tc>
        <w:tc>
          <w:tcPr>
            <w:tcW w:w="1494" w:type="dxa"/>
            <w:vAlign w:val="center"/>
          </w:tcPr>
          <w:p w:rsidR="00C17D1E" w:rsidRDefault="00C17D1E" w:rsidP="00E32178">
            <w:pPr>
              <w:spacing w:before="60" w:after="60" w:line="240" w:lineRule="auto"/>
              <w:jc w:val="center"/>
            </w:pPr>
            <w:r>
              <w:t>22.</w:t>
            </w:r>
            <w:r w:rsidR="00E32178">
              <w:t>9</w:t>
            </w:r>
          </w:p>
        </w:tc>
        <w:tc>
          <w:tcPr>
            <w:tcW w:w="1800" w:type="dxa"/>
            <w:vAlign w:val="center"/>
          </w:tcPr>
          <w:p w:rsidR="00C17D1E" w:rsidRDefault="00C17D1E" w:rsidP="005441DD">
            <w:pPr>
              <w:spacing w:before="60" w:after="60" w:line="240" w:lineRule="auto"/>
              <w:jc w:val="center"/>
            </w:pPr>
            <w:r>
              <w:t>19.4</w:t>
            </w:r>
          </w:p>
        </w:tc>
        <w:tc>
          <w:tcPr>
            <w:tcW w:w="1620" w:type="dxa"/>
            <w:vAlign w:val="center"/>
          </w:tcPr>
          <w:p w:rsidR="00C17D1E" w:rsidRDefault="00C17D1E" w:rsidP="005441DD">
            <w:pPr>
              <w:spacing w:before="60" w:after="60" w:line="240" w:lineRule="auto"/>
              <w:jc w:val="center"/>
            </w:pPr>
            <w:r>
              <w:t>12.4</w:t>
            </w:r>
          </w:p>
        </w:tc>
      </w:tr>
      <w:tr w:rsidR="00C17D1E" w:rsidTr="00ED5159">
        <w:trPr>
          <w:jc w:val="center"/>
        </w:trPr>
        <w:tc>
          <w:tcPr>
            <w:tcW w:w="648" w:type="dxa"/>
            <w:vMerge/>
          </w:tcPr>
          <w:p w:rsidR="00C17D1E" w:rsidRDefault="00C17D1E" w:rsidP="0054478E">
            <w:pPr>
              <w:jc w:val="center"/>
            </w:pPr>
          </w:p>
        </w:tc>
        <w:tc>
          <w:tcPr>
            <w:tcW w:w="4626" w:type="dxa"/>
            <w:vAlign w:val="center"/>
          </w:tcPr>
          <w:p w:rsidR="00C17D1E" w:rsidRDefault="00C17D1E" w:rsidP="005441DD">
            <w:pPr>
              <w:spacing w:before="60" w:after="60" w:line="240" w:lineRule="auto"/>
            </w:pPr>
            <w:r>
              <w:t>Brigantine Wilderness (NJ)</w:t>
            </w:r>
          </w:p>
        </w:tc>
        <w:tc>
          <w:tcPr>
            <w:tcW w:w="1494" w:type="dxa"/>
            <w:vAlign w:val="center"/>
          </w:tcPr>
          <w:p w:rsidR="00C17D1E" w:rsidRDefault="00C17D1E" w:rsidP="005441DD">
            <w:pPr>
              <w:spacing w:before="60" w:after="60" w:line="240" w:lineRule="auto"/>
              <w:jc w:val="center"/>
            </w:pPr>
            <w:r>
              <w:t>29.0</w:t>
            </w:r>
          </w:p>
        </w:tc>
        <w:tc>
          <w:tcPr>
            <w:tcW w:w="1800" w:type="dxa"/>
            <w:vAlign w:val="center"/>
          </w:tcPr>
          <w:p w:rsidR="00C17D1E" w:rsidRDefault="00C17D1E" w:rsidP="005441DD">
            <w:pPr>
              <w:spacing w:before="60" w:after="60" w:line="240" w:lineRule="auto"/>
              <w:jc w:val="center"/>
            </w:pPr>
            <w:r>
              <w:t>25.1</w:t>
            </w:r>
          </w:p>
        </w:tc>
        <w:tc>
          <w:tcPr>
            <w:tcW w:w="1620" w:type="dxa"/>
            <w:vAlign w:val="center"/>
          </w:tcPr>
          <w:p w:rsidR="00C17D1E" w:rsidRDefault="00C17D1E" w:rsidP="005441DD">
            <w:pPr>
              <w:spacing w:before="60" w:after="60" w:line="240" w:lineRule="auto"/>
              <w:jc w:val="center"/>
            </w:pPr>
            <w:r>
              <w:t>12.2</w:t>
            </w:r>
          </w:p>
        </w:tc>
      </w:tr>
      <w:tr w:rsidR="00C17D1E" w:rsidTr="00ED5159">
        <w:trPr>
          <w:jc w:val="center"/>
        </w:trPr>
        <w:tc>
          <w:tcPr>
            <w:tcW w:w="648" w:type="dxa"/>
            <w:vMerge/>
          </w:tcPr>
          <w:p w:rsidR="00C17D1E" w:rsidRDefault="00C17D1E" w:rsidP="0054478E">
            <w:pPr>
              <w:jc w:val="center"/>
            </w:pPr>
          </w:p>
        </w:tc>
        <w:tc>
          <w:tcPr>
            <w:tcW w:w="4626" w:type="dxa"/>
            <w:vAlign w:val="center"/>
          </w:tcPr>
          <w:p w:rsidR="00C17D1E" w:rsidRDefault="00C17D1E" w:rsidP="005441DD">
            <w:pPr>
              <w:spacing w:before="60" w:after="60" w:line="240" w:lineRule="auto"/>
            </w:pPr>
            <w:r>
              <w:t>Great Gulf Wilderness &amp; Presidential Range-Dry River Wilderness (NH)</w:t>
            </w:r>
          </w:p>
        </w:tc>
        <w:tc>
          <w:tcPr>
            <w:tcW w:w="1494" w:type="dxa"/>
            <w:vAlign w:val="center"/>
          </w:tcPr>
          <w:p w:rsidR="00C17D1E" w:rsidRDefault="00C17D1E" w:rsidP="005441DD">
            <w:pPr>
              <w:spacing w:before="60" w:after="60" w:line="240" w:lineRule="auto"/>
              <w:jc w:val="center"/>
            </w:pPr>
            <w:r>
              <w:t>22.8</w:t>
            </w:r>
          </w:p>
        </w:tc>
        <w:tc>
          <w:tcPr>
            <w:tcW w:w="1800" w:type="dxa"/>
            <w:vAlign w:val="center"/>
          </w:tcPr>
          <w:p w:rsidR="00C17D1E" w:rsidRDefault="00C17D1E" w:rsidP="005441DD">
            <w:pPr>
              <w:spacing w:before="60" w:after="60" w:line="240" w:lineRule="auto"/>
              <w:jc w:val="center"/>
            </w:pPr>
            <w:r>
              <w:t>19.1</w:t>
            </w:r>
          </w:p>
        </w:tc>
        <w:tc>
          <w:tcPr>
            <w:tcW w:w="1620" w:type="dxa"/>
            <w:vAlign w:val="center"/>
          </w:tcPr>
          <w:p w:rsidR="00C17D1E" w:rsidRDefault="00E32178" w:rsidP="005441DD">
            <w:pPr>
              <w:spacing w:before="60" w:after="60" w:line="240" w:lineRule="auto"/>
              <w:jc w:val="center"/>
            </w:pPr>
            <w:r>
              <w:t>12.0</w:t>
            </w:r>
          </w:p>
        </w:tc>
      </w:tr>
      <w:tr w:rsidR="00C17D1E" w:rsidTr="00ED5159">
        <w:trPr>
          <w:jc w:val="center"/>
        </w:trPr>
        <w:tc>
          <w:tcPr>
            <w:tcW w:w="648" w:type="dxa"/>
            <w:vMerge/>
          </w:tcPr>
          <w:p w:rsidR="00C17D1E" w:rsidRDefault="00C17D1E" w:rsidP="0054478E">
            <w:pPr>
              <w:jc w:val="center"/>
            </w:pPr>
          </w:p>
        </w:tc>
        <w:tc>
          <w:tcPr>
            <w:tcW w:w="4626" w:type="dxa"/>
            <w:vAlign w:val="center"/>
          </w:tcPr>
          <w:p w:rsidR="00C17D1E" w:rsidRDefault="00C17D1E" w:rsidP="005441DD">
            <w:pPr>
              <w:spacing w:before="60" w:after="60" w:line="240" w:lineRule="auto"/>
            </w:pPr>
            <w:r>
              <w:t>Lye Brook Wilderness (VT)</w:t>
            </w:r>
          </w:p>
        </w:tc>
        <w:tc>
          <w:tcPr>
            <w:tcW w:w="1494" w:type="dxa"/>
            <w:vAlign w:val="center"/>
          </w:tcPr>
          <w:p w:rsidR="00C17D1E" w:rsidRDefault="00C17D1E" w:rsidP="005441DD">
            <w:pPr>
              <w:spacing w:before="60" w:after="60" w:line="240" w:lineRule="auto"/>
              <w:jc w:val="center"/>
            </w:pPr>
            <w:r>
              <w:t>24.4</w:t>
            </w:r>
          </w:p>
        </w:tc>
        <w:tc>
          <w:tcPr>
            <w:tcW w:w="1800" w:type="dxa"/>
            <w:vAlign w:val="center"/>
          </w:tcPr>
          <w:p w:rsidR="00C17D1E" w:rsidRDefault="00C17D1E" w:rsidP="005441DD">
            <w:pPr>
              <w:spacing w:before="60" w:after="60" w:line="240" w:lineRule="auto"/>
              <w:jc w:val="center"/>
            </w:pPr>
            <w:r>
              <w:t>20.9</w:t>
            </w:r>
          </w:p>
        </w:tc>
        <w:tc>
          <w:tcPr>
            <w:tcW w:w="1620" w:type="dxa"/>
            <w:vAlign w:val="center"/>
          </w:tcPr>
          <w:p w:rsidR="00C17D1E" w:rsidRDefault="00C17D1E" w:rsidP="005441DD">
            <w:pPr>
              <w:spacing w:before="60" w:after="60" w:line="240" w:lineRule="auto"/>
              <w:jc w:val="center"/>
            </w:pPr>
            <w:r>
              <w:t>11.7</w:t>
            </w:r>
          </w:p>
        </w:tc>
      </w:tr>
      <w:tr w:rsidR="00C17D1E" w:rsidTr="00ED5159">
        <w:trPr>
          <w:jc w:val="center"/>
        </w:trPr>
        <w:tc>
          <w:tcPr>
            <w:tcW w:w="648" w:type="dxa"/>
            <w:vMerge/>
          </w:tcPr>
          <w:p w:rsidR="00C17D1E" w:rsidRDefault="00C17D1E" w:rsidP="0054478E">
            <w:pPr>
              <w:jc w:val="center"/>
            </w:pPr>
          </w:p>
        </w:tc>
        <w:tc>
          <w:tcPr>
            <w:tcW w:w="4626" w:type="dxa"/>
            <w:vAlign w:val="center"/>
          </w:tcPr>
          <w:p w:rsidR="00C17D1E" w:rsidRDefault="00C17D1E" w:rsidP="005441DD">
            <w:pPr>
              <w:spacing w:before="60" w:after="60" w:line="240" w:lineRule="auto"/>
            </w:pPr>
            <w:r>
              <w:t xml:space="preserve">Moosehorn Wilderness </w:t>
            </w:r>
            <w:r w:rsidR="005441DD">
              <w:t xml:space="preserve">and Roosevelt Campobello International Park </w:t>
            </w:r>
            <w:r>
              <w:t>(ME)</w:t>
            </w:r>
          </w:p>
        </w:tc>
        <w:tc>
          <w:tcPr>
            <w:tcW w:w="1494" w:type="dxa"/>
            <w:vAlign w:val="center"/>
          </w:tcPr>
          <w:p w:rsidR="00C17D1E" w:rsidRDefault="00C17D1E" w:rsidP="005441DD">
            <w:pPr>
              <w:spacing w:before="60" w:after="60" w:line="240" w:lineRule="auto"/>
              <w:jc w:val="center"/>
            </w:pPr>
            <w:r>
              <w:t>21.7</w:t>
            </w:r>
          </w:p>
        </w:tc>
        <w:tc>
          <w:tcPr>
            <w:tcW w:w="1800" w:type="dxa"/>
            <w:vAlign w:val="center"/>
          </w:tcPr>
          <w:p w:rsidR="00C17D1E" w:rsidRDefault="00C17D1E" w:rsidP="005441DD">
            <w:pPr>
              <w:spacing w:before="60" w:after="60" w:line="240" w:lineRule="auto"/>
              <w:jc w:val="center"/>
            </w:pPr>
            <w:r>
              <w:t>19.0</w:t>
            </w:r>
          </w:p>
        </w:tc>
        <w:tc>
          <w:tcPr>
            <w:tcW w:w="1620" w:type="dxa"/>
            <w:vAlign w:val="center"/>
          </w:tcPr>
          <w:p w:rsidR="00C17D1E" w:rsidRDefault="00C17D1E" w:rsidP="005441DD">
            <w:pPr>
              <w:spacing w:before="60" w:after="60" w:line="240" w:lineRule="auto"/>
              <w:jc w:val="center"/>
            </w:pPr>
            <w:r>
              <w:t>12.0</w:t>
            </w:r>
          </w:p>
        </w:tc>
      </w:tr>
      <w:tr w:rsidR="00C17D1E" w:rsidTr="00ED5159">
        <w:trPr>
          <w:jc w:val="center"/>
        </w:trPr>
        <w:tc>
          <w:tcPr>
            <w:tcW w:w="648" w:type="dxa"/>
            <w:vMerge w:val="restart"/>
            <w:textDirection w:val="btLr"/>
          </w:tcPr>
          <w:p w:rsidR="00C17D1E" w:rsidRPr="00C17D1E" w:rsidRDefault="00C17D1E" w:rsidP="0054478E">
            <w:pPr>
              <w:ind w:left="113" w:right="113"/>
              <w:jc w:val="center"/>
              <w:rPr>
                <w:b/>
              </w:rPr>
            </w:pPr>
            <w:r w:rsidRPr="00C17D1E">
              <w:rPr>
                <w:b/>
              </w:rPr>
              <w:t>20% Clearest Days</w:t>
            </w:r>
          </w:p>
        </w:tc>
        <w:tc>
          <w:tcPr>
            <w:tcW w:w="4626" w:type="dxa"/>
            <w:vAlign w:val="center"/>
          </w:tcPr>
          <w:p w:rsidR="00C17D1E" w:rsidRDefault="00C17D1E" w:rsidP="005441DD">
            <w:pPr>
              <w:spacing w:before="60" w:after="60" w:line="240" w:lineRule="auto"/>
            </w:pPr>
            <w:r>
              <w:t>Acadia National Park (ME)</w:t>
            </w:r>
          </w:p>
        </w:tc>
        <w:tc>
          <w:tcPr>
            <w:tcW w:w="1494" w:type="dxa"/>
            <w:vAlign w:val="center"/>
          </w:tcPr>
          <w:p w:rsidR="00C17D1E" w:rsidRDefault="00C17D1E" w:rsidP="005441DD">
            <w:pPr>
              <w:spacing w:before="60" w:after="60" w:line="240" w:lineRule="auto"/>
              <w:jc w:val="center"/>
            </w:pPr>
            <w:r>
              <w:t>8.</w:t>
            </w:r>
            <w:r w:rsidR="00B72550">
              <w:t>7</w:t>
            </w:r>
            <w:r>
              <w:t>8</w:t>
            </w:r>
          </w:p>
        </w:tc>
        <w:tc>
          <w:tcPr>
            <w:tcW w:w="1800" w:type="dxa"/>
            <w:vAlign w:val="center"/>
          </w:tcPr>
          <w:p w:rsidR="00C17D1E" w:rsidRDefault="00C17D1E" w:rsidP="005441DD">
            <w:pPr>
              <w:spacing w:before="60" w:after="60" w:line="240" w:lineRule="auto"/>
              <w:jc w:val="center"/>
            </w:pPr>
            <w:r>
              <w:t>8.3</w:t>
            </w:r>
          </w:p>
        </w:tc>
        <w:tc>
          <w:tcPr>
            <w:tcW w:w="1620" w:type="dxa"/>
            <w:vAlign w:val="center"/>
          </w:tcPr>
          <w:p w:rsidR="00C17D1E" w:rsidRDefault="00E32178" w:rsidP="00B72550">
            <w:pPr>
              <w:spacing w:before="60" w:after="60" w:line="240" w:lineRule="auto"/>
              <w:jc w:val="center"/>
            </w:pPr>
            <w:r>
              <w:t>4.7</w:t>
            </w:r>
          </w:p>
        </w:tc>
      </w:tr>
      <w:tr w:rsidR="00C17D1E" w:rsidTr="00ED5159">
        <w:trPr>
          <w:jc w:val="center"/>
        </w:trPr>
        <w:tc>
          <w:tcPr>
            <w:tcW w:w="648" w:type="dxa"/>
            <w:vMerge/>
          </w:tcPr>
          <w:p w:rsidR="00C17D1E" w:rsidRDefault="00C17D1E" w:rsidP="00D12144"/>
        </w:tc>
        <w:tc>
          <w:tcPr>
            <w:tcW w:w="4626" w:type="dxa"/>
            <w:vAlign w:val="center"/>
          </w:tcPr>
          <w:p w:rsidR="00C17D1E" w:rsidRDefault="00C17D1E" w:rsidP="005441DD">
            <w:pPr>
              <w:spacing w:before="60" w:after="60" w:line="240" w:lineRule="auto"/>
            </w:pPr>
            <w:r>
              <w:t>Brigantine Wilderness (NJ)</w:t>
            </w:r>
          </w:p>
        </w:tc>
        <w:tc>
          <w:tcPr>
            <w:tcW w:w="1494" w:type="dxa"/>
            <w:vAlign w:val="center"/>
          </w:tcPr>
          <w:p w:rsidR="00C17D1E" w:rsidRDefault="00C17D1E" w:rsidP="005441DD">
            <w:pPr>
              <w:spacing w:before="60" w:after="60" w:line="240" w:lineRule="auto"/>
              <w:jc w:val="center"/>
            </w:pPr>
            <w:r>
              <w:t>14.3</w:t>
            </w:r>
          </w:p>
        </w:tc>
        <w:tc>
          <w:tcPr>
            <w:tcW w:w="1800" w:type="dxa"/>
            <w:vAlign w:val="center"/>
          </w:tcPr>
          <w:p w:rsidR="00C17D1E" w:rsidRDefault="00714501" w:rsidP="005441DD">
            <w:pPr>
              <w:spacing w:before="60" w:after="60" w:line="240" w:lineRule="auto"/>
              <w:jc w:val="center"/>
            </w:pPr>
            <w:r>
              <w:t>14.3</w:t>
            </w:r>
          </w:p>
        </w:tc>
        <w:tc>
          <w:tcPr>
            <w:tcW w:w="1620" w:type="dxa"/>
            <w:vAlign w:val="center"/>
          </w:tcPr>
          <w:p w:rsidR="00C17D1E" w:rsidRDefault="00C17D1E" w:rsidP="005441DD">
            <w:pPr>
              <w:spacing w:before="60" w:after="60" w:line="240" w:lineRule="auto"/>
              <w:jc w:val="center"/>
            </w:pPr>
            <w:r>
              <w:t>5.5</w:t>
            </w:r>
          </w:p>
        </w:tc>
      </w:tr>
      <w:tr w:rsidR="00C17D1E" w:rsidTr="00ED5159">
        <w:trPr>
          <w:jc w:val="center"/>
        </w:trPr>
        <w:tc>
          <w:tcPr>
            <w:tcW w:w="648" w:type="dxa"/>
            <w:vMerge/>
          </w:tcPr>
          <w:p w:rsidR="00C17D1E" w:rsidRDefault="00C17D1E" w:rsidP="00D12144"/>
        </w:tc>
        <w:tc>
          <w:tcPr>
            <w:tcW w:w="4626" w:type="dxa"/>
            <w:vAlign w:val="center"/>
          </w:tcPr>
          <w:p w:rsidR="00C17D1E" w:rsidRDefault="00C17D1E" w:rsidP="005441DD">
            <w:pPr>
              <w:spacing w:before="60" w:after="60" w:line="240" w:lineRule="auto"/>
            </w:pPr>
            <w:r>
              <w:t>Great Gulf Wilderness &amp; Presidential Range-Dry River Wilderness (NH)</w:t>
            </w:r>
          </w:p>
        </w:tc>
        <w:tc>
          <w:tcPr>
            <w:tcW w:w="1494" w:type="dxa"/>
            <w:vAlign w:val="center"/>
          </w:tcPr>
          <w:p w:rsidR="00C17D1E" w:rsidRDefault="00C17D1E" w:rsidP="00E32178">
            <w:pPr>
              <w:spacing w:before="60" w:after="60" w:line="240" w:lineRule="auto"/>
              <w:jc w:val="center"/>
            </w:pPr>
            <w:r>
              <w:t>7.</w:t>
            </w:r>
            <w:r w:rsidR="00E32178">
              <w:t>7</w:t>
            </w:r>
          </w:p>
        </w:tc>
        <w:tc>
          <w:tcPr>
            <w:tcW w:w="1800" w:type="dxa"/>
            <w:vAlign w:val="center"/>
          </w:tcPr>
          <w:p w:rsidR="00C17D1E" w:rsidRDefault="00C17D1E" w:rsidP="005441DD">
            <w:pPr>
              <w:spacing w:before="60" w:after="60" w:line="240" w:lineRule="auto"/>
              <w:jc w:val="center"/>
            </w:pPr>
            <w:r>
              <w:t>7.2</w:t>
            </w:r>
          </w:p>
        </w:tc>
        <w:tc>
          <w:tcPr>
            <w:tcW w:w="1620" w:type="dxa"/>
            <w:vAlign w:val="center"/>
          </w:tcPr>
          <w:p w:rsidR="00C17D1E" w:rsidRDefault="00C17D1E" w:rsidP="005441DD">
            <w:pPr>
              <w:spacing w:before="60" w:after="60" w:line="240" w:lineRule="auto"/>
              <w:jc w:val="center"/>
            </w:pPr>
            <w:r>
              <w:t>3.7</w:t>
            </w:r>
          </w:p>
        </w:tc>
      </w:tr>
      <w:tr w:rsidR="00C17D1E" w:rsidTr="00ED5159">
        <w:trPr>
          <w:jc w:val="center"/>
        </w:trPr>
        <w:tc>
          <w:tcPr>
            <w:tcW w:w="648" w:type="dxa"/>
            <w:vMerge/>
          </w:tcPr>
          <w:p w:rsidR="00C17D1E" w:rsidRDefault="00C17D1E" w:rsidP="00D12144"/>
        </w:tc>
        <w:tc>
          <w:tcPr>
            <w:tcW w:w="4626" w:type="dxa"/>
            <w:vAlign w:val="center"/>
          </w:tcPr>
          <w:p w:rsidR="00C17D1E" w:rsidRDefault="00C17D1E" w:rsidP="005441DD">
            <w:pPr>
              <w:spacing w:before="60" w:after="60" w:line="240" w:lineRule="auto"/>
            </w:pPr>
            <w:r>
              <w:t>Lye Brook Wilderness (VT)</w:t>
            </w:r>
          </w:p>
        </w:tc>
        <w:tc>
          <w:tcPr>
            <w:tcW w:w="1494" w:type="dxa"/>
            <w:vAlign w:val="center"/>
          </w:tcPr>
          <w:p w:rsidR="00C17D1E" w:rsidRDefault="00C17D1E" w:rsidP="00B72550">
            <w:pPr>
              <w:spacing w:before="60" w:after="60" w:line="240" w:lineRule="auto"/>
              <w:jc w:val="center"/>
            </w:pPr>
            <w:r>
              <w:t>6.</w:t>
            </w:r>
            <w:r w:rsidR="00E32178">
              <w:t>4</w:t>
            </w:r>
          </w:p>
        </w:tc>
        <w:tc>
          <w:tcPr>
            <w:tcW w:w="1800" w:type="dxa"/>
            <w:vAlign w:val="center"/>
          </w:tcPr>
          <w:p w:rsidR="00C17D1E" w:rsidRDefault="00C17D1E" w:rsidP="005441DD">
            <w:pPr>
              <w:spacing w:before="60" w:after="60" w:line="240" w:lineRule="auto"/>
              <w:jc w:val="center"/>
            </w:pPr>
            <w:r>
              <w:t>5.5</w:t>
            </w:r>
          </w:p>
        </w:tc>
        <w:tc>
          <w:tcPr>
            <w:tcW w:w="1620" w:type="dxa"/>
            <w:vAlign w:val="center"/>
          </w:tcPr>
          <w:p w:rsidR="00C17D1E" w:rsidRDefault="00C17D1E" w:rsidP="00B72550">
            <w:pPr>
              <w:spacing w:before="60" w:after="60" w:line="240" w:lineRule="auto"/>
              <w:jc w:val="center"/>
            </w:pPr>
            <w:r>
              <w:t>2.</w:t>
            </w:r>
            <w:r w:rsidR="00E32178">
              <w:t>8</w:t>
            </w:r>
          </w:p>
        </w:tc>
      </w:tr>
      <w:tr w:rsidR="00C17D1E" w:rsidTr="00ED5159">
        <w:trPr>
          <w:jc w:val="center"/>
        </w:trPr>
        <w:tc>
          <w:tcPr>
            <w:tcW w:w="648" w:type="dxa"/>
            <w:vMerge/>
          </w:tcPr>
          <w:p w:rsidR="00C17D1E" w:rsidRDefault="00C17D1E" w:rsidP="00D12144"/>
        </w:tc>
        <w:tc>
          <w:tcPr>
            <w:tcW w:w="4626" w:type="dxa"/>
            <w:vAlign w:val="center"/>
          </w:tcPr>
          <w:p w:rsidR="00C17D1E" w:rsidRDefault="00C17D1E" w:rsidP="005441DD">
            <w:pPr>
              <w:spacing w:before="60" w:after="60" w:line="240" w:lineRule="auto"/>
            </w:pPr>
            <w:r>
              <w:t xml:space="preserve">Moosehorn Wilderness </w:t>
            </w:r>
            <w:r w:rsidR="005441DD">
              <w:t xml:space="preserve">and Roosevelt Campobello International Park </w:t>
            </w:r>
            <w:r>
              <w:t>(ME)</w:t>
            </w:r>
          </w:p>
        </w:tc>
        <w:tc>
          <w:tcPr>
            <w:tcW w:w="1494" w:type="dxa"/>
            <w:vAlign w:val="center"/>
          </w:tcPr>
          <w:p w:rsidR="00C17D1E" w:rsidRPr="0054478E" w:rsidRDefault="00C17D1E" w:rsidP="00B72550">
            <w:pPr>
              <w:spacing w:before="60" w:after="60" w:line="240" w:lineRule="auto"/>
              <w:jc w:val="center"/>
              <w:rPr>
                <w:b/>
              </w:rPr>
            </w:pPr>
            <w:r>
              <w:t>9.</w:t>
            </w:r>
            <w:r w:rsidR="00E32178">
              <w:t>2</w:t>
            </w:r>
          </w:p>
        </w:tc>
        <w:tc>
          <w:tcPr>
            <w:tcW w:w="1800" w:type="dxa"/>
            <w:vAlign w:val="center"/>
          </w:tcPr>
          <w:p w:rsidR="00C17D1E" w:rsidRDefault="00C17D1E" w:rsidP="005441DD">
            <w:pPr>
              <w:spacing w:before="60" w:after="60" w:line="240" w:lineRule="auto"/>
              <w:jc w:val="center"/>
            </w:pPr>
            <w:r>
              <w:t>8.6</w:t>
            </w:r>
          </w:p>
        </w:tc>
        <w:tc>
          <w:tcPr>
            <w:tcW w:w="1620" w:type="dxa"/>
            <w:vAlign w:val="center"/>
          </w:tcPr>
          <w:p w:rsidR="00C17D1E" w:rsidRDefault="00C17D1E" w:rsidP="005441DD">
            <w:pPr>
              <w:spacing w:before="60" w:after="60" w:line="240" w:lineRule="auto"/>
              <w:jc w:val="center"/>
            </w:pPr>
            <w:r>
              <w:t>5.0</w:t>
            </w:r>
          </w:p>
        </w:tc>
      </w:tr>
    </w:tbl>
    <w:p w:rsidR="0082053F" w:rsidRDefault="005441DD" w:rsidP="0054478E">
      <w:r>
        <w:t xml:space="preserve">Source:  </w:t>
      </w:r>
      <w:r>
        <w:rPr>
          <w:i/>
        </w:rPr>
        <w:t xml:space="preserve">Tracking Visibility Progress: 2004-2011, </w:t>
      </w:r>
      <w:r>
        <w:t>NESCAUM, April 30, 2013 (Revised May 24, 2013)</w:t>
      </w:r>
    </w:p>
    <w:p w:rsidR="008163F7" w:rsidRDefault="008163F7" w:rsidP="0054478E">
      <w:r>
        <w:t>Units: Visibility in deciviews.</w:t>
      </w:r>
    </w:p>
    <w:p w:rsidR="00E71C51" w:rsidRPr="000A31EC" w:rsidRDefault="00E71C51" w:rsidP="000A31EC">
      <w:pPr>
        <w:pStyle w:val="Heading3"/>
      </w:pPr>
      <w:bookmarkStart w:id="35" w:name="_Toc373843498"/>
      <w:r w:rsidRPr="000A31EC">
        <w:lastRenderedPageBreak/>
        <w:t>2.</w:t>
      </w:r>
      <w:r w:rsidR="00D12144" w:rsidRPr="000A31EC">
        <w:t>2</w:t>
      </w:r>
      <w:r w:rsidR="00D14E84" w:rsidRPr="000A31EC">
        <w:t>. Requirements</w:t>
      </w:r>
      <w:r w:rsidRPr="000A31EC">
        <w:t xml:space="preserve"> to Track Changes in Visibility</w:t>
      </w:r>
      <w:bookmarkEnd w:id="35"/>
      <w:r w:rsidRPr="000A31EC">
        <w:t xml:space="preserve"> </w:t>
      </w:r>
    </w:p>
    <w:p w:rsidR="00E71C51" w:rsidRPr="002A7870" w:rsidRDefault="0082053F" w:rsidP="000A31EC">
      <w:r>
        <w:t xml:space="preserve">At </w:t>
      </w:r>
      <w:r w:rsidR="00E71C51">
        <w:t>40 CFR 51.308(g)(3)</w:t>
      </w:r>
      <w:r>
        <w:t>,</w:t>
      </w:r>
      <w:r w:rsidR="00E71C51" w:rsidRPr="002A7870">
        <w:t xml:space="preserve"> the Regional Haze Rule requires states with Class I areas to assess the current visibility conditions for the five years of most recent visibility data, compare that to baseline visibility conditions for the 2000-2004 period, and assess the change in visibility impairment over the past five years.  To mitigate the impacts of </w:t>
      </w:r>
      <w:r w:rsidR="008D408E">
        <w:t>year-to-year</w:t>
      </w:r>
      <w:r w:rsidR="008D408E" w:rsidRPr="002A7870">
        <w:t xml:space="preserve"> </w:t>
      </w:r>
      <w:r w:rsidR="00E71C51" w:rsidRPr="002A7870">
        <w:t>variability in determining progress towards the reasonable progress goals, the Regional Haze Rule mandates the use of 5-year-averaged values of both the annual mean 20% best and 20% worst days determined for each site.</w:t>
      </w:r>
    </w:p>
    <w:p w:rsidR="00E71C51" w:rsidRPr="002A7870" w:rsidRDefault="00E71C51" w:rsidP="00341C0E">
      <w:pPr>
        <w:spacing w:before="216"/>
        <w:ind w:left="72" w:right="72"/>
        <w:contextualSpacing/>
        <w:rPr>
          <w:u w:val="single"/>
        </w:rPr>
      </w:pPr>
      <w:r w:rsidRPr="004212D7">
        <w:rPr>
          <w:highlight w:val="yellow"/>
          <w:u w:val="single"/>
        </w:rPr>
        <w:t>Option</w:t>
      </w:r>
      <w:r w:rsidR="005557CC">
        <w:rPr>
          <w:highlight w:val="yellow"/>
          <w:u w:val="single"/>
        </w:rPr>
        <w:t>s</w:t>
      </w:r>
      <w:r w:rsidRPr="004212D7">
        <w:rPr>
          <w:highlight w:val="yellow"/>
          <w:u w:val="single"/>
        </w:rPr>
        <w:t xml:space="preserve"> </w:t>
      </w:r>
      <w:r>
        <w:rPr>
          <w:highlight w:val="yellow"/>
          <w:u w:val="single"/>
        </w:rPr>
        <w:t>for</w:t>
      </w:r>
      <w:r w:rsidRPr="004212D7">
        <w:rPr>
          <w:highlight w:val="yellow"/>
          <w:u w:val="single"/>
        </w:rPr>
        <w:t xml:space="preserve"> States </w:t>
      </w:r>
    </w:p>
    <w:p w:rsidR="00E71C51" w:rsidRDefault="005557CC" w:rsidP="000A31EC">
      <w:r>
        <w:rPr>
          <w:highlight w:val="yellow"/>
        </w:rPr>
        <w:t xml:space="preserve">Option 1:  </w:t>
      </w:r>
      <w:r w:rsidR="00E71C51" w:rsidRPr="008F644F">
        <w:rPr>
          <w:highlight w:val="yellow"/>
        </w:rPr>
        <w:t>&lt;State name&gt;</w:t>
      </w:r>
      <w:r w:rsidR="00E71C51" w:rsidRPr="004212D7">
        <w:rPr>
          <w:highlight w:val="yellow"/>
        </w:rPr>
        <w:t xml:space="preserve"> has no Class I areas within its borders, therefore, there is no analysis for this </w:t>
      </w:r>
      <w:r w:rsidR="00E71C51" w:rsidRPr="00C06D33">
        <w:rPr>
          <w:highlight w:val="yellow"/>
        </w:rPr>
        <w:t>Section.</w:t>
      </w:r>
      <w:r w:rsidR="00C06D33" w:rsidRPr="00C06D33">
        <w:rPr>
          <w:highlight w:val="yellow"/>
        </w:rPr>
        <w:t xml:space="preserve">  Check with your EPA Regional office to be sure this is acceptable if you select this option.</w:t>
      </w:r>
    </w:p>
    <w:p w:rsidR="005557CC" w:rsidRDefault="005557CC" w:rsidP="005557CC">
      <w:r w:rsidRPr="005557CC">
        <w:rPr>
          <w:highlight w:val="yellow"/>
        </w:rPr>
        <w:t xml:space="preserve">Option 2:  &lt;State name&gt; has no Class I areas within its borders, but provides the following information to </w:t>
      </w:r>
      <w:r>
        <w:rPr>
          <w:highlight w:val="yellow"/>
        </w:rPr>
        <w:t>show that progress is being made in improving visibility at Class I areas in and near MANE-VU in support of the State’s determination of the adequacy of its regional haze SIP</w:t>
      </w:r>
      <w:r w:rsidRPr="004212D7">
        <w:rPr>
          <w:highlight w:val="yellow"/>
        </w:rPr>
        <w:t>.</w:t>
      </w:r>
    </w:p>
    <w:p w:rsidR="005557CC" w:rsidRDefault="00E71C51" w:rsidP="000A31EC">
      <w:pPr>
        <w:rPr>
          <w:i/>
          <w:highlight w:val="yellow"/>
        </w:rPr>
      </w:pPr>
      <w:r>
        <w:rPr>
          <w:i/>
          <w:highlight w:val="yellow"/>
        </w:rPr>
        <w:t>&lt;</w:t>
      </w:r>
      <w:r w:rsidRPr="002A7870">
        <w:rPr>
          <w:i/>
          <w:highlight w:val="yellow"/>
        </w:rPr>
        <w:t xml:space="preserve">Note:  </w:t>
      </w:r>
      <w:r>
        <w:rPr>
          <w:i/>
          <w:highlight w:val="yellow"/>
        </w:rPr>
        <w:t>States without</w:t>
      </w:r>
      <w:r w:rsidRPr="002A7870">
        <w:rPr>
          <w:i/>
          <w:highlight w:val="yellow"/>
        </w:rPr>
        <w:t xml:space="preserve"> Class I areas</w:t>
      </w:r>
      <w:r>
        <w:rPr>
          <w:i/>
          <w:highlight w:val="yellow"/>
        </w:rPr>
        <w:t xml:space="preserve"> may choose to abbreviate this section or may include the following discussion of visibility trends in </w:t>
      </w:r>
      <w:r w:rsidR="005557CC">
        <w:rPr>
          <w:i/>
          <w:highlight w:val="yellow"/>
        </w:rPr>
        <w:t xml:space="preserve">and near </w:t>
      </w:r>
      <w:r>
        <w:rPr>
          <w:i/>
          <w:highlight w:val="yellow"/>
        </w:rPr>
        <w:t>MANE-VU.</w:t>
      </w:r>
      <w:r w:rsidR="005557CC">
        <w:rPr>
          <w:i/>
          <w:highlight w:val="yellow"/>
        </w:rPr>
        <w:t>&gt;</w:t>
      </w:r>
      <w:r>
        <w:rPr>
          <w:i/>
          <w:highlight w:val="yellow"/>
        </w:rPr>
        <w:t xml:space="preserve">  </w:t>
      </w:r>
    </w:p>
    <w:p w:rsidR="00E71C51" w:rsidRPr="005557CC" w:rsidRDefault="005557CC" w:rsidP="000A31EC">
      <w:r>
        <w:rPr>
          <w:highlight w:val="yellow"/>
        </w:rPr>
        <w:t xml:space="preserve">Option 3: </w:t>
      </w:r>
      <w:r w:rsidRPr="005557CC">
        <w:rPr>
          <w:highlight w:val="yellow"/>
        </w:rPr>
        <w:t>&lt;</w:t>
      </w:r>
      <w:r w:rsidR="00E71C51" w:rsidRPr="005557CC">
        <w:rPr>
          <w:highlight w:val="yellow"/>
        </w:rPr>
        <w:t>States having Class I areas may include the following discussion and may choose to include information for all MANE-VU Class I areas or only report data for their own as provided.&gt;</w:t>
      </w:r>
    </w:p>
    <w:p w:rsidR="005557CC" w:rsidRDefault="005557CC" w:rsidP="005557CC">
      <w:pPr>
        <w:rPr>
          <w:i/>
        </w:rPr>
      </w:pPr>
      <w:r w:rsidRPr="005441DD">
        <w:rPr>
          <w:i/>
          <w:highlight w:val="yellow"/>
        </w:rPr>
        <w:t>&lt;Note:  See pp. 8-11 of EPA’s April 2013 “General Principles for the 5-Year Regional haze Progress Reports.”  The state’s report should include baseline conditions (2000-2004) and the 5 most recent years available (current conditions).&gt;</w:t>
      </w:r>
    </w:p>
    <w:p w:rsidR="005557CC" w:rsidRPr="002A7870" w:rsidRDefault="005557CC" w:rsidP="000A31EC">
      <w:pPr>
        <w:rPr>
          <w:i/>
        </w:rPr>
      </w:pPr>
    </w:p>
    <w:p w:rsidR="00E71C51" w:rsidRPr="002A7870" w:rsidRDefault="00E71C51" w:rsidP="000A31EC">
      <w:r w:rsidRPr="002A7870">
        <w:rPr>
          <w:spacing w:val="3"/>
        </w:rPr>
        <w:t xml:space="preserve">For each Class I area, there are three metrics of </w:t>
      </w:r>
      <w:r w:rsidRPr="002A7870">
        <w:t>visibility that are part of the determination of reasonable progress:</w:t>
      </w:r>
    </w:p>
    <w:p w:rsidR="00E71C51" w:rsidRPr="002A7870" w:rsidRDefault="000A31EC" w:rsidP="000A31EC">
      <w:pPr>
        <w:pStyle w:val="Numbering"/>
        <w:numPr>
          <w:ilvl w:val="0"/>
          <w:numId w:val="34"/>
        </w:numPr>
      </w:pPr>
      <w:r>
        <w:t>B</w:t>
      </w:r>
      <w:r w:rsidR="00E71C51" w:rsidRPr="002A7870">
        <w:t xml:space="preserve">aseline conditions, </w:t>
      </w:r>
    </w:p>
    <w:p w:rsidR="00E71C51" w:rsidRPr="002A7870" w:rsidRDefault="000A31EC" w:rsidP="000A31EC">
      <w:pPr>
        <w:pStyle w:val="Numbering"/>
      </w:pPr>
      <w:r>
        <w:t>N</w:t>
      </w:r>
      <w:r w:rsidR="00E71C51" w:rsidRPr="002A7870">
        <w:t>atural conditions (in 2064), and</w:t>
      </w:r>
    </w:p>
    <w:p w:rsidR="00E71C51" w:rsidRPr="000A31EC" w:rsidRDefault="000A31EC" w:rsidP="000A31EC">
      <w:pPr>
        <w:pStyle w:val="Numbering"/>
        <w:rPr>
          <w:spacing w:val="16"/>
        </w:rPr>
      </w:pPr>
      <w:r>
        <w:rPr>
          <w:spacing w:val="16"/>
        </w:rPr>
        <w:t>Current conditions.</w:t>
      </w:r>
    </w:p>
    <w:p w:rsidR="00E71C51" w:rsidRPr="00B27876" w:rsidRDefault="00E71C51" w:rsidP="000A31EC">
      <w:r w:rsidRPr="00B27876">
        <w:t xml:space="preserve">Progress in improving </w:t>
      </w:r>
      <w:r w:rsidRPr="00C96BD3">
        <w:t xml:space="preserve">visibility at Class I areas within </w:t>
      </w:r>
      <w:r w:rsidR="006728D8">
        <w:t>MANE-VU</w:t>
      </w:r>
      <w:r w:rsidRPr="00C96BD3">
        <w:t xml:space="preserve"> is measured via the IMPROVE monitoring network.  A coalition composed of the National Park Service (NPS), the Fish and Wildlife Service (FWS), the Bureau of Land Management (BLM), the Forest Service (FS) and the USEPA established the Interagency Monitoring of Protected Visual Environments (IMPROVE) program in response to the 1977 amendments to the Clean Air Act. This monitoring network has collected speciated fine aerosol and related visibility data in or near Federal</w:t>
      </w:r>
      <w:r w:rsidRPr="00B27876">
        <w:t xml:space="preserve"> Class 1 areas in the United States since 1988.</w:t>
      </w:r>
    </w:p>
    <w:p w:rsidR="00E71C51" w:rsidRPr="005441DD" w:rsidRDefault="00E71C51" w:rsidP="0089655D">
      <w:pPr>
        <w:rPr>
          <w:i/>
        </w:rPr>
      </w:pPr>
    </w:p>
    <w:p w:rsidR="00670FB4" w:rsidRDefault="00670FB4">
      <w:pPr>
        <w:spacing w:after="0" w:line="240" w:lineRule="auto"/>
        <w:rPr>
          <w:rFonts w:ascii="Arial" w:eastAsia="Times New Roman" w:hAnsi="Arial"/>
          <w:b/>
          <w:color w:val="000000" w:themeColor="text1"/>
          <w:szCs w:val="26"/>
        </w:rPr>
      </w:pPr>
      <w:bookmarkStart w:id="36" w:name="_Toc373843499"/>
      <w:r>
        <w:br w:type="page"/>
      </w:r>
    </w:p>
    <w:p w:rsidR="00E71C51" w:rsidRPr="002F5DDC" w:rsidRDefault="00E71C51" w:rsidP="002F5DDC">
      <w:pPr>
        <w:pStyle w:val="Heading3"/>
      </w:pPr>
      <w:r w:rsidRPr="002F5DDC">
        <w:lastRenderedPageBreak/>
        <w:t>2.3</w:t>
      </w:r>
      <w:r w:rsidR="00D14E84" w:rsidRPr="002F5DDC">
        <w:t>. Review</w:t>
      </w:r>
      <w:r w:rsidRPr="002F5DDC">
        <w:t xml:space="preserve"> of Recent Improve Data</w:t>
      </w:r>
      <w:bookmarkEnd w:id="36"/>
    </w:p>
    <w:p w:rsidR="00E71C51" w:rsidRDefault="00E71C51" w:rsidP="002F5DDC">
      <w:r w:rsidRPr="003B1CAE">
        <w:rPr>
          <w:highlight w:val="yellow"/>
        </w:rPr>
        <w:t xml:space="preserve">&lt;State name&gt; has the following </w:t>
      </w:r>
      <w:r w:rsidR="005441DD">
        <w:rPr>
          <w:highlight w:val="yellow"/>
        </w:rPr>
        <w:t xml:space="preserve">&lt;or no&gt; </w:t>
      </w:r>
      <w:r w:rsidRPr="003B1CAE">
        <w:rPr>
          <w:highlight w:val="yellow"/>
        </w:rPr>
        <w:t xml:space="preserve">Class I areas within its borders: </w:t>
      </w:r>
      <w:r w:rsidRPr="003B1CAE">
        <w:rPr>
          <w:i/>
          <w:highlight w:val="yellow"/>
        </w:rPr>
        <w:t xml:space="preserve"> &lt;</w:t>
      </w:r>
      <w:r w:rsidRPr="003B1CAE">
        <w:rPr>
          <w:highlight w:val="yellow"/>
        </w:rPr>
        <w:t xml:space="preserve">List </w:t>
      </w:r>
      <w:r w:rsidRPr="002A7870">
        <w:rPr>
          <w:highlight w:val="yellow"/>
        </w:rPr>
        <w:t>class I areas in the state</w:t>
      </w:r>
      <w:r w:rsidRPr="002A7870">
        <w:t>&gt;</w:t>
      </w:r>
    </w:p>
    <w:p w:rsidR="00A07450" w:rsidRDefault="00A07450" w:rsidP="002F5DDC">
      <w:r>
        <w:t xml:space="preserve">In 2013 NESCAUM </w:t>
      </w:r>
      <w:r w:rsidR="005557CC">
        <w:t xml:space="preserve">prepared the </w:t>
      </w:r>
      <w:r>
        <w:t xml:space="preserve">report </w:t>
      </w:r>
      <w:r w:rsidR="005557CC">
        <w:rPr>
          <w:i/>
        </w:rPr>
        <w:t>Tracking Visibility Progress: 2004-2011</w:t>
      </w:r>
      <w:r>
        <w:t>.</w:t>
      </w:r>
      <w:r w:rsidR="005557CC">
        <w:t xml:space="preserve"> </w:t>
      </w:r>
      <w:r>
        <w:t xml:space="preserve"> The report analyzes visibility data from the 2000-2004 </w:t>
      </w:r>
      <w:proofErr w:type="gramStart"/>
      <w:r>
        <w:t>baseline</w:t>
      </w:r>
      <w:proofErr w:type="gramEnd"/>
      <w:r>
        <w:t xml:space="preserve"> </w:t>
      </w:r>
      <w:r w:rsidRPr="008F11D1">
        <w:rPr>
          <w:highlight w:val="yellow"/>
        </w:rPr>
        <w:t>through the</w:t>
      </w:r>
      <w:r w:rsidR="008F11D1" w:rsidRPr="008F11D1">
        <w:rPr>
          <w:highlight w:val="yellow"/>
        </w:rPr>
        <w:t xml:space="preserve"> 2007-2011</w:t>
      </w:r>
      <w:r w:rsidRPr="008F11D1">
        <w:rPr>
          <w:highlight w:val="yellow"/>
        </w:rPr>
        <w:t xml:space="preserve"> 5-year period</w:t>
      </w:r>
      <w:r>
        <w:t xml:space="preserve">. </w:t>
      </w:r>
      <w:r w:rsidR="008F11D1">
        <w:t xml:space="preserve"> </w:t>
      </w:r>
      <w:r>
        <w:t>The results of this analysis showed the following:</w:t>
      </w:r>
    </w:p>
    <w:p w:rsidR="00A07450" w:rsidRDefault="00A07450" w:rsidP="003B1CAE">
      <w:pPr>
        <w:pStyle w:val="Bullets"/>
      </w:pPr>
      <w:r>
        <w:t>There are definite downward trends in overall haze levels at the Class I areas in and adjacent to the MANE-VU region.</w:t>
      </w:r>
    </w:p>
    <w:p w:rsidR="00A07450" w:rsidRDefault="00A07450" w:rsidP="003B1CAE">
      <w:pPr>
        <w:pStyle w:val="Bullets"/>
      </w:pPr>
      <w:r>
        <w:t>Based on rolling-five year averages demonstrating progress since the 2000-2004 baseline period, the MANE-VU Class I areas appear to be on track to meet their 2018 Reasonable Progress Goals (RPGs) for both best and worst visibility days.</w:t>
      </w:r>
    </w:p>
    <w:p w:rsidR="00A07450" w:rsidRDefault="00A07450" w:rsidP="003B1CAE">
      <w:pPr>
        <w:pStyle w:val="Bullets"/>
      </w:pPr>
      <w:r>
        <w:t>The trends are mainly driven by large reductions in sulfate light extinction, and to a lesser extent, nitrate light extinction.</w:t>
      </w:r>
    </w:p>
    <w:p w:rsidR="00A07450" w:rsidRDefault="00A07450" w:rsidP="003B1CAE">
      <w:pPr>
        <w:pStyle w:val="Bullets"/>
      </w:pPr>
      <w:r>
        <w:t>Levels of organic carbon mass (OCM) and light absorbing carbon (LAC) appear to be approaching natural background levels at most of the MANE-VU Class I areas.</w:t>
      </w:r>
    </w:p>
    <w:p w:rsidR="003B1CAE" w:rsidRDefault="003B1CAE" w:rsidP="003B1CAE">
      <w:pPr>
        <w:pStyle w:val="Bullets"/>
      </w:pPr>
      <w:r>
        <w:t>In some cases, the levels set by 2018 RPGs have already been met, and progress beyond those goals appears achievable.</w:t>
      </w:r>
    </w:p>
    <w:p w:rsidR="003B1CAE" w:rsidRDefault="003B1CAE" w:rsidP="003B1CAE">
      <w:pPr>
        <w:pStyle w:val="Bullets"/>
      </w:pPr>
      <w:r>
        <w:t>Though the Brigantine Wilderness Area i</w:t>
      </w:r>
      <w:r w:rsidR="00475350">
        <w:t>s</w:t>
      </w:r>
      <w:r>
        <w:t xml:space="preserve"> on track to meet its 2018 RPGs, challenges remain. Sulfate light extinction levels are higher at this site than at others across the region. Additional sulfate reductions would be a significant driver in reducing overall haze levels at Brigantine.</w:t>
      </w:r>
    </w:p>
    <w:p w:rsidR="005441DD" w:rsidRDefault="008F11D1" w:rsidP="00717E1E">
      <w:pPr>
        <w:pStyle w:val="Bullets"/>
        <w:numPr>
          <w:ilvl w:val="0"/>
          <w:numId w:val="0"/>
        </w:numPr>
      </w:pPr>
      <w:r w:rsidRPr="008F11D1">
        <w:rPr>
          <w:highlight w:val="yellow"/>
        </w:rPr>
        <w:t>Since this report was released 2012 and 2013 visibility data became available.</w:t>
      </w:r>
      <w:r>
        <w:t xml:space="preserve">  </w:t>
      </w:r>
      <w:r w:rsidR="003B1CAE" w:rsidRPr="0034660B">
        <w:rPr>
          <w:highlight w:val="yellow"/>
        </w:rPr>
        <w:t xml:space="preserve">Table 2.2 </w:t>
      </w:r>
      <w:r w:rsidR="00E71C51" w:rsidRPr="0034660B">
        <w:rPr>
          <w:highlight w:val="yellow"/>
        </w:rPr>
        <w:t>and Figure</w:t>
      </w:r>
      <w:r w:rsidR="0034660B">
        <w:rPr>
          <w:highlight w:val="yellow"/>
        </w:rPr>
        <w:t>s</w:t>
      </w:r>
      <w:r w:rsidR="00E71C51" w:rsidRPr="0034660B">
        <w:rPr>
          <w:highlight w:val="yellow"/>
        </w:rPr>
        <w:t xml:space="preserve"> 2.</w:t>
      </w:r>
      <w:r w:rsidR="005557CC" w:rsidRPr="0034660B">
        <w:rPr>
          <w:highlight w:val="yellow"/>
        </w:rPr>
        <w:t>1</w:t>
      </w:r>
      <w:r w:rsidR="003B1CAE" w:rsidRPr="0034660B">
        <w:rPr>
          <w:highlight w:val="yellow"/>
        </w:rPr>
        <w:t xml:space="preserve"> </w:t>
      </w:r>
      <w:r w:rsidR="0034660B">
        <w:rPr>
          <w:highlight w:val="yellow"/>
        </w:rPr>
        <w:t xml:space="preserve">a-g </w:t>
      </w:r>
      <w:r w:rsidR="003B1CAE" w:rsidRPr="0034660B">
        <w:rPr>
          <w:highlight w:val="yellow"/>
        </w:rPr>
        <w:t>below</w:t>
      </w:r>
      <w:r w:rsidR="00E71C51" w:rsidRPr="0034660B">
        <w:rPr>
          <w:highlight w:val="yellow"/>
        </w:rPr>
        <w:t xml:space="preserve"> </w:t>
      </w:r>
      <w:r w:rsidR="007A33C0" w:rsidRPr="0034660B">
        <w:rPr>
          <w:highlight w:val="yellow"/>
        </w:rPr>
        <w:t>provide</w:t>
      </w:r>
      <w:r w:rsidR="00E71C51" w:rsidRPr="0034660B">
        <w:rPr>
          <w:highlight w:val="yellow"/>
        </w:rPr>
        <w:t xml:space="preserve"> the most recent quality assured data for the Class I area(s) in </w:t>
      </w:r>
      <w:r w:rsidR="003B1CAE" w:rsidRPr="0034660B">
        <w:rPr>
          <w:highlight w:val="yellow"/>
        </w:rPr>
        <w:t>and near MANE-VU</w:t>
      </w:r>
      <w:r w:rsidR="00E71C51" w:rsidRPr="0034660B">
        <w:rPr>
          <w:highlight w:val="yellow"/>
        </w:rPr>
        <w:t xml:space="preserve"> in comparison to the baseline visibility measured for 2000-2004</w:t>
      </w:r>
      <w:r w:rsidRPr="0034660B">
        <w:rPr>
          <w:highlight w:val="yellow"/>
        </w:rPr>
        <w:t xml:space="preserve"> using the same procedures used in the </w:t>
      </w:r>
      <w:r w:rsidR="0034660B">
        <w:rPr>
          <w:highlight w:val="yellow"/>
        </w:rPr>
        <w:t>report</w:t>
      </w:r>
      <w:r w:rsidRPr="0034660B">
        <w:rPr>
          <w:highlight w:val="yellow"/>
        </w:rPr>
        <w:t>.</w:t>
      </w:r>
      <w:r w:rsidR="0034660B">
        <w:t xml:space="preserve">  Table 2.2 also shows progress at nearby Class I areas.  As required, visibility is reported as a five-year average in deciviews.  (See Appendix XXX for a discussion of how </w:t>
      </w:r>
      <w:proofErr w:type="spellStart"/>
      <w:r w:rsidR="0034660B">
        <w:t>deciviews</w:t>
      </w:r>
      <w:proofErr w:type="spellEnd"/>
      <w:r w:rsidR="0034660B">
        <w:t xml:space="preserve"> are calculated).  </w:t>
      </w:r>
      <w:r w:rsidR="00717E1E" w:rsidRPr="0034660B">
        <w:rPr>
          <w:highlight w:val="yellow"/>
          <w:u w:val="single"/>
        </w:rPr>
        <w:t>Visibility at all MANE-VU Class I areas has improved, and all areas are expected to meet 2018 Reasonable Progress goals</w:t>
      </w:r>
    </w:p>
    <w:p w:rsidR="00717E1E" w:rsidRDefault="00717E1E" w:rsidP="005441DD">
      <w:r>
        <w:t xml:space="preserve">In </w:t>
      </w:r>
      <w:r w:rsidRPr="0034660B">
        <w:rPr>
          <w:highlight w:val="yellow"/>
        </w:rPr>
        <w:t>Figure</w:t>
      </w:r>
      <w:r w:rsidR="0034660B" w:rsidRPr="0034660B">
        <w:rPr>
          <w:highlight w:val="yellow"/>
        </w:rPr>
        <w:t>s</w:t>
      </w:r>
      <w:r w:rsidRPr="0034660B">
        <w:rPr>
          <w:highlight w:val="yellow"/>
        </w:rPr>
        <w:t xml:space="preserve"> 2.1</w:t>
      </w:r>
      <w:r w:rsidR="0034660B" w:rsidRPr="0034660B">
        <w:rPr>
          <w:highlight w:val="yellow"/>
        </w:rPr>
        <w:t>a-g</w:t>
      </w:r>
      <w:r>
        <w:t xml:space="preserve">, the “Uniform Rate of Progress” line indicates the rate of progress needed to achieve natural visibility by 2064 (the target set by the Clean Air Act).  If the reasonable progress goal (RPG) for a Class I area for 2018 is below the Uniform Rate of Progress line, it indicates a faster rate of progress by 2018 than necessary to achieve the uniform rate of progress.  </w:t>
      </w:r>
      <w:r w:rsidRPr="00717E1E">
        <w:rPr>
          <w:u w:val="single"/>
        </w:rPr>
        <w:t>None of the MANE-VU states established reasonable progress goals for 2018 that provided for a slower rate of improvement than the uniform rate</w:t>
      </w:r>
      <w:r>
        <w:t>.</w:t>
      </w:r>
    </w:p>
    <w:p w:rsidR="005557CC" w:rsidRDefault="005557CC">
      <w:pPr>
        <w:spacing w:after="0" w:line="240" w:lineRule="auto"/>
        <w:rPr>
          <w:rStyle w:val="Heading9Char"/>
          <w:rFonts w:ascii="Arial" w:eastAsia="Times New Roman" w:hAnsi="Arial" w:cs="Arial"/>
          <w:b/>
          <w:bCs/>
          <w:i w:val="0"/>
          <w:iCs w:val="0"/>
          <w:color w:val="auto"/>
          <w:szCs w:val="18"/>
        </w:rPr>
      </w:pPr>
      <w:r>
        <w:rPr>
          <w:rStyle w:val="Heading9Char"/>
          <w:rFonts w:ascii="Arial" w:hAnsi="Arial" w:cs="Arial"/>
          <w:i w:val="0"/>
          <w:iCs w:val="0"/>
          <w:color w:val="auto"/>
          <w:szCs w:val="18"/>
        </w:rPr>
        <w:br w:type="page"/>
      </w:r>
    </w:p>
    <w:p w:rsidR="005441DD" w:rsidRPr="007D1888" w:rsidRDefault="005441DD" w:rsidP="00F60FE6">
      <w:pPr>
        <w:pStyle w:val="Caption"/>
      </w:pPr>
      <w:bookmarkStart w:id="37" w:name="_Toc373842774"/>
      <w:bookmarkStart w:id="38" w:name="_Toc373844548"/>
      <w:proofErr w:type="gramStart"/>
      <w:r w:rsidRPr="007D1888">
        <w:rPr>
          <w:rStyle w:val="Heading9Char"/>
          <w:rFonts w:ascii="Arial" w:hAnsi="Arial" w:cs="Arial"/>
          <w:i w:val="0"/>
          <w:iCs w:val="0"/>
          <w:color w:val="auto"/>
          <w:szCs w:val="18"/>
        </w:rPr>
        <w:lastRenderedPageBreak/>
        <w:t>Table 2.2.</w:t>
      </w:r>
      <w:proofErr w:type="gramEnd"/>
      <w:r w:rsidRPr="007D1888">
        <w:rPr>
          <w:rStyle w:val="Heading9Char"/>
          <w:rFonts w:ascii="Arial" w:hAnsi="Arial" w:cs="Arial"/>
          <w:i w:val="0"/>
          <w:iCs w:val="0"/>
          <w:color w:val="auto"/>
          <w:szCs w:val="18"/>
        </w:rPr>
        <w:t xml:space="preserve">  Visibility Improvements through </w:t>
      </w:r>
      <w:r w:rsidRPr="008F11D1">
        <w:rPr>
          <w:rStyle w:val="Heading9Char"/>
          <w:rFonts w:ascii="Arial" w:hAnsi="Arial" w:cs="Arial"/>
          <w:i w:val="0"/>
          <w:iCs w:val="0"/>
          <w:color w:val="auto"/>
          <w:szCs w:val="18"/>
          <w:highlight w:val="yellow"/>
        </w:rPr>
        <w:t>201</w:t>
      </w:r>
      <w:r w:rsidR="008F11D1" w:rsidRPr="008F11D1">
        <w:rPr>
          <w:rStyle w:val="Heading9Char"/>
          <w:rFonts w:ascii="Arial" w:hAnsi="Arial" w:cs="Arial"/>
          <w:i w:val="0"/>
          <w:iCs w:val="0"/>
          <w:color w:val="auto"/>
          <w:szCs w:val="18"/>
          <w:highlight w:val="yellow"/>
        </w:rPr>
        <w:t>3</w:t>
      </w:r>
      <w:r w:rsidRPr="007D1888">
        <w:rPr>
          <w:rStyle w:val="Heading9Char"/>
          <w:rFonts w:ascii="Arial" w:hAnsi="Arial" w:cs="Arial"/>
          <w:i w:val="0"/>
          <w:iCs w:val="0"/>
          <w:color w:val="auto"/>
          <w:szCs w:val="18"/>
        </w:rPr>
        <w:t xml:space="preserve"> at Class I Areas in and Near MANE-VU</w:t>
      </w:r>
      <w:bookmarkEnd w:id="37"/>
      <w:bookmarkEnd w:id="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3780"/>
        <w:gridCol w:w="1620"/>
        <w:gridCol w:w="1530"/>
        <w:gridCol w:w="1998"/>
      </w:tblGrid>
      <w:tr w:rsidR="00475350" w:rsidTr="00475350">
        <w:tc>
          <w:tcPr>
            <w:tcW w:w="648" w:type="dxa"/>
          </w:tcPr>
          <w:p w:rsidR="005441DD" w:rsidRPr="008B4090" w:rsidRDefault="005441DD" w:rsidP="005441DD">
            <w:pPr>
              <w:rPr>
                <w:b/>
              </w:rPr>
            </w:pPr>
          </w:p>
        </w:tc>
        <w:tc>
          <w:tcPr>
            <w:tcW w:w="3780" w:type="dxa"/>
          </w:tcPr>
          <w:p w:rsidR="005441DD" w:rsidRPr="008B4090" w:rsidRDefault="005441DD" w:rsidP="005441DD">
            <w:pPr>
              <w:rPr>
                <w:b/>
              </w:rPr>
            </w:pPr>
            <w:r w:rsidRPr="008B4090">
              <w:rPr>
                <w:b/>
              </w:rPr>
              <w:t>Class I Area</w:t>
            </w:r>
          </w:p>
        </w:tc>
        <w:tc>
          <w:tcPr>
            <w:tcW w:w="1620" w:type="dxa"/>
          </w:tcPr>
          <w:p w:rsidR="005441DD" w:rsidRDefault="005441DD" w:rsidP="008163F7">
            <w:pPr>
              <w:jc w:val="center"/>
            </w:pPr>
            <w:r>
              <w:t>Baseline Visibility</w:t>
            </w:r>
            <w:r w:rsidR="00475350">
              <w:t xml:space="preserve">  </w:t>
            </w:r>
            <w:r>
              <w:t xml:space="preserve"> (2000 – 2004) </w:t>
            </w:r>
          </w:p>
        </w:tc>
        <w:tc>
          <w:tcPr>
            <w:tcW w:w="1530" w:type="dxa"/>
          </w:tcPr>
          <w:p w:rsidR="005441DD" w:rsidRDefault="005441DD" w:rsidP="004D5CB4">
            <w:pPr>
              <w:jc w:val="center"/>
            </w:pPr>
            <w:r>
              <w:t xml:space="preserve">Current Visibility </w:t>
            </w:r>
            <w:r w:rsidR="00475350">
              <w:t xml:space="preserve"> </w:t>
            </w:r>
            <w:r>
              <w:t>(200</w:t>
            </w:r>
            <w:r w:rsidR="004D5CB4">
              <w:t>9</w:t>
            </w:r>
            <w:r>
              <w:t>-201</w:t>
            </w:r>
            <w:r w:rsidR="004D5CB4">
              <w:t>3</w:t>
            </w:r>
            <w:r>
              <w:t>)</w:t>
            </w:r>
          </w:p>
        </w:tc>
        <w:tc>
          <w:tcPr>
            <w:tcW w:w="1998" w:type="dxa"/>
          </w:tcPr>
          <w:p w:rsidR="005441DD" w:rsidRDefault="005441DD" w:rsidP="005441DD">
            <w:pPr>
              <w:jc w:val="center"/>
            </w:pPr>
            <w:r>
              <w:t>Change</w:t>
            </w:r>
            <w:r w:rsidR="00475350">
              <w:t xml:space="preserve">     </w:t>
            </w:r>
            <w:r>
              <w:t xml:space="preserve">         (Baseline – Current Visibility)</w:t>
            </w:r>
          </w:p>
        </w:tc>
      </w:tr>
      <w:tr w:rsidR="00475350" w:rsidTr="00475350">
        <w:tc>
          <w:tcPr>
            <w:tcW w:w="648" w:type="dxa"/>
            <w:vMerge w:val="restart"/>
            <w:textDirection w:val="btLr"/>
          </w:tcPr>
          <w:p w:rsidR="005441DD" w:rsidRPr="00686B32" w:rsidRDefault="005441DD" w:rsidP="005441DD">
            <w:pPr>
              <w:ind w:left="113" w:right="113"/>
              <w:jc w:val="center"/>
              <w:rPr>
                <w:b/>
              </w:rPr>
            </w:pPr>
            <w:r w:rsidRPr="00686B32">
              <w:rPr>
                <w:b/>
              </w:rPr>
              <w:t>20% Haziest Days</w:t>
            </w:r>
          </w:p>
        </w:tc>
        <w:tc>
          <w:tcPr>
            <w:tcW w:w="3780" w:type="dxa"/>
            <w:vAlign w:val="center"/>
          </w:tcPr>
          <w:p w:rsidR="005441DD" w:rsidRDefault="005441DD" w:rsidP="005441DD">
            <w:pPr>
              <w:spacing w:before="60" w:after="60" w:line="240" w:lineRule="auto"/>
            </w:pPr>
            <w:r>
              <w:t>Acadia National Park</w:t>
            </w:r>
          </w:p>
        </w:tc>
        <w:tc>
          <w:tcPr>
            <w:tcW w:w="1620" w:type="dxa"/>
            <w:vAlign w:val="center"/>
          </w:tcPr>
          <w:p w:rsidR="005441DD" w:rsidRDefault="005441DD" w:rsidP="004B5D09">
            <w:pPr>
              <w:spacing w:before="60" w:after="60" w:line="240" w:lineRule="auto"/>
              <w:jc w:val="center"/>
            </w:pPr>
            <w:r>
              <w:t>22.89</w:t>
            </w:r>
          </w:p>
        </w:tc>
        <w:tc>
          <w:tcPr>
            <w:tcW w:w="1530" w:type="dxa"/>
            <w:vAlign w:val="center"/>
          </w:tcPr>
          <w:p w:rsidR="005441DD" w:rsidRPr="00490AE6" w:rsidRDefault="00490AE6" w:rsidP="004B5D09">
            <w:pPr>
              <w:spacing w:before="60" w:after="60" w:line="240" w:lineRule="auto"/>
              <w:jc w:val="center"/>
            </w:pPr>
            <w:r w:rsidRPr="00381D60">
              <w:rPr>
                <w:highlight w:val="yellow"/>
              </w:rPr>
              <w:t>17.93</w:t>
            </w:r>
          </w:p>
        </w:tc>
        <w:tc>
          <w:tcPr>
            <w:tcW w:w="1998" w:type="dxa"/>
            <w:vAlign w:val="center"/>
          </w:tcPr>
          <w:p w:rsidR="005441DD" w:rsidRPr="004D5CB4" w:rsidRDefault="003B1E00" w:rsidP="00490AE6">
            <w:pPr>
              <w:spacing w:before="60" w:after="60" w:line="240" w:lineRule="auto"/>
              <w:jc w:val="center"/>
              <w:rPr>
                <w:highlight w:val="yellow"/>
              </w:rPr>
            </w:pPr>
            <w:r w:rsidRPr="004D5CB4">
              <w:rPr>
                <w:highlight w:val="yellow"/>
              </w:rPr>
              <w:t>4</w:t>
            </w:r>
            <w:r w:rsidR="005441DD" w:rsidRPr="004D5CB4">
              <w:rPr>
                <w:highlight w:val="yellow"/>
              </w:rPr>
              <w:t>.</w:t>
            </w:r>
            <w:r w:rsidR="00490AE6">
              <w:rPr>
                <w:highlight w:val="yellow"/>
              </w:rPr>
              <w:t>96</w:t>
            </w:r>
          </w:p>
        </w:tc>
      </w:tr>
      <w:tr w:rsidR="00475350" w:rsidTr="00475350">
        <w:tc>
          <w:tcPr>
            <w:tcW w:w="648" w:type="dxa"/>
            <w:vMerge/>
          </w:tcPr>
          <w:p w:rsidR="005441DD" w:rsidRDefault="005441DD" w:rsidP="005441DD"/>
        </w:tc>
        <w:tc>
          <w:tcPr>
            <w:tcW w:w="3780" w:type="dxa"/>
            <w:vAlign w:val="center"/>
          </w:tcPr>
          <w:p w:rsidR="005441DD" w:rsidRDefault="005441DD" w:rsidP="005441DD">
            <w:pPr>
              <w:spacing w:before="60" w:after="60" w:line="240" w:lineRule="auto"/>
            </w:pPr>
            <w:r>
              <w:t>Brigantine Wilderness</w:t>
            </w:r>
          </w:p>
        </w:tc>
        <w:tc>
          <w:tcPr>
            <w:tcW w:w="1620" w:type="dxa"/>
            <w:vAlign w:val="center"/>
          </w:tcPr>
          <w:p w:rsidR="005441DD" w:rsidRDefault="005441DD" w:rsidP="004B5D09">
            <w:pPr>
              <w:spacing w:before="60" w:after="60" w:line="240" w:lineRule="auto"/>
              <w:jc w:val="center"/>
            </w:pPr>
            <w:r>
              <w:t>29.01</w:t>
            </w:r>
          </w:p>
        </w:tc>
        <w:tc>
          <w:tcPr>
            <w:tcW w:w="1530" w:type="dxa"/>
            <w:vAlign w:val="center"/>
          </w:tcPr>
          <w:p w:rsidR="005441DD" w:rsidRPr="00490AE6" w:rsidRDefault="00490AE6" w:rsidP="004B5D09">
            <w:pPr>
              <w:spacing w:before="60" w:after="60" w:line="240" w:lineRule="auto"/>
              <w:jc w:val="center"/>
            </w:pPr>
            <w:r w:rsidRPr="00381D60">
              <w:rPr>
                <w:highlight w:val="yellow"/>
              </w:rPr>
              <w:t>23.75</w:t>
            </w:r>
          </w:p>
        </w:tc>
        <w:tc>
          <w:tcPr>
            <w:tcW w:w="1998" w:type="dxa"/>
            <w:vAlign w:val="center"/>
          </w:tcPr>
          <w:p w:rsidR="005441DD" w:rsidRPr="004D5CB4" w:rsidRDefault="00490AE6" w:rsidP="004B5D09">
            <w:pPr>
              <w:spacing w:before="60" w:after="60" w:line="240" w:lineRule="auto"/>
              <w:jc w:val="center"/>
              <w:rPr>
                <w:highlight w:val="yellow"/>
              </w:rPr>
            </w:pPr>
            <w:r>
              <w:rPr>
                <w:highlight w:val="yellow"/>
              </w:rPr>
              <w:t>5.26</w:t>
            </w:r>
          </w:p>
        </w:tc>
      </w:tr>
      <w:tr w:rsidR="00475350" w:rsidRPr="007A640D" w:rsidTr="00475350">
        <w:tc>
          <w:tcPr>
            <w:tcW w:w="648" w:type="dxa"/>
            <w:vMerge/>
          </w:tcPr>
          <w:p w:rsidR="005441DD" w:rsidRDefault="005441DD" w:rsidP="005441DD"/>
        </w:tc>
        <w:tc>
          <w:tcPr>
            <w:tcW w:w="3780" w:type="dxa"/>
            <w:vAlign w:val="center"/>
          </w:tcPr>
          <w:p w:rsidR="005441DD" w:rsidRDefault="005441DD" w:rsidP="005441DD">
            <w:pPr>
              <w:spacing w:before="60" w:after="60" w:line="240" w:lineRule="auto"/>
            </w:pPr>
            <w:r>
              <w:t>Great Gulf Wilderness &amp; Presidential Range-Dry River Wilderness</w:t>
            </w:r>
          </w:p>
        </w:tc>
        <w:tc>
          <w:tcPr>
            <w:tcW w:w="1620" w:type="dxa"/>
            <w:vAlign w:val="center"/>
          </w:tcPr>
          <w:p w:rsidR="005441DD" w:rsidRDefault="005441DD" w:rsidP="004B5D09">
            <w:pPr>
              <w:spacing w:before="60" w:after="60" w:line="240" w:lineRule="auto"/>
              <w:jc w:val="center"/>
            </w:pPr>
            <w:r>
              <w:t>22.82</w:t>
            </w:r>
          </w:p>
        </w:tc>
        <w:tc>
          <w:tcPr>
            <w:tcW w:w="1530" w:type="dxa"/>
            <w:vAlign w:val="center"/>
          </w:tcPr>
          <w:p w:rsidR="005441DD" w:rsidRPr="00490AE6" w:rsidRDefault="00490AE6" w:rsidP="004B5D09">
            <w:pPr>
              <w:spacing w:before="60" w:after="60" w:line="240" w:lineRule="auto"/>
              <w:jc w:val="center"/>
            </w:pPr>
            <w:r w:rsidRPr="00381D60">
              <w:rPr>
                <w:highlight w:val="yellow"/>
              </w:rPr>
              <w:t>16.66</w:t>
            </w:r>
          </w:p>
        </w:tc>
        <w:tc>
          <w:tcPr>
            <w:tcW w:w="1998" w:type="dxa"/>
            <w:vAlign w:val="center"/>
          </w:tcPr>
          <w:p w:rsidR="005441DD" w:rsidRPr="004D5CB4" w:rsidRDefault="00490AE6" w:rsidP="004B5D09">
            <w:pPr>
              <w:spacing w:before="60" w:after="60" w:line="240" w:lineRule="auto"/>
              <w:jc w:val="center"/>
              <w:rPr>
                <w:highlight w:val="yellow"/>
              </w:rPr>
            </w:pPr>
            <w:r>
              <w:rPr>
                <w:highlight w:val="yellow"/>
              </w:rPr>
              <w:t>6.16</w:t>
            </w:r>
          </w:p>
        </w:tc>
      </w:tr>
      <w:tr w:rsidR="00475350" w:rsidTr="00475350">
        <w:tc>
          <w:tcPr>
            <w:tcW w:w="648" w:type="dxa"/>
            <w:vMerge/>
          </w:tcPr>
          <w:p w:rsidR="005441DD" w:rsidRDefault="005441DD" w:rsidP="005441DD"/>
        </w:tc>
        <w:tc>
          <w:tcPr>
            <w:tcW w:w="3780" w:type="dxa"/>
            <w:vAlign w:val="center"/>
          </w:tcPr>
          <w:p w:rsidR="005441DD" w:rsidRDefault="005441DD" w:rsidP="005441DD">
            <w:pPr>
              <w:spacing w:before="60" w:after="60" w:line="240" w:lineRule="auto"/>
            </w:pPr>
            <w:r>
              <w:t>Lye Brook Wilderness</w:t>
            </w:r>
          </w:p>
        </w:tc>
        <w:tc>
          <w:tcPr>
            <w:tcW w:w="1620" w:type="dxa"/>
            <w:vAlign w:val="center"/>
          </w:tcPr>
          <w:p w:rsidR="005441DD" w:rsidRDefault="005441DD" w:rsidP="004B5D09">
            <w:pPr>
              <w:spacing w:before="60" w:after="60" w:line="240" w:lineRule="auto"/>
              <w:jc w:val="center"/>
            </w:pPr>
            <w:r>
              <w:t>24.45</w:t>
            </w:r>
          </w:p>
        </w:tc>
        <w:tc>
          <w:tcPr>
            <w:tcW w:w="1530" w:type="dxa"/>
            <w:vAlign w:val="center"/>
          </w:tcPr>
          <w:p w:rsidR="005441DD" w:rsidRPr="00490AE6" w:rsidRDefault="00490AE6" w:rsidP="004B5D09">
            <w:pPr>
              <w:spacing w:before="60" w:after="60" w:line="240" w:lineRule="auto"/>
              <w:jc w:val="center"/>
            </w:pPr>
            <w:r w:rsidRPr="00490AE6">
              <w:rPr>
                <w:highlight w:val="yellow"/>
              </w:rPr>
              <w:t>18.78</w:t>
            </w:r>
          </w:p>
        </w:tc>
        <w:tc>
          <w:tcPr>
            <w:tcW w:w="1998" w:type="dxa"/>
            <w:vAlign w:val="center"/>
          </w:tcPr>
          <w:p w:rsidR="005441DD" w:rsidRPr="004D5CB4" w:rsidRDefault="004B5D09" w:rsidP="00490AE6">
            <w:pPr>
              <w:spacing w:before="60" w:after="60" w:line="240" w:lineRule="auto"/>
              <w:jc w:val="center"/>
              <w:rPr>
                <w:highlight w:val="yellow"/>
              </w:rPr>
            </w:pPr>
            <w:r w:rsidRPr="004D5CB4">
              <w:rPr>
                <w:highlight w:val="yellow"/>
              </w:rPr>
              <w:t>5.</w:t>
            </w:r>
            <w:r w:rsidR="00490AE6">
              <w:rPr>
                <w:highlight w:val="yellow"/>
              </w:rPr>
              <w:t>67</w:t>
            </w:r>
          </w:p>
        </w:tc>
      </w:tr>
      <w:tr w:rsidR="00475350" w:rsidTr="00475350">
        <w:tc>
          <w:tcPr>
            <w:tcW w:w="648" w:type="dxa"/>
            <w:vMerge/>
          </w:tcPr>
          <w:p w:rsidR="005441DD" w:rsidRDefault="005441DD" w:rsidP="005441DD"/>
        </w:tc>
        <w:tc>
          <w:tcPr>
            <w:tcW w:w="3780" w:type="dxa"/>
            <w:vAlign w:val="center"/>
          </w:tcPr>
          <w:p w:rsidR="005441DD" w:rsidRDefault="005441DD" w:rsidP="005441DD">
            <w:pPr>
              <w:spacing w:before="60" w:after="60" w:line="240" w:lineRule="auto"/>
            </w:pPr>
            <w:r>
              <w:t>Moosehorn Wilderness and Roosevelt Campobello International Park</w:t>
            </w:r>
          </w:p>
        </w:tc>
        <w:tc>
          <w:tcPr>
            <w:tcW w:w="1620" w:type="dxa"/>
            <w:vAlign w:val="center"/>
          </w:tcPr>
          <w:p w:rsidR="005441DD" w:rsidRDefault="005441DD" w:rsidP="004B5D09">
            <w:pPr>
              <w:spacing w:before="60" w:after="60" w:line="240" w:lineRule="auto"/>
              <w:jc w:val="center"/>
            </w:pPr>
            <w:r>
              <w:t>21.72</w:t>
            </w:r>
          </w:p>
        </w:tc>
        <w:tc>
          <w:tcPr>
            <w:tcW w:w="1530" w:type="dxa"/>
            <w:vAlign w:val="center"/>
          </w:tcPr>
          <w:p w:rsidR="005441DD" w:rsidRPr="00490AE6" w:rsidRDefault="00490AE6" w:rsidP="004B5D09">
            <w:pPr>
              <w:spacing w:before="60" w:after="60" w:line="240" w:lineRule="auto"/>
              <w:jc w:val="center"/>
            </w:pPr>
            <w:r w:rsidRPr="00490AE6">
              <w:rPr>
                <w:highlight w:val="yellow"/>
              </w:rPr>
              <w:t>16.83</w:t>
            </w:r>
          </w:p>
        </w:tc>
        <w:tc>
          <w:tcPr>
            <w:tcW w:w="1998" w:type="dxa"/>
            <w:vAlign w:val="center"/>
          </w:tcPr>
          <w:p w:rsidR="005441DD" w:rsidRPr="004D5CB4" w:rsidRDefault="004B5D09" w:rsidP="00490AE6">
            <w:pPr>
              <w:spacing w:before="60" w:after="60" w:line="240" w:lineRule="auto"/>
              <w:jc w:val="center"/>
              <w:rPr>
                <w:highlight w:val="yellow"/>
              </w:rPr>
            </w:pPr>
            <w:r w:rsidRPr="004D5CB4">
              <w:rPr>
                <w:highlight w:val="yellow"/>
              </w:rPr>
              <w:t>4.</w:t>
            </w:r>
            <w:r w:rsidR="00490AE6">
              <w:rPr>
                <w:highlight w:val="yellow"/>
              </w:rPr>
              <w:t>89</w:t>
            </w:r>
          </w:p>
        </w:tc>
      </w:tr>
      <w:tr w:rsidR="00475350" w:rsidTr="00475350">
        <w:tc>
          <w:tcPr>
            <w:tcW w:w="648" w:type="dxa"/>
            <w:vMerge/>
            <w:textDirection w:val="btLr"/>
          </w:tcPr>
          <w:p w:rsidR="005441DD" w:rsidRPr="00686B32" w:rsidRDefault="005441DD" w:rsidP="005441DD">
            <w:pPr>
              <w:ind w:left="113" w:right="113"/>
              <w:jc w:val="center"/>
              <w:rPr>
                <w:b/>
              </w:rPr>
            </w:pPr>
          </w:p>
        </w:tc>
        <w:tc>
          <w:tcPr>
            <w:tcW w:w="3780" w:type="dxa"/>
            <w:vAlign w:val="center"/>
          </w:tcPr>
          <w:p w:rsidR="005441DD" w:rsidRDefault="005441DD" w:rsidP="005441DD">
            <w:pPr>
              <w:spacing w:before="60" w:after="60" w:line="240" w:lineRule="auto"/>
            </w:pPr>
            <w:r>
              <w:t>Dolly Sods Wilderness</w:t>
            </w:r>
          </w:p>
        </w:tc>
        <w:tc>
          <w:tcPr>
            <w:tcW w:w="1620" w:type="dxa"/>
            <w:vAlign w:val="center"/>
          </w:tcPr>
          <w:p w:rsidR="005441DD" w:rsidRDefault="005441DD" w:rsidP="004B5D09">
            <w:pPr>
              <w:spacing w:before="60" w:after="60" w:line="240" w:lineRule="auto"/>
              <w:jc w:val="center"/>
            </w:pPr>
            <w:r>
              <w:t>29.05</w:t>
            </w:r>
          </w:p>
        </w:tc>
        <w:tc>
          <w:tcPr>
            <w:tcW w:w="1530" w:type="dxa"/>
            <w:vAlign w:val="center"/>
          </w:tcPr>
          <w:p w:rsidR="005441DD" w:rsidRPr="00490AE6" w:rsidRDefault="00490AE6" w:rsidP="004B5D09">
            <w:pPr>
              <w:spacing w:before="60" w:after="60" w:line="240" w:lineRule="auto"/>
              <w:jc w:val="center"/>
            </w:pPr>
            <w:r w:rsidRPr="00381D60">
              <w:rPr>
                <w:highlight w:val="yellow"/>
              </w:rPr>
              <w:t>22.40</w:t>
            </w:r>
          </w:p>
        </w:tc>
        <w:tc>
          <w:tcPr>
            <w:tcW w:w="1998" w:type="dxa"/>
            <w:vAlign w:val="center"/>
          </w:tcPr>
          <w:p w:rsidR="005441DD" w:rsidRPr="004D5CB4" w:rsidRDefault="00490AE6" w:rsidP="004B5D09">
            <w:pPr>
              <w:spacing w:before="60" w:after="60" w:line="240" w:lineRule="auto"/>
              <w:jc w:val="center"/>
              <w:rPr>
                <w:highlight w:val="yellow"/>
              </w:rPr>
            </w:pPr>
            <w:r>
              <w:rPr>
                <w:highlight w:val="yellow"/>
              </w:rPr>
              <w:t>6.65</w:t>
            </w:r>
          </w:p>
        </w:tc>
      </w:tr>
      <w:tr w:rsidR="00475350" w:rsidTr="00475350">
        <w:tc>
          <w:tcPr>
            <w:tcW w:w="648" w:type="dxa"/>
            <w:vMerge/>
            <w:textDirection w:val="btLr"/>
          </w:tcPr>
          <w:p w:rsidR="005441DD" w:rsidRPr="00686B32" w:rsidRDefault="005441DD" w:rsidP="005441DD">
            <w:pPr>
              <w:ind w:left="113" w:right="113"/>
              <w:jc w:val="center"/>
              <w:rPr>
                <w:b/>
              </w:rPr>
            </w:pPr>
          </w:p>
        </w:tc>
        <w:tc>
          <w:tcPr>
            <w:tcW w:w="3780" w:type="dxa"/>
            <w:vAlign w:val="center"/>
          </w:tcPr>
          <w:p w:rsidR="005441DD" w:rsidRDefault="005441DD" w:rsidP="005441DD">
            <w:pPr>
              <w:spacing w:before="60" w:after="60" w:line="240" w:lineRule="auto"/>
            </w:pPr>
            <w:bookmarkStart w:id="39" w:name="OLE_LINK2"/>
            <w:r>
              <w:t>Shenandoah</w:t>
            </w:r>
            <w:bookmarkEnd w:id="39"/>
            <w:r>
              <w:t xml:space="preserve"> National Park</w:t>
            </w:r>
          </w:p>
        </w:tc>
        <w:tc>
          <w:tcPr>
            <w:tcW w:w="1620" w:type="dxa"/>
            <w:vAlign w:val="center"/>
          </w:tcPr>
          <w:p w:rsidR="005441DD" w:rsidRDefault="005441DD" w:rsidP="004B5D09">
            <w:pPr>
              <w:spacing w:before="60" w:after="60" w:line="240" w:lineRule="auto"/>
              <w:jc w:val="center"/>
            </w:pPr>
            <w:r>
              <w:t>29.31</w:t>
            </w:r>
          </w:p>
        </w:tc>
        <w:tc>
          <w:tcPr>
            <w:tcW w:w="1530" w:type="dxa"/>
            <w:vAlign w:val="center"/>
          </w:tcPr>
          <w:p w:rsidR="005441DD" w:rsidRPr="00490AE6" w:rsidRDefault="00490AE6" w:rsidP="004B5D09">
            <w:pPr>
              <w:spacing w:before="60" w:after="60" w:line="240" w:lineRule="auto"/>
              <w:jc w:val="center"/>
            </w:pPr>
            <w:r w:rsidRPr="00490AE6">
              <w:rPr>
                <w:highlight w:val="yellow"/>
              </w:rPr>
              <w:t>21.82</w:t>
            </w:r>
          </w:p>
        </w:tc>
        <w:tc>
          <w:tcPr>
            <w:tcW w:w="1998" w:type="dxa"/>
            <w:vAlign w:val="center"/>
          </w:tcPr>
          <w:p w:rsidR="005441DD" w:rsidRPr="004D5CB4" w:rsidRDefault="00490AE6" w:rsidP="004B5D09">
            <w:pPr>
              <w:spacing w:before="60" w:after="60" w:line="240" w:lineRule="auto"/>
              <w:jc w:val="center"/>
              <w:rPr>
                <w:highlight w:val="yellow"/>
              </w:rPr>
            </w:pPr>
            <w:r>
              <w:rPr>
                <w:highlight w:val="yellow"/>
              </w:rPr>
              <w:t>7.49</w:t>
            </w:r>
          </w:p>
        </w:tc>
      </w:tr>
      <w:tr w:rsidR="00475350" w:rsidTr="00475350">
        <w:tc>
          <w:tcPr>
            <w:tcW w:w="648" w:type="dxa"/>
            <w:vMerge w:val="restart"/>
            <w:textDirection w:val="btLr"/>
          </w:tcPr>
          <w:p w:rsidR="005441DD" w:rsidRPr="00686B32" w:rsidRDefault="005441DD" w:rsidP="005441DD">
            <w:pPr>
              <w:ind w:left="113" w:right="113"/>
              <w:jc w:val="center"/>
              <w:rPr>
                <w:b/>
              </w:rPr>
            </w:pPr>
            <w:r w:rsidRPr="00686B32">
              <w:rPr>
                <w:b/>
              </w:rPr>
              <w:t>20% Clearest Days</w:t>
            </w:r>
          </w:p>
        </w:tc>
        <w:tc>
          <w:tcPr>
            <w:tcW w:w="3780" w:type="dxa"/>
            <w:vAlign w:val="center"/>
          </w:tcPr>
          <w:p w:rsidR="005441DD" w:rsidRDefault="005441DD" w:rsidP="005441DD">
            <w:pPr>
              <w:spacing w:before="60" w:after="60" w:line="240" w:lineRule="auto"/>
            </w:pPr>
            <w:r>
              <w:t>Acadia National Park</w:t>
            </w:r>
          </w:p>
        </w:tc>
        <w:tc>
          <w:tcPr>
            <w:tcW w:w="1620" w:type="dxa"/>
            <w:vAlign w:val="center"/>
          </w:tcPr>
          <w:p w:rsidR="005441DD" w:rsidRDefault="005441DD" w:rsidP="004B5D09">
            <w:pPr>
              <w:spacing w:before="60" w:after="60" w:line="240" w:lineRule="auto"/>
              <w:jc w:val="center"/>
            </w:pPr>
            <w:r>
              <w:t>8.78</w:t>
            </w:r>
          </w:p>
        </w:tc>
        <w:tc>
          <w:tcPr>
            <w:tcW w:w="1530" w:type="dxa"/>
            <w:vAlign w:val="center"/>
          </w:tcPr>
          <w:p w:rsidR="005441DD" w:rsidRPr="00490AE6" w:rsidRDefault="005441DD" w:rsidP="00490AE6">
            <w:pPr>
              <w:spacing w:before="60" w:after="60" w:line="240" w:lineRule="auto"/>
              <w:jc w:val="center"/>
            </w:pPr>
            <w:r w:rsidRPr="00381D60">
              <w:rPr>
                <w:highlight w:val="yellow"/>
              </w:rPr>
              <w:t>7.</w:t>
            </w:r>
            <w:r w:rsidR="00490AE6" w:rsidRPr="00381D60">
              <w:rPr>
                <w:highlight w:val="yellow"/>
              </w:rPr>
              <w:t>02</w:t>
            </w:r>
          </w:p>
        </w:tc>
        <w:tc>
          <w:tcPr>
            <w:tcW w:w="1998" w:type="dxa"/>
            <w:vAlign w:val="center"/>
          </w:tcPr>
          <w:p w:rsidR="005441DD" w:rsidRPr="004D5CB4" w:rsidRDefault="005441DD" w:rsidP="00490AE6">
            <w:pPr>
              <w:spacing w:before="60" w:after="60" w:line="240" w:lineRule="auto"/>
              <w:jc w:val="center"/>
              <w:rPr>
                <w:highlight w:val="yellow"/>
              </w:rPr>
            </w:pPr>
            <w:r w:rsidRPr="004D5CB4">
              <w:rPr>
                <w:highlight w:val="yellow"/>
              </w:rPr>
              <w:t>1.</w:t>
            </w:r>
            <w:r w:rsidR="00490AE6">
              <w:rPr>
                <w:highlight w:val="yellow"/>
              </w:rPr>
              <w:t>76</w:t>
            </w:r>
          </w:p>
        </w:tc>
      </w:tr>
      <w:tr w:rsidR="00475350" w:rsidTr="00475350">
        <w:tc>
          <w:tcPr>
            <w:tcW w:w="648" w:type="dxa"/>
            <w:vMerge/>
          </w:tcPr>
          <w:p w:rsidR="005441DD" w:rsidRDefault="005441DD" w:rsidP="005441DD"/>
        </w:tc>
        <w:tc>
          <w:tcPr>
            <w:tcW w:w="3780" w:type="dxa"/>
            <w:vAlign w:val="center"/>
          </w:tcPr>
          <w:p w:rsidR="005441DD" w:rsidRDefault="005441DD" w:rsidP="005441DD">
            <w:pPr>
              <w:spacing w:before="60" w:after="60" w:line="240" w:lineRule="auto"/>
            </w:pPr>
            <w:r>
              <w:t>Brigantine Wilderness</w:t>
            </w:r>
          </w:p>
        </w:tc>
        <w:tc>
          <w:tcPr>
            <w:tcW w:w="1620" w:type="dxa"/>
            <w:vAlign w:val="center"/>
          </w:tcPr>
          <w:p w:rsidR="005441DD" w:rsidRDefault="005441DD" w:rsidP="004B5D09">
            <w:pPr>
              <w:spacing w:before="60" w:after="60" w:line="240" w:lineRule="auto"/>
              <w:jc w:val="center"/>
            </w:pPr>
            <w:r>
              <w:t>14.33</w:t>
            </w:r>
          </w:p>
        </w:tc>
        <w:tc>
          <w:tcPr>
            <w:tcW w:w="1530" w:type="dxa"/>
            <w:vAlign w:val="center"/>
          </w:tcPr>
          <w:p w:rsidR="005441DD" w:rsidRPr="00490AE6" w:rsidRDefault="005441DD" w:rsidP="00490AE6">
            <w:pPr>
              <w:spacing w:before="60" w:after="60" w:line="240" w:lineRule="auto"/>
              <w:jc w:val="center"/>
            </w:pPr>
            <w:r w:rsidRPr="00381D60">
              <w:rPr>
                <w:highlight w:val="yellow"/>
              </w:rPr>
              <w:t>12.</w:t>
            </w:r>
            <w:r w:rsidR="00D3235F" w:rsidRPr="00381D60">
              <w:rPr>
                <w:highlight w:val="yellow"/>
              </w:rPr>
              <w:t>2</w:t>
            </w:r>
            <w:r w:rsidR="00490AE6" w:rsidRPr="00381D60">
              <w:rPr>
                <w:highlight w:val="yellow"/>
              </w:rPr>
              <w:t>5</w:t>
            </w:r>
          </w:p>
        </w:tc>
        <w:tc>
          <w:tcPr>
            <w:tcW w:w="1998" w:type="dxa"/>
            <w:vAlign w:val="center"/>
          </w:tcPr>
          <w:p w:rsidR="005441DD" w:rsidRPr="004D5CB4" w:rsidRDefault="00D3235F" w:rsidP="00490AE6">
            <w:pPr>
              <w:spacing w:before="60" w:after="60" w:line="240" w:lineRule="auto"/>
              <w:jc w:val="center"/>
              <w:rPr>
                <w:highlight w:val="yellow"/>
              </w:rPr>
            </w:pPr>
            <w:r w:rsidRPr="004D5CB4">
              <w:rPr>
                <w:highlight w:val="yellow"/>
              </w:rPr>
              <w:t>2.0</w:t>
            </w:r>
            <w:r w:rsidR="00490AE6">
              <w:rPr>
                <w:highlight w:val="yellow"/>
              </w:rPr>
              <w:t>8</w:t>
            </w:r>
          </w:p>
        </w:tc>
      </w:tr>
      <w:tr w:rsidR="00475350" w:rsidTr="00475350">
        <w:tc>
          <w:tcPr>
            <w:tcW w:w="648" w:type="dxa"/>
            <w:vMerge/>
          </w:tcPr>
          <w:p w:rsidR="005441DD" w:rsidRDefault="005441DD" w:rsidP="005441DD"/>
        </w:tc>
        <w:tc>
          <w:tcPr>
            <w:tcW w:w="3780" w:type="dxa"/>
            <w:vAlign w:val="center"/>
          </w:tcPr>
          <w:p w:rsidR="005441DD" w:rsidRDefault="005441DD" w:rsidP="005441DD">
            <w:pPr>
              <w:spacing w:before="60" w:after="60" w:line="240" w:lineRule="auto"/>
            </w:pPr>
            <w:r>
              <w:t>Great Gulf Wilderness &amp; Presidential Range-Dry River Wilderness</w:t>
            </w:r>
          </w:p>
        </w:tc>
        <w:tc>
          <w:tcPr>
            <w:tcW w:w="1620" w:type="dxa"/>
            <w:vAlign w:val="center"/>
          </w:tcPr>
          <w:p w:rsidR="005441DD" w:rsidRDefault="005441DD" w:rsidP="004B5D09">
            <w:pPr>
              <w:spacing w:before="60" w:after="60" w:line="240" w:lineRule="auto"/>
              <w:jc w:val="center"/>
            </w:pPr>
            <w:r>
              <w:t>7.66</w:t>
            </w:r>
          </w:p>
        </w:tc>
        <w:tc>
          <w:tcPr>
            <w:tcW w:w="1530" w:type="dxa"/>
            <w:vAlign w:val="center"/>
          </w:tcPr>
          <w:p w:rsidR="005441DD" w:rsidRPr="00490AE6" w:rsidRDefault="00490AE6" w:rsidP="00D3235F">
            <w:pPr>
              <w:spacing w:before="60" w:after="60" w:line="240" w:lineRule="auto"/>
              <w:jc w:val="center"/>
            </w:pPr>
            <w:r w:rsidRPr="00381D60">
              <w:rPr>
                <w:highlight w:val="yellow"/>
              </w:rPr>
              <w:t>5.86</w:t>
            </w:r>
          </w:p>
        </w:tc>
        <w:tc>
          <w:tcPr>
            <w:tcW w:w="1998" w:type="dxa"/>
            <w:vAlign w:val="center"/>
          </w:tcPr>
          <w:p w:rsidR="005441DD" w:rsidRPr="004D5CB4" w:rsidRDefault="00D3235F" w:rsidP="00490AE6">
            <w:pPr>
              <w:spacing w:before="60" w:after="60" w:line="240" w:lineRule="auto"/>
              <w:jc w:val="center"/>
              <w:rPr>
                <w:highlight w:val="yellow"/>
              </w:rPr>
            </w:pPr>
            <w:r w:rsidRPr="004D5CB4">
              <w:rPr>
                <w:highlight w:val="yellow"/>
              </w:rPr>
              <w:t>1</w:t>
            </w:r>
            <w:r w:rsidR="00490AE6">
              <w:rPr>
                <w:highlight w:val="yellow"/>
              </w:rPr>
              <w:t>.80</w:t>
            </w:r>
          </w:p>
        </w:tc>
      </w:tr>
      <w:tr w:rsidR="00475350" w:rsidTr="00475350">
        <w:tc>
          <w:tcPr>
            <w:tcW w:w="648" w:type="dxa"/>
            <w:vMerge/>
          </w:tcPr>
          <w:p w:rsidR="005441DD" w:rsidRDefault="005441DD" w:rsidP="005441DD"/>
        </w:tc>
        <w:tc>
          <w:tcPr>
            <w:tcW w:w="3780" w:type="dxa"/>
            <w:vAlign w:val="center"/>
          </w:tcPr>
          <w:p w:rsidR="005441DD" w:rsidRDefault="005441DD" w:rsidP="005441DD">
            <w:pPr>
              <w:spacing w:before="60" w:after="60" w:line="240" w:lineRule="auto"/>
            </w:pPr>
            <w:r w:rsidRPr="00381D60">
              <w:rPr>
                <w:highlight w:val="yellow"/>
              </w:rPr>
              <w:t>Lye Brook Wilderness</w:t>
            </w:r>
            <w:r w:rsidR="00381D60" w:rsidRPr="00381D60">
              <w:rPr>
                <w:highlight w:val="yellow"/>
              </w:rPr>
              <w:t>*</w:t>
            </w:r>
          </w:p>
        </w:tc>
        <w:tc>
          <w:tcPr>
            <w:tcW w:w="1620" w:type="dxa"/>
            <w:vAlign w:val="center"/>
          </w:tcPr>
          <w:p w:rsidR="005441DD" w:rsidRDefault="005441DD" w:rsidP="004B5D09">
            <w:pPr>
              <w:spacing w:before="60" w:after="60" w:line="240" w:lineRule="auto"/>
              <w:jc w:val="center"/>
            </w:pPr>
            <w:r>
              <w:t>6.37</w:t>
            </w:r>
          </w:p>
        </w:tc>
        <w:tc>
          <w:tcPr>
            <w:tcW w:w="1530" w:type="dxa"/>
            <w:vAlign w:val="center"/>
          </w:tcPr>
          <w:p w:rsidR="005441DD" w:rsidRPr="00490AE6" w:rsidRDefault="005441DD" w:rsidP="00490AE6">
            <w:pPr>
              <w:spacing w:before="60" w:after="60" w:line="240" w:lineRule="auto"/>
              <w:jc w:val="center"/>
            </w:pPr>
            <w:r w:rsidRPr="00490AE6">
              <w:rPr>
                <w:highlight w:val="yellow"/>
              </w:rPr>
              <w:t>4.</w:t>
            </w:r>
            <w:r w:rsidR="00490AE6" w:rsidRPr="00490AE6">
              <w:rPr>
                <w:highlight w:val="yellow"/>
              </w:rPr>
              <w:t>90</w:t>
            </w:r>
          </w:p>
        </w:tc>
        <w:tc>
          <w:tcPr>
            <w:tcW w:w="1998" w:type="dxa"/>
            <w:vAlign w:val="center"/>
          </w:tcPr>
          <w:p w:rsidR="005441DD" w:rsidRPr="004D5CB4" w:rsidRDefault="00490AE6" w:rsidP="007A640D">
            <w:pPr>
              <w:spacing w:before="60" w:after="60" w:line="240" w:lineRule="auto"/>
              <w:jc w:val="center"/>
              <w:rPr>
                <w:highlight w:val="yellow"/>
              </w:rPr>
            </w:pPr>
            <w:r>
              <w:rPr>
                <w:highlight w:val="yellow"/>
              </w:rPr>
              <w:t>1.47</w:t>
            </w:r>
          </w:p>
        </w:tc>
      </w:tr>
      <w:tr w:rsidR="00475350" w:rsidTr="00475350">
        <w:tc>
          <w:tcPr>
            <w:tcW w:w="648" w:type="dxa"/>
            <w:vMerge/>
          </w:tcPr>
          <w:p w:rsidR="005441DD" w:rsidRDefault="005441DD" w:rsidP="005441DD"/>
        </w:tc>
        <w:tc>
          <w:tcPr>
            <w:tcW w:w="3780" w:type="dxa"/>
            <w:vAlign w:val="center"/>
          </w:tcPr>
          <w:p w:rsidR="005441DD" w:rsidRDefault="005441DD" w:rsidP="005441DD">
            <w:pPr>
              <w:spacing w:before="60" w:after="60" w:line="240" w:lineRule="auto"/>
            </w:pPr>
            <w:r>
              <w:t>Moosehorn Wilderness and Roosevelt Campobello International Park</w:t>
            </w:r>
          </w:p>
        </w:tc>
        <w:tc>
          <w:tcPr>
            <w:tcW w:w="1620" w:type="dxa"/>
            <w:vAlign w:val="center"/>
          </w:tcPr>
          <w:p w:rsidR="005441DD" w:rsidRDefault="005441DD" w:rsidP="004B5D09">
            <w:pPr>
              <w:spacing w:before="60" w:after="60" w:line="240" w:lineRule="auto"/>
              <w:jc w:val="center"/>
            </w:pPr>
            <w:r>
              <w:t>9.16</w:t>
            </w:r>
          </w:p>
        </w:tc>
        <w:tc>
          <w:tcPr>
            <w:tcW w:w="1530" w:type="dxa"/>
            <w:vAlign w:val="center"/>
          </w:tcPr>
          <w:p w:rsidR="005441DD" w:rsidRPr="00490AE6" w:rsidRDefault="00490AE6" w:rsidP="004B5D09">
            <w:pPr>
              <w:spacing w:before="60" w:after="60" w:line="240" w:lineRule="auto"/>
              <w:jc w:val="center"/>
            </w:pPr>
            <w:r w:rsidRPr="00490AE6">
              <w:rPr>
                <w:highlight w:val="yellow"/>
              </w:rPr>
              <w:t>6.70</w:t>
            </w:r>
          </w:p>
        </w:tc>
        <w:tc>
          <w:tcPr>
            <w:tcW w:w="1998" w:type="dxa"/>
            <w:vAlign w:val="center"/>
          </w:tcPr>
          <w:p w:rsidR="005441DD" w:rsidRPr="004D5CB4" w:rsidRDefault="005441DD" w:rsidP="00490AE6">
            <w:pPr>
              <w:spacing w:before="60" w:after="60" w:line="240" w:lineRule="auto"/>
              <w:jc w:val="center"/>
              <w:rPr>
                <w:highlight w:val="yellow"/>
              </w:rPr>
            </w:pPr>
            <w:r w:rsidRPr="004D5CB4">
              <w:rPr>
                <w:highlight w:val="yellow"/>
              </w:rPr>
              <w:t>2.</w:t>
            </w:r>
            <w:r w:rsidR="00490AE6">
              <w:rPr>
                <w:highlight w:val="yellow"/>
              </w:rPr>
              <w:t>46</w:t>
            </w:r>
          </w:p>
        </w:tc>
      </w:tr>
      <w:tr w:rsidR="00475350" w:rsidTr="00475350">
        <w:tc>
          <w:tcPr>
            <w:tcW w:w="648" w:type="dxa"/>
            <w:vMerge/>
          </w:tcPr>
          <w:p w:rsidR="005441DD" w:rsidRDefault="005441DD" w:rsidP="005441DD"/>
        </w:tc>
        <w:tc>
          <w:tcPr>
            <w:tcW w:w="3780" w:type="dxa"/>
            <w:vAlign w:val="center"/>
          </w:tcPr>
          <w:p w:rsidR="005441DD" w:rsidRDefault="005441DD" w:rsidP="005441DD">
            <w:pPr>
              <w:spacing w:before="60" w:after="60" w:line="240" w:lineRule="auto"/>
            </w:pPr>
            <w:r>
              <w:t>Dolly Sods Wilderness</w:t>
            </w:r>
          </w:p>
        </w:tc>
        <w:tc>
          <w:tcPr>
            <w:tcW w:w="1620" w:type="dxa"/>
            <w:vAlign w:val="center"/>
          </w:tcPr>
          <w:p w:rsidR="005441DD" w:rsidRDefault="005441DD" w:rsidP="004B5D09">
            <w:pPr>
              <w:spacing w:before="60" w:after="60" w:line="240" w:lineRule="auto"/>
              <w:jc w:val="center"/>
            </w:pPr>
            <w:r>
              <w:t>12.28</w:t>
            </w:r>
          </w:p>
        </w:tc>
        <w:tc>
          <w:tcPr>
            <w:tcW w:w="1530" w:type="dxa"/>
            <w:vAlign w:val="center"/>
          </w:tcPr>
          <w:p w:rsidR="005441DD" w:rsidRPr="00490AE6" w:rsidRDefault="00490AE6" w:rsidP="00D3235F">
            <w:pPr>
              <w:spacing w:before="60" w:after="60" w:line="240" w:lineRule="auto"/>
              <w:jc w:val="center"/>
            </w:pPr>
            <w:r w:rsidRPr="00381D60">
              <w:rPr>
                <w:highlight w:val="yellow"/>
              </w:rPr>
              <w:t>9.03</w:t>
            </w:r>
          </w:p>
        </w:tc>
        <w:tc>
          <w:tcPr>
            <w:tcW w:w="1998" w:type="dxa"/>
            <w:vAlign w:val="center"/>
          </w:tcPr>
          <w:p w:rsidR="005441DD" w:rsidRPr="004D5CB4" w:rsidRDefault="00D3235F" w:rsidP="00490AE6">
            <w:pPr>
              <w:spacing w:before="60" w:after="60" w:line="240" w:lineRule="auto"/>
              <w:jc w:val="center"/>
              <w:rPr>
                <w:highlight w:val="yellow"/>
              </w:rPr>
            </w:pPr>
            <w:r w:rsidRPr="004D5CB4">
              <w:rPr>
                <w:highlight w:val="yellow"/>
              </w:rPr>
              <w:t>3.</w:t>
            </w:r>
            <w:r w:rsidR="00490AE6">
              <w:rPr>
                <w:highlight w:val="yellow"/>
              </w:rPr>
              <w:t>25</w:t>
            </w:r>
          </w:p>
        </w:tc>
      </w:tr>
      <w:tr w:rsidR="00475350" w:rsidTr="00475350">
        <w:tc>
          <w:tcPr>
            <w:tcW w:w="648" w:type="dxa"/>
            <w:vMerge/>
          </w:tcPr>
          <w:p w:rsidR="005441DD" w:rsidRDefault="005441DD" w:rsidP="005441DD"/>
        </w:tc>
        <w:tc>
          <w:tcPr>
            <w:tcW w:w="3780" w:type="dxa"/>
            <w:vAlign w:val="center"/>
          </w:tcPr>
          <w:p w:rsidR="005441DD" w:rsidRDefault="005441DD" w:rsidP="005441DD">
            <w:pPr>
              <w:spacing w:before="60" w:after="60" w:line="240" w:lineRule="auto"/>
            </w:pPr>
            <w:r>
              <w:t>Shenandoah National Park</w:t>
            </w:r>
          </w:p>
        </w:tc>
        <w:tc>
          <w:tcPr>
            <w:tcW w:w="1620" w:type="dxa"/>
            <w:vAlign w:val="center"/>
          </w:tcPr>
          <w:p w:rsidR="005441DD" w:rsidRDefault="005441DD" w:rsidP="004B5D09">
            <w:pPr>
              <w:spacing w:before="60" w:after="60" w:line="240" w:lineRule="auto"/>
              <w:jc w:val="center"/>
            </w:pPr>
            <w:r>
              <w:t>10.93</w:t>
            </w:r>
          </w:p>
        </w:tc>
        <w:tc>
          <w:tcPr>
            <w:tcW w:w="1530" w:type="dxa"/>
            <w:vAlign w:val="center"/>
          </w:tcPr>
          <w:p w:rsidR="005441DD" w:rsidRPr="00490AE6" w:rsidRDefault="007A640D" w:rsidP="00490AE6">
            <w:pPr>
              <w:spacing w:before="60" w:after="60" w:line="240" w:lineRule="auto"/>
              <w:jc w:val="center"/>
            </w:pPr>
            <w:r w:rsidRPr="00490AE6">
              <w:rPr>
                <w:highlight w:val="yellow"/>
              </w:rPr>
              <w:t>8.6</w:t>
            </w:r>
            <w:r w:rsidR="00490AE6" w:rsidRPr="00490AE6">
              <w:rPr>
                <w:highlight w:val="yellow"/>
              </w:rPr>
              <w:t>0</w:t>
            </w:r>
          </w:p>
        </w:tc>
        <w:tc>
          <w:tcPr>
            <w:tcW w:w="1998" w:type="dxa"/>
            <w:vAlign w:val="center"/>
          </w:tcPr>
          <w:p w:rsidR="005441DD" w:rsidRPr="004D5CB4" w:rsidRDefault="007A640D" w:rsidP="00490AE6">
            <w:pPr>
              <w:spacing w:before="60" w:after="60" w:line="240" w:lineRule="auto"/>
              <w:jc w:val="center"/>
              <w:rPr>
                <w:highlight w:val="yellow"/>
              </w:rPr>
            </w:pPr>
            <w:r w:rsidRPr="004D5CB4">
              <w:rPr>
                <w:highlight w:val="yellow"/>
              </w:rPr>
              <w:t>2.</w:t>
            </w:r>
            <w:r w:rsidR="00490AE6">
              <w:rPr>
                <w:highlight w:val="yellow"/>
              </w:rPr>
              <w:t>33</w:t>
            </w:r>
          </w:p>
        </w:tc>
      </w:tr>
    </w:tbl>
    <w:p w:rsidR="00381D60" w:rsidRDefault="004F2724" w:rsidP="00381D60">
      <w:pPr>
        <w:spacing w:after="0"/>
      </w:pPr>
      <w:r>
        <w:t xml:space="preserve">Units:  Visibility in </w:t>
      </w:r>
      <w:proofErr w:type="spellStart"/>
      <w:r>
        <w:t>deciviews</w:t>
      </w:r>
      <w:proofErr w:type="spellEnd"/>
    </w:p>
    <w:p w:rsidR="004F2724" w:rsidRDefault="00381D60" w:rsidP="00381D60">
      <w:pPr>
        <w:spacing w:after="0"/>
      </w:pPr>
      <w:r w:rsidRPr="00381D60">
        <w:rPr>
          <w:highlight w:val="yellow"/>
        </w:rPr>
        <w:t>*2000-11 data from LYBR1 site and 2012-13 data from LYEB1 site</w:t>
      </w:r>
    </w:p>
    <w:p w:rsidR="005441DD" w:rsidRPr="00D12144" w:rsidRDefault="005441DD" w:rsidP="005441DD"/>
    <w:p w:rsidR="005441DD" w:rsidRDefault="005441DD" w:rsidP="003B1CAE"/>
    <w:p w:rsidR="00A026E6" w:rsidRPr="003B1CAE" w:rsidRDefault="00A026E6" w:rsidP="003B1CAE">
      <w:r>
        <w:rPr>
          <w:b/>
        </w:rPr>
        <w:br w:type="page"/>
      </w:r>
    </w:p>
    <w:p w:rsidR="007F34B3" w:rsidRPr="00C16F27" w:rsidRDefault="007F34B3" w:rsidP="00C16F27">
      <w:pPr>
        <w:pStyle w:val="2TablesandFigures2"/>
      </w:pPr>
      <w:bookmarkStart w:id="40" w:name="_Toc374023003"/>
      <w:proofErr w:type="gramStart"/>
      <w:r w:rsidRPr="0077417B">
        <w:rPr>
          <w:rStyle w:val="Heading9Char"/>
          <w:rFonts w:ascii="Arial" w:hAnsi="Arial" w:cs="Arial"/>
          <w:i w:val="0"/>
          <w:iCs w:val="0"/>
          <w:color w:val="auto"/>
          <w:szCs w:val="18"/>
        </w:rPr>
        <w:lastRenderedPageBreak/>
        <w:t>Figure 2.1.</w:t>
      </w:r>
      <w:proofErr w:type="gramEnd"/>
      <w:r w:rsidRPr="0077417B">
        <w:rPr>
          <w:rStyle w:val="Heading9Char"/>
          <w:rFonts w:ascii="Arial" w:hAnsi="Arial" w:cs="Arial"/>
          <w:i w:val="0"/>
          <w:iCs w:val="0"/>
          <w:color w:val="auto"/>
          <w:szCs w:val="18"/>
        </w:rPr>
        <w:t xml:space="preserve">  Charts of MANE-VU Class 1 Area Visibility 2000 – </w:t>
      </w:r>
      <w:r w:rsidRPr="004D5CB4">
        <w:rPr>
          <w:rStyle w:val="Heading9Char"/>
          <w:rFonts w:ascii="Arial" w:hAnsi="Arial" w:cs="Arial"/>
          <w:i w:val="0"/>
          <w:iCs w:val="0"/>
          <w:color w:val="auto"/>
          <w:szCs w:val="18"/>
          <w:highlight w:val="yellow"/>
        </w:rPr>
        <w:t>201</w:t>
      </w:r>
      <w:r w:rsidR="004D5CB4" w:rsidRPr="004D5CB4">
        <w:rPr>
          <w:rStyle w:val="Heading9Char"/>
          <w:rFonts w:ascii="Arial" w:hAnsi="Arial" w:cs="Arial"/>
          <w:i w:val="0"/>
          <w:iCs w:val="0"/>
          <w:color w:val="auto"/>
          <w:szCs w:val="18"/>
          <w:highlight w:val="yellow"/>
        </w:rPr>
        <w:t>3</w:t>
      </w:r>
      <w:r w:rsidRPr="0077417B">
        <w:rPr>
          <w:rStyle w:val="Heading9Char"/>
          <w:rFonts w:ascii="Arial" w:hAnsi="Arial" w:cs="Arial"/>
          <w:i w:val="0"/>
          <w:iCs w:val="0"/>
          <w:color w:val="auto"/>
          <w:szCs w:val="18"/>
        </w:rPr>
        <w:t>,</w:t>
      </w:r>
      <w:r w:rsidR="00C16F27">
        <w:rPr>
          <w:rStyle w:val="Heading9Char"/>
          <w:rFonts w:ascii="Arial" w:hAnsi="Arial" w:cs="Arial"/>
          <w:i w:val="0"/>
          <w:iCs w:val="0"/>
          <w:color w:val="auto"/>
          <w:szCs w:val="18"/>
        </w:rPr>
        <w:t xml:space="preserve"> </w:t>
      </w:r>
      <w:r w:rsidR="00FF5E7F">
        <w:t>compared to Reasonable Progress G</w:t>
      </w:r>
      <w:r w:rsidRPr="00C16F27">
        <w:t>oals for 2018</w:t>
      </w:r>
      <w:bookmarkEnd w:id="40"/>
    </w:p>
    <w:p w:rsidR="00A87CC9" w:rsidRDefault="00A87CC9" w:rsidP="0077417B">
      <w:pPr>
        <w:pStyle w:val="2TablesandFigures2"/>
        <w:rPr>
          <w:rStyle w:val="Heading9Char"/>
          <w:rFonts w:ascii="Arial" w:hAnsi="Arial" w:cs="Arial"/>
          <w:i w:val="0"/>
          <w:iCs w:val="0"/>
          <w:color w:val="auto"/>
          <w:szCs w:val="18"/>
        </w:rPr>
      </w:pPr>
      <w:bookmarkStart w:id="41" w:name="_Toc373826527"/>
      <w:bookmarkStart w:id="42" w:name="_Toc374023004"/>
    </w:p>
    <w:p w:rsidR="00C73798" w:rsidRPr="003905DD" w:rsidRDefault="001E4567" w:rsidP="005C5F74">
      <w:pPr>
        <w:pStyle w:val="2TablesandFigures2"/>
        <w:spacing w:after="0"/>
      </w:pPr>
      <w:r>
        <w:rPr>
          <w:rStyle w:val="Heading9Char"/>
          <w:rFonts w:ascii="Arial" w:hAnsi="Arial" w:cs="Arial"/>
          <w:i w:val="0"/>
          <w:iCs w:val="0"/>
          <w:color w:val="auto"/>
          <w:szCs w:val="18"/>
        </w:rPr>
        <w:t>Figure 2.1.a</w:t>
      </w:r>
      <w:r w:rsidR="00A15345">
        <w:rPr>
          <w:rStyle w:val="Heading9Char"/>
          <w:rFonts w:ascii="Arial" w:hAnsi="Arial" w:cs="Arial"/>
          <w:i w:val="0"/>
          <w:iCs w:val="0"/>
          <w:color w:val="auto"/>
          <w:szCs w:val="18"/>
        </w:rPr>
        <w:t>.</w:t>
      </w:r>
      <w:r>
        <w:rPr>
          <w:rStyle w:val="Heading9Char"/>
          <w:rFonts w:ascii="Arial" w:hAnsi="Arial" w:cs="Arial"/>
          <w:i w:val="0"/>
          <w:iCs w:val="0"/>
          <w:color w:val="auto"/>
          <w:szCs w:val="18"/>
        </w:rPr>
        <w:t xml:space="preserve"> Acadia National Park</w:t>
      </w:r>
      <w:bookmarkEnd w:id="41"/>
      <w:bookmarkEnd w:id="42"/>
    </w:p>
    <w:p w:rsidR="002F5DDC" w:rsidRDefault="005455EA">
      <w:pPr>
        <w:spacing w:after="0" w:line="240" w:lineRule="auto"/>
        <w:rPr>
          <w:rFonts w:ascii="Arial" w:eastAsia="Times New Roman" w:hAnsi="Arial" w:cs="Arial"/>
          <w:b/>
          <w:bCs/>
          <w:sz w:val="20"/>
          <w:szCs w:val="18"/>
        </w:rPr>
      </w:pPr>
      <w:r>
        <w:rPr>
          <w:rFonts w:ascii="Arial" w:eastAsia="Times New Roman" w:hAnsi="Arial" w:cs="Arial"/>
          <w:b/>
          <w:bCs/>
          <w:noProof/>
          <w:sz w:val="20"/>
          <w:szCs w:val="18"/>
        </w:rPr>
        <w:drawing>
          <wp:inline distT="0" distB="0" distL="0" distR="0">
            <wp:extent cx="5321808" cy="3858768"/>
            <wp:effectExtent l="0" t="0" r="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21808" cy="3858768"/>
                    </a:xfrm>
                    <a:prstGeom prst="rect">
                      <a:avLst/>
                    </a:prstGeom>
                    <a:noFill/>
                    <a:ln>
                      <a:noFill/>
                    </a:ln>
                  </pic:spPr>
                </pic:pic>
              </a:graphicData>
            </a:graphic>
          </wp:inline>
        </w:drawing>
      </w:r>
    </w:p>
    <w:p w:rsidR="005455EA" w:rsidRDefault="005455EA">
      <w:pPr>
        <w:spacing w:after="0" w:line="240" w:lineRule="auto"/>
        <w:rPr>
          <w:rFonts w:ascii="Arial" w:eastAsia="Times New Roman" w:hAnsi="Arial" w:cs="Arial"/>
          <w:b/>
          <w:bCs/>
          <w:sz w:val="20"/>
          <w:szCs w:val="18"/>
        </w:rPr>
      </w:pPr>
    </w:p>
    <w:p w:rsidR="005C5F74" w:rsidRDefault="005C5F74" w:rsidP="00A87CC9">
      <w:pPr>
        <w:pStyle w:val="2TablesandFigures2"/>
        <w:rPr>
          <w:rStyle w:val="Heading9Char"/>
          <w:rFonts w:ascii="Arial" w:hAnsi="Arial" w:cs="Arial"/>
          <w:i w:val="0"/>
          <w:iCs w:val="0"/>
          <w:color w:val="auto"/>
          <w:szCs w:val="18"/>
        </w:rPr>
      </w:pPr>
      <w:bookmarkStart w:id="43" w:name="_Toc374023005"/>
    </w:p>
    <w:p w:rsidR="005C5F74" w:rsidRDefault="005C5F74" w:rsidP="00A87CC9">
      <w:pPr>
        <w:pStyle w:val="2TablesandFigures2"/>
        <w:rPr>
          <w:rStyle w:val="Heading9Char"/>
          <w:rFonts w:ascii="Arial" w:hAnsi="Arial" w:cs="Arial"/>
          <w:i w:val="0"/>
          <w:iCs w:val="0"/>
          <w:color w:val="auto"/>
          <w:szCs w:val="18"/>
        </w:rPr>
      </w:pPr>
    </w:p>
    <w:p w:rsidR="005C5F74" w:rsidRDefault="005C5F74" w:rsidP="00A87CC9">
      <w:pPr>
        <w:pStyle w:val="2TablesandFigures2"/>
        <w:rPr>
          <w:rStyle w:val="Heading9Char"/>
          <w:rFonts w:ascii="Arial" w:hAnsi="Arial" w:cs="Arial"/>
          <w:i w:val="0"/>
          <w:iCs w:val="0"/>
          <w:color w:val="auto"/>
          <w:szCs w:val="18"/>
        </w:rPr>
      </w:pPr>
    </w:p>
    <w:p w:rsidR="005C5F74" w:rsidRDefault="005C5F74" w:rsidP="00A87CC9">
      <w:pPr>
        <w:pStyle w:val="2TablesandFigures2"/>
        <w:rPr>
          <w:rStyle w:val="Heading9Char"/>
          <w:rFonts w:ascii="Arial" w:hAnsi="Arial" w:cs="Arial"/>
          <w:i w:val="0"/>
          <w:iCs w:val="0"/>
          <w:color w:val="auto"/>
          <w:szCs w:val="18"/>
        </w:rPr>
      </w:pPr>
    </w:p>
    <w:p w:rsidR="005C5F74" w:rsidRDefault="005C5F74" w:rsidP="00A87CC9">
      <w:pPr>
        <w:pStyle w:val="2TablesandFigures2"/>
        <w:rPr>
          <w:rStyle w:val="Heading9Char"/>
          <w:rFonts w:ascii="Arial" w:hAnsi="Arial" w:cs="Arial"/>
          <w:i w:val="0"/>
          <w:iCs w:val="0"/>
          <w:color w:val="auto"/>
          <w:szCs w:val="18"/>
        </w:rPr>
      </w:pPr>
    </w:p>
    <w:p w:rsidR="005C5F74" w:rsidRDefault="005C5F74" w:rsidP="00A87CC9">
      <w:pPr>
        <w:pStyle w:val="2TablesandFigures2"/>
        <w:rPr>
          <w:rStyle w:val="Heading9Char"/>
          <w:rFonts w:ascii="Arial" w:hAnsi="Arial" w:cs="Arial"/>
          <w:i w:val="0"/>
          <w:iCs w:val="0"/>
          <w:color w:val="auto"/>
          <w:szCs w:val="18"/>
        </w:rPr>
      </w:pPr>
    </w:p>
    <w:p w:rsidR="005C5F74" w:rsidRDefault="005C5F74" w:rsidP="00A87CC9">
      <w:pPr>
        <w:pStyle w:val="2TablesandFigures2"/>
        <w:rPr>
          <w:rStyle w:val="Heading9Char"/>
          <w:rFonts w:ascii="Arial" w:hAnsi="Arial" w:cs="Arial"/>
          <w:i w:val="0"/>
          <w:iCs w:val="0"/>
          <w:color w:val="auto"/>
          <w:szCs w:val="18"/>
        </w:rPr>
      </w:pPr>
    </w:p>
    <w:p w:rsidR="005C5F74" w:rsidRDefault="005C5F74" w:rsidP="00A87CC9">
      <w:pPr>
        <w:pStyle w:val="2TablesandFigures2"/>
        <w:rPr>
          <w:rStyle w:val="Heading9Char"/>
          <w:rFonts w:ascii="Arial" w:hAnsi="Arial" w:cs="Arial"/>
          <w:i w:val="0"/>
          <w:iCs w:val="0"/>
          <w:color w:val="auto"/>
          <w:szCs w:val="18"/>
        </w:rPr>
      </w:pPr>
    </w:p>
    <w:p w:rsidR="005C5F74" w:rsidRDefault="005C5F74" w:rsidP="00A87CC9">
      <w:pPr>
        <w:pStyle w:val="2TablesandFigures2"/>
        <w:rPr>
          <w:rStyle w:val="Heading9Char"/>
          <w:rFonts w:ascii="Arial" w:hAnsi="Arial" w:cs="Arial"/>
          <w:i w:val="0"/>
          <w:iCs w:val="0"/>
          <w:color w:val="auto"/>
          <w:szCs w:val="18"/>
        </w:rPr>
      </w:pPr>
    </w:p>
    <w:p w:rsidR="005C5F74" w:rsidRDefault="005C5F74" w:rsidP="00A87CC9">
      <w:pPr>
        <w:pStyle w:val="2TablesandFigures2"/>
        <w:rPr>
          <w:rStyle w:val="Heading9Char"/>
          <w:rFonts w:ascii="Arial" w:hAnsi="Arial" w:cs="Arial"/>
          <w:i w:val="0"/>
          <w:iCs w:val="0"/>
          <w:color w:val="auto"/>
          <w:szCs w:val="18"/>
        </w:rPr>
      </w:pPr>
    </w:p>
    <w:p w:rsidR="005C5F74" w:rsidRDefault="005C5F74" w:rsidP="00A87CC9">
      <w:pPr>
        <w:pStyle w:val="2TablesandFigures2"/>
        <w:rPr>
          <w:rStyle w:val="Heading9Char"/>
          <w:rFonts w:ascii="Arial" w:hAnsi="Arial" w:cs="Arial"/>
          <w:i w:val="0"/>
          <w:iCs w:val="0"/>
          <w:color w:val="auto"/>
          <w:szCs w:val="18"/>
        </w:rPr>
      </w:pPr>
    </w:p>
    <w:p w:rsidR="005C5F74" w:rsidRDefault="005C5F74" w:rsidP="00A87CC9">
      <w:pPr>
        <w:pStyle w:val="2TablesandFigures2"/>
        <w:rPr>
          <w:rStyle w:val="Heading9Char"/>
          <w:rFonts w:ascii="Arial" w:hAnsi="Arial" w:cs="Arial"/>
          <w:i w:val="0"/>
          <w:iCs w:val="0"/>
          <w:color w:val="auto"/>
          <w:szCs w:val="18"/>
        </w:rPr>
      </w:pPr>
    </w:p>
    <w:p w:rsidR="005C5F74" w:rsidRDefault="005C5F74" w:rsidP="005C5F74">
      <w:pPr>
        <w:pStyle w:val="2TablesandFigures2"/>
        <w:spacing w:after="0"/>
        <w:rPr>
          <w:rStyle w:val="Heading9Char"/>
          <w:rFonts w:ascii="Arial" w:hAnsi="Arial" w:cs="Arial"/>
          <w:i w:val="0"/>
          <w:iCs w:val="0"/>
          <w:color w:val="auto"/>
          <w:szCs w:val="18"/>
        </w:rPr>
      </w:pPr>
    </w:p>
    <w:p w:rsidR="005C5F74" w:rsidRDefault="005C5F74" w:rsidP="005C5F74">
      <w:pPr>
        <w:pStyle w:val="2TablesandFigures2"/>
        <w:spacing w:after="0"/>
        <w:rPr>
          <w:rStyle w:val="Heading9Char"/>
          <w:rFonts w:ascii="Arial" w:hAnsi="Arial" w:cs="Arial"/>
          <w:i w:val="0"/>
          <w:iCs w:val="0"/>
          <w:color w:val="auto"/>
          <w:szCs w:val="18"/>
        </w:rPr>
      </w:pPr>
    </w:p>
    <w:p w:rsidR="001E4567" w:rsidRDefault="001E4567" w:rsidP="005C5F74">
      <w:pPr>
        <w:pStyle w:val="2TablesandFigures2"/>
        <w:spacing w:after="0"/>
        <w:rPr>
          <w:rStyle w:val="Heading9Char"/>
          <w:rFonts w:ascii="Arial" w:hAnsi="Arial" w:cs="Arial"/>
          <w:i w:val="0"/>
          <w:iCs w:val="0"/>
          <w:color w:val="auto"/>
          <w:szCs w:val="18"/>
        </w:rPr>
      </w:pPr>
      <w:r>
        <w:rPr>
          <w:rStyle w:val="Heading9Char"/>
          <w:rFonts w:ascii="Arial" w:hAnsi="Arial" w:cs="Arial"/>
          <w:i w:val="0"/>
          <w:iCs w:val="0"/>
          <w:color w:val="auto"/>
          <w:szCs w:val="18"/>
        </w:rPr>
        <w:lastRenderedPageBreak/>
        <w:t>Figure 2.1</w:t>
      </w:r>
      <w:r w:rsidRPr="002F5DDC">
        <w:rPr>
          <w:rStyle w:val="Heading9Char"/>
          <w:rFonts w:ascii="Arial" w:hAnsi="Arial" w:cs="Arial"/>
          <w:i w:val="0"/>
          <w:iCs w:val="0"/>
          <w:color w:val="auto"/>
          <w:szCs w:val="18"/>
        </w:rPr>
        <w:t>.</w:t>
      </w:r>
      <w:r>
        <w:rPr>
          <w:rStyle w:val="Heading9Char"/>
          <w:rFonts w:ascii="Arial" w:hAnsi="Arial" w:cs="Arial"/>
          <w:i w:val="0"/>
          <w:iCs w:val="0"/>
          <w:color w:val="auto"/>
          <w:szCs w:val="18"/>
        </w:rPr>
        <w:t>b. Brigantine Wilderness</w:t>
      </w:r>
      <w:bookmarkEnd w:id="43"/>
    </w:p>
    <w:p w:rsidR="005C5F74" w:rsidRPr="005C5F74" w:rsidRDefault="005C5F74" w:rsidP="005C5F74">
      <w:r>
        <w:rPr>
          <w:noProof/>
        </w:rPr>
        <w:drawing>
          <wp:inline distT="0" distB="0" distL="0" distR="0">
            <wp:extent cx="5303520" cy="3858768"/>
            <wp:effectExtent l="0" t="0" r="0"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03520" cy="3858768"/>
                    </a:xfrm>
                    <a:prstGeom prst="rect">
                      <a:avLst/>
                    </a:prstGeom>
                    <a:noFill/>
                    <a:ln>
                      <a:noFill/>
                    </a:ln>
                  </pic:spPr>
                </pic:pic>
              </a:graphicData>
            </a:graphic>
          </wp:inline>
        </w:drawing>
      </w:r>
    </w:p>
    <w:p w:rsidR="00E70F1F" w:rsidRPr="00ED1FAE" w:rsidRDefault="001E4567" w:rsidP="005C5F74">
      <w:pPr>
        <w:pStyle w:val="2TablesandFigures2"/>
        <w:spacing w:after="0"/>
      </w:pPr>
      <w:bookmarkStart w:id="44" w:name="_Toc374023006"/>
      <w:proofErr w:type="gramStart"/>
      <w:r>
        <w:rPr>
          <w:rStyle w:val="Heading9Char"/>
          <w:rFonts w:ascii="Arial" w:hAnsi="Arial" w:cs="Arial"/>
          <w:i w:val="0"/>
          <w:iCs w:val="0"/>
          <w:color w:val="auto"/>
          <w:szCs w:val="18"/>
        </w:rPr>
        <w:t>Figure 2.1</w:t>
      </w:r>
      <w:r w:rsidRPr="002F5DDC">
        <w:rPr>
          <w:rStyle w:val="Heading9Char"/>
          <w:rFonts w:ascii="Arial" w:hAnsi="Arial" w:cs="Arial"/>
          <w:i w:val="0"/>
          <w:iCs w:val="0"/>
          <w:color w:val="auto"/>
          <w:szCs w:val="18"/>
        </w:rPr>
        <w:t>.</w:t>
      </w:r>
      <w:r>
        <w:rPr>
          <w:rStyle w:val="Heading9Char"/>
          <w:rFonts w:ascii="Arial" w:hAnsi="Arial" w:cs="Arial"/>
          <w:i w:val="0"/>
          <w:iCs w:val="0"/>
          <w:color w:val="auto"/>
          <w:szCs w:val="18"/>
        </w:rPr>
        <w:t>c.</w:t>
      </w:r>
      <w:proofErr w:type="gramEnd"/>
      <w:r w:rsidRPr="002F5DDC">
        <w:rPr>
          <w:rStyle w:val="Heading9Char"/>
          <w:rFonts w:ascii="Arial" w:hAnsi="Arial" w:cs="Arial"/>
          <w:i w:val="0"/>
          <w:iCs w:val="0"/>
          <w:color w:val="auto"/>
          <w:szCs w:val="18"/>
        </w:rPr>
        <w:t xml:space="preserve"> </w:t>
      </w:r>
      <w:r>
        <w:rPr>
          <w:rStyle w:val="Heading9Char"/>
          <w:rFonts w:ascii="Arial" w:hAnsi="Arial" w:cs="Arial"/>
          <w:i w:val="0"/>
          <w:iCs w:val="0"/>
          <w:color w:val="auto"/>
          <w:szCs w:val="18"/>
        </w:rPr>
        <w:t>Great Gulf Wilderness</w:t>
      </w:r>
      <w:bookmarkEnd w:id="44"/>
    </w:p>
    <w:p w:rsidR="002F5DDC" w:rsidRPr="008E626A" w:rsidRDefault="005C5F74" w:rsidP="008E626A">
      <w:pPr>
        <w:rPr>
          <w:noProof/>
        </w:rPr>
      </w:pPr>
      <w:r>
        <w:rPr>
          <w:noProof/>
        </w:rPr>
        <w:drawing>
          <wp:inline distT="0" distB="0" distL="0" distR="0">
            <wp:extent cx="5303520" cy="3858768"/>
            <wp:effectExtent l="0" t="0" r="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03520" cy="3858768"/>
                    </a:xfrm>
                    <a:prstGeom prst="rect">
                      <a:avLst/>
                    </a:prstGeom>
                    <a:noFill/>
                    <a:ln>
                      <a:noFill/>
                    </a:ln>
                  </pic:spPr>
                </pic:pic>
              </a:graphicData>
            </a:graphic>
          </wp:inline>
        </w:drawing>
      </w:r>
    </w:p>
    <w:p w:rsidR="001E4567" w:rsidRPr="0000032E" w:rsidRDefault="00670FB4" w:rsidP="0000032E">
      <w:pPr>
        <w:spacing w:after="0" w:line="240" w:lineRule="auto"/>
        <w:rPr>
          <w:rStyle w:val="Heading9Char"/>
          <w:rFonts w:ascii="Arial" w:hAnsi="Arial" w:cs="Arial"/>
          <w:b/>
          <w:i w:val="0"/>
          <w:iCs w:val="0"/>
          <w:color w:val="auto"/>
          <w:szCs w:val="18"/>
        </w:rPr>
      </w:pPr>
      <w:r>
        <w:rPr>
          <w:rStyle w:val="Heading9Char"/>
          <w:rFonts w:ascii="Arial" w:hAnsi="Arial" w:cs="Arial"/>
          <w:i w:val="0"/>
          <w:iCs w:val="0"/>
          <w:color w:val="auto"/>
          <w:szCs w:val="18"/>
        </w:rPr>
        <w:br w:type="page"/>
      </w:r>
      <w:bookmarkStart w:id="45" w:name="_Toc374023007"/>
      <w:r w:rsidR="001E4567" w:rsidRPr="0000032E">
        <w:rPr>
          <w:rStyle w:val="Heading9Char"/>
          <w:rFonts w:ascii="Arial" w:hAnsi="Arial" w:cs="Arial"/>
          <w:b/>
          <w:i w:val="0"/>
          <w:iCs w:val="0"/>
          <w:color w:val="auto"/>
          <w:szCs w:val="18"/>
        </w:rPr>
        <w:lastRenderedPageBreak/>
        <w:t>Figure 2.1.d</w:t>
      </w:r>
      <w:r w:rsidR="00A15345" w:rsidRPr="0000032E">
        <w:rPr>
          <w:rStyle w:val="Heading9Char"/>
          <w:rFonts w:ascii="Arial" w:hAnsi="Arial" w:cs="Arial"/>
          <w:b/>
          <w:i w:val="0"/>
          <w:iCs w:val="0"/>
          <w:color w:val="auto"/>
          <w:szCs w:val="18"/>
        </w:rPr>
        <w:t>.</w:t>
      </w:r>
      <w:r w:rsidR="001E4567" w:rsidRPr="0000032E">
        <w:rPr>
          <w:rStyle w:val="Heading9Char"/>
          <w:rFonts w:ascii="Arial" w:hAnsi="Arial" w:cs="Arial"/>
          <w:b/>
          <w:i w:val="0"/>
          <w:iCs w:val="0"/>
          <w:color w:val="auto"/>
          <w:szCs w:val="18"/>
        </w:rPr>
        <w:t xml:space="preserve"> Lye Brook Wilderness</w:t>
      </w:r>
      <w:bookmarkEnd w:id="45"/>
      <w:r w:rsidR="001E4567" w:rsidRPr="0000032E">
        <w:rPr>
          <w:rStyle w:val="Heading9Char"/>
          <w:rFonts w:ascii="Arial" w:hAnsi="Arial" w:cs="Arial"/>
          <w:b/>
          <w:i w:val="0"/>
          <w:iCs w:val="0"/>
          <w:color w:val="auto"/>
          <w:szCs w:val="18"/>
        </w:rPr>
        <w:t xml:space="preserve">  </w:t>
      </w:r>
    </w:p>
    <w:p w:rsidR="008E626A" w:rsidRPr="008E626A" w:rsidRDefault="005C5F74" w:rsidP="001E4567">
      <w:pPr>
        <w:pStyle w:val="Heading5"/>
      </w:pPr>
      <w:r>
        <w:rPr>
          <w:noProof/>
        </w:rPr>
        <w:drawing>
          <wp:inline distT="0" distB="0" distL="0" distR="0">
            <wp:extent cx="5312664" cy="3858768"/>
            <wp:effectExtent l="0" t="0" r="2540"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12664" cy="3858768"/>
                    </a:xfrm>
                    <a:prstGeom prst="rect">
                      <a:avLst/>
                    </a:prstGeom>
                    <a:noFill/>
                    <a:ln>
                      <a:noFill/>
                    </a:ln>
                  </pic:spPr>
                </pic:pic>
              </a:graphicData>
            </a:graphic>
          </wp:inline>
        </w:drawing>
      </w:r>
    </w:p>
    <w:p w:rsidR="00E70F1F" w:rsidRPr="00ED1FAE" w:rsidRDefault="001E4567" w:rsidP="005C5F74">
      <w:pPr>
        <w:pStyle w:val="2TablesandFigures2"/>
        <w:spacing w:after="0"/>
      </w:pPr>
      <w:bookmarkStart w:id="46" w:name="_Toc374023008"/>
      <w:r>
        <w:rPr>
          <w:rStyle w:val="Heading9Char"/>
          <w:rFonts w:ascii="Arial" w:hAnsi="Arial" w:cs="Arial"/>
          <w:i w:val="0"/>
          <w:iCs w:val="0"/>
          <w:color w:val="auto"/>
          <w:szCs w:val="18"/>
        </w:rPr>
        <w:t>Figure 2.1</w:t>
      </w:r>
      <w:r w:rsidRPr="002F5DDC">
        <w:rPr>
          <w:rStyle w:val="Heading9Char"/>
          <w:rFonts w:ascii="Arial" w:hAnsi="Arial" w:cs="Arial"/>
          <w:i w:val="0"/>
          <w:iCs w:val="0"/>
          <w:color w:val="auto"/>
          <w:szCs w:val="18"/>
        </w:rPr>
        <w:t>.</w:t>
      </w:r>
      <w:r>
        <w:rPr>
          <w:rStyle w:val="Heading9Char"/>
          <w:rFonts w:ascii="Arial" w:hAnsi="Arial" w:cs="Arial"/>
          <w:i w:val="0"/>
          <w:iCs w:val="0"/>
          <w:color w:val="auto"/>
          <w:szCs w:val="18"/>
        </w:rPr>
        <w:t>e</w:t>
      </w:r>
      <w:r w:rsidR="00A15345">
        <w:rPr>
          <w:rStyle w:val="Heading9Char"/>
          <w:rFonts w:ascii="Arial" w:hAnsi="Arial" w:cs="Arial"/>
          <w:i w:val="0"/>
          <w:iCs w:val="0"/>
          <w:color w:val="auto"/>
          <w:szCs w:val="18"/>
        </w:rPr>
        <w:t>.</w:t>
      </w:r>
      <w:r>
        <w:rPr>
          <w:rStyle w:val="Heading9Char"/>
          <w:rFonts w:ascii="Arial" w:hAnsi="Arial" w:cs="Arial"/>
          <w:i w:val="0"/>
          <w:iCs w:val="0"/>
          <w:color w:val="auto"/>
          <w:szCs w:val="18"/>
        </w:rPr>
        <w:t xml:space="preserve"> Moosehorn Wilderness</w:t>
      </w:r>
      <w:bookmarkEnd w:id="46"/>
    </w:p>
    <w:p w:rsidR="002F5DDC" w:rsidRPr="008E626A" w:rsidRDefault="005C5F74" w:rsidP="008E626A">
      <w:r>
        <w:rPr>
          <w:noProof/>
        </w:rPr>
        <w:drawing>
          <wp:inline distT="0" distB="0" distL="0" distR="0">
            <wp:extent cx="5321808" cy="3858768"/>
            <wp:effectExtent l="0" t="0" r="0"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21808" cy="3858768"/>
                    </a:xfrm>
                    <a:prstGeom prst="rect">
                      <a:avLst/>
                    </a:prstGeom>
                    <a:noFill/>
                    <a:ln>
                      <a:noFill/>
                    </a:ln>
                  </pic:spPr>
                </pic:pic>
              </a:graphicData>
            </a:graphic>
          </wp:inline>
        </w:drawing>
      </w:r>
    </w:p>
    <w:p w:rsidR="00851EA5" w:rsidRPr="005C5F74" w:rsidRDefault="00670FB4" w:rsidP="005C5F74">
      <w:pPr>
        <w:spacing w:after="0" w:line="240" w:lineRule="auto"/>
        <w:rPr>
          <w:b/>
        </w:rPr>
      </w:pPr>
      <w:r>
        <w:rPr>
          <w:rStyle w:val="Heading9Char"/>
          <w:rFonts w:ascii="Arial" w:hAnsi="Arial" w:cs="Arial"/>
          <w:i w:val="0"/>
          <w:iCs w:val="0"/>
          <w:color w:val="auto"/>
          <w:szCs w:val="18"/>
        </w:rPr>
        <w:br w:type="page"/>
      </w:r>
      <w:bookmarkStart w:id="47" w:name="_Toc374023009"/>
      <w:r w:rsidR="001E4567" w:rsidRPr="005C5F74">
        <w:rPr>
          <w:rStyle w:val="Heading9Char"/>
          <w:rFonts w:ascii="Arial" w:hAnsi="Arial" w:cs="Arial"/>
          <w:b/>
          <w:i w:val="0"/>
          <w:iCs w:val="0"/>
          <w:color w:val="auto"/>
          <w:szCs w:val="18"/>
        </w:rPr>
        <w:lastRenderedPageBreak/>
        <w:t>Figure 2.1.f. Dolly Sodds Wilderness</w:t>
      </w:r>
      <w:bookmarkEnd w:id="47"/>
      <w:r w:rsidR="001E4567" w:rsidRPr="005C5F74">
        <w:rPr>
          <w:rStyle w:val="Heading9Char"/>
          <w:rFonts w:ascii="Arial" w:hAnsi="Arial" w:cs="Arial"/>
          <w:b/>
          <w:i w:val="0"/>
          <w:iCs w:val="0"/>
          <w:color w:val="auto"/>
          <w:szCs w:val="18"/>
        </w:rPr>
        <w:t xml:space="preserve">   </w:t>
      </w:r>
    </w:p>
    <w:p w:rsidR="00851EA5" w:rsidRDefault="005C5F74" w:rsidP="00E70F1F">
      <w:r>
        <w:rPr>
          <w:noProof/>
        </w:rPr>
        <w:drawing>
          <wp:inline distT="0" distB="0" distL="0" distR="0">
            <wp:extent cx="5321808" cy="3858768"/>
            <wp:effectExtent l="0" t="0" r="0" b="88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21808" cy="3858768"/>
                    </a:xfrm>
                    <a:prstGeom prst="rect">
                      <a:avLst/>
                    </a:prstGeom>
                    <a:noFill/>
                    <a:ln>
                      <a:noFill/>
                    </a:ln>
                  </pic:spPr>
                </pic:pic>
              </a:graphicData>
            </a:graphic>
          </wp:inline>
        </w:drawing>
      </w:r>
    </w:p>
    <w:p w:rsidR="001E4567" w:rsidRPr="002F5DDC" w:rsidRDefault="001E4567" w:rsidP="00DA27BA">
      <w:pPr>
        <w:pStyle w:val="2TablesandFigures2"/>
      </w:pPr>
      <w:bookmarkStart w:id="48" w:name="_Toc374023010"/>
      <w:r>
        <w:rPr>
          <w:rStyle w:val="Heading9Char"/>
          <w:rFonts w:ascii="Arial" w:hAnsi="Arial" w:cs="Arial"/>
          <w:i w:val="0"/>
          <w:iCs w:val="0"/>
          <w:color w:val="auto"/>
          <w:szCs w:val="18"/>
        </w:rPr>
        <w:t>Figure 2.1</w:t>
      </w:r>
      <w:r w:rsidRPr="002F5DDC">
        <w:rPr>
          <w:rStyle w:val="Heading9Char"/>
          <w:rFonts w:ascii="Arial" w:hAnsi="Arial" w:cs="Arial"/>
          <w:i w:val="0"/>
          <w:iCs w:val="0"/>
          <w:color w:val="auto"/>
          <w:szCs w:val="18"/>
        </w:rPr>
        <w:t>.</w:t>
      </w:r>
      <w:r>
        <w:rPr>
          <w:rStyle w:val="Heading9Char"/>
          <w:rFonts w:ascii="Arial" w:hAnsi="Arial" w:cs="Arial"/>
          <w:i w:val="0"/>
          <w:iCs w:val="0"/>
          <w:color w:val="auto"/>
          <w:szCs w:val="18"/>
        </w:rPr>
        <w:t>g. Shenandoah Valley National Park</w:t>
      </w:r>
      <w:bookmarkEnd w:id="48"/>
    </w:p>
    <w:p w:rsidR="00851EA5" w:rsidRPr="00E70F1F" w:rsidRDefault="0000032E" w:rsidP="00E70F1F">
      <w:r>
        <w:rPr>
          <w:noProof/>
        </w:rPr>
        <w:drawing>
          <wp:inline distT="0" distB="0" distL="0" distR="0">
            <wp:extent cx="5312664" cy="3858768"/>
            <wp:effectExtent l="0" t="0" r="2540"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12664" cy="3858768"/>
                    </a:xfrm>
                    <a:prstGeom prst="rect">
                      <a:avLst/>
                    </a:prstGeom>
                    <a:noFill/>
                    <a:ln>
                      <a:noFill/>
                    </a:ln>
                  </pic:spPr>
                </pic:pic>
              </a:graphicData>
            </a:graphic>
          </wp:inline>
        </w:drawing>
      </w:r>
    </w:p>
    <w:p w:rsidR="005441DD" w:rsidRPr="000A31EC" w:rsidRDefault="005441DD" w:rsidP="005441DD">
      <w:pPr>
        <w:pStyle w:val="Heading3"/>
      </w:pPr>
      <w:bookmarkStart w:id="49" w:name="_Toc373843500"/>
      <w:r w:rsidRPr="000A31EC">
        <w:lastRenderedPageBreak/>
        <w:t>2.</w:t>
      </w:r>
      <w:r w:rsidR="00C06D33">
        <w:t>4</w:t>
      </w:r>
      <w:r w:rsidRPr="000A31EC">
        <w:t xml:space="preserve">. Tracking Visibility Progress – </w:t>
      </w:r>
      <w:r w:rsidR="005557CC">
        <w:t>National</w:t>
      </w:r>
      <w:r w:rsidRPr="000A31EC">
        <w:t xml:space="preserve"> Evaluation</w:t>
      </w:r>
      <w:bookmarkEnd w:id="49"/>
    </w:p>
    <w:p w:rsidR="005441DD" w:rsidRPr="00C96BD3" w:rsidRDefault="005557CC" w:rsidP="005441DD">
      <w:r>
        <w:t>In addition to NESCAUM’s analysis, a national report also documented progress in visibility improvement through 2009.  T</w:t>
      </w:r>
      <w:r w:rsidR="005441DD" w:rsidRPr="00C96BD3">
        <w:t xml:space="preserve">he 2011 IMPROVE Report V: </w:t>
      </w:r>
      <w:r w:rsidR="005441DD" w:rsidRPr="00C96BD3">
        <w:rPr>
          <w:i/>
        </w:rPr>
        <w:t>Spatial and Seasonal Patterns and Temporal Variability of Haze and its Constituents in the United States</w:t>
      </w:r>
      <w:r w:rsidR="005441DD" w:rsidRPr="00C96BD3">
        <w:t>, reported on five</w:t>
      </w:r>
      <w:r w:rsidR="005441DD">
        <w:t>-</w:t>
      </w:r>
      <w:r w:rsidR="005441DD" w:rsidRPr="00C96BD3">
        <w:t xml:space="preserve">year average reconstructed light extinction (the regional haze tracking metric) at IMPROVE sites for the baseline 2000-2004 period as well as for the next five-year period, </w:t>
      </w:r>
      <w:r w:rsidR="005441DD" w:rsidRPr="004D5CB4">
        <w:rPr>
          <w:highlight w:val="yellow"/>
        </w:rPr>
        <w:t>2005-2009</w:t>
      </w:r>
      <w:r w:rsidR="005441DD" w:rsidRPr="00C96BD3">
        <w:t>.</w:t>
      </w:r>
      <w:r w:rsidR="005441DD" w:rsidRPr="00C96BD3">
        <w:rPr>
          <w:rStyle w:val="FootnoteReference"/>
        </w:rPr>
        <w:t xml:space="preserve"> </w:t>
      </w:r>
      <w:r w:rsidR="005441DD" w:rsidRPr="00C96BD3">
        <w:rPr>
          <w:rStyle w:val="FootnoteReference"/>
        </w:rPr>
        <w:footnoteReference w:id="3"/>
      </w:r>
      <w:r w:rsidR="005441DD" w:rsidRPr="00C96BD3">
        <w:t xml:space="preserve">  These five</w:t>
      </w:r>
      <w:r w:rsidR="005441DD">
        <w:t>-</w:t>
      </w:r>
      <w:r w:rsidR="005441DD" w:rsidRPr="00C96BD3">
        <w:t>year averages include total light extinction as well as the extinction contributed by separate pollutant species for the haziest 20% of days and for the clearest 20% of days for each of these 5-year periods.</w:t>
      </w:r>
    </w:p>
    <w:p w:rsidR="005441DD" w:rsidRPr="00C96BD3" w:rsidRDefault="005441DD" w:rsidP="005441DD">
      <w:r w:rsidRPr="00C96BD3">
        <w:t xml:space="preserve">Visibility at all MANE-VU Class I Area IMPROVE sites improved for the </w:t>
      </w:r>
      <w:r w:rsidRPr="004D5CB4">
        <w:rPr>
          <w:highlight w:val="yellow"/>
        </w:rPr>
        <w:t>200</w:t>
      </w:r>
      <w:r w:rsidR="00475350" w:rsidRPr="004D5CB4">
        <w:rPr>
          <w:highlight w:val="yellow"/>
        </w:rPr>
        <w:t>5</w:t>
      </w:r>
      <w:r w:rsidRPr="004D5CB4">
        <w:rPr>
          <w:highlight w:val="yellow"/>
        </w:rPr>
        <w:t>-20</w:t>
      </w:r>
      <w:r w:rsidR="00475350" w:rsidRPr="004D5CB4">
        <w:rPr>
          <w:highlight w:val="yellow"/>
        </w:rPr>
        <w:t>09</w:t>
      </w:r>
      <w:r w:rsidRPr="00C96BD3">
        <w:t xml:space="preserve"> period compared to the 2000-2004 baseline period.  These improvements occurred for both the haziest 20% days (which are required to get gradually cleaner over time) as well as for the cleanest 20% days (which are required to get no worse over time).  Improvements in total light extinction on both the haziest and the cleanest days resulted from reductions in light extinction from all four of the major visibility-impairing pollutant species: sulfates, nitrates, particulate organic matter, and elemental carbon. </w:t>
      </w:r>
      <w:r w:rsidR="00475350">
        <w:t xml:space="preserve"> For more details, see Chapter 9 and Appendix G of the IMPROVE Report V.</w:t>
      </w:r>
    </w:p>
    <w:p w:rsidR="005441DD" w:rsidRPr="00C96BD3" w:rsidRDefault="005441DD" w:rsidP="005441DD">
      <w:r w:rsidRPr="00C96BD3">
        <w:t>The IMPROVE Report V defined the baseline period as 2000 through 2004 and the first trend period as being 200</w:t>
      </w:r>
      <w:r w:rsidR="00475350">
        <w:t>5</w:t>
      </w:r>
      <w:r w:rsidRPr="00C96BD3">
        <w:t xml:space="preserve"> through 20</w:t>
      </w:r>
      <w:r w:rsidR="00475350">
        <w:t>09</w:t>
      </w:r>
      <w:r w:rsidRPr="00C96BD3">
        <w:t xml:space="preserve">. </w:t>
      </w:r>
      <w:r w:rsidR="00475350">
        <w:t>Since that report was published d</w:t>
      </w:r>
      <w:r w:rsidR="00ED5159">
        <w:t xml:space="preserve">ata is available through </w:t>
      </w:r>
      <w:r w:rsidR="00ED5159" w:rsidRPr="004D5CB4">
        <w:rPr>
          <w:highlight w:val="yellow"/>
        </w:rPr>
        <w:t>201</w:t>
      </w:r>
      <w:r w:rsidR="004D5CB4" w:rsidRPr="004D5CB4">
        <w:rPr>
          <w:highlight w:val="yellow"/>
        </w:rPr>
        <w:t>3</w:t>
      </w:r>
      <w:r w:rsidR="00ED5159">
        <w:t xml:space="preserve">.   IMPROVE </w:t>
      </w:r>
      <w:r w:rsidR="00ED5159" w:rsidRPr="004D5CB4">
        <w:rPr>
          <w:highlight w:val="yellow"/>
        </w:rPr>
        <w:t>20</w:t>
      </w:r>
      <w:r w:rsidR="00197BAD">
        <w:rPr>
          <w:highlight w:val="yellow"/>
        </w:rPr>
        <w:t>09</w:t>
      </w:r>
      <w:r w:rsidR="00ED5159" w:rsidRPr="004D5CB4">
        <w:rPr>
          <w:highlight w:val="yellow"/>
        </w:rPr>
        <w:t>-1</w:t>
      </w:r>
      <w:r w:rsidR="004D5CB4" w:rsidRPr="004D5CB4">
        <w:rPr>
          <w:highlight w:val="yellow"/>
        </w:rPr>
        <w:t>3</w:t>
      </w:r>
      <w:r w:rsidR="00ED5159">
        <w:t xml:space="preserve"> data was downloaded from the FED database and updated current 5-year (</w:t>
      </w:r>
      <w:r w:rsidR="00ED5159" w:rsidRPr="004D5CB4">
        <w:rPr>
          <w:highlight w:val="yellow"/>
        </w:rPr>
        <w:t>200</w:t>
      </w:r>
      <w:r w:rsidR="00197BAD">
        <w:rPr>
          <w:highlight w:val="yellow"/>
        </w:rPr>
        <w:t>9</w:t>
      </w:r>
      <w:r w:rsidR="00ED5159" w:rsidRPr="004D5CB4">
        <w:rPr>
          <w:highlight w:val="yellow"/>
        </w:rPr>
        <w:t>-1</w:t>
      </w:r>
      <w:r w:rsidR="004D5CB4" w:rsidRPr="004D5CB4">
        <w:rPr>
          <w:highlight w:val="yellow"/>
        </w:rPr>
        <w:t>3</w:t>
      </w:r>
      <w:r w:rsidR="00ED5159">
        <w:t xml:space="preserve">) regional haze conditions were calculated using the same procedures using the IMPROVE Report V.   </w:t>
      </w:r>
      <w:r w:rsidRPr="00C96BD3">
        <w:t>The visibility index used is based on</w:t>
      </w:r>
      <w:r>
        <w:t xml:space="preserve"> inverse megameters (Mm</w:t>
      </w:r>
      <w:r w:rsidRPr="00087E8A">
        <w:rPr>
          <w:vertAlign w:val="superscript"/>
        </w:rPr>
        <w:t>-1</w:t>
      </w:r>
      <w:r>
        <w:t>), a measure of light extinction, and</w:t>
      </w:r>
      <w:r w:rsidRPr="00C96BD3">
        <w:t xml:space="preserve"> the deciview (dv) scale, a logarithmic transformation of light extinction, which for the Regional Haze Rule is derived from IMPROVE aerosol composition data (</w:t>
      </w:r>
      <w:r w:rsidRPr="00C96BD3">
        <w:rPr>
          <w:highlight w:val="yellow"/>
        </w:rPr>
        <w:t>as described in Appendix xxx).</w:t>
      </w:r>
    </w:p>
    <w:p w:rsidR="005441DD" w:rsidRDefault="005441DD" w:rsidP="005441DD">
      <w:r w:rsidRPr="00C96BD3">
        <w:rPr>
          <w:highlight w:val="yellow"/>
        </w:rPr>
        <w:t>Figures 2.</w:t>
      </w:r>
      <w:r w:rsidR="005557CC">
        <w:rPr>
          <w:highlight w:val="yellow"/>
        </w:rPr>
        <w:t>2</w:t>
      </w:r>
      <w:r w:rsidRPr="00C96BD3">
        <w:rPr>
          <w:highlight w:val="yellow"/>
        </w:rPr>
        <w:t>-2.</w:t>
      </w:r>
      <w:r w:rsidR="005557CC">
        <w:rPr>
          <w:highlight w:val="yellow"/>
        </w:rPr>
        <w:t>3</w:t>
      </w:r>
      <w:r w:rsidRPr="00C96BD3">
        <w:rPr>
          <w:highlight w:val="yellow"/>
        </w:rPr>
        <w:t xml:space="preserve"> and Tables 2.</w:t>
      </w:r>
      <w:r w:rsidR="005557CC">
        <w:rPr>
          <w:highlight w:val="yellow"/>
        </w:rPr>
        <w:t>3</w:t>
      </w:r>
      <w:r w:rsidRPr="00C96BD3">
        <w:rPr>
          <w:highlight w:val="yellow"/>
        </w:rPr>
        <w:t xml:space="preserve"> and 2.</w:t>
      </w:r>
      <w:r w:rsidR="005557CC">
        <w:rPr>
          <w:highlight w:val="yellow"/>
        </w:rPr>
        <w:t>4</w:t>
      </w:r>
      <w:r w:rsidRPr="00C96BD3">
        <w:rPr>
          <w:highlight w:val="yellow"/>
        </w:rPr>
        <w:t xml:space="preserve"> present trends in visibility at Class I sites in the MANE-VU region</w:t>
      </w:r>
      <w:r w:rsidRPr="00C96BD3">
        <w:t xml:space="preserve"> </w:t>
      </w:r>
      <w:r w:rsidR="00ED5159">
        <w:t>from the baseline (2000-05) to the most recent current (</w:t>
      </w:r>
      <w:r w:rsidR="00ED5159" w:rsidRPr="004D5CB4">
        <w:rPr>
          <w:highlight w:val="yellow"/>
        </w:rPr>
        <w:t>200</w:t>
      </w:r>
      <w:r w:rsidR="00197BAD">
        <w:rPr>
          <w:highlight w:val="yellow"/>
        </w:rPr>
        <w:t>9</w:t>
      </w:r>
      <w:r w:rsidR="00ED5159" w:rsidRPr="004D5CB4">
        <w:rPr>
          <w:highlight w:val="yellow"/>
        </w:rPr>
        <w:t>-1</w:t>
      </w:r>
      <w:r w:rsidR="004D5CB4" w:rsidRPr="004D5CB4">
        <w:rPr>
          <w:highlight w:val="yellow"/>
        </w:rPr>
        <w:t>3</w:t>
      </w:r>
      <w:r w:rsidR="00ED5159">
        <w:t>) 5-year period</w:t>
      </w:r>
      <w:r w:rsidRPr="00C96BD3">
        <w:t>.</w:t>
      </w:r>
    </w:p>
    <w:p w:rsidR="008163F7" w:rsidRPr="00C96BD3" w:rsidRDefault="005A723C" w:rsidP="005441DD">
      <w:r>
        <w:rPr>
          <w:highlight w:val="yellow"/>
        </w:rPr>
        <w:t>&lt;Note:  T</w:t>
      </w:r>
      <w:r w:rsidR="008163F7" w:rsidRPr="008163F7">
        <w:rPr>
          <w:highlight w:val="yellow"/>
        </w:rPr>
        <w:t xml:space="preserve">he 2013 NESCAUM report </w:t>
      </w:r>
      <w:r w:rsidR="00FF5E7F">
        <w:rPr>
          <w:highlight w:val="yellow"/>
        </w:rPr>
        <w:t xml:space="preserve">referenced in the previous section </w:t>
      </w:r>
      <w:r w:rsidR="008163F7" w:rsidRPr="008163F7">
        <w:rPr>
          <w:highlight w:val="yellow"/>
        </w:rPr>
        <w:t xml:space="preserve">also includes information about the constituents of regional haze, and if the state wishes to include that information in the previous section it can find it on the NESCAUM </w:t>
      </w:r>
      <w:r w:rsidR="008163F7" w:rsidRPr="005A723C">
        <w:rPr>
          <w:highlight w:val="yellow"/>
        </w:rPr>
        <w:t>website</w:t>
      </w:r>
      <w:r w:rsidRPr="005A723C">
        <w:rPr>
          <w:highlight w:val="yellow"/>
        </w:rPr>
        <w:t xml:space="preserve"> </w:t>
      </w:r>
      <w:hyperlink r:id="rId28" w:history="1">
        <w:r w:rsidRPr="005A723C">
          <w:rPr>
            <w:rStyle w:val="Hyperlink"/>
            <w:highlight w:val="yellow"/>
          </w:rPr>
          <w:t>http://www.nescaum.org/topics/regional-haze/regional-haze-documents</w:t>
        </w:r>
      </w:hyperlink>
      <w:r w:rsidRPr="005A723C">
        <w:rPr>
          <w:highlight w:val="yellow"/>
        </w:rPr>
        <w:t>.</w:t>
      </w:r>
      <w:r w:rsidR="008163F7" w:rsidRPr="005A723C">
        <w:rPr>
          <w:highlight w:val="yellow"/>
        </w:rPr>
        <w:t>&gt;</w:t>
      </w:r>
    </w:p>
    <w:p w:rsidR="005557CC" w:rsidRDefault="005557CC">
      <w:pPr>
        <w:spacing w:after="0" w:line="240" w:lineRule="auto"/>
        <w:rPr>
          <w:rStyle w:val="Heading9Char"/>
          <w:rFonts w:ascii="Arial" w:eastAsia="Times New Roman" w:hAnsi="Arial" w:cs="Arial"/>
          <w:b/>
          <w:bCs/>
          <w:i w:val="0"/>
          <w:iCs w:val="0"/>
          <w:color w:val="auto"/>
          <w:szCs w:val="18"/>
        </w:rPr>
      </w:pPr>
      <w:r>
        <w:rPr>
          <w:rStyle w:val="Heading9Char"/>
          <w:rFonts w:ascii="Arial" w:hAnsi="Arial" w:cs="Arial"/>
          <w:i w:val="0"/>
          <w:iCs w:val="0"/>
          <w:color w:val="auto"/>
          <w:szCs w:val="18"/>
        </w:rPr>
        <w:br w:type="page"/>
      </w:r>
    </w:p>
    <w:p w:rsidR="00373528" w:rsidRDefault="00373528" w:rsidP="00F60FE6">
      <w:pPr>
        <w:pStyle w:val="Caption"/>
        <w:rPr>
          <w:rStyle w:val="Heading8Char"/>
          <w:rFonts w:ascii="Arial" w:hAnsi="Arial" w:cs="Arial"/>
          <w:color w:val="auto"/>
        </w:rPr>
      </w:pPr>
      <w:bookmarkStart w:id="50" w:name="_Toc373842775"/>
      <w:bookmarkStart w:id="51" w:name="_Toc373843558"/>
      <w:bookmarkStart w:id="52" w:name="_Toc373844549"/>
      <w:proofErr w:type="gramStart"/>
      <w:r w:rsidRPr="007D1888">
        <w:rPr>
          <w:rStyle w:val="Heading8Char"/>
          <w:rFonts w:ascii="Arial" w:hAnsi="Arial" w:cs="Arial"/>
          <w:color w:val="auto"/>
        </w:rPr>
        <w:lastRenderedPageBreak/>
        <w:t>Table 2.3.</w:t>
      </w:r>
      <w:proofErr w:type="gramEnd"/>
      <w:r w:rsidRPr="007D1888">
        <w:rPr>
          <w:rStyle w:val="Heading8Char"/>
          <w:rFonts w:ascii="Arial" w:hAnsi="Arial" w:cs="Arial"/>
          <w:color w:val="auto"/>
        </w:rPr>
        <w:t xml:space="preserve">  Visibility Improvements by Particle Constituents through </w:t>
      </w:r>
      <w:r w:rsidRPr="004D5CB4">
        <w:rPr>
          <w:rStyle w:val="Heading8Char"/>
          <w:rFonts w:ascii="Arial" w:hAnsi="Arial" w:cs="Arial"/>
          <w:color w:val="auto"/>
          <w:highlight w:val="yellow"/>
        </w:rPr>
        <w:t>20</w:t>
      </w:r>
      <w:r w:rsidR="00972D81" w:rsidRPr="004D5CB4">
        <w:rPr>
          <w:rStyle w:val="Heading8Char"/>
          <w:rFonts w:ascii="Arial" w:hAnsi="Arial" w:cs="Arial"/>
          <w:color w:val="auto"/>
          <w:highlight w:val="yellow"/>
        </w:rPr>
        <w:t>1</w:t>
      </w:r>
      <w:r w:rsidR="004D5CB4" w:rsidRPr="004D5CB4">
        <w:rPr>
          <w:rStyle w:val="Heading8Char"/>
          <w:rFonts w:ascii="Arial" w:hAnsi="Arial" w:cs="Arial"/>
          <w:color w:val="auto"/>
          <w:highlight w:val="yellow"/>
        </w:rPr>
        <w:t>3</w:t>
      </w:r>
      <w:r w:rsidRPr="007D1888">
        <w:rPr>
          <w:rStyle w:val="Heading8Char"/>
          <w:rFonts w:ascii="Arial" w:hAnsi="Arial" w:cs="Arial"/>
          <w:color w:val="auto"/>
        </w:rPr>
        <w:t xml:space="preserve"> on </w:t>
      </w:r>
      <w:r w:rsidRPr="00FF5E7F">
        <w:rPr>
          <w:rStyle w:val="Heading8Char"/>
          <w:rFonts w:ascii="Arial" w:hAnsi="Arial" w:cs="Arial"/>
          <w:color w:val="auto"/>
          <w:u w:val="single"/>
        </w:rPr>
        <w:t>Haziest</w:t>
      </w:r>
      <w:r w:rsidRPr="007D1888">
        <w:rPr>
          <w:rStyle w:val="Heading8Char"/>
          <w:rFonts w:ascii="Arial" w:hAnsi="Arial" w:cs="Arial"/>
          <w:color w:val="auto"/>
        </w:rPr>
        <w:t xml:space="preserve"> 20% Days in MANE-VU Class I Areas</w:t>
      </w:r>
      <w:bookmarkEnd w:id="50"/>
      <w:bookmarkEnd w:id="51"/>
      <w:bookmarkEnd w:id="52"/>
    </w:p>
    <w:p w:rsidR="00972D81" w:rsidRPr="00972D81" w:rsidRDefault="00972D81" w:rsidP="00972D81"/>
    <w:tbl>
      <w:tblPr>
        <w:tblStyle w:val="TableGrid"/>
        <w:tblW w:w="9590" w:type="dxa"/>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CellMar>
          <w:left w:w="58" w:type="dxa"/>
          <w:right w:w="58" w:type="dxa"/>
        </w:tblCellMar>
        <w:tblLook w:val="04A0" w:firstRow="1" w:lastRow="0" w:firstColumn="1" w:lastColumn="0" w:noHBand="0" w:noVBand="1"/>
      </w:tblPr>
      <w:tblGrid>
        <w:gridCol w:w="2275"/>
        <w:gridCol w:w="810"/>
        <w:gridCol w:w="720"/>
        <w:gridCol w:w="720"/>
        <w:gridCol w:w="720"/>
        <w:gridCol w:w="720"/>
        <w:gridCol w:w="720"/>
        <w:gridCol w:w="720"/>
        <w:gridCol w:w="720"/>
        <w:gridCol w:w="720"/>
        <w:gridCol w:w="745"/>
      </w:tblGrid>
      <w:tr w:rsidR="00D00010" w:rsidTr="00D00010">
        <w:trPr>
          <w:jc w:val="center"/>
        </w:trPr>
        <w:tc>
          <w:tcPr>
            <w:tcW w:w="2275" w:type="dxa"/>
            <w:vMerge w:val="restart"/>
            <w:vAlign w:val="center"/>
          </w:tcPr>
          <w:p w:rsidR="00E65BEE" w:rsidRPr="00E65BEE" w:rsidRDefault="00E65BEE" w:rsidP="00D00010">
            <w:pPr>
              <w:spacing w:after="0"/>
              <w:jc w:val="center"/>
              <w:rPr>
                <w:rFonts w:ascii="Arial" w:hAnsi="Arial" w:cs="Arial"/>
                <w:sz w:val="16"/>
                <w:szCs w:val="16"/>
              </w:rPr>
            </w:pPr>
            <w:r w:rsidRPr="00E65BEE">
              <w:rPr>
                <w:rFonts w:ascii="Arial" w:hAnsi="Arial" w:cs="Arial"/>
                <w:sz w:val="16"/>
                <w:szCs w:val="16"/>
              </w:rPr>
              <w:t>Haziest 20%</w:t>
            </w:r>
          </w:p>
        </w:tc>
        <w:tc>
          <w:tcPr>
            <w:tcW w:w="1530" w:type="dxa"/>
            <w:gridSpan w:val="2"/>
            <w:vAlign w:val="center"/>
          </w:tcPr>
          <w:p w:rsidR="00E65BEE" w:rsidRPr="00E65BEE" w:rsidRDefault="00E65BEE" w:rsidP="00D00010">
            <w:pPr>
              <w:spacing w:after="0"/>
              <w:jc w:val="center"/>
              <w:rPr>
                <w:rFonts w:ascii="Arial" w:hAnsi="Arial" w:cs="Arial"/>
                <w:sz w:val="16"/>
                <w:szCs w:val="16"/>
              </w:rPr>
            </w:pPr>
            <w:r w:rsidRPr="00E65BEE">
              <w:rPr>
                <w:rFonts w:ascii="Arial" w:hAnsi="Arial" w:cs="Arial"/>
                <w:sz w:val="16"/>
                <w:szCs w:val="16"/>
              </w:rPr>
              <w:t>Brigantine</w:t>
            </w:r>
          </w:p>
        </w:tc>
        <w:tc>
          <w:tcPr>
            <w:tcW w:w="1440" w:type="dxa"/>
            <w:gridSpan w:val="2"/>
            <w:vAlign w:val="center"/>
          </w:tcPr>
          <w:p w:rsidR="00E65BEE" w:rsidRPr="00E65BEE" w:rsidRDefault="00E65BEE" w:rsidP="00D00010">
            <w:pPr>
              <w:spacing w:after="0"/>
              <w:jc w:val="center"/>
              <w:rPr>
                <w:rFonts w:ascii="Arial" w:hAnsi="Arial" w:cs="Arial"/>
                <w:sz w:val="16"/>
                <w:szCs w:val="16"/>
              </w:rPr>
            </w:pPr>
            <w:r w:rsidRPr="0046696B">
              <w:rPr>
                <w:rFonts w:ascii="Arial" w:hAnsi="Arial" w:cs="Arial"/>
                <w:sz w:val="16"/>
                <w:szCs w:val="16"/>
                <w:highlight w:val="yellow"/>
              </w:rPr>
              <w:t>Lye Brook</w:t>
            </w:r>
            <w:r w:rsidR="0046696B" w:rsidRPr="0046696B">
              <w:rPr>
                <w:rFonts w:ascii="Arial" w:hAnsi="Arial" w:cs="Arial"/>
                <w:sz w:val="16"/>
                <w:szCs w:val="16"/>
                <w:highlight w:val="yellow"/>
              </w:rPr>
              <w:t>*</w:t>
            </w:r>
          </w:p>
        </w:tc>
        <w:tc>
          <w:tcPr>
            <w:tcW w:w="1440" w:type="dxa"/>
            <w:gridSpan w:val="2"/>
            <w:vAlign w:val="center"/>
          </w:tcPr>
          <w:p w:rsidR="00E65BEE" w:rsidRPr="00E65BEE" w:rsidRDefault="00E65BEE" w:rsidP="00D00010">
            <w:pPr>
              <w:spacing w:after="0"/>
              <w:jc w:val="center"/>
              <w:rPr>
                <w:rFonts w:ascii="Arial" w:hAnsi="Arial" w:cs="Arial"/>
                <w:sz w:val="16"/>
                <w:szCs w:val="16"/>
              </w:rPr>
            </w:pPr>
            <w:r w:rsidRPr="00E65BEE">
              <w:rPr>
                <w:rFonts w:ascii="Arial" w:hAnsi="Arial" w:cs="Arial"/>
                <w:sz w:val="16"/>
                <w:szCs w:val="16"/>
              </w:rPr>
              <w:t>Great Gulf</w:t>
            </w:r>
          </w:p>
        </w:tc>
        <w:tc>
          <w:tcPr>
            <w:tcW w:w="1440" w:type="dxa"/>
            <w:gridSpan w:val="2"/>
            <w:vAlign w:val="center"/>
          </w:tcPr>
          <w:p w:rsidR="00E65BEE" w:rsidRPr="00E65BEE" w:rsidRDefault="00E65BEE" w:rsidP="00D00010">
            <w:pPr>
              <w:spacing w:after="0"/>
              <w:jc w:val="center"/>
              <w:rPr>
                <w:rFonts w:ascii="Arial" w:hAnsi="Arial" w:cs="Arial"/>
                <w:sz w:val="16"/>
                <w:szCs w:val="16"/>
              </w:rPr>
            </w:pPr>
            <w:r w:rsidRPr="00E65BEE">
              <w:rPr>
                <w:rFonts w:ascii="Arial" w:hAnsi="Arial" w:cs="Arial"/>
                <w:sz w:val="16"/>
                <w:szCs w:val="16"/>
              </w:rPr>
              <w:t>Acadia</w:t>
            </w:r>
          </w:p>
        </w:tc>
        <w:tc>
          <w:tcPr>
            <w:tcW w:w="1465" w:type="dxa"/>
            <w:gridSpan w:val="2"/>
            <w:vAlign w:val="center"/>
          </w:tcPr>
          <w:p w:rsidR="00E65BEE" w:rsidRPr="00E65BEE" w:rsidRDefault="00E65BEE" w:rsidP="00D00010">
            <w:pPr>
              <w:spacing w:after="0"/>
              <w:jc w:val="center"/>
              <w:rPr>
                <w:rFonts w:ascii="Arial" w:hAnsi="Arial" w:cs="Arial"/>
                <w:sz w:val="16"/>
                <w:szCs w:val="16"/>
              </w:rPr>
            </w:pPr>
            <w:proofErr w:type="spellStart"/>
            <w:r w:rsidRPr="00E65BEE">
              <w:rPr>
                <w:rFonts w:ascii="Arial" w:hAnsi="Arial" w:cs="Arial"/>
                <w:sz w:val="16"/>
                <w:szCs w:val="16"/>
              </w:rPr>
              <w:t>Moosehorn</w:t>
            </w:r>
            <w:proofErr w:type="spellEnd"/>
          </w:p>
        </w:tc>
      </w:tr>
      <w:tr w:rsidR="00D00010" w:rsidTr="00D00010">
        <w:trPr>
          <w:trHeight w:val="283"/>
          <w:jc w:val="center"/>
        </w:trPr>
        <w:tc>
          <w:tcPr>
            <w:tcW w:w="2275" w:type="dxa"/>
            <w:vMerge/>
            <w:vAlign w:val="center"/>
          </w:tcPr>
          <w:p w:rsidR="00D00010" w:rsidRPr="00E65BEE" w:rsidRDefault="00D00010" w:rsidP="006D246F">
            <w:pPr>
              <w:spacing w:after="0" w:line="360" w:lineRule="auto"/>
              <w:jc w:val="center"/>
              <w:rPr>
                <w:rFonts w:ascii="Arial" w:hAnsi="Arial" w:cs="Arial"/>
                <w:sz w:val="16"/>
                <w:szCs w:val="16"/>
              </w:rPr>
            </w:pPr>
          </w:p>
        </w:tc>
        <w:tc>
          <w:tcPr>
            <w:tcW w:w="810" w:type="dxa"/>
            <w:vAlign w:val="center"/>
          </w:tcPr>
          <w:p w:rsidR="00D00010" w:rsidRPr="00E65BEE" w:rsidRDefault="00FA4DF8" w:rsidP="006D246F">
            <w:pPr>
              <w:spacing w:after="0" w:line="240" w:lineRule="auto"/>
              <w:jc w:val="center"/>
              <w:rPr>
                <w:rFonts w:ascii="Arial" w:hAnsi="Arial" w:cs="Arial"/>
                <w:sz w:val="16"/>
                <w:szCs w:val="16"/>
              </w:rPr>
            </w:pPr>
            <w:r>
              <w:rPr>
                <w:rFonts w:ascii="Arial" w:hAnsi="Arial" w:cs="Arial"/>
                <w:sz w:val="16"/>
                <w:szCs w:val="16"/>
              </w:rPr>
              <w:t>2000-04</w:t>
            </w:r>
          </w:p>
        </w:tc>
        <w:tc>
          <w:tcPr>
            <w:tcW w:w="720" w:type="dxa"/>
            <w:vAlign w:val="center"/>
          </w:tcPr>
          <w:p w:rsidR="00D00010" w:rsidRPr="008F0DA1" w:rsidRDefault="004D5CB4" w:rsidP="00197BAD">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200</w:t>
            </w:r>
            <w:r w:rsidR="00197BAD">
              <w:rPr>
                <w:rFonts w:ascii="Arial" w:hAnsi="Arial" w:cs="Arial"/>
                <w:sz w:val="16"/>
                <w:szCs w:val="16"/>
                <w:highlight w:val="yellow"/>
              </w:rPr>
              <w:t>9</w:t>
            </w:r>
            <w:r w:rsidRPr="008F0DA1">
              <w:rPr>
                <w:rFonts w:ascii="Arial" w:hAnsi="Arial" w:cs="Arial"/>
                <w:sz w:val="16"/>
                <w:szCs w:val="16"/>
                <w:highlight w:val="yellow"/>
              </w:rPr>
              <w:t>-13</w:t>
            </w:r>
          </w:p>
        </w:tc>
        <w:tc>
          <w:tcPr>
            <w:tcW w:w="72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2000-04</w:t>
            </w:r>
          </w:p>
        </w:tc>
        <w:tc>
          <w:tcPr>
            <w:tcW w:w="720" w:type="dxa"/>
            <w:vAlign w:val="center"/>
          </w:tcPr>
          <w:p w:rsidR="00D00010" w:rsidRPr="008F0DA1" w:rsidRDefault="004D5CB4" w:rsidP="00197BAD">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200</w:t>
            </w:r>
            <w:r w:rsidR="00197BAD">
              <w:rPr>
                <w:rFonts w:ascii="Arial" w:hAnsi="Arial" w:cs="Arial"/>
                <w:sz w:val="16"/>
                <w:szCs w:val="16"/>
                <w:highlight w:val="yellow"/>
              </w:rPr>
              <w:t>9</w:t>
            </w:r>
            <w:r w:rsidRPr="008F0DA1">
              <w:rPr>
                <w:rFonts w:ascii="Arial" w:hAnsi="Arial" w:cs="Arial"/>
                <w:sz w:val="16"/>
                <w:szCs w:val="16"/>
                <w:highlight w:val="yellow"/>
              </w:rPr>
              <w:t>-13</w:t>
            </w:r>
          </w:p>
        </w:tc>
        <w:tc>
          <w:tcPr>
            <w:tcW w:w="720" w:type="dxa"/>
            <w:vAlign w:val="center"/>
          </w:tcPr>
          <w:p w:rsidR="00D00010" w:rsidRPr="00E65BEE" w:rsidRDefault="00FA4DF8" w:rsidP="004D5CB4">
            <w:pPr>
              <w:spacing w:after="0" w:line="240" w:lineRule="auto"/>
              <w:jc w:val="center"/>
              <w:rPr>
                <w:rFonts w:ascii="Arial" w:hAnsi="Arial" w:cs="Arial"/>
                <w:sz w:val="16"/>
                <w:szCs w:val="16"/>
              </w:rPr>
            </w:pPr>
            <w:r w:rsidRPr="00FA4DF8">
              <w:rPr>
                <w:rFonts w:ascii="Arial" w:hAnsi="Arial" w:cs="Arial"/>
                <w:sz w:val="16"/>
                <w:szCs w:val="16"/>
              </w:rPr>
              <w:t>2000-04</w:t>
            </w:r>
          </w:p>
        </w:tc>
        <w:tc>
          <w:tcPr>
            <w:tcW w:w="720" w:type="dxa"/>
            <w:vAlign w:val="center"/>
          </w:tcPr>
          <w:p w:rsidR="00D00010" w:rsidRPr="008F0DA1" w:rsidRDefault="004D5CB4" w:rsidP="00197BAD">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200</w:t>
            </w:r>
            <w:r w:rsidR="00197BAD">
              <w:rPr>
                <w:rFonts w:ascii="Arial" w:hAnsi="Arial" w:cs="Arial"/>
                <w:sz w:val="16"/>
                <w:szCs w:val="16"/>
                <w:highlight w:val="yellow"/>
              </w:rPr>
              <w:t>9</w:t>
            </w:r>
            <w:r w:rsidRPr="008F0DA1">
              <w:rPr>
                <w:rFonts w:ascii="Arial" w:hAnsi="Arial" w:cs="Arial"/>
                <w:sz w:val="16"/>
                <w:szCs w:val="16"/>
                <w:highlight w:val="yellow"/>
              </w:rPr>
              <w:t>-13</w:t>
            </w:r>
          </w:p>
        </w:tc>
        <w:tc>
          <w:tcPr>
            <w:tcW w:w="720" w:type="dxa"/>
            <w:vAlign w:val="center"/>
          </w:tcPr>
          <w:p w:rsidR="00D00010" w:rsidRPr="004D5CB4" w:rsidRDefault="00FA4DF8" w:rsidP="004D5CB4">
            <w:pPr>
              <w:spacing w:after="0" w:line="240" w:lineRule="auto"/>
              <w:jc w:val="center"/>
              <w:rPr>
                <w:rFonts w:ascii="Arial" w:hAnsi="Arial" w:cs="Arial"/>
                <w:sz w:val="16"/>
                <w:szCs w:val="16"/>
              </w:rPr>
            </w:pPr>
            <w:r w:rsidRPr="004D5CB4">
              <w:rPr>
                <w:rFonts w:ascii="Arial" w:hAnsi="Arial" w:cs="Arial"/>
                <w:sz w:val="16"/>
                <w:szCs w:val="16"/>
              </w:rPr>
              <w:t>2000-04</w:t>
            </w:r>
          </w:p>
        </w:tc>
        <w:tc>
          <w:tcPr>
            <w:tcW w:w="720" w:type="dxa"/>
            <w:vAlign w:val="center"/>
          </w:tcPr>
          <w:p w:rsidR="00D00010" w:rsidRPr="00F5121F" w:rsidRDefault="00FA4DF8" w:rsidP="00197BAD">
            <w:pPr>
              <w:spacing w:after="0" w:line="240" w:lineRule="auto"/>
              <w:jc w:val="center"/>
              <w:rPr>
                <w:rFonts w:ascii="Arial" w:hAnsi="Arial" w:cs="Arial"/>
                <w:sz w:val="16"/>
                <w:szCs w:val="16"/>
                <w:highlight w:val="yellow"/>
              </w:rPr>
            </w:pPr>
            <w:r w:rsidRPr="00F5121F">
              <w:rPr>
                <w:rFonts w:ascii="Arial" w:hAnsi="Arial" w:cs="Arial"/>
                <w:sz w:val="16"/>
                <w:szCs w:val="16"/>
                <w:highlight w:val="yellow"/>
              </w:rPr>
              <w:t>200</w:t>
            </w:r>
            <w:r w:rsidR="00197BAD">
              <w:rPr>
                <w:rFonts w:ascii="Arial" w:hAnsi="Arial" w:cs="Arial"/>
                <w:sz w:val="16"/>
                <w:szCs w:val="16"/>
                <w:highlight w:val="yellow"/>
              </w:rPr>
              <w:t>9</w:t>
            </w:r>
            <w:r w:rsidRPr="00F5121F">
              <w:rPr>
                <w:rFonts w:ascii="Arial" w:hAnsi="Arial" w:cs="Arial"/>
                <w:sz w:val="16"/>
                <w:szCs w:val="16"/>
                <w:highlight w:val="yellow"/>
              </w:rPr>
              <w:t>-1</w:t>
            </w:r>
            <w:r w:rsidR="004D5CB4" w:rsidRPr="00F5121F">
              <w:rPr>
                <w:rFonts w:ascii="Arial" w:hAnsi="Arial" w:cs="Arial"/>
                <w:sz w:val="16"/>
                <w:szCs w:val="16"/>
                <w:highlight w:val="yellow"/>
              </w:rPr>
              <w:t>3</w:t>
            </w:r>
          </w:p>
        </w:tc>
        <w:tc>
          <w:tcPr>
            <w:tcW w:w="72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2000-04</w:t>
            </w:r>
          </w:p>
        </w:tc>
        <w:tc>
          <w:tcPr>
            <w:tcW w:w="745" w:type="dxa"/>
            <w:vAlign w:val="center"/>
          </w:tcPr>
          <w:p w:rsidR="00D00010" w:rsidRPr="00D2668E" w:rsidRDefault="00FA4DF8" w:rsidP="00197BAD">
            <w:pPr>
              <w:spacing w:after="0" w:line="240" w:lineRule="auto"/>
              <w:jc w:val="center"/>
              <w:rPr>
                <w:rFonts w:ascii="Arial" w:hAnsi="Arial" w:cs="Arial"/>
                <w:sz w:val="16"/>
                <w:szCs w:val="16"/>
                <w:highlight w:val="yellow"/>
              </w:rPr>
            </w:pPr>
            <w:r w:rsidRPr="00D2668E">
              <w:rPr>
                <w:rFonts w:ascii="Arial" w:hAnsi="Arial" w:cs="Arial"/>
                <w:sz w:val="16"/>
                <w:szCs w:val="16"/>
                <w:highlight w:val="yellow"/>
              </w:rPr>
              <w:t>200</w:t>
            </w:r>
            <w:r w:rsidR="00197BAD">
              <w:rPr>
                <w:rFonts w:ascii="Arial" w:hAnsi="Arial" w:cs="Arial"/>
                <w:sz w:val="16"/>
                <w:szCs w:val="16"/>
                <w:highlight w:val="yellow"/>
              </w:rPr>
              <w:t>9</w:t>
            </w:r>
            <w:r w:rsidRPr="00D2668E">
              <w:rPr>
                <w:rFonts w:ascii="Arial" w:hAnsi="Arial" w:cs="Arial"/>
                <w:sz w:val="16"/>
                <w:szCs w:val="16"/>
                <w:highlight w:val="yellow"/>
              </w:rPr>
              <w:t>-1</w:t>
            </w:r>
            <w:r w:rsidR="004D5CB4" w:rsidRPr="00D2668E">
              <w:rPr>
                <w:rFonts w:ascii="Arial" w:hAnsi="Arial" w:cs="Arial"/>
                <w:sz w:val="16"/>
                <w:szCs w:val="16"/>
                <w:highlight w:val="yellow"/>
              </w:rPr>
              <w:t>3</w:t>
            </w:r>
          </w:p>
        </w:tc>
      </w:tr>
      <w:tr w:rsidR="00D00010" w:rsidTr="00D00010">
        <w:trPr>
          <w:trHeight w:val="238"/>
          <w:jc w:val="center"/>
        </w:trPr>
        <w:tc>
          <w:tcPr>
            <w:tcW w:w="2275" w:type="dxa"/>
            <w:vAlign w:val="center"/>
          </w:tcPr>
          <w:p w:rsidR="00D00010" w:rsidRPr="00E65BEE" w:rsidRDefault="00D00010" w:rsidP="00D00010">
            <w:pPr>
              <w:spacing w:after="0" w:line="240" w:lineRule="auto"/>
              <w:jc w:val="center"/>
              <w:rPr>
                <w:rFonts w:ascii="Arial" w:hAnsi="Arial" w:cs="Arial"/>
                <w:sz w:val="16"/>
                <w:szCs w:val="16"/>
              </w:rPr>
            </w:pPr>
            <w:r>
              <w:rPr>
                <w:rFonts w:ascii="Arial" w:hAnsi="Arial" w:cs="Arial"/>
                <w:sz w:val="16"/>
                <w:szCs w:val="16"/>
              </w:rPr>
              <w:t xml:space="preserve">Sulfate </w:t>
            </w:r>
            <w:proofErr w:type="spellStart"/>
            <w:r>
              <w:rPr>
                <w:rFonts w:ascii="Arial" w:hAnsi="Arial" w:cs="Arial"/>
                <w:sz w:val="16"/>
                <w:szCs w:val="16"/>
              </w:rPr>
              <w:t>Bext</w:t>
            </w:r>
            <w:proofErr w:type="spellEnd"/>
          </w:p>
        </w:tc>
        <w:tc>
          <w:tcPr>
            <w:tcW w:w="81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127.1</w:t>
            </w:r>
          </w:p>
        </w:tc>
        <w:tc>
          <w:tcPr>
            <w:tcW w:w="720" w:type="dxa"/>
            <w:vAlign w:val="center"/>
          </w:tcPr>
          <w:p w:rsidR="00D00010"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51.5</w:t>
            </w:r>
          </w:p>
        </w:tc>
        <w:tc>
          <w:tcPr>
            <w:tcW w:w="72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87.3</w:t>
            </w:r>
          </w:p>
        </w:tc>
        <w:tc>
          <w:tcPr>
            <w:tcW w:w="720" w:type="dxa"/>
            <w:vAlign w:val="center"/>
          </w:tcPr>
          <w:p w:rsidR="00D00010"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37.9</w:t>
            </w:r>
          </w:p>
        </w:tc>
        <w:tc>
          <w:tcPr>
            <w:tcW w:w="72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76.6</w:t>
            </w:r>
          </w:p>
        </w:tc>
        <w:tc>
          <w:tcPr>
            <w:tcW w:w="720" w:type="dxa"/>
            <w:vAlign w:val="center"/>
          </w:tcPr>
          <w:p w:rsidR="00D00010"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25.6</w:t>
            </w:r>
          </w:p>
        </w:tc>
        <w:tc>
          <w:tcPr>
            <w:tcW w:w="720" w:type="dxa"/>
            <w:vAlign w:val="center"/>
          </w:tcPr>
          <w:p w:rsidR="00D00010" w:rsidRPr="004D5CB4" w:rsidRDefault="00FA4DF8" w:rsidP="004D5CB4">
            <w:pPr>
              <w:spacing w:after="0" w:line="240" w:lineRule="auto"/>
              <w:jc w:val="center"/>
              <w:rPr>
                <w:rFonts w:ascii="Arial" w:hAnsi="Arial" w:cs="Arial"/>
                <w:sz w:val="16"/>
                <w:szCs w:val="16"/>
              </w:rPr>
            </w:pPr>
            <w:r w:rsidRPr="004D5CB4">
              <w:rPr>
                <w:rFonts w:ascii="Arial" w:hAnsi="Arial" w:cs="Arial"/>
                <w:sz w:val="16"/>
                <w:szCs w:val="16"/>
              </w:rPr>
              <w:t>69.2</w:t>
            </w:r>
          </w:p>
        </w:tc>
        <w:tc>
          <w:tcPr>
            <w:tcW w:w="720" w:type="dxa"/>
            <w:vAlign w:val="center"/>
          </w:tcPr>
          <w:p w:rsidR="00D00010" w:rsidRPr="00F5121F" w:rsidRDefault="00F5121F" w:rsidP="004D5CB4">
            <w:pPr>
              <w:spacing w:after="0" w:line="240" w:lineRule="auto"/>
              <w:jc w:val="center"/>
              <w:rPr>
                <w:rFonts w:ascii="Arial" w:hAnsi="Arial" w:cs="Arial"/>
                <w:sz w:val="16"/>
                <w:szCs w:val="16"/>
                <w:highlight w:val="yellow"/>
              </w:rPr>
            </w:pPr>
            <w:r w:rsidRPr="00F5121F">
              <w:rPr>
                <w:rFonts w:ascii="Arial" w:hAnsi="Arial" w:cs="Arial"/>
                <w:sz w:val="16"/>
                <w:szCs w:val="16"/>
                <w:highlight w:val="yellow"/>
              </w:rPr>
              <w:t>30.7</w:t>
            </w:r>
          </w:p>
        </w:tc>
        <w:tc>
          <w:tcPr>
            <w:tcW w:w="720" w:type="dxa"/>
            <w:vAlign w:val="center"/>
          </w:tcPr>
          <w:p w:rsidR="00D00010" w:rsidRPr="00E65BEE" w:rsidRDefault="00C4754A" w:rsidP="004D5CB4">
            <w:pPr>
              <w:spacing w:after="0" w:line="240" w:lineRule="auto"/>
              <w:jc w:val="center"/>
              <w:rPr>
                <w:rFonts w:ascii="Arial" w:hAnsi="Arial" w:cs="Arial"/>
                <w:sz w:val="16"/>
                <w:szCs w:val="16"/>
              </w:rPr>
            </w:pPr>
            <w:r>
              <w:rPr>
                <w:rFonts w:ascii="Arial" w:hAnsi="Arial" w:cs="Arial"/>
                <w:sz w:val="16"/>
                <w:szCs w:val="16"/>
              </w:rPr>
              <w:t>58.5</w:t>
            </w:r>
          </w:p>
        </w:tc>
        <w:tc>
          <w:tcPr>
            <w:tcW w:w="745" w:type="dxa"/>
            <w:vAlign w:val="center"/>
          </w:tcPr>
          <w:p w:rsidR="00D00010" w:rsidRPr="00D2668E" w:rsidRDefault="00D2668E" w:rsidP="004D5CB4">
            <w:pPr>
              <w:spacing w:after="0" w:line="240" w:lineRule="auto"/>
              <w:jc w:val="center"/>
              <w:rPr>
                <w:rFonts w:ascii="Arial" w:hAnsi="Arial" w:cs="Arial"/>
                <w:sz w:val="16"/>
                <w:szCs w:val="16"/>
                <w:highlight w:val="yellow"/>
              </w:rPr>
            </w:pPr>
            <w:r w:rsidRPr="00D2668E">
              <w:rPr>
                <w:rFonts w:ascii="Arial" w:hAnsi="Arial" w:cs="Arial"/>
                <w:sz w:val="16"/>
                <w:szCs w:val="16"/>
                <w:highlight w:val="yellow"/>
              </w:rPr>
              <w:t>26.7</w:t>
            </w:r>
          </w:p>
        </w:tc>
      </w:tr>
      <w:tr w:rsidR="00D00010" w:rsidTr="00D00010">
        <w:trPr>
          <w:trHeight w:val="265"/>
          <w:jc w:val="center"/>
        </w:trPr>
        <w:tc>
          <w:tcPr>
            <w:tcW w:w="2275" w:type="dxa"/>
            <w:vAlign w:val="center"/>
          </w:tcPr>
          <w:p w:rsidR="00D00010" w:rsidRPr="00E65BEE" w:rsidRDefault="00D00010" w:rsidP="00D00010">
            <w:pPr>
              <w:spacing w:after="0" w:line="240" w:lineRule="auto"/>
              <w:jc w:val="center"/>
              <w:rPr>
                <w:rFonts w:ascii="Arial" w:hAnsi="Arial" w:cs="Arial"/>
                <w:sz w:val="16"/>
                <w:szCs w:val="16"/>
              </w:rPr>
            </w:pPr>
            <w:r>
              <w:rPr>
                <w:rFonts w:ascii="Arial" w:hAnsi="Arial" w:cs="Arial"/>
                <w:sz w:val="16"/>
                <w:szCs w:val="16"/>
              </w:rPr>
              <w:t xml:space="preserve">Nitrate </w:t>
            </w:r>
            <w:proofErr w:type="spellStart"/>
            <w:r>
              <w:rPr>
                <w:rFonts w:ascii="Arial" w:hAnsi="Arial" w:cs="Arial"/>
                <w:sz w:val="16"/>
                <w:szCs w:val="16"/>
              </w:rPr>
              <w:t>Bext</w:t>
            </w:r>
            <w:proofErr w:type="spellEnd"/>
          </w:p>
        </w:tc>
        <w:tc>
          <w:tcPr>
            <w:tcW w:w="81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15.7</w:t>
            </w:r>
          </w:p>
        </w:tc>
        <w:tc>
          <w:tcPr>
            <w:tcW w:w="720" w:type="dxa"/>
            <w:vAlign w:val="center"/>
          </w:tcPr>
          <w:p w:rsidR="00D00010"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16.1</w:t>
            </w:r>
          </w:p>
        </w:tc>
        <w:tc>
          <w:tcPr>
            <w:tcW w:w="72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9.1</w:t>
            </w:r>
          </w:p>
        </w:tc>
        <w:tc>
          <w:tcPr>
            <w:tcW w:w="720" w:type="dxa"/>
            <w:vAlign w:val="center"/>
          </w:tcPr>
          <w:p w:rsidR="00D00010"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6.6</w:t>
            </w:r>
          </w:p>
        </w:tc>
        <w:tc>
          <w:tcPr>
            <w:tcW w:w="72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3.0</w:t>
            </w:r>
          </w:p>
        </w:tc>
        <w:tc>
          <w:tcPr>
            <w:tcW w:w="720" w:type="dxa"/>
            <w:vAlign w:val="center"/>
          </w:tcPr>
          <w:p w:rsidR="00D00010"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2.3</w:t>
            </w:r>
          </w:p>
        </w:tc>
        <w:tc>
          <w:tcPr>
            <w:tcW w:w="720" w:type="dxa"/>
            <w:vAlign w:val="center"/>
          </w:tcPr>
          <w:p w:rsidR="00D00010" w:rsidRPr="004D5CB4" w:rsidRDefault="00C4754A" w:rsidP="004D5CB4">
            <w:pPr>
              <w:spacing w:after="0" w:line="240" w:lineRule="auto"/>
              <w:jc w:val="center"/>
              <w:rPr>
                <w:rFonts w:ascii="Arial" w:hAnsi="Arial" w:cs="Arial"/>
                <w:sz w:val="16"/>
                <w:szCs w:val="16"/>
              </w:rPr>
            </w:pPr>
            <w:r w:rsidRPr="004D5CB4">
              <w:rPr>
                <w:rFonts w:ascii="Arial" w:hAnsi="Arial" w:cs="Arial"/>
                <w:sz w:val="16"/>
                <w:szCs w:val="16"/>
              </w:rPr>
              <w:t>8.0</w:t>
            </w:r>
          </w:p>
        </w:tc>
        <w:tc>
          <w:tcPr>
            <w:tcW w:w="720" w:type="dxa"/>
            <w:vAlign w:val="center"/>
          </w:tcPr>
          <w:p w:rsidR="00D00010" w:rsidRPr="00F5121F" w:rsidRDefault="00F5121F" w:rsidP="004D5CB4">
            <w:pPr>
              <w:spacing w:after="0" w:line="240" w:lineRule="auto"/>
              <w:jc w:val="center"/>
              <w:rPr>
                <w:rFonts w:ascii="Arial" w:hAnsi="Arial" w:cs="Arial"/>
                <w:sz w:val="16"/>
                <w:szCs w:val="16"/>
                <w:highlight w:val="yellow"/>
              </w:rPr>
            </w:pPr>
            <w:r w:rsidRPr="00F5121F">
              <w:rPr>
                <w:rFonts w:ascii="Arial" w:hAnsi="Arial" w:cs="Arial"/>
                <w:sz w:val="16"/>
                <w:szCs w:val="16"/>
                <w:highlight w:val="yellow"/>
              </w:rPr>
              <w:t>4.8</w:t>
            </w:r>
          </w:p>
        </w:tc>
        <w:tc>
          <w:tcPr>
            <w:tcW w:w="720" w:type="dxa"/>
            <w:vAlign w:val="center"/>
          </w:tcPr>
          <w:p w:rsidR="00D00010" w:rsidRPr="00E65BEE" w:rsidRDefault="00C4754A" w:rsidP="004D5CB4">
            <w:pPr>
              <w:spacing w:after="0" w:line="240" w:lineRule="auto"/>
              <w:jc w:val="center"/>
              <w:rPr>
                <w:rFonts w:ascii="Arial" w:hAnsi="Arial" w:cs="Arial"/>
                <w:sz w:val="16"/>
                <w:szCs w:val="16"/>
              </w:rPr>
            </w:pPr>
            <w:r>
              <w:rPr>
                <w:rFonts w:ascii="Arial" w:hAnsi="Arial" w:cs="Arial"/>
                <w:sz w:val="16"/>
                <w:szCs w:val="16"/>
              </w:rPr>
              <w:t>6.4</w:t>
            </w:r>
          </w:p>
        </w:tc>
        <w:tc>
          <w:tcPr>
            <w:tcW w:w="745" w:type="dxa"/>
            <w:vAlign w:val="center"/>
          </w:tcPr>
          <w:p w:rsidR="00D00010" w:rsidRPr="00D2668E" w:rsidRDefault="00D2668E" w:rsidP="004D5CB4">
            <w:pPr>
              <w:spacing w:after="0" w:line="240" w:lineRule="auto"/>
              <w:jc w:val="center"/>
              <w:rPr>
                <w:rFonts w:ascii="Arial" w:hAnsi="Arial" w:cs="Arial"/>
                <w:sz w:val="16"/>
                <w:szCs w:val="16"/>
                <w:highlight w:val="yellow"/>
              </w:rPr>
            </w:pPr>
            <w:r w:rsidRPr="00D2668E">
              <w:rPr>
                <w:rFonts w:ascii="Arial" w:hAnsi="Arial" w:cs="Arial"/>
                <w:sz w:val="16"/>
                <w:szCs w:val="16"/>
                <w:highlight w:val="yellow"/>
              </w:rPr>
              <w:t>3.3</w:t>
            </w:r>
          </w:p>
        </w:tc>
      </w:tr>
      <w:tr w:rsidR="00D00010" w:rsidTr="00D00010">
        <w:trPr>
          <w:trHeight w:val="265"/>
          <w:jc w:val="center"/>
        </w:trPr>
        <w:tc>
          <w:tcPr>
            <w:tcW w:w="2275" w:type="dxa"/>
            <w:vAlign w:val="center"/>
          </w:tcPr>
          <w:p w:rsidR="00D00010" w:rsidRPr="00E65BEE" w:rsidRDefault="00972D81" w:rsidP="00D00010">
            <w:pPr>
              <w:spacing w:after="0" w:line="240" w:lineRule="auto"/>
              <w:jc w:val="center"/>
              <w:rPr>
                <w:rFonts w:ascii="Arial" w:hAnsi="Arial" w:cs="Arial"/>
                <w:sz w:val="16"/>
                <w:szCs w:val="16"/>
              </w:rPr>
            </w:pPr>
            <w:r>
              <w:rPr>
                <w:rFonts w:ascii="Arial" w:hAnsi="Arial" w:cs="Arial"/>
                <w:sz w:val="16"/>
                <w:szCs w:val="16"/>
              </w:rPr>
              <w:t>POM</w:t>
            </w:r>
            <w:r w:rsidR="00D00010">
              <w:rPr>
                <w:rFonts w:ascii="Arial" w:hAnsi="Arial" w:cs="Arial"/>
                <w:sz w:val="16"/>
                <w:szCs w:val="16"/>
              </w:rPr>
              <w:t xml:space="preserve"> </w:t>
            </w:r>
            <w:proofErr w:type="spellStart"/>
            <w:r w:rsidR="00D00010">
              <w:rPr>
                <w:rFonts w:ascii="Arial" w:hAnsi="Arial" w:cs="Arial"/>
                <w:sz w:val="16"/>
                <w:szCs w:val="16"/>
              </w:rPr>
              <w:t>Bext</w:t>
            </w:r>
            <w:proofErr w:type="spellEnd"/>
          </w:p>
        </w:tc>
        <w:tc>
          <w:tcPr>
            <w:tcW w:w="81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24.2</w:t>
            </w:r>
          </w:p>
        </w:tc>
        <w:tc>
          <w:tcPr>
            <w:tcW w:w="720" w:type="dxa"/>
            <w:vAlign w:val="center"/>
          </w:tcPr>
          <w:p w:rsidR="00D00010"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13.7</w:t>
            </w:r>
          </w:p>
        </w:tc>
        <w:tc>
          <w:tcPr>
            <w:tcW w:w="72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15.3</w:t>
            </w:r>
          </w:p>
        </w:tc>
        <w:tc>
          <w:tcPr>
            <w:tcW w:w="720" w:type="dxa"/>
            <w:vAlign w:val="center"/>
          </w:tcPr>
          <w:p w:rsidR="00D00010"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8.6</w:t>
            </w:r>
          </w:p>
        </w:tc>
        <w:tc>
          <w:tcPr>
            <w:tcW w:w="72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14.4</w:t>
            </w:r>
          </w:p>
        </w:tc>
        <w:tc>
          <w:tcPr>
            <w:tcW w:w="720" w:type="dxa"/>
            <w:vAlign w:val="center"/>
          </w:tcPr>
          <w:p w:rsidR="00D00010"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11.0</w:t>
            </w:r>
          </w:p>
        </w:tc>
        <w:tc>
          <w:tcPr>
            <w:tcW w:w="720" w:type="dxa"/>
            <w:vAlign w:val="center"/>
          </w:tcPr>
          <w:p w:rsidR="00D00010" w:rsidRPr="004D5CB4" w:rsidRDefault="00C4754A" w:rsidP="004D5CB4">
            <w:pPr>
              <w:spacing w:after="0" w:line="240" w:lineRule="auto"/>
              <w:jc w:val="center"/>
              <w:rPr>
                <w:rFonts w:ascii="Arial" w:hAnsi="Arial" w:cs="Arial"/>
                <w:sz w:val="16"/>
                <w:szCs w:val="16"/>
              </w:rPr>
            </w:pPr>
            <w:r w:rsidRPr="004D5CB4">
              <w:rPr>
                <w:rFonts w:ascii="Arial" w:hAnsi="Arial" w:cs="Arial"/>
                <w:sz w:val="16"/>
                <w:szCs w:val="16"/>
              </w:rPr>
              <w:t>11.2</w:t>
            </w:r>
          </w:p>
        </w:tc>
        <w:tc>
          <w:tcPr>
            <w:tcW w:w="720" w:type="dxa"/>
            <w:vAlign w:val="center"/>
          </w:tcPr>
          <w:p w:rsidR="00D00010" w:rsidRPr="00F5121F" w:rsidRDefault="00F5121F" w:rsidP="004D5CB4">
            <w:pPr>
              <w:spacing w:after="0" w:line="240" w:lineRule="auto"/>
              <w:jc w:val="center"/>
              <w:rPr>
                <w:rFonts w:ascii="Arial" w:hAnsi="Arial" w:cs="Arial"/>
                <w:sz w:val="16"/>
                <w:szCs w:val="16"/>
                <w:highlight w:val="yellow"/>
              </w:rPr>
            </w:pPr>
            <w:r w:rsidRPr="00F5121F">
              <w:rPr>
                <w:rFonts w:ascii="Arial" w:hAnsi="Arial" w:cs="Arial"/>
                <w:sz w:val="16"/>
                <w:szCs w:val="16"/>
                <w:highlight w:val="yellow"/>
              </w:rPr>
              <w:t>8.3</w:t>
            </w:r>
          </w:p>
        </w:tc>
        <w:tc>
          <w:tcPr>
            <w:tcW w:w="720" w:type="dxa"/>
            <w:vAlign w:val="center"/>
          </w:tcPr>
          <w:p w:rsidR="00D00010" w:rsidRPr="00E65BEE" w:rsidRDefault="00C4754A" w:rsidP="004D5CB4">
            <w:pPr>
              <w:spacing w:after="0" w:line="240" w:lineRule="auto"/>
              <w:jc w:val="center"/>
              <w:rPr>
                <w:rFonts w:ascii="Arial" w:hAnsi="Arial" w:cs="Arial"/>
                <w:sz w:val="16"/>
                <w:szCs w:val="16"/>
              </w:rPr>
            </w:pPr>
            <w:r>
              <w:rPr>
                <w:rFonts w:ascii="Arial" w:hAnsi="Arial" w:cs="Arial"/>
                <w:sz w:val="16"/>
                <w:szCs w:val="16"/>
              </w:rPr>
              <w:t>11.9</w:t>
            </w:r>
          </w:p>
        </w:tc>
        <w:tc>
          <w:tcPr>
            <w:tcW w:w="745" w:type="dxa"/>
            <w:vAlign w:val="center"/>
          </w:tcPr>
          <w:p w:rsidR="00D00010" w:rsidRPr="00D2668E" w:rsidRDefault="00972D81" w:rsidP="00D2668E">
            <w:pPr>
              <w:spacing w:after="0" w:line="240" w:lineRule="auto"/>
              <w:jc w:val="center"/>
              <w:rPr>
                <w:rFonts w:ascii="Arial" w:hAnsi="Arial" w:cs="Arial"/>
                <w:sz w:val="16"/>
                <w:szCs w:val="16"/>
                <w:highlight w:val="yellow"/>
              </w:rPr>
            </w:pPr>
            <w:r w:rsidRPr="00D2668E">
              <w:rPr>
                <w:rFonts w:ascii="Arial" w:hAnsi="Arial" w:cs="Arial"/>
                <w:sz w:val="16"/>
                <w:szCs w:val="16"/>
                <w:highlight w:val="yellow"/>
              </w:rPr>
              <w:t>8.</w:t>
            </w:r>
            <w:r w:rsidR="00D2668E" w:rsidRPr="00D2668E">
              <w:rPr>
                <w:rFonts w:ascii="Arial" w:hAnsi="Arial" w:cs="Arial"/>
                <w:sz w:val="16"/>
                <w:szCs w:val="16"/>
                <w:highlight w:val="yellow"/>
              </w:rPr>
              <w:t>4</w:t>
            </w:r>
          </w:p>
        </w:tc>
      </w:tr>
      <w:tr w:rsidR="00D00010" w:rsidTr="00D00010">
        <w:trPr>
          <w:trHeight w:val="292"/>
          <w:jc w:val="center"/>
        </w:trPr>
        <w:tc>
          <w:tcPr>
            <w:tcW w:w="2275" w:type="dxa"/>
            <w:vAlign w:val="center"/>
          </w:tcPr>
          <w:p w:rsidR="00D00010" w:rsidRPr="00E65BEE" w:rsidRDefault="00972D81" w:rsidP="00D00010">
            <w:pPr>
              <w:spacing w:after="0" w:line="240" w:lineRule="auto"/>
              <w:jc w:val="center"/>
              <w:rPr>
                <w:rFonts w:ascii="Arial" w:hAnsi="Arial" w:cs="Arial"/>
                <w:sz w:val="16"/>
                <w:szCs w:val="16"/>
              </w:rPr>
            </w:pPr>
            <w:r>
              <w:rPr>
                <w:rFonts w:ascii="Arial" w:hAnsi="Arial" w:cs="Arial"/>
                <w:sz w:val="16"/>
                <w:szCs w:val="16"/>
              </w:rPr>
              <w:t>EC</w:t>
            </w:r>
            <w:r w:rsidR="00D00010">
              <w:rPr>
                <w:rFonts w:ascii="Arial" w:hAnsi="Arial" w:cs="Arial"/>
                <w:sz w:val="16"/>
                <w:szCs w:val="16"/>
              </w:rPr>
              <w:t xml:space="preserve"> </w:t>
            </w:r>
            <w:proofErr w:type="spellStart"/>
            <w:r w:rsidR="00D00010">
              <w:rPr>
                <w:rFonts w:ascii="Arial" w:hAnsi="Arial" w:cs="Arial"/>
                <w:sz w:val="16"/>
                <w:szCs w:val="16"/>
              </w:rPr>
              <w:t>Bext</w:t>
            </w:r>
            <w:proofErr w:type="spellEnd"/>
          </w:p>
        </w:tc>
        <w:tc>
          <w:tcPr>
            <w:tcW w:w="81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7.0</w:t>
            </w:r>
          </w:p>
        </w:tc>
        <w:tc>
          <w:tcPr>
            <w:tcW w:w="720" w:type="dxa"/>
            <w:vAlign w:val="center"/>
          </w:tcPr>
          <w:p w:rsidR="00D00010" w:rsidRPr="008F0DA1" w:rsidRDefault="00FA4DF8"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4.8</w:t>
            </w:r>
          </w:p>
        </w:tc>
        <w:tc>
          <w:tcPr>
            <w:tcW w:w="72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4.8</w:t>
            </w:r>
          </w:p>
        </w:tc>
        <w:tc>
          <w:tcPr>
            <w:tcW w:w="720" w:type="dxa"/>
            <w:vAlign w:val="center"/>
          </w:tcPr>
          <w:p w:rsidR="00D00010"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2.9</w:t>
            </w:r>
          </w:p>
        </w:tc>
        <w:tc>
          <w:tcPr>
            <w:tcW w:w="72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3.9</w:t>
            </w:r>
          </w:p>
        </w:tc>
        <w:tc>
          <w:tcPr>
            <w:tcW w:w="720" w:type="dxa"/>
            <w:vAlign w:val="center"/>
          </w:tcPr>
          <w:p w:rsidR="00D00010"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2.3</w:t>
            </w:r>
          </w:p>
        </w:tc>
        <w:tc>
          <w:tcPr>
            <w:tcW w:w="720" w:type="dxa"/>
            <w:vAlign w:val="center"/>
          </w:tcPr>
          <w:p w:rsidR="00D00010" w:rsidRPr="004D5CB4" w:rsidRDefault="00C4754A" w:rsidP="004D5CB4">
            <w:pPr>
              <w:spacing w:after="0" w:line="240" w:lineRule="auto"/>
              <w:jc w:val="center"/>
              <w:rPr>
                <w:rFonts w:ascii="Arial" w:hAnsi="Arial" w:cs="Arial"/>
                <w:sz w:val="16"/>
                <w:szCs w:val="16"/>
              </w:rPr>
            </w:pPr>
            <w:r w:rsidRPr="004D5CB4">
              <w:rPr>
                <w:rFonts w:ascii="Arial" w:hAnsi="Arial" w:cs="Arial"/>
                <w:sz w:val="16"/>
                <w:szCs w:val="16"/>
              </w:rPr>
              <w:t>4.3</w:t>
            </w:r>
          </w:p>
        </w:tc>
        <w:tc>
          <w:tcPr>
            <w:tcW w:w="720" w:type="dxa"/>
            <w:vAlign w:val="center"/>
          </w:tcPr>
          <w:p w:rsidR="00D00010" w:rsidRPr="00F5121F" w:rsidRDefault="00972D81" w:rsidP="00F5121F">
            <w:pPr>
              <w:spacing w:after="0" w:line="240" w:lineRule="auto"/>
              <w:jc w:val="center"/>
              <w:rPr>
                <w:rFonts w:ascii="Arial" w:hAnsi="Arial" w:cs="Arial"/>
                <w:sz w:val="16"/>
                <w:szCs w:val="16"/>
                <w:highlight w:val="yellow"/>
              </w:rPr>
            </w:pPr>
            <w:r w:rsidRPr="00F5121F">
              <w:rPr>
                <w:rFonts w:ascii="Arial" w:hAnsi="Arial" w:cs="Arial"/>
                <w:sz w:val="16"/>
                <w:szCs w:val="16"/>
                <w:highlight w:val="yellow"/>
              </w:rPr>
              <w:t>2</w:t>
            </w:r>
            <w:r w:rsidR="00F5121F" w:rsidRPr="00F5121F">
              <w:rPr>
                <w:rFonts w:ascii="Arial" w:hAnsi="Arial" w:cs="Arial"/>
                <w:sz w:val="16"/>
                <w:szCs w:val="16"/>
                <w:highlight w:val="yellow"/>
              </w:rPr>
              <w:t>.4</w:t>
            </w:r>
          </w:p>
        </w:tc>
        <w:tc>
          <w:tcPr>
            <w:tcW w:w="720" w:type="dxa"/>
            <w:vAlign w:val="center"/>
          </w:tcPr>
          <w:p w:rsidR="00D00010" w:rsidRPr="00E65BEE" w:rsidRDefault="00C4754A" w:rsidP="004D5CB4">
            <w:pPr>
              <w:spacing w:after="0" w:line="240" w:lineRule="auto"/>
              <w:jc w:val="center"/>
              <w:rPr>
                <w:rFonts w:ascii="Arial" w:hAnsi="Arial" w:cs="Arial"/>
                <w:sz w:val="16"/>
                <w:szCs w:val="16"/>
              </w:rPr>
            </w:pPr>
            <w:r>
              <w:rPr>
                <w:rFonts w:ascii="Arial" w:hAnsi="Arial" w:cs="Arial"/>
                <w:sz w:val="16"/>
                <w:szCs w:val="16"/>
              </w:rPr>
              <w:t>4.4</w:t>
            </w:r>
          </w:p>
        </w:tc>
        <w:tc>
          <w:tcPr>
            <w:tcW w:w="745" w:type="dxa"/>
            <w:vAlign w:val="center"/>
          </w:tcPr>
          <w:p w:rsidR="00D00010" w:rsidRPr="00D2668E" w:rsidRDefault="00972D81" w:rsidP="00D2668E">
            <w:pPr>
              <w:spacing w:after="0" w:line="240" w:lineRule="auto"/>
              <w:jc w:val="center"/>
              <w:rPr>
                <w:rFonts w:ascii="Arial" w:hAnsi="Arial" w:cs="Arial"/>
                <w:sz w:val="16"/>
                <w:szCs w:val="16"/>
                <w:highlight w:val="yellow"/>
              </w:rPr>
            </w:pPr>
            <w:r w:rsidRPr="00D2668E">
              <w:rPr>
                <w:rFonts w:ascii="Arial" w:hAnsi="Arial" w:cs="Arial"/>
                <w:sz w:val="16"/>
                <w:szCs w:val="16"/>
                <w:highlight w:val="yellow"/>
              </w:rPr>
              <w:t>2.</w:t>
            </w:r>
            <w:r w:rsidR="00D2668E" w:rsidRPr="00D2668E">
              <w:rPr>
                <w:rFonts w:ascii="Arial" w:hAnsi="Arial" w:cs="Arial"/>
                <w:sz w:val="16"/>
                <w:szCs w:val="16"/>
                <w:highlight w:val="yellow"/>
              </w:rPr>
              <w:t>2</w:t>
            </w:r>
          </w:p>
        </w:tc>
      </w:tr>
      <w:tr w:rsidR="00D00010" w:rsidTr="00D00010">
        <w:trPr>
          <w:trHeight w:val="238"/>
          <w:jc w:val="center"/>
        </w:trPr>
        <w:tc>
          <w:tcPr>
            <w:tcW w:w="2275" w:type="dxa"/>
            <w:vAlign w:val="center"/>
          </w:tcPr>
          <w:p w:rsidR="00D00010" w:rsidRPr="00E65BEE" w:rsidRDefault="00D00010" w:rsidP="00D00010">
            <w:pPr>
              <w:spacing w:after="0" w:line="240" w:lineRule="auto"/>
              <w:jc w:val="center"/>
              <w:rPr>
                <w:rFonts w:ascii="Arial" w:hAnsi="Arial" w:cs="Arial"/>
                <w:sz w:val="16"/>
                <w:szCs w:val="16"/>
              </w:rPr>
            </w:pPr>
            <w:r>
              <w:rPr>
                <w:rFonts w:ascii="Arial" w:hAnsi="Arial" w:cs="Arial"/>
                <w:sz w:val="16"/>
                <w:szCs w:val="16"/>
              </w:rPr>
              <w:t xml:space="preserve">Soil </w:t>
            </w:r>
            <w:proofErr w:type="spellStart"/>
            <w:r>
              <w:rPr>
                <w:rFonts w:ascii="Arial" w:hAnsi="Arial" w:cs="Arial"/>
                <w:sz w:val="16"/>
                <w:szCs w:val="16"/>
              </w:rPr>
              <w:t>Bext</w:t>
            </w:r>
            <w:proofErr w:type="spellEnd"/>
          </w:p>
        </w:tc>
        <w:tc>
          <w:tcPr>
            <w:tcW w:w="81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1.0</w:t>
            </w:r>
          </w:p>
        </w:tc>
        <w:tc>
          <w:tcPr>
            <w:tcW w:w="720" w:type="dxa"/>
            <w:vAlign w:val="center"/>
          </w:tcPr>
          <w:p w:rsidR="00D00010" w:rsidRPr="008F0DA1" w:rsidRDefault="00FA4DF8" w:rsidP="008F0DA1">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0.</w:t>
            </w:r>
            <w:r w:rsidR="008F0DA1" w:rsidRPr="008F0DA1">
              <w:rPr>
                <w:rFonts w:ascii="Arial" w:hAnsi="Arial" w:cs="Arial"/>
                <w:sz w:val="16"/>
                <w:szCs w:val="16"/>
                <w:highlight w:val="yellow"/>
              </w:rPr>
              <w:t>5</w:t>
            </w:r>
          </w:p>
        </w:tc>
        <w:tc>
          <w:tcPr>
            <w:tcW w:w="72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0.6</w:t>
            </w:r>
          </w:p>
        </w:tc>
        <w:tc>
          <w:tcPr>
            <w:tcW w:w="720" w:type="dxa"/>
            <w:vAlign w:val="center"/>
          </w:tcPr>
          <w:p w:rsidR="00D00010" w:rsidRPr="008F0DA1" w:rsidRDefault="00C4754A"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0.4</w:t>
            </w:r>
          </w:p>
        </w:tc>
        <w:tc>
          <w:tcPr>
            <w:tcW w:w="72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0.6</w:t>
            </w:r>
          </w:p>
        </w:tc>
        <w:tc>
          <w:tcPr>
            <w:tcW w:w="720" w:type="dxa"/>
            <w:vAlign w:val="center"/>
          </w:tcPr>
          <w:p w:rsidR="00D00010"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0.2</w:t>
            </w:r>
          </w:p>
        </w:tc>
        <w:tc>
          <w:tcPr>
            <w:tcW w:w="720" w:type="dxa"/>
            <w:vAlign w:val="center"/>
          </w:tcPr>
          <w:p w:rsidR="00D00010" w:rsidRPr="004D5CB4" w:rsidRDefault="00C4754A" w:rsidP="004D5CB4">
            <w:pPr>
              <w:spacing w:after="0" w:line="240" w:lineRule="auto"/>
              <w:jc w:val="center"/>
              <w:rPr>
                <w:rFonts w:ascii="Arial" w:hAnsi="Arial" w:cs="Arial"/>
                <w:sz w:val="16"/>
                <w:szCs w:val="16"/>
              </w:rPr>
            </w:pPr>
            <w:r w:rsidRPr="004D5CB4">
              <w:rPr>
                <w:rFonts w:ascii="Arial" w:hAnsi="Arial" w:cs="Arial"/>
                <w:sz w:val="16"/>
                <w:szCs w:val="16"/>
              </w:rPr>
              <w:t>0.5</w:t>
            </w:r>
          </w:p>
        </w:tc>
        <w:tc>
          <w:tcPr>
            <w:tcW w:w="720" w:type="dxa"/>
            <w:vAlign w:val="center"/>
          </w:tcPr>
          <w:p w:rsidR="00D00010" w:rsidRPr="00F5121F" w:rsidRDefault="00972D81" w:rsidP="004D5CB4">
            <w:pPr>
              <w:spacing w:after="0" w:line="240" w:lineRule="auto"/>
              <w:jc w:val="center"/>
              <w:rPr>
                <w:rFonts w:ascii="Arial" w:hAnsi="Arial" w:cs="Arial"/>
                <w:sz w:val="16"/>
                <w:szCs w:val="16"/>
                <w:highlight w:val="yellow"/>
              </w:rPr>
            </w:pPr>
            <w:r w:rsidRPr="00F5121F">
              <w:rPr>
                <w:rFonts w:ascii="Arial" w:hAnsi="Arial" w:cs="Arial"/>
                <w:sz w:val="16"/>
                <w:szCs w:val="16"/>
                <w:highlight w:val="yellow"/>
              </w:rPr>
              <w:t>0.3</w:t>
            </w:r>
          </w:p>
        </w:tc>
        <w:tc>
          <w:tcPr>
            <w:tcW w:w="720" w:type="dxa"/>
            <w:vAlign w:val="center"/>
          </w:tcPr>
          <w:p w:rsidR="00D00010" w:rsidRPr="00E65BEE" w:rsidRDefault="00C4754A" w:rsidP="004D5CB4">
            <w:pPr>
              <w:spacing w:after="0" w:line="240" w:lineRule="auto"/>
              <w:jc w:val="center"/>
              <w:rPr>
                <w:rFonts w:ascii="Arial" w:hAnsi="Arial" w:cs="Arial"/>
                <w:sz w:val="16"/>
                <w:szCs w:val="16"/>
              </w:rPr>
            </w:pPr>
            <w:r>
              <w:rPr>
                <w:rFonts w:ascii="Arial" w:hAnsi="Arial" w:cs="Arial"/>
                <w:sz w:val="16"/>
                <w:szCs w:val="16"/>
              </w:rPr>
              <w:t>0.4</w:t>
            </w:r>
          </w:p>
        </w:tc>
        <w:tc>
          <w:tcPr>
            <w:tcW w:w="745" w:type="dxa"/>
            <w:vAlign w:val="center"/>
          </w:tcPr>
          <w:p w:rsidR="00D00010" w:rsidRPr="00D2668E" w:rsidRDefault="00972D81" w:rsidP="004D5CB4">
            <w:pPr>
              <w:spacing w:after="0" w:line="240" w:lineRule="auto"/>
              <w:jc w:val="center"/>
              <w:rPr>
                <w:rFonts w:ascii="Arial" w:hAnsi="Arial" w:cs="Arial"/>
                <w:sz w:val="16"/>
                <w:szCs w:val="16"/>
                <w:highlight w:val="yellow"/>
              </w:rPr>
            </w:pPr>
            <w:r w:rsidRPr="00D2668E">
              <w:rPr>
                <w:rFonts w:ascii="Arial" w:hAnsi="Arial" w:cs="Arial"/>
                <w:sz w:val="16"/>
                <w:szCs w:val="16"/>
                <w:highlight w:val="yellow"/>
              </w:rPr>
              <w:t>0.3</w:t>
            </w:r>
          </w:p>
        </w:tc>
      </w:tr>
      <w:tr w:rsidR="00D00010" w:rsidTr="00D00010">
        <w:trPr>
          <w:trHeight w:val="265"/>
          <w:jc w:val="center"/>
        </w:trPr>
        <w:tc>
          <w:tcPr>
            <w:tcW w:w="2275" w:type="dxa"/>
            <w:vAlign w:val="center"/>
          </w:tcPr>
          <w:p w:rsidR="00D00010" w:rsidRPr="00E65BEE" w:rsidRDefault="00D00010" w:rsidP="00D00010">
            <w:pPr>
              <w:spacing w:after="0" w:line="240" w:lineRule="auto"/>
              <w:jc w:val="center"/>
              <w:rPr>
                <w:rFonts w:ascii="Arial" w:hAnsi="Arial" w:cs="Arial"/>
                <w:sz w:val="16"/>
                <w:szCs w:val="16"/>
              </w:rPr>
            </w:pPr>
            <w:r>
              <w:rPr>
                <w:rFonts w:ascii="Arial" w:hAnsi="Arial" w:cs="Arial"/>
                <w:sz w:val="16"/>
                <w:szCs w:val="16"/>
              </w:rPr>
              <w:t xml:space="preserve">Coarse </w:t>
            </w:r>
            <w:proofErr w:type="spellStart"/>
            <w:r>
              <w:rPr>
                <w:rFonts w:ascii="Arial" w:hAnsi="Arial" w:cs="Arial"/>
                <w:sz w:val="16"/>
                <w:szCs w:val="16"/>
              </w:rPr>
              <w:t>Bext</w:t>
            </w:r>
            <w:proofErr w:type="spellEnd"/>
          </w:p>
        </w:tc>
        <w:tc>
          <w:tcPr>
            <w:tcW w:w="81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5.4</w:t>
            </w:r>
          </w:p>
        </w:tc>
        <w:tc>
          <w:tcPr>
            <w:tcW w:w="720" w:type="dxa"/>
            <w:vAlign w:val="center"/>
          </w:tcPr>
          <w:p w:rsidR="00D00010"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10.7</w:t>
            </w:r>
          </w:p>
        </w:tc>
        <w:tc>
          <w:tcPr>
            <w:tcW w:w="72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1.8</w:t>
            </w:r>
          </w:p>
        </w:tc>
        <w:tc>
          <w:tcPr>
            <w:tcW w:w="720" w:type="dxa"/>
            <w:vAlign w:val="center"/>
          </w:tcPr>
          <w:p w:rsidR="00D00010" w:rsidRPr="008F0DA1" w:rsidRDefault="00C4754A"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2.0</w:t>
            </w:r>
          </w:p>
        </w:tc>
        <w:tc>
          <w:tcPr>
            <w:tcW w:w="72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3.0</w:t>
            </w:r>
          </w:p>
        </w:tc>
        <w:tc>
          <w:tcPr>
            <w:tcW w:w="720" w:type="dxa"/>
            <w:vAlign w:val="center"/>
          </w:tcPr>
          <w:p w:rsidR="00D00010"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2.7</w:t>
            </w:r>
          </w:p>
        </w:tc>
        <w:tc>
          <w:tcPr>
            <w:tcW w:w="720" w:type="dxa"/>
            <w:vAlign w:val="center"/>
          </w:tcPr>
          <w:p w:rsidR="00D00010" w:rsidRPr="004D5CB4" w:rsidRDefault="00C4754A" w:rsidP="004D5CB4">
            <w:pPr>
              <w:spacing w:after="0" w:line="240" w:lineRule="auto"/>
              <w:jc w:val="center"/>
              <w:rPr>
                <w:rFonts w:ascii="Arial" w:hAnsi="Arial" w:cs="Arial"/>
                <w:sz w:val="16"/>
                <w:szCs w:val="16"/>
              </w:rPr>
            </w:pPr>
            <w:r w:rsidRPr="004D5CB4">
              <w:rPr>
                <w:rFonts w:ascii="Arial" w:hAnsi="Arial" w:cs="Arial"/>
                <w:sz w:val="16"/>
                <w:szCs w:val="16"/>
              </w:rPr>
              <w:t>1.9</w:t>
            </w:r>
          </w:p>
        </w:tc>
        <w:tc>
          <w:tcPr>
            <w:tcW w:w="720" w:type="dxa"/>
            <w:vAlign w:val="center"/>
          </w:tcPr>
          <w:p w:rsidR="00D00010" w:rsidRPr="00F5121F" w:rsidRDefault="00972D81" w:rsidP="00F5121F">
            <w:pPr>
              <w:spacing w:after="0" w:line="240" w:lineRule="auto"/>
              <w:jc w:val="center"/>
              <w:rPr>
                <w:rFonts w:ascii="Arial" w:hAnsi="Arial" w:cs="Arial"/>
                <w:sz w:val="16"/>
                <w:szCs w:val="16"/>
                <w:highlight w:val="yellow"/>
              </w:rPr>
            </w:pPr>
            <w:r w:rsidRPr="00F5121F">
              <w:rPr>
                <w:rFonts w:ascii="Arial" w:hAnsi="Arial" w:cs="Arial"/>
                <w:sz w:val="16"/>
                <w:szCs w:val="16"/>
                <w:highlight w:val="yellow"/>
              </w:rPr>
              <w:t>2.</w:t>
            </w:r>
            <w:r w:rsidR="00F5121F" w:rsidRPr="00F5121F">
              <w:rPr>
                <w:rFonts w:ascii="Arial" w:hAnsi="Arial" w:cs="Arial"/>
                <w:sz w:val="16"/>
                <w:szCs w:val="16"/>
                <w:highlight w:val="yellow"/>
              </w:rPr>
              <w:t>5</w:t>
            </w:r>
          </w:p>
        </w:tc>
        <w:tc>
          <w:tcPr>
            <w:tcW w:w="720" w:type="dxa"/>
            <w:vAlign w:val="center"/>
          </w:tcPr>
          <w:p w:rsidR="00D00010" w:rsidRPr="00E65BEE" w:rsidRDefault="00C4754A" w:rsidP="004D5CB4">
            <w:pPr>
              <w:spacing w:after="0" w:line="240" w:lineRule="auto"/>
              <w:jc w:val="center"/>
              <w:rPr>
                <w:rFonts w:ascii="Arial" w:hAnsi="Arial" w:cs="Arial"/>
                <w:sz w:val="16"/>
                <w:szCs w:val="16"/>
              </w:rPr>
            </w:pPr>
            <w:r>
              <w:rPr>
                <w:rFonts w:ascii="Arial" w:hAnsi="Arial" w:cs="Arial"/>
                <w:sz w:val="16"/>
                <w:szCs w:val="16"/>
              </w:rPr>
              <w:t>2.1</w:t>
            </w:r>
          </w:p>
        </w:tc>
        <w:tc>
          <w:tcPr>
            <w:tcW w:w="745" w:type="dxa"/>
            <w:vAlign w:val="center"/>
          </w:tcPr>
          <w:p w:rsidR="00D00010" w:rsidRPr="00D2668E" w:rsidRDefault="00972D81" w:rsidP="00D2668E">
            <w:pPr>
              <w:spacing w:after="0" w:line="240" w:lineRule="auto"/>
              <w:jc w:val="center"/>
              <w:rPr>
                <w:rFonts w:ascii="Arial" w:hAnsi="Arial" w:cs="Arial"/>
                <w:sz w:val="16"/>
                <w:szCs w:val="16"/>
                <w:highlight w:val="yellow"/>
              </w:rPr>
            </w:pPr>
            <w:r w:rsidRPr="00D2668E">
              <w:rPr>
                <w:rFonts w:ascii="Arial" w:hAnsi="Arial" w:cs="Arial"/>
                <w:sz w:val="16"/>
                <w:szCs w:val="16"/>
                <w:highlight w:val="yellow"/>
              </w:rPr>
              <w:t>1</w:t>
            </w:r>
            <w:r w:rsidR="00D2668E" w:rsidRPr="00D2668E">
              <w:rPr>
                <w:rFonts w:ascii="Arial" w:hAnsi="Arial" w:cs="Arial"/>
                <w:sz w:val="16"/>
                <w:szCs w:val="16"/>
                <w:highlight w:val="yellow"/>
              </w:rPr>
              <w:t>.8</w:t>
            </w:r>
          </w:p>
        </w:tc>
      </w:tr>
      <w:tr w:rsidR="00D00010" w:rsidTr="00D00010">
        <w:trPr>
          <w:trHeight w:val="265"/>
          <w:jc w:val="center"/>
        </w:trPr>
        <w:tc>
          <w:tcPr>
            <w:tcW w:w="2275" w:type="dxa"/>
            <w:vAlign w:val="center"/>
          </w:tcPr>
          <w:p w:rsidR="00D00010" w:rsidRPr="00E65BEE" w:rsidRDefault="00D00010" w:rsidP="00D00010">
            <w:pPr>
              <w:spacing w:after="0" w:line="240" w:lineRule="auto"/>
              <w:jc w:val="center"/>
              <w:rPr>
                <w:rFonts w:ascii="Arial" w:hAnsi="Arial" w:cs="Arial"/>
                <w:sz w:val="16"/>
                <w:szCs w:val="16"/>
              </w:rPr>
            </w:pPr>
            <w:r>
              <w:rPr>
                <w:rFonts w:ascii="Arial" w:hAnsi="Arial" w:cs="Arial"/>
                <w:sz w:val="16"/>
                <w:szCs w:val="16"/>
              </w:rPr>
              <w:t xml:space="preserve">Sea Salt </w:t>
            </w:r>
            <w:proofErr w:type="spellStart"/>
            <w:r>
              <w:rPr>
                <w:rFonts w:ascii="Arial" w:hAnsi="Arial" w:cs="Arial"/>
                <w:sz w:val="16"/>
                <w:szCs w:val="16"/>
              </w:rPr>
              <w:t>Bext</w:t>
            </w:r>
            <w:proofErr w:type="spellEnd"/>
          </w:p>
        </w:tc>
        <w:tc>
          <w:tcPr>
            <w:tcW w:w="81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0.4</w:t>
            </w:r>
          </w:p>
        </w:tc>
        <w:tc>
          <w:tcPr>
            <w:tcW w:w="720" w:type="dxa"/>
            <w:vAlign w:val="center"/>
          </w:tcPr>
          <w:p w:rsidR="00D00010" w:rsidRPr="008F0DA1" w:rsidRDefault="00FA4DF8" w:rsidP="008F0DA1">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1.</w:t>
            </w:r>
            <w:r w:rsidR="008F0DA1" w:rsidRPr="008F0DA1">
              <w:rPr>
                <w:rFonts w:ascii="Arial" w:hAnsi="Arial" w:cs="Arial"/>
                <w:sz w:val="16"/>
                <w:szCs w:val="16"/>
                <w:highlight w:val="yellow"/>
              </w:rPr>
              <w:t>7</w:t>
            </w:r>
          </w:p>
        </w:tc>
        <w:tc>
          <w:tcPr>
            <w:tcW w:w="72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0.1</w:t>
            </w:r>
          </w:p>
        </w:tc>
        <w:tc>
          <w:tcPr>
            <w:tcW w:w="720" w:type="dxa"/>
            <w:vAlign w:val="center"/>
          </w:tcPr>
          <w:p w:rsidR="00D00010" w:rsidRPr="008F0DA1" w:rsidRDefault="00C4754A"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0.2</w:t>
            </w:r>
          </w:p>
        </w:tc>
        <w:tc>
          <w:tcPr>
            <w:tcW w:w="72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0.1</w:t>
            </w:r>
          </w:p>
        </w:tc>
        <w:tc>
          <w:tcPr>
            <w:tcW w:w="720" w:type="dxa"/>
            <w:vAlign w:val="center"/>
          </w:tcPr>
          <w:p w:rsidR="00D00010"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0.5</w:t>
            </w:r>
          </w:p>
        </w:tc>
        <w:tc>
          <w:tcPr>
            <w:tcW w:w="720" w:type="dxa"/>
            <w:vAlign w:val="center"/>
          </w:tcPr>
          <w:p w:rsidR="00D00010" w:rsidRPr="004D5CB4" w:rsidRDefault="00C4754A" w:rsidP="004D5CB4">
            <w:pPr>
              <w:spacing w:after="0" w:line="240" w:lineRule="auto"/>
              <w:jc w:val="center"/>
              <w:rPr>
                <w:rFonts w:ascii="Arial" w:hAnsi="Arial" w:cs="Arial"/>
                <w:sz w:val="16"/>
                <w:szCs w:val="16"/>
              </w:rPr>
            </w:pPr>
            <w:r w:rsidRPr="004D5CB4">
              <w:rPr>
                <w:rFonts w:ascii="Arial" w:hAnsi="Arial" w:cs="Arial"/>
                <w:sz w:val="16"/>
                <w:szCs w:val="16"/>
              </w:rPr>
              <w:t>1.3</w:t>
            </w:r>
          </w:p>
        </w:tc>
        <w:tc>
          <w:tcPr>
            <w:tcW w:w="720" w:type="dxa"/>
            <w:vAlign w:val="center"/>
          </w:tcPr>
          <w:p w:rsidR="00D00010" w:rsidRPr="00F5121F" w:rsidRDefault="00972D81" w:rsidP="00F5121F">
            <w:pPr>
              <w:spacing w:after="0" w:line="240" w:lineRule="auto"/>
              <w:jc w:val="center"/>
              <w:rPr>
                <w:rFonts w:ascii="Arial" w:hAnsi="Arial" w:cs="Arial"/>
                <w:sz w:val="16"/>
                <w:szCs w:val="16"/>
                <w:highlight w:val="yellow"/>
              </w:rPr>
            </w:pPr>
            <w:r w:rsidRPr="00F5121F">
              <w:rPr>
                <w:rFonts w:ascii="Arial" w:hAnsi="Arial" w:cs="Arial"/>
                <w:sz w:val="16"/>
                <w:szCs w:val="16"/>
                <w:highlight w:val="yellow"/>
              </w:rPr>
              <w:t>2.</w:t>
            </w:r>
            <w:r w:rsidR="00F5121F" w:rsidRPr="00F5121F">
              <w:rPr>
                <w:rFonts w:ascii="Arial" w:hAnsi="Arial" w:cs="Arial"/>
                <w:sz w:val="16"/>
                <w:szCs w:val="16"/>
                <w:highlight w:val="yellow"/>
              </w:rPr>
              <w:t>5</w:t>
            </w:r>
          </w:p>
        </w:tc>
        <w:tc>
          <w:tcPr>
            <w:tcW w:w="720" w:type="dxa"/>
            <w:vAlign w:val="center"/>
          </w:tcPr>
          <w:p w:rsidR="00D00010" w:rsidRPr="00E65BEE" w:rsidRDefault="00972D81" w:rsidP="00972D81">
            <w:pPr>
              <w:spacing w:after="0" w:line="240" w:lineRule="auto"/>
              <w:jc w:val="center"/>
              <w:rPr>
                <w:rFonts w:ascii="Arial" w:hAnsi="Arial" w:cs="Arial"/>
                <w:sz w:val="16"/>
                <w:szCs w:val="16"/>
              </w:rPr>
            </w:pPr>
            <w:r>
              <w:rPr>
                <w:rFonts w:ascii="Arial" w:hAnsi="Arial" w:cs="Arial"/>
                <w:sz w:val="16"/>
                <w:szCs w:val="16"/>
              </w:rPr>
              <w:t>1.0</w:t>
            </w:r>
          </w:p>
        </w:tc>
        <w:tc>
          <w:tcPr>
            <w:tcW w:w="745" w:type="dxa"/>
            <w:vAlign w:val="center"/>
          </w:tcPr>
          <w:p w:rsidR="00D00010" w:rsidRPr="00D2668E" w:rsidRDefault="00D2668E" w:rsidP="004D5CB4">
            <w:pPr>
              <w:spacing w:after="0" w:line="240" w:lineRule="auto"/>
              <w:jc w:val="center"/>
              <w:rPr>
                <w:rFonts w:ascii="Arial" w:hAnsi="Arial" w:cs="Arial"/>
                <w:sz w:val="16"/>
                <w:szCs w:val="16"/>
                <w:highlight w:val="yellow"/>
              </w:rPr>
            </w:pPr>
            <w:r w:rsidRPr="00D2668E">
              <w:rPr>
                <w:rFonts w:ascii="Arial" w:hAnsi="Arial" w:cs="Arial"/>
                <w:sz w:val="16"/>
                <w:szCs w:val="16"/>
                <w:highlight w:val="yellow"/>
              </w:rPr>
              <w:t>2.0</w:t>
            </w:r>
          </w:p>
        </w:tc>
      </w:tr>
      <w:tr w:rsidR="00D00010" w:rsidTr="00D00010">
        <w:trPr>
          <w:trHeight w:val="265"/>
          <w:jc w:val="center"/>
        </w:trPr>
        <w:tc>
          <w:tcPr>
            <w:tcW w:w="2275" w:type="dxa"/>
            <w:vAlign w:val="center"/>
          </w:tcPr>
          <w:p w:rsidR="00D00010" w:rsidRPr="00E65BEE" w:rsidRDefault="00D00010" w:rsidP="00D00010">
            <w:pPr>
              <w:spacing w:after="0" w:line="240" w:lineRule="auto"/>
              <w:jc w:val="center"/>
              <w:rPr>
                <w:rFonts w:ascii="Arial" w:hAnsi="Arial" w:cs="Arial"/>
                <w:sz w:val="16"/>
                <w:szCs w:val="16"/>
              </w:rPr>
            </w:pPr>
            <w:r>
              <w:rPr>
                <w:rFonts w:ascii="Arial" w:hAnsi="Arial" w:cs="Arial"/>
                <w:sz w:val="16"/>
                <w:szCs w:val="16"/>
              </w:rPr>
              <w:t xml:space="preserve">Total PM </w:t>
            </w:r>
            <w:proofErr w:type="spellStart"/>
            <w:r>
              <w:rPr>
                <w:rFonts w:ascii="Arial" w:hAnsi="Arial" w:cs="Arial"/>
                <w:sz w:val="16"/>
                <w:szCs w:val="16"/>
              </w:rPr>
              <w:t>Bext</w:t>
            </w:r>
            <w:proofErr w:type="spellEnd"/>
          </w:p>
        </w:tc>
        <w:tc>
          <w:tcPr>
            <w:tcW w:w="81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180.7</w:t>
            </w:r>
          </w:p>
        </w:tc>
        <w:tc>
          <w:tcPr>
            <w:tcW w:w="720" w:type="dxa"/>
            <w:vAlign w:val="center"/>
          </w:tcPr>
          <w:p w:rsidR="00D00010"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99.1</w:t>
            </w:r>
          </w:p>
        </w:tc>
        <w:tc>
          <w:tcPr>
            <w:tcW w:w="72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119.0</w:t>
            </w:r>
          </w:p>
        </w:tc>
        <w:tc>
          <w:tcPr>
            <w:tcW w:w="720" w:type="dxa"/>
            <w:vAlign w:val="center"/>
          </w:tcPr>
          <w:p w:rsidR="00D00010"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58.6</w:t>
            </w:r>
          </w:p>
        </w:tc>
        <w:tc>
          <w:tcPr>
            <w:tcW w:w="72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101.6</w:t>
            </w:r>
          </w:p>
        </w:tc>
        <w:tc>
          <w:tcPr>
            <w:tcW w:w="720" w:type="dxa"/>
            <w:vAlign w:val="center"/>
          </w:tcPr>
          <w:p w:rsidR="00D00010"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44.7</w:t>
            </w:r>
          </w:p>
        </w:tc>
        <w:tc>
          <w:tcPr>
            <w:tcW w:w="720" w:type="dxa"/>
            <w:vAlign w:val="center"/>
          </w:tcPr>
          <w:p w:rsidR="00D00010" w:rsidRPr="004D5CB4" w:rsidRDefault="00C4754A" w:rsidP="004D5CB4">
            <w:pPr>
              <w:spacing w:after="0" w:line="240" w:lineRule="auto"/>
              <w:jc w:val="center"/>
              <w:rPr>
                <w:rFonts w:ascii="Arial" w:hAnsi="Arial" w:cs="Arial"/>
                <w:sz w:val="16"/>
                <w:szCs w:val="16"/>
              </w:rPr>
            </w:pPr>
            <w:r w:rsidRPr="004D5CB4">
              <w:rPr>
                <w:rFonts w:ascii="Arial" w:hAnsi="Arial" w:cs="Arial"/>
                <w:sz w:val="16"/>
                <w:szCs w:val="16"/>
              </w:rPr>
              <w:t>96.4</w:t>
            </w:r>
          </w:p>
        </w:tc>
        <w:tc>
          <w:tcPr>
            <w:tcW w:w="720" w:type="dxa"/>
            <w:vAlign w:val="center"/>
          </w:tcPr>
          <w:p w:rsidR="00D00010" w:rsidRPr="00F5121F" w:rsidRDefault="00F5121F" w:rsidP="004D5CB4">
            <w:pPr>
              <w:spacing w:after="0" w:line="240" w:lineRule="auto"/>
              <w:jc w:val="center"/>
              <w:rPr>
                <w:rFonts w:ascii="Arial" w:hAnsi="Arial" w:cs="Arial"/>
                <w:sz w:val="16"/>
                <w:szCs w:val="16"/>
                <w:highlight w:val="yellow"/>
              </w:rPr>
            </w:pPr>
            <w:r w:rsidRPr="00F5121F">
              <w:rPr>
                <w:rFonts w:ascii="Arial" w:hAnsi="Arial" w:cs="Arial"/>
                <w:sz w:val="16"/>
                <w:szCs w:val="16"/>
                <w:highlight w:val="yellow"/>
              </w:rPr>
              <w:t>51.5</w:t>
            </w:r>
          </w:p>
        </w:tc>
        <w:tc>
          <w:tcPr>
            <w:tcW w:w="720" w:type="dxa"/>
            <w:vAlign w:val="center"/>
          </w:tcPr>
          <w:p w:rsidR="00D00010" w:rsidRPr="00E65BEE" w:rsidRDefault="00C4754A" w:rsidP="004D5CB4">
            <w:pPr>
              <w:spacing w:after="0" w:line="240" w:lineRule="auto"/>
              <w:jc w:val="center"/>
              <w:rPr>
                <w:rFonts w:ascii="Arial" w:hAnsi="Arial" w:cs="Arial"/>
                <w:sz w:val="16"/>
                <w:szCs w:val="16"/>
              </w:rPr>
            </w:pPr>
            <w:r>
              <w:rPr>
                <w:rFonts w:ascii="Arial" w:hAnsi="Arial" w:cs="Arial"/>
                <w:sz w:val="16"/>
                <w:szCs w:val="16"/>
              </w:rPr>
              <w:t>84.6</w:t>
            </w:r>
          </w:p>
        </w:tc>
        <w:tc>
          <w:tcPr>
            <w:tcW w:w="745" w:type="dxa"/>
            <w:vAlign w:val="center"/>
          </w:tcPr>
          <w:p w:rsidR="00D00010" w:rsidRPr="00D2668E" w:rsidRDefault="00D2668E" w:rsidP="004D5CB4">
            <w:pPr>
              <w:spacing w:after="0" w:line="240" w:lineRule="auto"/>
              <w:jc w:val="center"/>
              <w:rPr>
                <w:rFonts w:ascii="Arial" w:hAnsi="Arial" w:cs="Arial"/>
                <w:sz w:val="16"/>
                <w:szCs w:val="16"/>
                <w:highlight w:val="yellow"/>
              </w:rPr>
            </w:pPr>
            <w:r w:rsidRPr="00D2668E">
              <w:rPr>
                <w:rFonts w:ascii="Arial" w:hAnsi="Arial" w:cs="Arial"/>
                <w:sz w:val="16"/>
                <w:szCs w:val="16"/>
                <w:highlight w:val="yellow"/>
              </w:rPr>
              <w:t>44.6</w:t>
            </w:r>
          </w:p>
        </w:tc>
      </w:tr>
      <w:tr w:rsidR="00D00010" w:rsidTr="00D00010">
        <w:trPr>
          <w:trHeight w:val="265"/>
          <w:jc w:val="center"/>
        </w:trPr>
        <w:tc>
          <w:tcPr>
            <w:tcW w:w="2275" w:type="dxa"/>
            <w:vAlign w:val="center"/>
          </w:tcPr>
          <w:p w:rsidR="00D00010" w:rsidRPr="00E65BEE" w:rsidRDefault="00D00010" w:rsidP="00D00010">
            <w:pPr>
              <w:spacing w:after="0" w:line="240" w:lineRule="auto"/>
              <w:jc w:val="center"/>
              <w:rPr>
                <w:rFonts w:ascii="Arial" w:hAnsi="Arial" w:cs="Arial"/>
                <w:sz w:val="16"/>
                <w:szCs w:val="16"/>
              </w:rPr>
            </w:pPr>
            <w:r>
              <w:rPr>
                <w:rFonts w:ascii="Arial" w:hAnsi="Arial" w:cs="Arial"/>
                <w:sz w:val="16"/>
                <w:szCs w:val="16"/>
              </w:rPr>
              <w:t>Deciview (dv)</w:t>
            </w:r>
          </w:p>
        </w:tc>
        <w:tc>
          <w:tcPr>
            <w:tcW w:w="81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29.0</w:t>
            </w:r>
          </w:p>
        </w:tc>
        <w:tc>
          <w:tcPr>
            <w:tcW w:w="720" w:type="dxa"/>
            <w:vAlign w:val="center"/>
          </w:tcPr>
          <w:p w:rsidR="00D00010"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23.8</w:t>
            </w:r>
          </w:p>
        </w:tc>
        <w:tc>
          <w:tcPr>
            <w:tcW w:w="72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24.4</w:t>
            </w:r>
          </w:p>
        </w:tc>
        <w:tc>
          <w:tcPr>
            <w:tcW w:w="720" w:type="dxa"/>
            <w:vAlign w:val="center"/>
          </w:tcPr>
          <w:p w:rsidR="00D00010"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18.8</w:t>
            </w:r>
          </w:p>
        </w:tc>
        <w:tc>
          <w:tcPr>
            <w:tcW w:w="720" w:type="dxa"/>
            <w:vAlign w:val="center"/>
          </w:tcPr>
          <w:p w:rsidR="00D00010" w:rsidRPr="00E65BEE" w:rsidRDefault="00FA4DF8" w:rsidP="004D5CB4">
            <w:pPr>
              <w:spacing w:after="0" w:line="240" w:lineRule="auto"/>
              <w:jc w:val="center"/>
              <w:rPr>
                <w:rFonts w:ascii="Arial" w:hAnsi="Arial" w:cs="Arial"/>
                <w:sz w:val="16"/>
                <w:szCs w:val="16"/>
              </w:rPr>
            </w:pPr>
            <w:r>
              <w:rPr>
                <w:rFonts w:ascii="Arial" w:hAnsi="Arial" w:cs="Arial"/>
                <w:sz w:val="16"/>
                <w:szCs w:val="16"/>
              </w:rPr>
              <w:t>22.8</w:t>
            </w:r>
          </w:p>
        </w:tc>
        <w:tc>
          <w:tcPr>
            <w:tcW w:w="720" w:type="dxa"/>
            <w:vAlign w:val="center"/>
          </w:tcPr>
          <w:p w:rsidR="00D00010"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16.7</w:t>
            </w:r>
          </w:p>
        </w:tc>
        <w:tc>
          <w:tcPr>
            <w:tcW w:w="720" w:type="dxa"/>
            <w:vAlign w:val="center"/>
          </w:tcPr>
          <w:p w:rsidR="00D00010" w:rsidRPr="004D5CB4" w:rsidRDefault="00C4754A" w:rsidP="004D5CB4">
            <w:pPr>
              <w:spacing w:after="0" w:line="240" w:lineRule="auto"/>
              <w:jc w:val="center"/>
              <w:rPr>
                <w:rFonts w:ascii="Arial" w:hAnsi="Arial" w:cs="Arial"/>
                <w:sz w:val="16"/>
                <w:szCs w:val="16"/>
              </w:rPr>
            </w:pPr>
            <w:r w:rsidRPr="004D5CB4">
              <w:rPr>
                <w:rFonts w:ascii="Arial" w:hAnsi="Arial" w:cs="Arial"/>
                <w:sz w:val="16"/>
                <w:szCs w:val="16"/>
              </w:rPr>
              <w:t>22.9</w:t>
            </w:r>
          </w:p>
        </w:tc>
        <w:tc>
          <w:tcPr>
            <w:tcW w:w="720" w:type="dxa"/>
            <w:vAlign w:val="center"/>
          </w:tcPr>
          <w:p w:rsidR="00D00010" w:rsidRPr="00F5121F" w:rsidRDefault="00F5121F" w:rsidP="004D5CB4">
            <w:pPr>
              <w:spacing w:after="0" w:line="240" w:lineRule="auto"/>
              <w:jc w:val="center"/>
              <w:rPr>
                <w:rFonts w:ascii="Arial" w:hAnsi="Arial" w:cs="Arial"/>
                <w:sz w:val="16"/>
                <w:szCs w:val="16"/>
                <w:highlight w:val="yellow"/>
              </w:rPr>
            </w:pPr>
            <w:r w:rsidRPr="00F5121F">
              <w:rPr>
                <w:rFonts w:ascii="Arial" w:hAnsi="Arial" w:cs="Arial"/>
                <w:sz w:val="16"/>
                <w:szCs w:val="16"/>
                <w:highlight w:val="yellow"/>
              </w:rPr>
              <w:t>17.9</w:t>
            </w:r>
          </w:p>
        </w:tc>
        <w:tc>
          <w:tcPr>
            <w:tcW w:w="720" w:type="dxa"/>
            <w:vAlign w:val="center"/>
          </w:tcPr>
          <w:p w:rsidR="00D00010" w:rsidRPr="00E65BEE" w:rsidRDefault="00C4754A" w:rsidP="004D5CB4">
            <w:pPr>
              <w:spacing w:after="0" w:line="240" w:lineRule="auto"/>
              <w:jc w:val="center"/>
              <w:rPr>
                <w:rFonts w:ascii="Arial" w:hAnsi="Arial" w:cs="Arial"/>
                <w:sz w:val="16"/>
                <w:szCs w:val="16"/>
              </w:rPr>
            </w:pPr>
            <w:r>
              <w:rPr>
                <w:rFonts w:ascii="Arial" w:hAnsi="Arial" w:cs="Arial"/>
                <w:sz w:val="16"/>
                <w:szCs w:val="16"/>
              </w:rPr>
              <w:t>21.7</w:t>
            </w:r>
          </w:p>
        </w:tc>
        <w:tc>
          <w:tcPr>
            <w:tcW w:w="745" w:type="dxa"/>
            <w:vAlign w:val="center"/>
          </w:tcPr>
          <w:p w:rsidR="00D00010" w:rsidRPr="00D2668E" w:rsidRDefault="00D2668E" w:rsidP="004D5CB4">
            <w:pPr>
              <w:spacing w:after="0" w:line="240" w:lineRule="auto"/>
              <w:jc w:val="center"/>
              <w:rPr>
                <w:rFonts w:ascii="Arial" w:hAnsi="Arial" w:cs="Arial"/>
                <w:sz w:val="16"/>
                <w:szCs w:val="16"/>
                <w:highlight w:val="yellow"/>
              </w:rPr>
            </w:pPr>
            <w:r w:rsidRPr="00D2668E">
              <w:rPr>
                <w:rFonts w:ascii="Arial" w:hAnsi="Arial" w:cs="Arial"/>
                <w:sz w:val="16"/>
                <w:szCs w:val="16"/>
                <w:highlight w:val="yellow"/>
              </w:rPr>
              <w:t>16.8</w:t>
            </w:r>
          </w:p>
        </w:tc>
      </w:tr>
    </w:tbl>
    <w:p w:rsidR="005441DD" w:rsidRDefault="005441DD" w:rsidP="0046696B">
      <w:pPr>
        <w:spacing w:after="0"/>
        <w:rPr>
          <w:sz w:val="20"/>
          <w:szCs w:val="20"/>
        </w:rPr>
      </w:pPr>
      <w:r w:rsidRPr="00065F74">
        <w:rPr>
          <w:sz w:val="20"/>
          <w:szCs w:val="20"/>
        </w:rPr>
        <w:t>“</w:t>
      </w:r>
      <w:proofErr w:type="spellStart"/>
      <w:r w:rsidRPr="00065F74">
        <w:rPr>
          <w:sz w:val="20"/>
          <w:szCs w:val="20"/>
        </w:rPr>
        <w:t>Bext</w:t>
      </w:r>
      <w:proofErr w:type="spellEnd"/>
      <w:r w:rsidRPr="00065F74">
        <w:rPr>
          <w:sz w:val="20"/>
          <w:szCs w:val="20"/>
        </w:rPr>
        <w:t xml:space="preserve"> means light extinction, and values are given in inverse megameters (Mm</w:t>
      </w:r>
      <w:r w:rsidRPr="00065F74">
        <w:rPr>
          <w:sz w:val="20"/>
          <w:szCs w:val="20"/>
          <w:vertAlign w:val="superscript"/>
        </w:rPr>
        <w:t>-1</w:t>
      </w:r>
      <w:r>
        <w:rPr>
          <w:sz w:val="20"/>
          <w:szCs w:val="20"/>
        </w:rPr>
        <w:t>)</w:t>
      </w:r>
    </w:p>
    <w:p w:rsidR="00373528" w:rsidRDefault="0046696B" w:rsidP="0046696B">
      <w:pPr>
        <w:spacing w:after="0"/>
        <w:rPr>
          <w:sz w:val="20"/>
          <w:szCs w:val="20"/>
        </w:rPr>
      </w:pPr>
      <w:r w:rsidRPr="0046696B">
        <w:rPr>
          <w:sz w:val="20"/>
          <w:szCs w:val="20"/>
          <w:highlight w:val="yellow"/>
        </w:rPr>
        <w:t>*</w:t>
      </w:r>
      <w:bookmarkStart w:id="53" w:name="_Toc341960497"/>
      <w:r w:rsidRPr="0046696B">
        <w:rPr>
          <w:sz w:val="20"/>
          <w:szCs w:val="20"/>
          <w:highlight w:val="yellow"/>
        </w:rPr>
        <w:t>2000-11 data from LYBR1 site and 2012-13 data from LYEB1 site</w:t>
      </w:r>
    </w:p>
    <w:p w:rsidR="0046696B" w:rsidRDefault="0046696B" w:rsidP="0046696B">
      <w:pPr>
        <w:spacing w:after="0"/>
        <w:rPr>
          <w:rStyle w:val="Heading8Char"/>
          <w:rFonts w:ascii="Arial" w:hAnsi="Arial" w:cs="Arial"/>
          <w:color w:val="auto"/>
        </w:rPr>
      </w:pPr>
    </w:p>
    <w:p w:rsidR="00373528" w:rsidRPr="007D1888" w:rsidRDefault="00373528" w:rsidP="00F60FE6">
      <w:pPr>
        <w:pStyle w:val="Caption"/>
      </w:pPr>
      <w:bookmarkStart w:id="54" w:name="_Toc373842776"/>
      <w:bookmarkStart w:id="55" w:name="_Toc373843559"/>
      <w:bookmarkStart w:id="56" w:name="_Toc373844550"/>
      <w:proofErr w:type="gramStart"/>
      <w:r w:rsidRPr="007D1888">
        <w:rPr>
          <w:rStyle w:val="Heading8Char"/>
          <w:rFonts w:ascii="Arial" w:hAnsi="Arial" w:cs="Arial"/>
          <w:color w:val="auto"/>
        </w:rPr>
        <w:t>Table 2.4.</w:t>
      </w:r>
      <w:proofErr w:type="gramEnd"/>
      <w:r w:rsidRPr="007D1888">
        <w:rPr>
          <w:rStyle w:val="Heading8Char"/>
          <w:rFonts w:ascii="Arial" w:hAnsi="Arial" w:cs="Arial"/>
          <w:color w:val="auto"/>
        </w:rPr>
        <w:t xml:space="preserve">  Visibility Improvements by Particle Constituents through </w:t>
      </w:r>
      <w:r w:rsidRPr="004D5CB4">
        <w:rPr>
          <w:rStyle w:val="Heading8Char"/>
          <w:rFonts w:ascii="Arial" w:hAnsi="Arial" w:cs="Arial"/>
          <w:color w:val="auto"/>
          <w:highlight w:val="yellow"/>
        </w:rPr>
        <w:t>20</w:t>
      </w:r>
      <w:r w:rsidR="00972D81" w:rsidRPr="004D5CB4">
        <w:rPr>
          <w:rStyle w:val="Heading8Char"/>
          <w:rFonts w:ascii="Arial" w:hAnsi="Arial" w:cs="Arial"/>
          <w:color w:val="auto"/>
          <w:highlight w:val="yellow"/>
        </w:rPr>
        <w:t>1</w:t>
      </w:r>
      <w:r w:rsidR="004D5CB4" w:rsidRPr="004D5CB4">
        <w:rPr>
          <w:rStyle w:val="Heading8Char"/>
          <w:rFonts w:ascii="Arial" w:hAnsi="Arial" w:cs="Arial"/>
          <w:color w:val="auto"/>
          <w:highlight w:val="yellow"/>
        </w:rPr>
        <w:t>3</w:t>
      </w:r>
      <w:r w:rsidRPr="007D1888">
        <w:rPr>
          <w:rStyle w:val="Heading8Char"/>
          <w:rFonts w:ascii="Arial" w:hAnsi="Arial" w:cs="Arial"/>
          <w:color w:val="auto"/>
        </w:rPr>
        <w:t xml:space="preserve"> on </w:t>
      </w:r>
      <w:r w:rsidRPr="00FF5E7F">
        <w:rPr>
          <w:rStyle w:val="Heading8Char"/>
          <w:rFonts w:ascii="Arial" w:hAnsi="Arial" w:cs="Arial"/>
          <w:color w:val="auto"/>
          <w:u w:val="single"/>
        </w:rPr>
        <w:t>Clearest</w:t>
      </w:r>
      <w:r w:rsidRPr="007D1888">
        <w:rPr>
          <w:rStyle w:val="Heading8Char"/>
          <w:rFonts w:ascii="Arial" w:hAnsi="Arial" w:cs="Arial"/>
          <w:color w:val="auto"/>
        </w:rPr>
        <w:t xml:space="preserve"> 20% Days in MANE-VU Class I Areas</w:t>
      </w:r>
      <w:bookmarkEnd w:id="54"/>
      <w:bookmarkEnd w:id="55"/>
      <w:bookmarkEnd w:id="56"/>
    </w:p>
    <w:tbl>
      <w:tblPr>
        <w:tblStyle w:val="TableGrid"/>
        <w:tblW w:w="9590" w:type="dxa"/>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CellMar>
          <w:left w:w="58" w:type="dxa"/>
          <w:right w:w="58" w:type="dxa"/>
        </w:tblCellMar>
        <w:tblLook w:val="04A0" w:firstRow="1" w:lastRow="0" w:firstColumn="1" w:lastColumn="0" w:noHBand="0" w:noVBand="1"/>
      </w:tblPr>
      <w:tblGrid>
        <w:gridCol w:w="2275"/>
        <w:gridCol w:w="810"/>
        <w:gridCol w:w="720"/>
        <w:gridCol w:w="720"/>
        <w:gridCol w:w="720"/>
        <w:gridCol w:w="720"/>
        <w:gridCol w:w="720"/>
        <w:gridCol w:w="720"/>
        <w:gridCol w:w="720"/>
        <w:gridCol w:w="720"/>
        <w:gridCol w:w="745"/>
      </w:tblGrid>
      <w:tr w:rsidR="00FA4DF8" w:rsidTr="004D5CB4">
        <w:trPr>
          <w:jc w:val="center"/>
        </w:trPr>
        <w:tc>
          <w:tcPr>
            <w:tcW w:w="2275" w:type="dxa"/>
            <w:vMerge w:val="restart"/>
            <w:vAlign w:val="center"/>
          </w:tcPr>
          <w:p w:rsidR="00FA4DF8" w:rsidRPr="00E65BEE" w:rsidRDefault="00FA4DF8" w:rsidP="004D5CB4">
            <w:pPr>
              <w:spacing w:after="0"/>
              <w:jc w:val="center"/>
              <w:rPr>
                <w:rFonts w:ascii="Arial" w:hAnsi="Arial" w:cs="Arial"/>
                <w:sz w:val="16"/>
                <w:szCs w:val="16"/>
              </w:rPr>
            </w:pPr>
            <w:r>
              <w:rPr>
                <w:rFonts w:ascii="Arial" w:hAnsi="Arial" w:cs="Arial"/>
                <w:sz w:val="16"/>
                <w:szCs w:val="16"/>
              </w:rPr>
              <w:t>Clearest</w:t>
            </w:r>
            <w:r w:rsidRPr="00E65BEE">
              <w:rPr>
                <w:rFonts w:ascii="Arial" w:hAnsi="Arial" w:cs="Arial"/>
                <w:sz w:val="16"/>
                <w:szCs w:val="16"/>
              </w:rPr>
              <w:t xml:space="preserve"> 20%</w:t>
            </w:r>
          </w:p>
        </w:tc>
        <w:tc>
          <w:tcPr>
            <w:tcW w:w="1530" w:type="dxa"/>
            <w:gridSpan w:val="2"/>
            <w:vAlign w:val="center"/>
          </w:tcPr>
          <w:p w:rsidR="00FA4DF8" w:rsidRPr="00E65BEE" w:rsidRDefault="00FA4DF8" w:rsidP="004D5CB4">
            <w:pPr>
              <w:spacing w:after="0"/>
              <w:jc w:val="center"/>
              <w:rPr>
                <w:rFonts w:ascii="Arial" w:hAnsi="Arial" w:cs="Arial"/>
                <w:sz w:val="16"/>
                <w:szCs w:val="16"/>
              </w:rPr>
            </w:pPr>
            <w:r w:rsidRPr="00E65BEE">
              <w:rPr>
                <w:rFonts w:ascii="Arial" w:hAnsi="Arial" w:cs="Arial"/>
                <w:sz w:val="16"/>
                <w:szCs w:val="16"/>
              </w:rPr>
              <w:t>Brigantine</w:t>
            </w:r>
          </w:p>
        </w:tc>
        <w:tc>
          <w:tcPr>
            <w:tcW w:w="1440" w:type="dxa"/>
            <w:gridSpan w:val="2"/>
            <w:vAlign w:val="center"/>
          </w:tcPr>
          <w:p w:rsidR="00FA4DF8" w:rsidRPr="00E65BEE" w:rsidRDefault="00FA4DF8" w:rsidP="004D5CB4">
            <w:pPr>
              <w:spacing w:after="0"/>
              <w:jc w:val="center"/>
              <w:rPr>
                <w:rFonts w:ascii="Arial" w:hAnsi="Arial" w:cs="Arial"/>
                <w:sz w:val="16"/>
                <w:szCs w:val="16"/>
              </w:rPr>
            </w:pPr>
            <w:r w:rsidRPr="0046696B">
              <w:rPr>
                <w:rFonts w:ascii="Arial" w:hAnsi="Arial" w:cs="Arial"/>
                <w:sz w:val="16"/>
                <w:szCs w:val="16"/>
                <w:highlight w:val="yellow"/>
              </w:rPr>
              <w:t>Lye Brook</w:t>
            </w:r>
            <w:r w:rsidR="0046696B" w:rsidRPr="0046696B">
              <w:rPr>
                <w:rFonts w:ascii="Arial" w:hAnsi="Arial" w:cs="Arial"/>
                <w:sz w:val="16"/>
                <w:szCs w:val="16"/>
                <w:highlight w:val="yellow"/>
              </w:rPr>
              <w:t>*</w:t>
            </w:r>
          </w:p>
        </w:tc>
        <w:tc>
          <w:tcPr>
            <w:tcW w:w="1440" w:type="dxa"/>
            <w:gridSpan w:val="2"/>
            <w:vAlign w:val="center"/>
          </w:tcPr>
          <w:p w:rsidR="00FA4DF8" w:rsidRPr="00E65BEE" w:rsidRDefault="00FA4DF8" w:rsidP="004D5CB4">
            <w:pPr>
              <w:spacing w:after="0"/>
              <w:jc w:val="center"/>
              <w:rPr>
                <w:rFonts w:ascii="Arial" w:hAnsi="Arial" w:cs="Arial"/>
                <w:sz w:val="16"/>
                <w:szCs w:val="16"/>
              </w:rPr>
            </w:pPr>
            <w:r w:rsidRPr="00E65BEE">
              <w:rPr>
                <w:rFonts w:ascii="Arial" w:hAnsi="Arial" w:cs="Arial"/>
                <w:sz w:val="16"/>
                <w:szCs w:val="16"/>
              </w:rPr>
              <w:t>Great Gulf</w:t>
            </w:r>
          </w:p>
        </w:tc>
        <w:tc>
          <w:tcPr>
            <w:tcW w:w="1440" w:type="dxa"/>
            <w:gridSpan w:val="2"/>
            <w:vAlign w:val="center"/>
          </w:tcPr>
          <w:p w:rsidR="00FA4DF8" w:rsidRPr="00E65BEE" w:rsidRDefault="00FA4DF8" w:rsidP="004D5CB4">
            <w:pPr>
              <w:spacing w:after="0"/>
              <w:jc w:val="center"/>
              <w:rPr>
                <w:rFonts w:ascii="Arial" w:hAnsi="Arial" w:cs="Arial"/>
                <w:sz w:val="16"/>
                <w:szCs w:val="16"/>
              </w:rPr>
            </w:pPr>
            <w:r w:rsidRPr="00E65BEE">
              <w:rPr>
                <w:rFonts w:ascii="Arial" w:hAnsi="Arial" w:cs="Arial"/>
                <w:sz w:val="16"/>
                <w:szCs w:val="16"/>
              </w:rPr>
              <w:t>Acadia</w:t>
            </w:r>
          </w:p>
        </w:tc>
        <w:tc>
          <w:tcPr>
            <w:tcW w:w="1465" w:type="dxa"/>
            <w:gridSpan w:val="2"/>
            <w:vAlign w:val="center"/>
          </w:tcPr>
          <w:p w:rsidR="00FA4DF8" w:rsidRPr="00E65BEE" w:rsidRDefault="00FA4DF8" w:rsidP="004D5CB4">
            <w:pPr>
              <w:spacing w:after="0"/>
              <w:jc w:val="center"/>
              <w:rPr>
                <w:rFonts w:ascii="Arial" w:hAnsi="Arial" w:cs="Arial"/>
                <w:sz w:val="16"/>
                <w:szCs w:val="16"/>
              </w:rPr>
            </w:pPr>
            <w:proofErr w:type="spellStart"/>
            <w:r w:rsidRPr="00E65BEE">
              <w:rPr>
                <w:rFonts w:ascii="Arial" w:hAnsi="Arial" w:cs="Arial"/>
                <w:sz w:val="16"/>
                <w:szCs w:val="16"/>
              </w:rPr>
              <w:t>Moosehorn</w:t>
            </w:r>
            <w:proofErr w:type="spellEnd"/>
          </w:p>
        </w:tc>
      </w:tr>
      <w:tr w:rsidR="00FA4DF8" w:rsidTr="004D5CB4">
        <w:trPr>
          <w:trHeight w:val="283"/>
          <w:jc w:val="center"/>
        </w:trPr>
        <w:tc>
          <w:tcPr>
            <w:tcW w:w="2275" w:type="dxa"/>
            <w:vMerge/>
            <w:vAlign w:val="center"/>
          </w:tcPr>
          <w:p w:rsidR="00FA4DF8" w:rsidRPr="00E65BEE" w:rsidRDefault="00FA4DF8" w:rsidP="004D5CB4">
            <w:pPr>
              <w:spacing w:after="0" w:line="360" w:lineRule="auto"/>
              <w:jc w:val="center"/>
              <w:rPr>
                <w:rFonts w:ascii="Arial" w:hAnsi="Arial" w:cs="Arial"/>
                <w:sz w:val="16"/>
                <w:szCs w:val="16"/>
              </w:rPr>
            </w:pPr>
          </w:p>
        </w:tc>
        <w:tc>
          <w:tcPr>
            <w:tcW w:w="810" w:type="dxa"/>
            <w:vAlign w:val="center"/>
          </w:tcPr>
          <w:p w:rsidR="00FA4DF8" w:rsidRPr="00E65BEE" w:rsidRDefault="00FA4DF8" w:rsidP="004D5CB4">
            <w:pPr>
              <w:spacing w:after="0" w:line="240" w:lineRule="auto"/>
              <w:jc w:val="center"/>
              <w:rPr>
                <w:rFonts w:ascii="Arial" w:hAnsi="Arial" w:cs="Arial"/>
                <w:sz w:val="16"/>
                <w:szCs w:val="16"/>
              </w:rPr>
            </w:pPr>
            <w:r w:rsidRPr="00E65BEE">
              <w:rPr>
                <w:rFonts w:ascii="Arial" w:hAnsi="Arial" w:cs="Arial"/>
                <w:sz w:val="16"/>
                <w:szCs w:val="16"/>
              </w:rPr>
              <w:t>2000-04</w:t>
            </w:r>
          </w:p>
        </w:tc>
        <w:tc>
          <w:tcPr>
            <w:tcW w:w="720" w:type="dxa"/>
            <w:vAlign w:val="center"/>
          </w:tcPr>
          <w:p w:rsidR="00FA4DF8" w:rsidRPr="008F0DA1" w:rsidRDefault="00FA4DF8" w:rsidP="00197BAD">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200</w:t>
            </w:r>
            <w:r w:rsidR="00197BAD">
              <w:rPr>
                <w:rFonts w:ascii="Arial" w:hAnsi="Arial" w:cs="Arial"/>
                <w:sz w:val="16"/>
                <w:szCs w:val="16"/>
                <w:highlight w:val="yellow"/>
              </w:rPr>
              <w:t>9</w:t>
            </w:r>
            <w:r w:rsidRPr="008F0DA1">
              <w:rPr>
                <w:rFonts w:ascii="Arial" w:hAnsi="Arial" w:cs="Arial"/>
                <w:sz w:val="16"/>
                <w:szCs w:val="16"/>
                <w:highlight w:val="yellow"/>
              </w:rPr>
              <w:t>-1</w:t>
            </w:r>
            <w:r w:rsidR="007E0000" w:rsidRPr="008F0DA1">
              <w:rPr>
                <w:rFonts w:ascii="Arial" w:hAnsi="Arial" w:cs="Arial"/>
                <w:sz w:val="16"/>
                <w:szCs w:val="16"/>
                <w:highlight w:val="yellow"/>
              </w:rPr>
              <w:t>3</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sidRPr="00E65BEE">
              <w:rPr>
                <w:rFonts w:ascii="Arial" w:hAnsi="Arial" w:cs="Arial"/>
                <w:sz w:val="16"/>
                <w:szCs w:val="16"/>
              </w:rPr>
              <w:t>2000-04</w:t>
            </w:r>
          </w:p>
        </w:tc>
        <w:tc>
          <w:tcPr>
            <w:tcW w:w="720" w:type="dxa"/>
            <w:vAlign w:val="center"/>
          </w:tcPr>
          <w:p w:rsidR="00FA4DF8" w:rsidRPr="008F0DA1" w:rsidRDefault="00FA4DF8" w:rsidP="00197BAD">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200</w:t>
            </w:r>
            <w:r w:rsidR="00197BAD">
              <w:rPr>
                <w:rFonts w:ascii="Arial" w:hAnsi="Arial" w:cs="Arial"/>
                <w:sz w:val="16"/>
                <w:szCs w:val="16"/>
                <w:highlight w:val="yellow"/>
              </w:rPr>
              <w:t>9</w:t>
            </w:r>
            <w:r w:rsidRPr="008F0DA1">
              <w:rPr>
                <w:rFonts w:ascii="Arial" w:hAnsi="Arial" w:cs="Arial"/>
                <w:sz w:val="16"/>
                <w:szCs w:val="16"/>
                <w:highlight w:val="yellow"/>
              </w:rPr>
              <w:t>-1</w:t>
            </w:r>
            <w:r w:rsidR="007E0000" w:rsidRPr="008F0DA1">
              <w:rPr>
                <w:rFonts w:ascii="Arial" w:hAnsi="Arial" w:cs="Arial"/>
                <w:sz w:val="16"/>
                <w:szCs w:val="16"/>
                <w:highlight w:val="yellow"/>
              </w:rPr>
              <w:t>3</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sidRPr="00E65BEE">
              <w:rPr>
                <w:rFonts w:ascii="Arial" w:hAnsi="Arial" w:cs="Arial"/>
                <w:sz w:val="16"/>
                <w:szCs w:val="16"/>
              </w:rPr>
              <w:t>2000-04</w:t>
            </w:r>
          </w:p>
        </w:tc>
        <w:tc>
          <w:tcPr>
            <w:tcW w:w="720" w:type="dxa"/>
            <w:vAlign w:val="center"/>
          </w:tcPr>
          <w:p w:rsidR="00FA4DF8" w:rsidRPr="008F0DA1" w:rsidRDefault="00FA4DF8" w:rsidP="00197BAD">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200</w:t>
            </w:r>
            <w:r w:rsidR="00197BAD">
              <w:rPr>
                <w:rFonts w:ascii="Arial" w:hAnsi="Arial" w:cs="Arial"/>
                <w:sz w:val="16"/>
                <w:szCs w:val="16"/>
                <w:highlight w:val="yellow"/>
              </w:rPr>
              <w:t>9</w:t>
            </w:r>
            <w:r w:rsidRPr="008F0DA1">
              <w:rPr>
                <w:rFonts w:ascii="Arial" w:hAnsi="Arial" w:cs="Arial"/>
                <w:sz w:val="16"/>
                <w:szCs w:val="16"/>
                <w:highlight w:val="yellow"/>
              </w:rPr>
              <w:t>-1</w:t>
            </w:r>
            <w:r w:rsidR="007E0000" w:rsidRPr="008F0DA1">
              <w:rPr>
                <w:rFonts w:ascii="Arial" w:hAnsi="Arial" w:cs="Arial"/>
                <w:sz w:val="16"/>
                <w:szCs w:val="16"/>
                <w:highlight w:val="yellow"/>
              </w:rPr>
              <w:t>3</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sidRPr="00E65BEE">
              <w:rPr>
                <w:rFonts w:ascii="Arial" w:hAnsi="Arial" w:cs="Arial"/>
                <w:sz w:val="16"/>
                <w:szCs w:val="16"/>
              </w:rPr>
              <w:t>2000-04</w:t>
            </w:r>
          </w:p>
        </w:tc>
        <w:tc>
          <w:tcPr>
            <w:tcW w:w="720" w:type="dxa"/>
            <w:vAlign w:val="center"/>
          </w:tcPr>
          <w:p w:rsidR="00FA4DF8" w:rsidRPr="00F5121F" w:rsidRDefault="00FA4DF8" w:rsidP="00197BAD">
            <w:pPr>
              <w:spacing w:after="0" w:line="240" w:lineRule="auto"/>
              <w:jc w:val="center"/>
              <w:rPr>
                <w:rFonts w:ascii="Arial" w:hAnsi="Arial" w:cs="Arial"/>
                <w:sz w:val="16"/>
                <w:szCs w:val="16"/>
                <w:highlight w:val="yellow"/>
              </w:rPr>
            </w:pPr>
            <w:r w:rsidRPr="00F5121F">
              <w:rPr>
                <w:rFonts w:ascii="Arial" w:hAnsi="Arial" w:cs="Arial"/>
                <w:sz w:val="16"/>
                <w:szCs w:val="16"/>
                <w:highlight w:val="yellow"/>
              </w:rPr>
              <w:t>200</w:t>
            </w:r>
            <w:r w:rsidR="00197BAD">
              <w:rPr>
                <w:rFonts w:ascii="Arial" w:hAnsi="Arial" w:cs="Arial"/>
                <w:sz w:val="16"/>
                <w:szCs w:val="16"/>
                <w:highlight w:val="yellow"/>
              </w:rPr>
              <w:t>9</w:t>
            </w:r>
            <w:r w:rsidRPr="00F5121F">
              <w:rPr>
                <w:rFonts w:ascii="Arial" w:hAnsi="Arial" w:cs="Arial"/>
                <w:sz w:val="16"/>
                <w:szCs w:val="16"/>
                <w:highlight w:val="yellow"/>
              </w:rPr>
              <w:t>-1</w:t>
            </w:r>
            <w:r w:rsidR="007E0000" w:rsidRPr="00F5121F">
              <w:rPr>
                <w:rFonts w:ascii="Arial" w:hAnsi="Arial" w:cs="Arial"/>
                <w:sz w:val="16"/>
                <w:szCs w:val="16"/>
                <w:highlight w:val="yellow"/>
              </w:rPr>
              <w:t>3</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sidRPr="00E65BEE">
              <w:rPr>
                <w:rFonts w:ascii="Arial" w:hAnsi="Arial" w:cs="Arial"/>
                <w:sz w:val="16"/>
                <w:szCs w:val="16"/>
              </w:rPr>
              <w:t>2000-04</w:t>
            </w:r>
          </w:p>
        </w:tc>
        <w:tc>
          <w:tcPr>
            <w:tcW w:w="745" w:type="dxa"/>
            <w:vAlign w:val="center"/>
          </w:tcPr>
          <w:p w:rsidR="00FA4DF8" w:rsidRPr="00D2668E" w:rsidRDefault="00FA4DF8" w:rsidP="00197BAD">
            <w:pPr>
              <w:spacing w:after="0" w:line="240" w:lineRule="auto"/>
              <w:jc w:val="center"/>
              <w:rPr>
                <w:rFonts w:ascii="Arial" w:hAnsi="Arial" w:cs="Arial"/>
                <w:sz w:val="16"/>
                <w:szCs w:val="16"/>
                <w:highlight w:val="yellow"/>
              </w:rPr>
            </w:pPr>
            <w:r w:rsidRPr="00D2668E">
              <w:rPr>
                <w:rFonts w:ascii="Arial" w:hAnsi="Arial" w:cs="Arial"/>
                <w:sz w:val="16"/>
                <w:szCs w:val="16"/>
                <w:highlight w:val="yellow"/>
              </w:rPr>
              <w:t>200</w:t>
            </w:r>
            <w:r w:rsidR="00197BAD">
              <w:rPr>
                <w:rFonts w:ascii="Arial" w:hAnsi="Arial" w:cs="Arial"/>
                <w:sz w:val="16"/>
                <w:szCs w:val="16"/>
                <w:highlight w:val="yellow"/>
              </w:rPr>
              <w:t>9</w:t>
            </w:r>
            <w:r w:rsidRPr="00D2668E">
              <w:rPr>
                <w:rFonts w:ascii="Arial" w:hAnsi="Arial" w:cs="Arial"/>
                <w:sz w:val="16"/>
                <w:szCs w:val="16"/>
                <w:highlight w:val="yellow"/>
              </w:rPr>
              <w:t>-1</w:t>
            </w:r>
            <w:r w:rsidR="007E0000" w:rsidRPr="00D2668E">
              <w:rPr>
                <w:rFonts w:ascii="Arial" w:hAnsi="Arial" w:cs="Arial"/>
                <w:sz w:val="16"/>
                <w:szCs w:val="16"/>
                <w:highlight w:val="yellow"/>
              </w:rPr>
              <w:t>3</w:t>
            </w:r>
          </w:p>
        </w:tc>
      </w:tr>
      <w:tr w:rsidR="00FA4DF8" w:rsidTr="004D5CB4">
        <w:trPr>
          <w:trHeight w:val="238"/>
          <w:jc w:val="center"/>
        </w:trPr>
        <w:tc>
          <w:tcPr>
            <w:tcW w:w="2275"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 xml:space="preserve">Sulfate </w:t>
            </w:r>
            <w:proofErr w:type="spellStart"/>
            <w:r>
              <w:rPr>
                <w:rFonts w:ascii="Arial" w:hAnsi="Arial" w:cs="Arial"/>
                <w:sz w:val="16"/>
                <w:szCs w:val="16"/>
              </w:rPr>
              <w:t>Bext</w:t>
            </w:r>
            <w:proofErr w:type="spellEnd"/>
          </w:p>
        </w:tc>
        <w:tc>
          <w:tcPr>
            <w:tcW w:w="81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14.8</w:t>
            </w:r>
          </w:p>
        </w:tc>
        <w:tc>
          <w:tcPr>
            <w:tcW w:w="720" w:type="dxa"/>
            <w:vAlign w:val="center"/>
          </w:tcPr>
          <w:p w:rsidR="00FA4DF8"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9.3</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4.4</w:t>
            </w:r>
          </w:p>
        </w:tc>
        <w:tc>
          <w:tcPr>
            <w:tcW w:w="720" w:type="dxa"/>
            <w:vAlign w:val="center"/>
          </w:tcPr>
          <w:p w:rsidR="00FA4DF8"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2.8</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5.8</w:t>
            </w:r>
          </w:p>
        </w:tc>
        <w:tc>
          <w:tcPr>
            <w:tcW w:w="720" w:type="dxa"/>
            <w:vAlign w:val="center"/>
          </w:tcPr>
          <w:p w:rsidR="00FA4DF8" w:rsidRPr="008F0DA1" w:rsidRDefault="00972D8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3.7</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6.8</w:t>
            </w:r>
          </w:p>
        </w:tc>
        <w:tc>
          <w:tcPr>
            <w:tcW w:w="720" w:type="dxa"/>
            <w:vAlign w:val="center"/>
          </w:tcPr>
          <w:p w:rsidR="00FA4DF8" w:rsidRPr="00F5121F" w:rsidRDefault="00F5121F" w:rsidP="004D5CB4">
            <w:pPr>
              <w:spacing w:after="0" w:line="240" w:lineRule="auto"/>
              <w:jc w:val="center"/>
              <w:rPr>
                <w:rFonts w:ascii="Arial" w:hAnsi="Arial" w:cs="Arial"/>
                <w:sz w:val="16"/>
                <w:szCs w:val="16"/>
                <w:highlight w:val="yellow"/>
              </w:rPr>
            </w:pPr>
            <w:r w:rsidRPr="00F5121F">
              <w:rPr>
                <w:rFonts w:ascii="Arial" w:hAnsi="Arial" w:cs="Arial"/>
                <w:sz w:val="16"/>
                <w:szCs w:val="16"/>
                <w:highlight w:val="yellow"/>
              </w:rPr>
              <w:t>4.2</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6.7</w:t>
            </w:r>
          </w:p>
        </w:tc>
        <w:tc>
          <w:tcPr>
            <w:tcW w:w="745" w:type="dxa"/>
            <w:vAlign w:val="center"/>
          </w:tcPr>
          <w:p w:rsidR="00FA4DF8" w:rsidRPr="00D2668E" w:rsidRDefault="00D2668E" w:rsidP="004D5CB4">
            <w:pPr>
              <w:spacing w:after="0" w:line="240" w:lineRule="auto"/>
              <w:jc w:val="center"/>
              <w:rPr>
                <w:rFonts w:ascii="Arial" w:hAnsi="Arial" w:cs="Arial"/>
                <w:sz w:val="16"/>
                <w:szCs w:val="16"/>
                <w:highlight w:val="yellow"/>
              </w:rPr>
            </w:pPr>
            <w:r w:rsidRPr="00D2668E">
              <w:rPr>
                <w:rFonts w:ascii="Arial" w:hAnsi="Arial" w:cs="Arial"/>
                <w:sz w:val="16"/>
                <w:szCs w:val="16"/>
                <w:highlight w:val="yellow"/>
              </w:rPr>
              <w:t>3.7</w:t>
            </w:r>
          </w:p>
        </w:tc>
      </w:tr>
      <w:tr w:rsidR="00FA4DF8" w:rsidTr="004D5CB4">
        <w:trPr>
          <w:trHeight w:val="265"/>
          <w:jc w:val="center"/>
        </w:trPr>
        <w:tc>
          <w:tcPr>
            <w:tcW w:w="2275"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 xml:space="preserve">Nitrate </w:t>
            </w:r>
            <w:proofErr w:type="spellStart"/>
            <w:r>
              <w:rPr>
                <w:rFonts w:ascii="Arial" w:hAnsi="Arial" w:cs="Arial"/>
                <w:sz w:val="16"/>
                <w:szCs w:val="16"/>
              </w:rPr>
              <w:t>Bext</w:t>
            </w:r>
            <w:proofErr w:type="spellEnd"/>
          </w:p>
        </w:tc>
        <w:tc>
          <w:tcPr>
            <w:tcW w:w="81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3.9</w:t>
            </w:r>
          </w:p>
        </w:tc>
        <w:tc>
          <w:tcPr>
            <w:tcW w:w="720" w:type="dxa"/>
            <w:vAlign w:val="center"/>
          </w:tcPr>
          <w:p w:rsidR="00FA4DF8"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3.0</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1.2</w:t>
            </w:r>
          </w:p>
        </w:tc>
        <w:tc>
          <w:tcPr>
            <w:tcW w:w="720" w:type="dxa"/>
            <w:vAlign w:val="center"/>
          </w:tcPr>
          <w:p w:rsidR="00FA4DF8" w:rsidRPr="008F0DA1" w:rsidRDefault="00C4754A"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0.8</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1.0</w:t>
            </w:r>
          </w:p>
        </w:tc>
        <w:tc>
          <w:tcPr>
            <w:tcW w:w="720" w:type="dxa"/>
            <w:vAlign w:val="center"/>
          </w:tcPr>
          <w:p w:rsidR="00FA4DF8" w:rsidRPr="008F0DA1" w:rsidRDefault="00972D8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0.6</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1.1</w:t>
            </w:r>
          </w:p>
        </w:tc>
        <w:tc>
          <w:tcPr>
            <w:tcW w:w="720" w:type="dxa"/>
            <w:vAlign w:val="center"/>
          </w:tcPr>
          <w:p w:rsidR="00FA4DF8" w:rsidRPr="00F5121F" w:rsidRDefault="00972D81" w:rsidP="004D5CB4">
            <w:pPr>
              <w:spacing w:after="0" w:line="240" w:lineRule="auto"/>
              <w:jc w:val="center"/>
              <w:rPr>
                <w:rFonts w:ascii="Arial" w:hAnsi="Arial" w:cs="Arial"/>
                <w:sz w:val="16"/>
                <w:szCs w:val="16"/>
                <w:highlight w:val="yellow"/>
              </w:rPr>
            </w:pPr>
            <w:r w:rsidRPr="00F5121F">
              <w:rPr>
                <w:rFonts w:ascii="Arial" w:hAnsi="Arial" w:cs="Arial"/>
                <w:sz w:val="16"/>
                <w:szCs w:val="16"/>
                <w:highlight w:val="yellow"/>
              </w:rPr>
              <w:t>0.6</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1.1</w:t>
            </w:r>
          </w:p>
        </w:tc>
        <w:tc>
          <w:tcPr>
            <w:tcW w:w="745" w:type="dxa"/>
            <w:vAlign w:val="center"/>
          </w:tcPr>
          <w:p w:rsidR="00FA4DF8" w:rsidRPr="00D2668E" w:rsidRDefault="00972D81" w:rsidP="004D5CB4">
            <w:pPr>
              <w:spacing w:after="0" w:line="240" w:lineRule="auto"/>
              <w:jc w:val="center"/>
              <w:rPr>
                <w:rFonts w:ascii="Arial" w:hAnsi="Arial" w:cs="Arial"/>
                <w:sz w:val="16"/>
                <w:szCs w:val="16"/>
                <w:highlight w:val="yellow"/>
              </w:rPr>
            </w:pPr>
            <w:r w:rsidRPr="00D2668E">
              <w:rPr>
                <w:rFonts w:ascii="Arial" w:hAnsi="Arial" w:cs="Arial"/>
                <w:sz w:val="16"/>
                <w:szCs w:val="16"/>
                <w:highlight w:val="yellow"/>
              </w:rPr>
              <w:t>0.5</w:t>
            </w:r>
          </w:p>
        </w:tc>
      </w:tr>
      <w:tr w:rsidR="00FA4DF8" w:rsidTr="004D5CB4">
        <w:trPr>
          <w:trHeight w:val="265"/>
          <w:jc w:val="center"/>
        </w:trPr>
        <w:tc>
          <w:tcPr>
            <w:tcW w:w="2275" w:type="dxa"/>
            <w:vAlign w:val="center"/>
          </w:tcPr>
          <w:p w:rsidR="00FA4DF8" w:rsidRPr="00E65BEE" w:rsidRDefault="00972D81" w:rsidP="004D5CB4">
            <w:pPr>
              <w:spacing w:after="0" w:line="240" w:lineRule="auto"/>
              <w:jc w:val="center"/>
              <w:rPr>
                <w:rFonts w:ascii="Arial" w:hAnsi="Arial" w:cs="Arial"/>
                <w:sz w:val="16"/>
                <w:szCs w:val="16"/>
              </w:rPr>
            </w:pPr>
            <w:r>
              <w:rPr>
                <w:rFonts w:ascii="Arial" w:hAnsi="Arial" w:cs="Arial"/>
                <w:sz w:val="16"/>
                <w:szCs w:val="16"/>
              </w:rPr>
              <w:t>POM</w:t>
            </w:r>
            <w:r w:rsidR="00FA4DF8">
              <w:rPr>
                <w:rFonts w:ascii="Arial" w:hAnsi="Arial" w:cs="Arial"/>
                <w:sz w:val="16"/>
                <w:szCs w:val="16"/>
              </w:rPr>
              <w:t xml:space="preserve"> </w:t>
            </w:r>
            <w:proofErr w:type="spellStart"/>
            <w:r w:rsidR="00FA4DF8">
              <w:rPr>
                <w:rFonts w:ascii="Arial" w:hAnsi="Arial" w:cs="Arial"/>
                <w:sz w:val="16"/>
                <w:szCs w:val="16"/>
              </w:rPr>
              <w:t>Bext</w:t>
            </w:r>
            <w:proofErr w:type="spellEnd"/>
          </w:p>
        </w:tc>
        <w:tc>
          <w:tcPr>
            <w:tcW w:w="81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4.5</w:t>
            </w:r>
          </w:p>
        </w:tc>
        <w:tc>
          <w:tcPr>
            <w:tcW w:w="720" w:type="dxa"/>
            <w:vAlign w:val="center"/>
          </w:tcPr>
          <w:p w:rsidR="00FA4DF8" w:rsidRPr="008F0DA1" w:rsidRDefault="00FA4DF8" w:rsidP="008F0DA1">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3.</w:t>
            </w:r>
            <w:r w:rsidR="008F0DA1" w:rsidRPr="008F0DA1">
              <w:rPr>
                <w:rFonts w:ascii="Arial" w:hAnsi="Arial" w:cs="Arial"/>
                <w:sz w:val="16"/>
                <w:szCs w:val="16"/>
                <w:highlight w:val="yellow"/>
              </w:rPr>
              <w:t>6</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1.3</w:t>
            </w:r>
          </w:p>
        </w:tc>
        <w:tc>
          <w:tcPr>
            <w:tcW w:w="720" w:type="dxa"/>
            <w:vAlign w:val="center"/>
          </w:tcPr>
          <w:p w:rsidR="00FA4DF8" w:rsidRPr="008F0DA1" w:rsidRDefault="00C4754A" w:rsidP="008F0DA1">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0</w:t>
            </w:r>
            <w:r w:rsidR="008F0DA1" w:rsidRPr="008F0DA1">
              <w:rPr>
                <w:rFonts w:ascii="Arial" w:hAnsi="Arial" w:cs="Arial"/>
                <w:sz w:val="16"/>
                <w:szCs w:val="16"/>
                <w:highlight w:val="yellow"/>
              </w:rPr>
              <w:t>.9</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2.0</w:t>
            </w:r>
          </w:p>
        </w:tc>
        <w:tc>
          <w:tcPr>
            <w:tcW w:w="720" w:type="dxa"/>
            <w:vAlign w:val="center"/>
          </w:tcPr>
          <w:p w:rsidR="00FA4DF8" w:rsidRPr="008F0DA1" w:rsidRDefault="00972D81" w:rsidP="008F0DA1">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1.</w:t>
            </w:r>
            <w:r w:rsidR="008F0DA1" w:rsidRPr="008F0DA1">
              <w:rPr>
                <w:rFonts w:ascii="Arial" w:hAnsi="Arial" w:cs="Arial"/>
                <w:sz w:val="16"/>
                <w:szCs w:val="16"/>
                <w:highlight w:val="yellow"/>
              </w:rPr>
              <w:t>3</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2.2</w:t>
            </w:r>
          </w:p>
        </w:tc>
        <w:tc>
          <w:tcPr>
            <w:tcW w:w="720" w:type="dxa"/>
            <w:vAlign w:val="center"/>
          </w:tcPr>
          <w:p w:rsidR="00FA4DF8" w:rsidRPr="00F5121F" w:rsidRDefault="00972D81" w:rsidP="00972D81">
            <w:pPr>
              <w:spacing w:after="0" w:line="240" w:lineRule="auto"/>
              <w:jc w:val="center"/>
              <w:rPr>
                <w:rFonts w:ascii="Arial" w:hAnsi="Arial" w:cs="Arial"/>
                <w:sz w:val="16"/>
                <w:szCs w:val="16"/>
                <w:highlight w:val="yellow"/>
              </w:rPr>
            </w:pPr>
            <w:r w:rsidRPr="00F5121F">
              <w:rPr>
                <w:rFonts w:ascii="Arial" w:hAnsi="Arial" w:cs="Arial"/>
                <w:sz w:val="16"/>
                <w:szCs w:val="16"/>
                <w:highlight w:val="yellow"/>
              </w:rPr>
              <w:t>1.7</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3.1</w:t>
            </w:r>
          </w:p>
        </w:tc>
        <w:tc>
          <w:tcPr>
            <w:tcW w:w="745" w:type="dxa"/>
            <w:vAlign w:val="center"/>
          </w:tcPr>
          <w:p w:rsidR="00FA4DF8" w:rsidRPr="00D2668E" w:rsidRDefault="00972D81" w:rsidP="00D2668E">
            <w:pPr>
              <w:spacing w:after="0" w:line="240" w:lineRule="auto"/>
              <w:jc w:val="center"/>
              <w:rPr>
                <w:rFonts w:ascii="Arial" w:hAnsi="Arial" w:cs="Arial"/>
                <w:sz w:val="16"/>
                <w:szCs w:val="16"/>
                <w:highlight w:val="yellow"/>
              </w:rPr>
            </w:pPr>
            <w:r w:rsidRPr="00D2668E">
              <w:rPr>
                <w:rFonts w:ascii="Arial" w:hAnsi="Arial" w:cs="Arial"/>
                <w:sz w:val="16"/>
                <w:szCs w:val="16"/>
                <w:highlight w:val="yellow"/>
              </w:rPr>
              <w:t>1.</w:t>
            </w:r>
            <w:r w:rsidR="00D2668E" w:rsidRPr="00D2668E">
              <w:rPr>
                <w:rFonts w:ascii="Arial" w:hAnsi="Arial" w:cs="Arial"/>
                <w:sz w:val="16"/>
                <w:szCs w:val="16"/>
                <w:highlight w:val="yellow"/>
              </w:rPr>
              <w:t>8</w:t>
            </w:r>
          </w:p>
        </w:tc>
      </w:tr>
      <w:tr w:rsidR="00FA4DF8" w:rsidTr="004D5CB4">
        <w:trPr>
          <w:trHeight w:val="292"/>
          <w:jc w:val="center"/>
        </w:trPr>
        <w:tc>
          <w:tcPr>
            <w:tcW w:w="2275" w:type="dxa"/>
            <w:vAlign w:val="center"/>
          </w:tcPr>
          <w:p w:rsidR="00FA4DF8" w:rsidRPr="00E65BEE" w:rsidRDefault="00972D81" w:rsidP="004D5CB4">
            <w:pPr>
              <w:spacing w:after="0" w:line="240" w:lineRule="auto"/>
              <w:jc w:val="center"/>
              <w:rPr>
                <w:rFonts w:ascii="Arial" w:hAnsi="Arial" w:cs="Arial"/>
                <w:sz w:val="16"/>
                <w:szCs w:val="16"/>
              </w:rPr>
            </w:pPr>
            <w:r>
              <w:rPr>
                <w:rFonts w:ascii="Arial" w:hAnsi="Arial" w:cs="Arial"/>
                <w:sz w:val="16"/>
                <w:szCs w:val="16"/>
              </w:rPr>
              <w:t>EC</w:t>
            </w:r>
            <w:r w:rsidR="00FA4DF8">
              <w:rPr>
                <w:rFonts w:ascii="Arial" w:hAnsi="Arial" w:cs="Arial"/>
                <w:sz w:val="16"/>
                <w:szCs w:val="16"/>
              </w:rPr>
              <w:t xml:space="preserve"> </w:t>
            </w:r>
            <w:proofErr w:type="spellStart"/>
            <w:r w:rsidR="00FA4DF8">
              <w:rPr>
                <w:rFonts w:ascii="Arial" w:hAnsi="Arial" w:cs="Arial"/>
                <w:sz w:val="16"/>
                <w:szCs w:val="16"/>
              </w:rPr>
              <w:t>Bext</w:t>
            </w:r>
            <w:proofErr w:type="spellEnd"/>
          </w:p>
        </w:tc>
        <w:tc>
          <w:tcPr>
            <w:tcW w:w="81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2.4</w:t>
            </w:r>
          </w:p>
        </w:tc>
        <w:tc>
          <w:tcPr>
            <w:tcW w:w="720" w:type="dxa"/>
            <w:vAlign w:val="center"/>
          </w:tcPr>
          <w:p w:rsidR="00FA4DF8" w:rsidRPr="008F0DA1" w:rsidRDefault="00FA4DF8" w:rsidP="008F0DA1">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1.</w:t>
            </w:r>
            <w:r w:rsidR="008F0DA1" w:rsidRPr="008F0DA1">
              <w:rPr>
                <w:rFonts w:ascii="Arial" w:hAnsi="Arial" w:cs="Arial"/>
                <w:sz w:val="16"/>
                <w:szCs w:val="16"/>
                <w:highlight w:val="yellow"/>
              </w:rPr>
              <w:t>6</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0.6</w:t>
            </w:r>
          </w:p>
        </w:tc>
        <w:tc>
          <w:tcPr>
            <w:tcW w:w="720" w:type="dxa"/>
            <w:vAlign w:val="center"/>
          </w:tcPr>
          <w:p w:rsidR="00FA4DF8" w:rsidRPr="008F0DA1" w:rsidRDefault="00C4754A"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0.4</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0.8</w:t>
            </w:r>
          </w:p>
        </w:tc>
        <w:tc>
          <w:tcPr>
            <w:tcW w:w="720" w:type="dxa"/>
            <w:vAlign w:val="center"/>
          </w:tcPr>
          <w:p w:rsidR="00FA4DF8" w:rsidRPr="008F0DA1" w:rsidRDefault="00972D81" w:rsidP="008F0DA1">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0.</w:t>
            </w:r>
            <w:r w:rsidR="008F0DA1" w:rsidRPr="008F0DA1">
              <w:rPr>
                <w:rFonts w:ascii="Arial" w:hAnsi="Arial" w:cs="Arial"/>
                <w:sz w:val="16"/>
                <w:szCs w:val="16"/>
                <w:highlight w:val="yellow"/>
              </w:rPr>
              <w:t>4</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0.9</w:t>
            </w:r>
          </w:p>
        </w:tc>
        <w:tc>
          <w:tcPr>
            <w:tcW w:w="720" w:type="dxa"/>
            <w:vAlign w:val="center"/>
          </w:tcPr>
          <w:p w:rsidR="00FA4DF8" w:rsidRPr="00F5121F" w:rsidRDefault="00972D81" w:rsidP="004D5CB4">
            <w:pPr>
              <w:spacing w:after="0" w:line="240" w:lineRule="auto"/>
              <w:jc w:val="center"/>
              <w:rPr>
                <w:rFonts w:ascii="Arial" w:hAnsi="Arial" w:cs="Arial"/>
                <w:sz w:val="16"/>
                <w:szCs w:val="16"/>
                <w:highlight w:val="yellow"/>
              </w:rPr>
            </w:pPr>
            <w:r w:rsidRPr="00F5121F">
              <w:rPr>
                <w:rFonts w:ascii="Arial" w:hAnsi="Arial" w:cs="Arial"/>
                <w:sz w:val="16"/>
                <w:szCs w:val="16"/>
                <w:highlight w:val="yellow"/>
              </w:rPr>
              <w:t>0.5</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1.0</w:t>
            </w:r>
          </w:p>
        </w:tc>
        <w:tc>
          <w:tcPr>
            <w:tcW w:w="745" w:type="dxa"/>
            <w:vAlign w:val="center"/>
          </w:tcPr>
          <w:p w:rsidR="00FA4DF8" w:rsidRPr="00D2668E" w:rsidRDefault="00972D81" w:rsidP="004D5CB4">
            <w:pPr>
              <w:spacing w:after="0" w:line="240" w:lineRule="auto"/>
              <w:jc w:val="center"/>
              <w:rPr>
                <w:rFonts w:ascii="Arial" w:hAnsi="Arial" w:cs="Arial"/>
                <w:sz w:val="16"/>
                <w:szCs w:val="16"/>
                <w:highlight w:val="yellow"/>
              </w:rPr>
            </w:pPr>
            <w:r w:rsidRPr="00D2668E">
              <w:rPr>
                <w:rFonts w:ascii="Arial" w:hAnsi="Arial" w:cs="Arial"/>
                <w:sz w:val="16"/>
                <w:szCs w:val="16"/>
                <w:highlight w:val="yellow"/>
              </w:rPr>
              <w:t>0.5</w:t>
            </w:r>
          </w:p>
        </w:tc>
      </w:tr>
      <w:tr w:rsidR="00FA4DF8" w:rsidTr="004D5CB4">
        <w:trPr>
          <w:trHeight w:val="238"/>
          <w:jc w:val="center"/>
        </w:trPr>
        <w:tc>
          <w:tcPr>
            <w:tcW w:w="2275"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 xml:space="preserve">Soil </w:t>
            </w:r>
            <w:proofErr w:type="spellStart"/>
            <w:r>
              <w:rPr>
                <w:rFonts w:ascii="Arial" w:hAnsi="Arial" w:cs="Arial"/>
                <w:sz w:val="16"/>
                <w:szCs w:val="16"/>
              </w:rPr>
              <w:t>Bext</w:t>
            </w:r>
            <w:proofErr w:type="spellEnd"/>
          </w:p>
        </w:tc>
        <w:tc>
          <w:tcPr>
            <w:tcW w:w="81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0.2</w:t>
            </w:r>
          </w:p>
        </w:tc>
        <w:tc>
          <w:tcPr>
            <w:tcW w:w="720" w:type="dxa"/>
            <w:vAlign w:val="center"/>
          </w:tcPr>
          <w:p w:rsidR="00FA4DF8" w:rsidRPr="008F0DA1" w:rsidRDefault="00FA4DF8"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0.2</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0.1</w:t>
            </w:r>
          </w:p>
        </w:tc>
        <w:tc>
          <w:tcPr>
            <w:tcW w:w="720" w:type="dxa"/>
            <w:vAlign w:val="center"/>
          </w:tcPr>
          <w:p w:rsidR="00FA4DF8" w:rsidRPr="008F0DA1" w:rsidRDefault="00C4754A"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0.1</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0.1</w:t>
            </w:r>
          </w:p>
        </w:tc>
        <w:tc>
          <w:tcPr>
            <w:tcW w:w="720" w:type="dxa"/>
            <w:vAlign w:val="center"/>
          </w:tcPr>
          <w:p w:rsidR="00FA4DF8" w:rsidRPr="008F0DA1" w:rsidRDefault="00972D81" w:rsidP="008F0DA1">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0.</w:t>
            </w:r>
            <w:r w:rsidR="008F0DA1" w:rsidRPr="008F0DA1">
              <w:rPr>
                <w:rFonts w:ascii="Arial" w:hAnsi="Arial" w:cs="Arial"/>
                <w:sz w:val="16"/>
                <w:szCs w:val="16"/>
                <w:highlight w:val="yellow"/>
              </w:rPr>
              <w:t>0</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0.1</w:t>
            </w:r>
          </w:p>
        </w:tc>
        <w:tc>
          <w:tcPr>
            <w:tcW w:w="720" w:type="dxa"/>
            <w:vAlign w:val="center"/>
          </w:tcPr>
          <w:p w:rsidR="00FA4DF8" w:rsidRPr="00F5121F" w:rsidRDefault="00972D81" w:rsidP="004D5CB4">
            <w:pPr>
              <w:spacing w:after="0" w:line="240" w:lineRule="auto"/>
              <w:jc w:val="center"/>
              <w:rPr>
                <w:rFonts w:ascii="Arial" w:hAnsi="Arial" w:cs="Arial"/>
                <w:sz w:val="16"/>
                <w:szCs w:val="16"/>
                <w:highlight w:val="yellow"/>
              </w:rPr>
            </w:pPr>
            <w:r w:rsidRPr="00F5121F">
              <w:rPr>
                <w:rFonts w:ascii="Arial" w:hAnsi="Arial" w:cs="Arial"/>
                <w:sz w:val="16"/>
                <w:szCs w:val="16"/>
                <w:highlight w:val="yellow"/>
              </w:rPr>
              <w:t>0.1</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0.1</w:t>
            </w:r>
          </w:p>
        </w:tc>
        <w:tc>
          <w:tcPr>
            <w:tcW w:w="745" w:type="dxa"/>
            <w:vAlign w:val="center"/>
          </w:tcPr>
          <w:p w:rsidR="00FA4DF8" w:rsidRPr="00D2668E" w:rsidRDefault="00972D81" w:rsidP="004D5CB4">
            <w:pPr>
              <w:spacing w:after="0" w:line="240" w:lineRule="auto"/>
              <w:jc w:val="center"/>
              <w:rPr>
                <w:rFonts w:ascii="Arial" w:hAnsi="Arial" w:cs="Arial"/>
                <w:sz w:val="16"/>
                <w:szCs w:val="16"/>
                <w:highlight w:val="yellow"/>
              </w:rPr>
            </w:pPr>
            <w:r w:rsidRPr="00D2668E">
              <w:rPr>
                <w:rFonts w:ascii="Arial" w:hAnsi="Arial" w:cs="Arial"/>
                <w:sz w:val="16"/>
                <w:szCs w:val="16"/>
                <w:highlight w:val="yellow"/>
              </w:rPr>
              <w:t>0.1</w:t>
            </w:r>
          </w:p>
        </w:tc>
      </w:tr>
      <w:tr w:rsidR="00FA4DF8" w:rsidTr="004D5CB4">
        <w:trPr>
          <w:trHeight w:val="265"/>
          <w:jc w:val="center"/>
        </w:trPr>
        <w:tc>
          <w:tcPr>
            <w:tcW w:w="2275"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 xml:space="preserve">Coarse </w:t>
            </w:r>
            <w:proofErr w:type="spellStart"/>
            <w:r>
              <w:rPr>
                <w:rFonts w:ascii="Arial" w:hAnsi="Arial" w:cs="Arial"/>
                <w:sz w:val="16"/>
                <w:szCs w:val="16"/>
              </w:rPr>
              <w:t>Bext</w:t>
            </w:r>
            <w:proofErr w:type="spellEnd"/>
          </w:p>
        </w:tc>
        <w:tc>
          <w:tcPr>
            <w:tcW w:w="81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3.2</w:t>
            </w:r>
          </w:p>
        </w:tc>
        <w:tc>
          <w:tcPr>
            <w:tcW w:w="720" w:type="dxa"/>
            <w:vAlign w:val="center"/>
          </w:tcPr>
          <w:p w:rsidR="00FA4DF8" w:rsidRPr="008F0DA1" w:rsidRDefault="00FA4DF8" w:rsidP="008F0DA1">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3.</w:t>
            </w:r>
            <w:r w:rsidR="008F0DA1" w:rsidRPr="008F0DA1">
              <w:rPr>
                <w:rFonts w:ascii="Arial" w:hAnsi="Arial" w:cs="Arial"/>
                <w:sz w:val="16"/>
                <w:szCs w:val="16"/>
                <w:highlight w:val="yellow"/>
              </w:rPr>
              <w:t>0</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0.5</w:t>
            </w:r>
          </w:p>
        </w:tc>
        <w:tc>
          <w:tcPr>
            <w:tcW w:w="720" w:type="dxa"/>
            <w:vAlign w:val="center"/>
          </w:tcPr>
          <w:p w:rsidR="00FA4DF8" w:rsidRPr="008F0DA1" w:rsidRDefault="00C4754A"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0.4</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0.9</w:t>
            </w:r>
          </w:p>
        </w:tc>
        <w:tc>
          <w:tcPr>
            <w:tcW w:w="720" w:type="dxa"/>
            <w:vAlign w:val="center"/>
          </w:tcPr>
          <w:p w:rsidR="00FA4DF8" w:rsidRPr="008F0DA1" w:rsidRDefault="00972D81" w:rsidP="008F0DA1">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0.</w:t>
            </w:r>
            <w:r w:rsidR="008F0DA1" w:rsidRPr="008F0DA1">
              <w:rPr>
                <w:rFonts w:ascii="Arial" w:hAnsi="Arial" w:cs="Arial"/>
                <w:sz w:val="16"/>
                <w:szCs w:val="16"/>
                <w:highlight w:val="yellow"/>
              </w:rPr>
              <w:t>7</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0.7</w:t>
            </w:r>
          </w:p>
        </w:tc>
        <w:tc>
          <w:tcPr>
            <w:tcW w:w="720" w:type="dxa"/>
            <w:vAlign w:val="center"/>
          </w:tcPr>
          <w:p w:rsidR="00FA4DF8" w:rsidRPr="00F5121F" w:rsidRDefault="00972D81" w:rsidP="004D5CB4">
            <w:pPr>
              <w:spacing w:after="0" w:line="240" w:lineRule="auto"/>
              <w:jc w:val="center"/>
              <w:rPr>
                <w:rFonts w:ascii="Arial" w:hAnsi="Arial" w:cs="Arial"/>
                <w:sz w:val="16"/>
                <w:szCs w:val="16"/>
                <w:highlight w:val="yellow"/>
              </w:rPr>
            </w:pPr>
            <w:r w:rsidRPr="00F5121F">
              <w:rPr>
                <w:rFonts w:ascii="Arial" w:hAnsi="Arial" w:cs="Arial"/>
                <w:sz w:val="16"/>
                <w:szCs w:val="16"/>
                <w:highlight w:val="yellow"/>
              </w:rPr>
              <w:t>0.8</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1.1</w:t>
            </w:r>
          </w:p>
        </w:tc>
        <w:tc>
          <w:tcPr>
            <w:tcW w:w="745" w:type="dxa"/>
            <w:vAlign w:val="center"/>
          </w:tcPr>
          <w:p w:rsidR="00FA4DF8" w:rsidRPr="00D2668E" w:rsidRDefault="00972D81" w:rsidP="00D2668E">
            <w:pPr>
              <w:spacing w:after="0" w:line="240" w:lineRule="auto"/>
              <w:jc w:val="center"/>
              <w:rPr>
                <w:rFonts w:ascii="Arial" w:hAnsi="Arial" w:cs="Arial"/>
                <w:sz w:val="16"/>
                <w:szCs w:val="16"/>
                <w:highlight w:val="yellow"/>
              </w:rPr>
            </w:pPr>
            <w:r w:rsidRPr="00D2668E">
              <w:rPr>
                <w:rFonts w:ascii="Arial" w:hAnsi="Arial" w:cs="Arial"/>
                <w:sz w:val="16"/>
                <w:szCs w:val="16"/>
                <w:highlight w:val="yellow"/>
              </w:rPr>
              <w:t>0.</w:t>
            </w:r>
            <w:r w:rsidR="00D2668E" w:rsidRPr="00D2668E">
              <w:rPr>
                <w:rFonts w:ascii="Arial" w:hAnsi="Arial" w:cs="Arial"/>
                <w:sz w:val="16"/>
                <w:szCs w:val="16"/>
                <w:highlight w:val="yellow"/>
              </w:rPr>
              <w:t>7</w:t>
            </w:r>
          </w:p>
        </w:tc>
      </w:tr>
      <w:tr w:rsidR="00FA4DF8" w:rsidTr="004D5CB4">
        <w:trPr>
          <w:trHeight w:val="265"/>
          <w:jc w:val="center"/>
        </w:trPr>
        <w:tc>
          <w:tcPr>
            <w:tcW w:w="2275"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 xml:space="preserve">Sea Salt </w:t>
            </w:r>
            <w:proofErr w:type="spellStart"/>
            <w:r>
              <w:rPr>
                <w:rFonts w:ascii="Arial" w:hAnsi="Arial" w:cs="Arial"/>
                <w:sz w:val="16"/>
                <w:szCs w:val="16"/>
              </w:rPr>
              <w:t>Bext</w:t>
            </w:r>
            <w:proofErr w:type="spellEnd"/>
          </w:p>
        </w:tc>
        <w:tc>
          <w:tcPr>
            <w:tcW w:w="81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1.4</w:t>
            </w:r>
          </w:p>
        </w:tc>
        <w:tc>
          <w:tcPr>
            <w:tcW w:w="720" w:type="dxa"/>
            <w:vAlign w:val="center"/>
          </w:tcPr>
          <w:p w:rsidR="00FA4DF8" w:rsidRPr="008F0DA1" w:rsidRDefault="00FA4DF8"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1.6</w:t>
            </w:r>
          </w:p>
        </w:tc>
        <w:tc>
          <w:tcPr>
            <w:tcW w:w="720" w:type="dxa"/>
            <w:vAlign w:val="center"/>
          </w:tcPr>
          <w:p w:rsidR="00FA4DF8" w:rsidRPr="00E65BEE" w:rsidRDefault="00FA4DF8" w:rsidP="00C4754A">
            <w:pPr>
              <w:spacing w:after="0" w:line="240" w:lineRule="auto"/>
              <w:jc w:val="center"/>
              <w:rPr>
                <w:rFonts w:ascii="Arial" w:hAnsi="Arial" w:cs="Arial"/>
                <w:sz w:val="16"/>
                <w:szCs w:val="16"/>
              </w:rPr>
            </w:pPr>
            <w:r>
              <w:rPr>
                <w:rFonts w:ascii="Arial" w:hAnsi="Arial" w:cs="Arial"/>
                <w:sz w:val="16"/>
                <w:szCs w:val="16"/>
              </w:rPr>
              <w:t>0.</w:t>
            </w:r>
            <w:r w:rsidR="00C4754A">
              <w:rPr>
                <w:rFonts w:ascii="Arial" w:hAnsi="Arial" w:cs="Arial"/>
                <w:sz w:val="16"/>
                <w:szCs w:val="16"/>
              </w:rPr>
              <w:t>1</w:t>
            </w:r>
          </w:p>
        </w:tc>
        <w:tc>
          <w:tcPr>
            <w:tcW w:w="720" w:type="dxa"/>
            <w:vAlign w:val="center"/>
          </w:tcPr>
          <w:p w:rsidR="00FA4DF8" w:rsidRPr="008F0DA1" w:rsidRDefault="00C4754A"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0.1</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0.2</w:t>
            </w:r>
          </w:p>
        </w:tc>
        <w:tc>
          <w:tcPr>
            <w:tcW w:w="720" w:type="dxa"/>
            <w:vAlign w:val="center"/>
          </w:tcPr>
          <w:p w:rsidR="00FA4DF8" w:rsidRPr="008F0DA1" w:rsidRDefault="00972D8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0.3</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0.4</w:t>
            </w:r>
          </w:p>
        </w:tc>
        <w:tc>
          <w:tcPr>
            <w:tcW w:w="720" w:type="dxa"/>
            <w:vAlign w:val="center"/>
          </w:tcPr>
          <w:p w:rsidR="00FA4DF8" w:rsidRPr="00F5121F" w:rsidRDefault="00972D81" w:rsidP="004D5CB4">
            <w:pPr>
              <w:spacing w:after="0" w:line="240" w:lineRule="auto"/>
              <w:jc w:val="center"/>
              <w:rPr>
                <w:rFonts w:ascii="Arial" w:hAnsi="Arial" w:cs="Arial"/>
                <w:sz w:val="16"/>
                <w:szCs w:val="16"/>
                <w:highlight w:val="yellow"/>
              </w:rPr>
            </w:pPr>
            <w:r w:rsidRPr="00F5121F">
              <w:rPr>
                <w:rFonts w:ascii="Arial" w:hAnsi="Arial" w:cs="Arial"/>
                <w:sz w:val="16"/>
                <w:szCs w:val="16"/>
                <w:highlight w:val="yellow"/>
              </w:rPr>
              <w:t>0.6</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0.3</w:t>
            </w:r>
          </w:p>
        </w:tc>
        <w:tc>
          <w:tcPr>
            <w:tcW w:w="745" w:type="dxa"/>
            <w:vAlign w:val="center"/>
          </w:tcPr>
          <w:p w:rsidR="00FA4DF8" w:rsidRPr="00D2668E" w:rsidRDefault="00972D81" w:rsidP="004D5CB4">
            <w:pPr>
              <w:spacing w:after="0" w:line="240" w:lineRule="auto"/>
              <w:jc w:val="center"/>
              <w:rPr>
                <w:rFonts w:ascii="Arial" w:hAnsi="Arial" w:cs="Arial"/>
                <w:sz w:val="16"/>
                <w:szCs w:val="16"/>
                <w:highlight w:val="yellow"/>
              </w:rPr>
            </w:pPr>
            <w:r w:rsidRPr="00D2668E">
              <w:rPr>
                <w:rFonts w:ascii="Arial" w:hAnsi="Arial" w:cs="Arial"/>
                <w:sz w:val="16"/>
                <w:szCs w:val="16"/>
                <w:highlight w:val="yellow"/>
              </w:rPr>
              <w:t>0.5</w:t>
            </w:r>
          </w:p>
        </w:tc>
      </w:tr>
      <w:tr w:rsidR="00FA4DF8" w:rsidTr="004D5CB4">
        <w:trPr>
          <w:trHeight w:val="265"/>
          <w:jc w:val="center"/>
        </w:trPr>
        <w:tc>
          <w:tcPr>
            <w:tcW w:w="2275"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 xml:space="preserve">Total PM </w:t>
            </w:r>
            <w:proofErr w:type="spellStart"/>
            <w:r>
              <w:rPr>
                <w:rFonts w:ascii="Arial" w:hAnsi="Arial" w:cs="Arial"/>
                <w:sz w:val="16"/>
                <w:szCs w:val="16"/>
              </w:rPr>
              <w:t>Bext</w:t>
            </w:r>
            <w:proofErr w:type="spellEnd"/>
          </w:p>
        </w:tc>
        <w:tc>
          <w:tcPr>
            <w:tcW w:w="81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30.4</w:t>
            </w:r>
          </w:p>
        </w:tc>
        <w:tc>
          <w:tcPr>
            <w:tcW w:w="720" w:type="dxa"/>
            <w:vAlign w:val="center"/>
          </w:tcPr>
          <w:p w:rsidR="00FA4DF8" w:rsidRPr="008F0DA1" w:rsidRDefault="00FA4DF8" w:rsidP="008F0DA1">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22.</w:t>
            </w:r>
            <w:r w:rsidR="008F0DA1" w:rsidRPr="008F0DA1">
              <w:rPr>
                <w:rFonts w:ascii="Arial" w:hAnsi="Arial" w:cs="Arial"/>
                <w:sz w:val="16"/>
                <w:szCs w:val="16"/>
                <w:highlight w:val="yellow"/>
              </w:rPr>
              <w:t>4</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8.1</w:t>
            </w:r>
          </w:p>
        </w:tc>
        <w:tc>
          <w:tcPr>
            <w:tcW w:w="720" w:type="dxa"/>
            <w:vAlign w:val="center"/>
          </w:tcPr>
          <w:p w:rsidR="00FA4DF8" w:rsidRPr="008F0DA1" w:rsidRDefault="00C4754A" w:rsidP="008F0DA1">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5.</w:t>
            </w:r>
            <w:r w:rsidR="008F0DA1" w:rsidRPr="008F0DA1">
              <w:rPr>
                <w:rFonts w:ascii="Arial" w:hAnsi="Arial" w:cs="Arial"/>
                <w:sz w:val="16"/>
                <w:szCs w:val="16"/>
                <w:highlight w:val="yellow"/>
              </w:rPr>
              <w:t>5</w:t>
            </w:r>
          </w:p>
        </w:tc>
        <w:tc>
          <w:tcPr>
            <w:tcW w:w="720" w:type="dxa"/>
            <w:vAlign w:val="center"/>
          </w:tcPr>
          <w:p w:rsidR="00FA4DF8" w:rsidRPr="00E65BEE" w:rsidRDefault="00972D81" w:rsidP="004D5CB4">
            <w:pPr>
              <w:spacing w:after="0" w:line="240" w:lineRule="auto"/>
              <w:jc w:val="center"/>
              <w:rPr>
                <w:rFonts w:ascii="Arial" w:hAnsi="Arial" w:cs="Arial"/>
                <w:sz w:val="16"/>
                <w:szCs w:val="16"/>
              </w:rPr>
            </w:pPr>
            <w:r>
              <w:rPr>
                <w:rFonts w:ascii="Arial" w:hAnsi="Arial" w:cs="Arial"/>
                <w:sz w:val="16"/>
                <w:szCs w:val="16"/>
              </w:rPr>
              <w:t>10.7</w:t>
            </w:r>
          </w:p>
        </w:tc>
        <w:tc>
          <w:tcPr>
            <w:tcW w:w="720" w:type="dxa"/>
            <w:vAlign w:val="center"/>
          </w:tcPr>
          <w:p w:rsidR="00FA4DF8" w:rsidRPr="008F0DA1" w:rsidRDefault="00972D81" w:rsidP="008F0DA1">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7.</w:t>
            </w:r>
            <w:r w:rsidR="008F0DA1" w:rsidRPr="008F0DA1">
              <w:rPr>
                <w:rFonts w:ascii="Arial" w:hAnsi="Arial" w:cs="Arial"/>
                <w:sz w:val="16"/>
                <w:szCs w:val="16"/>
                <w:highlight w:val="yellow"/>
              </w:rPr>
              <w:t>1</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12.2</w:t>
            </w:r>
          </w:p>
        </w:tc>
        <w:tc>
          <w:tcPr>
            <w:tcW w:w="720" w:type="dxa"/>
            <w:vAlign w:val="center"/>
          </w:tcPr>
          <w:p w:rsidR="00FA4DF8" w:rsidRPr="00F5121F" w:rsidRDefault="00972D81" w:rsidP="00F5121F">
            <w:pPr>
              <w:spacing w:after="0" w:line="240" w:lineRule="auto"/>
              <w:jc w:val="center"/>
              <w:rPr>
                <w:rFonts w:ascii="Arial" w:hAnsi="Arial" w:cs="Arial"/>
                <w:sz w:val="16"/>
                <w:szCs w:val="16"/>
                <w:highlight w:val="yellow"/>
              </w:rPr>
            </w:pPr>
            <w:r w:rsidRPr="00F5121F">
              <w:rPr>
                <w:rFonts w:ascii="Arial" w:hAnsi="Arial" w:cs="Arial"/>
                <w:sz w:val="16"/>
                <w:szCs w:val="16"/>
                <w:highlight w:val="yellow"/>
              </w:rPr>
              <w:t>8.</w:t>
            </w:r>
            <w:r w:rsidR="00F5121F" w:rsidRPr="00F5121F">
              <w:rPr>
                <w:rFonts w:ascii="Arial" w:hAnsi="Arial" w:cs="Arial"/>
                <w:sz w:val="16"/>
                <w:szCs w:val="16"/>
                <w:highlight w:val="yellow"/>
              </w:rPr>
              <w:t>4</w:t>
            </w:r>
          </w:p>
        </w:tc>
        <w:tc>
          <w:tcPr>
            <w:tcW w:w="720" w:type="dxa"/>
            <w:vAlign w:val="center"/>
          </w:tcPr>
          <w:p w:rsidR="00FA4DF8" w:rsidRPr="00E65BEE" w:rsidRDefault="00FA4DF8" w:rsidP="00972D81">
            <w:pPr>
              <w:spacing w:after="0" w:line="240" w:lineRule="auto"/>
              <w:jc w:val="center"/>
              <w:rPr>
                <w:rFonts w:ascii="Arial" w:hAnsi="Arial" w:cs="Arial"/>
                <w:sz w:val="16"/>
                <w:szCs w:val="16"/>
              </w:rPr>
            </w:pPr>
            <w:r>
              <w:rPr>
                <w:rFonts w:ascii="Arial" w:hAnsi="Arial" w:cs="Arial"/>
                <w:sz w:val="16"/>
                <w:szCs w:val="16"/>
              </w:rPr>
              <w:t>13.</w:t>
            </w:r>
            <w:r w:rsidR="00972D81">
              <w:rPr>
                <w:rFonts w:ascii="Arial" w:hAnsi="Arial" w:cs="Arial"/>
                <w:sz w:val="16"/>
                <w:szCs w:val="16"/>
              </w:rPr>
              <w:t>3</w:t>
            </w:r>
          </w:p>
        </w:tc>
        <w:tc>
          <w:tcPr>
            <w:tcW w:w="745" w:type="dxa"/>
            <w:vAlign w:val="center"/>
          </w:tcPr>
          <w:p w:rsidR="00FA4DF8" w:rsidRPr="00D2668E" w:rsidRDefault="00D2668E" w:rsidP="004D5CB4">
            <w:pPr>
              <w:spacing w:after="0" w:line="240" w:lineRule="auto"/>
              <w:jc w:val="center"/>
              <w:rPr>
                <w:rFonts w:ascii="Arial" w:hAnsi="Arial" w:cs="Arial"/>
                <w:sz w:val="16"/>
                <w:szCs w:val="16"/>
                <w:highlight w:val="yellow"/>
              </w:rPr>
            </w:pPr>
            <w:r w:rsidRPr="00D2668E">
              <w:rPr>
                <w:rFonts w:ascii="Arial" w:hAnsi="Arial" w:cs="Arial"/>
                <w:sz w:val="16"/>
                <w:szCs w:val="16"/>
                <w:highlight w:val="yellow"/>
              </w:rPr>
              <w:t>7.7</w:t>
            </w:r>
          </w:p>
        </w:tc>
      </w:tr>
      <w:tr w:rsidR="00FA4DF8" w:rsidTr="004D5CB4">
        <w:trPr>
          <w:trHeight w:val="265"/>
          <w:jc w:val="center"/>
        </w:trPr>
        <w:tc>
          <w:tcPr>
            <w:tcW w:w="2275"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Deciview (dv)</w:t>
            </w:r>
          </w:p>
        </w:tc>
        <w:tc>
          <w:tcPr>
            <w:tcW w:w="81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14.3</w:t>
            </w:r>
          </w:p>
        </w:tc>
        <w:tc>
          <w:tcPr>
            <w:tcW w:w="720" w:type="dxa"/>
            <w:vAlign w:val="center"/>
          </w:tcPr>
          <w:p w:rsidR="00FA4DF8" w:rsidRPr="008F0DA1" w:rsidRDefault="00FA4DF8" w:rsidP="008F0DA1">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1</w:t>
            </w:r>
            <w:r w:rsidR="008F0DA1" w:rsidRPr="008F0DA1">
              <w:rPr>
                <w:rFonts w:ascii="Arial" w:hAnsi="Arial" w:cs="Arial"/>
                <w:sz w:val="16"/>
                <w:szCs w:val="16"/>
                <w:highlight w:val="yellow"/>
              </w:rPr>
              <w:t>2</w:t>
            </w:r>
            <w:r w:rsidRPr="008F0DA1">
              <w:rPr>
                <w:rFonts w:ascii="Arial" w:hAnsi="Arial" w:cs="Arial"/>
                <w:sz w:val="16"/>
                <w:szCs w:val="16"/>
                <w:highlight w:val="yellow"/>
              </w:rPr>
              <w:t>.2</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6.4</w:t>
            </w:r>
          </w:p>
        </w:tc>
        <w:tc>
          <w:tcPr>
            <w:tcW w:w="720" w:type="dxa"/>
            <w:vAlign w:val="center"/>
          </w:tcPr>
          <w:p w:rsidR="00FA4DF8"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4.9</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7.7</w:t>
            </w:r>
          </w:p>
        </w:tc>
        <w:tc>
          <w:tcPr>
            <w:tcW w:w="720" w:type="dxa"/>
            <w:vAlign w:val="center"/>
          </w:tcPr>
          <w:p w:rsidR="00FA4DF8" w:rsidRPr="008F0DA1" w:rsidRDefault="008F0DA1" w:rsidP="004D5CB4">
            <w:pPr>
              <w:spacing w:after="0" w:line="240" w:lineRule="auto"/>
              <w:jc w:val="center"/>
              <w:rPr>
                <w:rFonts w:ascii="Arial" w:hAnsi="Arial" w:cs="Arial"/>
                <w:sz w:val="16"/>
                <w:szCs w:val="16"/>
                <w:highlight w:val="yellow"/>
              </w:rPr>
            </w:pPr>
            <w:r w:rsidRPr="008F0DA1">
              <w:rPr>
                <w:rFonts w:ascii="Arial" w:hAnsi="Arial" w:cs="Arial"/>
                <w:sz w:val="16"/>
                <w:szCs w:val="16"/>
                <w:highlight w:val="yellow"/>
              </w:rPr>
              <w:t>5.9</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8.8</w:t>
            </w:r>
          </w:p>
        </w:tc>
        <w:tc>
          <w:tcPr>
            <w:tcW w:w="720" w:type="dxa"/>
            <w:vAlign w:val="center"/>
          </w:tcPr>
          <w:p w:rsidR="00FA4DF8" w:rsidRPr="00F5121F" w:rsidRDefault="00972D81" w:rsidP="00F5121F">
            <w:pPr>
              <w:spacing w:after="0" w:line="240" w:lineRule="auto"/>
              <w:jc w:val="center"/>
              <w:rPr>
                <w:rFonts w:ascii="Arial" w:hAnsi="Arial" w:cs="Arial"/>
                <w:sz w:val="16"/>
                <w:szCs w:val="16"/>
                <w:highlight w:val="yellow"/>
              </w:rPr>
            </w:pPr>
            <w:r w:rsidRPr="00F5121F">
              <w:rPr>
                <w:rFonts w:ascii="Arial" w:hAnsi="Arial" w:cs="Arial"/>
                <w:sz w:val="16"/>
                <w:szCs w:val="16"/>
                <w:highlight w:val="yellow"/>
              </w:rPr>
              <w:t>7.</w:t>
            </w:r>
            <w:r w:rsidR="00F5121F" w:rsidRPr="00F5121F">
              <w:rPr>
                <w:rFonts w:ascii="Arial" w:hAnsi="Arial" w:cs="Arial"/>
                <w:sz w:val="16"/>
                <w:szCs w:val="16"/>
                <w:highlight w:val="yellow"/>
              </w:rPr>
              <w:t>0</w:t>
            </w:r>
          </w:p>
        </w:tc>
        <w:tc>
          <w:tcPr>
            <w:tcW w:w="720" w:type="dxa"/>
            <w:vAlign w:val="center"/>
          </w:tcPr>
          <w:p w:rsidR="00FA4DF8" w:rsidRPr="00E65BEE" w:rsidRDefault="00FA4DF8" w:rsidP="004D5CB4">
            <w:pPr>
              <w:spacing w:after="0" w:line="240" w:lineRule="auto"/>
              <w:jc w:val="center"/>
              <w:rPr>
                <w:rFonts w:ascii="Arial" w:hAnsi="Arial" w:cs="Arial"/>
                <w:sz w:val="16"/>
                <w:szCs w:val="16"/>
              </w:rPr>
            </w:pPr>
            <w:r>
              <w:rPr>
                <w:rFonts w:ascii="Arial" w:hAnsi="Arial" w:cs="Arial"/>
                <w:sz w:val="16"/>
                <w:szCs w:val="16"/>
              </w:rPr>
              <w:t>9.2</w:t>
            </w:r>
          </w:p>
        </w:tc>
        <w:tc>
          <w:tcPr>
            <w:tcW w:w="745" w:type="dxa"/>
            <w:vAlign w:val="center"/>
          </w:tcPr>
          <w:p w:rsidR="00FA4DF8" w:rsidRPr="00D2668E" w:rsidRDefault="00D2668E" w:rsidP="004D5CB4">
            <w:pPr>
              <w:spacing w:after="0" w:line="240" w:lineRule="auto"/>
              <w:jc w:val="center"/>
              <w:rPr>
                <w:rFonts w:ascii="Arial" w:hAnsi="Arial" w:cs="Arial"/>
                <w:sz w:val="16"/>
                <w:szCs w:val="16"/>
                <w:highlight w:val="yellow"/>
              </w:rPr>
            </w:pPr>
            <w:r w:rsidRPr="00D2668E">
              <w:rPr>
                <w:rFonts w:ascii="Arial" w:hAnsi="Arial" w:cs="Arial"/>
                <w:sz w:val="16"/>
                <w:szCs w:val="16"/>
                <w:highlight w:val="yellow"/>
              </w:rPr>
              <w:t>6.7</w:t>
            </w:r>
          </w:p>
        </w:tc>
      </w:tr>
    </w:tbl>
    <w:bookmarkEnd w:id="53"/>
    <w:p w:rsidR="005441DD" w:rsidRDefault="005441DD" w:rsidP="0046696B">
      <w:pPr>
        <w:spacing w:after="0"/>
        <w:rPr>
          <w:sz w:val="20"/>
          <w:szCs w:val="20"/>
        </w:rPr>
      </w:pPr>
      <w:r w:rsidRPr="00065F74">
        <w:rPr>
          <w:sz w:val="20"/>
          <w:szCs w:val="20"/>
        </w:rPr>
        <w:t>“</w:t>
      </w:r>
      <w:proofErr w:type="spellStart"/>
      <w:r w:rsidRPr="00065F74">
        <w:rPr>
          <w:sz w:val="20"/>
          <w:szCs w:val="20"/>
        </w:rPr>
        <w:t>Bext</w:t>
      </w:r>
      <w:proofErr w:type="spellEnd"/>
      <w:r w:rsidRPr="00065F74">
        <w:rPr>
          <w:sz w:val="20"/>
          <w:szCs w:val="20"/>
        </w:rPr>
        <w:t xml:space="preserve"> means light extinction, and values are given in inverse megameters (Mm</w:t>
      </w:r>
      <w:r w:rsidRPr="00065F74">
        <w:rPr>
          <w:sz w:val="20"/>
          <w:szCs w:val="20"/>
          <w:vertAlign w:val="superscript"/>
        </w:rPr>
        <w:t>-1</w:t>
      </w:r>
      <w:r w:rsidRPr="00065F74">
        <w:rPr>
          <w:sz w:val="20"/>
          <w:szCs w:val="20"/>
        </w:rPr>
        <w:t>)</w:t>
      </w:r>
    </w:p>
    <w:p w:rsidR="0046696B" w:rsidRPr="00065F74" w:rsidRDefault="0046696B" w:rsidP="0046696B">
      <w:pPr>
        <w:spacing w:after="0"/>
        <w:rPr>
          <w:sz w:val="20"/>
          <w:szCs w:val="20"/>
        </w:rPr>
      </w:pPr>
      <w:r w:rsidRPr="0046696B">
        <w:rPr>
          <w:sz w:val="20"/>
          <w:szCs w:val="20"/>
          <w:highlight w:val="yellow"/>
        </w:rPr>
        <w:t>*2000-11 data from LYBR1 site and 2012-13 data from LYEB1 site</w:t>
      </w:r>
      <w:r w:rsidRPr="0046696B">
        <w:rPr>
          <w:sz w:val="20"/>
          <w:szCs w:val="20"/>
        </w:rPr>
        <w:t xml:space="preserve"> </w:t>
      </w:r>
    </w:p>
    <w:p w:rsidR="005557CC" w:rsidRDefault="005557CC" w:rsidP="005441DD"/>
    <w:p w:rsidR="00C06D33" w:rsidRDefault="005441DD" w:rsidP="005441DD">
      <w:r>
        <w:t xml:space="preserve">Note that on both the haziest days and the clearest days, the constituent causing the </w:t>
      </w:r>
      <w:proofErr w:type="gramStart"/>
      <w:r>
        <w:t>most light</w:t>
      </w:r>
      <w:proofErr w:type="gramEnd"/>
      <w:r>
        <w:t xml:space="preserve"> extinction was sulfate, and in each area the data for </w:t>
      </w:r>
      <w:r w:rsidRPr="007E0000">
        <w:rPr>
          <w:highlight w:val="yellow"/>
        </w:rPr>
        <w:t>200</w:t>
      </w:r>
      <w:r w:rsidR="00197BAD">
        <w:rPr>
          <w:highlight w:val="yellow"/>
        </w:rPr>
        <w:t>9</w:t>
      </w:r>
      <w:r w:rsidRPr="007E0000">
        <w:rPr>
          <w:highlight w:val="yellow"/>
        </w:rPr>
        <w:t>-20</w:t>
      </w:r>
      <w:r w:rsidR="00033E72" w:rsidRPr="007E0000">
        <w:rPr>
          <w:highlight w:val="yellow"/>
        </w:rPr>
        <w:t>1</w:t>
      </w:r>
      <w:r w:rsidR="007E0000" w:rsidRPr="007E0000">
        <w:rPr>
          <w:highlight w:val="yellow"/>
        </w:rPr>
        <w:t>3</w:t>
      </w:r>
      <w:r>
        <w:t xml:space="preserve"> shows improvement over the baseline period of 2000-2004.</w:t>
      </w:r>
    </w:p>
    <w:p w:rsidR="00C06D33" w:rsidRDefault="00C06D33" w:rsidP="005441DD"/>
    <w:p w:rsidR="005441DD" w:rsidRPr="002A7870" w:rsidRDefault="005441DD" w:rsidP="005441DD">
      <w:pPr>
        <w:rPr>
          <w:color w:val="000000"/>
        </w:rPr>
      </w:pPr>
      <w:r w:rsidRPr="002A7870">
        <w:br w:type="page"/>
      </w:r>
    </w:p>
    <w:p w:rsidR="005441DD" w:rsidRPr="002F5DDC" w:rsidRDefault="005441DD" w:rsidP="00EB32B6">
      <w:pPr>
        <w:pStyle w:val="2TablesandFigures2"/>
        <w:spacing w:after="0"/>
      </w:pPr>
      <w:bookmarkStart w:id="57" w:name="_Toc341960494"/>
      <w:bookmarkStart w:id="58" w:name="_Toc373843560"/>
      <w:bookmarkStart w:id="59" w:name="_Toc374023011"/>
      <w:proofErr w:type="gramStart"/>
      <w:r w:rsidRPr="002F5DDC">
        <w:rPr>
          <w:rStyle w:val="Heading8Char"/>
          <w:rFonts w:ascii="Arial" w:hAnsi="Arial" w:cs="Arial"/>
          <w:color w:val="auto"/>
        </w:rPr>
        <w:lastRenderedPageBreak/>
        <w:t>Figure 2.</w:t>
      </w:r>
      <w:r w:rsidR="005557CC">
        <w:rPr>
          <w:rStyle w:val="Heading8Char"/>
          <w:rFonts w:ascii="Arial" w:hAnsi="Arial" w:cs="Arial"/>
          <w:color w:val="auto"/>
        </w:rPr>
        <w:t>2</w:t>
      </w:r>
      <w:r w:rsidRPr="002F5DDC">
        <w:rPr>
          <w:rStyle w:val="Heading8Char"/>
          <w:rFonts w:ascii="Arial" w:hAnsi="Arial" w:cs="Arial"/>
          <w:color w:val="auto"/>
        </w:rPr>
        <w:t>.</w:t>
      </w:r>
      <w:proofErr w:type="gramEnd"/>
      <w:r w:rsidRPr="002F5DDC">
        <w:rPr>
          <w:rStyle w:val="Heading8Char"/>
          <w:rFonts w:ascii="Arial" w:hAnsi="Arial" w:cs="Arial"/>
          <w:color w:val="auto"/>
        </w:rPr>
        <w:t xml:space="preserve">  Visibility Improvements </w:t>
      </w:r>
      <w:r>
        <w:rPr>
          <w:rStyle w:val="Heading8Char"/>
          <w:rFonts w:ascii="Arial" w:hAnsi="Arial" w:cs="Arial"/>
          <w:color w:val="auto"/>
        </w:rPr>
        <w:t xml:space="preserve">through </w:t>
      </w:r>
      <w:r w:rsidRPr="007E0000">
        <w:rPr>
          <w:rStyle w:val="Heading8Char"/>
          <w:rFonts w:ascii="Arial" w:hAnsi="Arial" w:cs="Arial"/>
          <w:color w:val="auto"/>
          <w:highlight w:val="yellow"/>
        </w:rPr>
        <w:t>20</w:t>
      </w:r>
      <w:r w:rsidR="00033E72" w:rsidRPr="007E0000">
        <w:rPr>
          <w:rStyle w:val="Heading8Char"/>
          <w:rFonts w:ascii="Arial" w:hAnsi="Arial" w:cs="Arial"/>
          <w:color w:val="auto"/>
          <w:highlight w:val="yellow"/>
        </w:rPr>
        <w:t>1</w:t>
      </w:r>
      <w:r w:rsidR="007E0000" w:rsidRPr="007E0000">
        <w:rPr>
          <w:rStyle w:val="Heading8Char"/>
          <w:rFonts w:ascii="Arial" w:hAnsi="Arial" w:cs="Arial"/>
          <w:color w:val="auto"/>
          <w:highlight w:val="yellow"/>
        </w:rPr>
        <w:t>3</w:t>
      </w:r>
      <w:r>
        <w:rPr>
          <w:rStyle w:val="Heading8Char"/>
          <w:rFonts w:ascii="Arial" w:hAnsi="Arial" w:cs="Arial"/>
          <w:color w:val="auto"/>
        </w:rPr>
        <w:t xml:space="preserve"> by Particle Constituents </w:t>
      </w:r>
      <w:r w:rsidRPr="002F5DDC">
        <w:rPr>
          <w:rStyle w:val="Heading8Char"/>
          <w:rFonts w:ascii="Arial" w:hAnsi="Arial" w:cs="Arial"/>
          <w:color w:val="auto"/>
        </w:rPr>
        <w:t xml:space="preserve">on </w:t>
      </w:r>
      <w:r w:rsidRPr="005A723C">
        <w:rPr>
          <w:rStyle w:val="Heading8Char"/>
          <w:rFonts w:ascii="Arial" w:hAnsi="Arial" w:cs="Arial"/>
          <w:color w:val="auto"/>
          <w:u w:val="single"/>
        </w:rPr>
        <w:t>Haziest</w:t>
      </w:r>
      <w:r w:rsidRPr="002F5DDC">
        <w:rPr>
          <w:rStyle w:val="Heading8Char"/>
          <w:rFonts w:ascii="Arial" w:hAnsi="Arial" w:cs="Arial"/>
          <w:color w:val="auto"/>
        </w:rPr>
        <w:t xml:space="preserve"> 20% Days</w:t>
      </w:r>
      <w:bookmarkEnd w:id="57"/>
      <w:bookmarkEnd w:id="58"/>
      <w:bookmarkEnd w:id="59"/>
    </w:p>
    <w:p w:rsidR="008163F7" w:rsidRDefault="00F64A73" w:rsidP="00370C3A">
      <w:pPr>
        <w:pStyle w:val="Heading5"/>
        <w:rPr>
          <w:rStyle w:val="Heading8Char"/>
          <w:rFonts w:ascii="Arial" w:hAnsi="Arial" w:cs="Arial"/>
          <w:color w:val="auto"/>
        </w:rPr>
      </w:pPr>
      <w:bookmarkStart w:id="60" w:name="_Toc341960495"/>
      <w:r>
        <w:rPr>
          <w:b w:val="0"/>
          <w:noProof/>
          <w:sz w:val="24"/>
          <w:szCs w:val="24"/>
        </w:rPr>
        <w:drawing>
          <wp:inline distT="0" distB="0" distL="0" distR="0" wp14:anchorId="5A7AF3BA" wp14:editId="39E5158A">
            <wp:extent cx="5312664" cy="3858768"/>
            <wp:effectExtent l="0" t="0" r="2540" b="88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12664" cy="3858768"/>
                    </a:xfrm>
                    <a:prstGeom prst="rect">
                      <a:avLst/>
                    </a:prstGeom>
                    <a:noFill/>
                    <a:ln>
                      <a:noFill/>
                    </a:ln>
                  </pic:spPr>
                </pic:pic>
              </a:graphicData>
            </a:graphic>
          </wp:inline>
        </w:drawing>
      </w:r>
    </w:p>
    <w:p w:rsidR="00370C3A" w:rsidRPr="002F5DDC" w:rsidRDefault="00370C3A" w:rsidP="00F64A73">
      <w:pPr>
        <w:pStyle w:val="2TablesandFigures2"/>
        <w:spacing w:after="0"/>
      </w:pPr>
      <w:bookmarkStart w:id="61" w:name="_Toc373843561"/>
      <w:bookmarkStart w:id="62" w:name="_Toc374023012"/>
      <w:proofErr w:type="gramStart"/>
      <w:r w:rsidRPr="002F5DDC">
        <w:rPr>
          <w:rStyle w:val="Heading8Char"/>
          <w:rFonts w:ascii="Arial" w:hAnsi="Arial" w:cs="Arial"/>
          <w:color w:val="auto"/>
        </w:rPr>
        <w:t>Figure 2.</w:t>
      </w:r>
      <w:r>
        <w:rPr>
          <w:rStyle w:val="Heading8Char"/>
          <w:rFonts w:ascii="Arial" w:hAnsi="Arial" w:cs="Arial"/>
          <w:color w:val="auto"/>
        </w:rPr>
        <w:t>3</w:t>
      </w:r>
      <w:r w:rsidRPr="002F5DDC">
        <w:rPr>
          <w:rStyle w:val="Heading8Char"/>
          <w:rFonts w:ascii="Arial" w:hAnsi="Arial" w:cs="Arial"/>
          <w:color w:val="auto"/>
        </w:rPr>
        <w:t>.</w:t>
      </w:r>
      <w:proofErr w:type="gramEnd"/>
      <w:r w:rsidRPr="002F5DDC">
        <w:rPr>
          <w:rStyle w:val="Heading8Char"/>
          <w:rFonts w:ascii="Arial" w:hAnsi="Arial" w:cs="Arial"/>
          <w:color w:val="auto"/>
        </w:rPr>
        <w:t xml:space="preserve">  Visibility Improvements </w:t>
      </w:r>
      <w:r>
        <w:rPr>
          <w:rStyle w:val="Heading8Char"/>
          <w:rFonts w:ascii="Arial" w:hAnsi="Arial" w:cs="Arial"/>
          <w:color w:val="auto"/>
        </w:rPr>
        <w:t xml:space="preserve">through </w:t>
      </w:r>
      <w:r w:rsidRPr="007E0000">
        <w:rPr>
          <w:rStyle w:val="Heading8Char"/>
          <w:rFonts w:ascii="Arial" w:hAnsi="Arial" w:cs="Arial"/>
          <w:color w:val="auto"/>
          <w:highlight w:val="yellow"/>
        </w:rPr>
        <w:t>20</w:t>
      </w:r>
      <w:r w:rsidR="00033E72" w:rsidRPr="007E0000">
        <w:rPr>
          <w:rStyle w:val="Heading8Char"/>
          <w:rFonts w:ascii="Arial" w:hAnsi="Arial" w:cs="Arial"/>
          <w:color w:val="auto"/>
          <w:highlight w:val="yellow"/>
        </w:rPr>
        <w:t>1</w:t>
      </w:r>
      <w:r w:rsidR="007E0000" w:rsidRPr="007E0000">
        <w:rPr>
          <w:rStyle w:val="Heading8Char"/>
          <w:rFonts w:ascii="Arial" w:hAnsi="Arial" w:cs="Arial"/>
          <w:color w:val="auto"/>
          <w:highlight w:val="yellow"/>
        </w:rPr>
        <w:t>3</w:t>
      </w:r>
      <w:r>
        <w:rPr>
          <w:rStyle w:val="Heading8Char"/>
          <w:rFonts w:ascii="Arial" w:hAnsi="Arial" w:cs="Arial"/>
          <w:color w:val="auto"/>
        </w:rPr>
        <w:t xml:space="preserve"> by Particle Constituents on </w:t>
      </w:r>
      <w:r w:rsidRPr="005A723C">
        <w:rPr>
          <w:rStyle w:val="Heading8Char"/>
          <w:rFonts w:ascii="Arial" w:hAnsi="Arial" w:cs="Arial"/>
          <w:color w:val="auto"/>
          <w:u w:val="single"/>
        </w:rPr>
        <w:t>Clearest</w:t>
      </w:r>
      <w:r w:rsidRPr="002F5DDC">
        <w:rPr>
          <w:rStyle w:val="Heading8Char"/>
          <w:rFonts w:ascii="Arial" w:hAnsi="Arial" w:cs="Arial"/>
          <w:color w:val="auto"/>
        </w:rPr>
        <w:t xml:space="preserve"> 20% Days </w:t>
      </w:r>
      <w:bookmarkEnd w:id="61"/>
      <w:bookmarkEnd w:id="62"/>
    </w:p>
    <w:p w:rsidR="005557CC" w:rsidRDefault="00F64A73" w:rsidP="00F64A73">
      <w:pPr>
        <w:rPr>
          <w:rStyle w:val="Heading8Char"/>
          <w:rFonts w:ascii="Arial" w:hAnsi="Arial" w:cs="Arial"/>
          <w:color w:val="auto"/>
          <w:szCs w:val="18"/>
        </w:rPr>
      </w:pPr>
      <w:r>
        <w:rPr>
          <w:noProof/>
          <w:szCs w:val="20"/>
        </w:rPr>
        <w:drawing>
          <wp:inline distT="0" distB="0" distL="0" distR="0" wp14:anchorId="24782959" wp14:editId="30D7097C">
            <wp:extent cx="5312664" cy="3858768"/>
            <wp:effectExtent l="0" t="0" r="2540"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12664" cy="3858768"/>
                    </a:xfrm>
                    <a:prstGeom prst="rect">
                      <a:avLst/>
                    </a:prstGeom>
                    <a:noFill/>
                    <a:ln>
                      <a:noFill/>
                    </a:ln>
                  </pic:spPr>
                </pic:pic>
              </a:graphicData>
            </a:graphic>
          </wp:inline>
        </w:drawing>
      </w:r>
    </w:p>
    <w:bookmarkEnd w:id="60"/>
    <w:p w:rsidR="005441DD" w:rsidRPr="007744A9" w:rsidRDefault="005441DD" w:rsidP="005441DD">
      <w:pPr>
        <w:jc w:val="center"/>
        <w:rPr>
          <w:b/>
          <w:sz w:val="24"/>
          <w:szCs w:val="24"/>
        </w:rPr>
      </w:pPr>
    </w:p>
    <w:p w:rsidR="002F5DDC" w:rsidRDefault="002F5DDC" w:rsidP="005441DD">
      <w:pPr>
        <w:spacing w:after="0" w:line="240" w:lineRule="auto"/>
        <w:rPr>
          <w:rFonts w:ascii="Arial" w:eastAsia="Times New Roman" w:hAnsi="Arial"/>
          <w:b/>
          <w:bCs/>
          <w:color w:val="000000" w:themeColor="text1"/>
          <w:sz w:val="28"/>
          <w:szCs w:val="28"/>
          <w:u w:val="single"/>
        </w:rPr>
      </w:pPr>
      <w:r>
        <w:rPr>
          <w:sz w:val="28"/>
          <w:szCs w:val="28"/>
        </w:rPr>
        <w:br w:type="page"/>
      </w:r>
    </w:p>
    <w:p w:rsidR="00E5794F" w:rsidRDefault="00E5794F">
      <w:pPr>
        <w:spacing w:after="0" w:line="240" w:lineRule="auto"/>
        <w:rPr>
          <w:rFonts w:ascii="Arial" w:eastAsia="Times New Roman" w:hAnsi="Arial"/>
          <w:b/>
          <w:bCs/>
          <w:color w:val="000000" w:themeColor="text1"/>
          <w:szCs w:val="26"/>
          <w:u w:val="single"/>
        </w:rPr>
      </w:pPr>
      <w:bookmarkStart w:id="63" w:name="_Toc373843501"/>
      <w:r>
        <w:lastRenderedPageBreak/>
        <w:br w:type="page"/>
      </w:r>
    </w:p>
    <w:p w:rsidR="00E71C51" w:rsidRPr="002F5DDC" w:rsidRDefault="00E71C51" w:rsidP="002F5DDC">
      <w:pPr>
        <w:pStyle w:val="Heading2"/>
      </w:pPr>
      <w:r w:rsidRPr="002F5DDC">
        <w:lastRenderedPageBreak/>
        <w:t>Section 3:  Status of BART Measures in the Regional Haze SIP</w:t>
      </w:r>
      <w:bookmarkEnd w:id="63"/>
    </w:p>
    <w:p w:rsidR="00E71C51" w:rsidRPr="002F5DDC" w:rsidRDefault="00E71C51" w:rsidP="002F5DDC">
      <w:pPr>
        <w:pStyle w:val="Heading3"/>
      </w:pPr>
      <w:bookmarkStart w:id="64" w:name="_Toc373843502"/>
      <w:r w:rsidRPr="002F5DDC">
        <w:t>3.1</w:t>
      </w:r>
      <w:r w:rsidR="007A33C0" w:rsidRPr="002F5DDC">
        <w:t>. Requirement</w:t>
      </w:r>
      <w:r w:rsidRPr="002F5DDC">
        <w:t xml:space="preserve"> to Track BART Implementation</w:t>
      </w:r>
      <w:bookmarkEnd w:id="64"/>
    </w:p>
    <w:p w:rsidR="00E71C51" w:rsidRPr="00B27876" w:rsidRDefault="00E71C51" w:rsidP="005142C0">
      <w:r w:rsidRPr="00B27876">
        <w:t xml:space="preserve">In the 1977 Amendments to the Clean Air Act, Congress directed EPA and the states to identify existing sources that had been in operation for no more than 15 years and that caused or contributed to visibility impairment in </w:t>
      </w:r>
      <w:r w:rsidR="00F05A79">
        <w:t>National</w:t>
      </w:r>
      <w:r w:rsidRPr="00B27876">
        <w:t xml:space="preserve"> </w:t>
      </w:r>
      <w:r w:rsidR="00F05A79">
        <w:t>P</w:t>
      </w:r>
      <w:r w:rsidRPr="00B27876">
        <w:t xml:space="preserve">arks and </w:t>
      </w:r>
      <w:r w:rsidR="00F05A79">
        <w:t>W</w:t>
      </w:r>
      <w:r w:rsidRPr="00B27876">
        <w:t xml:space="preserve">ilderness </w:t>
      </w:r>
      <w:r w:rsidR="00F05A79">
        <w:t>A</w:t>
      </w:r>
      <w:r w:rsidRPr="00B27876">
        <w:t>reas</w:t>
      </w:r>
      <w:r w:rsidR="00F05A79">
        <w:t xml:space="preserve"> designated as Class I areas</w:t>
      </w:r>
      <w:r w:rsidRPr="00B27876">
        <w:t>.  Those sources were to install and operate best available retrofit technology (BART) to reduce th</w:t>
      </w:r>
      <w:r w:rsidR="005142C0">
        <w:t xml:space="preserve">eir impacts on Class I areas.  </w:t>
      </w:r>
    </w:p>
    <w:p w:rsidR="00E71C51" w:rsidRPr="00B27876" w:rsidRDefault="00E71C51" w:rsidP="005142C0">
      <w:r w:rsidRPr="00B27876">
        <w:t>40 CFR 51.308(g)(1) requires that th</w:t>
      </w:r>
      <w:r w:rsidR="0031596C">
        <w:t>is</w:t>
      </w:r>
      <w:r w:rsidRPr="00B27876">
        <w:t xml:space="preserve"> progress report describe the status of implementation of all measures included in the SIP for achieving reasonable progress goals for Class I areas </w:t>
      </w:r>
      <w:r w:rsidR="005142C0">
        <w:t>(</w:t>
      </w:r>
      <w:r w:rsidRPr="00B27876">
        <w:t>within and outside the State</w:t>
      </w:r>
      <w:r w:rsidR="005142C0">
        <w:t>)</w:t>
      </w:r>
      <w:r w:rsidRPr="00B27876">
        <w:t xml:space="preserve"> that are affected by emissions from within the State.  </w:t>
      </w:r>
      <w:r w:rsidR="005142C0">
        <w:t>In</w:t>
      </w:r>
      <w:r w:rsidRPr="00B27876">
        <w:t xml:space="preserve"> establishing reasonable progress goals</w:t>
      </w:r>
      <w:r w:rsidR="005142C0">
        <w:t>,</w:t>
      </w:r>
      <w:r w:rsidRPr="00B27876">
        <w:t xml:space="preserve"> MANE-VU Class I states relied in part on timely implementation of BART requirements.  This section provides information on the progress of </w:t>
      </w:r>
      <w:r w:rsidRPr="00B27876">
        <w:rPr>
          <w:highlight w:val="yellow"/>
        </w:rPr>
        <w:t>&lt;the State&gt;</w:t>
      </w:r>
      <w:r w:rsidRPr="00B27876">
        <w:t xml:space="preserve"> in </w:t>
      </w:r>
      <w:r w:rsidR="005142C0">
        <w:t>implementing BART requirements.</w:t>
      </w:r>
      <w:r w:rsidR="00B846D5">
        <w:t xml:space="preserve">  </w:t>
      </w:r>
      <w:r w:rsidR="00B846D5">
        <w:rPr>
          <w:highlight w:val="yellow"/>
        </w:rPr>
        <w:t>(</w:t>
      </w:r>
      <w:r w:rsidR="00B846D5" w:rsidRPr="00B846D5">
        <w:rPr>
          <w:highlight w:val="yellow"/>
        </w:rPr>
        <w:t xml:space="preserve">Note: Rhode Island and Vermont had no BART-eligible </w:t>
      </w:r>
      <w:r w:rsidR="00B846D5">
        <w:rPr>
          <w:highlight w:val="yellow"/>
        </w:rPr>
        <w:t>sources.</w:t>
      </w:r>
      <w:r w:rsidR="00B846D5">
        <w:t>)</w:t>
      </w:r>
    </w:p>
    <w:p w:rsidR="00E71C51" w:rsidRPr="00B27876" w:rsidRDefault="00E71C51" w:rsidP="005142C0">
      <w:r w:rsidRPr="00B27876">
        <w:t>The BART requirement is</w:t>
      </w:r>
      <w:r w:rsidR="000D487F">
        <w:t xml:space="preserve"> an important element of EPA’s Regional Haze R</w:t>
      </w:r>
      <w:r w:rsidRPr="00B27876">
        <w:t xml:space="preserve">ule.  Initially promulgated in 1999 and revised most recently in 2005, the BART portion of EPA’s rule required BART determinations </w:t>
      </w:r>
      <w:r w:rsidR="00C57577" w:rsidRPr="00B27876">
        <w:t xml:space="preserve">to be </w:t>
      </w:r>
      <w:r w:rsidRPr="00B27876">
        <w:t>part of the State Implementation Plan (SIP)</w:t>
      </w:r>
      <w:r w:rsidR="00DD5DC9" w:rsidRPr="00B27876">
        <w:t>.</w:t>
      </w:r>
      <w:r w:rsidRPr="00B27876">
        <w:t xml:space="preserve">  The state must require sources to comply with any BART determinations as expeditiously as practicable, </w:t>
      </w:r>
      <w:proofErr w:type="gramStart"/>
      <w:r w:rsidRPr="00B27876">
        <w:t>but</w:t>
      </w:r>
      <w:proofErr w:type="gramEnd"/>
      <w:r w:rsidRPr="00B27876">
        <w:t xml:space="preserve"> no later than five years after EPA approval of the SIP.  </w:t>
      </w:r>
      <w:r w:rsidRPr="00B27876">
        <w:rPr>
          <w:highlight w:val="yellow"/>
        </w:rPr>
        <w:t>Therefore, in most instances it is likely that the period covered by this first five-year progress report is prior to full implementation of BART</w:t>
      </w:r>
      <w:r w:rsidR="005142C0">
        <w:t>.</w:t>
      </w:r>
    </w:p>
    <w:p w:rsidR="00E71C51" w:rsidRPr="00B27876" w:rsidRDefault="00E71C51" w:rsidP="005142C0">
      <w:r w:rsidRPr="00B27876">
        <w:t xml:space="preserve">Further visibility benefits are likely to result from installation of new emission controls at BART-eligible </w:t>
      </w:r>
      <w:r w:rsidRPr="0031596C">
        <w:t xml:space="preserve">facilities located in neighboring </w:t>
      </w:r>
      <w:r w:rsidR="00145564" w:rsidRPr="0031596C">
        <w:t>states outside MANE-VU</w:t>
      </w:r>
      <w:r w:rsidRPr="0031596C">
        <w:t>. However, the MANE-VU modeling did not</w:t>
      </w:r>
      <w:r w:rsidRPr="00B27876">
        <w:t xml:space="preserve"> account for BART controls </w:t>
      </w:r>
      <w:r w:rsidR="00926F65" w:rsidRPr="00B27876">
        <w:t>outside MANE-VU</w:t>
      </w:r>
      <w:r w:rsidRPr="00B27876">
        <w:t xml:space="preserve"> and, consequently, did not include visibility improvements at MANE-VU Class I Areas that would be likely to accrue from such measures.</w:t>
      </w:r>
    </w:p>
    <w:p w:rsidR="00E71C51" w:rsidRPr="002F5DDC" w:rsidRDefault="00E71C51" w:rsidP="002F5DDC">
      <w:pPr>
        <w:pStyle w:val="Heading3"/>
      </w:pPr>
      <w:bookmarkStart w:id="65" w:name="_Toc373843503"/>
      <w:r w:rsidRPr="002F5DDC">
        <w:t>3.2</w:t>
      </w:r>
      <w:r w:rsidR="007A33C0" w:rsidRPr="002F5DDC">
        <w:t>. Status</w:t>
      </w:r>
      <w:r w:rsidRPr="002F5DDC">
        <w:t xml:space="preserve"> of BART Measures</w:t>
      </w:r>
      <w:bookmarkEnd w:id="65"/>
      <w:r w:rsidRPr="002F5DDC">
        <w:t xml:space="preserve"> </w:t>
      </w:r>
    </w:p>
    <w:p w:rsidR="00E71C51" w:rsidRDefault="00E71C51" w:rsidP="002F5DDC">
      <w:r w:rsidRPr="008763E5">
        <w:t xml:space="preserve">Based on EPA </w:t>
      </w:r>
      <w:r w:rsidR="006228F2">
        <w:t xml:space="preserve">regulations and </w:t>
      </w:r>
      <w:r w:rsidRPr="008763E5">
        <w:t xml:space="preserve">guidance, several MANE-VU states relied on </w:t>
      </w:r>
      <w:r w:rsidR="005142C0">
        <w:t>the Clean Air Interstate Rule (</w:t>
      </w:r>
      <w:r w:rsidRPr="008763E5">
        <w:t>CAIR</w:t>
      </w:r>
      <w:r w:rsidR="005142C0">
        <w:t>)</w:t>
      </w:r>
      <w:r w:rsidRPr="008763E5">
        <w:t xml:space="preserve"> as meeting BART requirements for some Electricity Generating Units (EGUs).  CAIR was challenged in court and remanded to EPA for revision.  </w:t>
      </w:r>
      <w:r w:rsidRPr="008763E5">
        <w:rPr>
          <w:highlight w:val="yellow"/>
        </w:rPr>
        <w:t>Because EPA’s CAIR program was overturned by the courts, some MANE-VU states made determinations for BART-eligible CAIR EGUs instead of relying on CAIR for BART.</w:t>
      </w:r>
      <w:r w:rsidRPr="008763E5">
        <w:t xml:space="preserve">  </w:t>
      </w:r>
      <w:r w:rsidR="004D33A9">
        <w:t xml:space="preserve">In 2011, </w:t>
      </w:r>
      <w:r w:rsidRPr="008763E5">
        <w:t xml:space="preserve">EPA replaced CAIR with the Cross State Air Pollution Rule (CSAPR).  CSAPR was </w:t>
      </w:r>
      <w:r w:rsidR="005142C0">
        <w:t xml:space="preserve">also </w:t>
      </w:r>
      <w:r w:rsidRPr="008763E5">
        <w:t xml:space="preserve">challenged and subsequently </w:t>
      </w:r>
      <w:r w:rsidR="005142C0">
        <w:t xml:space="preserve">was </w:t>
      </w:r>
      <w:r w:rsidR="00B846D5">
        <w:t>vacated, leaving CAIR in effect.</w:t>
      </w:r>
      <w:r w:rsidRPr="008763E5">
        <w:t xml:space="preserve">  EPA</w:t>
      </w:r>
      <w:r w:rsidR="00F67280">
        <w:t xml:space="preserve">’s request for an </w:t>
      </w:r>
      <w:r w:rsidR="00F67280" w:rsidRPr="00F67280">
        <w:rPr>
          <w:i/>
        </w:rPr>
        <w:t>en banc</w:t>
      </w:r>
      <w:r w:rsidR="00F67280">
        <w:t xml:space="preserve"> rehearing was </w:t>
      </w:r>
      <w:r w:rsidR="00150C05">
        <w:t>denied</w:t>
      </w:r>
      <w:r w:rsidR="00150C05" w:rsidRPr="008763E5">
        <w:t>.</w:t>
      </w:r>
      <w:r w:rsidRPr="008763E5">
        <w:t xml:space="preserve">  </w:t>
      </w:r>
      <w:r w:rsidR="00B846D5">
        <w:t xml:space="preserve">EPA </w:t>
      </w:r>
      <w:r w:rsidR="005142C0">
        <w:t xml:space="preserve">asked the Supreme Court to review the decision vacating CSAPR.  </w:t>
      </w:r>
      <w:r w:rsidRPr="008763E5">
        <w:t>In the meantime, CAIR remains in place.</w:t>
      </w:r>
      <w:r>
        <w:t xml:space="preserve">  On November 19, 2012, EPA Assistant Administrator Gina McCarthy provided guidance on the states’ ability to rely on CAIR for purposes of implementing the Regional Haze Rule.</w:t>
      </w:r>
    </w:p>
    <w:p w:rsidR="00E71C51" w:rsidRDefault="00E71C51" w:rsidP="002F5DDC">
      <w:r w:rsidRPr="004250EE">
        <w:rPr>
          <w:highlight w:val="yellow"/>
        </w:rPr>
        <w:t>&lt;Table XXX or Appendix XXX&gt; summarizes the States’ BART determinations</w:t>
      </w:r>
      <w:r w:rsidR="005D4BB1" w:rsidRPr="004250EE">
        <w:rPr>
          <w:highlight w:val="yellow"/>
        </w:rPr>
        <w:t xml:space="preserve"> and the status of implementing BART requirements</w:t>
      </w:r>
      <w:r w:rsidRPr="004250EE">
        <w:rPr>
          <w:highlight w:val="yellow"/>
        </w:rPr>
        <w:t>.  &lt;Describe any applicable alternative that has been determined to be better than BART.&gt;</w:t>
      </w:r>
    </w:p>
    <w:p w:rsidR="00B846D5" w:rsidRDefault="00B846D5" w:rsidP="002F5DDC"/>
    <w:p w:rsidR="00B846D5" w:rsidRPr="008763E5" w:rsidRDefault="00B846D5" w:rsidP="002F5DDC"/>
    <w:p w:rsidR="00670FB4" w:rsidRDefault="00670FB4">
      <w:pPr>
        <w:spacing w:after="0" w:line="240" w:lineRule="auto"/>
        <w:rPr>
          <w:rStyle w:val="Heading8Char"/>
          <w:rFonts w:ascii="Arial" w:eastAsia="Times New Roman" w:hAnsi="Arial" w:cs="Arial"/>
          <w:b/>
          <w:bCs/>
          <w:color w:val="auto"/>
        </w:rPr>
      </w:pPr>
      <w:bookmarkStart w:id="66" w:name="_Toc373842777"/>
      <w:bookmarkStart w:id="67" w:name="_Toc373843562"/>
      <w:bookmarkStart w:id="68" w:name="_Toc373844551"/>
      <w:r>
        <w:rPr>
          <w:rStyle w:val="Heading8Char"/>
          <w:rFonts w:ascii="Arial" w:hAnsi="Arial" w:cs="Arial"/>
          <w:color w:val="auto"/>
        </w:rPr>
        <w:br w:type="page"/>
      </w:r>
    </w:p>
    <w:p w:rsidR="00373528" w:rsidRPr="007D1888" w:rsidRDefault="00373528" w:rsidP="00F60FE6">
      <w:pPr>
        <w:pStyle w:val="Caption"/>
      </w:pPr>
      <w:proofErr w:type="gramStart"/>
      <w:r w:rsidRPr="007D1888">
        <w:rPr>
          <w:rStyle w:val="Heading8Char"/>
          <w:rFonts w:ascii="Arial" w:hAnsi="Arial" w:cs="Arial"/>
          <w:color w:val="auto"/>
        </w:rPr>
        <w:lastRenderedPageBreak/>
        <w:t>Table 3.1.</w:t>
      </w:r>
      <w:proofErr w:type="gramEnd"/>
      <w:r w:rsidRPr="007D1888">
        <w:rPr>
          <w:rStyle w:val="Heading8Char"/>
          <w:rFonts w:ascii="Arial" w:hAnsi="Arial" w:cs="Arial"/>
          <w:color w:val="auto"/>
        </w:rPr>
        <w:t xml:space="preserve">  Status of BART Adoption and Implementation</w:t>
      </w:r>
      <w:bookmarkEnd w:id="66"/>
      <w:bookmarkEnd w:id="67"/>
      <w:bookmarkEnd w:id="68"/>
    </w:p>
    <w:p w:rsidR="00373528" w:rsidRPr="00373528" w:rsidRDefault="00373528" w:rsidP="00373528"/>
    <w:tbl>
      <w:tblPr>
        <w:tblW w:w="9256" w:type="dxa"/>
        <w:tblInd w:w="20" w:type="dxa"/>
        <w:tblLayout w:type="fixed"/>
        <w:tblCellMar>
          <w:left w:w="0" w:type="dxa"/>
          <w:right w:w="0" w:type="dxa"/>
        </w:tblCellMar>
        <w:tblLook w:val="0000" w:firstRow="0" w:lastRow="0" w:firstColumn="0" w:lastColumn="0" w:noHBand="0" w:noVBand="0"/>
      </w:tblPr>
      <w:tblGrid>
        <w:gridCol w:w="1090"/>
        <w:gridCol w:w="876"/>
        <w:gridCol w:w="3060"/>
        <w:gridCol w:w="1980"/>
        <w:gridCol w:w="1260"/>
        <w:gridCol w:w="990"/>
      </w:tblGrid>
      <w:tr w:rsidR="00E71C51" w:rsidRPr="006355B8" w:rsidTr="007E4548">
        <w:trPr>
          <w:trHeight w:hRule="exact" w:val="720"/>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spacing w:line="211" w:lineRule="auto"/>
              <w:jc w:val="center"/>
              <w:rPr>
                <w:rFonts w:cs="Garamond"/>
                <w:sz w:val="23"/>
                <w:szCs w:val="23"/>
              </w:rPr>
            </w:pPr>
            <w:r w:rsidRPr="006355B8">
              <w:rPr>
                <w:rFonts w:cs="Garamond"/>
                <w:spacing w:val="-4"/>
                <w:sz w:val="23"/>
                <w:szCs w:val="23"/>
              </w:rPr>
              <w:t>Facility</w:t>
            </w: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spacing w:line="213" w:lineRule="auto"/>
              <w:jc w:val="center"/>
              <w:rPr>
                <w:rFonts w:cs="Garamond"/>
                <w:sz w:val="23"/>
                <w:szCs w:val="23"/>
              </w:rPr>
            </w:pPr>
            <w:r w:rsidRPr="006355B8">
              <w:rPr>
                <w:rFonts w:cs="Garamond"/>
                <w:sz w:val="23"/>
                <w:szCs w:val="23"/>
              </w:rPr>
              <w:t>Unit</w:t>
            </w: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spacing w:line="213" w:lineRule="auto"/>
              <w:jc w:val="center"/>
              <w:rPr>
                <w:rFonts w:cs="Garamond"/>
                <w:spacing w:val="-4"/>
                <w:sz w:val="23"/>
                <w:szCs w:val="23"/>
              </w:rPr>
            </w:pPr>
            <w:r w:rsidRPr="006355B8">
              <w:rPr>
                <w:rFonts w:cs="Garamond"/>
                <w:sz w:val="23"/>
                <w:szCs w:val="23"/>
              </w:rPr>
              <w:t>Description of BART control</w:t>
            </w: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spacing w:line="208" w:lineRule="auto"/>
              <w:jc w:val="center"/>
              <w:rPr>
                <w:rFonts w:cs="Garamond"/>
                <w:spacing w:val="-4"/>
                <w:sz w:val="23"/>
                <w:szCs w:val="23"/>
              </w:rPr>
            </w:pPr>
            <w:r w:rsidRPr="006355B8">
              <w:rPr>
                <w:rFonts w:cs="Garamond"/>
                <w:sz w:val="23"/>
                <w:szCs w:val="23"/>
              </w:rPr>
              <w:t>Implementation Deadline</w:t>
            </w:r>
          </w:p>
        </w:tc>
        <w:tc>
          <w:tcPr>
            <w:tcW w:w="12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spacing w:line="213" w:lineRule="auto"/>
              <w:jc w:val="center"/>
              <w:rPr>
                <w:rFonts w:cs="Garamond"/>
                <w:spacing w:val="-4"/>
                <w:sz w:val="23"/>
                <w:szCs w:val="23"/>
              </w:rPr>
            </w:pPr>
            <w:r w:rsidRPr="006355B8">
              <w:rPr>
                <w:rFonts w:cs="Garamond"/>
                <w:spacing w:val="-2"/>
                <w:sz w:val="23"/>
                <w:szCs w:val="23"/>
              </w:rPr>
              <w:t>Status (as of &lt;date&gt;)</w:t>
            </w:r>
          </w:p>
        </w:tc>
        <w:tc>
          <w:tcPr>
            <w:tcW w:w="9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spacing w:before="36" w:line="211" w:lineRule="auto"/>
              <w:rPr>
                <w:rFonts w:cs="Garamond"/>
                <w:spacing w:val="-8"/>
                <w:sz w:val="23"/>
                <w:szCs w:val="23"/>
              </w:rPr>
            </w:pPr>
            <w:r w:rsidRPr="006355B8">
              <w:rPr>
                <w:rFonts w:cs="Garamond"/>
                <w:spacing w:val="-4"/>
                <w:sz w:val="23"/>
                <w:szCs w:val="23"/>
              </w:rPr>
              <w:t>Notes</w:t>
            </w:r>
          </w:p>
        </w:tc>
      </w:tr>
      <w:tr w:rsidR="00E71C51" w:rsidRPr="006355B8" w:rsidTr="002B7C89">
        <w:trPr>
          <w:trHeight w:hRule="exact" w:val="1857"/>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B846D5">
            <w:pPr>
              <w:rPr>
                <w:rFonts w:cs="Garamond"/>
                <w:i/>
              </w:rPr>
            </w:pPr>
            <w:r w:rsidRPr="006355B8">
              <w:rPr>
                <w:rFonts w:cs="Garamond"/>
                <w:i/>
              </w:rPr>
              <w:t>Ex:</w:t>
            </w:r>
            <w:r w:rsidR="00B846D5">
              <w:rPr>
                <w:rFonts w:cs="Garamond"/>
                <w:i/>
              </w:rPr>
              <w:t xml:space="preserve"> Plant name</w:t>
            </w: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i/>
              </w:rPr>
            </w:pPr>
            <w:r w:rsidRPr="006355B8">
              <w:rPr>
                <w:rFonts w:cs="Garamond"/>
                <w:i/>
              </w:rPr>
              <w:t>1</w:t>
            </w: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i/>
              </w:rPr>
            </w:pPr>
            <w:r w:rsidRPr="006355B8">
              <w:rPr>
                <w:rFonts w:cs="Garamond"/>
                <w:i/>
              </w:rPr>
              <w:t>Fuel switch to NG at all times, with the exception of a gas curtailment order from the gas supplier, in which case the facility will be allowed to utilize backup #6 fuel oil.</w:t>
            </w: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i/>
              </w:rPr>
            </w:pPr>
            <w:r w:rsidRPr="006355B8">
              <w:rPr>
                <w:rFonts w:cs="Garamond"/>
                <w:i/>
              </w:rPr>
              <w:t>mm/dd/yr</w:t>
            </w:r>
          </w:p>
        </w:tc>
        <w:tc>
          <w:tcPr>
            <w:tcW w:w="12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i/>
              </w:rPr>
            </w:pPr>
            <w:r w:rsidRPr="006355B8">
              <w:rPr>
                <w:rFonts w:cs="Garamond"/>
                <w:i/>
              </w:rPr>
              <w:t>In compliance</w:t>
            </w:r>
          </w:p>
        </w:tc>
        <w:tc>
          <w:tcPr>
            <w:tcW w:w="9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i/>
              </w:rPr>
            </w:pPr>
          </w:p>
        </w:tc>
      </w:tr>
      <w:tr w:rsidR="00E71C51" w:rsidRPr="006355B8" w:rsidTr="007E4548">
        <w:trPr>
          <w:trHeight w:hRule="exact" w:val="566"/>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2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9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r>
      <w:tr w:rsidR="00E71C51" w:rsidRPr="006355B8" w:rsidTr="007E4548">
        <w:trPr>
          <w:trHeight w:hRule="exact" w:val="571"/>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2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9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r>
      <w:tr w:rsidR="00E71C51" w:rsidRPr="006355B8" w:rsidTr="007E4548">
        <w:trPr>
          <w:trHeight w:hRule="exact" w:val="571"/>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2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9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r>
      <w:tr w:rsidR="00E71C51" w:rsidRPr="006355B8" w:rsidTr="007E4548">
        <w:trPr>
          <w:trHeight w:hRule="exact" w:val="567"/>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2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9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r>
      <w:tr w:rsidR="00E71C51" w:rsidRPr="006355B8" w:rsidTr="007E4548">
        <w:trPr>
          <w:trHeight w:hRule="exact" w:val="571"/>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2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9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r>
      <w:tr w:rsidR="00E71C51" w:rsidRPr="006355B8" w:rsidTr="007E4548">
        <w:trPr>
          <w:trHeight w:hRule="exact" w:val="566"/>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2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9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r>
      <w:tr w:rsidR="00E71C51" w:rsidRPr="006355B8" w:rsidTr="007E4548">
        <w:trPr>
          <w:trHeight w:hRule="exact" w:val="572"/>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2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9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r>
      <w:tr w:rsidR="00E71C51" w:rsidRPr="006355B8" w:rsidTr="007E4548">
        <w:trPr>
          <w:trHeight w:hRule="exact" w:val="566"/>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2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9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r>
      <w:tr w:rsidR="00E71C51" w:rsidRPr="006355B8" w:rsidTr="007E4548">
        <w:trPr>
          <w:trHeight w:hRule="exact" w:val="566"/>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2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9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r>
    </w:tbl>
    <w:p w:rsidR="00E71C51" w:rsidRPr="007A7C93" w:rsidRDefault="00E71C51" w:rsidP="007A7C93"/>
    <w:p w:rsidR="00670FB4" w:rsidRDefault="00670FB4" w:rsidP="00E5794F">
      <w:pPr>
        <w:rPr>
          <w:rFonts w:ascii="Arial" w:eastAsia="Times New Roman" w:hAnsi="Arial"/>
          <w:b/>
          <w:bCs/>
          <w:color w:val="000000" w:themeColor="text1"/>
          <w:szCs w:val="26"/>
          <w:u w:val="single"/>
        </w:rPr>
      </w:pPr>
      <w:bookmarkStart w:id="69" w:name="_Toc373843504"/>
      <w:r>
        <w:br w:type="page"/>
      </w:r>
    </w:p>
    <w:p w:rsidR="00E71C51" w:rsidRPr="002F5DDC" w:rsidRDefault="00E71C51" w:rsidP="002F5DDC">
      <w:pPr>
        <w:pStyle w:val="Heading2"/>
      </w:pPr>
      <w:r w:rsidRPr="002F5DDC">
        <w:lastRenderedPageBreak/>
        <w:t xml:space="preserve">Section 4:  Status of EGU Controls </w:t>
      </w:r>
      <w:r w:rsidR="002B0B10" w:rsidRPr="002F5DDC">
        <w:t>including</w:t>
      </w:r>
      <w:r w:rsidRPr="002F5DDC">
        <w:t xml:space="preserve"> Controls at 167 Key Sources</w:t>
      </w:r>
      <w:bookmarkEnd w:id="69"/>
    </w:p>
    <w:p w:rsidR="00E71C51" w:rsidRPr="002F5DDC" w:rsidRDefault="00E71C51" w:rsidP="002F5DDC">
      <w:pPr>
        <w:pStyle w:val="Heading3"/>
      </w:pPr>
      <w:bookmarkStart w:id="70" w:name="_Toc373843505"/>
      <w:r w:rsidRPr="002F5DDC">
        <w:t>4.1</w:t>
      </w:r>
      <w:r w:rsidR="007A33C0" w:rsidRPr="002F5DDC">
        <w:t>. Requirement</w:t>
      </w:r>
      <w:r w:rsidRPr="002F5DDC">
        <w:t xml:space="preserve"> to Track Implementation of EGU Control Measures</w:t>
      </w:r>
      <w:bookmarkEnd w:id="70"/>
    </w:p>
    <w:p w:rsidR="009B04F0" w:rsidRDefault="00E71C51" w:rsidP="002F5DDC">
      <w:r w:rsidRPr="00B27876">
        <w:t xml:space="preserve">40 CFR 51.308(g)(1) requires that the progress report describe the status of implementation of all measures included in the SIP for achieving reasonable progress goals for Class I areas within and outside </w:t>
      </w:r>
      <w:r w:rsidRPr="0031596C">
        <w:t xml:space="preserve">the State that are affected by emissions from within the State.  As noted in </w:t>
      </w:r>
      <w:r w:rsidRPr="0031596C">
        <w:rPr>
          <w:highlight w:val="yellow"/>
        </w:rPr>
        <w:t>Section 1</w:t>
      </w:r>
      <w:r w:rsidRPr="0031596C">
        <w:t xml:space="preserve"> of this report, in</w:t>
      </w:r>
      <w:r w:rsidRPr="00B27876">
        <w:t xml:space="preserve"> establishing reasonable progress goals MANE-VU Class I states relied in part on implementation of emissions reductions at 167 key EGU sources or other</w:t>
      </w:r>
      <w:r w:rsidR="009B04F0">
        <w:t xml:space="preserve"> alternative measures by 2018.</w:t>
      </w:r>
    </w:p>
    <w:p w:rsidR="00E71C51" w:rsidRPr="00B27876" w:rsidRDefault="00E71C51" w:rsidP="002F5DDC">
      <w:r w:rsidRPr="00B27876">
        <w:t xml:space="preserve">This section provides information on the progress of </w:t>
      </w:r>
      <w:r w:rsidRPr="0031596C">
        <w:t>&lt;</w:t>
      </w:r>
      <w:r w:rsidRPr="0031596C">
        <w:rPr>
          <w:highlight w:val="yellow"/>
        </w:rPr>
        <w:t>the State</w:t>
      </w:r>
      <w:r w:rsidRPr="0031596C">
        <w:t>&gt;</w:t>
      </w:r>
      <w:r w:rsidRPr="00B27876">
        <w:t xml:space="preserve"> in</w:t>
      </w:r>
      <w:r w:rsidR="00CD6055">
        <w:t xml:space="preserve"> reducing emissions from EGUs</w:t>
      </w:r>
      <w:r w:rsidRPr="00B27876">
        <w:t>.</w:t>
      </w:r>
    </w:p>
    <w:p w:rsidR="00E71C51" w:rsidRPr="002F5DDC" w:rsidRDefault="00E71C51" w:rsidP="002F5DDC">
      <w:pPr>
        <w:pStyle w:val="Heading3"/>
      </w:pPr>
      <w:bookmarkStart w:id="71" w:name="_Toc373843506"/>
      <w:r w:rsidRPr="002F5DDC">
        <w:t>4.</w:t>
      </w:r>
      <w:r w:rsidR="00EB608E" w:rsidRPr="002F5DDC">
        <w:t>2</w:t>
      </w:r>
      <w:r w:rsidR="007A33C0" w:rsidRPr="002F5DDC">
        <w:t>. MANE</w:t>
      </w:r>
      <w:r w:rsidRPr="002F5DDC">
        <w:t>-VU Focus on Sulfates</w:t>
      </w:r>
      <w:r w:rsidR="00CD6055" w:rsidRPr="002F5DDC">
        <w:t xml:space="preserve"> and</w:t>
      </w:r>
      <w:r w:rsidRPr="002F5DDC">
        <w:t xml:space="preserve"> EGUs</w:t>
      </w:r>
      <w:bookmarkEnd w:id="71"/>
    </w:p>
    <w:p w:rsidR="00E71C51" w:rsidRPr="00D2276D" w:rsidRDefault="00E71C51" w:rsidP="002F5DDC">
      <w:r w:rsidRPr="00D2276D">
        <w:t>The MANE-VU Contribution Assessment</w:t>
      </w:r>
      <w:r w:rsidRPr="00D2276D">
        <w:rPr>
          <w:rStyle w:val="FootnoteReference"/>
        </w:rPr>
        <w:footnoteReference w:id="4"/>
      </w:r>
      <w:r w:rsidRPr="00D2276D">
        <w:t xml:space="preserve"> produced a conceptual model of regional haze in which sulfate emerged as the most important single constituent of haze-forming fine part</w:t>
      </w:r>
      <w:r w:rsidR="00453A25">
        <w:t>icle pollution and the principal</w:t>
      </w:r>
      <w:r w:rsidRPr="00D2276D">
        <w:t xml:space="preserve"> cause of visibility impairment across the region. </w:t>
      </w:r>
      <w:r w:rsidR="00150C05">
        <w:t>The</w:t>
      </w:r>
      <w:r w:rsidR="005564FC">
        <w:t xml:space="preserve"> report concluded that, during the baseline period, sulfate </w:t>
      </w:r>
      <w:r w:rsidRPr="00D2276D">
        <w:t xml:space="preserve">alone </w:t>
      </w:r>
      <w:r w:rsidR="005564FC" w:rsidRPr="00D2276D">
        <w:t>account</w:t>
      </w:r>
      <w:r w:rsidR="005564FC">
        <w:t>ed</w:t>
      </w:r>
      <w:r w:rsidR="005564FC" w:rsidRPr="00D2276D">
        <w:t xml:space="preserve"> </w:t>
      </w:r>
      <w:r w:rsidRPr="00D2276D">
        <w:t>for anywhere from one-half to two-thirds of total fine particle mass on the 20 percent haziest days at MANE-VU Class I sites. Even on the 20 percent clearest days, sulfate generally accounted for the largest fraction (40 percent or more) of total fine particle mass in the region. Sulfate has an even larger effect when one considers the differential visibility impacts of different particle constituents.</w:t>
      </w:r>
      <w:r w:rsidR="00B65844">
        <w:t xml:space="preserve"> </w:t>
      </w:r>
      <w:r w:rsidRPr="00D2276D">
        <w:t xml:space="preserve"> It typically </w:t>
      </w:r>
      <w:r w:rsidR="005564FC" w:rsidRPr="00D2276D">
        <w:t>account</w:t>
      </w:r>
      <w:r w:rsidR="005564FC">
        <w:t>ed</w:t>
      </w:r>
      <w:r w:rsidR="005564FC" w:rsidRPr="00D2276D">
        <w:t xml:space="preserve"> </w:t>
      </w:r>
      <w:r w:rsidR="00EE3302">
        <w:t xml:space="preserve">for 70 to </w:t>
      </w:r>
      <w:r w:rsidRPr="00D2276D">
        <w:t>82 percent of estimated particle-induced light extinction at northeastern and mid-Atlantic Class I sites.</w:t>
      </w:r>
    </w:p>
    <w:p w:rsidR="00E71C51" w:rsidRPr="007030C3" w:rsidRDefault="00E71C51" w:rsidP="002F5DDC">
      <w:r w:rsidRPr="007030C3">
        <w:t xml:space="preserve">The MANE-VU Contribution Assessment </w:t>
      </w:r>
      <w:r>
        <w:t xml:space="preserve">also </w:t>
      </w:r>
      <w:r w:rsidRPr="007030C3">
        <w:t>indicates that</w:t>
      </w:r>
      <w:r>
        <w:t xml:space="preserve"> SO</w:t>
      </w:r>
      <w:r w:rsidRPr="00D2276D">
        <w:rPr>
          <w:vertAlign w:val="subscript"/>
        </w:rPr>
        <w:t>2</w:t>
      </w:r>
      <w:r w:rsidRPr="007030C3">
        <w:t xml:space="preserve"> emissions from within MANE-VU in 2002 were responsible for approximately 25 percent of the sulfate at MANE-VU Class I Areas. Sources in the Midwest and Southeast regions were responsible for about 15 to 25 percent each. Point sources dominated the inventory of </w:t>
      </w:r>
      <w:r w:rsidRPr="002A7870">
        <w:t>SO</w:t>
      </w:r>
      <w:r w:rsidRPr="002A7870">
        <w:rPr>
          <w:vertAlign w:val="subscript"/>
        </w:rPr>
        <w:t>2</w:t>
      </w:r>
      <w:r w:rsidRPr="007030C3">
        <w:t xml:space="preserve"> emissions.  Therefore, MANE-VU’s long-term strategy included additional measures to control sources of </w:t>
      </w:r>
      <w:r w:rsidRPr="002A7870">
        <w:t>SO</w:t>
      </w:r>
      <w:r w:rsidRPr="002A7870">
        <w:rPr>
          <w:vertAlign w:val="subscript"/>
        </w:rPr>
        <w:t>2</w:t>
      </w:r>
      <w:r w:rsidRPr="007030C3">
        <w:t xml:space="preserve"> both within the MANE-VU region and in other states that were determined to contribute to regional haze at MANE-VU Class I Areas.  </w:t>
      </w:r>
      <w:r>
        <w:t>The largest source category responsible for SO</w:t>
      </w:r>
      <w:r w:rsidRPr="007030C3">
        <w:rPr>
          <w:vertAlign w:val="subscript"/>
        </w:rPr>
        <w:t>2</w:t>
      </w:r>
      <w:r>
        <w:t xml:space="preserve"> emissions within these areas was determined to be EGUs, and EPA’s Clean Air Interstate Rule</w:t>
      </w:r>
      <w:r w:rsidR="009B04F0">
        <w:t xml:space="preserve"> (CAIR)</w:t>
      </w:r>
      <w:r>
        <w:t xml:space="preserve"> was </w:t>
      </w:r>
      <w:r w:rsidR="009B04F0">
        <w:t>expected</w:t>
      </w:r>
      <w:r>
        <w:t xml:space="preserve"> to reduce emissions from EGUs by 2018.</w:t>
      </w:r>
    </w:p>
    <w:p w:rsidR="00E71C51" w:rsidRPr="002F5DDC" w:rsidRDefault="00E71C51" w:rsidP="002F5DDC">
      <w:pPr>
        <w:pStyle w:val="Heading3"/>
      </w:pPr>
      <w:bookmarkStart w:id="72" w:name="_Toc373843507"/>
      <w:r w:rsidRPr="002F5DDC">
        <w:t>4.</w:t>
      </w:r>
      <w:r w:rsidR="00EB608E" w:rsidRPr="002F5DDC">
        <w:t>3</w:t>
      </w:r>
      <w:r w:rsidR="007A33C0" w:rsidRPr="002F5DDC">
        <w:t>. Status</w:t>
      </w:r>
      <w:r w:rsidRPr="002F5DDC">
        <w:t xml:space="preserve"> of Implementation of EPA’s Clean Air Interstate Rule and other EGU Controls</w:t>
      </w:r>
      <w:bookmarkEnd w:id="72"/>
    </w:p>
    <w:p w:rsidR="00EA35BE" w:rsidRPr="002F5DDC" w:rsidRDefault="00E71C51" w:rsidP="002F5DDC">
      <w:r w:rsidRPr="00B27876">
        <w:t xml:space="preserve">Emissions from EGUs have been </w:t>
      </w:r>
      <w:r w:rsidR="003F0EF5" w:rsidRPr="00B27876">
        <w:t xml:space="preserve">reduced </w:t>
      </w:r>
      <w:r w:rsidR="00113F87" w:rsidRPr="00B27876">
        <w:t xml:space="preserve">since 2002 </w:t>
      </w:r>
      <w:r w:rsidRPr="00B27876">
        <w:t>through a numbe</w:t>
      </w:r>
      <w:r w:rsidR="005523B9" w:rsidRPr="00B27876">
        <w:t xml:space="preserve">r of mechanisms, including </w:t>
      </w:r>
      <w:r w:rsidR="009B04F0">
        <w:t xml:space="preserve">Federal and </w:t>
      </w:r>
      <w:r w:rsidRPr="00B27876">
        <w:t xml:space="preserve">State </w:t>
      </w:r>
      <w:r w:rsidR="009B04F0">
        <w:t xml:space="preserve">regulatory </w:t>
      </w:r>
      <w:r w:rsidRPr="00B27876">
        <w:t>programs</w:t>
      </w:r>
      <w:r w:rsidR="005523B9" w:rsidRPr="00B27876">
        <w:t>,</w:t>
      </w:r>
      <w:r w:rsidR="009B04F0">
        <w:t xml:space="preserve"> </w:t>
      </w:r>
      <w:r w:rsidR="00CD6055">
        <w:t xml:space="preserve">consent agreements, </w:t>
      </w:r>
      <w:r w:rsidRPr="00B27876">
        <w:t>and various source-specific permitting actions.</w:t>
      </w:r>
      <w:r w:rsidR="00113F87" w:rsidRPr="00B27876">
        <w:t xml:space="preserve">  The </w:t>
      </w:r>
      <w:r w:rsidR="006A65E4" w:rsidRPr="00B27876">
        <w:t xml:space="preserve">EGU </w:t>
      </w:r>
      <w:r w:rsidR="00113F87" w:rsidRPr="00B27876">
        <w:t xml:space="preserve">emissions used in MANE-VU’s modeling to help determine reasonable progress goals are documented in the August 2009 report </w:t>
      </w:r>
      <w:r w:rsidR="00113F87" w:rsidRPr="00B27876">
        <w:rPr>
          <w:bCs/>
          <w:i/>
        </w:rPr>
        <w:t>Documentation of 2018 Emissions from Electric Generating Units</w:t>
      </w:r>
      <w:r w:rsidR="00113F87" w:rsidRPr="006A65E4">
        <w:rPr>
          <w:bCs/>
          <w:i/>
        </w:rPr>
        <w:t xml:space="preserve"> </w:t>
      </w:r>
      <w:r w:rsidR="00113F87" w:rsidRPr="00B27876">
        <w:rPr>
          <w:bCs/>
          <w:i/>
        </w:rPr>
        <w:t>in the Eastern United States for MANE-VU’s Regional Haze Modeling</w:t>
      </w:r>
      <w:r w:rsidR="006A65E4" w:rsidRPr="00B27876">
        <w:rPr>
          <w:bCs/>
        </w:rPr>
        <w:t xml:space="preserve">, which is posted on MARAMA’s web site at </w:t>
      </w:r>
      <w:hyperlink r:id="rId31" w:history="1">
        <w:r w:rsidR="006A65E4" w:rsidRPr="00B27876">
          <w:rPr>
            <w:rStyle w:val="Hyperlink"/>
            <w:bCs/>
          </w:rPr>
          <w:t>http://www.marama.org/publications_folder/EGU_Projections_Summary_Final_Aug_2009.pdf</w:t>
        </w:r>
      </w:hyperlink>
      <w:r w:rsidR="006A65E4" w:rsidRPr="00B27876">
        <w:rPr>
          <w:bCs/>
        </w:rPr>
        <w:t>.  Changes in emissions from 2002 are summarized in Section 7 of this report.  The following information discusses various control measures that have reduced emissions since 2002.</w:t>
      </w:r>
    </w:p>
    <w:p w:rsidR="00E71C51" w:rsidRPr="00230052" w:rsidRDefault="00E71C51" w:rsidP="002F5DDC">
      <w:pPr>
        <w:pStyle w:val="2ndLevelHeader"/>
      </w:pPr>
      <w:bookmarkStart w:id="73" w:name="_Toc373843508"/>
      <w:r w:rsidRPr="00230052">
        <w:lastRenderedPageBreak/>
        <w:t>4.</w:t>
      </w:r>
      <w:r w:rsidR="00EB608E" w:rsidRPr="00230052">
        <w:t>3</w:t>
      </w:r>
      <w:r w:rsidRPr="00230052">
        <w:t>.1</w:t>
      </w:r>
      <w:r w:rsidR="007A33C0" w:rsidRPr="00230052">
        <w:t>. Clean</w:t>
      </w:r>
      <w:r w:rsidRPr="00230052">
        <w:t xml:space="preserve"> Air Interstate Rule and Cross State Air Pollution Rule</w:t>
      </w:r>
      <w:bookmarkEnd w:id="73"/>
    </w:p>
    <w:p w:rsidR="00E71C51" w:rsidRPr="002A7870" w:rsidRDefault="00E71C51" w:rsidP="002F5DDC">
      <w:r w:rsidRPr="002A7870">
        <w:t xml:space="preserve">On May 12, 2005, the EPA promulgated </w:t>
      </w:r>
      <w:r w:rsidR="009B04F0">
        <w:t>the Clean Air Interstate Rule (</w:t>
      </w:r>
      <w:r w:rsidRPr="002A7870">
        <w:t>CAIR</w:t>
      </w:r>
      <w:r w:rsidR="009B04F0">
        <w:t>)</w:t>
      </w:r>
      <w:r w:rsidRPr="002A7870">
        <w:t>, which require</w:t>
      </w:r>
      <w:r>
        <w:t xml:space="preserve">d reductions in emissions of </w:t>
      </w:r>
      <w:r w:rsidR="007A1BD7" w:rsidRPr="007A1BD7">
        <w:t>NO</w:t>
      </w:r>
      <w:r w:rsidR="007A1BD7" w:rsidRPr="007A1BD7">
        <w:rPr>
          <w:vertAlign w:val="subscript"/>
        </w:rPr>
        <w:t>X</w:t>
      </w:r>
      <w:r w:rsidRPr="002A7870">
        <w:t xml:space="preserve"> and SO</w:t>
      </w:r>
      <w:r w:rsidRPr="00C951C9">
        <w:rPr>
          <w:vertAlign w:val="subscript"/>
        </w:rPr>
        <w:t>2</w:t>
      </w:r>
      <w:r w:rsidRPr="002A7870">
        <w:t xml:space="preserve"> from large fossil fuel fired EGUs. </w:t>
      </w:r>
      <w:r w:rsidR="00686ABD">
        <w:t>Expected</w:t>
      </w:r>
      <w:r w:rsidRPr="002A7870">
        <w:t xml:space="preserve"> emission reductions were included as part of the MANE-VU 2018 modeling effort. The U.S. Court of Appeals for the D.C. Circuit ruled on petitions for review of CAIR and CAIR Federal Implementation Plans, including their prov</w:t>
      </w:r>
      <w:r>
        <w:t xml:space="preserve">isions establishing the CAIR </w:t>
      </w:r>
      <w:r w:rsidR="007A1BD7" w:rsidRPr="007A1BD7">
        <w:t>NO</w:t>
      </w:r>
      <w:r w:rsidR="007A1BD7" w:rsidRPr="007A1BD7">
        <w:rPr>
          <w:vertAlign w:val="subscript"/>
        </w:rPr>
        <w:t>X</w:t>
      </w:r>
      <w:r w:rsidRPr="002A7870">
        <w:t xml:space="preserve"> annual and ozone season and SO</w:t>
      </w:r>
      <w:r w:rsidRPr="00C951C9">
        <w:rPr>
          <w:vertAlign w:val="subscript"/>
        </w:rPr>
        <w:t>2</w:t>
      </w:r>
      <w:r w:rsidRPr="002A7870">
        <w:t xml:space="preserve"> trading programs.  On July 11, 2008, the Court issued an opinion vacating and remanding these rules. However, parties to the litigation requested rehearing of aspects of the Court's decision, including vacating them. The</w:t>
      </w:r>
      <w:r w:rsidR="00686ABD">
        <w:t xml:space="preserve"> resulting</w:t>
      </w:r>
      <w:r w:rsidRPr="002A7870">
        <w:t xml:space="preserve"> December 23, 2008, ruling </w:t>
      </w:r>
      <w:proofErr w:type="gramStart"/>
      <w:r w:rsidRPr="002A7870">
        <w:t>leaves CAIR in place until EPA issues</w:t>
      </w:r>
      <w:proofErr w:type="gramEnd"/>
      <w:r w:rsidRPr="002A7870">
        <w:t xml:space="preserve"> a new rule to replace CAIR in accordance with the July 11, 2008 decision.</w:t>
      </w:r>
    </w:p>
    <w:p w:rsidR="00E71C51" w:rsidRPr="002F5DDC" w:rsidRDefault="00686ABD" w:rsidP="002F5DDC">
      <w:r>
        <w:t>About two and a half years later, o</w:t>
      </w:r>
      <w:r w:rsidR="00E71C51" w:rsidRPr="002A7870">
        <w:t xml:space="preserve">n July 6, 2011, the EPA finalized the Cross State Air Pollution Rule (CSAPR).  EPA intended for this rule to </w:t>
      </w:r>
      <w:r>
        <w:t>replace CAIR beginning 2012,</w:t>
      </w:r>
      <w:r w:rsidR="00E71C51" w:rsidRPr="002A7870">
        <w:t xml:space="preserve"> requiring 27 states in the eastern half of the United States to reduce power plant emissions. The EPA also issued a supplemental proposal for si</w:t>
      </w:r>
      <w:r>
        <w:t>x states to make summer</w:t>
      </w:r>
      <w:r w:rsidR="00E71C51">
        <w:t xml:space="preserve">time </w:t>
      </w:r>
      <w:r w:rsidR="007A1BD7" w:rsidRPr="007A1BD7">
        <w:t>NO</w:t>
      </w:r>
      <w:r w:rsidR="007A1BD7" w:rsidRPr="007A1BD7">
        <w:rPr>
          <w:vertAlign w:val="subscript"/>
        </w:rPr>
        <w:t>X</w:t>
      </w:r>
      <w:r w:rsidR="00E71C51" w:rsidRPr="002A7870">
        <w:t xml:space="preserve"> reductions. This supplemental proposal, when finalized, would bring the total number of states </w:t>
      </w:r>
      <w:r>
        <w:t>subject to</w:t>
      </w:r>
      <w:r w:rsidR="00E71C51" w:rsidRPr="002A7870">
        <w:t xml:space="preserve"> the program to 28. CSAPR was estimated to reduce </w:t>
      </w:r>
      <w:r w:rsidR="00017904">
        <w:t>EGU</w:t>
      </w:r>
      <w:r w:rsidR="00E71C51" w:rsidRPr="002A7870">
        <w:t xml:space="preserve"> emissions from </w:t>
      </w:r>
      <w:r w:rsidR="00017904">
        <w:t>2005 levels</w:t>
      </w:r>
      <w:r w:rsidR="00E71C51" w:rsidRPr="002A7870">
        <w:t xml:space="preserve"> by 6,500,000 tons of SO</w:t>
      </w:r>
      <w:r w:rsidR="00E71C51" w:rsidRPr="00C951C9">
        <w:rPr>
          <w:vertAlign w:val="subscript"/>
        </w:rPr>
        <w:t>2</w:t>
      </w:r>
      <w:r w:rsidR="00E71C51" w:rsidRPr="002A7870">
        <w:t xml:space="preserve"> annually and 1,400,000 tons of </w:t>
      </w:r>
      <w:r w:rsidR="007A1BD7" w:rsidRPr="007A1BD7">
        <w:t>NO</w:t>
      </w:r>
      <w:r w:rsidR="007A1BD7" w:rsidRPr="007A1BD7">
        <w:rPr>
          <w:vertAlign w:val="subscript"/>
        </w:rPr>
        <w:t>X</w:t>
      </w:r>
      <w:r w:rsidR="00E71C51" w:rsidRPr="002A7870">
        <w:t xml:space="preserve"> annually</w:t>
      </w:r>
      <w:r w:rsidR="00017904">
        <w:t>.</w:t>
      </w:r>
      <w:r w:rsidR="00E71C51" w:rsidRPr="002A7870">
        <w:t xml:space="preserve">  These estimates represented a 71 percent reduction in SO</w:t>
      </w:r>
      <w:r w:rsidR="00E71C51" w:rsidRPr="00C951C9">
        <w:rPr>
          <w:vertAlign w:val="subscript"/>
        </w:rPr>
        <w:t>2</w:t>
      </w:r>
      <w:r w:rsidR="00E71C51" w:rsidRPr="002A7870">
        <w:t xml:space="preserve"> and a 52 percent reduction in </w:t>
      </w:r>
      <w:r w:rsidR="007A1BD7" w:rsidRPr="007A1BD7">
        <w:t>NO</w:t>
      </w:r>
      <w:r w:rsidR="007A1BD7" w:rsidRPr="007A1BD7">
        <w:rPr>
          <w:vertAlign w:val="subscript"/>
        </w:rPr>
        <w:t>X</w:t>
      </w:r>
      <w:r w:rsidR="00E71C51" w:rsidRPr="002A7870">
        <w:t xml:space="preserve"> from 2005 levels.  </w:t>
      </w:r>
    </w:p>
    <w:p w:rsidR="00EA35BE" w:rsidRPr="002F5DDC" w:rsidRDefault="00453A25" w:rsidP="002F5DDC">
      <w:r>
        <w:t>On December 30, 2011</w:t>
      </w:r>
      <w:r w:rsidR="00E71C51" w:rsidRPr="003F0EF5">
        <w:t xml:space="preserve">, the U.S. Court of Appeals for the D.C. Circuit issued a ruling to stay CSAPR pending judicial review.  On </w:t>
      </w:r>
      <w:r w:rsidR="003F0EF5">
        <w:t>A</w:t>
      </w:r>
      <w:r w:rsidR="00E71C51" w:rsidRPr="003F0EF5">
        <w:t>ugust 17, 2012, the D.C. Circuit Court of Appeals vacated CSAPR.  On</w:t>
      </w:r>
      <w:r w:rsidR="00E71C51">
        <w:t xml:space="preserve"> October 5, 2012, EPA requested a rehearing </w:t>
      </w:r>
      <w:r w:rsidR="00E71C51" w:rsidRPr="004D7F65">
        <w:rPr>
          <w:i/>
        </w:rPr>
        <w:t>en banc</w:t>
      </w:r>
      <w:r w:rsidR="00E71C51">
        <w:t xml:space="preserve"> of the CSAPR vacatur.  </w:t>
      </w:r>
      <w:r w:rsidR="00E54E4D">
        <w:t xml:space="preserve">The court denied this request on January 24, 2013.  </w:t>
      </w:r>
      <w:r w:rsidR="00E71C51">
        <w:t>CAIR remains in e</w:t>
      </w:r>
      <w:r w:rsidR="00017904">
        <w:t>ffect in light of this decision, and EPA requested review by the Supreme Court.</w:t>
      </w:r>
    </w:p>
    <w:p w:rsidR="006A65E4" w:rsidRPr="00230052" w:rsidRDefault="006A65E4" w:rsidP="002F5DDC">
      <w:pPr>
        <w:pStyle w:val="2ndLevelHeader"/>
      </w:pPr>
      <w:bookmarkStart w:id="74" w:name="_Toc373843509"/>
      <w:r w:rsidRPr="00230052">
        <w:t>4.</w:t>
      </w:r>
      <w:r w:rsidR="00EB608E" w:rsidRPr="00230052">
        <w:t>3</w:t>
      </w:r>
      <w:r w:rsidRPr="00230052">
        <w:t xml:space="preserve">.2. EGU Control Measures </w:t>
      </w:r>
      <w:r w:rsidR="00EE3302" w:rsidRPr="00EE3302">
        <w:rPr>
          <w:highlight w:val="yellow"/>
        </w:rPr>
        <w:t>&lt;</w:t>
      </w:r>
      <w:r w:rsidRPr="00EE3302">
        <w:rPr>
          <w:highlight w:val="yellow"/>
        </w:rPr>
        <w:t xml:space="preserve">in </w:t>
      </w:r>
      <w:r w:rsidR="00EB608E" w:rsidRPr="00EE3302">
        <w:rPr>
          <w:highlight w:val="yellow"/>
        </w:rPr>
        <w:t xml:space="preserve">MANE-VU </w:t>
      </w:r>
      <w:r w:rsidR="00EE3302" w:rsidRPr="00EE3302">
        <w:rPr>
          <w:highlight w:val="yellow"/>
        </w:rPr>
        <w:t>or in the State&gt;</w:t>
      </w:r>
      <w:r w:rsidR="00EE3302">
        <w:t xml:space="preserve"> </w:t>
      </w:r>
      <w:r w:rsidR="00017904">
        <w:t>other than</w:t>
      </w:r>
      <w:r w:rsidRPr="00230052">
        <w:t xml:space="preserve"> CAIR</w:t>
      </w:r>
      <w:bookmarkEnd w:id="74"/>
    </w:p>
    <w:p w:rsidR="004F7584" w:rsidRDefault="004F7584" w:rsidP="002F5DDC">
      <w:pPr>
        <w:rPr>
          <w:bCs/>
        </w:rPr>
      </w:pPr>
      <w:r w:rsidRPr="00EE3302">
        <w:rPr>
          <w:bCs/>
          <w:highlight w:val="yellow"/>
        </w:rPr>
        <w:t>Note: States with no Class I areas may wish to omit any information in this section for areas outside their state.</w:t>
      </w:r>
    </w:p>
    <w:p w:rsidR="00E71C51" w:rsidRDefault="006A65E4" w:rsidP="002F5DDC">
      <w:r w:rsidRPr="00B27876">
        <w:rPr>
          <w:bCs/>
        </w:rPr>
        <w:t xml:space="preserve">The </w:t>
      </w:r>
      <w:r w:rsidR="00E71C51" w:rsidRPr="00B27876">
        <w:rPr>
          <w:bCs/>
        </w:rPr>
        <w:t>following</w:t>
      </w:r>
      <w:r w:rsidR="00E71C51" w:rsidRPr="00B27876">
        <w:rPr>
          <w:b/>
          <w:bCs/>
          <w:color w:val="4F81BD"/>
        </w:rPr>
        <w:t xml:space="preserve"> </w:t>
      </w:r>
      <w:r w:rsidR="00E71C51" w:rsidRPr="00B27876">
        <w:t xml:space="preserve">emission controls originating from </w:t>
      </w:r>
      <w:r w:rsidRPr="00B27876">
        <w:t>specific</w:t>
      </w:r>
      <w:r w:rsidR="00E71C51" w:rsidRPr="00B27876">
        <w:t xml:space="preserve"> measures to reduce emissions from EGUs were considered in the regional modeling used to establish the MANE-VU Reasonable Progress Goals</w:t>
      </w:r>
      <w:r w:rsidR="00A64AC2">
        <w:t>.</w:t>
      </w:r>
    </w:p>
    <w:p w:rsidR="00373528" w:rsidRDefault="00373528" w:rsidP="00373528">
      <w:pPr>
        <w:pStyle w:val="Heading5"/>
        <w:rPr>
          <w:rStyle w:val="Heading8Char"/>
          <w:rFonts w:ascii="Arial" w:hAnsi="Arial" w:cs="Arial"/>
          <w:color w:val="auto"/>
        </w:rPr>
      </w:pPr>
    </w:p>
    <w:p w:rsidR="00373528" w:rsidRPr="007D1888" w:rsidRDefault="00373528" w:rsidP="00F60FE6">
      <w:pPr>
        <w:pStyle w:val="Caption"/>
      </w:pPr>
      <w:bookmarkStart w:id="75" w:name="_Toc373842778"/>
      <w:bookmarkStart w:id="76" w:name="_Toc373843563"/>
      <w:bookmarkStart w:id="77" w:name="_Toc373844552"/>
      <w:proofErr w:type="gramStart"/>
      <w:r w:rsidRPr="007D1888">
        <w:rPr>
          <w:rStyle w:val="Heading8Char"/>
          <w:rFonts w:ascii="Arial" w:hAnsi="Arial" w:cs="Arial"/>
          <w:color w:val="auto"/>
        </w:rPr>
        <w:t>Table 4.1.</w:t>
      </w:r>
      <w:proofErr w:type="gramEnd"/>
      <w:r w:rsidRPr="007D1888">
        <w:rPr>
          <w:rStyle w:val="Heading8Char"/>
          <w:rFonts w:ascii="Arial" w:hAnsi="Arial" w:cs="Arial"/>
          <w:color w:val="auto"/>
        </w:rPr>
        <w:t xml:space="preserve"> Status of EGU Control Measures</w:t>
      </w:r>
      <w:bookmarkEnd w:id="75"/>
      <w:bookmarkEnd w:id="76"/>
      <w:bookmarkEnd w:id="77"/>
    </w:p>
    <w:tbl>
      <w:tblPr>
        <w:tblW w:w="0" w:type="auto"/>
        <w:tblLook w:val="01E0" w:firstRow="1" w:lastRow="1" w:firstColumn="1" w:lastColumn="1" w:noHBand="0" w:noVBand="0"/>
      </w:tblPr>
      <w:tblGrid>
        <w:gridCol w:w="7038"/>
        <w:gridCol w:w="2420"/>
      </w:tblGrid>
      <w:tr w:rsidR="00E71C51" w:rsidRPr="00254E53" w:rsidTr="009D257B">
        <w:tc>
          <w:tcPr>
            <w:tcW w:w="7038" w:type="dxa"/>
            <w:tcBorders>
              <w:top w:val="single" w:sz="4" w:space="0" w:color="auto"/>
              <w:left w:val="single" w:sz="4" w:space="0" w:color="auto"/>
              <w:bottom w:val="single" w:sz="4" w:space="0" w:color="auto"/>
              <w:right w:val="single" w:sz="4" w:space="0" w:color="auto"/>
            </w:tcBorders>
          </w:tcPr>
          <w:p w:rsidR="00E71C51" w:rsidRPr="00254E53" w:rsidRDefault="00E71C51" w:rsidP="0042194D">
            <w:pPr>
              <w:autoSpaceDE w:val="0"/>
              <w:autoSpaceDN w:val="0"/>
              <w:adjustRightInd w:val="0"/>
              <w:rPr>
                <w:rFonts w:asciiTheme="minorHAnsi" w:hAnsiTheme="minorHAnsi" w:cs="TimesNewRomanPSMT"/>
                <w:b/>
              </w:rPr>
            </w:pPr>
            <w:r w:rsidRPr="00254E53">
              <w:rPr>
                <w:rFonts w:asciiTheme="minorHAnsi" w:hAnsiTheme="minorHAnsi" w:cs="TimesNewRomanPSMT"/>
                <w:b/>
              </w:rPr>
              <w:t>Measure</w:t>
            </w:r>
          </w:p>
        </w:tc>
        <w:tc>
          <w:tcPr>
            <w:tcW w:w="2420" w:type="dxa"/>
            <w:tcBorders>
              <w:top w:val="single" w:sz="4" w:space="0" w:color="auto"/>
              <w:left w:val="single" w:sz="4" w:space="0" w:color="auto"/>
              <w:bottom w:val="single" w:sz="4" w:space="0" w:color="auto"/>
              <w:right w:val="single" w:sz="4" w:space="0" w:color="auto"/>
            </w:tcBorders>
          </w:tcPr>
          <w:p w:rsidR="00E71C51" w:rsidRPr="00254E53" w:rsidRDefault="00E71C51" w:rsidP="0042194D">
            <w:pPr>
              <w:autoSpaceDE w:val="0"/>
              <w:autoSpaceDN w:val="0"/>
              <w:adjustRightInd w:val="0"/>
              <w:rPr>
                <w:rFonts w:asciiTheme="minorHAnsi" w:hAnsiTheme="minorHAnsi" w:cs="TimesNewRomanPSMT"/>
                <w:b/>
              </w:rPr>
            </w:pPr>
            <w:r w:rsidRPr="00254E53">
              <w:rPr>
                <w:rFonts w:asciiTheme="minorHAnsi" w:hAnsiTheme="minorHAnsi" w:cs="TimesNewRomanPSMT"/>
                <w:b/>
              </w:rPr>
              <w:t>Status</w:t>
            </w:r>
          </w:p>
        </w:tc>
      </w:tr>
      <w:tr w:rsidR="00E71C51" w:rsidRPr="00254E53" w:rsidTr="009D257B">
        <w:tc>
          <w:tcPr>
            <w:tcW w:w="7038" w:type="dxa"/>
            <w:tcBorders>
              <w:top w:val="single" w:sz="4" w:space="0" w:color="auto"/>
              <w:left w:val="single" w:sz="4" w:space="0" w:color="auto"/>
              <w:bottom w:val="single" w:sz="4" w:space="0" w:color="auto"/>
              <w:right w:val="single" w:sz="4" w:space="0" w:color="auto"/>
            </w:tcBorders>
          </w:tcPr>
          <w:p w:rsidR="00E71C51" w:rsidRPr="00254E53" w:rsidRDefault="00E71C51" w:rsidP="0042194D">
            <w:pPr>
              <w:autoSpaceDE w:val="0"/>
              <w:autoSpaceDN w:val="0"/>
              <w:adjustRightInd w:val="0"/>
              <w:rPr>
                <w:rFonts w:asciiTheme="minorHAnsi" w:hAnsiTheme="minorHAnsi" w:cs="TimesNewRomanPSMT"/>
                <w:b/>
              </w:rPr>
            </w:pPr>
            <w:r w:rsidRPr="00254E53">
              <w:rPr>
                <w:rFonts w:asciiTheme="minorHAnsi" w:hAnsiTheme="minorHAnsi" w:cs="TimesNewRomanPSMT"/>
                <w:b/>
              </w:rPr>
              <w:t>Connecticut</w:t>
            </w:r>
          </w:p>
        </w:tc>
        <w:tc>
          <w:tcPr>
            <w:tcW w:w="2420" w:type="dxa"/>
            <w:tcBorders>
              <w:top w:val="single" w:sz="4" w:space="0" w:color="auto"/>
              <w:left w:val="single" w:sz="4" w:space="0" w:color="auto"/>
              <w:bottom w:val="single" w:sz="4" w:space="0" w:color="auto"/>
              <w:right w:val="single" w:sz="4" w:space="0" w:color="auto"/>
            </w:tcBorders>
          </w:tcPr>
          <w:p w:rsidR="00E71C51" w:rsidRPr="00254E53" w:rsidRDefault="00E71C51" w:rsidP="0042194D">
            <w:pPr>
              <w:autoSpaceDE w:val="0"/>
              <w:autoSpaceDN w:val="0"/>
              <w:adjustRightInd w:val="0"/>
              <w:rPr>
                <w:rFonts w:ascii="TimesNewRomanPSMT" w:hAnsi="TimesNewRomanPSMT" w:cs="TimesNewRomanPSMT"/>
                <w:b/>
              </w:rPr>
            </w:pPr>
          </w:p>
        </w:tc>
      </w:tr>
      <w:tr w:rsidR="00E71C51" w:rsidTr="009D257B">
        <w:tc>
          <w:tcPr>
            <w:tcW w:w="7038" w:type="dxa"/>
            <w:tcBorders>
              <w:top w:val="single" w:sz="4" w:space="0" w:color="auto"/>
              <w:left w:val="single" w:sz="4" w:space="0" w:color="auto"/>
              <w:bottom w:val="single" w:sz="4" w:space="0" w:color="auto"/>
              <w:right w:val="single" w:sz="4" w:space="0" w:color="auto"/>
            </w:tcBorders>
          </w:tcPr>
          <w:p w:rsidR="00E71C51" w:rsidRPr="00A6574F" w:rsidRDefault="00E71C51" w:rsidP="00A55B5B">
            <w:pPr>
              <w:autoSpaceDE w:val="0"/>
              <w:autoSpaceDN w:val="0"/>
              <w:adjustRightInd w:val="0"/>
            </w:pPr>
            <w:r w:rsidRPr="00A6574F">
              <w:rPr>
                <w:i/>
                <w:iCs/>
              </w:rPr>
              <w:t>Regulations of Connecticut State Agencies (RCSA), section 22a-174-19a</w:t>
            </w:r>
            <w:r w:rsidRPr="00A6574F">
              <w:t>, limiting the SO</w:t>
            </w:r>
            <w:r w:rsidRPr="00A6574F">
              <w:rPr>
                <w:vertAlign w:val="subscript"/>
              </w:rPr>
              <w:t>2</w:t>
            </w:r>
            <w:r w:rsidRPr="00A6574F">
              <w:t xml:space="preserve"> emission rate to 0.33 lb/MMBtu for fossil-fuel-fired EGUs greater than 15 MW that are also Title IV sources .</w:t>
            </w:r>
          </w:p>
        </w:tc>
        <w:tc>
          <w:tcPr>
            <w:tcW w:w="2420" w:type="dxa"/>
            <w:tcBorders>
              <w:top w:val="single" w:sz="4" w:space="0" w:color="auto"/>
              <w:left w:val="single" w:sz="4" w:space="0" w:color="auto"/>
              <w:bottom w:val="single" w:sz="4" w:space="0" w:color="auto"/>
              <w:right w:val="single" w:sz="4" w:space="0" w:color="auto"/>
            </w:tcBorders>
          </w:tcPr>
          <w:p w:rsidR="00E71C51" w:rsidRDefault="002F6E38" w:rsidP="00A1046C">
            <w:pPr>
              <w:autoSpaceDE w:val="0"/>
              <w:autoSpaceDN w:val="0"/>
              <w:adjustRightInd w:val="0"/>
              <w:rPr>
                <w:rFonts w:ascii="TimesNewRomanPSMT" w:hAnsi="TimesNewRomanPSMT" w:cs="TimesNewRomanPSMT"/>
              </w:rPr>
            </w:pPr>
            <w:r>
              <w:t>Effective</w:t>
            </w:r>
            <w:r w:rsidR="00A55B5B" w:rsidRPr="00A6574F">
              <w:t xml:space="preserve"> 200</w:t>
            </w:r>
            <w:r w:rsidR="00A1046C">
              <w:t>3</w:t>
            </w:r>
          </w:p>
        </w:tc>
      </w:tr>
      <w:tr w:rsidR="00E71C51" w:rsidTr="009D257B">
        <w:tc>
          <w:tcPr>
            <w:tcW w:w="7038" w:type="dxa"/>
            <w:tcBorders>
              <w:top w:val="single" w:sz="4" w:space="0" w:color="auto"/>
              <w:left w:val="single" w:sz="4" w:space="0" w:color="auto"/>
              <w:bottom w:val="single" w:sz="4" w:space="0" w:color="auto"/>
              <w:right w:val="single" w:sz="4" w:space="0" w:color="auto"/>
            </w:tcBorders>
          </w:tcPr>
          <w:p w:rsidR="00E71C51" w:rsidRPr="00A6574F" w:rsidRDefault="00E71C51" w:rsidP="007A1BD7">
            <w:pPr>
              <w:autoSpaceDE w:val="0"/>
              <w:autoSpaceDN w:val="0"/>
              <w:adjustRightInd w:val="0"/>
            </w:pPr>
            <w:r w:rsidRPr="00A6574F">
              <w:rPr>
                <w:i/>
                <w:iCs/>
              </w:rPr>
              <w:t>RCSA, section 22a-174-22</w:t>
            </w:r>
            <w:r w:rsidRPr="00A6574F">
              <w:t>, limiting the non-ozone seasonal NO</w:t>
            </w:r>
            <w:r w:rsidR="007A1BD7" w:rsidRPr="007A1BD7">
              <w:rPr>
                <w:vertAlign w:val="subscript"/>
              </w:rPr>
              <w:t>X</w:t>
            </w:r>
            <w:r w:rsidRPr="00A6574F">
              <w:t xml:space="preserve"> emission rate to 0.15 lb/MMBtu for fossil-fuel-fired EGUs greater than 15 MW (effective, 2007).</w:t>
            </w:r>
          </w:p>
        </w:tc>
        <w:tc>
          <w:tcPr>
            <w:tcW w:w="2420" w:type="dxa"/>
            <w:tcBorders>
              <w:top w:val="single" w:sz="4" w:space="0" w:color="auto"/>
              <w:left w:val="single" w:sz="4" w:space="0" w:color="auto"/>
              <w:bottom w:val="single" w:sz="4" w:space="0" w:color="auto"/>
              <w:right w:val="single" w:sz="4" w:space="0" w:color="auto"/>
            </w:tcBorders>
          </w:tcPr>
          <w:p w:rsidR="00E71C51" w:rsidRDefault="002F6E38" w:rsidP="00A1046C">
            <w:pPr>
              <w:autoSpaceDE w:val="0"/>
              <w:autoSpaceDN w:val="0"/>
              <w:adjustRightInd w:val="0"/>
              <w:rPr>
                <w:rFonts w:ascii="TimesNewRomanPSMT" w:hAnsi="TimesNewRomanPSMT" w:cs="TimesNewRomanPSMT"/>
              </w:rPr>
            </w:pPr>
            <w:r>
              <w:t>Effective</w:t>
            </w:r>
            <w:r w:rsidR="00A55B5B" w:rsidRPr="00A6574F">
              <w:t xml:space="preserve"> 200</w:t>
            </w:r>
            <w:r w:rsidR="00A1046C">
              <w:t>3</w:t>
            </w:r>
          </w:p>
        </w:tc>
      </w:tr>
      <w:tr w:rsidR="00E71C51" w:rsidTr="009D257B">
        <w:tc>
          <w:tcPr>
            <w:tcW w:w="7038" w:type="dxa"/>
            <w:tcBorders>
              <w:top w:val="single" w:sz="4" w:space="0" w:color="auto"/>
              <w:left w:val="single" w:sz="4" w:space="0" w:color="auto"/>
              <w:bottom w:val="single" w:sz="4" w:space="0" w:color="auto"/>
              <w:right w:val="single" w:sz="4" w:space="0" w:color="auto"/>
            </w:tcBorders>
          </w:tcPr>
          <w:p w:rsidR="00E71C51" w:rsidRPr="00A6574F" w:rsidRDefault="004330FE" w:rsidP="004330FE">
            <w:pPr>
              <w:autoSpaceDE w:val="0"/>
              <w:autoSpaceDN w:val="0"/>
              <w:adjustRightInd w:val="0"/>
            </w:pPr>
            <w:r>
              <w:rPr>
                <w:rFonts w:asciiTheme="minorHAnsi" w:hAnsiTheme="minorHAnsi"/>
                <w:i/>
                <w:iCs/>
              </w:rPr>
              <w:lastRenderedPageBreak/>
              <w:t>Connecticut General Statutes</w:t>
            </w:r>
            <w:r w:rsidR="00E71C51" w:rsidRPr="00E34754">
              <w:rPr>
                <w:rFonts w:asciiTheme="minorHAnsi" w:hAnsiTheme="minorHAnsi"/>
                <w:i/>
                <w:iCs/>
              </w:rPr>
              <w:t>, section 22a-199</w:t>
            </w:r>
            <w:r w:rsidR="00E71C51" w:rsidRPr="00E34754">
              <w:rPr>
                <w:rFonts w:asciiTheme="minorHAnsi" w:hAnsiTheme="minorHAnsi"/>
              </w:rPr>
              <w:t>,</w:t>
            </w:r>
            <w:r w:rsidR="00E71C51" w:rsidRPr="00A6574F">
              <w:t xml:space="preserve"> limiting the mercury (Hg) emission rate to 0.0000006 lb/MMBtu for all coal-fired EGUs or alternatively coal-fired EGUs can meet a 90% Hg emission </w:t>
            </w:r>
            <w:r w:rsidR="00150C05" w:rsidRPr="00A6574F">
              <w:t>reduction.</w:t>
            </w:r>
          </w:p>
        </w:tc>
        <w:tc>
          <w:tcPr>
            <w:tcW w:w="2420" w:type="dxa"/>
            <w:tcBorders>
              <w:top w:val="single" w:sz="4" w:space="0" w:color="auto"/>
              <w:left w:val="single" w:sz="4" w:space="0" w:color="auto"/>
              <w:bottom w:val="single" w:sz="4" w:space="0" w:color="auto"/>
              <w:right w:val="single" w:sz="4" w:space="0" w:color="auto"/>
            </w:tcBorders>
          </w:tcPr>
          <w:p w:rsidR="00E71C51" w:rsidRDefault="002F6E38" w:rsidP="002F6E38">
            <w:pPr>
              <w:autoSpaceDE w:val="0"/>
              <w:autoSpaceDN w:val="0"/>
              <w:adjustRightInd w:val="0"/>
              <w:rPr>
                <w:rFonts w:ascii="TimesNewRomanPSMT" w:hAnsi="TimesNewRomanPSMT" w:cs="TimesNewRomanPSMT"/>
              </w:rPr>
            </w:pPr>
            <w:r>
              <w:t>Effective</w:t>
            </w:r>
            <w:r w:rsidR="00021121" w:rsidRPr="00A6574F">
              <w:t xml:space="preserve"> 200</w:t>
            </w:r>
            <w:r w:rsidR="00021121">
              <w:t>8</w:t>
            </w:r>
          </w:p>
        </w:tc>
      </w:tr>
      <w:tr w:rsidR="00E71C51" w:rsidRPr="00254E53" w:rsidTr="009D257B">
        <w:tc>
          <w:tcPr>
            <w:tcW w:w="7038" w:type="dxa"/>
            <w:tcBorders>
              <w:top w:val="single" w:sz="4" w:space="0" w:color="auto"/>
              <w:left w:val="single" w:sz="4" w:space="0" w:color="auto"/>
              <w:bottom w:val="single" w:sz="4" w:space="0" w:color="auto"/>
              <w:right w:val="single" w:sz="4" w:space="0" w:color="auto"/>
            </w:tcBorders>
          </w:tcPr>
          <w:p w:rsidR="00E71C51" w:rsidRPr="00254E53" w:rsidRDefault="00E71C51" w:rsidP="0042194D">
            <w:pPr>
              <w:autoSpaceDE w:val="0"/>
              <w:autoSpaceDN w:val="0"/>
              <w:adjustRightInd w:val="0"/>
              <w:rPr>
                <w:rFonts w:asciiTheme="minorHAnsi" w:hAnsiTheme="minorHAnsi"/>
                <w:b/>
                <w:iCs/>
              </w:rPr>
            </w:pPr>
            <w:r w:rsidRPr="00254E53">
              <w:rPr>
                <w:rFonts w:asciiTheme="minorHAnsi" w:hAnsiTheme="minorHAnsi"/>
                <w:b/>
                <w:iCs/>
              </w:rPr>
              <w:t>Delaware</w:t>
            </w:r>
          </w:p>
        </w:tc>
        <w:tc>
          <w:tcPr>
            <w:tcW w:w="2420" w:type="dxa"/>
            <w:tcBorders>
              <w:top w:val="single" w:sz="4" w:space="0" w:color="auto"/>
              <w:left w:val="single" w:sz="4" w:space="0" w:color="auto"/>
              <w:bottom w:val="single" w:sz="4" w:space="0" w:color="auto"/>
              <w:right w:val="single" w:sz="4" w:space="0" w:color="auto"/>
            </w:tcBorders>
          </w:tcPr>
          <w:p w:rsidR="00E71C51" w:rsidRPr="00254E53" w:rsidRDefault="00E71C51" w:rsidP="0042194D">
            <w:pPr>
              <w:autoSpaceDE w:val="0"/>
              <w:autoSpaceDN w:val="0"/>
              <w:adjustRightInd w:val="0"/>
              <w:rPr>
                <w:rFonts w:ascii="TimesNewRomanPSMT" w:hAnsi="TimesNewRomanPSMT" w:cs="TimesNewRomanPSMT"/>
                <w:b/>
              </w:rPr>
            </w:pPr>
          </w:p>
        </w:tc>
      </w:tr>
      <w:tr w:rsidR="00E71C51" w:rsidTr="009D257B">
        <w:tc>
          <w:tcPr>
            <w:tcW w:w="7038" w:type="dxa"/>
            <w:tcBorders>
              <w:top w:val="single" w:sz="4" w:space="0" w:color="auto"/>
              <w:left w:val="single" w:sz="4" w:space="0" w:color="auto"/>
              <w:bottom w:val="single" w:sz="4" w:space="0" w:color="auto"/>
              <w:right w:val="single" w:sz="4" w:space="0" w:color="auto"/>
            </w:tcBorders>
          </w:tcPr>
          <w:p w:rsidR="00E71C51" w:rsidRPr="00A6574F" w:rsidRDefault="00E71C51" w:rsidP="004330FE">
            <w:pPr>
              <w:autoSpaceDE w:val="0"/>
              <w:autoSpaceDN w:val="0"/>
              <w:adjustRightInd w:val="0"/>
              <w:rPr>
                <w:i/>
                <w:iCs/>
              </w:rPr>
            </w:pPr>
            <w:r w:rsidRPr="00E34754">
              <w:rPr>
                <w:rFonts w:asciiTheme="minorHAnsi" w:hAnsiTheme="minorHAnsi"/>
                <w:i/>
                <w:iCs/>
              </w:rPr>
              <w:t>Reg. 1144, Control of Stationary Generator Emissions</w:t>
            </w:r>
            <w:r w:rsidRPr="00E34754">
              <w:rPr>
                <w:rFonts w:asciiTheme="minorHAnsi" w:hAnsiTheme="minorHAnsi"/>
              </w:rPr>
              <w:t>,</w:t>
            </w:r>
            <w:r w:rsidRPr="00A6574F">
              <w:t xml:space="preserve"> requiring emission controls for SO</w:t>
            </w:r>
            <w:r w:rsidRPr="00A6574F">
              <w:rPr>
                <w:vertAlign w:val="subscript"/>
              </w:rPr>
              <w:t>2</w:t>
            </w:r>
            <w:r w:rsidRPr="00A6574F">
              <w:t xml:space="preserve">, PM, VOC, and </w:t>
            </w:r>
            <w:r w:rsidR="007A1BD7" w:rsidRPr="007A1BD7">
              <w:t>NO</w:t>
            </w:r>
            <w:r w:rsidR="007A1BD7" w:rsidRPr="007A1BD7">
              <w:rPr>
                <w:vertAlign w:val="subscript"/>
              </w:rPr>
              <w:t>X</w:t>
            </w:r>
            <w:r w:rsidRPr="00A6574F">
              <w:t xml:space="preserve"> state-wide.</w:t>
            </w:r>
          </w:p>
        </w:tc>
        <w:tc>
          <w:tcPr>
            <w:tcW w:w="2420" w:type="dxa"/>
            <w:tcBorders>
              <w:top w:val="single" w:sz="4" w:space="0" w:color="auto"/>
              <w:left w:val="single" w:sz="4" w:space="0" w:color="auto"/>
              <w:bottom w:val="single" w:sz="4" w:space="0" w:color="auto"/>
              <w:right w:val="single" w:sz="4" w:space="0" w:color="auto"/>
            </w:tcBorders>
          </w:tcPr>
          <w:p w:rsidR="00E71C51" w:rsidRDefault="002F6E38" w:rsidP="002F6E38">
            <w:pPr>
              <w:autoSpaceDE w:val="0"/>
              <w:autoSpaceDN w:val="0"/>
              <w:adjustRightInd w:val="0"/>
              <w:rPr>
                <w:rFonts w:ascii="TimesNewRomanPSMT" w:hAnsi="TimesNewRomanPSMT" w:cs="TimesNewRomanPSMT"/>
              </w:rPr>
            </w:pPr>
            <w:r>
              <w:t>E</w:t>
            </w:r>
            <w:r w:rsidR="00021121">
              <w:t>ffective January</w:t>
            </w:r>
            <w:r w:rsidR="00021121" w:rsidRPr="00A6574F">
              <w:t xml:space="preserve"> 200</w:t>
            </w:r>
            <w:r w:rsidR="00021121">
              <w:t>6</w:t>
            </w:r>
          </w:p>
        </w:tc>
      </w:tr>
      <w:tr w:rsidR="00E71C51" w:rsidTr="009D257B">
        <w:tc>
          <w:tcPr>
            <w:tcW w:w="7038" w:type="dxa"/>
            <w:tcBorders>
              <w:top w:val="single" w:sz="4" w:space="0" w:color="auto"/>
              <w:left w:val="single" w:sz="4" w:space="0" w:color="auto"/>
              <w:bottom w:val="single" w:sz="4" w:space="0" w:color="auto"/>
              <w:right w:val="single" w:sz="4" w:space="0" w:color="auto"/>
            </w:tcBorders>
          </w:tcPr>
          <w:p w:rsidR="00E71C51" w:rsidRPr="00A6574F" w:rsidRDefault="00E71C51" w:rsidP="003872D9">
            <w:pPr>
              <w:autoSpaceDE w:val="0"/>
              <w:autoSpaceDN w:val="0"/>
              <w:adjustRightInd w:val="0"/>
            </w:pPr>
            <w:r w:rsidRPr="00E34754">
              <w:rPr>
                <w:rFonts w:asciiTheme="minorHAnsi" w:hAnsiTheme="minorHAnsi"/>
                <w:i/>
                <w:iCs/>
              </w:rPr>
              <w:t>Reg. 1146, Electric Generating Unit (EGU) Multi-Pollutant Regulation,</w:t>
            </w:r>
            <w:r w:rsidRPr="00A6574F">
              <w:rPr>
                <w:i/>
                <w:iCs/>
              </w:rPr>
              <w:t xml:space="preserve"> </w:t>
            </w:r>
            <w:r w:rsidRPr="00A6574F">
              <w:t>requiring SO</w:t>
            </w:r>
            <w:r w:rsidRPr="00A6574F">
              <w:rPr>
                <w:vertAlign w:val="subscript"/>
              </w:rPr>
              <w:t>2</w:t>
            </w:r>
            <w:r w:rsidRPr="00A6574F">
              <w:t xml:space="preserve"> and </w:t>
            </w:r>
            <w:r w:rsidR="007A1BD7" w:rsidRPr="007A1BD7">
              <w:t>NO</w:t>
            </w:r>
            <w:r w:rsidR="007A1BD7" w:rsidRPr="007A1BD7">
              <w:rPr>
                <w:vertAlign w:val="subscript"/>
              </w:rPr>
              <w:t>X</w:t>
            </w:r>
            <w:r w:rsidRPr="00A6574F">
              <w:t xml:space="preserve"> emission controls state-wide. SO</w:t>
            </w:r>
            <w:r w:rsidRPr="00A6574F">
              <w:rPr>
                <w:vertAlign w:val="subscript"/>
              </w:rPr>
              <w:t>2</w:t>
            </w:r>
            <w:r w:rsidRPr="00A6574F">
              <w:t xml:space="preserve"> reductions will be more than regulation specifies</w:t>
            </w:r>
            <w:r w:rsidR="00A026E6">
              <w:t>.</w:t>
            </w:r>
            <w:r w:rsidRPr="00A6574F">
              <w:t xml:space="preserve"> </w:t>
            </w:r>
          </w:p>
        </w:tc>
        <w:tc>
          <w:tcPr>
            <w:tcW w:w="2420" w:type="dxa"/>
            <w:tcBorders>
              <w:top w:val="single" w:sz="4" w:space="0" w:color="auto"/>
              <w:left w:val="single" w:sz="4" w:space="0" w:color="auto"/>
              <w:bottom w:val="single" w:sz="4" w:space="0" w:color="auto"/>
              <w:right w:val="single" w:sz="4" w:space="0" w:color="auto"/>
            </w:tcBorders>
          </w:tcPr>
          <w:p w:rsidR="00E71C51" w:rsidRDefault="002F6E38" w:rsidP="002F6E38">
            <w:pPr>
              <w:autoSpaceDE w:val="0"/>
              <w:autoSpaceDN w:val="0"/>
              <w:adjustRightInd w:val="0"/>
              <w:rPr>
                <w:rFonts w:ascii="TimesNewRomanPSMT" w:hAnsi="TimesNewRomanPSMT" w:cs="TimesNewRomanPSMT"/>
              </w:rPr>
            </w:pPr>
            <w:r>
              <w:t>E</w:t>
            </w:r>
            <w:r w:rsidR="00021121">
              <w:t>ffective December</w:t>
            </w:r>
            <w:r w:rsidR="00021121" w:rsidRPr="00A6574F">
              <w:t xml:space="preserve"> 200</w:t>
            </w:r>
            <w:r w:rsidR="00021121">
              <w:t>7</w:t>
            </w:r>
          </w:p>
        </w:tc>
      </w:tr>
      <w:tr w:rsidR="00E71C51" w:rsidTr="009D257B">
        <w:tc>
          <w:tcPr>
            <w:tcW w:w="7038" w:type="dxa"/>
            <w:tcBorders>
              <w:top w:val="single" w:sz="4" w:space="0" w:color="auto"/>
              <w:left w:val="single" w:sz="4" w:space="0" w:color="auto"/>
              <w:bottom w:val="single" w:sz="4" w:space="0" w:color="auto"/>
              <w:right w:val="single" w:sz="4" w:space="0" w:color="auto"/>
            </w:tcBorders>
          </w:tcPr>
          <w:p w:rsidR="00E71C51" w:rsidRPr="00A6574F" w:rsidRDefault="00E71C51" w:rsidP="003872D9">
            <w:pPr>
              <w:autoSpaceDE w:val="0"/>
              <w:autoSpaceDN w:val="0"/>
              <w:adjustRightInd w:val="0"/>
              <w:rPr>
                <w:i/>
                <w:iCs/>
              </w:rPr>
            </w:pPr>
            <w:r w:rsidRPr="00E34754">
              <w:rPr>
                <w:rFonts w:asciiTheme="minorHAnsi" w:hAnsiTheme="minorHAnsi"/>
                <w:i/>
                <w:iCs/>
              </w:rPr>
              <w:t>Reg. 1148, Control of Stationary Combustion Turbine Electric Generating Unit Emissions</w:t>
            </w:r>
            <w:r w:rsidRPr="00E34754">
              <w:rPr>
                <w:rFonts w:asciiTheme="minorHAnsi" w:hAnsiTheme="minorHAnsi"/>
              </w:rPr>
              <w:t>,</w:t>
            </w:r>
            <w:r w:rsidRPr="00A6574F">
              <w:t xml:space="preserve"> requiring SO</w:t>
            </w:r>
            <w:r w:rsidRPr="00A6574F">
              <w:rPr>
                <w:vertAlign w:val="subscript"/>
              </w:rPr>
              <w:t>2</w:t>
            </w:r>
            <w:r w:rsidRPr="00A6574F">
              <w:t xml:space="preserve">, </w:t>
            </w:r>
            <w:r w:rsidR="007A1BD7" w:rsidRPr="007A1BD7">
              <w:t>NO</w:t>
            </w:r>
            <w:r w:rsidR="007A1BD7" w:rsidRPr="007A1BD7">
              <w:rPr>
                <w:vertAlign w:val="subscript"/>
              </w:rPr>
              <w:t>X</w:t>
            </w:r>
            <w:r w:rsidRPr="00A6574F">
              <w:t>, and PM</w:t>
            </w:r>
            <w:r w:rsidRPr="00A6574F">
              <w:rPr>
                <w:vertAlign w:val="subscript"/>
              </w:rPr>
              <w:t>2.5</w:t>
            </w:r>
            <w:r w:rsidRPr="00A6574F">
              <w:t xml:space="preserve"> emission controls state-wide.</w:t>
            </w:r>
          </w:p>
        </w:tc>
        <w:tc>
          <w:tcPr>
            <w:tcW w:w="2420" w:type="dxa"/>
            <w:tcBorders>
              <w:top w:val="single" w:sz="4" w:space="0" w:color="auto"/>
              <w:left w:val="single" w:sz="4" w:space="0" w:color="auto"/>
              <w:bottom w:val="single" w:sz="4" w:space="0" w:color="auto"/>
              <w:right w:val="single" w:sz="4" w:space="0" w:color="auto"/>
            </w:tcBorders>
          </w:tcPr>
          <w:p w:rsidR="00E71C51" w:rsidRDefault="002F6E38" w:rsidP="002F6E38">
            <w:pPr>
              <w:autoSpaceDE w:val="0"/>
              <w:autoSpaceDN w:val="0"/>
              <w:adjustRightInd w:val="0"/>
              <w:rPr>
                <w:rFonts w:ascii="TimesNewRomanPSMT" w:hAnsi="TimesNewRomanPSMT" w:cs="TimesNewRomanPSMT"/>
              </w:rPr>
            </w:pPr>
            <w:r>
              <w:t>E</w:t>
            </w:r>
            <w:r w:rsidR="00021121" w:rsidRPr="00A6574F">
              <w:t>ffective</w:t>
            </w:r>
            <w:r w:rsidR="00021121">
              <w:t xml:space="preserve"> January</w:t>
            </w:r>
            <w:r w:rsidR="00021121" w:rsidRPr="00A6574F">
              <w:t xml:space="preserve"> 200</w:t>
            </w:r>
            <w:r w:rsidR="00021121">
              <w:t>7</w:t>
            </w:r>
          </w:p>
        </w:tc>
      </w:tr>
      <w:tr w:rsidR="00E71C51" w:rsidRPr="00254E53" w:rsidTr="009D257B">
        <w:tc>
          <w:tcPr>
            <w:tcW w:w="7038" w:type="dxa"/>
            <w:tcBorders>
              <w:top w:val="single" w:sz="4" w:space="0" w:color="auto"/>
              <w:left w:val="single" w:sz="4" w:space="0" w:color="auto"/>
              <w:bottom w:val="single" w:sz="4" w:space="0" w:color="auto"/>
              <w:right w:val="single" w:sz="4" w:space="0" w:color="auto"/>
            </w:tcBorders>
          </w:tcPr>
          <w:p w:rsidR="00E71C51" w:rsidRPr="00254E53" w:rsidRDefault="00E71C51" w:rsidP="0042194D">
            <w:pPr>
              <w:autoSpaceDE w:val="0"/>
              <w:autoSpaceDN w:val="0"/>
              <w:adjustRightInd w:val="0"/>
              <w:rPr>
                <w:rFonts w:asciiTheme="minorHAnsi" w:hAnsiTheme="minorHAnsi"/>
                <w:b/>
              </w:rPr>
            </w:pPr>
            <w:r w:rsidRPr="00254E53">
              <w:rPr>
                <w:rFonts w:asciiTheme="minorHAnsi" w:hAnsiTheme="minorHAnsi"/>
                <w:b/>
              </w:rPr>
              <w:t>Maine</w:t>
            </w:r>
          </w:p>
        </w:tc>
        <w:tc>
          <w:tcPr>
            <w:tcW w:w="2420" w:type="dxa"/>
            <w:tcBorders>
              <w:top w:val="single" w:sz="4" w:space="0" w:color="auto"/>
              <w:left w:val="single" w:sz="4" w:space="0" w:color="auto"/>
              <w:bottom w:val="single" w:sz="4" w:space="0" w:color="auto"/>
              <w:right w:val="single" w:sz="4" w:space="0" w:color="auto"/>
            </w:tcBorders>
          </w:tcPr>
          <w:p w:rsidR="00E71C51" w:rsidRPr="00254E53" w:rsidRDefault="00E71C51" w:rsidP="0042194D">
            <w:pPr>
              <w:autoSpaceDE w:val="0"/>
              <w:autoSpaceDN w:val="0"/>
              <w:adjustRightInd w:val="0"/>
              <w:rPr>
                <w:rFonts w:ascii="TimesNewRomanPSMT" w:hAnsi="TimesNewRomanPSMT" w:cs="TimesNewRomanPSMT"/>
                <w:b/>
              </w:rPr>
            </w:pPr>
          </w:p>
        </w:tc>
      </w:tr>
      <w:tr w:rsidR="00E71C51" w:rsidTr="009D257B">
        <w:tc>
          <w:tcPr>
            <w:tcW w:w="7038" w:type="dxa"/>
            <w:tcBorders>
              <w:top w:val="single" w:sz="4" w:space="0" w:color="auto"/>
              <w:left w:val="single" w:sz="4" w:space="0" w:color="auto"/>
              <w:bottom w:val="single" w:sz="4" w:space="0" w:color="auto"/>
              <w:right w:val="single" w:sz="4" w:space="0" w:color="auto"/>
            </w:tcBorders>
          </w:tcPr>
          <w:p w:rsidR="00E71C51" w:rsidRPr="00A6574F" w:rsidRDefault="00E71C51" w:rsidP="003872D9">
            <w:pPr>
              <w:autoSpaceDE w:val="0"/>
              <w:autoSpaceDN w:val="0"/>
              <w:adjustRightInd w:val="0"/>
            </w:pPr>
            <w:r w:rsidRPr="00E34754">
              <w:rPr>
                <w:rFonts w:asciiTheme="minorHAnsi" w:hAnsiTheme="minorHAnsi"/>
                <w:i/>
                <w:iCs/>
              </w:rPr>
              <w:t xml:space="preserve">Chapter 145, </w:t>
            </w:r>
            <w:r w:rsidR="007A1BD7" w:rsidRPr="00E34754">
              <w:rPr>
                <w:rFonts w:asciiTheme="minorHAnsi" w:hAnsiTheme="minorHAnsi"/>
                <w:i/>
              </w:rPr>
              <w:t>NO</w:t>
            </w:r>
            <w:r w:rsidR="007A1BD7" w:rsidRPr="00E34754">
              <w:rPr>
                <w:rFonts w:asciiTheme="minorHAnsi" w:hAnsiTheme="minorHAnsi"/>
                <w:i/>
                <w:vertAlign w:val="subscript"/>
              </w:rPr>
              <w:t>X</w:t>
            </w:r>
            <w:r w:rsidRPr="00E34754">
              <w:rPr>
                <w:rFonts w:asciiTheme="minorHAnsi" w:hAnsiTheme="minorHAnsi"/>
                <w:i/>
                <w:iCs/>
              </w:rPr>
              <w:t xml:space="preserve"> Control Program</w:t>
            </w:r>
            <w:r w:rsidRPr="00E34754">
              <w:rPr>
                <w:rFonts w:asciiTheme="minorHAnsi" w:hAnsiTheme="minorHAnsi"/>
              </w:rPr>
              <w:t>,</w:t>
            </w:r>
            <w:r w:rsidRPr="00A6574F">
              <w:t xml:space="preserve"> limits the </w:t>
            </w:r>
            <w:r w:rsidR="007A1BD7" w:rsidRPr="007A1BD7">
              <w:t>NO</w:t>
            </w:r>
            <w:r w:rsidR="007A1BD7" w:rsidRPr="007A1BD7">
              <w:rPr>
                <w:vertAlign w:val="subscript"/>
              </w:rPr>
              <w:t>X</w:t>
            </w:r>
            <w:r w:rsidRPr="00A6574F">
              <w:t xml:space="preserve"> emission rate to 0.22 lb/MMBtu for fossil-fuel-fired units greater than 25 MW built before 1995 with a heat input capacity between 250 and 750 MMBtu/hr, and also limits the </w:t>
            </w:r>
            <w:r w:rsidR="007A1BD7" w:rsidRPr="007A1BD7">
              <w:t>NO</w:t>
            </w:r>
            <w:r w:rsidR="007A1BD7" w:rsidRPr="007A1BD7">
              <w:rPr>
                <w:vertAlign w:val="subscript"/>
              </w:rPr>
              <w:t>X</w:t>
            </w:r>
            <w:r w:rsidRPr="00A6574F">
              <w:t xml:space="preserve"> emission rate to 0.15 lb/MMBtu for fossil-fuel-fired units greater than 25 MW built before 1995 with a heat input capacity greater than 750 MMBtu/</w:t>
            </w:r>
            <w:r w:rsidR="00150C05" w:rsidRPr="00A6574F">
              <w:t>hr.</w:t>
            </w:r>
          </w:p>
        </w:tc>
        <w:tc>
          <w:tcPr>
            <w:tcW w:w="2420" w:type="dxa"/>
            <w:tcBorders>
              <w:top w:val="single" w:sz="4" w:space="0" w:color="auto"/>
              <w:left w:val="single" w:sz="4" w:space="0" w:color="auto"/>
              <w:bottom w:val="single" w:sz="4" w:space="0" w:color="auto"/>
              <w:right w:val="single" w:sz="4" w:space="0" w:color="auto"/>
            </w:tcBorders>
          </w:tcPr>
          <w:p w:rsidR="00E71C51" w:rsidRDefault="002F6E38" w:rsidP="002F6E38">
            <w:pPr>
              <w:autoSpaceDE w:val="0"/>
              <w:autoSpaceDN w:val="0"/>
              <w:adjustRightInd w:val="0"/>
              <w:rPr>
                <w:rFonts w:ascii="TimesNewRomanPSMT" w:hAnsi="TimesNewRomanPSMT" w:cs="TimesNewRomanPSMT"/>
              </w:rPr>
            </w:pPr>
            <w:r>
              <w:t>Effective</w:t>
            </w:r>
            <w:r w:rsidR="00021121" w:rsidRPr="00A6574F">
              <w:t xml:space="preserve"> 200</w:t>
            </w:r>
            <w:r w:rsidR="00021121">
              <w:t>7</w:t>
            </w:r>
          </w:p>
        </w:tc>
      </w:tr>
      <w:tr w:rsidR="00E71C51" w:rsidRPr="00254E53" w:rsidTr="009D257B">
        <w:tc>
          <w:tcPr>
            <w:tcW w:w="7038" w:type="dxa"/>
            <w:tcBorders>
              <w:top w:val="single" w:sz="4" w:space="0" w:color="auto"/>
              <w:left w:val="single" w:sz="4" w:space="0" w:color="auto"/>
              <w:bottom w:val="single" w:sz="4" w:space="0" w:color="auto"/>
              <w:right w:val="single" w:sz="4" w:space="0" w:color="auto"/>
            </w:tcBorders>
          </w:tcPr>
          <w:p w:rsidR="00E71C51" w:rsidRPr="00254E53" w:rsidRDefault="00E71C51" w:rsidP="0042194D">
            <w:pPr>
              <w:autoSpaceDE w:val="0"/>
              <w:autoSpaceDN w:val="0"/>
              <w:adjustRightInd w:val="0"/>
              <w:rPr>
                <w:rFonts w:asciiTheme="minorHAnsi" w:hAnsiTheme="minorHAnsi"/>
                <w:b/>
              </w:rPr>
            </w:pPr>
            <w:r w:rsidRPr="00254E53">
              <w:rPr>
                <w:rFonts w:asciiTheme="minorHAnsi" w:hAnsiTheme="minorHAnsi"/>
                <w:b/>
              </w:rPr>
              <w:t>Massachusetts</w:t>
            </w:r>
          </w:p>
        </w:tc>
        <w:tc>
          <w:tcPr>
            <w:tcW w:w="2420" w:type="dxa"/>
            <w:tcBorders>
              <w:top w:val="single" w:sz="4" w:space="0" w:color="auto"/>
              <w:left w:val="single" w:sz="4" w:space="0" w:color="auto"/>
              <w:bottom w:val="single" w:sz="4" w:space="0" w:color="auto"/>
              <w:right w:val="single" w:sz="4" w:space="0" w:color="auto"/>
            </w:tcBorders>
          </w:tcPr>
          <w:p w:rsidR="00E71C51" w:rsidRPr="00254E53" w:rsidRDefault="00E71C51" w:rsidP="0042194D">
            <w:pPr>
              <w:autoSpaceDE w:val="0"/>
              <w:autoSpaceDN w:val="0"/>
              <w:adjustRightInd w:val="0"/>
              <w:rPr>
                <w:rFonts w:ascii="TimesNewRomanPSMT" w:hAnsi="TimesNewRomanPSMT" w:cs="TimesNewRomanPSMT"/>
                <w:b/>
              </w:rPr>
            </w:pPr>
          </w:p>
        </w:tc>
      </w:tr>
      <w:tr w:rsidR="00E71C51" w:rsidTr="009D257B">
        <w:tc>
          <w:tcPr>
            <w:tcW w:w="7038" w:type="dxa"/>
            <w:tcBorders>
              <w:top w:val="single" w:sz="4" w:space="0" w:color="auto"/>
              <w:left w:val="single" w:sz="4" w:space="0" w:color="auto"/>
              <w:bottom w:val="single" w:sz="4" w:space="0" w:color="auto"/>
              <w:right w:val="single" w:sz="4" w:space="0" w:color="auto"/>
            </w:tcBorders>
          </w:tcPr>
          <w:p w:rsidR="00E71C51" w:rsidRPr="00A6574F" w:rsidRDefault="00E71C51" w:rsidP="0042194D">
            <w:pPr>
              <w:autoSpaceDE w:val="0"/>
              <w:autoSpaceDN w:val="0"/>
              <w:adjustRightInd w:val="0"/>
            </w:pPr>
            <w:r w:rsidRPr="00A6574F">
              <w:t xml:space="preserve">Based on the Massachusetts Department of Environmental Protection’s 310 CMR 7.29, </w:t>
            </w:r>
            <w:r w:rsidRPr="00A6574F">
              <w:rPr>
                <w:i/>
                <w:iCs/>
              </w:rPr>
              <w:t xml:space="preserve">Emissions Standards for Power Plants, </w:t>
            </w:r>
            <w:r w:rsidRPr="00A6574F">
              <w:t xml:space="preserve">adopted in 2001, six of the largest fossil-fuel-fired power plants in Massachusetts must comply with emissions limitations for </w:t>
            </w:r>
            <w:r w:rsidR="007A1BD7" w:rsidRPr="007A1BD7">
              <w:t>NO</w:t>
            </w:r>
            <w:r w:rsidR="007A1BD7" w:rsidRPr="007A1BD7">
              <w:rPr>
                <w:vertAlign w:val="subscript"/>
              </w:rPr>
              <w:t>X</w:t>
            </w:r>
            <w:r w:rsidRPr="00A6574F">
              <w:t>, SO</w:t>
            </w:r>
            <w:r w:rsidRPr="00A6574F">
              <w:rPr>
                <w:vertAlign w:val="subscript"/>
              </w:rPr>
              <w:t>2</w:t>
            </w:r>
            <w:r w:rsidRPr="00A6574F">
              <w:t>, Hg, and CO</w:t>
            </w:r>
            <w:r w:rsidRPr="00A6574F">
              <w:rPr>
                <w:vertAlign w:val="subscript"/>
              </w:rPr>
              <w:t>2</w:t>
            </w:r>
            <w:r w:rsidRPr="00A6574F">
              <w:t xml:space="preserve">. These regulations will achieve an approximately 50-percent reduction in </w:t>
            </w:r>
            <w:r w:rsidR="007A1BD7" w:rsidRPr="007A1BD7">
              <w:t>NO</w:t>
            </w:r>
            <w:r w:rsidR="007A1BD7" w:rsidRPr="007A1BD7">
              <w:rPr>
                <w:vertAlign w:val="subscript"/>
              </w:rPr>
              <w:t>X</w:t>
            </w:r>
            <w:r w:rsidRPr="00A6574F">
              <w:t xml:space="preserve"> emissions and a 50- to 75-percent reduction in SO</w:t>
            </w:r>
            <w:r w:rsidRPr="00A6574F">
              <w:rPr>
                <w:vertAlign w:val="subscript"/>
              </w:rPr>
              <w:t>2</w:t>
            </w:r>
            <w:r w:rsidRPr="00A6574F">
              <w:t xml:space="preserve"> emissions.</w:t>
            </w:r>
          </w:p>
          <w:p w:rsidR="00E71C51" w:rsidRPr="00A6574F" w:rsidRDefault="00E71C51" w:rsidP="00A6574F">
            <w:pPr>
              <w:autoSpaceDE w:val="0"/>
              <w:autoSpaceDN w:val="0"/>
              <w:adjustRightInd w:val="0"/>
            </w:pPr>
            <w:r w:rsidRPr="00A6574F">
              <w:t xml:space="preserve">Depending on the compliance paths selected, the affected facilities will meet the output-based </w:t>
            </w:r>
            <w:r w:rsidR="007A1BD7" w:rsidRPr="007A1BD7">
              <w:t>NO</w:t>
            </w:r>
            <w:r w:rsidR="007A1BD7" w:rsidRPr="007A1BD7">
              <w:rPr>
                <w:vertAlign w:val="subscript"/>
              </w:rPr>
              <w:t>X</w:t>
            </w:r>
            <w:r w:rsidRPr="00A6574F">
              <w:t xml:space="preserve"> and SO</w:t>
            </w:r>
            <w:r w:rsidRPr="00A6574F">
              <w:rPr>
                <w:vertAlign w:val="subscript"/>
              </w:rPr>
              <w:t>2</w:t>
            </w:r>
            <w:r w:rsidRPr="00A6574F">
              <w:t xml:space="preserve"> standards between 2004 and 2008. This regulation also limits the six grandfathered EGUs to a CO</w:t>
            </w:r>
            <w:r w:rsidRPr="00A6574F">
              <w:rPr>
                <w:vertAlign w:val="subscript"/>
              </w:rPr>
              <w:t>2</w:t>
            </w:r>
            <w:r w:rsidRPr="00A6574F">
              <w:t xml:space="preserve"> emission rate of 1,800 lb/MWh.</w:t>
            </w:r>
          </w:p>
        </w:tc>
        <w:tc>
          <w:tcPr>
            <w:tcW w:w="2420" w:type="dxa"/>
            <w:tcBorders>
              <w:top w:val="single" w:sz="4" w:space="0" w:color="auto"/>
              <w:left w:val="single" w:sz="4" w:space="0" w:color="auto"/>
              <w:bottom w:val="single" w:sz="4" w:space="0" w:color="auto"/>
              <w:right w:val="single" w:sz="4" w:space="0" w:color="auto"/>
            </w:tcBorders>
          </w:tcPr>
          <w:p w:rsidR="00E71C51" w:rsidRDefault="00017904" w:rsidP="0042194D">
            <w:pPr>
              <w:autoSpaceDE w:val="0"/>
              <w:autoSpaceDN w:val="0"/>
              <w:adjustRightInd w:val="0"/>
              <w:rPr>
                <w:rFonts w:ascii="TimesNewRomanPSMT" w:hAnsi="TimesNewRomanPSMT" w:cs="TimesNewRomanPSMT"/>
              </w:rPr>
            </w:pPr>
            <w:r>
              <w:rPr>
                <w:rFonts w:ascii="TimesNewRomanPSMT" w:hAnsi="TimesNewRomanPSMT" w:cs="TimesNewRomanPSMT"/>
              </w:rPr>
              <w:t>Effective between 2004 and 2008 depending on compliance path.</w:t>
            </w:r>
          </w:p>
        </w:tc>
      </w:tr>
      <w:tr w:rsidR="00E71C51" w:rsidRPr="00254E53" w:rsidTr="00791C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038" w:type="dxa"/>
          </w:tcPr>
          <w:p w:rsidR="00E71C51" w:rsidRPr="00254E53" w:rsidRDefault="00E71C51" w:rsidP="0042194D">
            <w:pPr>
              <w:autoSpaceDE w:val="0"/>
              <w:autoSpaceDN w:val="0"/>
              <w:adjustRightInd w:val="0"/>
              <w:rPr>
                <w:rFonts w:asciiTheme="minorHAnsi" w:hAnsiTheme="minorHAnsi"/>
                <w:b/>
              </w:rPr>
            </w:pPr>
            <w:r w:rsidRPr="00254E53">
              <w:rPr>
                <w:rFonts w:asciiTheme="minorHAnsi" w:hAnsiTheme="minorHAnsi"/>
                <w:b/>
              </w:rPr>
              <w:t>New Hampshire</w:t>
            </w:r>
          </w:p>
        </w:tc>
        <w:tc>
          <w:tcPr>
            <w:tcW w:w="2420" w:type="dxa"/>
          </w:tcPr>
          <w:p w:rsidR="00E71C51" w:rsidRPr="00254E53" w:rsidRDefault="00E71C51" w:rsidP="0042194D">
            <w:pPr>
              <w:autoSpaceDE w:val="0"/>
              <w:autoSpaceDN w:val="0"/>
              <w:adjustRightInd w:val="0"/>
              <w:rPr>
                <w:rFonts w:ascii="TimesNewRomanPSMT" w:hAnsi="TimesNewRomanPSMT" w:cs="TimesNewRomanPSMT"/>
                <w:b/>
              </w:rPr>
            </w:pPr>
          </w:p>
        </w:tc>
      </w:tr>
      <w:tr w:rsidR="00E71C51" w:rsidTr="00791C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038" w:type="dxa"/>
          </w:tcPr>
          <w:p w:rsidR="00E71C51" w:rsidRPr="00A6574F" w:rsidRDefault="00E71C51" w:rsidP="00D5211B">
            <w:pPr>
              <w:autoSpaceDE w:val="0"/>
              <w:autoSpaceDN w:val="0"/>
              <w:adjustRightInd w:val="0"/>
            </w:pPr>
            <w:r w:rsidRPr="00E34754">
              <w:rPr>
                <w:rFonts w:asciiTheme="minorHAnsi" w:hAnsiTheme="minorHAnsi"/>
                <w:i/>
                <w:iCs/>
              </w:rPr>
              <w:t xml:space="preserve">Chapter Env-A 2900, </w:t>
            </w:r>
            <w:r w:rsidR="00D5211B">
              <w:rPr>
                <w:rFonts w:asciiTheme="minorHAnsi" w:hAnsiTheme="minorHAnsi"/>
                <w:i/>
                <w:iCs/>
              </w:rPr>
              <w:t>Sulfur Dioxide and Nitrogen Oxides</w:t>
            </w:r>
            <w:r w:rsidRPr="00E34754">
              <w:rPr>
                <w:rFonts w:asciiTheme="minorHAnsi" w:hAnsiTheme="minorHAnsi"/>
                <w:i/>
                <w:iCs/>
              </w:rPr>
              <w:t xml:space="preserve"> Annual Budget Trading and Banking Program</w:t>
            </w:r>
            <w:r w:rsidRPr="00E34754">
              <w:rPr>
                <w:rFonts w:asciiTheme="minorHAnsi" w:hAnsiTheme="minorHAnsi"/>
              </w:rPr>
              <w:t>,</w:t>
            </w:r>
            <w:r w:rsidRPr="00A6574F">
              <w:t xml:space="preserve"> capping </w:t>
            </w:r>
            <w:r w:rsidR="007A1BD7" w:rsidRPr="007A1BD7">
              <w:t>NO</w:t>
            </w:r>
            <w:r w:rsidR="007A1BD7" w:rsidRPr="007A1BD7">
              <w:rPr>
                <w:vertAlign w:val="subscript"/>
              </w:rPr>
              <w:t>X</w:t>
            </w:r>
            <w:r w:rsidRPr="00A6574F">
              <w:t xml:space="preserve"> e</w:t>
            </w:r>
            <w:r w:rsidR="00D5211B">
              <w:t>missions at 3,644 tons per year and</w:t>
            </w:r>
            <w:r w:rsidRPr="00A6574F">
              <w:t xml:space="preserve"> SO</w:t>
            </w:r>
            <w:r w:rsidRPr="00A6574F">
              <w:rPr>
                <w:vertAlign w:val="subscript"/>
              </w:rPr>
              <w:t>2</w:t>
            </w:r>
            <w:r w:rsidRPr="00A6574F">
              <w:t xml:space="preserve"> emissions at 7,289 tons per year for all existing fossil-</w:t>
            </w:r>
            <w:r w:rsidR="007A33C0" w:rsidRPr="00A6574F">
              <w:t>fuel fired</w:t>
            </w:r>
            <w:r w:rsidRPr="00A6574F">
              <w:t xml:space="preserve"> steam units.</w:t>
            </w:r>
          </w:p>
        </w:tc>
        <w:tc>
          <w:tcPr>
            <w:tcW w:w="2420" w:type="dxa"/>
          </w:tcPr>
          <w:p w:rsidR="00E71C51" w:rsidRPr="00A6574F" w:rsidRDefault="002F6E38" w:rsidP="0042194D">
            <w:pPr>
              <w:autoSpaceDE w:val="0"/>
              <w:autoSpaceDN w:val="0"/>
              <w:adjustRightInd w:val="0"/>
            </w:pPr>
            <w:r>
              <w:t>Effective October 1, 2011</w:t>
            </w:r>
          </w:p>
        </w:tc>
      </w:tr>
      <w:tr w:rsidR="00E71C51" w:rsidTr="00791C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038" w:type="dxa"/>
          </w:tcPr>
          <w:p w:rsidR="00E71C51" w:rsidRPr="00A6574F" w:rsidRDefault="00E71C51" w:rsidP="009B2215">
            <w:pPr>
              <w:autoSpaceDE w:val="0"/>
              <w:autoSpaceDN w:val="0"/>
              <w:adjustRightInd w:val="0"/>
            </w:pPr>
            <w:r w:rsidRPr="00E34754">
              <w:rPr>
                <w:rFonts w:asciiTheme="minorHAnsi" w:hAnsiTheme="minorHAnsi"/>
                <w:i/>
                <w:iCs/>
              </w:rPr>
              <w:t>Chapter Env-A 3200</w:t>
            </w:r>
            <w:r w:rsidRPr="00E34754">
              <w:rPr>
                <w:rFonts w:asciiTheme="minorHAnsi" w:hAnsiTheme="minorHAnsi"/>
              </w:rPr>
              <w:t xml:space="preserve">, </w:t>
            </w:r>
            <w:r w:rsidR="007A1BD7" w:rsidRPr="00E34754">
              <w:rPr>
                <w:rFonts w:asciiTheme="minorHAnsi" w:hAnsiTheme="minorHAnsi"/>
                <w:i/>
              </w:rPr>
              <w:t>NO</w:t>
            </w:r>
            <w:r w:rsidR="007A1BD7" w:rsidRPr="00E34754">
              <w:rPr>
                <w:rFonts w:asciiTheme="minorHAnsi" w:hAnsiTheme="minorHAnsi"/>
                <w:i/>
                <w:vertAlign w:val="subscript"/>
              </w:rPr>
              <w:t>X</w:t>
            </w:r>
            <w:r w:rsidRPr="00E34754">
              <w:rPr>
                <w:rFonts w:asciiTheme="minorHAnsi" w:hAnsiTheme="minorHAnsi"/>
                <w:i/>
                <w:iCs/>
              </w:rPr>
              <w:t xml:space="preserve"> Budget Trading Program</w:t>
            </w:r>
            <w:r w:rsidRPr="00E34754">
              <w:rPr>
                <w:rFonts w:asciiTheme="minorHAnsi" w:hAnsiTheme="minorHAnsi"/>
              </w:rPr>
              <w:t>,</w:t>
            </w:r>
            <w:r w:rsidRPr="00A6574F">
              <w:t xml:space="preserve"> limiting ozone season </w:t>
            </w:r>
            <w:r w:rsidR="007A1BD7" w:rsidRPr="007A1BD7">
              <w:t>NO</w:t>
            </w:r>
            <w:r w:rsidR="007A1BD7" w:rsidRPr="007A1BD7">
              <w:rPr>
                <w:vertAlign w:val="subscript"/>
              </w:rPr>
              <w:t>X</w:t>
            </w:r>
            <w:r w:rsidRPr="00A6574F">
              <w:t xml:space="preserve"> emissions on all fossil-fuel-fired EGUs grea</w:t>
            </w:r>
            <w:r w:rsidR="009B2215">
              <w:t>ter than 15 MW to 0.15 lb/MMBtu</w:t>
            </w:r>
            <w:r w:rsidRPr="00A6574F">
              <w:t>.</w:t>
            </w:r>
          </w:p>
        </w:tc>
        <w:tc>
          <w:tcPr>
            <w:tcW w:w="2420" w:type="dxa"/>
          </w:tcPr>
          <w:p w:rsidR="00E71C51" w:rsidRPr="00A6574F" w:rsidRDefault="002F6E38" w:rsidP="0042194D">
            <w:pPr>
              <w:autoSpaceDE w:val="0"/>
              <w:autoSpaceDN w:val="0"/>
              <w:adjustRightInd w:val="0"/>
            </w:pPr>
            <w:r>
              <w:t>Effective November 2, 2007</w:t>
            </w:r>
          </w:p>
        </w:tc>
      </w:tr>
      <w:tr w:rsidR="00E71C51" w:rsidRPr="00254E53" w:rsidTr="00791C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038" w:type="dxa"/>
          </w:tcPr>
          <w:p w:rsidR="00E71C51" w:rsidRPr="00254E53" w:rsidRDefault="00E71C51" w:rsidP="0042194D">
            <w:pPr>
              <w:autoSpaceDE w:val="0"/>
              <w:autoSpaceDN w:val="0"/>
              <w:adjustRightInd w:val="0"/>
              <w:rPr>
                <w:rFonts w:asciiTheme="minorHAnsi" w:hAnsiTheme="minorHAnsi"/>
                <w:b/>
              </w:rPr>
            </w:pPr>
            <w:r w:rsidRPr="00254E53">
              <w:rPr>
                <w:rFonts w:asciiTheme="minorHAnsi" w:hAnsiTheme="minorHAnsi"/>
                <w:b/>
              </w:rPr>
              <w:lastRenderedPageBreak/>
              <w:t>New Jersey</w:t>
            </w:r>
          </w:p>
        </w:tc>
        <w:tc>
          <w:tcPr>
            <w:tcW w:w="2420" w:type="dxa"/>
          </w:tcPr>
          <w:p w:rsidR="00E71C51" w:rsidRPr="00254E53" w:rsidRDefault="00E71C51" w:rsidP="0042194D">
            <w:pPr>
              <w:autoSpaceDE w:val="0"/>
              <w:autoSpaceDN w:val="0"/>
              <w:adjustRightInd w:val="0"/>
              <w:rPr>
                <w:b/>
              </w:rPr>
            </w:pPr>
          </w:p>
        </w:tc>
      </w:tr>
      <w:tr w:rsidR="00E71C51" w:rsidTr="00791C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038" w:type="dxa"/>
          </w:tcPr>
          <w:p w:rsidR="00E71C51" w:rsidRPr="00A6574F" w:rsidRDefault="00E71C51" w:rsidP="0042194D">
            <w:pPr>
              <w:autoSpaceDE w:val="0"/>
              <w:autoSpaceDN w:val="0"/>
              <w:adjustRightInd w:val="0"/>
            </w:pPr>
            <w:r w:rsidRPr="00A6574F">
              <w:t>The New Jersey settlement agreement with PSEG required the following actions for specific EGUs:</w:t>
            </w:r>
          </w:p>
        </w:tc>
        <w:tc>
          <w:tcPr>
            <w:tcW w:w="2420" w:type="dxa"/>
          </w:tcPr>
          <w:p w:rsidR="00E71C51" w:rsidRPr="00A6574F" w:rsidRDefault="00E71C51" w:rsidP="0042194D">
            <w:pPr>
              <w:autoSpaceDE w:val="0"/>
              <w:autoSpaceDN w:val="0"/>
              <w:adjustRightInd w:val="0"/>
            </w:pPr>
          </w:p>
        </w:tc>
      </w:tr>
      <w:tr w:rsidR="00E71C51" w:rsidTr="00791C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038" w:type="dxa"/>
          </w:tcPr>
          <w:p w:rsidR="00E71C51" w:rsidRPr="00A6574F" w:rsidRDefault="00E71C51" w:rsidP="0042194D">
            <w:pPr>
              <w:autoSpaceDE w:val="0"/>
              <w:autoSpaceDN w:val="0"/>
              <w:adjustRightInd w:val="0"/>
            </w:pPr>
            <w:r w:rsidRPr="00E34754">
              <w:rPr>
                <w:rFonts w:asciiTheme="minorHAnsi" w:hAnsiTheme="minorHAnsi"/>
                <w:i/>
                <w:iCs/>
              </w:rPr>
              <w:t>Bergen Unit #2</w:t>
            </w:r>
            <w:r w:rsidRPr="00E34754">
              <w:rPr>
                <w:rFonts w:asciiTheme="minorHAnsi" w:hAnsiTheme="minorHAnsi"/>
              </w:rPr>
              <w:t>:</w:t>
            </w:r>
            <w:r w:rsidRPr="00A6574F">
              <w:t xml:space="preserve"> Repower to combined cycle by December 31, 2002.</w:t>
            </w:r>
          </w:p>
        </w:tc>
        <w:tc>
          <w:tcPr>
            <w:tcW w:w="2420" w:type="dxa"/>
          </w:tcPr>
          <w:p w:rsidR="00E71C51" w:rsidRPr="00A6574F" w:rsidRDefault="002F6E38" w:rsidP="0042194D">
            <w:pPr>
              <w:autoSpaceDE w:val="0"/>
              <w:autoSpaceDN w:val="0"/>
              <w:adjustRightInd w:val="0"/>
            </w:pPr>
            <w:r>
              <w:t>Effective December 31, 2002</w:t>
            </w:r>
          </w:p>
        </w:tc>
      </w:tr>
      <w:tr w:rsidR="00E71C51" w:rsidTr="00791C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038" w:type="dxa"/>
          </w:tcPr>
          <w:p w:rsidR="00E71C51" w:rsidRPr="00A6574F" w:rsidRDefault="00E71C51" w:rsidP="00F5361C">
            <w:pPr>
              <w:autoSpaceDE w:val="0"/>
              <w:autoSpaceDN w:val="0"/>
              <w:adjustRightInd w:val="0"/>
              <w:rPr>
                <w:i/>
                <w:iCs/>
              </w:rPr>
            </w:pPr>
            <w:r w:rsidRPr="00E34754">
              <w:rPr>
                <w:rFonts w:asciiTheme="minorHAnsi" w:hAnsiTheme="minorHAnsi"/>
                <w:i/>
                <w:iCs/>
              </w:rPr>
              <w:t>Hudson Unit #2</w:t>
            </w:r>
            <w:r w:rsidRPr="00E34754">
              <w:rPr>
                <w:rFonts w:asciiTheme="minorHAnsi" w:hAnsiTheme="minorHAnsi"/>
              </w:rPr>
              <w:t>:</w:t>
            </w:r>
            <w:r w:rsidRPr="00A6574F">
              <w:t xml:space="preserve"> Install dry FGD or approved alternative technology by Dec. 31, 2006, to control SO</w:t>
            </w:r>
            <w:r w:rsidRPr="00A6574F">
              <w:rPr>
                <w:vertAlign w:val="subscript"/>
              </w:rPr>
              <w:t>2</w:t>
            </w:r>
            <w:r w:rsidRPr="00A6574F">
              <w:t xml:space="preserve"> emissions and operate the control technology at all times the unit operates to limit SO</w:t>
            </w:r>
            <w:r w:rsidRPr="00A6574F">
              <w:rPr>
                <w:vertAlign w:val="subscript"/>
              </w:rPr>
              <w:t>2</w:t>
            </w:r>
            <w:r w:rsidRPr="00A6574F">
              <w:t xml:space="preserve"> emissions to 0.15 lb/MMBtu; install SCR or approved alternative technology by May 1, 2007, to control </w:t>
            </w:r>
            <w:r w:rsidR="007A1BD7" w:rsidRPr="007A1BD7">
              <w:t>NO</w:t>
            </w:r>
            <w:r w:rsidR="007A1BD7" w:rsidRPr="007A1BD7">
              <w:rPr>
                <w:vertAlign w:val="subscript"/>
              </w:rPr>
              <w:t>X</w:t>
            </w:r>
            <w:r w:rsidRPr="00A6574F">
              <w:t xml:space="preserve"> emissions and operate the control technology year-round to limit </w:t>
            </w:r>
            <w:r w:rsidR="007A1BD7" w:rsidRPr="007A1BD7">
              <w:t>NO</w:t>
            </w:r>
            <w:r w:rsidR="007A1BD7" w:rsidRPr="007A1BD7">
              <w:rPr>
                <w:vertAlign w:val="subscript"/>
              </w:rPr>
              <w:t>X</w:t>
            </w:r>
            <w:r w:rsidRPr="00A6574F">
              <w:t xml:space="preserve"> emissions to 0.1 lb/MMBtu; and install a baghouse or approved alternative technology by May 1, 2007, to control and limit PM emissions to 0.015 lb PM/MMBtu.</w:t>
            </w:r>
          </w:p>
        </w:tc>
        <w:tc>
          <w:tcPr>
            <w:tcW w:w="2420" w:type="dxa"/>
          </w:tcPr>
          <w:p w:rsidR="00E71C51" w:rsidRPr="00A6574F" w:rsidRDefault="002F6E38" w:rsidP="0042194D">
            <w:pPr>
              <w:autoSpaceDE w:val="0"/>
              <w:autoSpaceDN w:val="0"/>
              <w:adjustRightInd w:val="0"/>
            </w:pPr>
            <w:r>
              <w:t>Effective May 1, 2007</w:t>
            </w:r>
          </w:p>
        </w:tc>
      </w:tr>
      <w:tr w:rsidR="00E71C51" w:rsidTr="00791C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038" w:type="dxa"/>
          </w:tcPr>
          <w:p w:rsidR="00E71C51" w:rsidRPr="00A6574F" w:rsidRDefault="00E71C51" w:rsidP="00F5361C">
            <w:pPr>
              <w:autoSpaceDE w:val="0"/>
              <w:autoSpaceDN w:val="0"/>
              <w:adjustRightInd w:val="0"/>
              <w:rPr>
                <w:i/>
                <w:iCs/>
              </w:rPr>
            </w:pPr>
            <w:r w:rsidRPr="00E34754">
              <w:rPr>
                <w:rFonts w:asciiTheme="minorHAnsi" w:hAnsiTheme="minorHAnsi"/>
                <w:i/>
                <w:iCs/>
              </w:rPr>
              <w:t>Mercer Unit #1</w:t>
            </w:r>
            <w:r w:rsidRPr="00E34754">
              <w:rPr>
                <w:rFonts w:asciiTheme="minorHAnsi" w:hAnsiTheme="minorHAnsi"/>
              </w:rPr>
              <w:t>:</w:t>
            </w:r>
            <w:r w:rsidRPr="00A6574F">
              <w:t xml:space="preserve"> Install dry FGD or approved alternative technology by Dec. 31, 2010, to control SO</w:t>
            </w:r>
            <w:r w:rsidRPr="00A6574F">
              <w:rPr>
                <w:vertAlign w:val="subscript"/>
              </w:rPr>
              <w:t>2</w:t>
            </w:r>
            <w:r w:rsidRPr="00A6574F">
              <w:t xml:space="preserve"> emissions and operate the control technology at all times the unit operates to limit SO</w:t>
            </w:r>
            <w:r w:rsidRPr="00A6574F">
              <w:rPr>
                <w:vertAlign w:val="subscript"/>
              </w:rPr>
              <w:t>2</w:t>
            </w:r>
            <w:r w:rsidRPr="00A6574F">
              <w:t xml:space="preserve"> emissions to 0.15 lb/MMBtu; and install SCR or approved alternative technology by 2005 to control </w:t>
            </w:r>
            <w:r w:rsidR="007A1BD7" w:rsidRPr="007A1BD7">
              <w:t>NO</w:t>
            </w:r>
            <w:r w:rsidR="007A1BD7" w:rsidRPr="007A1BD7">
              <w:rPr>
                <w:vertAlign w:val="subscript"/>
              </w:rPr>
              <w:t>X</w:t>
            </w:r>
            <w:r w:rsidRPr="00A6574F">
              <w:t xml:space="preserve"> emissions and operate the control technology during ozone season only in 2005 and year-round by May 1, 2006, to limit </w:t>
            </w:r>
            <w:r w:rsidR="007A1BD7" w:rsidRPr="007A1BD7">
              <w:t>NO</w:t>
            </w:r>
            <w:r w:rsidR="007A1BD7" w:rsidRPr="007A1BD7">
              <w:rPr>
                <w:vertAlign w:val="subscript"/>
              </w:rPr>
              <w:t>X</w:t>
            </w:r>
            <w:r w:rsidRPr="00A6574F">
              <w:t xml:space="preserve"> emissions to 0.13 lb/MMBtu.</w:t>
            </w:r>
          </w:p>
        </w:tc>
        <w:tc>
          <w:tcPr>
            <w:tcW w:w="2420" w:type="dxa"/>
          </w:tcPr>
          <w:p w:rsidR="00E71C51" w:rsidRPr="00A6574F" w:rsidRDefault="002F6E38" w:rsidP="0042194D">
            <w:pPr>
              <w:autoSpaceDE w:val="0"/>
              <w:autoSpaceDN w:val="0"/>
              <w:adjustRightInd w:val="0"/>
            </w:pPr>
            <w:r>
              <w:t>Effective 2005, 2006, 2010</w:t>
            </w:r>
          </w:p>
        </w:tc>
      </w:tr>
      <w:tr w:rsidR="00E71C51" w:rsidTr="00791C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038" w:type="dxa"/>
          </w:tcPr>
          <w:p w:rsidR="00E71C51" w:rsidRPr="00A6574F" w:rsidRDefault="00E71C51" w:rsidP="0043541C">
            <w:pPr>
              <w:autoSpaceDE w:val="0"/>
              <w:autoSpaceDN w:val="0"/>
              <w:adjustRightInd w:val="0"/>
              <w:rPr>
                <w:i/>
                <w:iCs/>
              </w:rPr>
            </w:pPr>
            <w:r w:rsidRPr="00E34754">
              <w:rPr>
                <w:rFonts w:asciiTheme="minorHAnsi" w:hAnsiTheme="minorHAnsi"/>
                <w:i/>
                <w:iCs/>
              </w:rPr>
              <w:t>Mercer Unit #2</w:t>
            </w:r>
            <w:r w:rsidRPr="00E34754">
              <w:rPr>
                <w:rFonts w:asciiTheme="minorHAnsi" w:hAnsiTheme="minorHAnsi"/>
              </w:rPr>
              <w:t>:</w:t>
            </w:r>
            <w:r w:rsidRPr="00A6574F">
              <w:t xml:space="preserve"> Install dry FGD or approved alternative technology by Dec. 31, 2012, to control SO</w:t>
            </w:r>
            <w:r w:rsidRPr="00A6574F">
              <w:rPr>
                <w:vertAlign w:val="subscript"/>
              </w:rPr>
              <w:t>2</w:t>
            </w:r>
            <w:r w:rsidRPr="00A6574F">
              <w:t xml:space="preserve"> emissions and operate the control technology at all times the unit operates to limit SO</w:t>
            </w:r>
            <w:r w:rsidRPr="00A6574F">
              <w:rPr>
                <w:vertAlign w:val="subscript"/>
              </w:rPr>
              <w:t>2</w:t>
            </w:r>
            <w:r w:rsidRPr="00A6574F">
              <w:t xml:space="preserve"> emissions to 0.15 lb/MMBtu; and install SCR or approved alternative technology by 2004 to control </w:t>
            </w:r>
            <w:r w:rsidR="007A1BD7" w:rsidRPr="007A1BD7">
              <w:t>NO</w:t>
            </w:r>
            <w:r w:rsidR="007A1BD7" w:rsidRPr="007A1BD7">
              <w:rPr>
                <w:vertAlign w:val="subscript"/>
              </w:rPr>
              <w:t>X</w:t>
            </w:r>
            <w:r w:rsidRPr="00A6574F">
              <w:t xml:space="preserve"> emissions and operate the control technology during ozone season only in 2004 and year-round by May 1, 2006, to limit </w:t>
            </w:r>
            <w:r w:rsidR="007A1BD7" w:rsidRPr="007A1BD7">
              <w:t>NO</w:t>
            </w:r>
            <w:r w:rsidR="007A1BD7" w:rsidRPr="007A1BD7">
              <w:rPr>
                <w:vertAlign w:val="subscript"/>
              </w:rPr>
              <w:t>X</w:t>
            </w:r>
            <w:r w:rsidRPr="00A6574F">
              <w:t xml:space="preserve"> emissions to 0.13 lb/MMBtu.</w:t>
            </w:r>
          </w:p>
        </w:tc>
        <w:tc>
          <w:tcPr>
            <w:tcW w:w="2420" w:type="dxa"/>
          </w:tcPr>
          <w:p w:rsidR="00E71C51" w:rsidRPr="00A6574F" w:rsidRDefault="002F6E38" w:rsidP="0042194D">
            <w:pPr>
              <w:autoSpaceDE w:val="0"/>
              <w:autoSpaceDN w:val="0"/>
              <w:adjustRightInd w:val="0"/>
            </w:pPr>
            <w:r>
              <w:t>Effective 2004, 2006, 2010</w:t>
            </w:r>
          </w:p>
        </w:tc>
      </w:tr>
      <w:tr w:rsidR="00E71C51" w:rsidTr="00791C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038" w:type="dxa"/>
          </w:tcPr>
          <w:p w:rsidR="00E71C51" w:rsidRPr="00A6574F" w:rsidRDefault="00E71C51" w:rsidP="0042194D">
            <w:pPr>
              <w:autoSpaceDE w:val="0"/>
              <w:autoSpaceDN w:val="0"/>
              <w:adjustRightInd w:val="0"/>
              <w:rPr>
                <w:i/>
                <w:iCs/>
              </w:rPr>
            </w:pPr>
            <w:r w:rsidRPr="00A6574F">
              <w:t xml:space="preserve">The New Jersey settlement also requires that units operating an FGD use coal having </w:t>
            </w:r>
            <w:proofErr w:type="gramStart"/>
            <w:r w:rsidRPr="00A6574F">
              <w:t>a monthly</w:t>
            </w:r>
            <w:proofErr w:type="gramEnd"/>
            <w:r w:rsidRPr="00A6574F">
              <w:t xml:space="preserve"> average sulfur content no greater than 2 percent.</w:t>
            </w:r>
          </w:p>
        </w:tc>
        <w:tc>
          <w:tcPr>
            <w:tcW w:w="2420" w:type="dxa"/>
          </w:tcPr>
          <w:p w:rsidR="00E71C51" w:rsidRPr="00A6574F" w:rsidRDefault="009756B7" w:rsidP="0042194D">
            <w:pPr>
              <w:autoSpaceDE w:val="0"/>
              <w:autoSpaceDN w:val="0"/>
              <w:adjustRightInd w:val="0"/>
            </w:pPr>
            <w:r>
              <w:t>Effective with FGD as above</w:t>
            </w:r>
          </w:p>
        </w:tc>
      </w:tr>
      <w:tr w:rsidR="00E71C51" w:rsidRPr="00254E53" w:rsidTr="00791C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038" w:type="dxa"/>
          </w:tcPr>
          <w:p w:rsidR="00E71C51" w:rsidRPr="00254E53" w:rsidRDefault="00E71C51" w:rsidP="0042194D">
            <w:pPr>
              <w:autoSpaceDE w:val="0"/>
              <w:autoSpaceDN w:val="0"/>
              <w:adjustRightInd w:val="0"/>
              <w:rPr>
                <w:rFonts w:asciiTheme="minorHAnsi" w:hAnsiTheme="minorHAnsi"/>
                <w:b/>
                <w:i/>
                <w:iCs/>
              </w:rPr>
            </w:pPr>
            <w:r w:rsidRPr="00254E53">
              <w:rPr>
                <w:rFonts w:asciiTheme="minorHAnsi" w:hAnsiTheme="minorHAnsi"/>
                <w:b/>
                <w:i/>
                <w:iCs/>
              </w:rPr>
              <w:t>New York</w:t>
            </w:r>
          </w:p>
        </w:tc>
        <w:tc>
          <w:tcPr>
            <w:tcW w:w="2420" w:type="dxa"/>
          </w:tcPr>
          <w:p w:rsidR="00E71C51" w:rsidRPr="00254E53" w:rsidRDefault="00E71C51" w:rsidP="0042194D">
            <w:pPr>
              <w:autoSpaceDE w:val="0"/>
              <w:autoSpaceDN w:val="0"/>
              <w:adjustRightInd w:val="0"/>
              <w:rPr>
                <w:b/>
              </w:rPr>
            </w:pPr>
          </w:p>
        </w:tc>
      </w:tr>
      <w:tr w:rsidR="00E71C51" w:rsidTr="00791C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038" w:type="dxa"/>
          </w:tcPr>
          <w:p w:rsidR="00E71C51" w:rsidRPr="00A6574F" w:rsidRDefault="00E71C51" w:rsidP="00A6574F">
            <w:pPr>
              <w:autoSpaceDE w:val="0"/>
              <w:autoSpaceDN w:val="0"/>
              <w:adjustRightInd w:val="0"/>
              <w:rPr>
                <w:i/>
                <w:iCs/>
              </w:rPr>
            </w:pPr>
            <w:r w:rsidRPr="00E34754">
              <w:rPr>
                <w:rFonts w:asciiTheme="minorHAnsi" w:hAnsiTheme="minorHAnsi"/>
                <w:i/>
                <w:iCs/>
              </w:rPr>
              <w:t xml:space="preserve">Title 6 NYCRR Parts 237, Acid Deposition Reduction </w:t>
            </w:r>
            <w:r w:rsidR="007A1BD7" w:rsidRPr="00E34754">
              <w:rPr>
                <w:rFonts w:asciiTheme="minorHAnsi" w:hAnsiTheme="minorHAnsi"/>
                <w:i/>
              </w:rPr>
              <w:t>NO</w:t>
            </w:r>
            <w:r w:rsidR="007A1BD7" w:rsidRPr="00E34754">
              <w:rPr>
                <w:rFonts w:asciiTheme="minorHAnsi" w:hAnsiTheme="minorHAnsi"/>
                <w:i/>
                <w:vertAlign w:val="subscript"/>
              </w:rPr>
              <w:t>X</w:t>
            </w:r>
            <w:r w:rsidR="00A6574F" w:rsidRPr="00E34754">
              <w:rPr>
                <w:rFonts w:asciiTheme="minorHAnsi" w:hAnsiTheme="minorHAnsi"/>
                <w:i/>
                <w:iCs/>
              </w:rPr>
              <w:t xml:space="preserve"> </w:t>
            </w:r>
            <w:r w:rsidRPr="00E34754">
              <w:rPr>
                <w:rFonts w:asciiTheme="minorHAnsi" w:hAnsiTheme="minorHAnsi"/>
                <w:i/>
                <w:iCs/>
              </w:rPr>
              <w:t>Budget Trading Program</w:t>
            </w:r>
            <w:r w:rsidRPr="00E34754">
              <w:rPr>
                <w:rFonts w:asciiTheme="minorHAnsi" w:hAnsiTheme="minorHAnsi"/>
              </w:rPr>
              <w:t>,</w:t>
            </w:r>
            <w:r w:rsidRPr="00A6574F">
              <w:t xml:space="preserve"> limits </w:t>
            </w:r>
            <w:r w:rsidR="007A1BD7" w:rsidRPr="007A1BD7">
              <w:t>NO</w:t>
            </w:r>
            <w:r w:rsidR="007A1BD7" w:rsidRPr="007A1BD7">
              <w:rPr>
                <w:vertAlign w:val="subscript"/>
              </w:rPr>
              <w:t>X</w:t>
            </w:r>
            <w:r w:rsidRPr="00A6574F">
              <w:t xml:space="preserve"> emissions on all fossil-fuel-fired EGUs greater than 25 MW to a non</w:t>
            </w:r>
            <w:r w:rsidR="005D7E7B">
              <w:t>-</w:t>
            </w:r>
            <w:r w:rsidRPr="00A6574F">
              <w:t>ozone season cap of 39,908 tons in 2007.</w:t>
            </w:r>
          </w:p>
        </w:tc>
        <w:tc>
          <w:tcPr>
            <w:tcW w:w="2420" w:type="dxa"/>
          </w:tcPr>
          <w:p w:rsidR="00E71C51" w:rsidRPr="00A6574F" w:rsidRDefault="00E95818" w:rsidP="0042194D">
            <w:pPr>
              <w:autoSpaceDE w:val="0"/>
              <w:autoSpaceDN w:val="0"/>
              <w:adjustRightInd w:val="0"/>
            </w:pPr>
            <w:r>
              <w:t>Effective 2007</w:t>
            </w:r>
          </w:p>
        </w:tc>
      </w:tr>
      <w:tr w:rsidR="00E71C51" w:rsidTr="00791C6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038" w:type="dxa"/>
          </w:tcPr>
          <w:p w:rsidR="00E71C51" w:rsidRPr="00A6574F" w:rsidRDefault="00E71C51" w:rsidP="0042194D">
            <w:pPr>
              <w:autoSpaceDE w:val="0"/>
              <w:autoSpaceDN w:val="0"/>
              <w:adjustRightInd w:val="0"/>
              <w:rPr>
                <w:i/>
                <w:iCs/>
              </w:rPr>
            </w:pPr>
            <w:r w:rsidRPr="00E34754">
              <w:rPr>
                <w:rFonts w:asciiTheme="minorHAnsi" w:hAnsiTheme="minorHAnsi"/>
                <w:i/>
                <w:iCs/>
              </w:rPr>
              <w:t>Title 6 NYCRR Parts 238, Acid Deposition Reduction SO</w:t>
            </w:r>
            <w:r w:rsidRPr="00E34754">
              <w:rPr>
                <w:rFonts w:asciiTheme="minorHAnsi" w:hAnsiTheme="minorHAnsi"/>
                <w:i/>
                <w:iCs/>
                <w:vertAlign w:val="subscript"/>
              </w:rPr>
              <w:t>2</w:t>
            </w:r>
            <w:r w:rsidRPr="00E34754">
              <w:rPr>
                <w:rFonts w:asciiTheme="minorHAnsi" w:hAnsiTheme="minorHAnsi"/>
                <w:i/>
                <w:iCs/>
              </w:rPr>
              <w:t xml:space="preserve"> Budget Trading Program</w:t>
            </w:r>
            <w:r w:rsidRPr="00E34754">
              <w:rPr>
                <w:rFonts w:asciiTheme="minorHAnsi" w:hAnsiTheme="minorHAnsi"/>
              </w:rPr>
              <w:t>,</w:t>
            </w:r>
            <w:r w:rsidRPr="00A6574F">
              <w:t xml:space="preserve"> limits SO</w:t>
            </w:r>
            <w:r w:rsidRPr="00A6574F">
              <w:rPr>
                <w:vertAlign w:val="subscript"/>
              </w:rPr>
              <w:t>2</w:t>
            </w:r>
            <w:r w:rsidRPr="00A6574F">
              <w:t xml:space="preserve"> emissions from all fossil-fuel-fired EGUs greater than 25 MW to an annual cap of 197,046 tons per year starting in 2007 and an annual cap of 131,364 tons per year starting in 2008.</w:t>
            </w:r>
          </w:p>
        </w:tc>
        <w:tc>
          <w:tcPr>
            <w:tcW w:w="2420" w:type="dxa"/>
          </w:tcPr>
          <w:p w:rsidR="00E71C51" w:rsidRPr="00A6574F" w:rsidRDefault="00E95818" w:rsidP="0042194D">
            <w:pPr>
              <w:autoSpaceDE w:val="0"/>
              <w:autoSpaceDN w:val="0"/>
              <w:adjustRightInd w:val="0"/>
            </w:pPr>
            <w:r>
              <w:t>Effective 2007, 2008</w:t>
            </w:r>
          </w:p>
        </w:tc>
      </w:tr>
    </w:tbl>
    <w:p w:rsidR="009A4B74" w:rsidRDefault="009A4B74" w:rsidP="00E05F1D">
      <w:pPr>
        <w:rPr>
          <w:highlight w:val="yellow"/>
        </w:rPr>
      </w:pPr>
    </w:p>
    <w:p w:rsidR="004F7584" w:rsidRDefault="00EE3302" w:rsidP="00E05F1D">
      <w:r w:rsidRPr="00EE3302">
        <w:rPr>
          <w:highlight w:val="yellow"/>
        </w:rPr>
        <w:t>&lt;Optional paragraph&gt;:</w:t>
      </w:r>
    </w:p>
    <w:p w:rsidR="006A65E4" w:rsidRPr="00B27876" w:rsidRDefault="006A65E4" w:rsidP="00E05F1D">
      <w:r w:rsidRPr="00B27876">
        <w:lastRenderedPageBreak/>
        <w:t xml:space="preserve">The Maryland </w:t>
      </w:r>
      <w:r w:rsidR="009756B7">
        <w:t>Healthy Air Act (</w:t>
      </w:r>
      <w:r w:rsidRPr="00B27876">
        <w:t>HAA</w:t>
      </w:r>
      <w:r w:rsidR="009756B7">
        <w:t>)</w:t>
      </w:r>
      <w:r w:rsidRPr="00B27876">
        <w:t xml:space="preserve"> regulations became effective on July 16, 2007 and required reductions in </w:t>
      </w:r>
      <w:r w:rsidR="007A1BD7" w:rsidRPr="00B27876">
        <w:t>NO</w:t>
      </w:r>
      <w:r w:rsidR="007A1BD7" w:rsidRPr="00B27876">
        <w:rPr>
          <w:vertAlign w:val="subscript"/>
        </w:rPr>
        <w:t>X</w:t>
      </w:r>
      <w:r w:rsidRPr="00B27876">
        <w:t>, SO</w:t>
      </w:r>
      <w:r w:rsidRPr="00B27876">
        <w:rPr>
          <w:vertAlign w:val="subscript"/>
        </w:rPr>
        <w:t>2</w:t>
      </w:r>
      <w:r w:rsidRPr="00B27876">
        <w:t xml:space="preserve">, and mercury emissions from large coal burning power plants in Maryland. </w:t>
      </w:r>
      <w:r w:rsidR="00EE3302" w:rsidRPr="00EE3302">
        <w:t>This was after completion of the MANE-VU Contribution Assessments, so it was not in the MANE-VU 2018 modeling.</w:t>
      </w:r>
      <w:r w:rsidR="00EE3302" w:rsidRPr="00B27876">
        <w:t xml:space="preserve">  </w:t>
      </w:r>
      <w:r w:rsidRPr="00B27876">
        <w:t xml:space="preserve">Emission reductions from the HAA come in two phases. The first phase required reductions in the 2009/2010 timeframe, and compared to a 2002 emission baseline, reduced </w:t>
      </w:r>
      <w:r w:rsidR="007A1BD7" w:rsidRPr="00B27876">
        <w:t>NO</w:t>
      </w:r>
      <w:r w:rsidR="007A1BD7" w:rsidRPr="00B27876">
        <w:rPr>
          <w:vertAlign w:val="subscript"/>
        </w:rPr>
        <w:t>X</w:t>
      </w:r>
      <w:r w:rsidRPr="00B27876">
        <w:t xml:space="preserve"> emission by almost 70 percent and SO</w:t>
      </w:r>
      <w:r w:rsidRPr="00B27876">
        <w:rPr>
          <w:vertAlign w:val="subscript"/>
        </w:rPr>
        <w:t>2</w:t>
      </w:r>
      <w:r w:rsidRPr="00B27876">
        <w:t xml:space="preserve"> emission by 80 percent. The second phase of emissions controls occurs in 2012/201</w:t>
      </w:r>
      <w:r w:rsidR="004F7584">
        <w:t>3</w:t>
      </w:r>
      <w:r w:rsidRPr="00B27876">
        <w:t xml:space="preserve">. At full implementation, the HAA will reduce </w:t>
      </w:r>
      <w:r w:rsidR="007A1BD7" w:rsidRPr="00B27876">
        <w:t>NO</w:t>
      </w:r>
      <w:r w:rsidR="007A1BD7" w:rsidRPr="00B27876">
        <w:rPr>
          <w:vertAlign w:val="subscript"/>
        </w:rPr>
        <w:t>X</w:t>
      </w:r>
      <w:r w:rsidRPr="00B27876">
        <w:t xml:space="preserve"> emissions by approximately 75 percent from 2002 levels and SO</w:t>
      </w:r>
      <w:r w:rsidRPr="00B27876">
        <w:rPr>
          <w:vertAlign w:val="subscript"/>
        </w:rPr>
        <w:t>2</w:t>
      </w:r>
      <w:r w:rsidRPr="00B27876">
        <w:t xml:space="preserve"> emissions by approximately 85 percent from 2002 levels.  </w:t>
      </w:r>
      <w:r w:rsidR="009756B7">
        <w:t>The reductions from the HAA exceed the reductions requested for 2018 by MANE-VU for the key EGU sources located in Maryland.</w:t>
      </w:r>
    </w:p>
    <w:p w:rsidR="006A65E4" w:rsidRPr="00230052" w:rsidRDefault="006A65E4" w:rsidP="00E05F1D">
      <w:pPr>
        <w:pStyle w:val="2ndLevelHeader"/>
      </w:pPr>
      <w:bookmarkStart w:id="78" w:name="_Toc373843510"/>
      <w:r w:rsidRPr="00230052">
        <w:t>4.</w:t>
      </w:r>
      <w:r w:rsidR="00EB608E" w:rsidRPr="00230052">
        <w:t>3</w:t>
      </w:r>
      <w:r w:rsidRPr="00230052">
        <w:t>.</w:t>
      </w:r>
      <w:r w:rsidR="00EB608E" w:rsidRPr="00230052">
        <w:t>3</w:t>
      </w:r>
      <w:r w:rsidR="007A33C0" w:rsidRPr="00230052">
        <w:t>. Specific</w:t>
      </w:r>
      <w:r w:rsidRPr="00230052">
        <w:t xml:space="preserve"> EGU Estimates and Reductions</w:t>
      </w:r>
      <w:bookmarkEnd w:id="78"/>
    </w:p>
    <w:p w:rsidR="006A65E4" w:rsidRPr="002A7870" w:rsidRDefault="006A65E4" w:rsidP="00E05F1D">
      <w:r>
        <w:t>Exhibit 6.1</w:t>
      </w:r>
      <w:r w:rsidRPr="002A7870">
        <w:t xml:space="preserve"> lists all EGU units in </w:t>
      </w:r>
      <w:r w:rsidRPr="002A7870">
        <w:rPr>
          <w:highlight w:val="yellow"/>
        </w:rPr>
        <w:t>&lt;name of state</w:t>
      </w:r>
      <w:r>
        <w:t xml:space="preserve">&gt;. </w:t>
      </w:r>
      <w:r w:rsidRPr="002A7870">
        <w:t xml:space="preserve"> The table shows controls assigned to the units in 2018 as part of the MANE-VU modeling effort, the current status of those control assignments, estimated tons of SO</w:t>
      </w:r>
      <w:r w:rsidRPr="00C951C9">
        <w:rPr>
          <w:vertAlign w:val="subscript"/>
        </w:rPr>
        <w:t>2</w:t>
      </w:r>
      <w:r w:rsidRPr="002A7870">
        <w:t xml:space="preserve"> emissions </w:t>
      </w:r>
      <w:r>
        <w:t>in 2002</w:t>
      </w:r>
      <w:r w:rsidRPr="002A7870">
        <w:t xml:space="preserve">, and actual </w:t>
      </w:r>
      <w:r w:rsidR="00EE3302" w:rsidRPr="00EE3302">
        <w:rPr>
          <w:highlight w:val="yellow"/>
        </w:rPr>
        <w:t>&lt;</w:t>
      </w:r>
      <w:r w:rsidRPr="00EE3302">
        <w:rPr>
          <w:highlight w:val="yellow"/>
        </w:rPr>
        <w:t>201</w:t>
      </w:r>
      <w:r w:rsidR="00EE3302" w:rsidRPr="00EE3302">
        <w:rPr>
          <w:highlight w:val="yellow"/>
        </w:rPr>
        <w:t>X&gt;</w:t>
      </w:r>
      <w:r w:rsidRPr="002A7870">
        <w:t xml:space="preserve"> emissions from those units, where available from the Clean Air Markets Division (CAMD).</w:t>
      </w:r>
    </w:p>
    <w:p w:rsidR="00EE3302" w:rsidRPr="007827ED" w:rsidRDefault="005D5C14" w:rsidP="005D5C14">
      <w:bookmarkStart w:id="79" w:name="_Toc341960501"/>
      <w:r w:rsidRPr="009B2215">
        <w:rPr>
          <w:highlight w:val="yellow"/>
        </w:rPr>
        <w:t xml:space="preserve">&lt;EPA Region I commented that </w:t>
      </w:r>
      <w:r w:rsidR="004F7584">
        <w:rPr>
          <w:highlight w:val="yellow"/>
        </w:rPr>
        <w:t xml:space="preserve">the </w:t>
      </w:r>
      <w:r w:rsidRPr="009B2215">
        <w:rPr>
          <w:highlight w:val="yellow"/>
        </w:rPr>
        <w:t xml:space="preserve">State should include a chart or list of EGUs and non-EGUs retired or replaced since the submittal of the Regional Haze SIP.  </w:t>
      </w:r>
      <w:r w:rsidR="004F7584">
        <w:rPr>
          <w:highlight w:val="yellow"/>
        </w:rPr>
        <w:t>The State</w:t>
      </w:r>
      <w:r w:rsidRPr="009B2215">
        <w:rPr>
          <w:highlight w:val="yellow"/>
        </w:rPr>
        <w:t xml:space="preserve"> should indicate whether this list is for information or a SIP revision (i.e., is the retirement or replacement enforceable</w:t>
      </w:r>
      <w:r w:rsidRPr="004F7584">
        <w:rPr>
          <w:highlight w:val="yellow"/>
        </w:rPr>
        <w:t>?)&gt;</w:t>
      </w:r>
      <w:r w:rsidR="004F7584" w:rsidRPr="004F7584">
        <w:rPr>
          <w:highlight w:val="yellow"/>
        </w:rPr>
        <w:t xml:space="preserve"> &lt;See also p. 46 Sec. 5.3&gt;</w:t>
      </w:r>
      <w:r w:rsidR="009A4B74">
        <w:rPr>
          <w:highlight w:val="yellow"/>
        </w:rPr>
        <w:t xml:space="preserve"> </w:t>
      </w:r>
      <w:r w:rsidR="00EE3302" w:rsidRPr="007827ED">
        <w:rPr>
          <w:highlight w:val="yellow"/>
        </w:rPr>
        <w:t>&lt;National Park Service suggested also presenting NO</w:t>
      </w:r>
      <w:r w:rsidR="00EE3302" w:rsidRPr="007827ED">
        <w:rPr>
          <w:highlight w:val="yellow"/>
          <w:vertAlign w:val="subscript"/>
        </w:rPr>
        <w:t xml:space="preserve">X </w:t>
      </w:r>
      <w:r w:rsidR="00EE3302" w:rsidRPr="007827ED">
        <w:rPr>
          <w:highlight w:val="yellow"/>
        </w:rPr>
        <w:t xml:space="preserve">emissions, but </w:t>
      </w:r>
      <w:r w:rsidR="007827ED" w:rsidRPr="007827ED">
        <w:rPr>
          <w:highlight w:val="yellow"/>
        </w:rPr>
        <w:t>NO</w:t>
      </w:r>
      <w:r w:rsidR="007827ED" w:rsidRPr="007827ED">
        <w:rPr>
          <w:highlight w:val="yellow"/>
          <w:vertAlign w:val="subscript"/>
        </w:rPr>
        <w:t xml:space="preserve">X </w:t>
      </w:r>
      <w:r w:rsidR="007827ED" w:rsidRPr="007827ED">
        <w:rPr>
          <w:highlight w:val="yellow"/>
        </w:rPr>
        <w:t>reduction was not a focus of this round of SIPs for MANE-VU.&gt;</w:t>
      </w:r>
    </w:p>
    <w:p w:rsidR="00373528" w:rsidRPr="007D1888" w:rsidRDefault="00373528" w:rsidP="00F60FE6">
      <w:pPr>
        <w:pStyle w:val="Caption"/>
      </w:pPr>
      <w:bookmarkStart w:id="80" w:name="_Toc373842779"/>
      <w:bookmarkStart w:id="81" w:name="_Toc373843564"/>
      <w:bookmarkStart w:id="82" w:name="_Toc373844553"/>
      <w:bookmarkEnd w:id="79"/>
      <w:proofErr w:type="gramStart"/>
      <w:r w:rsidRPr="007D1888">
        <w:rPr>
          <w:rStyle w:val="Heading8Char"/>
          <w:rFonts w:ascii="Arial" w:hAnsi="Arial" w:cs="Arial"/>
          <w:color w:val="auto"/>
        </w:rPr>
        <w:t>Table 4.2.</w:t>
      </w:r>
      <w:proofErr w:type="gramEnd"/>
      <w:r w:rsidRPr="007D1888">
        <w:rPr>
          <w:rStyle w:val="Heading8Char"/>
          <w:rFonts w:ascii="Arial" w:hAnsi="Arial" w:cs="Arial"/>
          <w:color w:val="auto"/>
        </w:rPr>
        <w:t xml:space="preserve"> Status of Controls on EGUs </w:t>
      </w:r>
      <w:r w:rsidRPr="007D1888">
        <w:rPr>
          <w:rStyle w:val="Heading8Char"/>
          <w:rFonts w:ascii="Arial" w:hAnsi="Arial" w:cs="Arial"/>
          <w:color w:val="auto"/>
          <w:highlight w:val="yellow"/>
        </w:rPr>
        <w:t>in &lt;the State&gt; &lt;to be completed by the state&gt;</w:t>
      </w:r>
      <w:bookmarkEnd w:id="80"/>
      <w:bookmarkEnd w:id="81"/>
      <w:bookmarkEnd w:id="82"/>
    </w:p>
    <w:p w:rsidR="006A65E4" w:rsidRDefault="006A65E4" w:rsidP="006A65E4">
      <w:pPr>
        <w:autoSpaceDE w:val="0"/>
        <w:autoSpaceDN w:val="0"/>
        <w:adjustRightInd w:val="0"/>
        <w:spacing w:after="0" w:line="240" w:lineRule="auto"/>
        <w:rPr>
          <w:b/>
          <w:bCs/>
          <w:color w:val="4F81BD"/>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9"/>
        <w:gridCol w:w="1501"/>
        <w:gridCol w:w="1567"/>
        <w:gridCol w:w="1567"/>
        <w:gridCol w:w="1773"/>
        <w:gridCol w:w="1619"/>
      </w:tblGrid>
      <w:tr w:rsidR="006A65E4" w:rsidRPr="006355B8" w:rsidTr="006A65E4">
        <w:tc>
          <w:tcPr>
            <w:tcW w:w="1549" w:type="dxa"/>
            <w:vMerge w:val="restart"/>
            <w:vAlign w:val="center"/>
          </w:tcPr>
          <w:p w:rsidR="006A65E4" w:rsidRPr="006355B8" w:rsidRDefault="006A65E4" w:rsidP="006A65E4">
            <w:pPr>
              <w:spacing w:after="0" w:line="240" w:lineRule="auto"/>
              <w:jc w:val="center"/>
            </w:pPr>
            <w:r w:rsidRPr="006355B8">
              <w:t>Plant Name</w:t>
            </w:r>
          </w:p>
        </w:tc>
        <w:tc>
          <w:tcPr>
            <w:tcW w:w="1501" w:type="dxa"/>
            <w:vMerge w:val="restart"/>
            <w:vAlign w:val="center"/>
          </w:tcPr>
          <w:p w:rsidR="006A65E4" w:rsidRPr="006355B8" w:rsidRDefault="006A65E4" w:rsidP="006A65E4">
            <w:pPr>
              <w:spacing w:after="0" w:line="240" w:lineRule="auto"/>
              <w:jc w:val="center"/>
            </w:pPr>
            <w:r w:rsidRPr="006355B8">
              <w:t>ORIS ID</w:t>
            </w:r>
          </w:p>
        </w:tc>
        <w:tc>
          <w:tcPr>
            <w:tcW w:w="3134" w:type="dxa"/>
            <w:gridSpan w:val="2"/>
            <w:vAlign w:val="center"/>
          </w:tcPr>
          <w:p w:rsidR="006A65E4" w:rsidRPr="006355B8" w:rsidRDefault="007827ED" w:rsidP="006A65E4">
            <w:pPr>
              <w:spacing w:after="0" w:line="240" w:lineRule="auto"/>
              <w:jc w:val="center"/>
            </w:pPr>
            <w:r>
              <w:t>SO</w:t>
            </w:r>
            <w:r w:rsidRPr="007827ED">
              <w:rPr>
                <w:vertAlign w:val="subscript"/>
              </w:rPr>
              <w:t>2</w:t>
            </w:r>
            <w:r>
              <w:t xml:space="preserve"> </w:t>
            </w:r>
            <w:r w:rsidR="006A65E4" w:rsidRPr="006355B8">
              <w:t>Emissions</w:t>
            </w:r>
          </w:p>
        </w:tc>
        <w:tc>
          <w:tcPr>
            <w:tcW w:w="1773" w:type="dxa"/>
            <w:vMerge w:val="restart"/>
            <w:vAlign w:val="center"/>
          </w:tcPr>
          <w:p w:rsidR="006A65E4" w:rsidRPr="006355B8" w:rsidRDefault="006A65E4" w:rsidP="006A65E4">
            <w:pPr>
              <w:spacing w:after="0" w:line="240" w:lineRule="auto"/>
              <w:jc w:val="center"/>
            </w:pPr>
            <w:r w:rsidRPr="006355B8">
              <w:t>2018 Anticipated Controls</w:t>
            </w:r>
          </w:p>
        </w:tc>
        <w:tc>
          <w:tcPr>
            <w:tcW w:w="1619" w:type="dxa"/>
            <w:vMerge w:val="restart"/>
            <w:vAlign w:val="center"/>
          </w:tcPr>
          <w:p w:rsidR="006A65E4" w:rsidRPr="006355B8" w:rsidRDefault="006A65E4" w:rsidP="006A65E4">
            <w:pPr>
              <w:spacing w:after="0" w:line="240" w:lineRule="auto"/>
              <w:jc w:val="center"/>
            </w:pPr>
            <w:r w:rsidRPr="006355B8">
              <w:t>Current Control Status</w:t>
            </w:r>
          </w:p>
        </w:tc>
      </w:tr>
      <w:tr w:rsidR="006A65E4" w:rsidRPr="006355B8" w:rsidTr="006A65E4">
        <w:tc>
          <w:tcPr>
            <w:tcW w:w="1549" w:type="dxa"/>
            <w:vMerge/>
          </w:tcPr>
          <w:p w:rsidR="006A65E4" w:rsidRPr="006355B8" w:rsidRDefault="006A65E4" w:rsidP="006A65E4">
            <w:pPr>
              <w:spacing w:after="0" w:line="240" w:lineRule="auto"/>
              <w:jc w:val="center"/>
            </w:pPr>
          </w:p>
        </w:tc>
        <w:tc>
          <w:tcPr>
            <w:tcW w:w="1501" w:type="dxa"/>
            <w:vMerge/>
          </w:tcPr>
          <w:p w:rsidR="006A65E4" w:rsidRPr="006355B8" w:rsidRDefault="006A65E4" w:rsidP="006A65E4">
            <w:pPr>
              <w:spacing w:after="0" w:line="240" w:lineRule="auto"/>
              <w:jc w:val="center"/>
            </w:pPr>
          </w:p>
        </w:tc>
        <w:tc>
          <w:tcPr>
            <w:tcW w:w="1567" w:type="dxa"/>
          </w:tcPr>
          <w:p w:rsidR="006A65E4" w:rsidRPr="006355B8" w:rsidRDefault="006A65E4" w:rsidP="006A65E4">
            <w:pPr>
              <w:spacing w:after="0" w:line="240" w:lineRule="auto"/>
              <w:jc w:val="center"/>
            </w:pPr>
            <w:r w:rsidRPr="006355B8">
              <w:t>CAMD 2002</w:t>
            </w:r>
          </w:p>
        </w:tc>
        <w:tc>
          <w:tcPr>
            <w:tcW w:w="1567" w:type="dxa"/>
          </w:tcPr>
          <w:p w:rsidR="006A65E4" w:rsidRPr="006355B8" w:rsidRDefault="007827ED" w:rsidP="006A65E4">
            <w:pPr>
              <w:spacing w:after="0" w:line="240" w:lineRule="auto"/>
              <w:jc w:val="center"/>
            </w:pPr>
            <w:r>
              <w:t>CAMD 201X</w:t>
            </w:r>
            <w:r w:rsidR="005D2411">
              <w:t>*</w:t>
            </w:r>
          </w:p>
        </w:tc>
        <w:tc>
          <w:tcPr>
            <w:tcW w:w="1773" w:type="dxa"/>
            <w:vMerge/>
          </w:tcPr>
          <w:p w:rsidR="006A65E4" w:rsidRPr="006355B8" w:rsidRDefault="006A65E4" w:rsidP="006A65E4">
            <w:pPr>
              <w:spacing w:after="0" w:line="240" w:lineRule="auto"/>
              <w:jc w:val="center"/>
            </w:pPr>
          </w:p>
        </w:tc>
        <w:tc>
          <w:tcPr>
            <w:tcW w:w="1619" w:type="dxa"/>
            <w:vMerge/>
          </w:tcPr>
          <w:p w:rsidR="006A65E4" w:rsidRPr="006355B8" w:rsidRDefault="006A65E4" w:rsidP="006A65E4">
            <w:pPr>
              <w:spacing w:after="0" w:line="240" w:lineRule="auto"/>
              <w:jc w:val="center"/>
            </w:pPr>
          </w:p>
        </w:tc>
      </w:tr>
      <w:tr w:rsidR="006A65E4" w:rsidRPr="006355B8" w:rsidTr="006A65E4">
        <w:tc>
          <w:tcPr>
            <w:tcW w:w="1549" w:type="dxa"/>
          </w:tcPr>
          <w:p w:rsidR="006A65E4" w:rsidRPr="006355B8" w:rsidRDefault="006A65E4" w:rsidP="006A65E4">
            <w:pPr>
              <w:spacing w:after="0" w:line="240" w:lineRule="auto"/>
            </w:pPr>
          </w:p>
        </w:tc>
        <w:tc>
          <w:tcPr>
            <w:tcW w:w="1501" w:type="dxa"/>
          </w:tcPr>
          <w:p w:rsidR="006A65E4" w:rsidRPr="006355B8" w:rsidRDefault="006A65E4" w:rsidP="006A65E4">
            <w:pPr>
              <w:spacing w:after="0" w:line="240" w:lineRule="auto"/>
            </w:pPr>
          </w:p>
        </w:tc>
        <w:tc>
          <w:tcPr>
            <w:tcW w:w="1567" w:type="dxa"/>
          </w:tcPr>
          <w:p w:rsidR="006A65E4" w:rsidRPr="006355B8" w:rsidRDefault="006A65E4" w:rsidP="006A65E4">
            <w:pPr>
              <w:spacing w:after="0" w:line="240" w:lineRule="auto"/>
            </w:pPr>
          </w:p>
        </w:tc>
        <w:tc>
          <w:tcPr>
            <w:tcW w:w="1567" w:type="dxa"/>
          </w:tcPr>
          <w:p w:rsidR="006A65E4" w:rsidRPr="006355B8" w:rsidRDefault="006A65E4" w:rsidP="006A65E4">
            <w:pPr>
              <w:spacing w:after="0" w:line="240" w:lineRule="auto"/>
            </w:pPr>
          </w:p>
        </w:tc>
        <w:tc>
          <w:tcPr>
            <w:tcW w:w="1773" w:type="dxa"/>
          </w:tcPr>
          <w:p w:rsidR="006A65E4" w:rsidRPr="006355B8" w:rsidRDefault="006A65E4" w:rsidP="006A65E4">
            <w:pPr>
              <w:spacing w:after="0" w:line="240" w:lineRule="auto"/>
            </w:pPr>
          </w:p>
        </w:tc>
        <w:tc>
          <w:tcPr>
            <w:tcW w:w="1619" w:type="dxa"/>
          </w:tcPr>
          <w:p w:rsidR="006A65E4" w:rsidRPr="006355B8" w:rsidRDefault="006A65E4" w:rsidP="006A65E4">
            <w:pPr>
              <w:spacing w:after="0" w:line="240" w:lineRule="auto"/>
            </w:pPr>
          </w:p>
        </w:tc>
      </w:tr>
      <w:tr w:rsidR="006A65E4" w:rsidRPr="006355B8" w:rsidTr="006A65E4">
        <w:tc>
          <w:tcPr>
            <w:tcW w:w="1549" w:type="dxa"/>
          </w:tcPr>
          <w:p w:rsidR="006A65E4" w:rsidRPr="006355B8" w:rsidRDefault="006A65E4" w:rsidP="006A65E4">
            <w:pPr>
              <w:spacing w:after="0" w:line="240" w:lineRule="auto"/>
            </w:pPr>
          </w:p>
        </w:tc>
        <w:tc>
          <w:tcPr>
            <w:tcW w:w="1501" w:type="dxa"/>
          </w:tcPr>
          <w:p w:rsidR="006A65E4" w:rsidRPr="006355B8" w:rsidRDefault="006A65E4" w:rsidP="006A65E4">
            <w:pPr>
              <w:spacing w:after="0" w:line="240" w:lineRule="auto"/>
            </w:pPr>
          </w:p>
        </w:tc>
        <w:tc>
          <w:tcPr>
            <w:tcW w:w="1567" w:type="dxa"/>
          </w:tcPr>
          <w:p w:rsidR="006A65E4" w:rsidRPr="006355B8" w:rsidRDefault="006A65E4" w:rsidP="006A65E4">
            <w:pPr>
              <w:spacing w:after="0" w:line="240" w:lineRule="auto"/>
            </w:pPr>
          </w:p>
        </w:tc>
        <w:tc>
          <w:tcPr>
            <w:tcW w:w="1567" w:type="dxa"/>
          </w:tcPr>
          <w:p w:rsidR="006A65E4" w:rsidRPr="006355B8" w:rsidRDefault="006A65E4" w:rsidP="006A65E4">
            <w:pPr>
              <w:spacing w:after="0" w:line="240" w:lineRule="auto"/>
            </w:pPr>
          </w:p>
        </w:tc>
        <w:tc>
          <w:tcPr>
            <w:tcW w:w="1773" w:type="dxa"/>
          </w:tcPr>
          <w:p w:rsidR="006A65E4" w:rsidRPr="006355B8" w:rsidRDefault="006A65E4" w:rsidP="006A65E4">
            <w:pPr>
              <w:spacing w:after="0" w:line="240" w:lineRule="auto"/>
            </w:pPr>
          </w:p>
        </w:tc>
        <w:tc>
          <w:tcPr>
            <w:tcW w:w="1619" w:type="dxa"/>
          </w:tcPr>
          <w:p w:rsidR="006A65E4" w:rsidRPr="006355B8" w:rsidRDefault="006A65E4" w:rsidP="006A65E4">
            <w:pPr>
              <w:spacing w:after="0" w:line="240" w:lineRule="auto"/>
            </w:pPr>
          </w:p>
        </w:tc>
      </w:tr>
      <w:tr w:rsidR="006A65E4" w:rsidRPr="006355B8" w:rsidTr="006A65E4">
        <w:tc>
          <w:tcPr>
            <w:tcW w:w="1549" w:type="dxa"/>
          </w:tcPr>
          <w:p w:rsidR="006A65E4" w:rsidRPr="006355B8" w:rsidRDefault="006A65E4" w:rsidP="006A65E4">
            <w:pPr>
              <w:spacing w:after="0" w:line="240" w:lineRule="auto"/>
              <w:rPr>
                <w:b/>
                <w:bCs/>
                <w:color w:val="4F81BD"/>
              </w:rPr>
            </w:pPr>
          </w:p>
        </w:tc>
        <w:tc>
          <w:tcPr>
            <w:tcW w:w="1501" w:type="dxa"/>
          </w:tcPr>
          <w:p w:rsidR="006A65E4" w:rsidRPr="006355B8" w:rsidRDefault="006A65E4" w:rsidP="006A65E4">
            <w:pPr>
              <w:spacing w:after="0" w:line="240" w:lineRule="auto"/>
              <w:rPr>
                <w:b/>
                <w:bCs/>
                <w:color w:val="4F81BD"/>
              </w:rPr>
            </w:pPr>
          </w:p>
        </w:tc>
        <w:tc>
          <w:tcPr>
            <w:tcW w:w="1567" w:type="dxa"/>
          </w:tcPr>
          <w:p w:rsidR="006A65E4" w:rsidRPr="006355B8" w:rsidRDefault="006A65E4" w:rsidP="006A65E4">
            <w:pPr>
              <w:spacing w:after="0" w:line="240" w:lineRule="auto"/>
              <w:rPr>
                <w:b/>
                <w:bCs/>
                <w:color w:val="4F81BD"/>
              </w:rPr>
            </w:pPr>
          </w:p>
        </w:tc>
        <w:tc>
          <w:tcPr>
            <w:tcW w:w="1567" w:type="dxa"/>
          </w:tcPr>
          <w:p w:rsidR="006A65E4" w:rsidRPr="006355B8" w:rsidRDefault="006A65E4" w:rsidP="006A65E4">
            <w:pPr>
              <w:spacing w:after="0" w:line="240" w:lineRule="auto"/>
              <w:rPr>
                <w:b/>
                <w:bCs/>
                <w:color w:val="4F81BD"/>
              </w:rPr>
            </w:pPr>
          </w:p>
        </w:tc>
        <w:tc>
          <w:tcPr>
            <w:tcW w:w="1773" w:type="dxa"/>
          </w:tcPr>
          <w:p w:rsidR="006A65E4" w:rsidRPr="006355B8" w:rsidRDefault="006A65E4" w:rsidP="006A65E4">
            <w:pPr>
              <w:spacing w:after="0" w:line="240" w:lineRule="auto"/>
              <w:rPr>
                <w:b/>
                <w:bCs/>
                <w:color w:val="4F81BD"/>
              </w:rPr>
            </w:pPr>
          </w:p>
        </w:tc>
        <w:tc>
          <w:tcPr>
            <w:tcW w:w="1619" w:type="dxa"/>
          </w:tcPr>
          <w:p w:rsidR="006A65E4" w:rsidRPr="006355B8" w:rsidRDefault="006A65E4" w:rsidP="006A65E4">
            <w:pPr>
              <w:spacing w:after="0" w:line="240" w:lineRule="auto"/>
              <w:rPr>
                <w:b/>
                <w:bCs/>
                <w:color w:val="4F81BD"/>
              </w:rPr>
            </w:pPr>
          </w:p>
        </w:tc>
      </w:tr>
    </w:tbl>
    <w:p w:rsidR="00927A46" w:rsidRDefault="005D2411" w:rsidP="00EA35BE">
      <w:pPr>
        <w:autoSpaceDE w:val="0"/>
        <w:autoSpaceDN w:val="0"/>
        <w:adjustRightInd w:val="0"/>
      </w:pPr>
      <w:r w:rsidRPr="005D2411">
        <w:t>*Use most recent data available at time Progress Report SIP is prepared.</w:t>
      </w:r>
    </w:p>
    <w:p w:rsidR="007827ED" w:rsidRPr="005D2411" w:rsidRDefault="007827ED" w:rsidP="00EA35BE">
      <w:pPr>
        <w:autoSpaceDE w:val="0"/>
        <w:autoSpaceDN w:val="0"/>
        <w:adjustRightInd w:val="0"/>
      </w:pPr>
      <w:r>
        <w:t>Section 7 provides information on state-wide emissions reductions by sector.</w:t>
      </w:r>
    </w:p>
    <w:p w:rsidR="003F0EF5" w:rsidRPr="002E76E6" w:rsidRDefault="003F0EF5" w:rsidP="002E76E6">
      <w:pPr>
        <w:pStyle w:val="Heading3"/>
      </w:pPr>
      <w:bookmarkStart w:id="83" w:name="_Toc373843511"/>
      <w:r w:rsidRPr="002E76E6">
        <w:t>4.</w:t>
      </w:r>
      <w:r w:rsidR="00EB608E" w:rsidRPr="002E76E6">
        <w:t>4</w:t>
      </w:r>
      <w:r w:rsidR="007A33C0" w:rsidRPr="002E76E6">
        <w:t>. Status</w:t>
      </w:r>
      <w:r w:rsidRPr="002E76E6">
        <w:t xml:space="preserve"> of Controls at</w:t>
      </w:r>
      <w:r w:rsidR="008C2145" w:rsidRPr="002E76E6">
        <w:t xml:space="preserve"> </w:t>
      </w:r>
      <w:r w:rsidRPr="002E76E6">
        <w:t>167 EGU Sources</w:t>
      </w:r>
      <w:bookmarkEnd w:id="83"/>
    </w:p>
    <w:p w:rsidR="00EB608E" w:rsidRPr="00B27876" w:rsidRDefault="00EB608E" w:rsidP="002E76E6">
      <w:r w:rsidRPr="00B27876">
        <w:t xml:space="preserve">MANE-VU identified 167 EGU sources whose 2002 emissions contributed to visibility impairment in MANE-VU Class I areas.  The location of these sources is shown in Figure </w:t>
      </w:r>
      <w:r w:rsidR="00D00671">
        <w:t>4.1.  T</w:t>
      </w:r>
      <w:r w:rsidRPr="00B27876">
        <w:t>he MANE-VU Long Term Strategy called for a 90% reduction in emissi</w:t>
      </w:r>
      <w:r w:rsidR="00CD6055">
        <w:t>ons at these sources, or if it wa</w:t>
      </w:r>
      <w:r w:rsidRPr="00B27876">
        <w:t xml:space="preserve">s infeasible to achieve that level of reduction from a unit, alternative measures </w:t>
      </w:r>
      <w:r w:rsidR="00CD6055">
        <w:t>were to</w:t>
      </w:r>
      <w:r w:rsidRPr="00B27876">
        <w:t xml:space="preserve"> be pursued </w:t>
      </w:r>
      <w:r w:rsidR="004250EE">
        <w:t>by the</w:t>
      </w:r>
      <w:r w:rsidRPr="00B27876">
        <w:t xml:space="preserve"> State. </w:t>
      </w:r>
    </w:p>
    <w:p w:rsidR="006D497F" w:rsidRDefault="00EB608E" w:rsidP="002A2A91">
      <w:r w:rsidRPr="00B27876">
        <w:t>The “167 EGU strategy,” could lead to large reductions in SO</w:t>
      </w:r>
      <w:r w:rsidRPr="00CD6055">
        <w:rPr>
          <w:vertAlign w:val="subscript"/>
        </w:rPr>
        <w:t>2</w:t>
      </w:r>
      <w:r w:rsidRPr="00B27876">
        <w:t xml:space="preserve"> emissions due to installation of stack control technologies such as SO</w:t>
      </w:r>
      <w:r w:rsidRPr="00CD6055">
        <w:rPr>
          <w:vertAlign w:val="subscript"/>
        </w:rPr>
        <w:t>2</w:t>
      </w:r>
      <w:r w:rsidRPr="00B27876">
        <w:t xml:space="preserve"> scrubbers. To determine the possible benefits of this EGU control program, NESCAUM modeled 2018 emissions for the 167 EGUs in the Northeast, Southeast, and Midwest at levels equal to 10 percent of their 2002 emissions.  NESCAUM used CMAQ to model sulfate concentrations in 2018 after implementation of this control program and converted sulfate concentrations to PM</w:t>
      </w:r>
      <w:r w:rsidRPr="002A2A91">
        <w:rPr>
          <w:vertAlign w:val="subscript"/>
        </w:rPr>
        <w:t>2.5</w:t>
      </w:r>
      <w:r w:rsidRPr="00B27876">
        <w:t xml:space="preserve"> concentrations.</w:t>
      </w:r>
      <w:bookmarkStart w:id="84" w:name="_Toc341960500"/>
    </w:p>
    <w:p w:rsidR="00DA27BA" w:rsidRPr="002A2A91" w:rsidRDefault="00DA27BA" w:rsidP="002A2A91">
      <w:pPr>
        <w:rPr>
          <w:rStyle w:val="Heading8Char"/>
          <w:rFonts w:ascii="Times New Roman" w:hAnsi="Times New Roman"/>
          <w:color w:val="auto"/>
          <w:sz w:val="22"/>
          <w:szCs w:val="22"/>
          <w:highlight w:val="yellow"/>
        </w:rPr>
      </w:pPr>
    </w:p>
    <w:p w:rsidR="00670FB4" w:rsidRDefault="00670FB4">
      <w:pPr>
        <w:spacing w:after="0" w:line="240" w:lineRule="auto"/>
        <w:rPr>
          <w:rStyle w:val="Heading8Char"/>
          <w:rFonts w:ascii="Arial" w:eastAsia="Times New Roman" w:hAnsi="Arial" w:cs="Arial"/>
          <w:b/>
          <w:bCs/>
          <w:color w:val="auto"/>
        </w:rPr>
      </w:pPr>
      <w:bookmarkStart w:id="85" w:name="_Toc373843565"/>
      <w:bookmarkEnd w:id="84"/>
      <w:r>
        <w:rPr>
          <w:rStyle w:val="Heading8Char"/>
          <w:rFonts w:ascii="Arial" w:hAnsi="Arial" w:cs="Arial"/>
          <w:color w:val="auto"/>
        </w:rPr>
        <w:br w:type="page"/>
      </w:r>
    </w:p>
    <w:p w:rsidR="00370C3A" w:rsidRDefault="00370C3A" w:rsidP="00DA27BA">
      <w:pPr>
        <w:pStyle w:val="2TablesandFigures2"/>
        <w:rPr>
          <w:rStyle w:val="Heading8Char"/>
          <w:rFonts w:ascii="Arial" w:hAnsi="Arial" w:cs="Arial"/>
          <w:color w:val="auto"/>
        </w:rPr>
      </w:pPr>
      <w:bookmarkStart w:id="86" w:name="_Toc374023013"/>
      <w:proofErr w:type="gramStart"/>
      <w:r>
        <w:rPr>
          <w:rStyle w:val="Heading8Char"/>
          <w:rFonts w:ascii="Arial" w:hAnsi="Arial" w:cs="Arial"/>
          <w:color w:val="auto"/>
        </w:rPr>
        <w:lastRenderedPageBreak/>
        <w:t>Figure 4.1</w:t>
      </w:r>
      <w:r w:rsidRPr="002F5DDC">
        <w:rPr>
          <w:rStyle w:val="Heading8Char"/>
          <w:rFonts w:ascii="Arial" w:hAnsi="Arial" w:cs="Arial"/>
          <w:color w:val="auto"/>
        </w:rPr>
        <w:t>.</w:t>
      </w:r>
      <w:proofErr w:type="gramEnd"/>
      <w:r w:rsidRPr="002F5DDC">
        <w:rPr>
          <w:rStyle w:val="Heading8Char"/>
          <w:rFonts w:ascii="Arial" w:hAnsi="Arial" w:cs="Arial"/>
          <w:color w:val="auto"/>
        </w:rPr>
        <w:t xml:space="preserve">  </w:t>
      </w:r>
      <w:r>
        <w:rPr>
          <w:rStyle w:val="Heading8Char"/>
          <w:rFonts w:ascii="Arial" w:hAnsi="Arial" w:cs="Arial"/>
          <w:color w:val="auto"/>
        </w:rPr>
        <w:t>167 EGU Stacks Identified as Affecting MANE-VU Class I Area(s) in 2002</w:t>
      </w:r>
      <w:bookmarkEnd w:id="85"/>
      <w:bookmarkEnd w:id="86"/>
    </w:p>
    <w:p w:rsidR="00E5794F" w:rsidRPr="00E5794F" w:rsidRDefault="00E5794F" w:rsidP="00E5794F"/>
    <w:p w:rsidR="00EB608E" w:rsidRDefault="0022132B" w:rsidP="00EB608E">
      <w:r>
        <w:rPr>
          <w:b/>
          <w:noProof/>
        </w:rPr>
        <w:drawing>
          <wp:inline distT="0" distB="0" distL="0" distR="0">
            <wp:extent cx="5426710" cy="4156075"/>
            <wp:effectExtent l="19050" t="19050" r="21590" b="158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srcRect/>
                    <a:stretch>
                      <a:fillRect/>
                    </a:stretch>
                  </pic:blipFill>
                  <pic:spPr bwMode="auto">
                    <a:xfrm>
                      <a:off x="0" y="0"/>
                      <a:ext cx="5426710" cy="4156075"/>
                    </a:xfrm>
                    <a:prstGeom prst="rect">
                      <a:avLst/>
                    </a:prstGeom>
                    <a:noFill/>
                    <a:ln w="9525" cmpd="sng">
                      <a:solidFill>
                        <a:srgbClr val="000000"/>
                      </a:solidFill>
                      <a:miter lim="800000"/>
                      <a:headEnd/>
                      <a:tailEnd/>
                    </a:ln>
                    <a:effectLst/>
                  </pic:spPr>
                </pic:pic>
              </a:graphicData>
            </a:graphic>
          </wp:inline>
        </w:drawing>
      </w:r>
    </w:p>
    <w:p w:rsidR="00E5794F" w:rsidRDefault="00E5794F" w:rsidP="003F0EF5"/>
    <w:p w:rsidR="003F0EF5" w:rsidRPr="002A2A91" w:rsidRDefault="002A2A91" w:rsidP="003F0EF5">
      <w:r>
        <w:t>NESCAUM</w:t>
      </w:r>
      <w:r w:rsidR="003F0EF5" w:rsidRPr="006723E1">
        <w:t xml:space="preserve"> report</w:t>
      </w:r>
      <w:r>
        <w:t>ed</w:t>
      </w:r>
      <w:r w:rsidR="003F0EF5" w:rsidRPr="006723E1">
        <w:t xml:space="preserve"> on the status of emission reductions at those key sources.</w:t>
      </w:r>
      <w:r w:rsidR="002A5384">
        <w:t xml:space="preserve">  </w:t>
      </w:r>
      <w:r>
        <w:t xml:space="preserve">As shown in Table 4.3, in 2002, emissions from the 167 key stacks were nearly 4.6 million tons per year.  By </w:t>
      </w:r>
      <w:r w:rsidRPr="00057442">
        <w:rPr>
          <w:highlight w:val="cyan"/>
        </w:rPr>
        <w:t>201</w:t>
      </w:r>
      <w:r w:rsidR="006D2846" w:rsidRPr="00057442">
        <w:rPr>
          <w:highlight w:val="cyan"/>
        </w:rPr>
        <w:t>4</w:t>
      </w:r>
      <w:r>
        <w:t xml:space="preserve"> data from EPA’s Clean Air Markets Division (CAMD) indicates these emissions had dropped by </w:t>
      </w:r>
      <w:r w:rsidR="00853900" w:rsidRPr="00057442">
        <w:rPr>
          <w:highlight w:val="cyan"/>
        </w:rPr>
        <w:t xml:space="preserve">nearly </w:t>
      </w:r>
      <w:r w:rsidRPr="00057442">
        <w:rPr>
          <w:highlight w:val="cyan"/>
        </w:rPr>
        <w:t>3</w:t>
      </w:r>
      <w:r w:rsidR="00853900" w:rsidRPr="00057442">
        <w:rPr>
          <w:highlight w:val="cyan"/>
        </w:rPr>
        <w:t>.7</w:t>
      </w:r>
      <w:r>
        <w:t xml:space="preserve"> million tons per year.  Only </w:t>
      </w:r>
      <w:r w:rsidR="006D2846" w:rsidRPr="00057442">
        <w:rPr>
          <w:highlight w:val="cyan"/>
        </w:rPr>
        <w:t>5</w:t>
      </w:r>
      <w:r>
        <w:t xml:space="preserve"> units increase emissions from </w:t>
      </w:r>
      <w:r w:rsidRPr="0020798B">
        <w:rPr>
          <w:highlight w:val="yellow"/>
        </w:rPr>
        <w:t xml:space="preserve">2002 to </w:t>
      </w:r>
      <w:r w:rsidRPr="00057442">
        <w:rPr>
          <w:highlight w:val="cyan"/>
        </w:rPr>
        <w:t>201</w:t>
      </w:r>
      <w:r w:rsidR="006D2846" w:rsidRPr="00057442">
        <w:rPr>
          <w:highlight w:val="cyan"/>
        </w:rPr>
        <w:t>4</w:t>
      </w:r>
      <w:r>
        <w:t xml:space="preserve">, with the increase from these units being </w:t>
      </w:r>
      <w:r w:rsidR="005D7E7B">
        <w:t>less than</w:t>
      </w:r>
      <w:r>
        <w:t xml:space="preserve"> </w:t>
      </w:r>
      <w:r w:rsidR="006D2846" w:rsidRPr="00057442">
        <w:rPr>
          <w:highlight w:val="cyan"/>
        </w:rPr>
        <w:t>28</w:t>
      </w:r>
      <w:r w:rsidRPr="00057442">
        <w:rPr>
          <w:highlight w:val="cyan"/>
        </w:rPr>
        <w:t>,000</w:t>
      </w:r>
      <w:r>
        <w:t xml:space="preserve"> tons.  Overall, there was a </w:t>
      </w:r>
      <w:r w:rsidR="00BD09EF" w:rsidRPr="00057442">
        <w:rPr>
          <w:highlight w:val="cyan"/>
        </w:rPr>
        <w:t>2</w:t>
      </w:r>
      <w:r w:rsidRPr="00057442">
        <w:rPr>
          <w:highlight w:val="cyan"/>
        </w:rPr>
        <w:t>9%</w:t>
      </w:r>
      <w:r>
        <w:t xml:space="preserve"> decline in heat input and a </w:t>
      </w:r>
      <w:r w:rsidR="0020798B">
        <w:rPr>
          <w:highlight w:val="yellow"/>
        </w:rPr>
        <w:t>81</w:t>
      </w:r>
      <w:r w:rsidRPr="0020798B">
        <w:rPr>
          <w:highlight w:val="yellow"/>
        </w:rPr>
        <w:t>%</w:t>
      </w:r>
      <w:r>
        <w:t xml:space="preserve"> drop in emissions.</w:t>
      </w:r>
      <w:r w:rsidR="002A5384">
        <w:t>&lt;</w:t>
      </w:r>
      <w:r w:rsidR="002A5384" w:rsidRPr="002A5384">
        <w:rPr>
          <w:highlight w:val="yellow"/>
        </w:rPr>
        <w:t>A state may wish to include a table here that summarizes the latest (</w:t>
      </w:r>
      <w:r w:rsidR="002A5384" w:rsidRPr="00057442">
        <w:rPr>
          <w:highlight w:val="cyan"/>
        </w:rPr>
        <w:t>201</w:t>
      </w:r>
      <w:r w:rsidR="00057442" w:rsidRPr="00057442">
        <w:rPr>
          <w:highlight w:val="cyan"/>
        </w:rPr>
        <w:t>4</w:t>
      </w:r>
      <w:r w:rsidR="002A5384" w:rsidRPr="002A5384">
        <w:rPr>
          <w:highlight w:val="yellow"/>
        </w:rPr>
        <w:t>) emissions compared to 2002 emissions from the 167 stacks located in the state.</w:t>
      </w:r>
      <w:r w:rsidR="002A5384">
        <w:t>&gt;</w:t>
      </w:r>
    </w:p>
    <w:p w:rsidR="00241C37" w:rsidRDefault="002A2A91" w:rsidP="007827ED">
      <w:pPr>
        <w:rPr>
          <w:rFonts w:ascii="Arial" w:eastAsia="Times New Roman" w:hAnsi="Arial" w:cs="Arial"/>
          <w:b/>
          <w:bCs/>
          <w:sz w:val="20"/>
          <w:szCs w:val="18"/>
        </w:rPr>
      </w:pPr>
      <w:r>
        <w:t xml:space="preserve">58 of the 167 key EGU stacks are located in MANE-VU.  </w:t>
      </w:r>
      <w:r w:rsidR="00BD09EF" w:rsidRPr="00057442">
        <w:rPr>
          <w:highlight w:val="cyan"/>
        </w:rPr>
        <w:t>43</w:t>
      </w:r>
      <w:r w:rsidRPr="0020798B">
        <w:rPr>
          <w:highlight w:val="yellow"/>
        </w:rPr>
        <w:t xml:space="preserve"> of those had already achieved 90% emissions reductions by </w:t>
      </w:r>
      <w:r w:rsidRPr="00057442">
        <w:rPr>
          <w:highlight w:val="cyan"/>
        </w:rPr>
        <w:t>201</w:t>
      </w:r>
      <w:r w:rsidR="00BD09EF" w:rsidRPr="00057442">
        <w:rPr>
          <w:highlight w:val="cyan"/>
        </w:rPr>
        <w:t>4</w:t>
      </w:r>
      <w:r w:rsidR="00154605" w:rsidRPr="0020798B">
        <w:rPr>
          <w:highlight w:val="yellow"/>
        </w:rPr>
        <w:t xml:space="preserve"> and another </w:t>
      </w:r>
      <w:r w:rsidR="00BD09EF" w:rsidRPr="00057442">
        <w:rPr>
          <w:highlight w:val="cyan"/>
        </w:rPr>
        <w:t>6</w:t>
      </w:r>
      <w:r w:rsidR="00154605" w:rsidRPr="0020798B">
        <w:rPr>
          <w:highlight w:val="yellow"/>
        </w:rPr>
        <w:t xml:space="preserve"> had already achieved 90% emission reductions by </w:t>
      </w:r>
      <w:r w:rsidR="00154605" w:rsidRPr="00057442">
        <w:rPr>
          <w:highlight w:val="cyan"/>
        </w:rPr>
        <w:t>201</w:t>
      </w:r>
      <w:r w:rsidR="00BD09EF" w:rsidRPr="00057442">
        <w:rPr>
          <w:highlight w:val="cyan"/>
        </w:rPr>
        <w:t>4</w:t>
      </w:r>
      <w:r w:rsidR="00154605" w:rsidRPr="0020798B">
        <w:rPr>
          <w:highlight w:val="yellow"/>
        </w:rPr>
        <w:t xml:space="preserve"> when</w:t>
      </w:r>
      <w:r w:rsidR="0020798B" w:rsidRPr="0020798B">
        <w:rPr>
          <w:highlight w:val="yellow"/>
        </w:rPr>
        <w:t xml:space="preserve"> emissions </w:t>
      </w:r>
      <w:r w:rsidR="0020798B">
        <w:rPr>
          <w:highlight w:val="yellow"/>
        </w:rPr>
        <w:t xml:space="preserve">reductions </w:t>
      </w:r>
      <w:r w:rsidR="0020798B" w:rsidRPr="0020798B">
        <w:rPr>
          <w:highlight w:val="yellow"/>
        </w:rPr>
        <w:t>from other stacks at the167 EGU facilit</w:t>
      </w:r>
      <w:r w:rsidR="0020798B">
        <w:rPr>
          <w:highlight w:val="yellow"/>
        </w:rPr>
        <w:t>y were included</w:t>
      </w:r>
      <w:r w:rsidRPr="0020798B">
        <w:rPr>
          <w:highlight w:val="yellow"/>
        </w:rPr>
        <w:t>.</w:t>
      </w:r>
      <w:r w:rsidR="00241C37">
        <w:br w:type="page"/>
      </w:r>
    </w:p>
    <w:p w:rsidR="00373528" w:rsidRPr="007D1888" w:rsidRDefault="00373528" w:rsidP="00F60FE6">
      <w:pPr>
        <w:pStyle w:val="Caption"/>
        <w:rPr>
          <w:rStyle w:val="Heading8Char"/>
          <w:rFonts w:ascii="Arial" w:hAnsi="Arial" w:cs="Arial"/>
          <w:color w:val="auto"/>
        </w:rPr>
      </w:pPr>
      <w:bookmarkStart w:id="87" w:name="_Toc373842780"/>
      <w:bookmarkStart w:id="88" w:name="_Toc373843566"/>
      <w:bookmarkStart w:id="89" w:name="_Toc373844554"/>
      <w:proofErr w:type="gramStart"/>
      <w:r w:rsidRPr="007D1888">
        <w:rPr>
          <w:rStyle w:val="Heading8Char"/>
          <w:rFonts w:ascii="Arial" w:hAnsi="Arial" w:cs="Arial"/>
          <w:color w:val="auto"/>
        </w:rPr>
        <w:lastRenderedPageBreak/>
        <w:t>Table 4.3.</w:t>
      </w:r>
      <w:proofErr w:type="gramEnd"/>
      <w:r w:rsidRPr="007D1888">
        <w:rPr>
          <w:rStyle w:val="Heading8Char"/>
          <w:rFonts w:ascii="Arial" w:hAnsi="Arial" w:cs="Arial"/>
          <w:color w:val="auto"/>
        </w:rPr>
        <w:t xml:space="preserve"> SO</w:t>
      </w:r>
      <w:r w:rsidRPr="00A15345">
        <w:rPr>
          <w:rStyle w:val="Heading8Char"/>
          <w:rFonts w:ascii="Arial" w:hAnsi="Arial" w:cs="Arial"/>
          <w:color w:val="auto"/>
          <w:vertAlign w:val="subscript"/>
        </w:rPr>
        <w:t xml:space="preserve">2 </w:t>
      </w:r>
      <w:r w:rsidRPr="007D1888">
        <w:rPr>
          <w:rStyle w:val="Heading8Char"/>
          <w:rFonts w:ascii="Arial" w:hAnsi="Arial" w:cs="Arial"/>
          <w:color w:val="auto"/>
        </w:rPr>
        <w:t xml:space="preserve">Emissions from 167 Key EGU Stacks, 2002 and </w:t>
      </w:r>
      <w:r w:rsidRPr="00057442">
        <w:rPr>
          <w:rStyle w:val="Heading8Char"/>
          <w:rFonts w:ascii="Arial" w:hAnsi="Arial" w:cs="Arial"/>
          <w:color w:val="auto"/>
          <w:highlight w:val="cyan"/>
        </w:rPr>
        <w:t>201</w:t>
      </w:r>
      <w:bookmarkEnd w:id="87"/>
      <w:bookmarkEnd w:id="88"/>
      <w:bookmarkEnd w:id="89"/>
      <w:r w:rsidR="00DD5ADB" w:rsidRPr="00057442">
        <w:rPr>
          <w:rStyle w:val="Heading8Char"/>
          <w:rFonts w:ascii="Arial" w:hAnsi="Arial" w:cs="Arial"/>
          <w:color w:val="auto"/>
          <w:highlight w:val="cyan"/>
        </w:rPr>
        <w:t>4</w:t>
      </w:r>
    </w:p>
    <w:tbl>
      <w:tblPr>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1327"/>
        <w:gridCol w:w="2250"/>
        <w:gridCol w:w="2070"/>
        <w:gridCol w:w="2202"/>
      </w:tblGrid>
      <w:tr w:rsidR="00241C37" w:rsidTr="002636D1">
        <w:tc>
          <w:tcPr>
            <w:tcW w:w="1931" w:type="dxa"/>
            <w:vMerge w:val="restart"/>
            <w:vAlign w:val="bottom"/>
          </w:tcPr>
          <w:p w:rsidR="007827ED" w:rsidRDefault="007827ED" w:rsidP="002636D1">
            <w:pPr>
              <w:spacing w:before="60" w:after="60" w:line="240" w:lineRule="auto"/>
              <w:jc w:val="center"/>
              <w:rPr>
                <w:rFonts w:ascii="Arial" w:hAnsi="Arial" w:cs="Arial"/>
                <w:b/>
              </w:rPr>
            </w:pPr>
          </w:p>
          <w:p w:rsidR="007827ED" w:rsidRPr="00095317" w:rsidRDefault="007827ED" w:rsidP="002636D1">
            <w:pPr>
              <w:spacing w:before="60" w:after="60" w:line="240" w:lineRule="auto"/>
              <w:jc w:val="center"/>
              <w:rPr>
                <w:rFonts w:ascii="Arial" w:hAnsi="Arial" w:cs="Arial"/>
                <w:b/>
              </w:rPr>
            </w:pPr>
            <w:r w:rsidRPr="00095317">
              <w:rPr>
                <w:rFonts w:ascii="Arial" w:hAnsi="Arial" w:cs="Arial"/>
                <w:b/>
              </w:rPr>
              <w:t>State</w:t>
            </w:r>
          </w:p>
        </w:tc>
        <w:tc>
          <w:tcPr>
            <w:tcW w:w="1327" w:type="dxa"/>
            <w:vMerge w:val="restart"/>
            <w:vAlign w:val="bottom"/>
          </w:tcPr>
          <w:p w:rsidR="007827ED" w:rsidRDefault="007827ED" w:rsidP="002636D1">
            <w:pPr>
              <w:spacing w:before="60" w:after="60" w:line="240" w:lineRule="auto"/>
              <w:jc w:val="center"/>
              <w:rPr>
                <w:rFonts w:ascii="Arial" w:hAnsi="Arial" w:cs="Arial"/>
                <w:b/>
              </w:rPr>
            </w:pPr>
          </w:p>
          <w:p w:rsidR="00241C37" w:rsidRPr="00095317" w:rsidRDefault="00241C37" w:rsidP="002636D1">
            <w:pPr>
              <w:spacing w:before="60" w:after="60" w:line="240" w:lineRule="auto"/>
              <w:jc w:val="center"/>
              <w:rPr>
                <w:rFonts w:ascii="Arial" w:hAnsi="Arial" w:cs="Arial"/>
                <w:b/>
              </w:rPr>
            </w:pPr>
            <w:r w:rsidRPr="00095317">
              <w:rPr>
                <w:rFonts w:ascii="Arial" w:hAnsi="Arial" w:cs="Arial"/>
                <w:b/>
              </w:rPr>
              <w:t>Number of Stacks</w:t>
            </w:r>
          </w:p>
        </w:tc>
        <w:tc>
          <w:tcPr>
            <w:tcW w:w="4320" w:type="dxa"/>
            <w:gridSpan w:val="2"/>
            <w:vAlign w:val="bottom"/>
          </w:tcPr>
          <w:p w:rsidR="00241C37" w:rsidRPr="00095317" w:rsidRDefault="00241C37" w:rsidP="002636D1">
            <w:pPr>
              <w:spacing w:before="60" w:after="60" w:line="240" w:lineRule="auto"/>
              <w:jc w:val="center"/>
              <w:rPr>
                <w:rFonts w:ascii="Arial" w:hAnsi="Arial" w:cs="Arial"/>
                <w:b/>
              </w:rPr>
            </w:pPr>
            <w:r w:rsidRPr="00095317">
              <w:rPr>
                <w:rFonts w:ascii="Arial" w:hAnsi="Arial" w:cs="Arial"/>
                <w:b/>
              </w:rPr>
              <w:t>SO</w:t>
            </w:r>
            <w:r w:rsidRPr="007827ED">
              <w:rPr>
                <w:rFonts w:ascii="Arial" w:hAnsi="Arial" w:cs="Arial"/>
                <w:b/>
                <w:vertAlign w:val="subscript"/>
              </w:rPr>
              <w:t>2</w:t>
            </w:r>
            <w:r w:rsidRPr="00095317">
              <w:rPr>
                <w:rFonts w:ascii="Arial" w:hAnsi="Arial" w:cs="Arial"/>
                <w:b/>
              </w:rPr>
              <w:t xml:space="preserve"> Emissions</w:t>
            </w:r>
            <w:r w:rsidR="00E31D00" w:rsidRPr="00095317">
              <w:rPr>
                <w:rFonts w:ascii="Arial" w:hAnsi="Arial" w:cs="Arial"/>
                <w:b/>
              </w:rPr>
              <w:t xml:space="preserve"> </w:t>
            </w:r>
            <w:r w:rsidR="007827ED">
              <w:rPr>
                <w:rFonts w:ascii="Arial" w:hAnsi="Arial" w:cs="Arial"/>
                <w:b/>
              </w:rPr>
              <w:t>(</w:t>
            </w:r>
            <w:r w:rsidR="00095317">
              <w:rPr>
                <w:rFonts w:ascii="Arial" w:hAnsi="Arial" w:cs="Arial"/>
                <w:b/>
              </w:rPr>
              <w:t>Tons per Year</w:t>
            </w:r>
            <w:r w:rsidR="007827ED">
              <w:rPr>
                <w:rFonts w:ascii="Arial" w:hAnsi="Arial" w:cs="Arial"/>
                <w:b/>
              </w:rPr>
              <w:t>)</w:t>
            </w:r>
          </w:p>
        </w:tc>
        <w:tc>
          <w:tcPr>
            <w:tcW w:w="2202" w:type="dxa"/>
            <w:vMerge w:val="restart"/>
            <w:vAlign w:val="bottom"/>
          </w:tcPr>
          <w:p w:rsidR="007827ED" w:rsidRDefault="007827ED" w:rsidP="002636D1">
            <w:pPr>
              <w:spacing w:before="60" w:after="60" w:line="240" w:lineRule="auto"/>
              <w:jc w:val="center"/>
              <w:rPr>
                <w:rFonts w:ascii="Arial" w:hAnsi="Arial" w:cs="Arial"/>
                <w:b/>
              </w:rPr>
            </w:pPr>
          </w:p>
          <w:p w:rsidR="00241C37" w:rsidRPr="00095317" w:rsidRDefault="00241C37" w:rsidP="002636D1">
            <w:pPr>
              <w:spacing w:before="60" w:after="60" w:line="240" w:lineRule="auto"/>
              <w:jc w:val="center"/>
              <w:rPr>
                <w:rFonts w:ascii="Arial" w:hAnsi="Arial" w:cs="Arial"/>
                <w:b/>
              </w:rPr>
            </w:pPr>
            <w:r w:rsidRPr="00095317">
              <w:rPr>
                <w:rFonts w:ascii="Arial" w:hAnsi="Arial" w:cs="Arial"/>
                <w:b/>
              </w:rPr>
              <w:t>Percent Change</w:t>
            </w:r>
          </w:p>
        </w:tc>
      </w:tr>
      <w:tr w:rsidR="00241C37" w:rsidTr="002636D1">
        <w:tc>
          <w:tcPr>
            <w:tcW w:w="1931" w:type="dxa"/>
            <w:vMerge/>
          </w:tcPr>
          <w:p w:rsidR="00241C37" w:rsidRPr="00095317" w:rsidRDefault="00241C37" w:rsidP="00095317">
            <w:pPr>
              <w:jc w:val="center"/>
              <w:rPr>
                <w:rFonts w:ascii="Arial" w:hAnsi="Arial" w:cs="Arial"/>
              </w:rPr>
            </w:pPr>
          </w:p>
        </w:tc>
        <w:tc>
          <w:tcPr>
            <w:tcW w:w="1327" w:type="dxa"/>
            <w:vMerge/>
          </w:tcPr>
          <w:p w:rsidR="00241C37" w:rsidRPr="00095317" w:rsidRDefault="00241C37" w:rsidP="00095317">
            <w:pPr>
              <w:jc w:val="center"/>
              <w:rPr>
                <w:rFonts w:ascii="Arial" w:hAnsi="Arial" w:cs="Arial"/>
              </w:rPr>
            </w:pPr>
          </w:p>
        </w:tc>
        <w:tc>
          <w:tcPr>
            <w:tcW w:w="2250" w:type="dxa"/>
            <w:vAlign w:val="bottom"/>
          </w:tcPr>
          <w:p w:rsidR="00241C37" w:rsidRPr="00095317" w:rsidRDefault="00241C37" w:rsidP="002636D1">
            <w:pPr>
              <w:spacing w:before="60" w:after="60" w:line="240" w:lineRule="auto"/>
              <w:jc w:val="center"/>
              <w:rPr>
                <w:rFonts w:ascii="Arial" w:hAnsi="Arial" w:cs="Arial"/>
                <w:b/>
              </w:rPr>
            </w:pPr>
            <w:r w:rsidRPr="00095317">
              <w:rPr>
                <w:rFonts w:ascii="Arial" w:hAnsi="Arial" w:cs="Arial"/>
                <w:b/>
              </w:rPr>
              <w:t>2002</w:t>
            </w:r>
          </w:p>
        </w:tc>
        <w:tc>
          <w:tcPr>
            <w:tcW w:w="2070" w:type="dxa"/>
            <w:vAlign w:val="bottom"/>
          </w:tcPr>
          <w:p w:rsidR="00241C37" w:rsidRPr="007E0000" w:rsidRDefault="00241C37" w:rsidP="00DD5ADB">
            <w:pPr>
              <w:spacing w:before="60" w:after="60" w:line="240" w:lineRule="auto"/>
              <w:jc w:val="center"/>
              <w:rPr>
                <w:rFonts w:ascii="Arial" w:hAnsi="Arial" w:cs="Arial"/>
                <w:b/>
                <w:highlight w:val="yellow"/>
              </w:rPr>
            </w:pPr>
            <w:r w:rsidRPr="00057442">
              <w:rPr>
                <w:rFonts w:ascii="Arial" w:hAnsi="Arial" w:cs="Arial"/>
                <w:b/>
                <w:highlight w:val="cyan"/>
              </w:rPr>
              <w:t>201</w:t>
            </w:r>
            <w:r w:rsidR="00DD5ADB" w:rsidRPr="00057442">
              <w:rPr>
                <w:rFonts w:ascii="Arial" w:hAnsi="Arial" w:cs="Arial"/>
                <w:b/>
                <w:highlight w:val="cyan"/>
              </w:rPr>
              <w:t>4</w:t>
            </w:r>
          </w:p>
        </w:tc>
        <w:tc>
          <w:tcPr>
            <w:tcW w:w="2202" w:type="dxa"/>
            <w:vMerge/>
          </w:tcPr>
          <w:p w:rsidR="00241C37" w:rsidRPr="00095317" w:rsidRDefault="00241C37" w:rsidP="00095317">
            <w:pPr>
              <w:rPr>
                <w:rFonts w:ascii="Arial" w:hAnsi="Arial" w:cs="Arial"/>
              </w:rPr>
            </w:pPr>
          </w:p>
        </w:tc>
      </w:tr>
      <w:tr w:rsidR="00241C37" w:rsidTr="009A4B74">
        <w:tc>
          <w:tcPr>
            <w:tcW w:w="1931" w:type="dxa"/>
          </w:tcPr>
          <w:p w:rsidR="00241C37" w:rsidRPr="00574CCB" w:rsidRDefault="00241C37" w:rsidP="002636D1">
            <w:pPr>
              <w:spacing w:before="60" w:after="60" w:line="240" w:lineRule="auto"/>
            </w:pPr>
            <w:r w:rsidRPr="00574CCB">
              <w:t>Delaware</w:t>
            </w:r>
          </w:p>
        </w:tc>
        <w:tc>
          <w:tcPr>
            <w:tcW w:w="1327" w:type="dxa"/>
          </w:tcPr>
          <w:p w:rsidR="00241C37" w:rsidRPr="00574CCB" w:rsidRDefault="00E31D00" w:rsidP="002636D1">
            <w:pPr>
              <w:spacing w:before="60" w:after="60" w:line="240" w:lineRule="auto"/>
              <w:jc w:val="right"/>
            </w:pPr>
            <w:r w:rsidRPr="00574CCB">
              <w:t>5</w:t>
            </w:r>
          </w:p>
        </w:tc>
        <w:tc>
          <w:tcPr>
            <w:tcW w:w="2250" w:type="dxa"/>
          </w:tcPr>
          <w:p w:rsidR="00241C37" w:rsidRPr="00574CCB" w:rsidRDefault="00095317" w:rsidP="002636D1">
            <w:pPr>
              <w:spacing w:before="60" w:after="60" w:line="240" w:lineRule="auto"/>
              <w:jc w:val="right"/>
            </w:pPr>
            <w:r w:rsidRPr="00574CCB">
              <w:t>22,088</w:t>
            </w:r>
          </w:p>
        </w:tc>
        <w:tc>
          <w:tcPr>
            <w:tcW w:w="2070" w:type="dxa"/>
          </w:tcPr>
          <w:p w:rsidR="00241C37" w:rsidRPr="00057442" w:rsidRDefault="00DD5ADB" w:rsidP="007E0000">
            <w:pPr>
              <w:spacing w:before="60" w:after="60" w:line="240" w:lineRule="auto"/>
              <w:jc w:val="right"/>
              <w:rPr>
                <w:highlight w:val="cyan"/>
              </w:rPr>
            </w:pPr>
            <w:r w:rsidRPr="00057442">
              <w:rPr>
                <w:highlight w:val="cyan"/>
              </w:rPr>
              <w:t>763</w:t>
            </w:r>
          </w:p>
        </w:tc>
        <w:tc>
          <w:tcPr>
            <w:tcW w:w="2202" w:type="dxa"/>
          </w:tcPr>
          <w:p w:rsidR="00241C37" w:rsidRPr="00057442" w:rsidRDefault="00355F09" w:rsidP="00DD5ADB">
            <w:pPr>
              <w:spacing w:before="60" w:after="60" w:line="240" w:lineRule="auto"/>
              <w:jc w:val="right"/>
              <w:rPr>
                <w:highlight w:val="cyan"/>
              </w:rPr>
            </w:pPr>
            <w:r w:rsidRPr="00057442">
              <w:rPr>
                <w:highlight w:val="cyan"/>
              </w:rPr>
              <w:t>*</w:t>
            </w:r>
            <w:r w:rsidR="00083425" w:rsidRPr="00057442">
              <w:rPr>
                <w:highlight w:val="cyan"/>
              </w:rPr>
              <w:t>-</w:t>
            </w:r>
            <w:r w:rsidRPr="00057442">
              <w:rPr>
                <w:highlight w:val="cyan"/>
              </w:rPr>
              <w:t>9</w:t>
            </w:r>
            <w:r w:rsidR="00DD5ADB" w:rsidRPr="00057442">
              <w:rPr>
                <w:highlight w:val="cyan"/>
              </w:rPr>
              <w:t>7</w:t>
            </w:r>
            <w:r w:rsidR="00083425" w:rsidRPr="00057442">
              <w:rPr>
                <w:highlight w:val="cyan"/>
              </w:rPr>
              <w:t>%</w:t>
            </w:r>
          </w:p>
        </w:tc>
      </w:tr>
      <w:tr w:rsidR="00241C37" w:rsidTr="009A4B74">
        <w:tc>
          <w:tcPr>
            <w:tcW w:w="1931" w:type="dxa"/>
          </w:tcPr>
          <w:p w:rsidR="00241C37" w:rsidRPr="00574CCB" w:rsidRDefault="00241C37" w:rsidP="002636D1">
            <w:pPr>
              <w:spacing w:before="60" w:after="60" w:line="240" w:lineRule="auto"/>
            </w:pPr>
            <w:r w:rsidRPr="00574CCB">
              <w:t>Georgia</w:t>
            </w:r>
          </w:p>
        </w:tc>
        <w:tc>
          <w:tcPr>
            <w:tcW w:w="1327" w:type="dxa"/>
          </w:tcPr>
          <w:p w:rsidR="00241C37" w:rsidRPr="00574CCB" w:rsidRDefault="00E31D00" w:rsidP="002636D1">
            <w:pPr>
              <w:spacing w:before="60" w:after="60" w:line="240" w:lineRule="auto"/>
              <w:jc w:val="right"/>
            </w:pPr>
            <w:r w:rsidRPr="00574CCB">
              <w:t>5</w:t>
            </w:r>
          </w:p>
        </w:tc>
        <w:tc>
          <w:tcPr>
            <w:tcW w:w="2250" w:type="dxa"/>
          </w:tcPr>
          <w:p w:rsidR="00241C37" w:rsidRPr="00574CCB" w:rsidRDefault="00095317" w:rsidP="002636D1">
            <w:pPr>
              <w:spacing w:before="60" w:after="60" w:line="240" w:lineRule="auto"/>
              <w:jc w:val="right"/>
            </w:pPr>
            <w:r w:rsidRPr="00574CCB">
              <w:t>208,419</w:t>
            </w:r>
          </w:p>
        </w:tc>
        <w:tc>
          <w:tcPr>
            <w:tcW w:w="2070" w:type="dxa"/>
          </w:tcPr>
          <w:p w:rsidR="00241C37" w:rsidRPr="00057442" w:rsidRDefault="00DD5ADB" w:rsidP="002636D1">
            <w:pPr>
              <w:spacing w:before="60" w:after="60" w:line="240" w:lineRule="auto"/>
              <w:jc w:val="right"/>
              <w:rPr>
                <w:highlight w:val="cyan"/>
              </w:rPr>
            </w:pPr>
            <w:r w:rsidRPr="00057442">
              <w:rPr>
                <w:highlight w:val="cyan"/>
              </w:rPr>
              <w:t>28,268</w:t>
            </w:r>
          </w:p>
        </w:tc>
        <w:tc>
          <w:tcPr>
            <w:tcW w:w="2202" w:type="dxa"/>
          </w:tcPr>
          <w:p w:rsidR="00241C37" w:rsidRPr="00057442" w:rsidRDefault="00083425" w:rsidP="00DD5ADB">
            <w:pPr>
              <w:spacing w:before="60" w:after="60" w:line="240" w:lineRule="auto"/>
              <w:jc w:val="right"/>
              <w:rPr>
                <w:highlight w:val="cyan"/>
              </w:rPr>
            </w:pPr>
            <w:r w:rsidRPr="00057442">
              <w:rPr>
                <w:highlight w:val="cyan"/>
              </w:rPr>
              <w:t>-</w:t>
            </w:r>
            <w:r w:rsidR="00DD5ADB" w:rsidRPr="00057442">
              <w:rPr>
                <w:highlight w:val="cyan"/>
              </w:rPr>
              <w:t>86</w:t>
            </w:r>
            <w:r w:rsidRPr="00057442">
              <w:rPr>
                <w:highlight w:val="cyan"/>
              </w:rPr>
              <w:t>%</w:t>
            </w:r>
          </w:p>
        </w:tc>
      </w:tr>
      <w:tr w:rsidR="00241C37" w:rsidRPr="00574CCB" w:rsidTr="009A4B74">
        <w:tc>
          <w:tcPr>
            <w:tcW w:w="1931" w:type="dxa"/>
          </w:tcPr>
          <w:p w:rsidR="00241C37" w:rsidRPr="00574CCB" w:rsidRDefault="00241C37" w:rsidP="002636D1">
            <w:pPr>
              <w:spacing w:before="60" w:after="60" w:line="240" w:lineRule="auto"/>
            </w:pPr>
            <w:r w:rsidRPr="00574CCB">
              <w:t>Illinois</w:t>
            </w:r>
          </w:p>
        </w:tc>
        <w:tc>
          <w:tcPr>
            <w:tcW w:w="1327" w:type="dxa"/>
          </w:tcPr>
          <w:p w:rsidR="00241C37" w:rsidRPr="00574CCB" w:rsidRDefault="00E31D00" w:rsidP="002636D1">
            <w:pPr>
              <w:spacing w:before="60" w:after="60" w:line="240" w:lineRule="auto"/>
              <w:jc w:val="right"/>
            </w:pPr>
            <w:r w:rsidRPr="00574CCB">
              <w:t>1</w:t>
            </w:r>
          </w:p>
        </w:tc>
        <w:tc>
          <w:tcPr>
            <w:tcW w:w="2250" w:type="dxa"/>
          </w:tcPr>
          <w:p w:rsidR="00241C37" w:rsidRPr="00574CCB" w:rsidRDefault="00095317" w:rsidP="002636D1">
            <w:pPr>
              <w:spacing w:before="60" w:after="60" w:line="240" w:lineRule="auto"/>
              <w:jc w:val="right"/>
            </w:pPr>
            <w:r w:rsidRPr="00574CCB">
              <w:t>42,331</w:t>
            </w:r>
          </w:p>
        </w:tc>
        <w:tc>
          <w:tcPr>
            <w:tcW w:w="2070" w:type="dxa"/>
          </w:tcPr>
          <w:p w:rsidR="00241C37" w:rsidRPr="00057442" w:rsidRDefault="00DD5ADB" w:rsidP="00355F09">
            <w:pPr>
              <w:spacing w:before="60" w:after="60" w:line="240" w:lineRule="auto"/>
              <w:jc w:val="right"/>
              <w:rPr>
                <w:highlight w:val="cyan"/>
              </w:rPr>
            </w:pPr>
            <w:r w:rsidRPr="00057442">
              <w:rPr>
                <w:highlight w:val="cyan"/>
              </w:rPr>
              <w:t>32</w:t>
            </w:r>
          </w:p>
        </w:tc>
        <w:tc>
          <w:tcPr>
            <w:tcW w:w="2202" w:type="dxa"/>
          </w:tcPr>
          <w:p w:rsidR="00241C37" w:rsidRPr="00057442" w:rsidRDefault="00574CCB" w:rsidP="002636D1">
            <w:pPr>
              <w:pStyle w:val="Bullets"/>
              <w:numPr>
                <w:ilvl w:val="0"/>
                <w:numId w:val="0"/>
              </w:numPr>
              <w:spacing w:before="60" w:after="60" w:line="240" w:lineRule="auto"/>
              <w:ind w:left="720" w:hanging="360"/>
              <w:jc w:val="right"/>
              <w:rPr>
                <w:highlight w:val="cyan"/>
              </w:rPr>
            </w:pPr>
            <w:r w:rsidRPr="00057442">
              <w:rPr>
                <w:highlight w:val="cyan"/>
              </w:rPr>
              <w:t>*</w:t>
            </w:r>
            <w:r w:rsidR="00083425" w:rsidRPr="00057442">
              <w:rPr>
                <w:highlight w:val="cyan"/>
              </w:rPr>
              <w:t>-100%</w:t>
            </w:r>
          </w:p>
        </w:tc>
      </w:tr>
      <w:tr w:rsidR="00241C37" w:rsidTr="009A4B74">
        <w:tc>
          <w:tcPr>
            <w:tcW w:w="1931" w:type="dxa"/>
          </w:tcPr>
          <w:p w:rsidR="00241C37" w:rsidRPr="00574CCB" w:rsidRDefault="00241C37" w:rsidP="002636D1">
            <w:pPr>
              <w:spacing w:before="60" w:after="60" w:line="240" w:lineRule="auto"/>
            </w:pPr>
            <w:r w:rsidRPr="00574CCB">
              <w:t>Indiana</w:t>
            </w:r>
          </w:p>
        </w:tc>
        <w:tc>
          <w:tcPr>
            <w:tcW w:w="1327" w:type="dxa"/>
          </w:tcPr>
          <w:p w:rsidR="00241C37" w:rsidRPr="00574CCB" w:rsidRDefault="00E31D00" w:rsidP="002636D1">
            <w:pPr>
              <w:spacing w:before="60" w:after="60" w:line="240" w:lineRule="auto"/>
              <w:jc w:val="right"/>
            </w:pPr>
            <w:r w:rsidRPr="00574CCB">
              <w:t>15</w:t>
            </w:r>
          </w:p>
        </w:tc>
        <w:tc>
          <w:tcPr>
            <w:tcW w:w="2250" w:type="dxa"/>
          </w:tcPr>
          <w:p w:rsidR="00241C37" w:rsidRPr="00574CCB" w:rsidRDefault="00095317" w:rsidP="002636D1">
            <w:pPr>
              <w:spacing w:before="60" w:after="60" w:line="240" w:lineRule="auto"/>
              <w:jc w:val="right"/>
            </w:pPr>
            <w:r w:rsidRPr="00574CCB">
              <w:t>528,263</w:t>
            </w:r>
          </w:p>
        </w:tc>
        <w:tc>
          <w:tcPr>
            <w:tcW w:w="2070" w:type="dxa"/>
          </w:tcPr>
          <w:p w:rsidR="00241C37" w:rsidRPr="00057442" w:rsidRDefault="00DD5ADB" w:rsidP="00DD5ADB">
            <w:pPr>
              <w:spacing w:before="60" w:after="60" w:line="240" w:lineRule="auto"/>
              <w:jc w:val="right"/>
              <w:rPr>
                <w:highlight w:val="cyan"/>
              </w:rPr>
            </w:pPr>
            <w:r w:rsidRPr="00057442">
              <w:rPr>
                <w:highlight w:val="cyan"/>
              </w:rPr>
              <w:t>127</w:t>
            </w:r>
            <w:r w:rsidR="009978E8" w:rsidRPr="00057442">
              <w:rPr>
                <w:highlight w:val="cyan"/>
              </w:rPr>
              <w:t>,</w:t>
            </w:r>
            <w:r w:rsidRPr="00057442">
              <w:rPr>
                <w:highlight w:val="cyan"/>
              </w:rPr>
              <w:t>63</w:t>
            </w:r>
            <w:r w:rsidR="00355F09" w:rsidRPr="00057442">
              <w:rPr>
                <w:highlight w:val="cyan"/>
              </w:rPr>
              <w:t>5</w:t>
            </w:r>
          </w:p>
        </w:tc>
        <w:tc>
          <w:tcPr>
            <w:tcW w:w="2202" w:type="dxa"/>
          </w:tcPr>
          <w:p w:rsidR="00241C37" w:rsidRPr="00057442" w:rsidRDefault="00095317" w:rsidP="00DD5ADB">
            <w:pPr>
              <w:spacing w:before="60" w:after="60" w:line="240" w:lineRule="auto"/>
              <w:jc w:val="right"/>
              <w:rPr>
                <w:highlight w:val="cyan"/>
              </w:rPr>
            </w:pPr>
            <w:r w:rsidRPr="00057442">
              <w:rPr>
                <w:highlight w:val="cyan"/>
              </w:rPr>
              <w:t>-</w:t>
            </w:r>
            <w:r w:rsidR="00355F09" w:rsidRPr="00057442">
              <w:rPr>
                <w:highlight w:val="cyan"/>
              </w:rPr>
              <w:t>7</w:t>
            </w:r>
            <w:r w:rsidR="00DD5ADB" w:rsidRPr="00057442">
              <w:rPr>
                <w:highlight w:val="cyan"/>
              </w:rPr>
              <w:t>6</w:t>
            </w:r>
            <w:r w:rsidRPr="00057442">
              <w:rPr>
                <w:highlight w:val="cyan"/>
              </w:rPr>
              <w:t>%</w:t>
            </w:r>
          </w:p>
        </w:tc>
      </w:tr>
      <w:tr w:rsidR="00241C37" w:rsidTr="009A4B74">
        <w:tc>
          <w:tcPr>
            <w:tcW w:w="1931" w:type="dxa"/>
          </w:tcPr>
          <w:p w:rsidR="00241C37" w:rsidRPr="00574CCB" w:rsidRDefault="00241C37" w:rsidP="002636D1">
            <w:pPr>
              <w:spacing w:before="60" w:after="60" w:line="240" w:lineRule="auto"/>
            </w:pPr>
            <w:r w:rsidRPr="00574CCB">
              <w:t>Kentucky</w:t>
            </w:r>
          </w:p>
        </w:tc>
        <w:tc>
          <w:tcPr>
            <w:tcW w:w="1327" w:type="dxa"/>
          </w:tcPr>
          <w:p w:rsidR="00E31D00" w:rsidRPr="00574CCB" w:rsidRDefault="00E31D00" w:rsidP="002636D1">
            <w:pPr>
              <w:spacing w:before="60" w:after="60" w:line="240" w:lineRule="auto"/>
              <w:jc w:val="right"/>
            </w:pPr>
            <w:r w:rsidRPr="00574CCB">
              <w:t>10</w:t>
            </w:r>
          </w:p>
        </w:tc>
        <w:tc>
          <w:tcPr>
            <w:tcW w:w="2250" w:type="dxa"/>
          </w:tcPr>
          <w:p w:rsidR="00241C37" w:rsidRPr="00574CCB" w:rsidRDefault="00095317" w:rsidP="002636D1">
            <w:pPr>
              <w:spacing w:before="60" w:after="60" w:line="240" w:lineRule="auto"/>
              <w:jc w:val="right"/>
            </w:pPr>
            <w:r w:rsidRPr="00574CCB">
              <w:t>257,971</w:t>
            </w:r>
          </w:p>
        </w:tc>
        <w:tc>
          <w:tcPr>
            <w:tcW w:w="2070" w:type="dxa"/>
          </w:tcPr>
          <w:p w:rsidR="00241C37" w:rsidRPr="00057442" w:rsidRDefault="00DD5ADB" w:rsidP="00CC55EF">
            <w:pPr>
              <w:spacing w:before="60" w:after="60" w:line="240" w:lineRule="auto"/>
              <w:jc w:val="right"/>
              <w:rPr>
                <w:highlight w:val="cyan"/>
              </w:rPr>
            </w:pPr>
            <w:r w:rsidRPr="00057442">
              <w:rPr>
                <w:highlight w:val="cyan"/>
              </w:rPr>
              <w:t>70</w:t>
            </w:r>
            <w:r w:rsidR="00095317" w:rsidRPr="00057442">
              <w:rPr>
                <w:highlight w:val="cyan"/>
              </w:rPr>
              <w:t>,</w:t>
            </w:r>
            <w:r w:rsidR="00CC55EF" w:rsidRPr="00057442">
              <w:rPr>
                <w:highlight w:val="cyan"/>
              </w:rPr>
              <w:t>391</w:t>
            </w:r>
          </w:p>
        </w:tc>
        <w:tc>
          <w:tcPr>
            <w:tcW w:w="2202" w:type="dxa"/>
          </w:tcPr>
          <w:p w:rsidR="00241C37" w:rsidRPr="00057442" w:rsidRDefault="00095317" w:rsidP="00CC55EF">
            <w:pPr>
              <w:spacing w:before="60" w:after="60" w:line="240" w:lineRule="auto"/>
              <w:jc w:val="right"/>
              <w:rPr>
                <w:highlight w:val="cyan"/>
              </w:rPr>
            </w:pPr>
            <w:r w:rsidRPr="00057442">
              <w:rPr>
                <w:highlight w:val="cyan"/>
              </w:rPr>
              <w:t>-</w:t>
            </w:r>
            <w:r w:rsidR="009978E8" w:rsidRPr="00057442">
              <w:rPr>
                <w:highlight w:val="cyan"/>
              </w:rPr>
              <w:t>7</w:t>
            </w:r>
            <w:r w:rsidR="00CC55EF" w:rsidRPr="00057442">
              <w:rPr>
                <w:highlight w:val="cyan"/>
              </w:rPr>
              <w:t>3</w:t>
            </w:r>
            <w:r w:rsidRPr="00057442">
              <w:rPr>
                <w:highlight w:val="cyan"/>
              </w:rPr>
              <w:t>%</w:t>
            </w:r>
          </w:p>
        </w:tc>
      </w:tr>
      <w:tr w:rsidR="00241C37" w:rsidTr="009A4B74">
        <w:tc>
          <w:tcPr>
            <w:tcW w:w="1931" w:type="dxa"/>
          </w:tcPr>
          <w:p w:rsidR="00241C37" w:rsidRPr="00574CCB" w:rsidRDefault="00241C37" w:rsidP="002636D1">
            <w:pPr>
              <w:spacing w:before="60" w:after="60" w:line="240" w:lineRule="auto"/>
            </w:pPr>
            <w:r w:rsidRPr="00574CCB">
              <w:t>Maine</w:t>
            </w:r>
          </w:p>
        </w:tc>
        <w:tc>
          <w:tcPr>
            <w:tcW w:w="1327" w:type="dxa"/>
          </w:tcPr>
          <w:p w:rsidR="00241C37" w:rsidRPr="00574CCB" w:rsidRDefault="00E31D00" w:rsidP="002636D1">
            <w:pPr>
              <w:spacing w:before="60" w:after="60" w:line="240" w:lineRule="auto"/>
              <w:jc w:val="right"/>
            </w:pPr>
            <w:r w:rsidRPr="00574CCB">
              <w:t>1</w:t>
            </w:r>
          </w:p>
        </w:tc>
        <w:tc>
          <w:tcPr>
            <w:tcW w:w="2250" w:type="dxa"/>
          </w:tcPr>
          <w:p w:rsidR="00241C37" w:rsidRPr="00574CCB" w:rsidRDefault="00095317" w:rsidP="002636D1">
            <w:pPr>
              <w:spacing w:before="60" w:after="60" w:line="240" w:lineRule="auto"/>
              <w:jc w:val="right"/>
            </w:pPr>
            <w:r w:rsidRPr="00574CCB">
              <w:t>1,159</w:t>
            </w:r>
          </w:p>
        </w:tc>
        <w:tc>
          <w:tcPr>
            <w:tcW w:w="2070" w:type="dxa"/>
          </w:tcPr>
          <w:p w:rsidR="00241C37" w:rsidRPr="00057442" w:rsidRDefault="00355F09" w:rsidP="00CC55EF">
            <w:pPr>
              <w:spacing w:before="60" w:after="60" w:line="240" w:lineRule="auto"/>
              <w:jc w:val="right"/>
              <w:rPr>
                <w:highlight w:val="cyan"/>
              </w:rPr>
            </w:pPr>
            <w:r w:rsidRPr="00057442">
              <w:rPr>
                <w:highlight w:val="cyan"/>
              </w:rPr>
              <w:t>6</w:t>
            </w:r>
            <w:r w:rsidR="00CC55EF" w:rsidRPr="00057442">
              <w:rPr>
                <w:highlight w:val="cyan"/>
              </w:rPr>
              <w:t>89</w:t>
            </w:r>
          </w:p>
        </w:tc>
        <w:tc>
          <w:tcPr>
            <w:tcW w:w="2202" w:type="dxa"/>
          </w:tcPr>
          <w:p w:rsidR="00241C37" w:rsidRPr="00057442" w:rsidRDefault="00095317" w:rsidP="00CC55EF">
            <w:pPr>
              <w:spacing w:before="60" w:after="60" w:line="240" w:lineRule="auto"/>
              <w:jc w:val="right"/>
              <w:rPr>
                <w:highlight w:val="cyan"/>
              </w:rPr>
            </w:pPr>
            <w:r w:rsidRPr="00057442">
              <w:rPr>
                <w:highlight w:val="cyan"/>
              </w:rPr>
              <w:t>-</w:t>
            </w:r>
            <w:r w:rsidR="00355F09" w:rsidRPr="00057442">
              <w:rPr>
                <w:highlight w:val="cyan"/>
              </w:rPr>
              <w:t>4</w:t>
            </w:r>
            <w:r w:rsidR="00CC55EF" w:rsidRPr="00057442">
              <w:rPr>
                <w:highlight w:val="cyan"/>
              </w:rPr>
              <w:t>1</w:t>
            </w:r>
            <w:r w:rsidRPr="00057442">
              <w:rPr>
                <w:highlight w:val="cyan"/>
              </w:rPr>
              <w:t>%</w:t>
            </w:r>
          </w:p>
        </w:tc>
      </w:tr>
      <w:tr w:rsidR="00241C37" w:rsidTr="009A4B74">
        <w:tc>
          <w:tcPr>
            <w:tcW w:w="1931" w:type="dxa"/>
          </w:tcPr>
          <w:p w:rsidR="00241C37" w:rsidRPr="00574CCB" w:rsidRDefault="00241C37" w:rsidP="002636D1">
            <w:pPr>
              <w:spacing w:before="60" w:after="60" w:line="240" w:lineRule="auto"/>
            </w:pPr>
            <w:r w:rsidRPr="00574CCB">
              <w:t>Maryland</w:t>
            </w:r>
          </w:p>
        </w:tc>
        <w:tc>
          <w:tcPr>
            <w:tcW w:w="1327" w:type="dxa"/>
          </w:tcPr>
          <w:p w:rsidR="00241C37" w:rsidRPr="00574CCB" w:rsidRDefault="00E31D00" w:rsidP="002636D1">
            <w:pPr>
              <w:spacing w:before="60" w:after="60" w:line="240" w:lineRule="auto"/>
              <w:jc w:val="right"/>
            </w:pPr>
            <w:r w:rsidRPr="00574CCB">
              <w:t>9</w:t>
            </w:r>
          </w:p>
        </w:tc>
        <w:tc>
          <w:tcPr>
            <w:tcW w:w="2250" w:type="dxa"/>
          </w:tcPr>
          <w:p w:rsidR="00241C37" w:rsidRPr="00574CCB" w:rsidRDefault="00095317" w:rsidP="002636D1">
            <w:pPr>
              <w:spacing w:before="60" w:after="60" w:line="240" w:lineRule="auto"/>
              <w:jc w:val="right"/>
            </w:pPr>
            <w:r w:rsidRPr="00574CCB">
              <w:t>235,435</w:t>
            </w:r>
          </w:p>
        </w:tc>
        <w:tc>
          <w:tcPr>
            <w:tcW w:w="2070" w:type="dxa"/>
          </w:tcPr>
          <w:p w:rsidR="00241C37" w:rsidRPr="00057442" w:rsidRDefault="00CC55EF" w:rsidP="00CC55EF">
            <w:pPr>
              <w:spacing w:before="60" w:after="60" w:line="240" w:lineRule="auto"/>
              <w:jc w:val="right"/>
              <w:rPr>
                <w:highlight w:val="cyan"/>
              </w:rPr>
            </w:pPr>
            <w:r w:rsidRPr="00057442">
              <w:rPr>
                <w:highlight w:val="cyan"/>
              </w:rPr>
              <w:t>19</w:t>
            </w:r>
            <w:r w:rsidR="009978E8" w:rsidRPr="00057442">
              <w:rPr>
                <w:highlight w:val="cyan"/>
              </w:rPr>
              <w:t>,</w:t>
            </w:r>
            <w:r w:rsidRPr="00057442">
              <w:rPr>
                <w:highlight w:val="cyan"/>
              </w:rPr>
              <w:t>664</w:t>
            </w:r>
          </w:p>
        </w:tc>
        <w:tc>
          <w:tcPr>
            <w:tcW w:w="2202" w:type="dxa"/>
          </w:tcPr>
          <w:p w:rsidR="00241C37" w:rsidRPr="00057442" w:rsidRDefault="009978E8" w:rsidP="00CC55EF">
            <w:pPr>
              <w:spacing w:before="60" w:after="60" w:line="240" w:lineRule="auto"/>
              <w:jc w:val="right"/>
              <w:rPr>
                <w:highlight w:val="cyan"/>
              </w:rPr>
            </w:pPr>
            <w:r w:rsidRPr="00057442">
              <w:rPr>
                <w:highlight w:val="cyan"/>
              </w:rPr>
              <w:t>*</w:t>
            </w:r>
            <w:r w:rsidR="00095317" w:rsidRPr="00057442">
              <w:rPr>
                <w:highlight w:val="cyan"/>
              </w:rPr>
              <w:t>-</w:t>
            </w:r>
            <w:r w:rsidRPr="00057442">
              <w:rPr>
                <w:highlight w:val="cyan"/>
              </w:rPr>
              <w:t>9</w:t>
            </w:r>
            <w:r w:rsidR="00CC55EF" w:rsidRPr="00057442">
              <w:rPr>
                <w:highlight w:val="cyan"/>
              </w:rPr>
              <w:t>2</w:t>
            </w:r>
            <w:r w:rsidR="00095317" w:rsidRPr="00057442">
              <w:rPr>
                <w:highlight w:val="cyan"/>
              </w:rPr>
              <w:t>%</w:t>
            </w:r>
          </w:p>
        </w:tc>
      </w:tr>
      <w:tr w:rsidR="00241C37" w:rsidTr="009A4B74">
        <w:tc>
          <w:tcPr>
            <w:tcW w:w="1931" w:type="dxa"/>
          </w:tcPr>
          <w:p w:rsidR="00241C37" w:rsidRPr="00574CCB" w:rsidRDefault="00241C37" w:rsidP="002636D1">
            <w:pPr>
              <w:spacing w:before="60" w:after="60" w:line="240" w:lineRule="auto"/>
            </w:pPr>
            <w:r w:rsidRPr="00574CCB">
              <w:t>Massachusetts</w:t>
            </w:r>
          </w:p>
        </w:tc>
        <w:tc>
          <w:tcPr>
            <w:tcW w:w="1327" w:type="dxa"/>
          </w:tcPr>
          <w:p w:rsidR="00241C37" w:rsidRPr="00574CCB" w:rsidRDefault="00E31D00" w:rsidP="002636D1">
            <w:pPr>
              <w:spacing w:before="60" w:after="60" w:line="240" w:lineRule="auto"/>
              <w:jc w:val="right"/>
            </w:pPr>
            <w:r w:rsidRPr="00574CCB">
              <w:t>10</w:t>
            </w:r>
          </w:p>
        </w:tc>
        <w:tc>
          <w:tcPr>
            <w:tcW w:w="2250" w:type="dxa"/>
          </w:tcPr>
          <w:p w:rsidR="00241C37" w:rsidRPr="00574CCB" w:rsidRDefault="00095317" w:rsidP="002636D1">
            <w:pPr>
              <w:spacing w:before="60" w:after="60" w:line="240" w:lineRule="auto"/>
              <w:jc w:val="right"/>
            </w:pPr>
            <w:r w:rsidRPr="00574CCB">
              <w:t>80,562</w:t>
            </w:r>
          </w:p>
        </w:tc>
        <w:tc>
          <w:tcPr>
            <w:tcW w:w="2070" w:type="dxa"/>
          </w:tcPr>
          <w:p w:rsidR="00241C37" w:rsidRPr="00057442" w:rsidRDefault="00CC55EF" w:rsidP="00355F09">
            <w:pPr>
              <w:spacing w:before="60" w:after="60" w:line="240" w:lineRule="auto"/>
              <w:jc w:val="right"/>
              <w:rPr>
                <w:highlight w:val="cyan"/>
              </w:rPr>
            </w:pPr>
            <w:r w:rsidRPr="00057442">
              <w:rPr>
                <w:highlight w:val="cyan"/>
              </w:rPr>
              <w:t>3,515</w:t>
            </w:r>
          </w:p>
        </w:tc>
        <w:tc>
          <w:tcPr>
            <w:tcW w:w="2202" w:type="dxa"/>
          </w:tcPr>
          <w:p w:rsidR="00241C37" w:rsidRPr="00057442" w:rsidRDefault="00CC55EF" w:rsidP="00CC55EF">
            <w:pPr>
              <w:spacing w:before="60" w:after="60" w:line="240" w:lineRule="auto"/>
              <w:jc w:val="right"/>
              <w:rPr>
                <w:highlight w:val="cyan"/>
              </w:rPr>
            </w:pPr>
            <w:r w:rsidRPr="00057442">
              <w:rPr>
                <w:highlight w:val="cyan"/>
              </w:rPr>
              <w:t>*</w:t>
            </w:r>
            <w:r w:rsidR="00095317" w:rsidRPr="00057442">
              <w:rPr>
                <w:highlight w:val="cyan"/>
              </w:rPr>
              <w:t>-</w:t>
            </w:r>
            <w:r w:rsidRPr="00057442">
              <w:rPr>
                <w:highlight w:val="cyan"/>
              </w:rPr>
              <w:t>96</w:t>
            </w:r>
            <w:r w:rsidR="00095317" w:rsidRPr="00057442">
              <w:rPr>
                <w:highlight w:val="cyan"/>
              </w:rPr>
              <w:t>%</w:t>
            </w:r>
          </w:p>
        </w:tc>
      </w:tr>
      <w:tr w:rsidR="00241C37" w:rsidTr="009A4B74">
        <w:tc>
          <w:tcPr>
            <w:tcW w:w="1931" w:type="dxa"/>
          </w:tcPr>
          <w:p w:rsidR="00241C37" w:rsidRPr="00574CCB" w:rsidRDefault="00241C37" w:rsidP="002636D1">
            <w:pPr>
              <w:spacing w:before="60" w:after="60" w:line="240" w:lineRule="auto"/>
            </w:pPr>
            <w:r w:rsidRPr="00574CCB">
              <w:t>Michigan</w:t>
            </w:r>
          </w:p>
        </w:tc>
        <w:tc>
          <w:tcPr>
            <w:tcW w:w="1327" w:type="dxa"/>
          </w:tcPr>
          <w:p w:rsidR="00241C37" w:rsidRPr="00574CCB" w:rsidRDefault="00E31D00" w:rsidP="002636D1">
            <w:pPr>
              <w:spacing w:before="60" w:after="60" w:line="240" w:lineRule="auto"/>
              <w:jc w:val="right"/>
            </w:pPr>
            <w:r w:rsidRPr="00574CCB">
              <w:t>5</w:t>
            </w:r>
          </w:p>
        </w:tc>
        <w:tc>
          <w:tcPr>
            <w:tcW w:w="2250" w:type="dxa"/>
          </w:tcPr>
          <w:p w:rsidR="00241C37" w:rsidRPr="00574CCB" w:rsidRDefault="00095317" w:rsidP="002636D1">
            <w:pPr>
              <w:spacing w:before="60" w:after="60" w:line="240" w:lineRule="auto"/>
              <w:jc w:val="right"/>
            </w:pPr>
            <w:r w:rsidRPr="00574CCB">
              <w:t>131,709</w:t>
            </w:r>
          </w:p>
        </w:tc>
        <w:tc>
          <w:tcPr>
            <w:tcW w:w="2070" w:type="dxa"/>
          </w:tcPr>
          <w:p w:rsidR="00241C37" w:rsidRPr="00057442" w:rsidRDefault="00CC55EF" w:rsidP="00355F09">
            <w:pPr>
              <w:spacing w:before="60" w:after="60" w:line="240" w:lineRule="auto"/>
              <w:jc w:val="right"/>
              <w:rPr>
                <w:highlight w:val="cyan"/>
              </w:rPr>
            </w:pPr>
            <w:r w:rsidRPr="00057442">
              <w:rPr>
                <w:highlight w:val="cyan"/>
              </w:rPr>
              <w:t>27,867</w:t>
            </w:r>
          </w:p>
        </w:tc>
        <w:tc>
          <w:tcPr>
            <w:tcW w:w="2202" w:type="dxa"/>
          </w:tcPr>
          <w:p w:rsidR="00241C37" w:rsidRPr="00057442" w:rsidRDefault="00095317" w:rsidP="00CC55EF">
            <w:pPr>
              <w:spacing w:before="60" w:after="60" w:line="240" w:lineRule="auto"/>
              <w:jc w:val="right"/>
              <w:rPr>
                <w:highlight w:val="cyan"/>
              </w:rPr>
            </w:pPr>
            <w:r w:rsidRPr="00057442">
              <w:rPr>
                <w:highlight w:val="cyan"/>
              </w:rPr>
              <w:t>-</w:t>
            </w:r>
            <w:r w:rsidR="00CC55EF" w:rsidRPr="00057442">
              <w:rPr>
                <w:highlight w:val="cyan"/>
              </w:rPr>
              <w:t>79</w:t>
            </w:r>
            <w:r w:rsidRPr="00057442">
              <w:rPr>
                <w:highlight w:val="cyan"/>
              </w:rPr>
              <w:t>%</w:t>
            </w:r>
          </w:p>
        </w:tc>
        <w:bookmarkStart w:id="90" w:name="_GoBack"/>
        <w:bookmarkEnd w:id="90"/>
      </w:tr>
      <w:tr w:rsidR="007B3782" w:rsidTr="009A4B74">
        <w:tc>
          <w:tcPr>
            <w:tcW w:w="1931" w:type="dxa"/>
          </w:tcPr>
          <w:p w:rsidR="007B3782" w:rsidRPr="00574CCB" w:rsidRDefault="007B3782" w:rsidP="002636D1">
            <w:pPr>
              <w:spacing w:before="60" w:after="60" w:line="240" w:lineRule="auto"/>
            </w:pPr>
            <w:r w:rsidRPr="00574CCB">
              <w:t>New Hampshire</w:t>
            </w:r>
          </w:p>
        </w:tc>
        <w:tc>
          <w:tcPr>
            <w:tcW w:w="1327" w:type="dxa"/>
          </w:tcPr>
          <w:p w:rsidR="007B3782" w:rsidRPr="00574CCB" w:rsidRDefault="007B3782" w:rsidP="002636D1">
            <w:pPr>
              <w:spacing w:before="60" w:after="60" w:line="240" w:lineRule="auto"/>
              <w:jc w:val="right"/>
            </w:pPr>
            <w:r w:rsidRPr="00574CCB">
              <w:t>3</w:t>
            </w:r>
          </w:p>
        </w:tc>
        <w:tc>
          <w:tcPr>
            <w:tcW w:w="2250" w:type="dxa"/>
          </w:tcPr>
          <w:p w:rsidR="007B3782" w:rsidRPr="00574CCB" w:rsidRDefault="00095317" w:rsidP="002636D1">
            <w:pPr>
              <w:spacing w:before="60" w:after="60" w:line="240" w:lineRule="auto"/>
              <w:jc w:val="right"/>
            </w:pPr>
            <w:r w:rsidRPr="00574CCB">
              <w:t>35,883</w:t>
            </w:r>
          </w:p>
        </w:tc>
        <w:tc>
          <w:tcPr>
            <w:tcW w:w="2070" w:type="dxa"/>
          </w:tcPr>
          <w:p w:rsidR="007B3782" w:rsidRPr="00057442" w:rsidRDefault="009978E8" w:rsidP="00CC55EF">
            <w:pPr>
              <w:spacing w:before="60" w:after="60" w:line="240" w:lineRule="auto"/>
              <w:jc w:val="right"/>
              <w:rPr>
                <w:highlight w:val="cyan"/>
              </w:rPr>
            </w:pPr>
            <w:r w:rsidRPr="00057442">
              <w:rPr>
                <w:highlight w:val="cyan"/>
              </w:rPr>
              <w:t>1,</w:t>
            </w:r>
            <w:r w:rsidR="00CC55EF" w:rsidRPr="00057442">
              <w:rPr>
                <w:highlight w:val="cyan"/>
              </w:rPr>
              <w:t>356</w:t>
            </w:r>
          </w:p>
        </w:tc>
        <w:tc>
          <w:tcPr>
            <w:tcW w:w="2202" w:type="dxa"/>
          </w:tcPr>
          <w:p w:rsidR="007B3782" w:rsidRPr="00057442" w:rsidRDefault="009978E8" w:rsidP="00CC55EF">
            <w:pPr>
              <w:spacing w:before="60" w:after="60" w:line="240" w:lineRule="auto"/>
              <w:jc w:val="right"/>
              <w:rPr>
                <w:highlight w:val="cyan"/>
              </w:rPr>
            </w:pPr>
            <w:r w:rsidRPr="00057442">
              <w:rPr>
                <w:highlight w:val="cyan"/>
              </w:rPr>
              <w:t>*</w:t>
            </w:r>
            <w:r w:rsidR="00095317" w:rsidRPr="00057442">
              <w:rPr>
                <w:highlight w:val="cyan"/>
              </w:rPr>
              <w:t>-</w:t>
            </w:r>
            <w:r w:rsidRPr="00057442">
              <w:rPr>
                <w:highlight w:val="cyan"/>
              </w:rPr>
              <w:t>9</w:t>
            </w:r>
            <w:r w:rsidR="00CC55EF" w:rsidRPr="00057442">
              <w:rPr>
                <w:highlight w:val="cyan"/>
              </w:rPr>
              <w:t>6</w:t>
            </w:r>
            <w:r w:rsidR="00095317" w:rsidRPr="00057442">
              <w:rPr>
                <w:highlight w:val="cyan"/>
              </w:rPr>
              <w:t>%</w:t>
            </w:r>
          </w:p>
        </w:tc>
      </w:tr>
      <w:tr w:rsidR="007B3782" w:rsidTr="009A4B74">
        <w:tc>
          <w:tcPr>
            <w:tcW w:w="1931" w:type="dxa"/>
          </w:tcPr>
          <w:p w:rsidR="007B3782" w:rsidRPr="00574CCB" w:rsidRDefault="007B3782" w:rsidP="002636D1">
            <w:pPr>
              <w:spacing w:before="60" w:after="60" w:line="240" w:lineRule="auto"/>
            </w:pPr>
            <w:r w:rsidRPr="00574CCB">
              <w:t>New Jersey</w:t>
            </w:r>
          </w:p>
        </w:tc>
        <w:tc>
          <w:tcPr>
            <w:tcW w:w="1327" w:type="dxa"/>
          </w:tcPr>
          <w:p w:rsidR="007B3782" w:rsidRPr="00574CCB" w:rsidRDefault="007B3782" w:rsidP="002636D1">
            <w:pPr>
              <w:spacing w:before="60" w:after="60" w:line="240" w:lineRule="auto"/>
              <w:jc w:val="right"/>
            </w:pPr>
            <w:r w:rsidRPr="00574CCB">
              <w:t>4</w:t>
            </w:r>
          </w:p>
        </w:tc>
        <w:tc>
          <w:tcPr>
            <w:tcW w:w="2250" w:type="dxa"/>
          </w:tcPr>
          <w:p w:rsidR="007B3782" w:rsidRPr="00574CCB" w:rsidRDefault="00095317" w:rsidP="002636D1">
            <w:pPr>
              <w:spacing w:before="60" w:after="60" w:line="240" w:lineRule="auto"/>
              <w:jc w:val="right"/>
            </w:pPr>
            <w:r w:rsidRPr="00574CCB">
              <w:t>43,241</w:t>
            </w:r>
          </w:p>
        </w:tc>
        <w:tc>
          <w:tcPr>
            <w:tcW w:w="2070" w:type="dxa"/>
          </w:tcPr>
          <w:p w:rsidR="007B3782" w:rsidRPr="00057442" w:rsidRDefault="00CC55EF" w:rsidP="002636D1">
            <w:pPr>
              <w:spacing w:before="60" w:after="60" w:line="240" w:lineRule="auto"/>
              <w:jc w:val="right"/>
              <w:rPr>
                <w:highlight w:val="cyan"/>
              </w:rPr>
            </w:pPr>
            <w:r w:rsidRPr="00057442">
              <w:rPr>
                <w:highlight w:val="cyan"/>
              </w:rPr>
              <w:t>330</w:t>
            </w:r>
          </w:p>
        </w:tc>
        <w:tc>
          <w:tcPr>
            <w:tcW w:w="2202" w:type="dxa"/>
          </w:tcPr>
          <w:p w:rsidR="007B3782" w:rsidRPr="00057442" w:rsidRDefault="00574CCB" w:rsidP="00CC55EF">
            <w:pPr>
              <w:spacing w:before="60" w:after="60" w:line="240" w:lineRule="auto"/>
              <w:jc w:val="right"/>
              <w:rPr>
                <w:highlight w:val="cyan"/>
              </w:rPr>
            </w:pPr>
            <w:r w:rsidRPr="00057442">
              <w:rPr>
                <w:highlight w:val="cyan"/>
              </w:rPr>
              <w:t>*</w:t>
            </w:r>
            <w:r w:rsidR="00095317" w:rsidRPr="00057442">
              <w:rPr>
                <w:highlight w:val="cyan"/>
              </w:rPr>
              <w:t>-9</w:t>
            </w:r>
            <w:r w:rsidR="00CC55EF" w:rsidRPr="00057442">
              <w:rPr>
                <w:highlight w:val="cyan"/>
              </w:rPr>
              <w:t>9</w:t>
            </w:r>
            <w:r w:rsidR="00095317" w:rsidRPr="00057442">
              <w:rPr>
                <w:highlight w:val="cyan"/>
              </w:rPr>
              <w:t>%</w:t>
            </w:r>
          </w:p>
        </w:tc>
      </w:tr>
      <w:tr w:rsidR="007B3782" w:rsidTr="009A4B74">
        <w:tc>
          <w:tcPr>
            <w:tcW w:w="1931" w:type="dxa"/>
          </w:tcPr>
          <w:p w:rsidR="007B3782" w:rsidRPr="00574CCB" w:rsidRDefault="007B3782" w:rsidP="002636D1">
            <w:pPr>
              <w:spacing w:before="60" w:after="60" w:line="240" w:lineRule="auto"/>
            </w:pPr>
            <w:r w:rsidRPr="00574CCB">
              <w:t>New York</w:t>
            </w:r>
          </w:p>
        </w:tc>
        <w:tc>
          <w:tcPr>
            <w:tcW w:w="1327" w:type="dxa"/>
          </w:tcPr>
          <w:p w:rsidR="007B3782" w:rsidRPr="00574CCB" w:rsidRDefault="007B3782" w:rsidP="002636D1">
            <w:pPr>
              <w:spacing w:before="60" w:after="60" w:line="240" w:lineRule="auto"/>
              <w:jc w:val="right"/>
            </w:pPr>
            <w:r w:rsidRPr="00574CCB">
              <w:t>11</w:t>
            </w:r>
          </w:p>
        </w:tc>
        <w:tc>
          <w:tcPr>
            <w:tcW w:w="2250" w:type="dxa"/>
          </w:tcPr>
          <w:p w:rsidR="007B3782" w:rsidRPr="00574CCB" w:rsidRDefault="00095317" w:rsidP="002636D1">
            <w:pPr>
              <w:spacing w:before="60" w:after="60" w:line="240" w:lineRule="auto"/>
              <w:jc w:val="right"/>
            </w:pPr>
            <w:r w:rsidRPr="00574CCB">
              <w:t>138,609</w:t>
            </w:r>
          </w:p>
        </w:tc>
        <w:tc>
          <w:tcPr>
            <w:tcW w:w="2070" w:type="dxa"/>
          </w:tcPr>
          <w:p w:rsidR="007B3782" w:rsidRPr="00057442" w:rsidRDefault="00CC55EF" w:rsidP="002636D1">
            <w:pPr>
              <w:spacing w:before="60" w:after="60" w:line="240" w:lineRule="auto"/>
              <w:jc w:val="right"/>
              <w:rPr>
                <w:highlight w:val="cyan"/>
              </w:rPr>
            </w:pPr>
            <w:r w:rsidRPr="00057442">
              <w:rPr>
                <w:highlight w:val="cyan"/>
              </w:rPr>
              <w:t>4,458</w:t>
            </w:r>
          </w:p>
        </w:tc>
        <w:tc>
          <w:tcPr>
            <w:tcW w:w="2202" w:type="dxa"/>
          </w:tcPr>
          <w:p w:rsidR="007B3782" w:rsidRPr="00057442" w:rsidRDefault="00574CCB" w:rsidP="00DC3007">
            <w:pPr>
              <w:spacing w:before="60" w:after="60" w:line="240" w:lineRule="auto"/>
              <w:jc w:val="right"/>
              <w:rPr>
                <w:highlight w:val="cyan"/>
              </w:rPr>
            </w:pPr>
            <w:r w:rsidRPr="00057442">
              <w:rPr>
                <w:highlight w:val="cyan"/>
              </w:rPr>
              <w:t>*</w:t>
            </w:r>
            <w:r w:rsidR="00095317" w:rsidRPr="00057442">
              <w:rPr>
                <w:highlight w:val="cyan"/>
              </w:rPr>
              <w:t>-9</w:t>
            </w:r>
            <w:r w:rsidR="00DC3007" w:rsidRPr="00057442">
              <w:rPr>
                <w:highlight w:val="cyan"/>
              </w:rPr>
              <w:t>7</w:t>
            </w:r>
            <w:r w:rsidR="00095317" w:rsidRPr="00057442">
              <w:rPr>
                <w:highlight w:val="cyan"/>
              </w:rPr>
              <w:t>%</w:t>
            </w:r>
          </w:p>
        </w:tc>
      </w:tr>
      <w:tr w:rsidR="007B3782" w:rsidTr="009A4B74">
        <w:tc>
          <w:tcPr>
            <w:tcW w:w="1931" w:type="dxa"/>
          </w:tcPr>
          <w:p w:rsidR="007B3782" w:rsidRPr="00574CCB" w:rsidRDefault="007B3782" w:rsidP="002636D1">
            <w:pPr>
              <w:spacing w:before="60" w:after="60" w:line="240" w:lineRule="auto"/>
            </w:pPr>
            <w:r w:rsidRPr="00574CCB">
              <w:t>North Carolina</w:t>
            </w:r>
          </w:p>
        </w:tc>
        <w:tc>
          <w:tcPr>
            <w:tcW w:w="1327" w:type="dxa"/>
          </w:tcPr>
          <w:p w:rsidR="007B3782" w:rsidRPr="00574CCB" w:rsidRDefault="007B3782" w:rsidP="002636D1">
            <w:pPr>
              <w:spacing w:before="60" w:after="60" w:line="240" w:lineRule="auto"/>
              <w:jc w:val="right"/>
            </w:pPr>
            <w:r w:rsidRPr="00574CCB">
              <w:t>12</w:t>
            </w:r>
          </w:p>
        </w:tc>
        <w:tc>
          <w:tcPr>
            <w:tcW w:w="2250" w:type="dxa"/>
          </w:tcPr>
          <w:p w:rsidR="007B3782" w:rsidRPr="00574CCB" w:rsidRDefault="00095317" w:rsidP="002636D1">
            <w:pPr>
              <w:spacing w:before="60" w:after="60" w:line="240" w:lineRule="auto"/>
              <w:jc w:val="right"/>
            </w:pPr>
            <w:r w:rsidRPr="00574CCB">
              <w:t>323,190</w:t>
            </w:r>
          </w:p>
        </w:tc>
        <w:tc>
          <w:tcPr>
            <w:tcW w:w="2070" w:type="dxa"/>
          </w:tcPr>
          <w:p w:rsidR="007B3782" w:rsidRPr="00057442" w:rsidRDefault="00DC3007" w:rsidP="00CC55EF">
            <w:pPr>
              <w:spacing w:before="60" w:after="60" w:line="240" w:lineRule="auto"/>
              <w:jc w:val="right"/>
              <w:rPr>
                <w:highlight w:val="cyan"/>
              </w:rPr>
            </w:pPr>
            <w:r w:rsidRPr="00057442">
              <w:rPr>
                <w:highlight w:val="cyan"/>
              </w:rPr>
              <w:t>3</w:t>
            </w:r>
            <w:r w:rsidR="00CC55EF" w:rsidRPr="00057442">
              <w:rPr>
                <w:highlight w:val="cyan"/>
              </w:rPr>
              <w:t>0</w:t>
            </w:r>
            <w:r w:rsidRPr="00057442">
              <w:rPr>
                <w:highlight w:val="cyan"/>
              </w:rPr>
              <w:t>,2</w:t>
            </w:r>
            <w:r w:rsidR="00CC55EF" w:rsidRPr="00057442">
              <w:rPr>
                <w:highlight w:val="cyan"/>
              </w:rPr>
              <w:t>43</w:t>
            </w:r>
          </w:p>
        </w:tc>
        <w:tc>
          <w:tcPr>
            <w:tcW w:w="2202" w:type="dxa"/>
          </w:tcPr>
          <w:p w:rsidR="007B3782" w:rsidRPr="00057442" w:rsidRDefault="00CC55EF" w:rsidP="00CC55EF">
            <w:pPr>
              <w:spacing w:before="60" w:after="60" w:line="240" w:lineRule="auto"/>
              <w:jc w:val="right"/>
              <w:rPr>
                <w:highlight w:val="cyan"/>
              </w:rPr>
            </w:pPr>
            <w:r w:rsidRPr="00057442">
              <w:rPr>
                <w:highlight w:val="cyan"/>
              </w:rPr>
              <w:t>*</w:t>
            </w:r>
            <w:r w:rsidR="00095317" w:rsidRPr="00057442">
              <w:rPr>
                <w:highlight w:val="cyan"/>
              </w:rPr>
              <w:t>-</w:t>
            </w:r>
            <w:r w:rsidRPr="00057442">
              <w:rPr>
                <w:highlight w:val="cyan"/>
              </w:rPr>
              <w:t>91</w:t>
            </w:r>
            <w:r w:rsidR="00095317" w:rsidRPr="00057442">
              <w:rPr>
                <w:highlight w:val="cyan"/>
              </w:rPr>
              <w:t>%</w:t>
            </w:r>
          </w:p>
        </w:tc>
      </w:tr>
      <w:tr w:rsidR="007B3782" w:rsidTr="009A4B74">
        <w:tc>
          <w:tcPr>
            <w:tcW w:w="1931" w:type="dxa"/>
          </w:tcPr>
          <w:p w:rsidR="007B3782" w:rsidRPr="00574CCB" w:rsidRDefault="007B3782" w:rsidP="002636D1">
            <w:pPr>
              <w:spacing w:before="60" w:after="60" w:line="240" w:lineRule="auto"/>
            </w:pPr>
            <w:r w:rsidRPr="00574CCB">
              <w:t>Ohio</w:t>
            </w:r>
          </w:p>
        </w:tc>
        <w:tc>
          <w:tcPr>
            <w:tcW w:w="1327" w:type="dxa"/>
          </w:tcPr>
          <w:p w:rsidR="007B3782" w:rsidRPr="00574CCB" w:rsidRDefault="007B3782" w:rsidP="002636D1">
            <w:pPr>
              <w:spacing w:before="60" w:after="60" w:line="240" w:lineRule="auto"/>
              <w:jc w:val="right"/>
            </w:pPr>
            <w:r w:rsidRPr="00574CCB">
              <w:t>28</w:t>
            </w:r>
          </w:p>
        </w:tc>
        <w:tc>
          <w:tcPr>
            <w:tcW w:w="2250" w:type="dxa"/>
          </w:tcPr>
          <w:p w:rsidR="007B3782" w:rsidRPr="00574CCB" w:rsidRDefault="00095317" w:rsidP="002636D1">
            <w:pPr>
              <w:spacing w:before="60" w:after="60" w:line="240" w:lineRule="auto"/>
              <w:jc w:val="right"/>
            </w:pPr>
            <w:r w:rsidRPr="00574CCB">
              <w:t>958,593</w:t>
            </w:r>
          </w:p>
        </w:tc>
        <w:tc>
          <w:tcPr>
            <w:tcW w:w="2070" w:type="dxa"/>
          </w:tcPr>
          <w:p w:rsidR="007B3782" w:rsidRPr="00057442" w:rsidRDefault="009978E8" w:rsidP="00CC55EF">
            <w:pPr>
              <w:spacing w:before="60" w:after="60" w:line="240" w:lineRule="auto"/>
              <w:jc w:val="right"/>
              <w:rPr>
                <w:highlight w:val="cyan"/>
              </w:rPr>
            </w:pPr>
            <w:r w:rsidRPr="00057442">
              <w:rPr>
                <w:highlight w:val="cyan"/>
              </w:rPr>
              <w:t>2</w:t>
            </w:r>
            <w:r w:rsidR="00CC55EF" w:rsidRPr="00057442">
              <w:rPr>
                <w:highlight w:val="cyan"/>
              </w:rPr>
              <w:t>41</w:t>
            </w:r>
            <w:r w:rsidRPr="00057442">
              <w:rPr>
                <w:highlight w:val="cyan"/>
              </w:rPr>
              <w:t>,</w:t>
            </w:r>
            <w:r w:rsidR="00CC55EF" w:rsidRPr="00057442">
              <w:rPr>
                <w:highlight w:val="cyan"/>
              </w:rPr>
              <w:t>022</w:t>
            </w:r>
          </w:p>
        </w:tc>
        <w:tc>
          <w:tcPr>
            <w:tcW w:w="2202" w:type="dxa"/>
          </w:tcPr>
          <w:p w:rsidR="007B3782" w:rsidRPr="00057442" w:rsidRDefault="00095317" w:rsidP="00CC55EF">
            <w:pPr>
              <w:spacing w:before="60" w:after="60" w:line="240" w:lineRule="auto"/>
              <w:jc w:val="right"/>
              <w:rPr>
                <w:highlight w:val="cyan"/>
              </w:rPr>
            </w:pPr>
            <w:r w:rsidRPr="00057442">
              <w:rPr>
                <w:highlight w:val="cyan"/>
              </w:rPr>
              <w:t>-</w:t>
            </w:r>
            <w:r w:rsidR="009978E8" w:rsidRPr="00057442">
              <w:rPr>
                <w:highlight w:val="cyan"/>
              </w:rPr>
              <w:t>7</w:t>
            </w:r>
            <w:r w:rsidR="00CC55EF" w:rsidRPr="00057442">
              <w:rPr>
                <w:highlight w:val="cyan"/>
              </w:rPr>
              <w:t>5</w:t>
            </w:r>
            <w:r w:rsidRPr="00057442">
              <w:rPr>
                <w:highlight w:val="cyan"/>
              </w:rPr>
              <w:t>%</w:t>
            </w:r>
          </w:p>
        </w:tc>
      </w:tr>
      <w:tr w:rsidR="007B3782" w:rsidTr="009A4B74">
        <w:tc>
          <w:tcPr>
            <w:tcW w:w="1931" w:type="dxa"/>
          </w:tcPr>
          <w:p w:rsidR="007B3782" w:rsidRPr="00574CCB" w:rsidRDefault="007B3782" w:rsidP="002636D1">
            <w:pPr>
              <w:spacing w:before="60" w:after="60" w:line="240" w:lineRule="auto"/>
            </w:pPr>
            <w:r w:rsidRPr="00574CCB">
              <w:t>Pennsylvania</w:t>
            </w:r>
          </w:p>
        </w:tc>
        <w:tc>
          <w:tcPr>
            <w:tcW w:w="1327" w:type="dxa"/>
          </w:tcPr>
          <w:p w:rsidR="007B3782" w:rsidRPr="00574CCB" w:rsidRDefault="007B3782" w:rsidP="002636D1">
            <w:pPr>
              <w:spacing w:before="60" w:after="60" w:line="240" w:lineRule="auto"/>
              <w:jc w:val="right"/>
            </w:pPr>
            <w:r w:rsidRPr="00574CCB">
              <w:t>15</w:t>
            </w:r>
          </w:p>
        </w:tc>
        <w:tc>
          <w:tcPr>
            <w:tcW w:w="2250" w:type="dxa"/>
          </w:tcPr>
          <w:p w:rsidR="007B3782" w:rsidRPr="00574CCB" w:rsidRDefault="00095317" w:rsidP="002636D1">
            <w:pPr>
              <w:spacing w:before="60" w:after="60" w:line="240" w:lineRule="auto"/>
              <w:jc w:val="right"/>
            </w:pPr>
            <w:r w:rsidRPr="00574CCB">
              <w:t>636,693</w:t>
            </w:r>
          </w:p>
        </w:tc>
        <w:tc>
          <w:tcPr>
            <w:tcW w:w="2070" w:type="dxa"/>
          </w:tcPr>
          <w:p w:rsidR="007B3782" w:rsidRPr="00057442" w:rsidRDefault="009978E8" w:rsidP="00CC55EF">
            <w:pPr>
              <w:spacing w:before="60" w:after="60" w:line="240" w:lineRule="auto"/>
              <w:jc w:val="right"/>
              <w:rPr>
                <w:highlight w:val="cyan"/>
              </w:rPr>
            </w:pPr>
            <w:r w:rsidRPr="00057442">
              <w:rPr>
                <w:highlight w:val="cyan"/>
              </w:rPr>
              <w:t>1</w:t>
            </w:r>
            <w:r w:rsidR="00CC55EF" w:rsidRPr="00057442">
              <w:rPr>
                <w:highlight w:val="cyan"/>
              </w:rPr>
              <w:t>95</w:t>
            </w:r>
            <w:r w:rsidRPr="00057442">
              <w:rPr>
                <w:highlight w:val="cyan"/>
              </w:rPr>
              <w:t>,</w:t>
            </w:r>
            <w:r w:rsidR="00CC55EF" w:rsidRPr="00057442">
              <w:rPr>
                <w:highlight w:val="cyan"/>
              </w:rPr>
              <w:t>608</w:t>
            </w:r>
          </w:p>
        </w:tc>
        <w:tc>
          <w:tcPr>
            <w:tcW w:w="2202" w:type="dxa"/>
          </w:tcPr>
          <w:p w:rsidR="007B3782" w:rsidRPr="00057442" w:rsidRDefault="00095317" w:rsidP="00CC55EF">
            <w:pPr>
              <w:spacing w:before="60" w:after="60" w:line="240" w:lineRule="auto"/>
              <w:jc w:val="right"/>
              <w:rPr>
                <w:highlight w:val="cyan"/>
              </w:rPr>
            </w:pPr>
            <w:r w:rsidRPr="00057442">
              <w:rPr>
                <w:highlight w:val="cyan"/>
              </w:rPr>
              <w:t>-</w:t>
            </w:r>
            <w:r w:rsidR="00CC55EF" w:rsidRPr="00057442">
              <w:rPr>
                <w:highlight w:val="cyan"/>
              </w:rPr>
              <w:t>69</w:t>
            </w:r>
            <w:r w:rsidRPr="00057442">
              <w:rPr>
                <w:highlight w:val="cyan"/>
              </w:rPr>
              <w:t>%</w:t>
            </w:r>
          </w:p>
        </w:tc>
      </w:tr>
      <w:tr w:rsidR="007B3782" w:rsidTr="009A4B74">
        <w:tc>
          <w:tcPr>
            <w:tcW w:w="1931" w:type="dxa"/>
          </w:tcPr>
          <w:p w:rsidR="007B3782" w:rsidRPr="00574CCB" w:rsidRDefault="007B3782" w:rsidP="002636D1">
            <w:pPr>
              <w:spacing w:before="60" w:after="60" w:line="240" w:lineRule="auto"/>
            </w:pPr>
            <w:r w:rsidRPr="00574CCB">
              <w:t>South Carolina</w:t>
            </w:r>
          </w:p>
        </w:tc>
        <w:tc>
          <w:tcPr>
            <w:tcW w:w="1327" w:type="dxa"/>
          </w:tcPr>
          <w:p w:rsidR="007B3782" w:rsidRPr="00574CCB" w:rsidRDefault="007B3782" w:rsidP="002636D1">
            <w:pPr>
              <w:spacing w:before="60" w:after="60" w:line="240" w:lineRule="auto"/>
              <w:jc w:val="right"/>
            </w:pPr>
            <w:r w:rsidRPr="00574CCB">
              <w:t>6</w:t>
            </w:r>
          </w:p>
        </w:tc>
        <w:tc>
          <w:tcPr>
            <w:tcW w:w="2250" w:type="dxa"/>
          </w:tcPr>
          <w:p w:rsidR="007B3782" w:rsidRPr="00574CCB" w:rsidRDefault="00095317" w:rsidP="002636D1">
            <w:pPr>
              <w:spacing w:before="60" w:after="60" w:line="240" w:lineRule="auto"/>
              <w:jc w:val="right"/>
            </w:pPr>
            <w:r w:rsidRPr="00574CCB">
              <w:t>103,514</w:t>
            </w:r>
          </w:p>
        </w:tc>
        <w:tc>
          <w:tcPr>
            <w:tcW w:w="2070" w:type="dxa"/>
          </w:tcPr>
          <w:p w:rsidR="007B3782" w:rsidRPr="00057442" w:rsidRDefault="00CC55EF" w:rsidP="00CC55EF">
            <w:pPr>
              <w:spacing w:before="60" w:after="60" w:line="240" w:lineRule="auto"/>
              <w:jc w:val="right"/>
              <w:rPr>
                <w:highlight w:val="cyan"/>
              </w:rPr>
            </w:pPr>
            <w:r w:rsidRPr="00057442">
              <w:rPr>
                <w:highlight w:val="cyan"/>
              </w:rPr>
              <w:t>8</w:t>
            </w:r>
            <w:r w:rsidR="00DC3007" w:rsidRPr="00057442">
              <w:rPr>
                <w:highlight w:val="cyan"/>
              </w:rPr>
              <w:t>,</w:t>
            </w:r>
            <w:r w:rsidRPr="00057442">
              <w:rPr>
                <w:highlight w:val="cyan"/>
              </w:rPr>
              <w:t>761</w:t>
            </w:r>
          </w:p>
        </w:tc>
        <w:tc>
          <w:tcPr>
            <w:tcW w:w="2202" w:type="dxa"/>
          </w:tcPr>
          <w:p w:rsidR="007B3782" w:rsidRPr="00057442" w:rsidRDefault="009978E8" w:rsidP="00CC55EF">
            <w:pPr>
              <w:spacing w:before="60" w:after="60" w:line="240" w:lineRule="auto"/>
              <w:jc w:val="right"/>
              <w:rPr>
                <w:highlight w:val="cyan"/>
              </w:rPr>
            </w:pPr>
            <w:r w:rsidRPr="00057442">
              <w:rPr>
                <w:highlight w:val="cyan"/>
              </w:rPr>
              <w:t>*</w:t>
            </w:r>
            <w:r w:rsidR="00095317" w:rsidRPr="00057442">
              <w:rPr>
                <w:highlight w:val="cyan"/>
              </w:rPr>
              <w:t>-</w:t>
            </w:r>
            <w:r w:rsidRPr="00057442">
              <w:rPr>
                <w:highlight w:val="cyan"/>
              </w:rPr>
              <w:t>9</w:t>
            </w:r>
            <w:r w:rsidR="00CC55EF" w:rsidRPr="00057442">
              <w:rPr>
                <w:highlight w:val="cyan"/>
              </w:rPr>
              <w:t>2</w:t>
            </w:r>
            <w:r w:rsidR="00095317" w:rsidRPr="00057442">
              <w:rPr>
                <w:highlight w:val="cyan"/>
              </w:rPr>
              <w:t>%</w:t>
            </w:r>
          </w:p>
        </w:tc>
      </w:tr>
      <w:tr w:rsidR="007B3782" w:rsidTr="009A4B74">
        <w:tc>
          <w:tcPr>
            <w:tcW w:w="1931" w:type="dxa"/>
          </w:tcPr>
          <w:p w:rsidR="007B3782" w:rsidRPr="00574CCB" w:rsidRDefault="007B3782" w:rsidP="002636D1">
            <w:pPr>
              <w:spacing w:before="60" w:after="60" w:line="240" w:lineRule="auto"/>
            </w:pPr>
            <w:r w:rsidRPr="00574CCB">
              <w:t>Tennessee</w:t>
            </w:r>
          </w:p>
        </w:tc>
        <w:tc>
          <w:tcPr>
            <w:tcW w:w="1327" w:type="dxa"/>
          </w:tcPr>
          <w:p w:rsidR="007B3782" w:rsidRPr="00574CCB" w:rsidRDefault="007B3782" w:rsidP="002636D1">
            <w:pPr>
              <w:spacing w:before="60" w:after="60" w:line="240" w:lineRule="auto"/>
              <w:jc w:val="right"/>
            </w:pPr>
            <w:r w:rsidRPr="00574CCB">
              <w:t>5</w:t>
            </w:r>
          </w:p>
        </w:tc>
        <w:tc>
          <w:tcPr>
            <w:tcW w:w="2250" w:type="dxa"/>
          </w:tcPr>
          <w:p w:rsidR="007B3782" w:rsidRPr="00574CCB" w:rsidRDefault="00095317" w:rsidP="002636D1">
            <w:pPr>
              <w:spacing w:before="60" w:after="60" w:line="240" w:lineRule="auto"/>
              <w:jc w:val="right"/>
            </w:pPr>
            <w:r w:rsidRPr="00574CCB">
              <w:t>226,251</w:t>
            </w:r>
          </w:p>
        </w:tc>
        <w:tc>
          <w:tcPr>
            <w:tcW w:w="2070" w:type="dxa"/>
          </w:tcPr>
          <w:p w:rsidR="007B3782" w:rsidRPr="00057442" w:rsidRDefault="00DC3007" w:rsidP="00BD09EF">
            <w:pPr>
              <w:spacing w:before="60" w:after="60" w:line="240" w:lineRule="auto"/>
              <w:jc w:val="right"/>
              <w:rPr>
                <w:highlight w:val="cyan"/>
              </w:rPr>
            </w:pPr>
            <w:r w:rsidRPr="00057442">
              <w:rPr>
                <w:highlight w:val="cyan"/>
              </w:rPr>
              <w:t>28,</w:t>
            </w:r>
            <w:r w:rsidR="00BD09EF" w:rsidRPr="00057442">
              <w:rPr>
                <w:highlight w:val="cyan"/>
              </w:rPr>
              <w:t>732</w:t>
            </w:r>
          </w:p>
        </w:tc>
        <w:tc>
          <w:tcPr>
            <w:tcW w:w="2202" w:type="dxa"/>
          </w:tcPr>
          <w:p w:rsidR="007B3782" w:rsidRPr="00057442" w:rsidRDefault="00095317" w:rsidP="00DC3007">
            <w:pPr>
              <w:spacing w:before="60" w:after="60" w:line="240" w:lineRule="auto"/>
              <w:jc w:val="right"/>
              <w:rPr>
                <w:highlight w:val="cyan"/>
              </w:rPr>
            </w:pPr>
            <w:r w:rsidRPr="00057442">
              <w:rPr>
                <w:highlight w:val="cyan"/>
              </w:rPr>
              <w:t>-</w:t>
            </w:r>
            <w:r w:rsidR="009978E8" w:rsidRPr="00057442">
              <w:rPr>
                <w:highlight w:val="cyan"/>
              </w:rPr>
              <w:t>8</w:t>
            </w:r>
            <w:r w:rsidR="00DC3007" w:rsidRPr="00057442">
              <w:rPr>
                <w:highlight w:val="cyan"/>
              </w:rPr>
              <w:t>7</w:t>
            </w:r>
            <w:r w:rsidRPr="00057442">
              <w:rPr>
                <w:highlight w:val="cyan"/>
              </w:rPr>
              <w:t>%</w:t>
            </w:r>
          </w:p>
        </w:tc>
      </w:tr>
      <w:tr w:rsidR="007B3782" w:rsidTr="009A4B74">
        <w:tc>
          <w:tcPr>
            <w:tcW w:w="1931" w:type="dxa"/>
          </w:tcPr>
          <w:p w:rsidR="007B3782" w:rsidRPr="00574CCB" w:rsidRDefault="007B3782" w:rsidP="002636D1">
            <w:pPr>
              <w:spacing w:before="60" w:after="60" w:line="240" w:lineRule="auto"/>
            </w:pPr>
            <w:r w:rsidRPr="00574CCB">
              <w:t>Virginia</w:t>
            </w:r>
          </w:p>
        </w:tc>
        <w:tc>
          <w:tcPr>
            <w:tcW w:w="1327" w:type="dxa"/>
          </w:tcPr>
          <w:p w:rsidR="007B3782" w:rsidRPr="00574CCB" w:rsidRDefault="007B3782" w:rsidP="002636D1">
            <w:pPr>
              <w:spacing w:before="60" w:after="60" w:line="240" w:lineRule="auto"/>
              <w:jc w:val="right"/>
            </w:pPr>
            <w:r w:rsidRPr="00574CCB">
              <w:t>8</w:t>
            </w:r>
          </w:p>
        </w:tc>
        <w:tc>
          <w:tcPr>
            <w:tcW w:w="2250" w:type="dxa"/>
          </w:tcPr>
          <w:p w:rsidR="007B3782" w:rsidRPr="00574CCB" w:rsidRDefault="00095317" w:rsidP="002636D1">
            <w:pPr>
              <w:spacing w:before="60" w:after="60" w:line="240" w:lineRule="auto"/>
              <w:jc w:val="right"/>
            </w:pPr>
            <w:r w:rsidRPr="00574CCB">
              <w:t>141,890</w:t>
            </w:r>
          </w:p>
        </w:tc>
        <w:tc>
          <w:tcPr>
            <w:tcW w:w="2070" w:type="dxa"/>
          </w:tcPr>
          <w:p w:rsidR="007B3782" w:rsidRPr="00057442" w:rsidRDefault="00DC3007" w:rsidP="00BD09EF">
            <w:pPr>
              <w:spacing w:before="60" w:after="60" w:line="240" w:lineRule="auto"/>
              <w:jc w:val="right"/>
              <w:rPr>
                <w:highlight w:val="cyan"/>
              </w:rPr>
            </w:pPr>
            <w:r w:rsidRPr="00057442">
              <w:rPr>
                <w:highlight w:val="cyan"/>
              </w:rPr>
              <w:t>2</w:t>
            </w:r>
            <w:r w:rsidR="00BD09EF" w:rsidRPr="00057442">
              <w:rPr>
                <w:highlight w:val="cyan"/>
              </w:rPr>
              <w:t>1</w:t>
            </w:r>
            <w:r w:rsidR="009978E8" w:rsidRPr="00057442">
              <w:rPr>
                <w:highlight w:val="cyan"/>
              </w:rPr>
              <w:t>,</w:t>
            </w:r>
            <w:r w:rsidR="00BD09EF" w:rsidRPr="00057442">
              <w:rPr>
                <w:highlight w:val="cyan"/>
              </w:rPr>
              <w:t>172</w:t>
            </w:r>
          </w:p>
        </w:tc>
        <w:tc>
          <w:tcPr>
            <w:tcW w:w="2202" w:type="dxa"/>
          </w:tcPr>
          <w:p w:rsidR="007B3782" w:rsidRPr="00057442" w:rsidRDefault="00095317" w:rsidP="00BD09EF">
            <w:pPr>
              <w:spacing w:before="60" w:after="60" w:line="240" w:lineRule="auto"/>
              <w:jc w:val="right"/>
              <w:rPr>
                <w:highlight w:val="cyan"/>
              </w:rPr>
            </w:pPr>
            <w:r w:rsidRPr="00057442">
              <w:rPr>
                <w:highlight w:val="cyan"/>
              </w:rPr>
              <w:t>-</w:t>
            </w:r>
            <w:r w:rsidR="009978E8" w:rsidRPr="00057442">
              <w:rPr>
                <w:highlight w:val="cyan"/>
              </w:rPr>
              <w:t>8</w:t>
            </w:r>
            <w:r w:rsidR="00BD09EF" w:rsidRPr="00057442">
              <w:rPr>
                <w:highlight w:val="cyan"/>
              </w:rPr>
              <w:t>5</w:t>
            </w:r>
            <w:r w:rsidRPr="00057442">
              <w:rPr>
                <w:highlight w:val="cyan"/>
              </w:rPr>
              <w:t>%</w:t>
            </w:r>
          </w:p>
        </w:tc>
      </w:tr>
      <w:tr w:rsidR="007B3782" w:rsidTr="009A4B74">
        <w:tc>
          <w:tcPr>
            <w:tcW w:w="1931" w:type="dxa"/>
          </w:tcPr>
          <w:p w:rsidR="007B3782" w:rsidRPr="00574CCB" w:rsidRDefault="007B3782" w:rsidP="002636D1">
            <w:pPr>
              <w:spacing w:before="60" w:after="60" w:line="240" w:lineRule="auto"/>
            </w:pPr>
            <w:r w:rsidRPr="00574CCB">
              <w:t>West Virginia</w:t>
            </w:r>
          </w:p>
        </w:tc>
        <w:tc>
          <w:tcPr>
            <w:tcW w:w="1327" w:type="dxa"/>
          </w:tcPr>
          <w:p w:rsidR="007B3782" w:rsidRPr="00574CCB" w:rsidRDefault="007B3782" w:rsidP="002636D1">
            <w:pPr>
              <w:spacing w:before="60" w:after="60" w:line="240" w:lineRule="auto"/>
              <w:jc w:val="right"/>
            </w:pPr>
            <w:r w:rsidRPr="00574CCB">
              <w:t>14</w:t>
            </w:r>
          </w:p>
        </w:tc>
        <w:tc>
          <w:tcPr>
            <w:tcW w:w="2250" w:type="dxa"/>
          </w:tcPr>
          <w:p w:rsidR="007B3782" w:rsidRPr="00574CCB" w:rsidRDefault="00095317" w:rsidP="002636D1">
            <w:pPr>
              <w:spacing w:before="60" w:after="60" w:line="240" w:lineRule="auto"/>
              <w:jc w:val="right"/>
            </w:pPr>
            <w:r w:rsidRPr="00574CCB">
              <w:t>465,647</w:t>
            </w:r>
          </w:p>
        </w:tc>
        <w:tc>
          <w:tcPr>
            <w:tcW w:w="2070" w:type="dxa"/>
          </w:tcPr>
          <w:p w:rsidR="007B3782" w:rsidRPr="00057442" w:rsidRDefault="00BD09EF" w:rsidP="00BD09EF">
            <w:pPr>
              <w:spacing w:before="60" w:after="60" w:line="240" w:lineRule="auto"/>
              <w:jc w:val="right"/>
              <w:rPr>
                <w:highlight w:val="cyan"/>
              </w:rPr>
            </w:pPr>
            <w:r w:rsidRPr="00057442">
              <w:rPr>
                <w:highlight w:val="cyan"/>
              </w:rPr>
              <w:t>72</w:t>
            </w:r>
            <w:r w:rsidR="00DC3007" w:rsidRPr="00057442">
              <w:rPr>
                <w:highlight w:val="cyan"/>
              </w:rPr>
              <w:t>,</w:t>
            </w:r>
            <w:r w:rsidRPr="00057442">
              <w:rPr>
                <w:highlight w:val="cyan"/>
              </w:rPr>
              <w:t>172</w:t>
            </w:r>
          </w:p>
        </w:tc>
        <w:tc>
          <w:tcPr>
            <w:tcW w:w="2202" w:type="dxa"/>
          </w:tcPr>
          <w:p w:rsidR="007B3782" w:rsidRPr="00057442" w:rsidRDefault="00095317" w:rsidP="00BD09EF">
            <w:pPr>
              <w:spacing w:before="60" w:after="60" w:line="240" w:lineRule="auto"/>
              <w:jc w:val="right"/>
              <w:rPr>
                <w:highlight w:val="cyan"/>
              </w:rPr>
            </w:pPr>
            <w:r w:rsidRPr="00057442">
              <w:rPr>
                <w:highlight w:val="cyan"/>
              </w:rPr>
              <w:t>-8</w:t>
            </w:r>
            <w:r w:rsidR="00BD09EF" w:rsidRPr="00057442">
              <w:rPr>
                <w:highlight w:val="cyan"/>
              </w:rPr>
              <w:t>5</w:t>
            </w:r>
            <w:r w:rsidRPr="00057442">
              <w:rPr>
                <w:highlight w:val="cyan"/>
              </w:rPr>
              <w:t>%</w:t>
            </w:r>
          </w:p>
        </w:tc>
      </w:tr>
      <w:tr w:rsidR="00083425" w:rsidRPr="00095317" w:rsidTr="009A4B74">
        <w:tc>
          <w:tcPr>
            <w:tcW w:w="1931" w:type="dxa"/>
          </w:tcPr>
          <w:p w:rsidR="00083425" w:rsidRPr="00574CCB" w:rsidRDefault="00083425" w:rsidP="002636D1">
            <w:pPr>
              <w:spacing w:before="60" w:after="60" w:line="240" w:lineRule="auto"/>
              <w:rPr>
                <w:b/>
              </w:rPr>
            </w:pPr>
            <w:r w:rsidRPr="00574CCB">
              <w:rPr>
                <w:b/>
              </w:rPr>
              <w:t>Total</w:t>
            </w:r>
          </w:p>
        </w:tc>
        <w:tc>
          <w:tcPr>
            <w:tcW w:w="1327" w:type="dxa"/>
          </w:tcPr>
          <w:p w:rsidR="00083425" w:rsidRPr="00574CCB" w:rsidRDefault="00083425" w:rsidP="002636D1">
            <w:pPr>
              <w:spacing w:before="60" w:after="60" w:line="240" w:lineRule="auto"/>
              <w:jc w:val="right"/>
              <w:rPr>
                <w:b/>
              </w:rPr>
            </w:pPr>
            <w:r w:rsidRPr="00574CCB">
              <w:rPr>
                <w:b/>
              </w:rPr>
              <w:t>167</w:t>
            </w:r>
          </w:p>
        </w:tc>
        <w:tc>
          <w:tcPr>
            <w:tcW w:w="2250" w:type="dxa"/>
          </w:tcPr>
          <w:p w:rsidR="00083425" w:rsidRPr="00574CCB" w:rsidRDefault="00095317" w:rsidP="002636D1">
            <w:pPr>
              <w:spacing w:before="60" w:after="60" w:line="240" w:lineRule="auto"/>
              <w:jc w:val="right"/>
              <w:rPr>
                <w:b/>
              </w:rPr>
            </w:pPr>
            <w:r w:rsidRPr="00574CCB">
              <w:rPr>
                <w:b/>
              </w:rPr>
              <w:t>4,581,447</w:t>
            </w:r>
          </w:p>
        </w:tc>
        <w:tc>
          <w:tcPr>
            <w:tcW w:w="2070" w:type="dxa"/>
          </w:tcPr>
          <w:p w:rsidR="00083425" w:rsidRPr="00DC3007" w:rsidRDefault="00DC3007" w:rsidP="00BD09EF">
            <w:pPr>
              <w:spacing w:before="60" w:after="60" w:line="240" w:lineRule="auto"/>
              <w:jc w:val="right"/>
              <w:rPr>
                <w:b/>
                <w:highlight w:val="yellow"/>
              </w:rPr>
            </w:pPr>
            <w:r w:rsidRPr="00057442">
              <w:rPr>
                <w:b/>
                <w:highlight w:val="cyan"/>
              </w:rPr>
              <w:t>8</w:t>
            </w:r>
            <w:r w:rsidR="00BD09EF" w:rsidRPr="00057442">
              <w:rPr>
                <w:b/>
                <w:highlight w:val="cyan"/>
              </w:rPr>
              <w:t>82</w:t>
            </w:r>
            <w:r w:rsidR="00095317" w:rsidRPr="00057442">
              <w:rPr>
                <w:b/>
                <w:highlight w:val="cyan"/>
              </w:rPr>
              <w:t>,</w:t>
            </w:r>
            <w:r w:rsidR="00BD09EF" w:rsidRPr="00057442">
              <w:rPr>
                <w:b/>
                <w:highlight w:val="cyan"/>
              </w:rPr>
              <w:t>679</w:t>
            </w:r>
          </w:p>
        </w:tc>
        <w:tc>
          <w:tcPr>
            <w:tcW w:w="2202" w:type="dxa"/>
          </w:tcPr>
          <w:p w:rsidR="00083425" w:rsidRPr="00DC3007" w:rsidRDefault="00095317" w:rsidP="00DC3007">
            <w:pPr>
              <w:spacing w:before="60" w:after="60" w:line="240" w:lineRule="auto"/>
              <w:jc w:val="right"/>
              <w:rPr>
                <w:b/>
                <w:highlight w:val="yellow"/>
              </w:rPr>
            </w:pPr>
            <w:r w:rsidRPr="00057442">
              <w:rPr>
                <w:b/>
                <w:highlight w:val="cyan"/>
              </w:rPr>
              <w:t>-</w:t>
            </w:r>
            <w:r w:rsidR="00DC3007" w:rsidRPr="00057442">
              <w:rPr>
                <w:b/>
                <w:highlight w:val="cyan"/>
              </w:rPr>
              <w:t>81</w:t>
            </w:r>
            <w:r w:rsidRPr="00057442">
              <w:rPr>
                <w:b/>
                <w:highlight w:val="cyan"/>
              </w:rPr>
              <w:t>%</w:t>
            </w:r>
          </w:p>
        </w:tc>
      </w:tr>
    </w:tbl>
    <w:p w:rsidR="007827ED" w:rsidRPr="00B75F4F" w:rsidRDefault="00574CCB" w:rsidP="00B75F4F">
      <w:pPr>
        <w:rPr>
          <w:sz w:val="20"/>
        </w:rPr>
      </w:pPr>
      <w:r w:rsidRPr="00B75F4F">
        <w:rPr>
          <w:sz w:val="20"/>
        </w:rPr>
        <w:t xml:space="preserve">Source:  Spreadsheet summarizing the </w:t>
      </w:r>
      <w:r w:rsidR="007827ED" w:rsidRPr="00B75F4F">
        <w:rPr>
          <w:sz w:val="20"/>
        </w:rPr>
        <w:t>SO</w:t>
      </w:r>
      <w:r w:rsidR="007827ED" w:rsidRPr="00B75F4F">
        <w:rPr>
          <w:sz w:val="20"/>
          <w:vertAlign w:val="subscript"/>
        </w:rPr>
        <w:t>2</w:t>
      </w:r>
      <w:r w:rsidR="007827ED" w:rsidRPr="00B75F4F">
        <w:rPr>
          <w:sz w:val="20"/>
        </w:rPr>
        <w:t xml:space="preserve"> </w:t>
      </w:r>
      <w:r w:rsidRPr="00B75F4F">
        <w:rPr>
          <w:sz w:val="20"/>
        </w:rPr>
        <w:t>Emissions status of the “167 EGU stacks” identified in the MANE-VU A</w:t>
      </w:r>
      <w:r w:rsidR="007A7E86" w:rsidRPr="00B75F4F">
        <w:rPr>
          <w:sz w:val="20"/>
        </w:rPr>
        <w:t xml:space="preserve">sk as of </w:t>
      </w:r>
      <w:r w:rsidR="007A7E86" w:rsidRPr="00057442">
        <w:rPr>
          <w:sz w:val="20"/>
          <w:highlight w:val="cyan"/>
        </w:rPr>
        <w:t>201</w:t>
      </w:r>
      <w:r w:rsidR="00DD5ADB" w:rsidRPr="00057442">
        <w:rPr>
          <w:sz w:val="20"/>
          <w:highlight w:val="cyan"/>
        </w:rPr>
        <w:t>4</w:t>
      </w:r>
      <w:r w:rsidR="007A7E86" w:rsidRPr="00B75F4F">
        <w:rPr>
          <w:sz w:val="20"/>
        </w:rPr>
        <w:t xml:space="preserve">.   </w:t>
      </w:r>
      <w:r w:rsidR="007A7E86" w:rsidRPr="00B75F4F">
        <w:rPr>
          <w:sz w:val="20"/>
          <w:highlight w:val="yellow"/>
        </w:rPr>
        <w:t>See also Appendix XXX</w:t>
      </w:r>
      <w:r w:rsidR="007A7E86" w:rsidRPr="00B75F4F">
        <w:rPr>
          <w:sz w:val="20"/>
        </w:rPr>
        <w:t>.</w:t>
      </w:r>
    </w:p>
    <w:p w:rsidR="007A7E86" w:rsidRPr="00B75F4F" w:rsidRDefault="007827ED" w:rsidP="00B75F4F">
      <w:pPr>
        <w:rPr>
          <w:sz w:val="20"/>
        </w:rPr>
      </w:pPr>
      <w:r w:rsidRPr="00B75F4F">
        <w:rPr>
          <w:sz w:val="20"/>
        </w:rPr>
        <w:t>*</w:t>
      </w:r>
      <w:r w:rsidR="009E7C6E">
        <w:rPr>
          <w:sz w:val="20"/>
        </w:rPr>
        <w:t xml:space="preserve">By </w:t>
      </w:r>
      <w:r w:rsidR="009E7C6E" w:rsidRPr="00057442">
        <w:rPr>
          <w:sz w:val="20"/>
          <w:highlight w:val="cyan"/>
        </w:rPr>
        <w:t>201</w:t>
      </w:r>
      <w:r w:rsidR="00DD5ADB" w:rsidRPr="00057442">
        <w:rPr>
          <w:sz w:val="20"/>
          <w:highlight w:val="cyan"/>
        </w:rPr>
        <w:t>4</w:t>
      </w:r>
      <w:r w:rsidR="009E7C6E" w:rsidRPr="00057442">
        <w:rPr>
          <w:sz w:val="20"/>
          <w:highlight w:val="cyan"/>
        </w:rPr>
        <w:t xml:space="preserve">, </w:t>
      </w:r>
      <w:r w:rsidR="00257D55" w:rsidRPr="00057442">
        <w:rPr>
          <w:sz w:val="20"/>
          <w:highlight w:val="cyan"/>
        </w:rPr>
        <w:t>Delaware</w:t>
      </w:r>
      <w:r w:rsidR="00257D55" w:rsidRPr="00257D55">
        <w:rPr>
          <w:sz w:val="20"/>
          <w:highlight w:val="yellow"/>
        </w:rPr>
        <w:t>,</w:t>
      </w:r>
      <w:r w:rsidR="00257D55">
        <w:rPr>
          <w:sz w:val="20"/>
        </w:rPr>
        <w:t xml:space="preserve"> </w:t>
      </w:r>
      <w:r w:rsidRPr="00B75F4F">
        <w:rPr>
          <w:sz w:val="20"/>
        </w:rPr>
        <w:t xml:space="preserve">Illinois, </w:t>
      </w:r>
      <w:r w:rsidR="009978E8">
        <w:rPr>
          <w:sz w:val="20"/>
        </w:rPr>
        <w:t>Maryland</w:t>
      </w:r>
      <w:proofErr w:type="gramStart"/>
      <w:r w:rsidR="009978E8">
        <w:rPr>
          <w:sz w:val="20"/>
        </w:rPr>
        <w:t xml:space="preserve">, </w:t>
      </w:r>
      <w:r w:rsidR="00CC55EF">
        <w:rPr>
          <w:sz w:val="20"/>
        </w:rPr>
        <w:t xml:space="preserve"> </w:t>
      </w:r>
      <w:r w:rsidR="00CC55EF" w:rsidRPr="00057442">
        <w:rPr>
          <w:sz w:val="20"/>
          <w:highlight w:val="cyan"/>
        </w:rPr>
        <w:t>Massachusetts</w:t>
      </w:r>
      <w:proofErr w:type="gramEnd"/>
      <w:r w:rsidR="00CC55EF" w:rsidRPr="00CC55EF">
        <w:rPr>
          <w:sz w:val="20"/>
          <w:highlight w:val="yellow"/>
        </w:rPr>
        <w:t>,</w:t>
      </w:r>
      <w:r w:rsidR="00CC55EF">
        <w:rPr>
          <w:sz w:val="20"/>
        </w:rPr>
        <w:t xml:space="preserve"> </w:t>
      </w:r>
      <w:r w:rsidR="00057442">
        <w:rPr>
          <w:sz w:val="20"/>
        </w:rPr>
        <w:t xml:space="preserve"> </w:t>
      </w:r>
      <w:r w:rsidR="009978E8">
        <w:rPr>
          <w:sz w:val="20"/>
        </w:rPr>
        <w:t xml:space="preserve">New Hampshire, </w:t>
      </w:r>
      <w:r w:rsidRPr="00B75F4F">
        <w:rPr>
          <w:sz w:val="20"/>
        </w:rPr>
        <w:t>New Jersey, New York</w:t>
      </w:r>
      <w:r w:rsidR="00CC55EF">
        <w:rPr>
          <w:sz w:val="20"/>
        </w:rPr>
        <w:t xml:space="preserve">, </w:t>
      </w:r>
      <w:r w:rsidR="00CC55EF" w:rsidRPr="00057442">
        <w:rPr>
          <w:sz w:val="20"/>
          <w:highlight w:val="cyan"/>
        </w:rPr>
        <w:t>North Carolina</w:t>
      </w:r>
      <w:r w:rsidR="009978E8">
        <w:rPr>
          <w:sz w:val="20"/>
        </w:rPr>
        <w:t xml:space="preserve"> and South Carolina</w:t>
      </w:r>
      <w:r w:rsidRPr="00B75F4F">
        <w:rPr>
          <w:sz w:val="20"/>
        </w:rPr>
        <w:t xml:space="preserve"> emissions had already met the </w:t>
      </w:r>
      <w:r w:rsidR="009E7C6E">
        <w:rPr>
          <w:sz w:val="20"/>
        </w:rPr>
        <w:t xml:space="preserve">target of a </w:t>
      </w:r>
      <w:r w:rsidRPr="00B75F4F">
        <w:rPr>
          <w:sz w:val="20"/>
        </w:rPr>
        <w:t xml:space="preserve">90% reduction </w:t>
      </w:r>
      <w:r w:rsidR="007A7E86" w:rsidRPr="00B75F4F">
        <w:rPr>
          <w:sz w:val="20"/>
        </w:rPr>
        <w:t>by 201</w:t>
      </w:r>
      <w:r w:rsidR="009E7C6E">
        <w:rPr>
          <w:sz w:val="20"/>
        </w:rPr>
        <w:t>8</w:t>
      </w:r>
      <w:r w:rsidR="007A7E86" w:rsidRPr="00B75F4F">
        <w:rPr>
          <w:sz w:val="20"/>
        </w:rPr>
        <w:t>.  Other states also may have met the target by reducing emissions from other sources</w:t>
      </w:r>
      <w:r w:rsidR="009E7C6E">
        <w:rPr>
          <w:sz w:val="20"/>
        </w:rPr>
        <w:t xml:space="preserve"> not included in this table</w:t>
      </w:r>
      <w:r w:rsidR="007A7E86" w:rsidRPr="00B75F4F">
        <w:rPr>
          <w:sz w:val="20"/>
        </w:rPr>
        <w:t xml:space="preserve">. </w:t>
      </w:r>
    </w:p>
    <w:p w:rsidR="007A7E86" w:rsidRPr="00B75F4F" w:rsidRDefault="007A7E86" w:rsidP="00B75F4F">
      <w:pPr>
        <w:rPr>
          <w:sz w:val="20"/>
        </w:rPr>
      </w:pPr>
      <w:r w:rsidRPr="00B75F4F">
        <w:rPr>
          <w:sz w:val="20"/>
        </w:rPr>
        <w:t xml:space="preserve">This is a “point in time” snap shot, not a determination of whether a state achieved the MANE-VU </w:t>
      </w:r>
      <w:r w:rsidR="009E7C6E">
        <w:rPr>
          <w:sz w:val="20"/>
        </w:rPr>
        <w:t>“Ask</w:t>
      </w:r>
      <w:r w:rsidRPr="00B75F4F">
        <w:rPr>
          <w:sz w:val="20"/>
        </w:rPr>
        <w:t>.</w:t>
      </w:r>
      <w:r w:rsidR="009E7C6E">
        <w:rPr>
          <w:sz w:val="20"/>
        </w:rPr>
        <w:t>”</w:t>
      </w:r>
      <w:r w:rsidRPr="00B75F4F">
        <w:rPr>
          <w:sz w:val="20"/>
        </w:rPr>
        <w:t xml:space="preserve">  </w:t>
      </w:r>
    </w:p>
    <w:p w:rsidR="007A7E86" w:rsidRDefault="007A7E86" w:rsidP="007A7E86">
      <w:pPr>
        <w:rPr>
          <w:rFonts w:eastAsia="Times New Roman"/>
          <w:sz w:val="20"/>
          <w:szCs w:val="18"/>
        </w:rPr>
      </w:pPr>
      <w:r>
        <w:br w:type="page"/>
      </w:r>
    </w:p>
    <w:p w:rsidR="00670FB4" w:rsidRDefault="00670FB4">
      <w:pPr>
        <w:spacing w:after="0" w:line="240" w:lineRule="auto"/>
        <w:rPr>
          <w:rFonts w:ascii="Arial" w:eastAsia="Times New Roman" w:hAnsi="Arial"/>
          <w:b/>
          <w:bCs/>
          <w:color w:val="000000" w:themeColor="text1"/>
          <w:szCs w:val="26"/>
          <w:u w:val="single"/>
        </w:rPr>
      </w:pPr>
      <w:bookmarkStart w:id="91" w:name="_Toc373843512"/>
      <w:r>
        <w:lastRenderedPageBreak/>
        <w:br w:type="page"/>
      </w:r>
    </w:p>
    <w:p w:rsidR="00E71C51" w:rsidRPr="002E76E6" w:rsidRDefault="00E71C51" w:rsidP="002E76E6">
      <w:pPr>
        <w:pStyle w:val="Heading2"/>
      </w:pPr>
      <w:r w:rsidRPr="002E76E6">
        <w:lastRenderedPageBreak/>
        <w:t>Section 5:  Status of Additional Measures in the Regional Haze SIP</w:t>
      </w:r>
      <w:bookmarkEnd w:id="91"/>
    </w:p>
    <w:p w:rsidR="00E71C51" w:rsidRPr="002E76E6" w:rsidRDefault="00E71C51" w:rsidP="002E76E6">
      <w:pPr>
        <w:pStyle w:val="Heading3"/>
      </w:pPr>
      <w:bookmarkStart w:id="92" w:name="_Toc373843513"/>
      <w:r w:rsidRPr="002E76E6">
        <w:t>5.1</w:t>
      </w:r>
      <w:r w:rsidR="007A33C0" w:rsidRPr="002E76E6">
        <w:t>. Requirement</w:t>
      </w:r>
      <w:r w:rsidRPr="002E76E6">
        <w:t xml:space="preserve"> to Track Implementation of Other Control Measures</w:t>
      </w:r>
      <w:bookmarkEnd w:id="92"/>
    </w:p>
    <w:p w:rsidR="00C02BE8" w:rsidRDefault="00E71C51" w:rsidP="002E76E6">
      <w:r w:rsidRPr="00B27876">
        <w:t xml:space="preserve">40 CFR 51.308(g)(1) requires that the progress report describe the status of implementation of all measures included in the SIP for achieving reasonable progress goals for Class I areas within and outside the State that are affected by emissions from within the State.  </w:t>
      </w:r>
      <w:r w:rsidR="00C02BE8">
        <w:t>I</w:t>
      </w:r>
      <w:r w:rsidRPr="00B27876">
        <w:t>n establishing reasonable progress goals</w:t>
      </w:r>
      <w:r w:rsidR="000F2773">
        <w:t>,</w:t>
      </w:r>
      <w:r w:rsidRPr="00B27876">
        <w:t xml:space="preserve"> MANE-VU Class I states relied in part on a low sulfur fuel strategy </w:t>
      </w:r>
      <w:r w:rsidR="000F2773">
        <w:t xml:space="preserve">to be implemented </w:t>
      </w:r>
      <w:r w:rsidRPr="00B27876">
        <w:t>within MANE-VU as well as efforts to reduce emissions through other rea</w:t>
      </w:r>
      <w:r w:rsidR="00C02BE8">
        <w:t>sonable measures by 2018.</w:t>
      </w:r>
    </w:p>
    <w:p w:rsidR="00E71C51" w:rsidRPr="00B27876" w:rsidRDefault="00E71C51" w:rsidP="002E76E6">
      <w:r w:rsidRPr="00B27876">
        <w:t xml:space="preserve">This section provides information on the progress of </w:t>
      </w:r>
      <w:r w:rsidRPr="00B27876">
        <w:rPr>
          <w:highlight w:val="yellow"/>
        </w:rPr>
        <w:t>&lt;the State&gt;</w:t>
      </w:r>
      <w:r w:rsidRPr="00B27876">
        <w:t xml:space="preserve"> in </w:t>
      </w:r>
      <w:r w:rsidR="002B0B10" w:rsidRPr="00B27876">
        <w:t>implementing the measures included in &lt;</w:t>
      </w:r>
      <w:r w:rsidR="004817C0">
        <w:rPr>
          <w:highlight w:val="yellow"/>
        </w:rPr>
        <w:t>the S</w:t>
      </w:r>
      <w:r w:rsidR="002B0B10" w:rsidRPr="00B27876">
        <w:rPr>
          <w:highlight w:val="yellow"/>
        </w:rPr>
        <w:t>tate’s</w:t>
      </w:r>
      <w:r w:rsidR="002B0B10" w:rsidRPr="00B27876">
        <w:t>&gt; regional haze SIP</w:t>
      </w:r>
      <w:r w:rsidR="00C02BE8">
        <w:t xml:space="preserve"> for sources other than EGUs.</w:t>
      </w:r>
      <w:r w:rsidR="00AF5D50" w:rsidRPr="004F4B49">
        <w:rPr>
          <w:highlight w:val="yellow"/>
        </w:rPr>
        <w:softHyphen/>
      </w:r>
      <w:r w:rsidR="00AF5D50" w:rsidRPr="004F4B49">
        <w:rPr>
          <w:highlight w:val="yellow"/>
        </w:rPr>
        <w:softHyphen/>
      </w:r>
      <w:r w:rsidR="00AF5D50" w:rsidRPr="004F4B49">
        <w:rPr>
          <w:highlight w:val="yellow"/>
        </w:rPr>
        <w:softHyphen/>
      </w:r>
      <w:r w:rsidR="00AF5D50" w:rsidRPr="004F4B49">
        <w:rPr>
          <w:highlight w:val="yellow"/>
        </w:rPr>
        <w:softHyphen/>
      </w:r>
      <w:r w:rsidR="004F4B49" w:rsidRPr="004F4B49">
        <w:rPr>
          <w:highlight w:val="yellow"/>
        </w:rPr>
        <w:t xml:space="preserve"> &lt;EPA’s “General Principles for the 5-year Regional Haze Progress Reports” (April 2013) indicate this Progress Report “should focus on a targeted evaluation of important control measures…  The report is only expected to include those measures applicable to sources located within the state.” (pp 5-6)&gt;</w:t>
      </w:r>
    </w:p>
    <w:p w:rsidR="00E71C51" w:rsidRPr="002E76E6" w:rsidRDefault="00E71C51" w:rsidP="002E76E6">
      <w:pPr>
        <w:pStyle w:val="Heading3"/>
      </w:pPr>
      <w:bookmarkStart w:id="93" w:name="_Toc373843514"/>
      <w:r w:rsidRPr="002E76E6">
        <w:t>5.2. Status of Low Sulfur Oil Strategy</w:t>
      </w:r>
      <w:bookmarkEnd w:id="93"/>
    </w:p>
    <w:p w:rsidR="00E71C51" w:rsidRPr="00B27876" w:rsidRDefault="00E71C51" w:rsidP="002E76E6">
      <w:r w:rsidRPr="00B27876">
        <w:t xml:space="preserve">The assumption underlying the MANE-VU low-sulfur fuel oil strategy is that </w:t>
      </w:r>
      <w:r w:rsidR="005D5C14" w:rsidRPr="00B27876">
        <w:t xml:space="preserve">at an acceptably small increase in price to the end user </w:t>
      </w:r>
      <w:r w:rsidRPr="00B27876">
        <w:t xml:space="preserve">refiners can, by 2018, produce home heating and fuel oils that contain 50 percent less sulfur for the heavier grades (#4 and #6 residual), and a minimum of 75 percent and maximum of 99.25 percent less sulfur in #2 fuel oil (also known as home heating oil, distillate, or diesel fuel).  As much as 75 percent of the total sulfur reductions achieved by this strategy come from using the low-sulfur #2 distillate for space heating in the residential and commercial sectors.  While costs for these emissions reductions are somewhat uncertain, they </w:t>
      </w:r>
      <w:r w:rsidR="005D5C14">
        <w:t>were determined to be</w:t>
      </w:r>
      <w:r w:rsidRPr="00B27876">
        <w:t xml:space="preserve"> reasonable in comparison to costs of controlling other sectors as documented in the MANE-VU Reasonable Progress Report, estimated at $550 to $750 per ton.</w:t>
      </w:r>
    </w:p>
    <w:p w:rsidR="00E71C51" w:rsidRPr="00B27876" w:rsidRDefault="00E71C51" w:rsidP="002E76E6">
      <w:r w:rsidRPr="00B27876">
        <w:t xml:space="preserve">The MANE-VU states agreed that a low-sulfur oil strategy was reasonable to pursue by 2018, and </w:t>
      </w:r>
      <w:r w:rsidR="005D5C14">
        <w:t xml:space="preserve">by March 2013 five MANE-VU states had adopted sulfur in fuel limits with various implementation dates through 2018 </w:t>
      </w:r>
      <w:r w:rsidRPr="00B27876">
        <w:t xml:space="preserve">MANE-VU states have adopted regulations implementing this strategy. </w:t>
      </w:r>
    </w:p>
    <w:p w:rsidR="00E71C51" w:rsidRPr="00B27876" w:rsidRDefault="00282AC6" w:rsidP="002E76E6">
      <w:pPr>
        <w:rPr>
          <w:i/>
        </w:rPr>
      </w:pPr>
      <w:proofErr w:type="gramStart"/>
      <w:r>
        <w:rPr>
          <w:i/>
          <w:highlight w:val="yellow"/>
        </w:rPr>
        <w:t>&lt;Each s</w:t>
      </w:r>
      <w:r w:rsidR="00E71C51" w:rsidRPr="00B27876">
        <w:rPr>
          <w:i/>
          <w:highlight w:val="yellow"/>
        </w:rPr>
        <w:t xml:space="preserve">tate to include information on status of </w:t>
      </w:r>
      <w:r w:rsidR="00574CCB">
        <w:rPr>
          <w:i/>
          <w:highlight w:val="yellow"/>
        </w:rPr>
        <w:t xml:space="preserve">its </w:t>
      </w:r>
      <w:r w:rsidR="00E71C51" w:rsidRPr="00B27876">
        <w:rPr>
          <w:i/>
          <w:highlight w:val="yellow"/>
        </w:rPr>
        <w:t>rules implementing the low sulfur fuel strategy.</w:t>
      </w:r>
      <w:r w:rsidR="00E71C51" w:rsidRPr="00B27876">
        <w:rPr>
          <w:i/>
        </w:rPr>
        <w:t>&gt;</w:t>
      </w:r>
      <w:proofErr w:type="gramEnd"/>
    </w:p>
    <w:p w:rsidR="00E71C51" w:rsidRDefault="00E71C51" w:rsidP="002E76E6">
      <w:pPr>
        <w:rPr>
          <w:i/>
        </w:rPr>
      </w:pPr>
      <w:r w:rsidRPr="00B27876">
        <w:rPr>
          <w:i/>
          <w:highlight w:val="yellow"/>
        </w:rPr>
        <w:t xml:space="preserve">&lt;For Class I states, include OTC’s chart showing status of low-sulfur fuel strategy in all MANE-VU </w:t>
      </w:r>
      <w:r w:rsidRPr="00FF5E7F">
        <w:rPr>
          <w:i/>
          <w:highlight w:val="yellow"/>
        </w:rPr>
        <w:t>states.</w:t>
      </w:r>
      <w:r w:rsidR="00574CCB" w:rsidRPr="00FF5E7F">
        <w:rPr>
          <w:i/>
          <w:highlight w:val="yellow"/>
        </w:rPr>
        <w:t xml:space="preserve">  The following chart should be updated as needed to reflect current status.</w:t>
      </w:r>
      <w:r w:rsidRPr="00FF5E7F">
        <w:rPr>
          <w:i/>
          <w:highlight w:val="yellow"/>
        </w:rPr>
        <w:t>&gt;</w:t>
      </w:r>
    </w:p>
    <w:p w:rsidR="00141AEF" w:rsidRDefault="00141AEF">
      <w:pPr>
        <w:spacing w:after="0" w:line="240" w:lineRule="auto"/>
        <w:rPr>
          <w:rStyle w:val="Heading9Char"/>
          <w:rFonts w:ascii="Arial" w:hAnsi="Arial" w:cs="Arial"/>
          <w:b/>
          <w:i w:val="0"/>
          <w:iCs w:val="0"/>
          <w:color w:val="auto"/>
          <w:szCs w:val="18"/>
        </w:rPr>
      </w:pPr>
      <w:r>
        <w:rPr>
          <w:rStyle w:val="Heading9Char"/>
          <w:rFonts w:ascii="Arial" w:hAnsi="Arial" w:cs="Arial"/>
          <w:b/>
          <w:i w:val="0"/>
          <w:iCs w:val="0"/>
          <w:color w:val="auto"/>
          <w:szCs w:val="18"/>
        </w:rPr>
        <w:br w:type="page"/>
      </w:r>
    </w:p>
    <w:p w:rsidR="00705984" w:rsidRPr="007D1888" w:rsidRDefault="00705984" w:rsidP="00F60FE6">
      <w:pPr>
        <w:pStyle w:val="Caption"/>
        <w:rPr>
          <w:rStyle w:val="Heading9Char"/>
          <w:rFonts w:ascii="Arial" w:hAnsi="Arial" w:cs="Arial"/>
          <w:i w:val="0"/>
          <w:iCs w:val="0"/>
          <w:color w:val="auto"/>
          <w:szCs w:val="18"/>
        </w:rPr>
      </w:pPr>
      <w:bookmarkStart w:id="94" w:name="_Toc373842781"/>
      <w:bookmarkStart w:id="95" w:name="_Toc373843567"/>
      <w:bookmarkStart w:id="96" w:name="_Toc373844555"/>
      <w:proofErr w:type="gramStart"/>
      <w:r w:rsidRPr="007D1888">
        <w:rPr>
          <w:rStyle w:val="Heading8Char"/>
          <w:rFonts w:ascii="Arial" w:hAnsi="Arial" w:cs="Arial"/>
          <w:color w:val="auto"/>
        </w:rPr>
        <w:lastRenderedPageBreak/>
        <w:t>Table 5.1.</w:t>
      </w:r>
      <w:proofErr w:type="gramEnd"/>
      <w:r w:rsidRPr="007D1888">
        <w:rPr>
          <w:rStyle w:val="Heading8Char"/>
          <w:rFonts w:ascii="Arial" w:hAnsi="Arial" w:cs="Arial"/>
          <w:color w:val="auto"/>
        </w:rPr>
        <w:t xml:space="preserve"> Current State Sulfur in Fuel Limits</w:t>
      </w:r>
      <w:bookmarkEnd w:id="94"/>
      <w:bookmarkEnd w:id="95"/>
      <w:bookmarkEnd w:id="96"/>
    </w:p>
    <w:p w:rsidR="00705984" w:rsidRPr="0050308C" w:rsidRDefault="00705984" w:rsidP="002E76E6">
      <w:pPr>
        <w:rPr>
          <w:b/>
          <w:i/>
        </w:rPr>
      </w:pPr>
    </w:p>
    <w:tbl>
      <w:tblPr>
        <w:tblW w:w="0" w:type="auto"/>
        <w:tblLook w:val="04A0" w:firstRow="1" w:lastRow="0" w:firstColumn="1" w:lastColumn="0" w:noHBand="0" w:noVBand="1"/>
      </w:tblPr>
      <w:tblGrid>
        <w:gridCol w:w="1548"/>
        <w:gridCol w:w="3960"/>
        <w:gridCol w:w="4068"/>
      </w:tblGrid>
      <w:tr w:rsidR="00C66DC1" w:rsidRPr="00141AEF" w:rsidTr="00176F01">
        <w:tc>
          <w:tcPr>
            <w:tcW w:w="1548" w:type="dxa"/>
            <w:vMerge w:val="restart"/>
            <w:tcBorders>
              <w:top w:val="single" w:sz="4" w:space="0" w:color="auto"/>
              <w:left w:val="single" w:sz="4" w:space="0" w:color="auto"/>
              <w:bottom w:val="single" w:sz="4" w:space="0" w:color="auto"/>
              <w:right w:val="single" w:sz="4" w:space="0" w:color="auto"/>
            </w:tcBorders>
            <w:vAlign w:val="bottom"/>
          </w:tcPr>
          <w:p w:rsidR="00C66DC1" w:rsidRPr="00141AEF" w:rsidRDefault="00C66DC1" w:rsidP="00176F01">
            <w:pPr>
              <w:spacing w:before="60" w:after="60"/>
              <w:jc w:val="center"/>
              <w:rPr>
                <w:b/>
              </w:rPr>
            </w:pPr>
            <w:bookmarkStart w:id="97" w:name="OLE_LINK1"/>
            <w:r w:rsidRPr="00141AEF">
              <w:rPr>
                <w:b/>
              </w:rPr>
              <w:t>State</w:t>
            </w:r>
          </w:p>
        </w:tc>
        <w:tc>
          <w:tcPr>
            <w:tcW w:w="8028" w:type="dxa"/>
            <w:gridSpan w:val="2"/>
            <w:tcBorders>
              <w:top w:val="single" w:sz="4" w:space="0" w:color="auto"/>
              <w:left w:val="single" w:sz="4" w:space="0" w:color="auto"/>
              <w:bottom w:val="single" w:sz="4" w:space="0" w:color="auto"/>
              <w:right w:val="single" w:sz="4" w:space="0" w:color="auto"/>
            </w:tcBorders>
          </w:tcPr>
          <w:p w:rsidR="00C66DC1" w:rsidRPr="00141AEF" w:rsidRDefault="00C66DC1" w:rsidP="00141AEF">
            <w:pPr>
              <w:spacing w:before="60" w:after="60"/>
              <w:jc w:val="center"/>
              <w:rPr>
                <w:b/>
              </w:rPr>
            </w:pPr>
            <w:r w:rsidRPr="00141AEF">
              <w:rPr>
                <w:b/>
              </w:rPr>
              <w:t>Limits Adopted</w:t>
            </w:r>
            <w:r w:rsidR="004F4B49" w:rsidRPr="00141AEF">
              <w:rPr>
                <w:b/>
              </w:rPr>
              <w:t xml:space="preserve"> as reported by </w:t>
            </w:r>
            <w:r w:rsidR="00141AEF" w:rsidRPr="00141AEF">
              <w:rPr>
                <w:b/>
              </w:rPr>
              <w:t>MANE-VU</w:t>
            </w:r>
            <w:r w:rsidR="004F4B49" w:rsidRPr="00141AEF">
              <w:rPr>
                <w:b/>
              </w:rPr>
              <w:t xml:space="preserve"> in 2013</w:t>
            </w:r>
          </w:p>
        </w:tc>
      </w:tr>
      <w:tr w:rsidR="00C66DC1" w:rsidRPr="00141AEF" w:rsidTr="00141AEF">
        <w:tc>
          <w:tcPr>
            <w:tcW w:w="1548" w:type="dxa"/>
            <w:vMerge/>
            <w:tcBorders>
              <w:top w:val="single" w:sz="4" w:space="0" w:color="auto"/>
              <w:left w:val="single" w:sz="4" w:space="0" w:color="auto"/>
              <w:bottom w:val="single" w:sz="4" w:space="0" w:color="auto"/>
              <w:right w:val="single" w:sz="4" w:space="0" w:color="auto"/>
            </w:tcBorders>
          </w:tcPr>
          <w:p w:rsidR="00C66DC1" w:rsidRPr="00141AEF" w:rsidRDefault="00C66DC1" w:rsidP="00141AEF">
            <w:pPr>
              <w:pStyle w:val="Heading3"/>
              <w:spacing w:before="60" w:after="60"/>
            </w:pPr>
          </w:p>
        </w:tc>
        <w:tc>
          <w:tcPr>
            <w:tcW w:w="3960" w:type="dxa"/>
            <w:tcBorders>
              <w:top w:val="single" w:sz="4" w:space="0" w:color="auto"/>
              <w:left w:val="single" w:sz="4" w:space="0" w:color="auto"/>
              <w:bottom w:val="single" w:sz="4" w:space="0" w:color="auto"/>
              <w:right w:val="single" w:sz="4" w:space="0" w:color="auto"/>
            </w:tcBorders>
          </w:tcPr>
          <w:p w:rsidR="00C66DC1" w:rsidRPr="00141AEF" w:rsidRDefault="00C66DC1" w:rsidP="00141AEF">
            <w:pPr>
              <w:spacing w:before="60" w:after="60"/>
              <w:jc w:val="center"/>
              <w:rPr>
                <w:b/>
              </w:rPr>
            </w:pPr>
            <w:r w:rsidRPr="00141AEF">
              <w:rPr>
                <w:b/>
              </w:rPr>
              <w:t>#2 Distillate Oil</w:t>
            </w:r>
          </w:p>
        </w:tc>
        <w:tc>
          <w:tcPr>
            <w:tcW w:w="4068" w:type="dxa"/>
            <w:tcBorders>
              <w:top w:val="single" w:sz="4" w:space="0" w:color="auto"/>
              <w:left w:val="single" w:sz="4" w:space="0" w:color="auto"/>
              <w:bottom w:val="single" w:sz="4" w:space="0" w:color="auto"/>
              <w:right w:val="single" w:sz="4" w:space="0" w:color="auto"/>
            </w:tcBorders>
          </w:tcPr>
          <w:p w:rsidR="00C66DC1" w:rsidRPr="00141AEF" w:rsidRDefault="00C66DC1" w:rsidP="00141AEF">
            <w:pPr>
              <w:spacing w:before="60" w:after="60"/>
              <w:jc w:val="center"/>
              <w:rPr>
                <w:b/>
              </w:rPr>
            </w:pPr>
            <w:r w:rsidRPr="00141AEF">
              <w:rPr>
                <w:b/>
              </w:rPr>
              <w:t>#4 / #6 Residual Oil</w:t>
            </w:r>
          </w:p>
        </w:tc>
      </w:tr>
      <w:tr w:rsidR="004F4B49" w:rsidTr="00141AEF">
        <w:tc>
          <w:tcPr>
            <w:tcW w:w="1548" w:type="dxa"/>
            <w:tcBorders>
              <w:top w:val="single" w:sz="4" w:space="0" w:color="auto"/>
              <w:left w:val="single" w:sz="4" w:space="0" w:color="auto"/>
              <w:bottom w:val="single" w:sz="4" w:space="0" w:color="auto"/>
              <w:right w:val="single" w:sz="4" w:space="0" w:color="auto"/>
            </w:tcBorders>
          </w:tcPr>
          <w:p w:rsidR="004F4B49" w:rsidRDefault="004F4B49" w:rsidP="00141AEF">
            <w:pPr>
              <w:spacing w:before="60" w:after="60"/>
            </w:pPr>
            <w:r>
              <w:t>Connecticut</w:t>
            </w:r>
          </w:p>
        </w:tc>
        <w:tc>
          <w:tcPr>
            <w:tcW w:w="3960" w:type="dxa"/>
            <w:tcBorders>
              <w:top w:val="single" w:sz="4" w:space="0" w:color="auto"/>
              <w:left w:val="single" w:sz="4" w:space="0" w:color="auto"/>
              <w:bottom w:val="single" w:sz="4" w:space="0" w:color="auto"/>
              <w:right w:val="single" w:sz="4" w:space="0" w:color="auto"/>
            </w:tcBorders>
          </w:tcPr>
          <w:p w:rsidR="004F4B49" w:rsidRDefault="004F4B49" w:rsidP="00141AEF">
            <w:pPr>
              <w:spacing w:before="60" w:after="60"/>
            </w:pPr>
            <w:r>
              <w:t xml:space="preserve">500 ppm by </w:t>
            </w:r>
            <w:r w:rsidR="00141AEF">
              <w:t xml:space="preserve">7/1/ </w:t>
            </w:r>
            <w:r>
              <w:t>2014</w:t>
            </w:r>
          </w:p>
          <w:p w:rsidR="0094417E" w:rsidRDefault="0094417E" w:rsidP="00141AEF">
            <w:pPr>
              <w:spacing w:before="60" w:after="60"/>
            </w:pPr>
            <w:r>
              <w:t xml:space="preserve">15 ppm by </w:t>
            </w:r>
            <w:r w:rsidR="00141AEF">
              <w:t>7/1/2018 for fuel combusted in stationary sources. (Anticipated final by 6/30/14.)</w:t>
            </w:r>
          </w:p>
          <w:p w:rsidR="00141AEF" w:rsidRDefault="00141AEF" w:rsidP="00141AEF">
            <w:pPr>
              <w:spacing w:before="60" w:after="60"/>
            </w:pPr>
            <w:r>
              <w:t xml:space="preserve">CT General </w:t>
            </w:r>
            <w:proofErr w:type="gramStart"/>
            <w:r>
              <w:t>Statutes</w:t>
            </w:r>
            <w:proofErr w:type="gramEnd"/>
            <w:r>
              <w:t xml:space="preserve"> section 16a-21a was amended in 2013 and applies to heating oil.  The same proposed limits and timing apply.</w:t>
            </w:r>
          </w:p>
        </w:tc>
        <w:tc>
          <w:tcPr>
            <w:tcW w:w="4068" w:type="dxa"/>
            <w:tcBorders>
              <w:top w:val="single" w:sz="4" w:space="0" w:color="auto"/>
              <w:left w:val="single" w:sz="4" w:space="0" w:color="auto"/>
              <w:bottom w:val="single" w:sz="4" w:space="0" w:color="auto"/>
              <w:right w:val="single" w:sz="4" w:space="0" w:color="auto"/>
            </w:tcBorders>
          </w:tcPr>
          <w:p w:rsidR="004F4B49" w:rsidRDefault="004F4B49" w:rsidP="00141AEF">
            <w:pPr>
              <w:spacing w:before="60" w:after="60"/>
            </w:pPr>
            <w:r>
              <w:t xml:space="preserve">0.3% </w:t>
            </w:r>
            <w:r w:rsidR="00141AEF">
              <w:t>for EGUs subject to Regulations of CT State Agencies (RCSA) section 22a-174-19a.</w:t>
            </w:r>
          </w:p>
          <w:p w:rsidR="00141AEF" w:rsidRDefault="00141AEF" w:rsidP="00141AEF">
            <w:pPr>
              <w:spacing w:before="60" w:after="60"/>
            </w:pPr>
            <w:r>
              <w:t>0.5% for industrial boilers subject to RCSA section 22a-174-19a.</w:t>
            </w:r>
          </w:p>
          <w:p w:rsidR="00141AEF" w:rsidRDefault="00141AEF" w:rsidP="00141AEF">
            <w:pPr>
              <w:spacing w:before="60" w:after="60"/>
            </w:pPr>
            <w:r>
              <w:t>0.3% by 7/1/2018 for other stationary sources subject to proposed RCSA section 22a-174-19b, expected to be final by 6/30/2014.</w:t>
            </w:r>
          </w:p>
        </w:tc>
      </w:tr>
      <w:tr w:rsidR="00D70492" w:rsidTr="00141AEF">
        <w:tc>
          <w:tcPr>
            <w:tcW w:w="1548" w:type="dxa"/>
            <w:tcBorders>
              <w:top w:val="single" w:sz="4" w:space="0" w:color="auto"/>
              <w:left w:val="single" w:sz="4" w:space="0" w:color="auto"/>
              <w:bottom w:val="single" w:sz="4" w:space="0" w:color="auto"/>
              <w:right w:val="single" w:sz="4" w:space="0" w:color="auto"/>
            </w:tcBorders>
          </w:tcPr>
          <w:p w:rsidR="00D70492" w:rsidRDefault="00D70492" w:rsidP="00141AEF">
            <w:pPr>
              <w:spacing w:before="60" w:after="60"/>
            </w:pPr>
            <w:r>
              <w:t>Delaware</w:t>
            </w:r>
          </w:p>
        </w:tc>
        <w:tc>
          <w:tcPr>
            <w:tcW w:w="3960" w:type="dxa"/>
            <w:tcBorders>
              <w:top w:val="single" w:sz="4" w:space="0" w:color="auto"/>
              <w:left w:val="single" w:sz="4" w:space="0" w:color="auto"/>
              <w:bottom w:val="single" w:sz="4" w:space="0" w:color="auto"/>
              <w:right w:val="single" w:sz="4" w:space="0" w:color="auto"/>
            </w:tcBorders>
          </w:tcPr>
          <w:p w:rsidR="00D70492" w:rsidRDefault="00141AEF" w:rsidP="00141AEF">
            <w:pPr>
              <w:spacing w:before="60" w:after="60"/>
            </w:pPr>
            <w:r w:rsidRPr="00C66DC1">
              <w:t>15 pp</w:t>
            </w:r>
            <w:r>
              <w:t>m</w:t>
            </w:r>
            <w:r w:rsidRPr="00C66DC1">
              <w:t xml:space="preserve"> by 201</w:t>
            </w:r>
            <w:r>
              <w:t xml:space="preserve">6 </w:t>
            </w:r>
          </w:p>
        </w:tc>
        <w:tc>
          <w:tcPr>
            <w:tcW w:w="4068" w:type="dxa"/>
            <w:tcBorders>
              <w:top w:val="single" w:sz="4" w:space="0" w:color="auto"/>
              <w:left w:val="single" w:sz="4" w:space="0" w:color="auto"/>
              <w:bottom w:val="single" w:sz="4" w:space="0" w:color="auto"/>
              <w:right w:val="single" w:sz="4" w:space="0" w:color="auto"/>
            </w:tcBorders>
          </w:tcPr>
          <w:p w:rsidR="00D70492" w:rsidRDefault="00D70492" w:rsidP="00141AEF">
            <w:pPr>
              <w:spacing w:before="60" w:after="60"/>
            </w:pPr>
            <w:r>
              <w:t>0.5% by 2016</w:t>
            </w:r>
          </w:p>
        </w:tc>
      </w:tr>
      <w:tr w:rsidR="00C66DC1" w:rsidTr="00141AEF">
        <w:tc>
          <w:tcPr>
            <w:tcW w:w="1548" w:type="dxa"/>
            <w:tcBorders>
              <w:top w:val="single" w:sz="4" w:space="0" w:color="auto"/>
              <w:left w:val="single" w:sz="4" w:space="0" w:color="auto"/>
              <w:bottom w:val="single" w:sz="4" w:space="0" w:color="auto"/>
              <w:right w:val="single" w:sz="4" w:space="0" w:color="auto"/>
            </w:tcBorders>
          </w:tcPr>
          <w:p w:rsidR="00C66DC1" w:rsidRDefault="00C66DC1" w:rsidP="00141AEF">
            <w:pPr>
              <w:spacing w:before="60" w:after="60"/>
            </w:pPr>
            <w:r>
              <w:t>Maine</w:t>
            </w:r>
          </w:p>
        </w:tc>
        <w:tc>
          <w:tcPr>
            <w:tcW w:w="3960" w:type="dxa"/>
            <w:tcBorders>
              <w:top w:val="single" w:sz="4" w:space="0" w:color="auto"/>
              <w:left w:val="single" w:sz="4" w:space="0" w:color="auto"/>
              <w:bottom w:val="single" w:sz="4" w:space="0" w:color="auto"/>
              <w:right w:val="single" w:sz="4" w:space="0" w:color="auto"/>
            </w:tcBorders>
          </w:tcPr>
          <w:p w:rsidR="00141AEF" w:rsidRDefault="00141AEF" w:rsidP="00141AEF">
            <w:pPr>
              <w:spacing w:before="60" w:after="60"/>
            </w:pPr>
            <w:r>
              <w:t xml:space="preserve">0.005% by weight by </w:t>
            </w:r>
            <w:r w:rsidR="00701190">
              <w:t xml:space="preserve">July </w:t>
            </w:r>
            <w:r>
              <w:t>2016</w:t>
            </w:r>
          </w:p>
          <w:p w:rsidR="00C66DC1" w:rsidRPr="00C66DC1" w:rsidRDefault="004F4B49" w:rsidP="00141AEF">
            <w:pPr>
              <w:spacing w:before="60" w:after="60"/>
            </w:pPr>
            <w:r>
              <w:t>0.0015% by weight</w:t>
            </w:r>
            <w:r w:rsidR="00C66DC1">
              <w:t xml:space="preserve"> by </w:t>
            </w:r>
            <w:r w:rsidR="00701190">
              <w:t xml:space="preserve">January </w:t>
            </w:r>
            <w:r w:rsidR="00C66DC1">
              <w:t>201</w:t>
            </w:r>
            <w:r w:rsidR="00141AEF">
              <w:t>8</w:t>
            </w:r>
          </w:p>
        </w:tc>
        <w:tc>
          <w:tcPr>
            <w:tcW w:w="4068" w:type="dxa"/>
            <w:tcBorders>
              <w:top w:val="single" w:sz="4" w:space="0" w:color="auto"/>
              <w:left w:val="single" w:sz="4" w:space="0" w:color="auto"/>
              <w:bottom w:val="single" w:sz="4" w:space="0" w:color="auto"/>
              <w:right w:val="single" w:sz="4" w:space="0" w:color="auto"/>
            </w:tcBorders>
          </w:tcPr>
          <w:p w:rsidR="00C66DC1" w:rsidRPr="00C66DC1" w:rsidRDefault="00C66DC1" w:rsidP="00141AEF">
            <w:pPr>
              <w:spacing w:before="60" w:after="60"/>
            </w:pPr>
            <w:r>
              <w:t>0.5% by 2018</w:t>
            </w:r>
          </w:p>
        </w:tc>
      </w:tr>
      <w:tr w:rsidR="00CB5E0D" w:rsidTr="00141AEF">
        <w:tc>
          <w:tcPr>
            <w:tcW w:w="1548" w:type="dxa"/>
            <w:tcBorders>
              <w:top w:val="single" w:sz="4" w:space="0" w:color="auto"/>
              <w:left w:val="single" w:sz="4" w:space="0" w:color="auto"/>
              <w:bottom w:val="single" w:sz="4" w:space="0" w:color="auto"/>
              <w:right w:val="single" w:sz="4" w:space="0" w:color="auto"/>
            </w:tcBorders>
          </w:tcPr>
          <w:p w:rsidR="00CB5E0D" w:rsidRDefault="00CB5E0D" w:rsidP="00141AEF">
            <w:pPr>
              <w:spacing w:before="60" w:after="60"/>
            </w:pPr>
            <w:r>
              <w:t>Massachusetts</w:t>
            </w:r>
          </w:p>
        </w:tc>
        <w:tc>
          <w:tcPr>
            <w:tcW w:w="3960" w:type="dxa"/>
            <w:tcBorders>
              <w:top w:val="single" w:sz="4" w:space="0" w:color="auto"/>
              <w:left w:val="single" w:sz="4" w:space="0" w:color="auto"/>
              <w:bottom w:val="single" w:sz="4" w:space="0" w:color="auto"/>
              <w:right w:val="single" w:sz="4" w:space="0" w:color="auto"/>
            </w:tcBorders>
          </w:tcPr>
          <w:p w:rsidR="00CB5E0D" w:rsidRDefault="00CB5E0D">
            <w:pPr>
              <w:spacing w:before="60" w:after="60"/>
            </w:pPr>
            <w:r>
              <w:t>500 ppm by 7/1/2014</w:t>
            </w:r>
          </w:p>
          <w:p w:rsidR="00CB5E0D" w:rsidRDefault="00CB5E0D">
            <w:pPr>
              <w:spacing w:before="60" w:after="60"/>
            </w:pPr>
            <w:r>
              <w:t>15 ppm by 7/1/2018</w:t>
            </w:r>
          </w:p>
        </w:tc>
        <w:tc>
          <w:tcPr>
            <w:tcW w:w="4068" w:type="dxa"/>
            <w:tcBorders>
              <w:top w:val="single" w:sz="4" w:space="0" w:color="auto"/>
              <w:left w:val="single" w:sz="4" w:space="0" w:color="auto"/>
              <w:bottom w:val="single" w:sz="4" w:space="0" w:color="auto"/>
              <w:right w:val="single" w:sz="4" w:space="0" w:color="auto"/>
            </w:tcBorders>
          </w:tcPr>
          <w:p w:rsidR="00CB5E0D" w:rsidRDefault="00CB5E0D">
            <w:pPr>
              <w:spacing w:before="60" w:after="60"/>
            </w:pPr>
            <w:r>
              <w:t>1% by 7/1/2014 (0.5% for power plants)</w:t>
            </w:r>
          </w:p>
          <w:p w:rsidR="00CB5E0D" w:rsidRDefault="00CB5E0D">
            <w:pPr>
              <w:spacing w:before="60" w:after="60"/>
            </w:pPr>
            <w:r>
              <w:t>0.5% by 7/1/2018</w:t>
            </w:r>
          </w:p>
        </w:tc>
      </w:tr>
      <w:tr w:rsidR="00C66DC1" w:rsidTr="00141AEF">
        <w:tc>
          <w:tcPr>
            <w:tcW w:w="1548" w:type="dxa"/>
            <w:tcBorders>
              <w:top w:val="single" w:sz="4" w:space="0" w:color="auto"/>
              <w:left w:val="single" w:sz="4" w:space="0" w:color="auto"/>
              <w:bottom w:val="single" w:sz="4" w:space="0" w:color="auto"/>
              <w:right w:val="single" w:sz="4" w:space="0" w:color="auto"/>
            </w:tcBorders>
          </w:tcPr>
          <w:p w:rsidR="00C66DC1" w:rsidRDefault="00C66DC1" w:rsidP="00141AEF">
            <w:pPr>
              <w:spacing w:before="60" w:after="60"/>
            </w:pPr>
            <w:r>
              <w:t>New Jersey</w:t>
            </w:r>
          </w:p>
        </w:tc>
        <w:tc>
          <w:tcPr>
            <w:tcW w:w="3960" w:type="dxa"/>
            <w:tcBorders>
              <w:top w:val="single" w:sz="4" w:space="0" w:color="auto"/>
              <w:left w:val="single" w:sz="4" w:space="0" w:color="auto"/>
              <w:bottom w:val="single" w:sz="4" w:space="0" w:color="auto"/>
              <w:right w:val="single" w:sz="4" w:space="0" w:color="auto"/>
            </w:tcBorders>
          </w:tcPr>
          <w:p w:rsidR="00C66DC1" w:rsidRDefault="00667395" w:rsidP="00141AEF">
            <w:pPr>
              <w:spacing w:before="60" w:after="60"/>
            </w:pPr>
            <w:r>
              <w:t>500 ppm by 2014</w:t>
            </w:r>
          </w:p>
          <w:p w:rsidR="00667395" w:rsidRDefault="00667395" w:rsidP="00141AEF">
            <w:pPr>
              <w:spacing w:before="60" w:after="60"/>
            </w:pPr>
            <w:r>
              <w:t>15 ppm by 2016</w:t>
            </w:r>
          </w:p>
        </w:tc>
        <w:tc>
          <w:tcPr>
            <w:tcW w:w="4068" w:type="dxa"/>
            <w:tcBorders>
              <w:top w:val="single" w:sz="4" w:space="0" w:color="auto"/>
              <w:left w:val="single" w:sz="4" w:space="0" w:color="auto"/>
              <w:bottom w:val="single" w:sz="4" w:space="0" w:color="auto"/>
              <w:right w:val="single" w:sz="4" w:space="0" w:color="auto"/>
            </w:tcBorders>
          </w:tcPr>
          <w:p w:rsidR="00C66DC1" w:rsidRDefault="004F4B49" w:rsidP="00141AEF">
            <w:pPr>
              <w:spacing w:before="60" w:after="60"/>
            </w:pPr>
            <w:r>
              <w:t>3000-5000 ppm by 2014 depending on county</w:t>
            </w:r>
          </w:p>
          <w:p w:rsidR="00667395" w:rsidRDefault="00667395" w:rsidP="00141AEF">
            <w:pPr>
              <w:spacing w:before="60" w:after="60"/>
            </w:pPr>
          </w:p>
        </w:tc>
      </w:tr>
      <w:tr w:rsidR="00C66DC1" w:rsidTr="00141AEF">
        <w:tc>
          <w:tcPr>
            <w:tcW w:w="1548" w:type="dxa"/>
            <w:tcBorders>
              <w:top w:val="single" w:sz="4" w:space="0" w:color="auto"/>
              <w:left w:val="single" w:sz="4" w:space="0" w:color="auto"/>
              <w:bottom w:val="single" w:sz="4" w:space="0" w:color="auto"/>
              <w:right w:val="single" w:sz="4" w:space="0" w:color="auto"/>
            </w:tcBorders>
          </w:tcPr>
          <w:p w:rsidR="00C66DC1" w:rsidRDefault="00C66DC1" w:rsidP="00141AEF">
            <w:pPr>
              <w:spacing w:before="60" w:after="60"/>
            </w:pPr>
            <w:r>
              <w:t>New York</w:t>
            </w:r>
          </w:p>
        </w:tc>
        <w:tc>
          <w:tcPr>
            <w:tcW w:w="3960" w:type="dxa"/>
            <w:tcBorders>
              <w:top w:val="single" w:sz="4" w:space="0" w:color="auto"/>
              <w:left w:val="single" w:sz="4" w:space="0" w:color="auto"/>
              <w:bottom w:val="single" w:sz="4" w:space="0" w:color="auto"/>
              <w:right w:val="single" w:sz="4" w:space="0" w:color="auto"/>
            </w:tcBorders>
          </w:tcPr>
          <w:p w:rsidR="00C66DC1" w:rsidRDefault="004F4B49" w:rsidP="00141AEF">
            <w:pPr>
              <w:spacing w:before="60" w:after="60"/>
            </w:pPr>
            <w:r>
              <w:t>15 ppm by 2012</w:t>
            </w:r>
            <w:r w:rsidR="00141AEF">
              <w:t xml:space="preserve"> </w:t>
            </w:r>
            <w:r>
              <w:t>-</w:t>
            </w:r>
            <w:r w:rsidR="00141AEF">
              <w:t xml:space="preserve"> </w:t>
            </w:r>
            <w:r>
              <w:t>heating oil</w:t>
            </w:r>
          </w:p>
          <w:p w:rsidR="00E45D16" w:rsidRPr="00E45D16" w:rsidRDefault="00E45D16" w:rsidP="00141AEF">
            <w:pPr>
              <w:spacing w:before="60" w:after="60"/>
            </w:pPr>
            <w:r>
              <w:t>15 ppm by 2014</w:t>
            </w:r>
            <w:r w:rsidR="00141AEF">
              <w:t xml:space="preserve"> -</w:t>
            </w:r>
            <w:r>
              <w:t xml:space="preserve"> </w:t>
            </w:r>
            <w:r w:rsidR="004F4B49">
              <w:t>other sources</w:t>
            </w:r>
          </w:p>
        </w:tc>
        <w:tc>
          <w:tcPr>
            <w:tcW w:w="4068" w:type="dxa"/>
            <w:tcBorders>
              <w:top w:val="single" w:sz="4" w:space="0" w:color="auto"/>
              <w:left w:val="single" w:sz="4" w:space="0" w:color="auto"/>
              <w:bottom w:val="single" w:sz="4" w:space="0" w:color="auto"/>
              <w:right w:val="single" w:sz="4" w:space="0" w:color="auto"/>
            </w:tcBorders>
          </w:tcPr>
          <w:p w:rsidR="00C66DC1" w:rsidRDefault="00141AEF" w:rsidP="00141AEF">
            <w:pPr>
              <w:spacing w:before="60" w:after="60"/>
            </w:pPr>
            <w:r>
              <w:t>0.3% in NYC</w:t>
            </w:r>
          </w:p>
          <w:p w:rsidR="00141AEF" w:rsidRDefault="00141AEF" w:rsidP="00141AEF">
            <w:pPr>
              <w:spacing w:before="60" w:after="60"/>
            </w:pPr>
            <w:r>
              <w:t>0.37% in Nassau, Rockland, and Westchester Counties</w:t>
            </w:r>
          </w:p>
          <w:p w:rsidR="00E45D16" w:rsidRDefault="00141AEF" w:rsidP="008D249A">
            <w:pPr>
              <w:spacing w:before="60" w:after="60"/>
            </w:pPr>
            <w:r>
              <w:t>0.5% in the rest of the state</w:t>
            </w:r>
          </w:p>
          <w:p w:rsidR="00701190" w:rsidRPr="00E45D16" w:rsidRDefault="00701190" w:rsidP="008D249A">
            <w:pPr>
              <w:spacing w:before="60" w:after="60"/>
            </w:pPr>
            <w:r>
              <w:t>(Purchase date 7/1/14, Use date 7/1/16</w:t>
            </w:r>
          </w:p>
        </w:tc>
      </w:tr>
      <w:tr w:rsidR="0094417E" w:rsidTr="00141AEF">
        <w:tc>
          <w:tcPr>
            <w:tcW w:w="1548" w:type="dxa"/>
            <w:tcBorders>
              <w:top w:val="single" w:sz="4" w:space="0" w:color="auto"/>
              <w:left w:val="single" w:sz="4" w:space="0" w:color="auto"/>
              <w:bottom w:val="single" w:sz="4" w:space="0" w:color="auto"/>
              <w:right w:val="single" w:sz="4" w:space="0" w:color="auto"/>
            </w:tcBorders>
          </w:tcPr>
          <w:p w:rsidR="0094417E" w:rsidRDefault="0094417E" w:rsidP="00141AEF">
            <w:pPr>
              <w:spacing w:before="60" w:after="60"/>
            </w:pPr>
            <w:r>
              <w:t>Pennsylvania</w:t>
            </w:r>
          </w:p>
        </w:tc>
        <w:tc>
          <w:tcPr>
            <w:tcW w:w="3960" w:type="dxa"/>
            <w:tcBorders>
              <w:top w:val="single" w:sz="4" w:space="0" w:color="auto"/>
              <w:left w:val="single" w:sz="4" w:space="0" w:color="auto"/>
              <w:bottom w:val="single" w:sz="4" w:space="0" w:color="auto"/>
              <w:right w:val="single" w:sz="4" w:space="0" w:color="auto"/>
            </w:tcBorders>
          </w:tcPr>
          <w:p w:rsidR="0094417E" w:rsidRDefault="0094417E" w:rsidP="00141AEF">
            <w:pPr>
              <w:spacing w:before="60" w:after="60"/>
            </w:pPr>
            <w:r>
              <w:t>500 ppm by 2016</w:t>
            </w:r>
          </w:p>
        </w:tc>
        <w:tc>
          <w:tcPr>
            <w:tcW w:w="4068" w:type="dxa"/>
            <w:tcBorders>
              <w:top w:val="single" w:sz="4" w:space="0" w:color="auto"/>
              <w:left w:val="single" w:sz="4" w:space="0" w:color="auto"/>
              <w:bottom w:val="single" w:sz="4" w:space="0" w:color="auto"/>
              <w:right w:val="single" w:sz="4" w:space="0" w:color="auto"/>
            </w:tcBorders>
          </w:tcPr>
          <w:p w:rsidR="0094417E" w:rsidRDefault="0094417E" w:rsidP="00141AEF">
            <w:pPr>
              <w:spacing w:before="60" w:after="60"/>
            </w:pPr>
            <w:r>
              <w:t>0.25% by weight (#4 oil) by 2016</w:t>
            </w:r>
          </w:p>
          <w:p w:rsidR="0094417E" w:rsidRDefault="0094417E" w:rsidP="00141AEF">
            <w:pPr>
              <w:spacing w:before="60" w:after="60"/>
            </w:pPr>
            <w:r>
              <w:t>0.5% by weight (#5, #6 oil) by 2016</w:t>
            </w:r>
          </w:p>
        </w:tc>
      </w:tr>
      <w:tr w:rsidR="00C66DC1" w:rsidTr="00141AEF">
        <w:tc>
          <w:tcPr>
            <w:tcW w:w="1548" w:type="dxa"/>
            <w:tcBorders>
              <w:top w:val="single" w:sz="4" w:space="0" w:color="auto"/>
              <w:left w:val="single" w:sz="4" w:space="0" w:color="auto"/>
              <w:bottom w:val="single" w:sz="4" w:space="0" w:color="auto"/>
              <w:right w:val="single" w:sz="4" w:space="0" w:color="auto"/>
            </w:tcBorders>
          </w:tcPr>
          <w:p w:rsidR="00C66DC1" w:rsidRDefault="00E45D16" w:rsidP="00141AEF">
            <w:pPr>
              <w:spacing w:before="60" w:after="60"/>
            </w:pPr>
            <w:r>
              <w:t>Vermont</w:t>
            </w:r>
          </w:p>
        </w:tc>
        <w:tc>
          <w:tcPr>
            <w:tcW w:w="3960" w:type="dxa"/>
            <w:tcBorders>
              <w:top w:val="single" w:sz="4" w:space="0" w:color="auto"/>
              <w:left w:val="single" w:sz="4" w:space="0" w:color="auto"/>
              <w:bottom w:val="single" w:sz="4" w:space="0" w:color="auto"/>
              <w:right w:val="single" w:sz="4" w:space="0" w:color="auto"/>
            </w:tcBorders>
          </w:tcPr>
          <w:p w:rsidR="00C66DC1" w:rsidRDefault="00667395" w:rsidP="00141AEF">
            <w:pPr>
              <w:spacing w:before="60" w:after="60"/>
            </w:pPr>
            <w:r>
              <w:t>0.05% by weight by 7/1/</w:t>
            </w:r>
            <w:r w:rsidR="00141AEF">
              <w:t>20</w:t>
            </w:r>
            <w:r>
              <w:t>14</w:t>
            </w:r>
          </w:p>
          <w:p w:rsidR="00667395" w:rsidRDefault="00141AEF" w:rsidP="00141AEF">
            <w:pPr>
              <w:spacing w:before="60" w:after="60"/>
            </w:pPr>
            <w:r>
              <w:t>0</w:t>
            </w:r>
            <w:r w:rsidR="00667395">
              <w:t>.0015% by weight by 7/1/</w:t>
            </w:r>
            <w:r>
              <w:t>20</w:t>
            </w:r>
            <w:r w:rsidR="00667395">
              <w:t>18</w:t>
            </w:r>
          </w:p>
        </w:tc>
        <w:tc>
          <w:tcPr>
            <w:tcW w:w="4068" w:type="dxa"/>
            <w:tcBorders>
              <w:top w:val="single" w:sz="4" w:space="0" w:color="auto"/>
              <w:left w:val="single" w:sz="4" w:space="0" w:color="auto"/>
              <w:bottom w:val="single" w:sz="4" w:space="0" w:color="auto"/>
              <w:right w:val="single" w:sz="4" w:space="0" w:color="auto"/>
            </w:tcBorders>
          </w:tcPr>
          <w:p w:rsidR="00C66DC1" w:rsidRDefault="00014A88" w:rsidP="00141AEF">
            <w:pPr>
              <w:spacing w:before="60" w:after="60"/>
            </w:pPr>
            <w:r>
              <w:t>0.25% by weight (#4 oil) by 7</w:t>
            </w:r>
            <w:r w:rsidR="00667395">
              <w:t>/</w:t>
            </w:r>
            <w:r>
              <w:t>1/2018</w:t>
            </w:r>
          </w:p>
          <w:p w:rsidR="00014A88" w:rsidRDefault="00014A88" w:rsidP="00141AEF">
            <w:pPr>
              <w:spacing w:before="60" w:after="60"/>
            </w:pPr>
            <w:r>
              <w:t>0.5% by weight (#5, #6 oil) by 7/1/2018</w:t>
            </w:r>
          </w:p>
        </w:tc>
      </w:tr>
    </w:tbl>
    <w:bookmarkEnd w:id="97"/>
    <w:p w:rsidR="006D497F" w:rsidRDefault="00141AEF" w:rsidP="00141AEF">
      <w:r>
        <w:t>Source:  MANE-VU Technical Support Committee summary of status of low sulfur fuel requirement</w:t>
      </w:r>
    </w:p>
    <w:p w:rsidR="004D7798" w:rsidRDefault="00FF5E7F">
      <w:pPr>
        <w:spacing w:after="0" w:line="240" w:lineRule="auto"/>
        <w:rPr>
          <w:rFonts w:ascii="Arial" w:eastAsia="Times New Roman" w:hAnsi="Arial"/>
          <w:b/>
          <w:color w:val="000000" w:themeColor="text1"/>
          <w:szCs w:val="26"/>
        </w:rPr>
      </w:pPr>
      <w:r w:rsidRPr="00FF5E7F">
        <w:rPr>
          <w:highlight w:val="yellow"/>
        </w:rPr>
        <w:t>&lt;Note: Check on current status</w:t>
      </w:r>
      <w:r w:rsidR="005A723C">
        <w:rPr>
          <w:highlight w:val="yellow"/>
        </w:rPr>
        <w:t>, particularly</w:t>
      </w:r>
      <w:r w:rsidRPr="00FF5E7F">
        <w:rPr>
          <w:highlight w:val="yellow"/>
        </w:rPr>
        <w:t xml:space="preserve"> for DC, NH, </w:t>
      </w:r>
      <w:r w:rsidR="005A723C">
        <w:rPr>
          <w:highlight w:val="yellow"/>
        </w:rPr>
        <w:t xml:space="preserve">and </w:t>
      </w:r>
      <w:r w:rsidRPr="00FF5E7F">
        <w:rPr>
          <w:highlight w:val="yellow"/>
        </w:rPr>
        <w:t>RI</w:t>
      </w:r>
      <w:r w:rsidR="005A723C">
        <w:rPr>
          <w:highlight w:val="yellow"/>
        </w:rPr>
        <w:t>.</w:t>
      </w:r>
      <w:r w:rsidRPr="00FF5E7F">
        <w:rPr>
          <w:highlight w:val="yellow"/>
        </w:rPr>
        <w:t>&gt;</w:t>
      </w:r>
      <w:r w:rsidR="004D7798">
        <w:br w:type="page"/>
      </w:r>
    </w:p>
    <w:p w:rsidR="00E71C51" w:rsidRPr="002E76E6" w:rsidRDefault="00E71C51" w:rsidP="002E76E6">
      <w:pPr>
        <w:pStyle w:val="Heading3"/>
      </w:pPr>
      <w:bookmarkStart w:id="98" w:name="_Toc373843515"/>
      <w:r w:rsidRPr="002E76E6">
        <w:lastRenderedPageBreak/>
        <w:t>5.</w:t>
      </w:r>
      <w:r w:rsidR="007520AF" w:rsidRPr="002E76E6">
        <w:t>3</w:t>
      </w:r>
      <w:r w:rsidRPr="002E76E6">
        <w:t>. Status of Additional State-Specific Control Measures</w:t>
      </w:r>
      <w:bookmarkEnd w:id="98"/>
    </w:p>
    <w:p w:rsidR="00285D3E" w:rsidRPr="007A7813" w:rsidRDefault="00E71C51" w:rsidP="002E76E6">
      <w:r w:rsidRPr="007A7813">
        <w:t>This section discusses implementation of the state specific provisions</w:t>
      </w:r>
      <w:r w:rsidR="007520AF" w:rsidRPr="007A7813">
        <w:t xml:space="preserve"> included in </w:t>
      </w:r>
      <w:r w:rsidR="007520AF" w:rsidRPr="007A7813">
        <w:rPr>
          <w:highlight w:val="yellow"/>
        </w:rPr>
        <w:t>&lt;the State’s&gt;</w:t>
      </w:r>
      <w:r w:rsidR="007520AF" w:rsidRPr="007A7813">
        <w:t xml:space="preserve"> regional haze SIP</w:t>
      </w:r>
      <w:r w:rsidRPr="007A7813">
        <w:t>.</w:t>
      </w:r>
      <w:r w:rsidR="007520AF" w:rsidRPr="007A7813">
        <w:t xml:space="preserve">  </w:t>
      </w:r>
      <w:r w:rsidRPr="007A7813">
        <w:rPr>
          <w:highlight w:val="yellow"/>
        </w:rPr>
        <w:t>&lt;Each state will provide a summary of its SIP requirements applicable in the first reporting period. (See below for suggested format.)&gt;</w:t>
      </w:r>
    </w:p>
    <w:p w:rsidR="00EA35BE" w:rsidRPr="007A7813" w:rsidRDefault="009B2215" w:rsidP="002E76E6">
      <w:r w:rsidRPr="009B2215">
        <w:rPr>
          <w:highlight w:val="yellow"/>
        </w:rPr>
        <w:t>&lt;</w:t>
      </w:r>
      <w:r w:rsidR="007A7813" w:rsidRPr="009B2215">
        <w:rPr>
          <w:highlight w:val="yellow"/>
        </w:rPr>
        <w:t>EPA Region I commented that State should include a chart or list of EGUs and non-EGUs retired or replaced since the submittal of the Regional Haze SIP.  States should indicate whether this list is for information or a SIP revision (i.e., is the retirement or replacement enforceable?)</w:t>
      </w:r>
      <w:r w:rsidRPr="009B2215">
        <w:rPr>
          <w:highlight w:val="yellow"/>
        </w:rPr>
        <w:t>&gt;</w:t>
      </w:r>
      <w:r w:rsidR="00014A88">
        <w:t xml:space="preserve"> </w:t>
      </w:r>
      <w:r w:rsidR="007A7E86">
        <w:rPr>
          <w:highlight w:val="yellow"/>
        </w:rPr>
        <w:t>&lt;See also</w:t>
      </w:r>
      <w:r w:rsidR="00014A88" w:rsidRPr="00014A88">
        <w:rPr>
          <w:highlight w:val="yellow"/>
        </w:rPr>
        <w:t xml:space="preserve"> Sec. 4.3</w:t>
      </w:r>
      <w:r w:rsidR="00B30AE1">
        <w:rPr>
          <w:highlight w:val="yellow"/>
        </w:rPr>
        <w:t>.</w:t>
      </w:r>
      <w:r w:rsidR="00014A88" w:rsidRPr="00014A88">
        <w:rPr>
          <w:highlight w:val="yellow"/>
        </w:rPr>
        <w:t>3&gt;</w:t>
      </w:r>
    </w:p>
    <w:p w:rsidR="00E71C51" w:rsidRPr="00230052" w:rsidRDefault="00E71C51" w:rsidP="002E76E6">
      <w:pPr>
        <w:pStyle w:val="2ndLevelHeader"/>
      </w:pPr>
      <w:bookmarkStart w:id="99" w:name="_Toc373843516"/>
      <w:r w:rsidRPr="00230052">
        <w:t>5.</w:t>
      </w:r>
      <w:r w:rsidR="007520AF" w:rsidRPr="00230052">
        <w:t>3.</w:t>
      </w:r>
      <w:r w:rsidRPr="00230052">
        <w:t>1</w:t>
      </w:r>
      <w:r w:rsidR="007A33C0" w:rsidRPr="00230052">
        <w:t>. Agricultural</w:t>
      </w:r>
      <w:r w:rsidRPr="00230052">
        <w:t xml:space="preserve"> and Forestry Smoke Management</w:t>
      </w:r>
      <w:bookmarkEnd w:id="99"/>
    </w:p>
    <w:p w:rsidR="00E71C51" w:rsidRPr="00B27876" w:rsidRDefault="00E71C51" w:rsidP="002E76E6">
      <w:r w:rsidRPr="00B27876">
        <w:t>40 CFR 51.308(d)(3)(v)(E) requires each state to consider smoke management techniques related to agricultural and forestry management in developing the long-term strategy to improve visibility at Class I areas.  MANE-VU’s analysis of smoke management in the context of regional haze is documented in “Technical Support Document on Agricultural and Forestry Smoke Management in the MANE-VU Region, September 1, 2006</w:t>
      </w:r>
      <w:r w:rsidR="006F3E20" w:rsidRPr="00B27876">
        <w:t>.</w:t>
      </w:r>
      <w:r w:rsidRPr="00B27876">
        <w:t>”  As that report notes, fires used for resource benefits are of far less significance to the total inventory of fine-particle pollutant emissions than other sources of wood smoke in the region.  The largest MANE-VU wood smoke source categories, with respect to PM</w:t>
      </w:r>
      <w:r w:rsidRPr="0094417E">
        <w:rPr>
          <w:vertAlign w:val="subscript"/>
        </w:rPr>
        <w:t xml:space="preserve">2.5 </w:t>
      </w:r>
      <w:r w:rsidRPr="00B27876">
        <w:t>emissions, are residential wood combustion (73 percent); open burning (15 percent); and industrial, commercial, and institutional wood combustion (9 percent). Unwanted fires involving buildings and wild lands make up only a minor fraction of wood burning emissions and cannot be reasonably addressed in a SIP. Fires that are covered under smoke management plans, including agricultural and prescribed forest burning, constitute less than one percent of total wood smoke emissions in MANE-VU.</w:t>
      </w:r>
    </w:p>
    <w:p w:rsidR="00E71C51" w:rsidRPr="00B27876" w:rsidRDefault="00E71C51" w:rsidP="002E76E6">
      <w:r w:rsidRPr="00B27876">
        <w:t xml:space="preserve">Wild fire emissions within MANE-VU states are also relatively small and infrequent contributors to regional </w:t>
      </w:r>
      <w:r w:rsidR="0094417E">
        <w:t>PM emissions. However, MANE-VU C</w:t>
      </w:r>
      <w:r w:rsidRPr="00B27876">
        <w:t xml:space="preserve">lass 1 areas are occasionally impacted by wild fire smoke emissions from other regions, such as from the lightning-induced forest fires in Quebec Province in July 2002. These natural wild fire smoke emissions occasionally impair visibility, but are not considered manmade or controllable – and in fact are part of “natural background” conditions.  </w:t>
      </w:r>
    </w:p>
    <w:p w:rsidR="00E71C51" w:rsidRPr="00D71A32" w:rsidRDefault="00E71C51" w:rsidP="002E76E6">
      <w:pPr>
        <w:rPr>
          <w:i/>
        </w:rPr>
      </w:pPr>
      <w:r w:rsidRPr="00D71A32">
        <w:rPr>
          <w:i/>
          <w:highlight w:val="yellow"/>
        </w:rPr>
        <w:t xml:space="preserve">&lt;Each state to describe measures included in its regional haze SIP and </w:t>
      </w:r>
      <w:proofErr w:type="gramStart"/>
      <w:r w:rsidRPr="00D71A32">
        <w:rPr>
          <w:i/>
          <w:highlight w:val="yellow"/>
        </w:rPr>
        <w:t>summarize</w:t>
      </w:r>
      <w:proofErr w:type="gramEnd"/>
      <w:r w:rsidRPr="00D71A32">
        <w:rPr>
          <w:i/>
          <w:highlight w:val="yellow"/>
        </w:rPr>
        <w:t xml:space="preserve"> the status of implementation of those rules.  Measures included in the SIP may include open burning rules, prescribed burning rules, other elements of a Smoke Management Plan, or simply a commitment to future consideration of such rules if needed.&gt;</w:t>
      </w:r>
    </w:p>
    <w:p w:rsidR="00EA35BE" w:rsidRPr="006069F6" w:rsidRDefault="006069F6" w:rsidP="002E76E6">
      <w:pPr>
        <w:rPr>
          <w:i/>
          <w:highlight w:val="yellow"/>
        </w:rPr>
      </w:pPr>
      <w:r w:rsidRPr="006069F6">
        <w:rPr>
          <w:i/>
          <w:highlight w:val="yellow"/>
        </w:rPr>
        <w:t>&lt;</w:t>
      </w:r>
      <w:r w:rsidR="00150C05" w:rsidRPr="006069F6">
        <w:rPr>
          <w:i/>
          <w:highlight w:val="yellow"/>
        </w:rPr>
        <w:t>Consider</w:t>
      </w:r>
      <w:r w:rsidRPr="006069F6">
        <w:rPr>
          <w:i/>
          <w:highlight w:val="yellow"/>
        </w:rPr>
        <w:t xml:space="preserve"> updating SIP if this element </w:t>
      </w:r>
      <w:r w:rsidR="0094417E">
        <w:rPr>
          <w:i/>
          <w:highlight w:val="yellow"/>
        </w:rPr>
        <w:t xml:space="preserve">was </w:t>
      </w:r>
      <w:r w:rsidRPr="006069F6">
        <w:rPr>
          <w:i/>
          <w:highlight w:val="yellow"/>
        </w:rPr>
        <w:t>previously deferred.&gt;</w:t>
      </w:r>
    </w:p>
    <w:p w:rsidR="00E71C51" w:rsidRPr="00230052" w:rsidRDefault="00E71C51" w:rsidP="002E76E6">
      <w:pPr>
        <w:pStyle w:val="2ndLevelHeader"/>
      </w:pPr>
      <w:bookmarkStart w:id="100" w:name="_Toc373843517"/>
      <w:r w:rsidRPr="00230052">
        <w:t>5.</w:t>
      </w:r>
      <w:r w:rsidR="007520AF" w:rsidRPr="00230052">
        <w:t>3</w:t>
      </w:r>
      <w:r w:rsidRPr="00230052">
        <w:t>.2</w:t>
      </w:r>
      <w:r w:rsidR="007A33C0" w:rsidRPr="00230052">
        <w:t>. Measures</w:t>
      </w:r>
      <w:r w:rsidR="00FB437B" w:rsidRPr="00230052">
        <w:t xml:space="preserve"> to Mitigate Impacts of </w:t>
      </w:r>
      <w:r w:rsidRPr="00230052">
        <w:t>Construction</w:t>
      </w:r>
      <w:r w:rsidR="00FB437B" w:rsidRPr="00230052">
        <w:t xml:space="preserve"> Activities</w:t>
      </w:r>
      <w:bookmarkEnd w:id="100"/>
    </w:p>
    <w:p w:rsidR="00E71C51" w:rsidRPr="00B27876" w:rsidRDefault="00E71C51" w:rsidP="002E76E6">
      <w:r w:rsidRPr="00B27876">
        <w:t>40 CFR 51.308(d</w:t>
      </w:r>
      <w:proofErr w:type="gramStart"/>
      <w:r w:rsidRPr="00B27876">
        <w:t>)(</w:t>
      </w:r>
      <w:proofErr w:type="gramEnd"/>
      <w:r w:rsidRPr="00B27876">
        <w:t>3)(v)(B) of the Regional Haze Rule requires each state to consider measures</w:t>
      </w:r>
      <w:r w:rsidR="00150C05">
        <w:t xml:space="preserve"> </w:t>
      </w:r>
      <w:r w:rsidRPr="00B27876">
        <w:t xml:space="preserve">to mitigate the impacts of construction activities on regional haze.   MANE-VU’s Contribution Assessment found that, from a regional haze perspective, crustal material generally does not play a major role in visibility impairment at MANE-VU Class I areas. On the 20 percent best visibility days during the 2000-2004 baseline </w:t>
      </w:r>
      <w:proofErr w:type="gramStart"/>
      <w:r w:rsidRPr="00B27876">
        <w:t>period</w:t>
      </w:r>
      <w:proofErr w:type="gramEnd"/>
      <w:r w:rsidRPr="00B27876">
        <w:t xml:space="preserve">, crustal material accounted for 6 to 11 percent of particle-related light extinction at MANE-VU Class I Areas. On the 20 percent worst-visibility days, however, the ratio was reduced to 2 to 3 percent. Furthermore, the crustal fraction is largely made up of pollutants of natural origin (e.g., soil or sea salt) that are not targeted under the Regional Haze Rule. Nevertheless, the crustal fraction at any given location can be heavily influenced by the proximity of construction activities; and construction </w:t>
      </w:r>
      <w:r w:rsidRPr="00B27876">
        <w:lastRenderedPageBreak/>
        <w:t>activities occurring in the immediate vicinity of MANE-VU Class I Areas could have a noticeable effect on visibility.</w:t>
      </w:r>
    </w:p>
    <w:p w:rsidR="00E71C51" w:rsidRDefault="00E71C51" w:rsidP="00392C4C">
      <w:pPr>
        <w:autoSpaceDE w:val="0"/>
        <w:autoSpaceDN w:val="0"/>
        <w:adjustRightInd w:val="0"/>
        <w:spacing w:after="0" w:line="240" w:lineRule="auto"/>
        <w:rPr>
          <w:rFonts w:ascii="TimesNewRomanPSMT" w:hAnsi="TimesNewRomanPSMT" w:cs="TimesNewRomanPSMT"/>
          <w:sz w:val="24"/>
          <w:szCs w:val="24"/>
        </w:rPr>
      </w:pPr>
    </w:p>
    <w:p w:rsidR="00E71C51" w:rsidRPr="002E76E6" w:rsidRDefault="00E71C51" w:rsidP="002E76E6">
      <w:pPr>
        <w:rPr>
          <w:rFonts w:ascii="Arial" w:hAnsi="Arial" w:cs="Arial"/>
          <w:b/>
        </w:rPr>
      </w:pPr>
      <w:r w:rsidRPr="002E76E6">
        <w:rPr>
          <w:rFonts w:ascii="Arial" w:hAnsi="Arial" w:cs="Arial"/>
          <w:b/>
        </w:rPr>
        <w:t>Option A:</w:t>
      </w:r>
    </w:p>
    <w:p w:rsidR="00E71C51" w:rsidRPr="00B27876" w:rsidRDefault="00E71C51" w:rsidP="002E76E6">
      <w:r w:rsidRPr="00B27876">
        <w:rPr>
          <w:highlight w:val="yellow"/>
        </w:rPr>
        <w:t xml:space="preserve">For its first regional haze SIP, &lt;the State&gt; considered additional measures to mitigate the impacts of construction activities but decided to defer evaluation of further controls. &lt;The State&gt; committed to document future deliberations on potential control measures for construction activities and their possible implementation in this progress report. </w:t>
      </w:r>
      <w:r w:rsidRPr="00E44775">
        <w:rPr>
          <w:i/>
          <w:highlight w:val="yellow"/>
        </w:rPr>
        <w:t>&lt;State to add explanation of any additional measures considered and/or adopted.&gt;</w:t>
      </w:r>
    </w:p>
    <w:p w:rsidR="00E71C51" w:rsidRPr="002E76E6" w:rsidRDefault="00E71C51" w:rsidP="002E76E6">
      <w:pPr>
        <w:rPr>
          <w:rFonts w:ascii="Arial" w:hAnsi="Arial" w:cs="Arial"/>
          <w:b/>
        </w:rPr>
      </w:pPr>
      <w:r w:rsidRPr="002E76E6">
        <w:rPr>
          <w:rFonts w:ascii="Arial" w:hAnsi="Arial" w:cs="Arial"/>
          <w:b/>
        </w:rPr>
        <w:t>Option B:</w:t>
      </w:r>
    </w:p>
    <w:p w:rsidR="00102307" w:rsidRDefault="00E71C51" w:rsidP="002E76E6">
      <w:r w:rsidRPr="00B27876">
        <w:rPr>
          <w:highlight w:val="yellow"/>
        </w:rPr>
        <w:t xml:space="preserve">The following measures were included in &lt;the State’s&gt; Regional Haze SIP and implementation is proceeding as indicated:  </w:t>
      </w:r>
      <w:r w:rsidRPr="00E44775">
        <w:rPr>
          <w:i/>
          <w:highlight w:val="yellow"/>
        </w:rPr>
        <w:t>&lt;State to provide information on measures such as fugitive dust controls, anti-idling restrictions, requirements to control diesel emissions from construction vehicles, etc.&gt;</w:t>
      </w:r>
    </w:p>
    <w:p w:rsidR="00102307" w:rsidRPr="00B27876" w:rsidRDefault="00102307" w:rsidP="002E76E6">
      <w:r w:rsidRPr="002E76E6">
        <w:rPr>
          <w:rFonts w:ascii="Arial" w:hAnsi="Arial" w:cs="Arial"/>
          <w:b/>
        </w:rPr>
        <w:t>Option C:</w:t>
      </w:r>
    </w:p>
    <w:p w:rsidR="00EA35BE" w:rsidRPr="002E76E6" w:rsidRDefault="00102307" w:rsidP="002E76E6">
      <w:r w:rsidRPr="00102307">
        <w:rPr>
          <w:highlight w:val="yellow"/>
        </w:rPr>
        <w:t>&lt;Consider updating SIP if this element was deferred.&gt;</w:t>
      </w:r>
    </w:p>
    <w:p w:rsidR="00E71C51" w:rsidRPr="00230052" w:rsidRDefault="00E71C51" w:rsidP="002E76E6">
      <w:pPr>
        <w:pStyle w:val="2ndLevelHeader"/>
      </w:pPr>
      <w:bookmarkStart w:id="101" w:name="_Toc373843518"/>
      <w:r w:rsidRPr="00230052">
        <w:t>5.</w:t>
      </w:r>
      <w:r w:rsidR="007520AF" w:rsidRPr="00230052">
        <w:t>3</w:t>
      </w:r>
      <w:r w:rsidRPr="00230052">
        <w:t>.3</w:t>
      </w:r>
      <w:r w:rsidR="007A33C0" w:rsidRPr="00230052">
        <w:t>. Prevention</w:t>
      </w:r>
      <w:r w:rsidRPr="00230052">
        <w:t xml:space="preserve"> of Significant Deterioration</w:t>
      </w:r>
      <w:bookmarkEnd w:id="101"/>
    </w:p>
    <w:p w:rsidR="00EA35BE" w:rsidRPr="002E76E6" w:rsidRDefault="00E71C51" w:rsidP="002E76E6">
      <w:r w:rsidRPr="00B27876">
        <w:rPr>
          <w:highlight w:val="yellow"/>
        </w:rPr>
        <w:t>&lt;If PSD was included in Regional Haze SIP, provide citation to the State’s PSD rules and briefly summarize requirements and implementation since SIP was submitted.  Modify the following text as needed&gt; &lt;The State&gt; continues to implement requirements for an Air Quality Impact Evaluation that demonstrates the new allowable emissions will not result in an exceedance of the remaining increments for SO</w:t>
      </w:r>
      <w:r w:rsidRPr="00CD6055">
        <w:rPr>
          <w:highlight w:val="yellow"/>
          <w:vertAlign w:val="subscript"/>
        </w:rPr>
        <w:t>2</w:t>
      </w:r>
      <w:r w:rsidRPr="00B27876">
        <w:rPr>
          <w:highlight w:val="yellow"/>
        </w:rPr>
        <w:t>, NO</w:t>
      </w:r>
      <w:r w:rsidRPr="00CD6055">
        <w:rPr>
          <w:highlight w:val="yellow"/>
          <w:vertAlign w:val="subscript"/>
        </w:rPr>
        <w:t>2</w:t>
      </w:r>
      <w:r w:rsidR="0094417E">
        <w:rPr>
          <w:highlight w:val="yellow"/>
          <w:vertAlign w:val="subscript"/>
        </w:rPr>
        <w:t>,</w:t>
      </w:r>
      <w:r w:rsidRPr="00B27876">
        <w:rPr>
          <w:highlight w:val="yellow"/>
        </w:rPr>
        <w:t xml:space="preserve"> </w:t>
      </w:r>
      <w:r w:rsidR="0094417E">
        <w:rPr>
          <w:highlight w:val="yellow"/>
        </w:rPr>
        <w:t>PM</w:t>
      </w:r>
      <w:r w:rsidR="0094417E" w:rsidRPr="0094417E">
        <w:rPr>
          <w:highlight w:val="yellow"/>
          <w:vertAlign w:val="subscript"/>
        </w:rPr>
        <w:t>2.5</w:t>
      </w:r>
      <w:r w:rsidR="0094417E">
        <w:rPr>
          <w:highlight w:val="yellow"/>
          <w:vertAlign w:val="subscript"/>
        </w:rPr>
        <w:t>,</w:t>
      </w:r>
      <w:r w:rsidR="0094417E">
        <w:rPr>
          <w:highlight w:val="yellow"/>
        </w:rPr>
        <w:t xml:space="preserve"> </w:t>
      </w:r>
      <w:r w:rsidRPr="00B27876">
        <w:rPr>
          <w:highlight w:val="yellow"/>
        </w:rPr>
        <w:t>or PM</w:t>
      </w:r>
      <w:r w:rsidRPr="00CD6055">
        <w:rPr>
          <w:highlight w:val="yellow"/>
          <w:vertAlign w:val="subscript"/>
        </w:rPr>
        <w:t>10</w:t>
      </w:r>
      <w:r w:rsidRPr="00B27876">
        <w:rPr>
          <w:highlight w:val="yellow"/>
        </w:rPr>
        <w:t xml:space="preserve"> in any Class 1 area.  The applicant must also demonstrate “that the increase in allowable emissions will not cause an adverse impact on visibility in any sensitive area or in any Class I Federal area and will not interfere with reasonable progress toward the remedying of existing man-made visibility impairment in a sensitive area. Said demonstration shall be submitted to the &lt;Agency&gt; and the appropriate Federal Land Manager at least 60 days prior to the close of the public comment period on the source or modification” (where Sensitive Area is defined as</w:t>
      </w:r>
      <w:r w:rsidR="00520B77" w:rsidRPr="00B27876">
        <w:rPr>
          <w:highlight w:val="yellow"/>
        </w:rPr>
        <w:t xml:space="preserve"> &lt;</w:t>
      </w:r>
      <w:r w:rsidR="00520B77" w:rsidRPr="00E44775">
        <w:rPr>
          <w:i/>
          <w:highlight w:val="yellow"/>
        </w:rPr>
        <w:t>insert definition</w:t>
      </w:r>
      <w:r w:rsidR="00520B77" w:rsidRPr="00B27876">
        <w:rPr>
          <w:highlight w:val="yellow"/>
        </w:rPr>
        <w:t>&gt;</w:t>
      </w:r>
      <w:r w:rsidRPr="00B27876">
        <w:rPr>
          <w:highlight w:val="yellow"/>
        </w:rPr>
        <w:t xml:space="preserve">). </w:t>
      </w:r>
      <w:r w:rsidR="007A33C0" w:rsidRPr="00B27876">
        <w:rPr>
          <w:highlight w:val="yellow"/>
        </w:rPr>
        <w:t xml:space="preserve"> </w:t>
      </w:r>
      <w:r w:rsidRPr="00B27876">
        <w:rPr>
          <w:highlight w:val="yellow"/>
        </w:rPr>
        <w:t xml:space="preserve">In this manner, new major sources and existing sources making major modifications will be constructed and operated in a manner that will not degrade </w:t>
      </w:r>
      <w:r w:rsidR="007A33C0" w:rsidRPr="00CD6055">
        <w:rPr>
          <w:highlight w:val="yellow"/>
        </w:rPr>
        <w:t>air quality</w:t>
      </w:r>
      <w:r w:rsidRPr="00CD6055">
        <w:rPr>
          <w:highlight w:val="yellow"/>
        </w:rPr>
        <w:t xml:space="preserve"> </w:t>
      </w:r>
      <w:r w:rsidRPr="00B27876">
        <w:rPr>
          <w:highlight w:val="yellow"/>
        </w:rPr>
        <w:t>or visibility. The PSD permitting program is an integral part of &lt;the State’s&gt; long-term strategy for meeting its regional haze goals.</w:t>
      </w:r>
    </w:p>
    <w:p w:rsidR="00E71C51" w:rsidRPr="00230052" w:rsidRDefault="00E71C51" w:rsidP="002E76E6">
      <w:pPr>
        <w:pStyle w:val="2ndLevelHeader"/>
      </w:pPr>
      <w:bookmarkStart w:id="102" w:name="_Toc373843519"/>
      <w:r w:rsidRPr="00230052">
        <w:t>5.</w:t>
      </w:r>
      <w:r w:rsidR="007520AF" w:rsidRPr="00230052">
        <w:t>3</w:t>
      </w:r>
      <w:r w:rsidR="006D1EC0">
        <w:t>.4</w:t>
      </w:r>
      <w:r w:rsidR="007A33C0" w:rsidRPr="00230052">
        <w:t>. Enforceability</w:t>
      </w:r>
      <w:bookmarkEnd w:id="102"/>
    </w:p>
    <w:p w:rsidR="00EA35BE" w:rsidRPr="002E76E6" w:rsidRDefault="00E71C51" w:rsidP="002E76E6">
      <w:pPr>
        <w:rPr>
          <w:highlight w:val="yellow"/>
        </w:rPr>
      </w:pPr>
      <w:r w:rsidRPr="004E01EA">
        <w:rPr>
          <w:highlight w:val="yellow"/>
        </w:rPr>
        <w:t>&lt;Each state to provide description of any requirements included in Regional Haze SIP pertaining to enforceability of measures and provide status of implementation.&gt;</w:t>
      </w:r>
    </w:p>
    <w:p w:rsidR="00E71C51" w:rsidRPr="00230052" w:rsidRDefault="006D1EC0" w:rsidP="002E76E6">
      <w:pPr>
        <w:pStyle w:val="2ndLevelHeader"/>
      </w:pPr>
      <w:bookmarkStart w:id="103" w:name="_Toc373843520"/>
      <w:r>
        <w:t>5.3.5</w:t>
      </w:r>
      <w:r w:rsidR="007F2E36" w:rsidRPr="00230052">
        <w:t>.</w:t>
      </w:r>
      <w:r w:rsidR="00E71C51" w:rsidRPr="00230052">
        <w:t xml:space="preserve"> </w:t>
      </w:r>
      <w:r w:rsidR="00F124CA" w:rsidRPr="00230052">
        <w:t xml:space="preserve">Status of </w:t>
      </w:r>
      <w:r w:rsidR="00E71C51" w:rsidRPr="00230052">
        <w:t>Controls on Non-EGU Point Sources</w:t>
      </w:r>
      <w:bookmarkEnd w:id="103"/>
    </w:p>
    <w:p w:rsidR="00E71C51" w:rsidRDefault="007520AF" w:rsidP="002E76E6">
      <w:r>
        <w:t>To develop the 2018 emissions inventory used for modeling conducted to help MANE-VU Class I states set Reasonable Progress Goals, c</w:t>
      </w:r>
      <w:r w:rsidR="00E71C51">
        <w:t>ontrol factors were applied to the 2018 MANE-VU inventory for non-EGUs to represent national, regional, or state control measures</w:t>
      </w:r>
      <w:r w:rsidR="00A63F97">
        <w:t xml:space="preserve">.  Table 5.1 indicates the status of implementation within </w:t>
      </w:r>
      <w:r w:rsidR="00A63F97" w:rsidRPr="001C20F9">
        <w:rPr>
          <w:highlight w:val="yellow"/>
        </w:rPr>
        <w:t>&lt;</w:t>
      </w:r>
      <w:r w:rsidR="00A63F97" w:rsidRPr="009A646A">
        <w:rPr>
          <w:highlight w:val="yellow"/>
        </w:rPr>
        <w:t>the State</w:t>
      </w:r>
      <w:r w:rsidR="00A63F97" w:rsidRPr="001C20F9">
        <w:rPr>
          <w:highlight w:val="yellow"/>
        </w:rPr>
        <w:t>&gt;</w:t>
      </w:r>
      <w:r w:rsidR="00A63F97">
        <w:t xml:space="preserve"> of control measures applied to source categories.  Table 5.2 lists the status of measures applied to individual non-EGU point sources within </w:t>
      </w:r>
      <w:r w:rsidR="00A63F97" w:rsidRPr="001C20F9">
        <w:rPr>
          <w:highlight w:val="yellow"/>
        </w:rPr>
        <w:t>&lt;t</w:t>
      </w:r>
      <w:r w:rsidR="00A63F97" w:rsidRPr="009A646A">
        <w:rPr>
          <w:highlight w:val="yellow"/>
        </w:rPr>
        <w:t>he State</w:t>
      </w:r>
      <w:r w:rsidR="00A63F97" w:rsidRPr="001C20F9">
        <w:rPr>
          <w:highlight w:val="yellow"/>
        </w:rPr>
        <w:t>&gt;</w:t>
      </w:r>
      <w:r w:rsidR="00A63F97">
        <w:t>.</w:t>
      </w:r>
    </w:p>
    <w:p w:rsidR="00AF3B63" w:rsidRDefault="00AF3B63">
      <w:pPr>
        <w:spacing w:after="0" w:line="240" w:lineRule="auto"/>
        <w:rPr>
          <w:rStyle w:val="Heading8Char"/>
          <w:rFonts w:ascii="Arial" w:eastAsia="Times New Roman" w:hAnsi="Arial" w:cs="Arial"/>
          <w:b/>
          <w:bCs/>
          <w:color w:val="auto"/>
        </w:rPr>
      </w:pPr>
      <w:bookmarkStart w:id="104" w:name="_Toc373842782"/>
      <w:bookmarkStart w:id="105" w:name="_Toc373843568"/>
      <w:bookmarkStart w:id="106" w:name="_Toc373844556"/>
      <w:r>
        <w:rPr>
          <w:rStyle w:val="Heading8Char"/>
          <w:rFonts w:ascii="Arial" w:hAnsi="Arial" w:cs="Arial"/>
          <w:color w:val="auto"/>
        </w:rPr>
        <w:br w:type="page"/>
      </w:r>
    </w:p>
    <w:p w:rsidR="00705984" w:rsidRPr="007D1888" w:rsidRDefault="00705984" w:rsidP="00F60FE6">
      <w:pPr>
        <w:pStyle w:val="Caption"/>
        <w:rPr>
          <w:rStyle w:val="Heading8Char"/>
          <w:rFonts w:ascii="Arial" w:hAnsi="Arial" w:cs="Arial"/>
          <w:color w:val="auto"/>
        </w:rPr>
      </w:pPr>
      <w:r w:rsidRPr="007D1888">
        <w:rPr>
          <w:rStyle w:val="Heading8Char"/>
          <w:rFonts w:ascii="Arial" w:hAnsi="Arial" w:cs="Arial"/>
          <w:color w:val="auto"/>
        </w:rPr>
        <w:lastRenderedPageBreak/>
        <w:t>Table 5.2. Status of Control Measures – Non-EGU Point Sources, Part 1</w:t>
      </w:r>
      <w:bookmarkEnd w:id="104"/>
      <w:bookmarkEnd w:id="105"/>
      <w:bookmarkEnd w:id="10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78"/>
        <w:gridCol w:w="3198"/>
      </w:tblGrid>
      <w:tr w:rsidR="00E71C51" w:rsidTr="009D257B">
        <w:tc>
          <w:tcPr>
            <w:tcW w:w="6378" w:type="dxa"/>
          </w:tcPr>
          <w:p w:rsidR="00E71C51" w:rsidRDefault="00E71C51" w:rsidP="00E2090A">
            <w:pPr>
              <w:autoSpaceDE w:val="0"/>
              <w:autoSpaceDN w:val="0"/>
              <w:adjustRightInd w:val="0"/>
              <w:rPr>
                <w:rFonts w:ascii="TimesNewRomanPSMT" w:hAnsi="TimesNewRomanPSMT" w:cs="TimesNewRomanPSMT"/>
              </w:rPr>
            </w:pPr>
            <w:r>
              <w:rPr>
                <w:rFonts w:ascii="TimesNewRomanPSMT" w:hAnsi="TimesNewRomanPSMT" w:cs="TimesNewRomanPSMT"/>
              </w:rPr>
              <w:t>Measure</w:t>
            </w:r>
          </w:p>
        </w:tc>
        <w:tc>
          <w:tcPr>
            <w:tcW w:w="3198" w:type="dxa"/>
          </w:tcPr>
          <w:p w:rsidR="00E71C51" w:rsidRDefault="00E71C51" w:rsidP="00E2090A">
            <w:pPr>
              <w:autoSpaceDE w:val="0"/>
              <w:autoSpaceDN w:val="0"/>
              <w:adjustRightInd w:val="0"/>
              <w:rPr>
                <w:rFonts w:ascii="TimesNewRomanPSMT" w:hAnsi="TimesNewRomanPSMT" w:cs="TimesNewRomanPSMT"/>
              </w:rPr>
            </w:pPr>
            <w:r>
              <w:rPr>
                <w:rFonts w:ascii="TimesNewRomanPSMT" w:hAnsi="TimesNewRomanPSMT" w:cs="TimesNewRomanPSMT"/>
              </w:rPr>
              <w:t>Status</w:t>
            </w:r>
          </w:p>
        </w:tc>
      </w:tr>
      <w:tr w:rsidR="00E71C51" w:rsidTr="009D257B">
        <w:tc>
          <w:tcPr>
            <w:tcW w:w="6378" w:type="dxa"/>
          </w:tcPr>
          <w:p w:rsidR="00E71C51" w:rsidRDefault="007A1BD7" w:rsidP="007A1BD7">
            <w:pPr>
              <w:autoSpaceDE w:val="0"/>
              <w:autoSpaceDN w:val="0"/>
              <w:adjustRightInd w:val="0"/>
              <w:rPr>
                <w:rFonts w:ascii="TimesNewRomanPSMT" w:hAnsi="TimesNewRomanPSMT" w:cs="TimesNewRomanPSMT"/>
              </w:rPr>
            </w:pPr>
            <w:r w:rsidRPr="007A1BD7">
              <w:t>NO</w:t>
            </w:r>
            <w:r w:rsidRPr="007A1BD7">
              <w:rPr>
                <w:vertAlign w:val="subscript"/>
              </w:rPr>
              <w:t>X</w:t>
            </w:r>
            <w:r w:rsidR="00E71C51">
              <w:rPr>
                <w:rFonts w:ascii="TimesNewRomanPSMT" w:hAnsi="TimesNewRomanPSMT" w:cs="TimesNewRomanPSMT"/>
                <w:sz w:val="16"/>
                <w:szCs w:val="16"/>
              </w:rPr>
              <w:t xml:space="preserve"> </w:t>
            </w:r>
            <w:r w:rsidR="00E71C51">
              <w:rPr>
                <w:rFonts w:ascii="TimesNewRomanPSMT" w:hAnsi="TimesNewRomanPSMT" w:cs="TimesNewRomanPSMT"/>
              </w:rPr>
              <w:t>SIP Call Phase I (</w:t>
            </w:r>
            <w:r w:rsidRPr="007A1BD7">
              <w:t>NO</w:t>
            </w:r>
            <w:r w:rsidRPr="007A1BD7">
              <w:rPr>
                <w:vertAlign w:val="subscript"/>
              </w:rPr>
              <w:t>X</w:t>
            </w:r>
            <w:r w:rsidR="00E71C51">
              <w:rPr>
                <w:rFonts w:ascii="TimesNewRomanPSMT" w:hAnsi="TimesNewRomanPSMT" w:cs="TimesNewRomanPSMT"/>
                <w:sz w:val="16"/>
                <w:szCs w:val="16"/>
              </w:rPr>
              <w:t xml:space="preserve"> </w:t>
            </w:r>
            <w:r w:rsidR="00E71C51">
              <w:rPr>
                <w:rFonts w:ascii="TimesNewRomanPSMT" w:hAnsi="TimesNewRomanPSMT" w:cs="TimesNewRomanPSMT"/>
              </w:rPr>
              <w:t xml:space="preserve">Budget Trading Program) </w:t>
            </w:r>
            <w:r w:rsidR="00E71C51" w:rsidRPr="006D1EC0">
              <w:rPr>
                <w:rFonts w:ascii="TimesNewRomanPSMT" w:hAnsi="TimesNewRomanPSMT" w:cs="TimesNewRomanPSMT"/>
                <w:highlight w:val="yellow"/>
              </w:rPr>
              <w:t>(except ME, NH, VT)</w:t>
            </w:r>
          </w:p>
        </w:tc>
        <w:tc>
          <w:tcPr>
            <w:tcW w:w="3198" w:type="dxa"/>
          </w:tcPr>
          <w:p w:rsidR="00E71C51" w:rsidRDefault="00977145" w:rsidP="00E2090A">
            <w:pPr>
              <w:autoSpaceDE w:val="0"/>
              <w:autoSpaceDN w:val="0"/>
              <w:adjustRightInd w:val="0"/>
              <w:rPr>
                <w:rFonts w:ascii="TimesNewRomanPSMT" w:hAnsi="TimesNewRomanPSMT" w:cs="TimesNewRomanPSMT"/>
              </w:rPr>
            </w:pPr>
            <w:r>
              <w:rPr>
                <w:rFonts w:ascii="TimesNewRomanPSMT" w:hAnsi="TimesNewRomanPSMT" w:cs="TimesNewRomanPSMT"/>
              </w:rPr>
              <w:t>Replaced by CAIR</w:t>
            </w:r>
          </w:p>
        </w:tc>
      </w:tr>
      <w:tr w:rsidR="00E71C51" w:rsidTr="009D257B">
        <w:tc>
          <w:tcPr>
            <w:tcW w:w="6378" w:type="dxa"/>
          </w:tcPr>
          <w:p w:rsidR="00E71C51" w:rsidRDefault="007A1BD7" w:rsidP="007A1BD7">
            <w:pPr>
              <w:autoSpaceDE w:val="0"/>
              <w:autoSpaceDN w:val="0"/>
              <w:adjustRightInd w:val="0"/>
              <w:rPr>
                <w:rFonts w:ascii="TimesNewRomanPSMT" w:hAnsi="TimesNewRomanPSMT" w:cs="TimesNewRomanPSMT"/>
              </w:rPr>
            </w:pPr>
            <w:r w:rsidRPr="007A1BD7">
              <w:t>NO</w:t>
            </w:r>
            <w:r w:rsidRPr="007A1BD7">
              <w:rPr>
                <w:vertAlign w:val="subscript"/>
              </w:rPr>
              <w:t>X</w:t>
            </w:r>
            <w:r w:rsidR="00E71C51">
              <w:rPr>
                <w:rFonts w:ascii="TimesNewRomanPSMT" w:hAnsi="TimesNewRomanPSMT" w:cs="TimesNewRomanPSMT"/>
                <w:sz w:val="16"/>
                <w:szCs w:val="16"/>
              </w:rPr>
              <w:t xml:space="preserve"> </w:t>
            </w:r>
            <w:r w:rsidR="00E71C51">
              <w:rPr>
                <w:rFonts w:ascii="TimesNewRomanPSMT" w:hAnsi="TimesNewRomanPSMT" w:cs="TimesNewRomanPSMT"/>
              </w:rPr>
              <w:t xml:space="preserve">SIP Call Phase II </w:t>
            </w:r>
            <w:r w:rsidR="00E71C51" w:rsidRPr="006D1EC0">
              <w:rPr>
                <w:rFonts w:ascii="TimesNewRomanPSMT" w:hAnsi="TimesNewRomanPSMT" w:cs="TimesNewRomanPSMT"/>
                <w:highlight w:val="yellow"/>
              </w:rPr>
              <w:t>(except ME, NH, VT)</w:t>
            </w:r>
          </w:p>
        </w:tc>
        <w:tc>
          <w:tcPr>
            <w:tcW w:w="3198" w:type="dxa"/>
          </w:tcPr>
          <w:p w:rsidR="00E71C51" w:rsidRDefault="00977145" w:rsidP="00E2090A">
            <w:pPr>
              <w:autoSpaceDE w:val="0"/>
              <w:autoSpaceDN w:val="0"/>
              <w:adjustRightInd w:val="0"/>
              <w:rPr>
                <w:rFonts w:ascii="TimesNewRomanPSMT" w:hAnsi="TimesNewRomanPSMT" w:cs="TimesNewRomanPSMT"/>
              </w:rPr>
            </w:pPr>
            <w:r>
              <w:rPr>
                <w:rFonts w:ascii="TimesNewRomanPSMT" w:hAnsi="TimesNewRomanPSMT" w:cs="TimesNewRomanPSMT"/>
              </w:rPr>
              <w:t>Replaced by CAIR</w:t>
            </w:r>
          </w:p>
        </w:tc>
      </w:tr>
      <w:tr w:rsidR="00E71C51" w:rsidTr="009D257B">
        <w:tc>
          <w:tcPr>
            <w:tcW w:w="6378" w:type="dxa"/>
          </w:tcPr>
          <w:p w:rsidR="00E71C51" w:rsidRPr="006D1EC0" w:rsidRDefault="007A1BD7" w:rsidP="007A1BD7">
            <w:pPr>
              <w:autoSpaceDE w:val="0"/>
              <w:autoSpaceDN w:val="0"/>
              <w:adjustRightInd w:val="0"/>
              <w:rPr>
                <w:rFonts w:ascii="TimesNewRomanPSMT" w:hAnsi="TimesNewRomanPSMT" w:cs="TimesNewRomanPSMT"/>
                <w:highlight w:val="yellow"/>
              </w:rPr>
            </w:pPr>
            <w:r w:rsidRPr="006D1EC0">
              <w:rPr>
                <w:highlight w:val="yellow"/>
              </w:rPr>
              <w:t>NO</w:t>
            </w:r>
            <w:r w:rsidRPr="006D1EC0">
              <w:rPr>
                <w:highlight w:val="yellow"/>
                <w:vertAlign w:val="subscript"/>
              </w:rPr>
              <w:t>X</w:t>
            </w:r>
            <w:r w:rsidR="00E71C51" w:rsidRPr="006D1EC0">
              <w:rPr>
                <w:rFonts w:ascii="TimesNewRomanPSMT" w:hAnsi="TimesNewRomanPSMT" w:cs="TimesNewRomanPSMT"/>
                <w:sz w:val="16"/>
                <w:szCs w:val="16"/>
                <w:highlight w:val="yellow"/>
              </w:rPr>
              <w:t xml:space="preserve"> </w:t>
            </w:r>
            <w:r w:rsidR="00E71C51" w:rsidRPr="006D1EC0">
              <w:rPr>
                <w:rFonts w:ascii="TimesNewRomanPSMT" w:hAnsi="TimesNewRomanPSMT" w:cs="TimesNewRomanPSMT"/>
                <w:highlight w:val="yellow"/>
              </w:rPr>
              <w:t>RACT in 1-hour Ozone SIPs (included in the 2002 inventory)</w:t>
            </w:r>
          </w:p>
        </w:tc>
        <w:tc>
          <w:tcPr>
            <w:tcW w:w="3198" w:type="dxa"/>
          </w:tcPr>
          <w:p w:rsidR="00E71C51" w:rsidRPr="006D1EC0" w:rsidRDefault="007520AF" w:rsidP="00E2090A">
            <w:pPr>
              <w:autoSpaceDE w:val="0"/>
              <w:autoSpaceDN w:val="0"/>
              <w:adjustRightInd w:val="0"/>
              <w:rPr>
                <w:rFonts w:ascii="TimesNewRomanPSMT" w:hAnsi="TimesNewRomanPSMT" w:cs="TimesNewRomanPSMT"/>
                <w:highlight w:val="yellow"/>
              </w:rPr>
            </w:pPr>
            <w:r w:rsidRPr="006D1EC0">
              <w:rPr>
                <w:rFonts w:ascii="TimesNewRomanPSMT" w:hAnsi="TimesNewRomanPSMT" w:cs="TimesNewRomanPSMT"/>
                <w:highlight w:val="yellow"/>
              </w:rPr>
              <w:t>(</w:t>
            </w:r>
            <w:r w:rsidR="007A33C0" w:rsidRPr="006D1EC0">
              <w:rPr>
                <w:rFonts w:ascii="TimesNewRomanPSMT" w:hAnsi="TimesNewRomanPSMT" w:cs="TimesNewRomanPSMT"/>
                <w:highlight w:val="yellow"/>
              </w:rPr>
              <w:t>Omit</w:t>
            </w:r>
            <w:r w:rsidRPr="006D1EC0">
              <w:rPr>
                <w:rFonts w:ascii="TimesNewRomanPSMT" w:hAnsi="TimesNewRomanPSMT" w:cs="TimesNewRomanPSMT"/>
                <w:highlight w:val="yellow"/>
              </w:rPr>
              <w:t xml:space="preserve"> this?)</w:t>
            </w:r>
          </w:p>
        </w:tc>
      </w:tr>
      <w:tr w:rsidR="00E71C51" w:rsidTr="009D257B">
        <w:tc>
          <w:tcPr>
            <w:tcW w:w="6378" w:type="dxa"/>
          </w:tcPr>
          <w:p w:rsidR="00E71C51" w:rsidRDefault="007A1BD7" w:rsidP="007A1BD7">
            <w:pPr>
              <w:autoSpaceDE w:val="0"/>
              <w:autoSpaceDN w:val="0"/>
              <w:adjustRightInd w:val="0"/>
              <w:rPr>
                <w:rFonts w:ascii="TimesNewRomanPSMT" w:hAnsi="TimesNewRomanPSMT" w:cs="TimesNewRomanPSMT"/>
              </w:rPr>
            </w:pPr>
            <w:r w:rsidRPr="007A1BD7">
              <w:t>NO</w:t>
            </w:r>
            <w:r w:rsidRPr="007A1BD7">
              <w:rPr>
                <w:vertAlign w:val="subscript"/>
              </w:rPr>
              <w:t>X</w:t>
            </w:r>
            <w:r w:rsidR="00E71C51">
              <w:rPr>
                <w:rFonts w:ascii="TimesNewRomanPSMT" w:hAnsi="TimesNewRomanPSMT" w:cs="TimesNewRomanPSMT"/>
                <w:sz w:val="16"/>
                <w:szCs w:val="16"/>
              </w:rPr>
              <w:t xml:space="preserve"> </w:t>
            </w:r>
            <w:r w:rsidR="00E71C51">
              <w:rPr>
                <w:rFonts w:ascii="TimesNewRomanPSMT" w:hAnsi="TimesNewRomanPSMT" w:cs="TimesNewRomanPSMT"/>
              </w:rPr>
              <w:t>OTC 2001 Model Rule for ICI Boilers</w:t>
            </w:r>
          </w:p>
        </w:tc>
        <w:tc>
          <w:tcPr>
            <w:tcW w:w="3198" w:type="dxa"/>
          </w:tcPr>
          <w:p w:rsidR="00E71C51" w:rsidRPr="00977145" w:rsidRDefault="00977145" w:rsidP="00E2090A">
            <w:pPr>
              <w:autoSpaceDE w:val="0"/>
              <w:autoSpaceDN w:val="0"/>
              <w:adjustRightInd w:val="0"/>
              <w:rPr>
                <w:rFonts w:ascii="TimesNewRomanPSMT" w:hAnsi="TimesNewRomanPSMT" w:cs="TimesNewRomanPSMT"/>
                <w:highlight w:val="yellow"/>
              </w:rPr>
            </w:pPr>
            <w:r w:rsidRPr="00977145">
              <w:rPr>
                <w:rFonts w:ascii="TimesNewRomanPSMT" w:hAnsi="TimesNewRomanPSMT" w:cs="TimesNewRomanPSMT"/>
                <w:highlight w:val="yellow"/>
              </w:rPr>
              <w:t>&lt;State to provide&gt;</w:t>
            </w:r>
          </w:p>
        </w:tc>
      </w:tr>
      <w:tr w:rsidR="00E71C51" w:rsidTr="009D257B">
        <w:tc>
          <w:tcPr>
            <w:tcW w:w="6378" w:type="dxa"/>
          </w:tcPr>
          <w:p w:rsidR="00E71C51" w:rsidRDefault="00E71C51" w:rsidP="00E2090A">
            <w:pPr>
              <w:autoSpaceDE w:val="0"/>
              <w:autoSpaceDN w:val="0"/>
              <w:adjustRightInd w:val="0"/>
              <w:rPr>
                <w:rFonts w:ascii="TimesNewRomanPSMT" w:hAnsi="TimesNewRomanPSMT" w:cs="TimesNewRomanPSMT"/>
              </w:rPr>
            </w:pPr>
            <w:r>
              <w:rPr>
                <w:rFonts w:ascii="TimesNewRomanPSMT" w:hAnsi="TimesNewRomanPSMT" w:cs="TimesNewRomanPSMT"/>
              </w:rPr>
              <w:t>2-, 4-, 7-, and 10-year MACT Standards</w:t>
            </w:r>
            <w:r w:rsidR="007520AF">
              <w:rPr>
                <w:rFonts w:ascii="TimesNewRomanPSMT" w:hAnsi="TimesNewRomanPSMT" w:cs="TimesNewRomanPSMT"/>
              </w:rPr>
              <w:t>**</w:t>
            </w:r>
          </w:p>
        </w:tc>
        <w:tc>
          <w:tcPr>
            <w:tcW w:w="3198" w:type="dxa"/>
          </w:tcPr>
          <w:p w:rsidR="00E71C51" w:rsidRPr="00977145" w:rsidRDefault="00977145" w:rsidP="00E2090A">
            <w:pPr>
              <w:autoSpaceDE w:val="0"/>
              <w:autoSpaceDN w:val="0"/>
              <w:adjustRightInd w:val="0"/>
              <w:rPr>
                <w:rFonts w:ascii="TimesNewRomanPSMT" w:hAnsi="TimesNewRomanPSMT" w:cs="TimesNewRomanPSMT"/>
                <w:highlight w:val="yellow"/>
              </w:rPr>
            </w:pPr>
            <w:r w:rsidRPr="00977145">
              <w:rPr>
                <w:rFonts w:ascii="TimesNewRomanPSMT" w:hAnsi="TimesNewRomanPSMT" w:cs="TimesNewRomanPSMT"/>
                <w:highlight w:val="yellow"/>
              </w:rPr>
              <w:t>&lt;State to provide&gt;</w:t>
            </w:r>
          </w:p>
        </w:tc>
      </w:tr>
      <w:tr w:rsidR="00E71C51" w:rsidTr="009D257B">
        <w:tc>
          <w:tcPr>
            <w:tcW w:w="6378" w:type="dxa"/>
          </w:tcPr>
          <w:p w:rsidR="00E71C51" w:rsidRDefault="00E71C51" w:rsidP="00E2090A">
            <w:pPr>
              <w:autoSpaceDE w:val="0"/>
              <w:autoSpaceDN w:val="0"/>
              <w:adjustRightInd w:val="0"/>
              <w:rPr>
                <w:rFonts w:ascii="TimesNewRomanPSMT" w:hAnsi="TimesNewRomanPSMT" w:cs="TimesNewRomanPSMT"/>
              </w:rPr>
            </w:pPr>
            <w:r>
              <w:rPr>
                <w:rFonts w:ascii="TimesNewRomanPSMT" w:hAnsi="TimesNewRomanPSMT" w:cs="TimesNewRomanPSMT"/>
              </w:rPr>
              <w:t>Combustion Turbine and RICE MACT (</w:t>
            </w:r>
            <w:r w:rsidR="007A1BD7" w:rsidRPr="007A1BD7">
              <w:t>NO</w:t>
            </w:r>
            <w:r w:rsidR="007A1BD7" w:rsidRPr="007A1BD7">
              <w:rPr>
                <w:vertAlign w:val="subscript"/>
              </w:rPr>
              <w:t>X</w:t>
            </w:r>
            <w:r>
              <w:rPr>
                <w:rFonts w:ascii="TimesNewRomanPSMT" w:hAnsi="TimesNewRomanPSMT" w:cs="TimesNewRomanPSMT"/>
                <w:sz w:val="16"/>
                <w:szCs w:val="16"/>
              </w:rPr>
              <w:t xml:space="preserve"> </w:t>
            </w:r>
            <w:r>
              <w:rPr>
                <w:rFonts w:ascii="TimesNewRomanPSMT" w:hAnsi="TimesNewRomanPSMT" w:cs="TimesNewRomanPSMT"/>
              </w:rPr>
              <w:t>co-benefits were not included and assumed to be small)</w:t>
            </w:r>
          </w:p>
        </w:tc>
        <w:tc>
          <w:tcPr>
            <w:tcW w:w="3198" w:type="dxa"/>
          </w:tcPr>
          <w:p w:rsidR="00E71C51" w:rsidRPr="00977145" w:rsidRDefault="00977145" w:rsidP="00E2090A">
            <w:pPr>
              <w:autoSpaceDE w:val="0"/>
              <w:autoSpaceDN w:val="0"/>
              <w:adjustRightInd w:val="0"/>
              <w:rPr>
                <w:rFonts w:ascii="TimesNewRomanPSMT" w:hAnsi="TimesNewRomanPSMT" w:cs="TimesNewRomanPSMT"/>
                <w:highlight w:val="yellow"/>
              </w:rPr>
            </w:pPr>
            <w:r w:rsidRPr="00977145">
              <w:rPr>
                <w:rFonts w:ascii="TimesNewRomanPSMT" w:hAnsi="TimesNewRomanPSMT" w:cs="TimesNewRomanPSMT"/>
                <w:highlight w:val="yellow"/>
              </w:rPr>
              <w:t>(Affects primarily VOC – consider omitting)</w:t>
            </w:r>
          </w:p>
        </w:tc>
      </w:tr>
      <w:tr w:rsidR="00E71C51" w:rsidTr="009D257B">
        <w:tc>
          <w:tcPr>
            <w:tcW w:w="6378" w:type="dxa"/>
          </w:tcPr>
          <w:p w:rsidR="00E71C51" w:rsidRDefault="00E71C51" w:rsidP="00E2090A">
            <w:pPr>
              <w:autoSpaceDE w:val="0"/>
              <w:autoSpaceDN w:val="0"/>
              <w:adjustRightInd w:val="0"/>
              <w:rPr>
                <w:rFonts w:ascii="TimesNewRomanPSMT" w:hAnsi="TimesNewRomanPSMT" w:cs="TimesNewRomanPSMT"/>
              </w:rPr>
            </w:pPr>
            <w:r>
              <w:rPr>
                <w:rFonts w:ascii="TimesNewRomanPSMT" w:hAnsi="TimesNewRomanPSMT" w:cs="TimesNewRomanPSMT"/>
              </w:rPr>
              <w:t>Industrial Boiler/Process Heater MACT*</w:t>
            </w:r>
          </w:p>
        </w:tc>
        <w:tc>
          <w:tcPr>
            <w:tcW w:w="3198" w:type="dxa"/>
          </w:tcPr>
          <w:p w:rsidR="00E71C51" w:rsidRDefault="00BF516E" w:rsidP="00E2090A">
            <w:pPr>
              <w:autoSpaceDE w:val="0"/>
              <w:autoSpaceDN w:val="0"/>
              <w:adjustRightInd w:val="0"/>
              <w:rPr>
                <w:rFonts w:ascii="TimesNewRomanPSMT" w:hAnsi="TimesNewRomanPSMT" w:cs="TimesNewRomanPSMT"/>
              </w:rPr>
            </w:pPr>
            <w:r>
              <w:rPr>
                <w:rFonts w:ascii="TimesNewRomanPSMT" w:hAnsi="TimesNewRomanPSMT" w:cs="TimesNewRomanPSMT"/>
              </w:rPr>
              <w:t>EPA finalized 12/21/2012</w:t>
            </w:r>
          </w:p>
        </w:tc>
      </w:tr>
      <w:tr w:rsidR="00E71C51" w:rsidTr="009D257B">
        <w:tc>
          <w:tcPr>
            <w:tcW w:w="6378" w:type="dxa"/>
          </w:tcPr>
          <w:p w:rsidR="00E71C51" w:rsidRDefault="00E71C51" w:rsidP="000A0913">
            <w:pPr>
              <w:autoSpaceDE w:val="0"/>
              <w:autoSpaceDN w:val="0"/>
              <w:adjustRightInd w:val="0"/>
              <w:rPr>
                <w:rFonts w:ascii="TimesNewRomanPSMT" w:hAnsi="TimesNewRomanPSMT" w:cs="TimesNewRomanPSMT"/>
              </w:rPr>
            </w:pPr>
            <w:r>
              <w:rPr>
                <w:rFonts w:ascii="TimesNewRomanPSMT" w:hAnsi="TimesNewRomanPSMT" w:cs="TimesNewRomanPSMT"/>
              </w:rPr>
              <w:t>Refinery Enforcement Initiative (Fluid catalytic cracking units and fluid coking units, process heaters and boilers, flare gas recovery, leak detection and repair, and benzene (wastewater))</w:t>
            </w:r>
          </w:p>
        </w:tc>
        <w:tc>
          <w:tcPr>
            <w:tcW w:w="3198" w:type="dxa"/>
          </w:tcPr>
          <w:p w:rsidR="00E71C51" w:rsidRPr="00977145" w:rsidRDefault="00977145" w:rsidP="00E2090A">
            <w:pPr>
              <w:autoSpaceDE w:val="0"/>
              <w:autoSpaceDN w:val="0"/>
              <w:adjustRightInd w:val="0"/>
              <w:rPr>
                <w:rFonts w:ascii="TimesNewRomanPSMT" w:hAnsi="TimesNewRomanPSMT" w:cs="TimesNewRomanPSMT"/>
                <w:highlight w:val="yellow"/>
              </w:rPr>
            </w:pPr>
            <w:r w:rsidRPr="00977145">
              <w:rPr>
                <w:rFonts w:ascii="TimesNewRomanPSMT" w:hAnsi="TimesNewRomanPSMT" w:cs="TimesNewRomanPSMT"/>
                <w:highlight w:val="yellow"/>
              </w:rPr>
              <w:t>&lt;State to provide or omit</w:t>
            </w:r>
            <w:r>
              <w:rPr>
                <w:rFonts w:ascii="TimesNewRomanPSMT" w:hAnsi="TimesNewRomanPSMT" w:cs="TimesNewRomanPSMT"/>
                <w:highlight w:val="yellow"/>
              </w:rPr>
              <w:t xml:space="preserve"> - </w:t>
            </w:r>
            <w:r w:rsidRPr="00977145">
              <w:rPr>
                <w:rFonts w:ascii="TimesNewRomanPSMT" w:hAnsi="TimesNewRomanPSMT" w:cs="TimesNewRomanPSMT"/>
                <w:highlight w:val="yellow"/>
              </w:rPr>
              <w:t xml:space="preserve"> indicate not applicable&gt;</w:t>
            </w:r>
          </w:p>
        </w:tc>
      </w:tr>
    </w:tbl>
    <w:p w:rsidR="009D257B" w:rsidRDefault="009D257B" w:rsidP="00E2090A">
      <w:pPr>
        <w:autoSpaceDE w:val="0"/>
        <w:autoSpaceDN w:val="0"/>
        <w:adjustRightInd w:val="0"/>
        <w:ind w:left="360"/>
        <w:rPr>
          <w:rFonts w:ascii="TimesNewRomanPSMT" w:hAnsi="TimesNewRomanPSMT" w:cs="TimesNewRomanPSMT"/>
          <w:sz w:val="18"/>
          <w:szCs w:val="18"/>
        </w:rPr>
      </w:pPr>
    </w:p>
    <w:p w:rsidR="00E71C51" w:rsidRDefault="00E71C51" w:rsidP="00E2090A">
      <w:pPr>
        <w:autoSpaceDE w:val="0"/>
        <w:autoSpaceDN w:val="0"/>
        <w:adjustRightInd w:val="0"/>
        <w:ind w:left="360"/>
        <w:rPr>
          <w:rFonts w:ascii="Arial" w:hAnsi="Arial" w:cs="Arial"/>
          <w:sz w:val="18"/>
          <w:szCs w:val="18"/>
        </w:rPr>
      </w:pPr>
      <w:r>
        <w:rPr>
          <w:rFonts w:ascii="TimesNewRomanPSMT" w:hAnsi="TimesNewRomanPSMT" w:cs="TimesNewRomanPSMT"/>
          <w:sz w:val="18"/>
          <w:szCs w:val="18"/>
        </w:rPr>
        <w:t>*The inventory was prepared before the MACT for Industrial Boilers and Process Heaters was vacated. Control efficiency was assumed to be 4 percent for SO</w:t>
      </w:r>
      <w:r>
        <w:rPr>
          <w:rFonts w:ascii="TimesNewRomanPSMT" w:hAnsi="TimesNewRomanPSMT" w:cs="TimesNewRomanPSMT"/>
          <w:sz w:val="12"/>
          <w:szCs w:val="12"/>
        </w:rPr>
        <w:t xml:space="preserve">2 </w:t>
      </w:r>
      <w:r>
        <w:rPr>
          <w:rFonts w:ascii="TimesNewRomanPSMT" w:hAnsi="TimesNewRomanPSMT" w:cs="TimesNewRomanPSMT"/>
          <w:sz w:val="18"/>
          <w:szCs w:val="18"/>
        </w:rPr>
        <w:t xml:space="preserve">and 40 percent for PM. </w:t>
      </w:r>
      <w:r w:rsidR="00BF516E">
        <w:rPr>
          <w:rFonts w:ascii="TimesNewRomanPSMT" w:hAnsi="TimesNewRomanPSMT" w:cs="TimesNewRomanPSMT"/>
          <w:sz w:val="18"/>
          <w:szCs w:val="18"/>
        </w:rPr>
        <w:t xml:space="preserve">EPA revised and re-adopted the MACT with some changes. </w:t>
      </w:r>
      <w:r>
        <w:rPr>
          <w:rFonts w:ascii="TimesNewRomanPSMT" w:hAnsi="TimesNewRomanPSMT" w:cs="TimesNewRomanPSMT"/>
          <w:sz w:val="18"/>
          <w:szCs w:val="18"/>
        </w:rPr>
        <w:t>The overall effects of including these reductions in the inventory are estimated to be minimal</w:t>
      </w:r>
      <w:r>
        <w:rPr>
          <w:rFonts w:ascii="Arial" w:hAnsi="Arial" w:cs="Arial"/>
          <w:sz w:val="18"/>
          <w:szCs w:val="18"/>
        </w:rPr>
        <w:t>.</w:t>
      </w:r>
    </w:p>
    <w:p w:rsidR="007520AF" w:rsidRPr="007B77DD" w:rsidRDefault="007520AF" w:rsidP="00E2090A">
      <w:pPr>
        <w:autoSpaceDE w:val="0"/>
        <w:autoSpaceDN w:val="0"/>
        <w:adjustRightInd w:val="0"/>
        <w:ind w:left="360"/>
        <w:rPr>
          <w:sz w:val="18"/>
          <w:szCs w:val="18"/>
        </w:rPr>
      </w:pPr>
      <w:r w:rsidRPr="007B77DD">
        <w:rPr>
          <w:sz w:val="18"/>
          <w:szCs w:val="18"/>
        </w:rPr>
        <w:t xml:space="preserve">**MACT categories and </w:t>
      </w:r>
      <w:r w:rsidR="007B77DD" w:rsidRPr="007B77DD">
        <w:rPr>
          <w:sz w:val="18"/>
          <w:szCs w:val="18"/>
        </w:rPr>
        <w:t xml:space="preserve">percent reduction applied are documented in table B-4 in </w:t>
      </w:r>
      <w:r w:rsidR="007B77DD">
        <w:rPr>
          <w:sz w:val="18"/>
          <w:szCs w:val="18"/>
        </w:rPr>
        <w:t xml:space="preserve">the report, </w:t>
      </w:r>
      <w:r w:rsidR="007B77DD">
        <w:rPr>
          <w:i/>
          <w:iCs/>
          <w:sz w:val="18"/>
          <w:szCs w:val="18"/>
        </w:rPr>
        <w:t xml:space="preserve">Final TSD for MANE-VU Emission Projections, February 28, 2007, which is posted on the MARAMA web site at </w:t>
      </w:r>
      <w:hyperlink r:id="rId33" w:history="1">
        <w:r w:rsidR="007B77DD" w:rsidRPr="00C03594">
          <w:rPr>
            <w:rStyle w:val="Hyperlink"/>
            <w:i/>
            <w:iCs/>
            <w:sz w:val="18"/>
            <w:szCs w:val="18"/>
          </w:rPr>
          <w:t>http://www.marama.org/publications_folder/MANEVU_Emission_Projections_TSD_022807.pdf</w:t>
        </w:r>
      </w:hyperlink>
      <w:r w:rsidR="007B77DD">
        <w:rPr>
          <w:i/>
          <w:iCs/>
          <w:sz w:val="18"/>
          <w:szCs w:val="18"/>
        </w:rPr>
        <w:t xml:space="preserve">.  </w:t>
      </w:r>
      <w:r w:rsidR="007B77DD">
        <w:rPr>
          <w:iCs/>
          <w:sz w:val="18"/>
          <w:szCs w:val="18"/>
        </w:rPr>
        <w:t xml:space="preserve">Categories for which controls were applied within MANE-VU are </w:t>
      </w:r>
      <w:r w:rsidR="008721D5">
        <w:rPr>
          <w:sz w:val="18"/>
          <w:szCs w:val="18"/>
        </w:rPr>
        <w:t xml:space="preserve">Asphalt Process and Asphalt Roofing, Auto and Light Trucks Surface Coating, Boat Manufacturing, Brick and Structural Clay, Cellulose Products, </w:t>
      </w:r>
      <w:r w:rsidR="007A33C0">
        <w:rPr>
          <w:sz w:val="18"/>
          <w:szCs w:val="18"/>
        </w:rPr>
        <w:t>Combustion</w:t>
      </w:r>
      <w:r w:rsidR="008721D5">
        <w:rPr>
          <w:sz w:val="18"/>
          <w:szCs w:val="18"/>
        </w:rPr>
        <w:t xml:space="preserve"> Sources at Kraft, Soda, and Sulf</w:t>
      </w:r>
      <w:r w:rsidR="00116B50">
        <w:rPr>
          <w:sz w:val="18"/>
          <w:szCs w:val="18"/>
        </w:rPr>
        <w:t>ite</w:t>
      </w:r>
      <w:r w:rsidR="008721D5">
        <w:rPr>
          <w:sz w:val="18"/>
          <w:szCs w:val="18"/>
        </w:rPr>
        <w:t>, Coke Ovens:</w:t>
      </w:r>
      <w:r w:rsidR="00116B50">
        <w:rPr>
          <w:sz w:val="18"/>
          <w:szCs w:val="18"/>
        </w:rPr>
        <w:t xml:space="preserve"> Pushing, Quenching, Battery Stacks</w:t>
      </w:r>
      <w:r w:rsidR="008721D5">
        <w:rPr>
          <w:sz w:val="18"/>
          <w:szCs w:val="18"/>
        </w:rPr>
        <w:t>, Fabric Printing, Coating, &amp; Dyeing, Flexible Polyurethane Foam Fabrication Operations, Friction Products Manufacturing, Generic MACT (Carbon Black), Generic MACT (Cyanide), Iron and Steel Foundries, Leather Finishing Operations, Lime Manufacturing, Manufacturing Nutritional Yeast, Metal Can, Metal Coil, Metal Furniture, Misc. Coating Manufacturing, Misc. Organic Chemical Productio</w:t>
      </w:r>
      <w:r w:rsidR="00116B50">
        <w:rPr>
          <w:sz w:val="18"/>
          <w:szCs w:val="18"/>
        </w:rPr>
        <w:t>n and Processes</w:t>
      </w:r>
      <w:r w:rsidR="008721D5">
        <w:rPr>
          <w:sz w:val="18"/>
          <w:szCs w:val="18"/>
        </w:rPr>
        <w:t>,</w:t>
      </w:r>
      <w:r w:rsidR="008721D5" w:rsidRPr="008721D5">
        <w:rPr>
          <w:sz w:val="18"/>
          <w:szCs w:val="18"/>
        </w:rPr>
        <w:t xml:space="preserve"> </w:t>
      </w:r>
      <w:r w:rsidR="008721D5">
        <w:rPr>
          <w:sz w:val="18"/>
          <w:szCs w:val="18"/>
        </w:rPr>
        <w:t xml:space="preserve">Paper and Other Web Coating, Pesticide Active Ingredient, Petroleum Refineries, Petroleum Refineries (FCC), Petroleum Refineries, Polymers and Resins III, Plastic Parts Coating, Reinforced Plastics, Plywood and Composite Wood Products, </w:t>
      </w:r>
      <w:r w:rsidR="007B77DD">
        <w:rPr>
          <w:sz w:val="18"/>
          <w:szCs w:val="18"/>
        </w:rPr>
        <w:t xml:space="preserve">Reciprocating Internal Combustion Engines, </w:t>
      </w:r>
      <w:r w:rsidR="008721D5">
        <w:rPr>
          <w:sz w:val="18"/>
          <w:szCs w:val="18"/>
        </w:rPr>
        <w:t xml:space="preserve">Rubber Tire Manufacturing, </w:t>
      </w:r>
      <w:r w:rsidR="007B77DD">
        <w:rPr>
          <w:sz w:val="18"/>
          <w:szCs w:val="18"/>
        </w:rPr>
        <w:t xml:space="preserve">Secondary Aluminum Production, </w:t>
      </w:r>
      <w:r w:rsidR="008721D5">
        <w:rPr>
          <w:sz w:val="18"/>
          <w:szCs w:val="18"/>
        </w:rPr>
        <w:t xml:space="preserve">Site Remediation, </w:t>
      </w:r>
      <w:r w:rsidR="007B77DD">
        <w:rPr>
          <w:sz w:val="18"/>
          <w:szCs w:val="18"/>
        </w:rPr>
        <w:t xml:space="preserve">Stationary Combustion Turbines, Wet Formed Fiberglass Mat Production, </w:t>
      </w:r>
      <w:r w:rsidR="008721D5">
        <w:rPr>
          <w:sz w:val="18"/>
          <w:szCs w:val="18"/>
        </w:rPr>
        <w:t xml:space="preserve">Wood Building Products, </w:t>
      </w:r>
    </w:p>
    <w:p w:rsidR="00E71C51" w:rsidRDefault="00E71C51" w:rsidP="00E2090A">
      <w:pPr>
        <w:autoSpaceDE w:val="0"/>
        <w:autoSpaceDN w:val="0"/>
        <w:adjustRightInd w:val="0"/>
        <w:rPr>
          <w:rFonts w:ascii="Arial" w:hAnsi="Arial" w:cs="Arial"/>
          <w:sz w:val="18"/>
          <w:szCs w:val="18"/>
        </w:rPr>
      </w:pPr>
    </w:p>
    <w:p w:rsidR="00E71C51" w:rsidRPr="00A63F97" w:rsidRDefault="00E71C51" w:rsidP="002E76E6">
      <w:r w:rsidRPr="00A63F97">
        <w:t>In addition</w:t>
      </w:r>
      <w:r w:rsidR="00A63F97">
        <w:t xml:space="preserve"> to the above control measures which were applied on a regional basis</w:t>
      </w:r>
      <w:r w:rsidRPr="00A63F97">
        <w:t xml:space="preserve">, states provided control measure information about specific non-EGU sources or regulatory programs in their states. MANE-VU used the state-specific data to the extent it was available. </w:t>
      </w:r>
      <w:r w:rsidR="00A63F97" w:rsidRPr="00A63F97">
        <w:t xml:space="preserve"> </w:t>
      </w:r>
    </w:p>
    <w:p w:rsidR="00E71C51" w:rsidRPr="00B27876" w:rsidRDefault="00E71C51" w:rsidP="002E76E6">
      <w:r w:rsidRPr="00CD6055">
        <w:rPr>
          <w:highlight w:val="yellow"/>
        </w:rPr>
        <w:t xml:space="preserve">These control measures were included by MANE-VU in the inventories used for regional haze modeling. (The affected states may or may not have committed to adopting these measures in their ozone SIPs.) For specific states, the ozone-reduction strategies included in the modeling would reduce </w:t>
      </w:r>
      <w:r w:rsidR="007A1BD7" w:rsidRPr="00CD6055">
        <w:rPr>
          <w:highlight w:val="yellow"/>
        </w:rPr>
        <w:t>NO</w:t>
      </w:r>
      <w:r w:rsidR="007A1BD7" w:rsidRPr="00CD6055">
        <w:rPr>
          <w:highlight w:val="yellow"/>
          <w:vertAlign w:val="subscript"/>
        </w:rPr>
        <w:t>X</w:t>
      </w:r>
      <w:r w:rsidRPr="00CD6055">
        <w:rPr>
          <w:sz w:val="16"/>
          <w:szCs w:val="16"/>
          <w:highlight w:val="yellow"/>
        </w:rPr>
        <w:t xml:space="preserve"> </w:t>
      </w:r>
      <w:r w:rsidRPr="00CD6055">
        <w:rPr>
          <w:highlight w:val="yellow"/>
        </w:rPr>
        <w:t>emissions from the following non-EGU point sources:</w:t>
      </w:r>
    </w:p>
    <w:p w:rsidR="00670FB4" w:rsidRDefault="00670FB4">
      <w:pPr>
        <w:spacing w:after="0" w:line="240" w:lineRule="auto"/>
        <w:rPr>
          <w:rStyle w:val="Heading8Char"/>
          <w:rFonts w:ascii="Arial" w:eastAsia="Times New Roman" w:hAnsi="Arial" w:cs="Arial"/>
          <w:b/>
          <w:bCs/>
          <w:color w:val="auto"/>
        </w:rPr>
      </w:pPr>
      <w:bookmarkStart w:id="107" w:name="_Toc373842783"/>
      <w:bookmarkStart w:id="108" w:name="_Toc373843569"/>
      <w:bookmarkStart w:id="109" w:name="_Toc373844557"/>
      <w:r>
        <w:rPr>
          <w:rStyle w:val="Heading8Char"/>
          <w:rFonts w:ascii="Arial" w:hAnsi="Arial" w:cs="Arial"/>
          <w:color w:val="auto"/>
        </w:rPr>
        <w:br w:type="page"/>
      </w:r>
    </w:p>
    <w:p w:rsidR="00705984" w:rsidRPr="007D1888" w:rsidRDefault="00705984" w:rsidP="00F60FE6">
      <w:pPr>
        <w:pStyle w:val="Caption"/>
      </w:pPr>
      <w:r w:rsidRPr="007D1888">
        <w:rPr>
          <w:rStyle w:val="Heading8Char"/>
          <w:rFonts w:ascii="Arial" w:hAnsi="Arial" w:cs="Arial"/>
          <w:color w:val="auto"/>
        </w:rPr>
        <w:lastRenderedPageBreak/>
        <w:t>Table 5.3. Status of Control Measures – Non-EGU Point Sources, Part 2</w:t>
      </w:r>
      <w:bookmarkEnd w:id="107"/>
      <w:bookmarkEnd w:id="108"/>
      <w:bookmarkEnd w:id="10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08"/>
        <w:gridCol w:w="2868"/>
      </w:tblGrid>
      <w:tr w:rsidR="00E71C51" w:rsidRPr="009A4B74" w:rsidTr="009A4B74">
        <w:tc>
          <w:tcPr>
            <w:tcW w:w="6708" w:type="dxa"/>
          </w:tcPr>
          <w:p w:rsidR="00E71C51" w:rsidRPr="009A4B74" w:rsidRDefault="00E71C51" w:rsidP="00E2090A">
            <w:pPr>
              <w:autoSpaceDE w:val="0"/>
              <w:autoSpaceDN w:val="0"/>
              <w:adjustRightInd w:val="0"/>
              <w:rPr>
                <w:rFonts w:ascii="TimesNewRomanPSMT" w:hAnsi="TimesNewRomanPSMT" w:cs="TimesNewRomanPSMT"/>
                <w:highlight w:val="yellow"/>
              </w:rPr>
            </w:pPr>
            <w:r w:rsidRPr="009A4B74">
              <w:rPr>
                <w:rFonts w:ascii="TimesNewRomanPSMT" w:hAnsi="TimesNewRomanPSMT" w:cs="TimesNewRomanPSMT"/>
                <w:highlight w:val="yellow"/>
              </w:rPr>
              <w:t>Measure</w:t>
            </w:r>
          </w:p>
        </w:tc>
        <w:tc>
          <w:tcPr>
            <w:tcW w:w="2868" w:type="dxa"/>
          </w:tcPr>
          <w:p w:rsidR="00E71C51" w:rsidRPr="009A4B74" w:rsidRDefault="00E71C51" w:rsidP="00E2090A">
            <w:pPr>
              <w:autoSpaceDE w:val="0"/>
              <w:autoSpaceDN w:val="0"/>
              <w:adjustRightInd w:val="0"/>
              <w:rPr>
                <w:rFonts w:ascii="TimesNewRomanPSMT" w:hAnsi="TimesNewRomanPSMT" w:cs="TimesNewRomanPSMT"/>
                <w:highlight w:val="yellow"/>
              </w:rPr>
            </w:pPr>
            <w:r w:rsidRPr="009A4B74">
              <w:rPr>
                <w:rFonts w:ascii="TimesNewRomanPSMT" w:hAnsi="TimesNewRomanPSMT" w:cs="TimesNewRomanPSMT"/>
                <w:highlight w:val="yellow"/>
              </w:rPr>
              <w:t>Status</w:t>
            </w:r>
          </w:p>
        </w:tc>
      </w:tr>
      <w:tr w:rsidR="00E71C51" w:rsidRPr="009A4B74" w:rsidTr="009A4B74">
        <w:tc>
          <w:tcPr>
            <w:tcW w:w="6708" w:type="dxa"/>
          </w:tcPr>
          <w:p w:rsidR="00E71C51" w:rsidRPr="009A4B74" w:rsidRDefault="00E71C51" w:rsidP="00E2090A">
            <w:pPr>
              <w:autoSpaceDE w:val="0"/>
              <w:autoSpaceDN w:val="0"/>
              <w:adjustRightInd w:val="0"/>
              <w:rPr>
                <w:rFonts w:ascii="TimesNewRomanPSMT" w:hAnsi="TimesNewRomanPSMT" w:cs="TimesNewRomanPSMT"/>
                <w:highlight w:val="yellow"/>
              </w:rPr>
            </w:pPr>
            <w:r w:rsidRPr="009A4B74">
              <w:rPr>
                <w:rFonts w:ascii="TimesNewRomanPSMT" w:hAnsi="TimesNewRomanPSMT" w:cs="TimesNewRomanPSMT"/>
                <w:highlight w:val="yellow"/>
              </w:rPr>
              <w:t>Asphalt production plants in Connecticut, New Jersey, New York, and the District of Columbia</w:t>
            </w:r>
          </w:p>
        </w:tc>
        <w:tc>
          <w:tcPr>
            <w:tcW w:w="2868" w:type="dxa"/>
          </w:tcPr>
          <w:p w:rsidR="00E71C51" w:rsidRPr="009A4B74" w:rsidRDefault="00977145" w:rsidP="00E2090A">
            <w:pPr>
              <w:autoSpaceDE w:val="0"/>
              <w:autoSpaceDN w:val="0"/>
              <w:adjustRightInd w:val="0"/>
              <w:rPr>
                <w:rFonts w:ascii="TimesNewRomanPSMT" w:hAnsi="TimesNewRomanPSMT" w:cs="TimesNewRomanPSMT"/>
                <w:highlight w:val="yellow"/>
              </w:rPr>
            </w:pPr>
            <w:r w:rsidRPr="00977145">
              <w:rPr>
                <w:rFonts w:ascii="TimesNewRomanPSMT" w:hAnsi="TimesNewRomanPSMT" w:cs="TimesNewRomanPSMT"/>
                <w:highlight w:val="yellow"/>
              </w:rPr>
              <w:t>&lt;State to provide&gt;</w:t>
            </w:r>
          </w:p>
        </w:tc>
      </w:tr>
      <w:tr w:rsidR="00E71C51" w:rsidRPr="009A4B74" w:rsidTr="009A4B74">
        <w:tc>
          <w:tcPr>
            <w:tcW w:w="6708" w:type="dxa"/>
          </w:tcPr>
          <w:p w:rsidR="00E71C51" w:rsidRPr="009A4B74" w:rsidRDefault="00E71C51" w:rsidP="00E2090A">
            <w:pPr>
              <w:autoSpaceDE w:val="0"/>
              <w:autoSpaceDN w:val="0"/>
              <w:adjustRightInd w:val="0"/>
              <w:rPr>
                <w:rFonts w:ascii="TimesNewRomanPSMT" w:hAnsi="TimesNewRomanPSMT" w:cs="TimesNewRomanPSMT"/>
                <w:highlight w:val="yellow"/>
              </w:rPr>
            </w:pPr>
            <w:r w:rsidRPr="009A4B74">
              <w:rPr>
                <w:rFonts w:ascii="TimesNewRomanPSMT" w:hAnsi="TimesNewRomanPSMT" w:cs="TimesNewRomanPSMT"/>
                <w:highlight w:val="yellow"/>
              </w:rPr>
              <w:t>Cement kilns in Maine, Maryland, New York, and Pennsylvania</w:t>
            </w:r>
          </w:p>
        </w:tc>
        <w:tc>
          <w:tcPr>
            <w:tcW w:w="2868" w:type="dxa"/>
          </w:tcPr>
          <w:p w:rsidR="00E71C51" w:rsidRPr="009A4B74" w:rsidRDefault="00977145" w:rsidP="00E2090A">
            <w:pPr>
              <w:autoSpaceDE w:val="0"/>
              <w:autoSpaceDN w:val="0"/>
              <w:adjustRightInd w:val="0"/>
              <w:rPr>
                <w:rFonts w:ascii="TimesNewRomanPSMT" w:hAnsi="TimesNewRomanPSMT" w:cs="TimesNewRomanPSMT"/>
                <w:highlight w:val="yellow"/>
              </w:rPr>
            </w:pPr>
            <w:r w:rsidRPr="00977145">
              <w:rPr>
                <w:rFonts w:ascii="TimesNewRomanPSMT" w:hAnsi="TimesNewRomanPSMT" w:cs="TimesNewRomanPSMT"/>
                <w:highlight w:val="yellow"/>
              </w:rPr>
              <w:t>&lt;State to provide&gt;</w:t>
            </w:r>
          </w:p>
        </w:tc>
      </w:tr>
      <w:tr w:rsidR="00E71C51" w:rsidRPr="009A4B74" w:rsidTr="009A4B74">
        <w:tc>
          <w:tcPr>
            <w:tcW w:w="6708" w:type="dxa"/>
          </w:tcPr>
          <w:p w:rsidR="00E71C51" w:rsidRPr="009A4B74" w:rsidRDefault="00E71C51" w:rsidP="00E2090A">
            <w:pPr>
              <w:autoSpaceDE w:val="0"/>
              <w:autoSpaceDN w:val="0"/>
              <w:adjustRightInd w:val="0"/>
              <w:rPr>
                <w:rFonts w:ascii="TimesNewRomanPSMT" w:hAnsi="TimesNewRomanPSMT" w:cs="TimesNewRomanPSMT"/>
                <w:highlight w:val="yellow"/>
              </w:rPr>
            </w:pPr>
            <w:r w:rsidRPr="009A4B74">
              <w:rPr>
                <w:rFonts w:ascii="TimesNewRomanPSMT" w:hAnsi="TimesNewRomanPSMT" w:cs="TimesNewRomanPSMT"/>
                <w:highlight w:val="yellow"/>
              </w:rPr>
              <w:t>Glass and fiberglass furnaces in Maryland, Massachusetts, New Jersey, New York, and Pennsylvania.</w:t>
            </w:r>
          </w:p>
        </w:tc>
        <w:tc>
          <w:tcPr>
            <w:tcW w:w="2868" w:type="dxa"/>
          </w:tcPr>
          <w:p w:rsidR="00E71C51" w:rsidRPr="009A4B74" w:rsidRDefault="00977145" w:rsidP="00E2090A">
            <w:pPr>
              <w:autoSpaceDE w:val="0"/>
              <w:autoSpaceDN w:val="0"/>
              <w:adjustRightInd w:val="0"/>
              <w:rPr>
                <w:rFonts w:ascii="TimesNewRomanPSMT" w:hAnsi="TimesNewRomanPSMT" w:cs="TimesNewRomanPSMT"/>
                <w:highlight w:val="yellow"/>
              </w:rPr>
            </w:pPr>
            <w:r w:rsidRPr="00977145">
              <w:rPr>
                <w:rFonts w:ascii="TimesNewRomanPSMT" w:hAnsi="TimesNewRomanPSMT" w:cs="TimesNewRomanPSMT"/>
                <w:highlight w:val="yellow"/>
              </w:rPr>
              <w:t>&lt;State to provide&gt;</w:t>
            </w:r>
          </w:p>
        </w:tc>
      </w:tr>
      <w:tr w:rsidR="000E1353" w:rsidTr="009A4B74">
        <w:tc>
          <w:tcPr>
            <w:tcW w:w="6708" w:type="dxa"/>
            <w:shd w:val="clear" w:color="auto" w:fill="auto"/>
          </w:tcPr>
          <w:p w:rsidR="000E1353" w:rsidRPr="009A4B74" w:rsidRDefault="00254E53" w:rsidP="003D00D9">
            <w:pPr>
              <w:autoSpaceDE w:val="0"/>
              <w:autoSpaceDN w:val="0"/>
              <w:adjustRightInd w:val="0"/>
              <w:rPr>
                <w:rFonts w:ascii="TimesNewRomanPSMT" w:hAnsi="TimesNewRomanPSMT" w:cs="TimesNewRomanPSMT"/>
                <w:highlight w:val="yellow"/>
              </w:rPr>
            </w:pPr>
            <w:r w:rsidRPr="009A4B74">
              <w:rPr>
                <w:rFonts w:ascii="TimesNewRomanPSMT" w:hAnsi="TimesNewRomanPSMT" w:cs="TimesNewRomanPSMT"/>
                <w:highlight w:val="yellow"/>
              </w:rPr>
              <w:t xml:space="preserve">Delaware City Refinery (formerly </w:t>
            </w:r>
            <w:r w:rsidR="00C00633" w:rsidRPr="009A4B74">
              <w:rPr>
                <w:rFonts w:ascii="TimesNewRomanPSMT" w:hAnsi="TimesNewRomanPSMT" w:cs="TimesNewRomanPSMT"/>
                <w:highlight w:val="yellow"/>
              </w:rPr>
              <w:t xml:space="preserve">Premcor and </w:t>
            </w:r>
            <w:r w:rsidRPr="009A4B74">
              <w:rPr>
                <w:rFonts w:ascii="TimesNewRomanPSMT" w:hAnsi="TimesNewRomanPSMT" w:cs="TimesNewRomanPSMT"/>
                <w:highlight w:val="yellow"/>
              </w:rPr>
              <w:t>Motiva</w:t>
            </w:r>
            <w:r w:rsidR="00C00633" w:rsidRPr="009A4B74">
              <w:rPr>
                <w:rFonts w:ascii="TimesNewRomanPSMT" w:hAnsi="TimesNewRomanPSMT" w:cs="TimesNewRomanPSMT"/>
                <w:highlight w:val="yellow"/>
              </w:rPr>
              <w:t xml:space="preserve"> Enterprises</w:t>
            </w:r>
            <w:r w:rsidRPr="009A4B74">
              <w:rPr>
                <w:rFonts w:ascii="TimesNewRomanPSMT" w:hAnsi="TimesNewRomanPSMT" w:cs="TimesNewRomanPSMT"/>
                <w:highlight w:val="yellow"/>
              </w:rPr>
              <w:t>)</w:t>
            </w:r>
            <w:r w:rsidR="00012032" w:rsidRPr="009A4B74">
              <w:rPr>
                <w:rFonts w:ascii="TimesNewRomanPSMT" w:hAnsi="TimesNewRomanPSMT" w:cs="TimesNewRomanPSMT"/>
                <w:highlight w:val="yellow"/>
              </w:rPr>
              <w:t xml:space="preserve">. Consent Decree.  </w:t>
            </w:r>
          </w:p>
        </w:tc>
        <w:tc>
          <w:tcPr>
            <w:tcW w:w="2868" w:type="dxa"/>
            <w:shd w:val="clear" w:color="auto" w:fill="auto"/>
          </w:tcPr>
          <w:p w:rsidR="000E1353" w:rsidRDefault="00CD6055" w:rsidP="00E2090A">
            <w:pPr>
              <w:autoSpaceDE w:val="0"/>
              <w:autoSpaceDN w:val="0"/>
              <w:adjustRightInd w:val="0"/>
              <w:rPr>
                <w:rFonts w:ascii="TimesNewRomanPSMT" w:hAnsi="TimesNewRomanPSMT" w:cs="TimesNewRomanPSMT"/>
              </w:rPr>
            </w:pPr>
            <w:r w:rsidRPr="009A4B74">
              <w:rPr>
                <w:rFonts w:ascii="TimesNewRomanPSMT" w:hAnsi="TimesNewRomanPSMT" w:cs="TimesNewRomanPSMT"/>
                <w:highlight w:val="yellow"/>
              </w:rPr>
              <w:t>See below</w:t>
            </w:r>
          </w:p>
        </w:tc>
      </w:tr>
    </w:tbl>
    <w:p w:rsidR="001969DC" w:rsidRDefault="001969DC" w:rsidP="002E76E6">
      <w:pPr>
        <w:rPr>
          <w:i/>
        </w:rPr>
      </w:pPr>
    </w:p>
    <w:p w:rsidR="003D00D9" w:rsidRDefault="003D00D9" w:rsidP="002E76E6">
      <w:r w:rsidRPr="00705984">
        <w:rPr>
          <w:i/>
        </w:rPr>
        <w:t>Delaware City Refinery (formerly Premcor and Motiva Enterprises).</w:t>
      </w:r>
      <w:r>
        <w:t xml:space="preserve"> Consent Decree.  Control of SO</w:t>
      </w:r>
      <w:r w:rsidRPr="00012032">
        <w:rPr>
          <w:vertAlign w:val="subscript"/>
        </w:rPr>
        <w:t>2</w:t>
      </w:r>
      <w:r>
        <w:t xml:space="preserve"> and NO</w:t>
      </w:r>
      <w:r>
        <w:rPr>
          <w:vertAlign w:val="subscript"/>
        </w:rPr>
        <w:t>X</w:t>
      </w:r>
      <w:r>
        <w:t xml:space="preserve"> Emission from Boilers and Heaters.  2002 SO</w:t>
      </w:r>
      <w:r w:rsidRPr="00012032">
        <w:rPr>
          <w:vertAlign w:val="subscript"/>
        </w:rPr>
        <w:t>2</w:t>
      </w:r>
      <w:r>
        <w:t xml:space="preserve"> levels of 29,747 will drop to 608 in 2018 (98 percent) for units covered by the Consent Decree.  NO</w:t>
      </w:r>
      <w:r w:rsidRPr="00012032">
        <w:rPr>
          <w:vertAlign w:val="subscript"/>
        </w:rPr>
        <w:t>X</w:t>
      </w:r>
      <w:r>
        <w:t xml:space="preserve"> 2002 levels of 1,022 will fall to 102 in 2018 (90 percent) for units covered by the Consent Decree.</w:t>
      </w:r>
    </w:p>
    <w:p w:rsidR="00E71C51" w:rsidRDefault="00A63F97" w:rsidP="002E76E6">
      <w:r w:rsidRPr="003D00D9">
        <w:rPr>
          <w:highlight w:val="yellow"/>
        </w:rPr>
        <w:t xml:space="preserve">A list of sources assumed to be shut down between 2002 and 2018 is included in table B-4 in the report, </w:t>
      </w:r>
      <w:r w:rsidRPr="003D00D9">
        <w:rPr>
          <w:i/>
          <w:iCs/>
          <w:highlight w:val="yellow"/>
        </w:rPr>
        <w:t xml:space="preserve">Final TSD for MANE-VU Emission Projections, February 28, 2007, </w:t>
      </w:r>
      <w:r w:rsidRPr="003D00D9">
        <w:rPr>
          <w:iCs/>
          <w:highlight w:val="yellow"/>
        </w:rPr>
        <w:t xml:space="preserve">which is posted on the MARAMA web site at </w:t>
      </w:r>
      <w:r w:rsidRPr="003D00D9">
        <w:rPr>
          <w:i/>
          <w:iCs/>
          <w:highlight w:val="yellow"/>
        </w:rPr>
        <w:t>http://www.marama.org/publications_folder/MANEVU_Emission_Projections_TSD_022807.pdf.</w:t>
      </w:r>
      <w:r w:rsidRPr="00A63F97">
        <w:rPr>
          <w:i/>
          <w:iCs/>
        </w:rPr>
        <w:t xml:space="preserve">  </w:t>
      </w:r>
    </w:p>
    <w:p w:rsidR="00014A88" w:rsidRDefault="00E71C51" w:rsidP="00AC59B1">
      <w:r w:rsidRPr="00B30AE1">
        <w:rPr>
          <w:highlight w:val="yellow"/>
        </w:rPr>
        <w:t>For other regions, MANE-VU used emission inventory data developed by the RPOs for those regions, including VISTAS’s Base G2, MRPO’s Base K, and CenRAP’s emissions inventory.</w:t>
      </w:r>
      <w:r w:rsidR="00A63F97" w:rsidRPr="00B30AE1">
        <w:rPr>
          <w:highlight w:val="yellow"/>
        </w:rPr>
        <w:t xml:space="preserve"> </w:t>
      </w:r>
      <w:r w:rsidR="00B30AE1" w:rsidRPr="00B30AE1">
        <w:rPr>
          <w:highlight w:val="yellow"/>
        </w:rPr>
        <w:t xml:space="preserve"> &lt;This statement may not be needed.&gt;</w:t>
      </w:r>
      <w:r w:rsidR="00A63F97">
        <w:t xml:space="preserve"> </w:t>
      </w:r>
    </w:p>
    <w:p w:rsidR="001969DC" w:rsidRDefault="001969DC" w:rsidP="00AC59B1"/>
    <w:p w:rsidR="00E71C51" w:rsidRPr="00230052" w:rsidRDefault="00E71C51" w:rsidP="002E76E6">
      <w:pPr>
        <w:pStyle w:val="2ndLevelHeader"/>
      </w:pPr>
      <w:bookmarkStart w:id="110" w:name="_Toc373843521"/>
      <w:r w:rsidRPr="00230052">
        <w:t>5.</w:t>
      </w:r>
      <w:r w:rsidR="00EA35BE">
        <w:t>3</w:t>
      </w:r>
      <w:r w:rsidR="00AC59B1">
        <w:t>.6</w:t>
      </w:r>
      <w:r w:rsidR="007A33C0" w:rsidRPr="00230052">
        <w:t>. Controls</w:t>
      </w:r>
      <w:r w:rsidRPr="00230052">
        <w:t xml:space="preserve"> on Area Sources Expected by 2018</w:t>
      </w:r>
      <w:bookmarkEnd w:id="110"/>
    </w:p>
    <w:p w:rsidR="00E71C51" w:rsidRDefault="00E71C51" w:rsidP="002E76E6">
      <w:r>
        <w:t>In general, MANE-VU developed the 2018 inventory for area sources by applying growth and control factors to the 2002 Version 3.0 inventory. Area source control factors were developed for the following national or regional control measures</w:t>
      </w:r>
      <w:r w:rsidR="0062524C">
        <w:t xml:space="preserve"> for SO</w:t>
      </w:r>
      <w:r w:rsidR="0062524C" w:rsidRPr="00EA2C0E">
        <w:rPr>
          <w:vertAlign w:val="subscript"/>
        </w:rPr>
        <w:t>2</w:t>
      </w:r>
      <w:r w:rsidR="0062524C">
        <w:t xml:space="preserve"> or NO</w:t>
      </w:r>
      <w:r w:rsidR="0062524C" w:rsidRPr="00EA2C0E">
        <w:rPr>
          <w:vertAlign w:val="subscript"/>
        </w:rPr>
        <w:t>X</w:t>
      </w:r>
      <w:r w:rsidR="0062524C">
        <w:t>.  VOC controls are not included here, as they were not expected to have significant visibility benefits.</w:t>
      </w:r>
    </w:p>
    <w:p w:rsidR="00705984" w:rsidRPr="007D1888" w:rsidRDefault="00705984" w:rsidP="00F60FE6">
      <w:pPr>
        <w:pStyle w:val="Caption"/>
      </w:pPr>
      <w:bookmarkStart w:id="111" w:name="_Toc373842784"/>
      <w:bookmarkStart w:id="112" w:name="_Toc373843570"/>
      <w:bookmarkStart w:id="113" w:name="_Toc373844558"/>
      <w:r w:rsidRPr="007D1888">
        <w:rPr>
          <w:rStyle w:val="Heading8Char"/>
          <w:rFonts w:ascii="Arial" w:hAnsi="Arial" w:cs="Arial"/>
          <w:color w:val="auto"/>
        </w:rPr>
        <w:t>Table 5.4. Status of Control Measures – Area Sources</w:t>
      </w:r>
      <w:bookmarkEnd w:id="111"/>
      <w:bookmarkEnd w:id="112"/>
      <w:bookmarkEnd w:id="1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58"/>
        <w:gridCol w:w="2318"/>
      </w:tblGrid>
      <w:tr w:rsidR="00E71C51" w:rsidRPr="00254E53" w:rsidTr="00AC59B1">
        <w:tc>
          <w:tcPr>
            <w:tcW w:w="7258" w:type="dxa"/>
          </w:tcPr>
          <w:p w:rsidR="00E71C51" w:rsidRPr="00254E53" w:rsidRDefault="00E71C51" w:rsidP="00E2090A">
            <w:pPr>
              <w:autoSpaceDE w:val="0"/>
              <w:autoSpaceDN w:val="0"/>
              <w:adjustRightInd w:val="0"/>
              <w:rPr>
                <w:rFonts w:ascii="TimesNewRomanPSMT" w:hAnsi="TimesNewRomanPSMT" w:cs="TimesNewRomanPSMT"/>
                <w:b/>
              </w:rPr>
            </w:pPr>
            <w:r w:rsidRPr="00254E53">
              <w:rPr>
                <w:rFonts w:ascii="TimesNewRomanPSMT" w:hAnsi="TimesNewRomanPSMT" w:cs="TimesNewRomanPSMT"/>
                <w:b/>
              </w:rPr>
              <w:t>Measure</w:t>
            </w:r>
          </w:p>
        </w:tc>
        <w:tc>
          <w:tcPr>
            <w:tcW w:w="2318" w:type="dxa"/>
          </w:tcPr>
          <w:p w:rsidR="00E71C51" w:rsidRPr="00254E53" w:rsidRDefault="00E71C51" w:rsidP="00E2090A">
            <w:pPr>
              <w:autoSpaceDE w:val="0"/>
              <w:autoSpaceDN w:val="0"/>
              <w:adjustRightInd w:val="0"/>
              <w:rPr>
                <w:rFonts w:ascii="TimesNewRomanPSMT" w:hAnsi="TimesNewRomanPSMT" w:cs="TimesNewRomanPSMT"/>
                <w:b/>
              </w:rPr>
            </w:pPr>
            <w:r w:rsidRPr="00254E53">
              <w:rPr>
                <w:rFonts w:ascii="TimesNewRomanPSMT" w:hAnsi="TimesNewRomanPSMT" w:cs="TimesNewRomanPSMT"/>
                <w:b/>
              </w:rPr>
              <w:t>Status</w:t>
            </w:r>
          </w:p>
        </w:tc>
      </w:tr>
      <w:tr w:rsidR="00E71C51" w:rsidTr="00AC59B1">
        <w:tc>
          <w:tcPr>
            <w:tcW w:w="7258" w:type="dxa"/>
          </w:tcPr>
          <w:p w:rsidR="00E71C51" w:rsidRDefault="00E71C51" w:rsidP="00E2090A">
            <w:pPr>
              <w:autoSpaceDE w:val="0"/>
              <w:autoSpaceDN w:val="0"/>
              <w:adjustRightInd w:val="0"/>
              <w:rPr>
                <w:rFonts w:ascii="TimesNewRomanPSMT" w:hAnsi="TimesNewRomanPSMT" w:cs="TimesNewRomanPSMT"/>
              </w:rPr>
            </w:pPr>
            <w:r w:rsidRPr="00AC59B1">
              <w:rPr>
                <w:rFonts w:ascii="TimesNewRomanPSMT" w:hAnsi="TimesNewRomanPSMT" w:cs="TimesNewRomanPSMT"/>
                <w:highlight w:val="yellow"/>
              </w:rPr>
              <w:t>New Jersey post-2002 area source controls</w:t>
            </w:r>
          </w:p>
        </w:tc>
        <w:tc>
          <w:tcPr>
            <w:tcW w:w="2318" w:type="dxa"/>
          </w:tcPr>
          <w:p w:rsidR="00E71C51" w:rsidRDefault="00977145" w:rsidP="00E2090A">
            <w:pPr>
              <w:autoSpaceDE w:val="0"/>
              <w:autoSpaceDN w:val="0"/>
              <w:adjustRightInd w:val="0"/>
              <w:rPr>
                <w:rFonts w:ascii="TimesNewRomanPSMT" w:hAnsi="TimesNewRomanPSMT" w:cs="TimesNewRomanPSMT"/>
              </w:rPr>
            </w:pPr>
            <w:r w:rsidRPr="00977145">
              <w:rPr>
                <w:rFonts w:ascii="TimesNewRomanPSMT" w:hAnsi="TimesNewRomanPSMT" w:cs="TimesNewRomanPSMT"/>
                <w:highlight w:val="yellow"/>
              </w:rPr>
              <w:t>&lt;State to provide&gt;</w:t>
            </w:r>
          </w:p>
        </w:tc>
      </w:tr>
      <w:tr w:rsidR="00E71C51" w:rsidTr="00AC59B1">
        <w:tc>
          <w:tcPr>
            <w:tcW w:w="7258" w:type="dxa"/>
          </w:tcPr>
          <w:p w:rsidR="00E71C51" w:rsidRDefault="00E71C51" w:rsidP="00E2090A">
            <w:pPr>
              <w:autoSpaceDE w:val="0"/>
              <w:autoSpaceDN w:val="0"/>
              <w:adjustRightInd w:val="0"/>
              <w:rPr>
                <w:rFonts w:ascii="TimesNewRomanPSMT" w:hAnsi="TimesNewRomanPSMT" w:cs="TimesNewRomanPSMT"/>
              </w:rPr>
            </w:pPr>
            <w:r>
              <w:rPr>
                <w:rFonts w:ascii="TimesNewRomanPSMT" w:hAnsi="TimesNewRomanPSMT" w:cs="TimesNewRomanPSMT"/>
              </w:rPr>
              <w:t>Residential woodstove NSPS</w:t>
            </w:r>
          </w:p>
        </w:tc>
        <w:tc>
          <w:tcPr>
            <w:tcW w:w="2318" w:type="dxa"/>
          </w:tcPr>
          <w:p w:rsidR="00E71C51" w:rsidRDefault="0062524C" w:rsidP="00E2090A">
            <w:pPr>
              <w:autoSpaceDE w:val="0"/>
              <w:autoSpaceDN w:val="0"/>
              <w:adjustRightInd w:val="0"/>
              <w:rPr>
                <w:rFonts w:ascii="TimesNewRomanPSMT" w:hAnsi="TimesNewRomanPSMT" w:cs="TimesNewRomanPSMT"/>
              </w:rPr>
            </w:pPr>
            <w:r>
              <w:rPr>
                <w:rFonts w:ascii="TimesNewRomanPSMT" w:hAnsi="TimesNewRomanPSMT" w:cs="TimesNewRomanPSMT"/>
              </w:rPr>
              <w:t>EPA has not revised the NSPS</w:t>
            </w:r>
          </w:p>
        </w:tc>
      </w:tr>
      <w:tr w:rsidR="00E71C51" w:rsidTr="00AC59B1">
        <w:tc>
          <w:tcPr>
            <w:tcW w:w="7258" w:type="dxa"/>
          </w:tcPr>
          <w:p w:rsidR="00E71C51" w:rsidRDefault="007A1BD7" w:rsidP="007A1BD7">
            <w:pPr>
              <w:autoSpaceDE w:val="0"/>
              <w:autoSpaceDN w:val="0"/>
              <w:adjustRightInd w:val="0"/>
              <w:rPr>
                <w:rFonts w:ascii="TimesNewRomanPSMT" w:hAnsi="TimesNewRomanPSMT" w:cs="TimesNewRomanPSMT"/>
              </w:rPr>
            </w:pPr>
            <w:r w:rsidRPr="007A1BD7">
              <w:t>NO</w:t>
            </w:r>
            <w:r w:rsidRPr="007A1BD7">
              <w:rPr>
                <w:vertAlign w:val="subscript"/>
              </w:rPr>
              <w:t>X</w:t>
            </w:r>
            <w:r w:rsidR="00E71C51">
              <w:rPr>
                <w:rFonts w:ascii="TimesNewRomanPSMT" w:hAnsi="TimesNewRomanPSMT" w:cs="TimesNewRomanPSMT"/>
                <w:sz w:val="16"/>
                <w:szCs w:val="16"/>
              </w:rPr>
              <w:t xml:space="preserve"> </w:t>
            </w:r>
            <w:r w:rsidR="00E71C51">
              <w:rPr>
                <w:rFonts w:ascii="TimesNewRomanPSMT" w:hAnsi="TimesNewRomanPSMT" w:cs="TimesNewRomanPSMT"/>
              </w:rPr>
              <w:t xml:space="preserve">control measures for combustion of coal; natural gas; and #2, #4, and #6 fuel oils </w:t>
            </w:r>
            <w:r w:rsidR="00E71C51" w:rsidRPr="00AC59B1">
              <w:rPr>
                <w:rFonts w:ascii="TimesNewRomanPSMT" w:hAnsi="TimesNewRomanPSMT" w:cs="TimesNewRomanPSMT"/>
                <w:highlight w:val="yellow"/>
              </w:rPr>
              <w:t>(CT, NJ, and NY only)</w:t>
            </w:r>
          </w:p>
        </w:tc>
        <w:tc>
          <w:tcPr>
            <w:tcW w:w="2318" w:type="dxa"/>
          </w:tcPr>
          <w:p w:rsidR="00E71C51" w:rsidRDefault="00977145" w:rsidP="00E2090A">
            <w:pPr>
              <w:autoSpaceDE w:val="0"/>
              <w:autoSpaceDN w:val="0"/>
              <w:adjustRightInd w:val="0"/>
              <w:rPr>
                <w:rFonts w:ascii="TimesNewRomanPSMT" w:hAnsi="TimesNewRomanPSMT" w:cs="TimesNewRomanPSMT"/>
              </w:rPr>
            </w:pPr>
            <w:r w:rsidRPr="00977145">
              <w:rPr>
                <w:rFonts w:ascii="TimesNewRomanPSMT" w:hAnsi="TimesNewRomanPSMT" w:cs="TimesNewRomanPSMT"/>
                <w:highlight w:val="yellow"/>
              </w:rPr>
              <w:t>&lt;State to provide&gt;</w:t>
            </w:r>
          </w:p>
        </w:tc>
      </w:tr>
    </w:tbl>
    <w:p w:rsidR="007357A7" w:rsidRDefault="00E71C51" w:rsidP="00AC59B1">
      <w:pPr>
        <w:rPr>
          <w:highlight w:val="yellow"/>
        </w:rPr>
      </w:pPr>
      <w:r>
        <w:t>As noted above, inventory data for other regions were obtained from those regions’ RPOs.</w:t>
      </w:r>
    </w:p>
    <w:p w:rsidR="001969DC" w:rsidRDefault="001969DC">
      <w:pPr>
        <w:spacing w:after="0" w:line="240" w:lineRule="auto"/>
        <w:rPr>
          <w:highlight w:val="yellow"/>
        </w:rPr>
      </w:pPr>
      <w:r>
        <w:rPr>
          <w:highlight w:val="yellow"/>
        </w:rPr>
        <w:br w:type="page"/>
      </w:r>
    </w:p>
    <w:p w:rsidR="00230052" w:rsidRDefault="0062524C" w:rsidP="002E76E6">
      <w:pPr>
        <w:rPr>
          <w:highlight w:val="yellow"/>
        </w:rPr>
      </w:pPr>
      <w:r w:rsidRPr="009B2215">
        <w:rPr>
          <w:highlight w:val="yellow"/>
        </w:rPr>
        <w:lastRenderedPageBreak/>
        <w:t xml:space="preserve">The MANE-VU emissions inventory and 2018 modeling did not consider the rapid development of oil and gas resources that has occurred in and near the region since 2007.  MANE-VU states are collaborating with EPA and other states to estimate emissions from </w:t>
      </w:r>
      <w:r w:rsidR="00AC59B1">
        <w:rPr>
          <w:highlight w:val="yellow"/>
        </w:rPr>
        <w:t xml:space="preserve">oil and gas development and to conduct additional modeling </w:t>
      </w:r>
      <w:r w:rsidRPr="009B2215">
        <w:rPr>
          <w:highlight w:val="yellow"/>
        </w:rPr>
        <w:t>to assess impac</w:t>
      </w:r>
      <w:r w:rsidR="00AC59B1">
        <w:rPr>
          <w:highlight w:val="yellow"/>
        </w:rPr>
        <w:t>ts on air quality</w:t>
      </w:r>
      <w:r w:rsidRPr="009B2215">
        <w:rPr>
          <w:highlight w:val="yellow"/>
        </w:rPr>
        <w:t>.  At this time sufficient data is</w:t>
      </w:r>
      <w:r w:rsidR="00AC59B1">
        <w:rPr>
          <w:highlight w:val="yellow"/>
        </w:rPr>
        <w:t xml:space="preserve"> unavailable.  Pennsylvania and West Virginia have </w:t>
      </w:r>
      <w:r w:rsidRPr="009B2215">
        <w:rPr>
          <w:highlight w:val="yellow"/>
        </w:rPr>
        <w:t>adopted a general permit to mitigate potential impacts.</w:t>
      </w:r>
      <w:r w:rsidR="004F6647">
        <w:rPr>
          <w:highlight w:val="yellow"/>
        </w:rPr>
        <w:t xml:space="preserve">  Regional Haze SIP</w:t>
      </w:r>
      <w:r w:rsidR="00AC59B1">
        <w:rPr>
          <w:highlight w:val="yellow"/>
        </w:rPr>
        <w:t xml:space="preserve">S due in 2018 will </w:t>
      </w:r>
      <w:r w:rsidR="00977145">
        <w:rPr>
          <w:highlight w:val="yellow"/>
        </w:rPr>
        <w:t>consider emissions from</w:t>
      </w:r>
      <w:r w:rsidR="00AC59B1">
        <w:rPr>
          <w:highlight w:val="yellow"/>
        </w:rPr>
        <w:t xml:space="preserve"> this source category.</w:t>
      </w:r>
    </w:p>
    <w:p w:rsidR="001969DC" w:rsidRPr="00AC59B1" w:rsidRDefault="001969DC" w:rsidP="002E76E6">
      <w:pPr>
        <w:rPr>
          <w:highlight w:val="yellow"/>
        </w:rPr>
      </w:pPr>
    </w:p>
    <w:p w:rsidR="00E71C51" w:rsidRPr="00230052" w:rsidRDefault="00E71C51" w:rsidP="002E76E6">
      <w:pPr>
        <w:pStyle w:val="2ndLevelHeader"/>
      </w:pPr>
      <w:bookmarkStart w:id="114" w:name="_Toc373843522"/>
      <w:r w:rsidRPr="00230052">
        <w:t>5.</w:t>
      </w:r>
      <w:r w:rsidR="00EA35BE">
        <w:t>3</w:t>
      </w:r>
      <w:r w:rsidR="004F6647">
        <w:t>.7</w:t>
      </w:r>
      <w:r w:rsidR="007A33C0" w:rsidRPr="00230052">
        <w:t>. Controls</w:t>
      </w:r>
      <w:r w:rsidRPr="00230052">
        <w:t xml:space="preserve"> on Mobile Sources Expected by 2018</w:t>
      </w:r>
      <w:bookmarkEnd w:id="114"/>
    </w:p>
    <w:p w:rsidR="00E71C51" w:rsidRDefault="00E71C51" w:rsidP="002E76E6">
      <w:r>
        <w:t>MANE-VU’s Version 3.0 emission inventory included the following emission control measures:</w:t>
      </w:r>
    </w:p>
    <w:p w:rsidR="00705984" w:rsidRPr="007D1888" w:rsidRDefault="00705984" w:rsidP="00F60FE6">
      <w:pPr>
        <w:pStyle w:val="Caption"/>
      </w:pPr>
      <w:bookmarkStart w:id="115" w:name="_Toc373842785"/>
      <w:bookmarkStart w:id="116" w:name="_Toc373843571"/>
      <w:bookmarkStart w:id="117" w:name="_Toc373844559"/>
      <w:r w:rsidRPr="007D1888">
        <w:rPr>
          <w:rStyle w:val="Heading8Char"/>
          <w:rFonts w:ascii="Arial" w:hAnsi="Arial" w:cs="Arial"/>
          <w:color w:val="auto"/>
        </w:rPr>
        <w:t>Table 5.5. Status of Control Measures – Mobile Sources</w:t>
      </w:r>
      <w:bookmarkEnd w:id="115"/>
      <w:bookmarkEnd w:id="116"/>
      <w:bookmarkEnd w:id="1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58"/>
        <w:gridCol w:w="2318"/>
      </w:tblGrid>
      <w:tr w:rsidR="00E71C51" w:rsidTr="004F6647">
        <w:tc>
          <w:tcPr>
            <w:tcW w:w="7258" w:type="dxa"/>
          </w:tcPr>
          <w:p w:rsidR="00E71C51" w:rsidRDefault="00E71C51" w:rsidP="00E2090A">
            <w:pPr>
              <w:autoSpaceDE w:val="0"/>
              <w:autoSpaceDN w:val="0"/>
              <w:adjustRightInd w:val="0"/>
              <w:rPr>
                <w:rFonts w:ascii="TimesNewRomanPSMT" w:hAnsi="TimesNewRomanPSMT" w:cs="TimesNewRomanPSMT"/>
              </w:rPr>
            </w:pPr>
            <w:r>
              <w:rPr>
                <w:rFonts w:ascii="TimesNewRomanPSMT" w:hAnsi="TimesNewRomanPSMT" w:cs="TimesNewRomanPSMT"/>
              </w:rPr>
              <w:t>Measure</w:t>
            </w:r>
          </w:p>
        </w:tc>
        <w:tc>
          <w:tcPr>
            <w:tcW w:w="2318" w:type="dxa"/>
          </w:tcPr>
          <w:p w:rsidR="00E71C51" w:rsidRDefault="00E71C51" w:rsidP="00E2090A">
            <w:pPr>
              <w:autoSpaceDE w:val="0"/>
              <w:autoSpaceDN w:val="0"/>
              <w:adjustRightInd w:val="0"/>
              <w:rPr>
                <w:rFonts w:ascii="TimesNewRomanPSMT" w:hAnsi="TimesNewRomanPSMT" w:cs="TimesNewRomanPSMT"/>
              </w:rPr>
            </w:pPr>
            <w:r>
              <w:rPr>
                <w:rFonts w:ascii="TimesNewRomanPSMT" w:hAnsi="TimesNewRomanPSMT" w:cs="TimesNewRomanPSMT"/>
              </w:rPr>
              <w:t>Status</w:t>
            </w:r>
          </w:p>
        </w:tc>
      </w:tr>
      <w:tr w:rsidR="00784D06" w:rsidTr="004F6647">
        <w:tc>
          <w:tcPr>
            <w:tcW w:w="7258" w:type="dxa"/>
          </w:tcPr>
          <w:p w:rsidR="00784D06" w:rsidRDefault="00784D06" w:rsidP="00784D06">
            <w:pPr>
              <w:autoSpaceDE w:val="0"/>
              <w:autoSpaceDN w:val="0"/>
              <w:adjustRightInd w:val="0"/>
              <w:rPr>
                <w:rFonts w:ascii="TimesNewRomanPSMT" w:hAnsi="TimesNewRomanPSMT" w:cs="TimesNewRomanPSMT"/>
              </w:rPr>
            </w:pPr>
            <w:r>
              <w:rPr>
                <w:rFonts w:ascii="TimesNewRomanPSMT" w:hAnsi="TimesNewRomanPSMT" w:cs="TimesNewRomanPSMT"/>
              </w:rPr>
              <w:t xml:space="preserve">Tier 2 Vehicle and Gasoline sulfur program </w:t>
            </w:r>
          </w:p>
        </w:tc>
        <w:tc>
          <w:tcPr>
            <w:tcW w:w="2318" w:type="dxa"/>
          </w:tcPr>
          <w:p w:rsidR="00784D06" w:rsidRDefault="00784D06" w:rsidP="00E2090A">
            <w:pPr>
              <w:autoSpaceDE w:val="0"/>
              <w:autoSpaceDN w:val="0"/>
              <w:adjustRightInd w:val="0"/>
              <w:rPr>
                <w:rFonts w:ascii="TimesNewRomanPSMT" w:hAnsi="TimesNewRomanPSMT" w:cs="TimesNewRomanPSMT"/>
              </w:rPr>
            </w:pPr>
            <w:r>
              <w:rPr>
                <w:rFonts w:ascii="TimesNewRomanPSMT" w:hAnsi="TimesNewRomanPSMT" w:cs="TimesNewRomanPSMT"/>
              </w:rPr>
              <w:t>See below</w:t>
            </w:r>
          </w:p>
        </w:tc>
      </w:tr>
      <w:tr w:rsidR="00E71C51" w:rsidTr="004F6647">
        <w:tc>
          <w:tcPr>
            <w:tcW w:w="7258" w:type="dxa"/>
          </w:tcPr>
          <w:p w:rsidR="00E71C51" w:rsidRDefault="00E71C51" w:rsidP="003621A9">
            <w:pPr>
              <w:autoSpaceDE w:val="0"/>
              <w:autoSpaceDN w:val="0"/>
              <w:adjustRightInd w:val="0"/>
              <w:rPr>
                <w:rFonts w:ascii="TimesNewRomanPSMT" w:hAnsi="TimesNewRomanPSMT" w:cs="TimesNewRomanPSMT"/>
              </w:rPr>
            </w:pPr>
            <w:r>
              <w:rPr>
                <w:rFonts w:ascii="TimesNewRomanPSMT" w:hAnsi="TimesNewRomanPSMT" w:cs="TimesNewRomanPSMT"/>
              </w:rPr>
              <w:t xml:space="preserve">Low Emission Vehicle Regulations, which incorporate by reference California’s emissions standards for motor vehicles </w:t>
            </w:r>
            <w:r w:rsidRPr="00BD4489">
              <w:rPr>
                <w:rFonts w:ascii="TimesNewRomanPSMT" w:hAnsi="TimesNewRomanPSMT" w:cs="TimesNewRomanPSMT"/>
                <w:highlight w:val="yellow"/>
              </w:rPr>
              <w:t>(for states</w:t>
            </w:r>
            <w:r w:rsidR="003621A9">
              <w:rPr>
                <w:rFonts w:ascii="TimesNewRomanPSMT" w:hAnsi="TimesNewRomanPSMT" w:cs="TimesNewRomanPSMT"/>
                <w:highlight w:val="yellow"/>
              </w:rPr>
              <w:t xml:space="preserve"> </w:t>
            </w:r>
            <w:r w:rsidR="00664EFA">
              <w:rPr>
                <w:rFonts w:ascii="TimesNewRomanPSMT" w:hAnsi="TimesNewRomanPSMT" w:cs="TimesNewRomanPSMT"/>
                <w:highlight w:val="yellow"/>
              </w:rPr>
              <w:t>where this applies</w:t>
            </w:r>
            <w:r w:rsidRPr="00BD4489">
              <w:rPr>
                <w:rFonts w:ascii="TimesNewRomanPSMT" w:hAnsi="TimesNewRomanPSMT" w:cs="TimesNewRomanPSMT"/>
                <w:highlight w:val="yellow"/>
              </w:rPr>
              <w:t>)</w:t>
            </w:r>
          </w:p>
        </w:tc>
        <w:tc>
          <w:tcPr>
            <w:tcW w:w="2318" w:type="dxa"/>
          </w:tcPr>
          <w:p w:rsidR="00E71C51" w:rsidRDefault="00977145" w:rsidP="00E2090A">
            <w:pPr>
              <w:autoSpaceDE w:val="0"/>
              <w:autoSpaceDN w:val="0"/>
              <w:adjustRightInd w:val="0"/>
              <w:rPr>
                <w:rFonts w:ascii="TimesNewRomanPSMT" w:hAnsi="TimesNewRomanPSMT" w:cs="TimesNewRomanPSMT"/>
              </w:rPr>
            </w:pPr>
            <w:r w:rsidRPr="00977145">
              <w:rPr>
                <w:rFonts w:ascii="TimesNewRomanPSMT" w:hAnsi="TimesNewRomanPSMT" w:cs="TimesNewRomanPSMT"/>
                <w:highlight w:val="yellow"/>
              </w:rPr>
              <w:t>&lt;State to provide&gt;</w:t>
            </w:r>
          </w:p>
        </w:tc>
      </w:tr>
      <w:tr w:rsidR="00E71C51" w:rsidTr="004F6647">
        <w:tc>
          <w:tcPr>
            <w:tcW w:w="7258" w:type="dxa"/>
          </w:tcPr>
          <w:p w:rsidR="00E71C51" w:rsidRDefault="00E71C51" w:rsidP="00762EE6">
            <w:pPr>
              <w:autoSpaceDE w:val="0"/>
              <w:autoSpaceDN w:val="0"/>
              <w:adjustRightInd w:val="0"/>
              <w:spacing w:after="0"/>
              <w:rPr>
                <w:rFonts w:ascii="TimesNewRomanPSMT" w:hAnsi="TimesNewRomanPSMT" w:cs="TimesNewRomanPSMT"/>
              </w:rPr>
            </w:pPr>
            <w:r>
              <w:rPr>
                <w:rFonts w:ascii="TimesNewRomanPSMT" w:hAnsi="TimesNewRomanPSMT" w:cs="TimesNewRomanPSMT"/>
              </w:rPr>
              <w:t>An enhanced motor vehicle emissions inspection and maintenance (IM) program including an anti-tampering inspection for 1995 and older vehicles, and an on-board diagnostics (OBD) inspection for 1996 and newer vehicles</w:t>
            </w:r>
          </w:p>
          <w:p w:rsidR="00762EE6" w:rsidRDefault="00762EE6" w:rsidP="00E2090A">
            <w:pPr>
              <w:autoSpaceDE w:val="0"/>
              <w:autoSpaceDN w:val="0"/>
              <w:adjustRightInd w:val="0"/>
              <w:rPr>
                <w:rFonts w:ascii="TimesNewRomanPSMT" w:hAnsi="TimesNewRomanPSMT" w:cs="TimesNewRomanPSMT"/>
              </w:rPr>
            </w:pPr>
            <w:r w:rsidRPr="001C20F9">
              <w:rPr>
                <w:rFonts w:ascii="TimesNewRomanPSMT" w:hAnsi="TimesNewRomanPSMT" w:cs="TimesNewRomanPSMT"/>
                <w:highlight w:val="yellow"/>
              </w:rPr>
              <w:t>(for states where this applies)</w:t>
            </w:r>
          </w:p>
        </w:tc>
        <w:tc>
          <w:tcPr>
            <w:tcW w:w="2318" w:type="dxa"/>
          </w:tcPr>
          <w:p w:rsidR="00E71C51" w:rsidRDefault="00977145" w:rsidP="00E2090A">
            <w:pPr>
              <w:autoSpaceDE w:val="0"/>
              <w:autoSpaceDN w:val="0"/>
              <w:adjustRightInd w:val="0"/>
              <w:rPr>
                <w:rFonts w:ascii="TimesNewRomanPSMT" w:hAnsi="TimesNewRomanPSMT" w:cs="TimesNewRomanPSMT"/>
              </w:rPr>
            </w:pPr>
            <w:r w:rsidRPr="00977145">
              <w:rPr>
                <w:rFonts w:ascii="TimesNewRomanPSMT" w:hAnsi="TimesNewRomanPSMT" w:cs="TimesNewRomanPSMT"/>
                <w:highlight w:val="yellow"/>
              </w:rPr>
              <w:t>&lt;State to provide&gt;</w:t>
            </w:r>
          </w:p>
        </w:tc>
      </w:tr>
      <w:tr w:rsidR="00E71C51" w:rsidTr="004F6647">
        <w:tc>
          <w:tcPr>
            <w:tcW w:w="7258" w:type="dxa"/>
          </w:tcPr>
          <w:p w:rsidR="001F7071" w:rsidRDefault="00E71C51" w:rsidP="00784D06">
            <w:pPr>
              <w:autoSpaceDE w:val="0"/>
              <w:autoSpaceDN w:val="0"/>
              <w:adjustRightInd w:val="0"/>
              <w:spacing w:after="0"/>
              <w:rPr>
                <w:rFonts w:ascii="TimesNewRomanPSMT" w:hAnsi="TimesNewRomanPSMT" w:cs="TimesNewRomanPSMT"/>
              </w:rPr>
            </w:pPr>
            <w:r>
              <w:rPr>
                <w:rFonts w:ascii="TimesNewRomanPSMT" w:hAnsi="TimesNewRomanPSMT" w:cs="TimesNewRomanPSMT"/>
              </w:rPr>
              <w:t>Federal Heavy-Duty Diesel Engine Emission Standards for Trucks and Buses</w:t>
            </w:r>
          </w:p>
        </w:tc>
        <w:tc>
          <w:tcPr>
            <w:tcW w:w="2318" w:type="dxa"/>
          </w:tcPr>
          <w:p w:rsidR="00E71C51" w:rsidRDefault="00784D06" w:rsidP="00E2090A">
            <w:pPr>
              <w:autoSpaceDE w:val="0"/>
              <w:autoSpaceDN w:val="0"/>
              <w:adjustRightInd w:val="0"/>
              <w:rPr>
                <w:rFonts w:ascii="TimesNewRomanPSMT" w:hAnsi="TimesNewRomanPSMT" w:cs="TimesNewRomanPSMT"/>
              </w:rPr>
            </w:pPr>
            <w:r>
              <w:rPr>
                <w:rFonts w:ascii="TimesNewRomanPSMT" w:hAnsi="TimesNewRomanPSMT" w:cs="TimesNewRomanPSMT"/>
              </w:rPr>
              <w:t>See below</w:t>
            </w:r>
          </w:p>
        </w:tc>
      </w:tr>
      <w:tr w:rsidR="00E71C51" w:rsidTr="004F6647">
        <w:tc>
          <w:tcPr>
            <w:tcW w:w="7258" w:type="dxa"/>
          </w:tcPr>
          <w:p w:rsidR="00E71C51" w:rsidRDefault="00E71C51" w:rsidP="00784D06">
            <w:pPr>
              <w:autoSpaceDE w:val="0"/>
              <w:autoSpaceDN w:val="0"/>
              <w:adjustRightInd w:val="0"/>
              <w:rPr>
                <w:rFonts w:ascii="TimesNewRomanPSMT" w:hAnsi="TimesNewRomanPSMT" w:cs="TimesNewRomanPSMT"/>
              </w:rPr>
            </w:pPr>
            <w:r>
              <w:rPr>
                <w:rFonts w:ascii="TimesNewRomanPSMT" w:hAnsi="TimesNewRomanPSMT" w:cs="TimesNewRomanPSMT"/>
              </w:rPr>
              <w:t>Federal Emission Standards for Large Industrial Spark-Ignition Engines and Recreational Vehicles</w:t>
            </w:r>
            <w:r w:rsidR="00421D17">
              <w:rPr>
                <w:rFonts w:ascii="TimesNewRomanPSMT" w:hAnsi="TimesNewRomanPSMT" w:cs="TimesNewRomanPSMT"/>
              </w:rPr>
              <w:t xml:space="preserve"> </w:t>
            </w:r>
          </w:p>
        </w:tc>
        <w:tc>
          <w:tcPr>
            <w:tcW w:w="2318" w:type="dxa"/>
          </w:tcPr>
          <w:p w:rsidR="00E71C51" w:rsidRDefault="00784D06" w:rsidP="00784D06">
            <w:pPr>
              <w:autoSpaceDE w:val="0"/>
              <w:autoSpaceDN w:val="0"/>
              <w:adjustRightInd w:val="0"/>
              <w:rPr>
                <w:rFonts w:ascii="TimesNewRomanPSMT" w:hAnsi="TimesNewRomanPSMT" w:cs="TimesNewRomanPSMT"/>
              </w:rPr>
            </w:pPr>
            <w:r>
              <w:rPr>
                <w:rFonts w:ascii="TimesNewRomanPSMT" w:hAnsi="TimesNewRomanPSMT" w:cs="TimesNewRomanPSMT"/>
              </w:rPr>
              <w:t>See below</w:t>
            </w:r>
          </w:p>
        </w:tc>
      </w:tr>
    </w:tbl>
    <w:p w:rsidR="00E71C51" w:rsidRDefault="00E71C51" w:rsidP="00EA35BE">
      <w:pPr>
        <w:autoSpaceDE w:val="0"/>
        <w:autoSpaceDN w:val="0"/>
        <w:adjustRightInd w:val="0"/>
        <w:spacing w:after="0"/>
        <w:rPr>
          <w:rFonts w:ascii="TimesNewRomanPSMT" w:hAnsi="TimesNewRomanPSMT" w:cs="TimesNewRomanPSMT"/>
        </w:rPr>
      </w:pPr>
    </w:p>
    <w:p w:rsidR="00A63F97" w:rsidRPr="00BF64CA" w:rsidRDefault="00A63F97" w:rsidP="002E76E6">
      <w:r w:rsidRPr="00BF64CA">
        <w:rPr>
          <w:rFonts w:asciiTheme="minorHAnsi" w:hAnsiTheme="minorHAnsi" w:cstheme="minorHAnsi"/>
          <w:b/>
          <w:i/>
        </w:rPr>
        <w:t>Tier 2 Vehicle and Gasoline Sulfur Program</w:t>
      </w:r>
      <w:r w:rsidR="00784D06" w:rsidRPr="00BF64CA">
        <w:rPr>
          <w:rFonts w:asciiTheme="minorHAnsi" w:hAnsiTheme="minorHAnsi" w:cstheme="minorHAnsi"/>
          <w:b/>
          <w:i/>
        </w:rPr>
        <w:t>:</w:t>
      </w:r>
      <w:r w:rsidRPr="00784D06">
        <w:rPr>
          <w:rFonts w:asciiTheme="minorHAnsi" w:hAnsiTheme="minorHAnsi" w:cstheme="minorHAnsi"/>
          <w:b/>
        </w:rPr>
        <w:t xml:space="preserve"> </w:t>
      </w:r>
      <w:r w:rsidRPr="00BF64CA">
        <w:t>(40 CFR Part 80, Subpart H; 40 CFR Part 85; 40 CFR Part 86)</w:t>
      </w:r>
      <w:r w:rsidR="00784D06" w:rsidRPr="00BF64CA">
        <w:t xml:space="preserve">:  </w:t>
      </w:r>
      <w:r w:rsidRPr="00BF64CA">
        <w:t xml:space="preserve">The EPA’s Tier 2 fleet averaging program for on-road vehicles, modeled after the California LEV II standards, became effective in the 2005 model year. The Tier 2 program allows manufacturers </w:t>
      </w:r>
      <w:r w:rsidR="00F556DB">
        <w:t xml:space="preserve">the flexibility </w:t>
      </w:r>
      <w:r w:rsidRPr="00BF64CA">
        <w:t>to produce vehicles with</w:t>
      </w:r>
      <w:r w:rsidR="00F556DB">
        <w:t xml:space="preserve"> a range of</w:t>
      </w:r>
      <w:r w:rsidRPr="00BF64CA">
        <w:t xml:space="preserve"> emissions</w:t>
      </w:r>
      <w:r w:rsidR="00CA575B">
        <w:t xml:space="preserve"> levels as long as</w:t>
      </w:r>
      <w:r w:rsidRPr="00BF64CA">
        <w:t xml:space="preserve"> the mix of vehicles </w:t>
      </w:r>
      <w:r w:rsidR="00CA575B">
        <w:t xml:space="preserve">that </w:t>
      </w:r>
      <w:r w:rsidRPr="00BF64CA">
        <w:t xml:space="preserve">a manufacturer sells each year </w:t>
      </w:r>
      <w:r w:rsidR="00CA575B">
        <w:t>has</w:t>
      </w:r>
      <w:r w:rsidRPr="00BF64CA">
        <w:t xml:space="preserve"> average </w:t>
      </w:r>
      <w:r w:rsidR="007A1BD7" w:rsidRPr="00BF64CA">
        <w:t>NO</w:t>
      </w:r>
      <w:r w:rsidR="007A1BD7" w:rsidRPr="00BF64CA">
        <w:rPr>
          <w:vertAlign w:val="subscript"/>
        </w:rPr>
        <w:t>X</w:t>
      </w:r>
      <w:r w:rsidRPr="00BF64CA">
        <w:t xml:space="preserve"> emissions below a specified value. Mobile emissions continue to benefit from this program as motorists replace older, more polluting vehicles with cleaner vehicles.  Emissions reductions are reflected in on-road and non-road mobile source emission estimates provided in section 8, below.</w:t>
      </w:r>
    </w:p>
    <w:p w:rsidR="00E71C51" w:rsidRDefault="00E71C51" w:rsidP="002E76E6">
      <w:pPr>
        <w:rPr>
          <w:rFonts w:ascii="TimesNewRomanPSMT" w:hAnsi="TimesNewRomanPSMT" w:cs="TimesNewRomanPSMT"/>
        </w:rPr>
      </w:pPr>
      <w:r w:rsidRPr="004F6647">
        <w:rPr>
          <w:rFonts w:asciiTheme="minorHAnsi" w:hAnsiTheme="minorHAnsi"/>
          <w:b/>
          <w:bCs/>
          <w:i/>
          <w:iCs/>
        </w:rPr>
        <w:t>Heavy-Duty Diesel Engine Emission Standards for Trucks and Buses</w:t>
      </w:r>
      <w:r>
        <w:rPr>
          <w:rFonts w:ascii="TimesNewRomanPS-BoldMT" w:hAnsi="TimesNewRomanPS-BoldMT" w:cs="TimesNewRomanPS-BoldMT"/>
          <w:b/>
          <w:bCs/>
        </w:rPr>
        <w:t xml:space="preserve">: </w:t>
      </w:r>
      <w:r>
        <w:rPr>
          <w:rFonts w:ascii="TimesNewRomanPSMT" w:hAnsi="TimesNewRomanPSMT" w:cs="TimesNewRomanPSMT"/>
        </w:rPr>
        <w:t xml:space="preserve">EPA set a PM emissions standard of 0.01 grams per brake-horsepower-hour (g/bhp-hr) for new heavy-duty diesel engines in trucks and buses, to take full effect in the 2007 model year. This rule also includes standards for </w:t>
      </w:r>
      <w:r w:rsidR="007A1BD7" w:rsidRPr="007A1BD7">
        <w:t>NO</w:t>
      </w:r>
      <w:r w:rsidR="007A1BD7" w:rsidRPr="007A1BD7">
        <w:rPr>
          <w:vertAlign w:val="subscript"/>
        </w:rPr>
        <w:t>X</w:t>
      </w:r>
      <w:r>
        <w:rPr>
          <w:rFonts w:ascii="TimesNewRomanPSMT" w:hAnsi="TimesNewRomanPSMT" w:cs="TimesNewRomanPSMT"/>
          <w:sz w:val="16"/>
          <w:szCs w:val="16"/>
        </w:rPr>
        <w:t xml:space="preserve"> </w:t>
      </w:r>
      <w:r>
        <w:rPr>
          <w:rFonts w:ascii="TimesNewRomanPSMT" w:hAnsi="TimesNewRomanPSMT" w:cs="TimesNewRomanPSMT"/>
        </w:rPr>
        <w:t xml:space="preserve">and non-methane hydrocarbons (NMHC) of 0.20 g/bhp-hr and 0.14 g/bhp-hr, respectively. These </w:t>
      </w:r>
      <w:r w:rsidR="007A1BD7" w:rsidRPr="007A1BD7">
        <w:t>NO</w:t>
      </w:r>
      <w:r w:rsidR="007A1BD7" w:rsidRPr="007A1BD7">
        <w:rPr>
          <w:vertAlign w:val="subscript"/>
        </w:rPr>
        <w:t>X</w:t>
      </w:r>
      <w:r>
        <w:rPr>
          <w:rFonts w:ascii="TimesNewRomanPSMT" w:hAnsi="TimesNewRomanPSMT" w:cs="TimesNewRomanPSMT"/>
          <w:sz w:val="16"/>
          <w:szCs w:val="16"/>
        </w:rPr>
        <w:t xml:space="preserve"> </w:t>
      </w:r>
      <w:r>
        <w:rPr>
          <w:rFonts w:ascii="TimesNewRomanPSMT" w:hAnsi="TimesNewRomanPSMT" w:cs="TimesNewRomanPSMT"/>
        </w:rPr>
        <w:t xml:space="preserve">and NMHC standards </w:t>
      </w:r>
      <w:r w:rsidR="00784D06">
        <w:rPr>
          <w:rFonts w:ascii="TimesNewRomanPSMT" w:hAnsi="TimesNewRomanPSMT" w:cs="TimesNewRomanPSMT"/>
        </w:rPr>
        <w:t>were</w:t>
      </w:r>
      <w:r>
        <w:rPr>
          <w:rFonts w:ascii="TimesNewRomanPSMT" w:hAnsi="TimesNewRomanPSMT" w:cs="TimesNewRomanPSMT"/>
        </w:rPr>
        <w:t xml:space="preserve"> phased in together between 2007 and 2010. </w:t>
      </w:r>
      <w:r w:rsidR="00784D06">
        <w:rPr>
          <w:rFonts w:ascii="TimesNewRomanPSMT" w:hAnsi="TimesNewRomanPSMT" w:cs="TimesNewRomanPSMT"/>
        </w:rPr>
        <w:t xml:space="preserve"> Lowering s</w:t>
      </w:r>
      <w:r>
        <w:rPr>
          <w:rFonts w:ascii="TimesNewRomanPSMT" w:hAnsi="TimesNewRomanPSMT" w:cs="TimesNewRomanPSMT"/>
        </w:rPr>
        <w:t>ulfur in diesel fuel enable</w:t>
      </w:r>
      <w:r w:rsidR="00784D06">
        <w:rPr>
          <w:rFonts w:ascii="TimesNewRomanPSMT" w:hAnsi="TimesNewRomanPSMT" w:cs="TimesNewRomanPSMT"/>
        </w:rPr>
        <w:t>s</w:t>
      </w:r>
      <w:r>
        <w:rPr>
          <w:rFonts w:ascii="TimesNewRomanPSMT" w:hAnsi="TimesNewRomanPSMT" w:cs="TimesNewRomanPSMT"/>
        </w:rPr>
        <w:t xml:space="preserve"> modern pollution control technology to be effective on the trucks and buses that use this fuel. EPA require</w:t>
      </w:r>
      <w:r w:rsidR="00784D06">
        <w:rPr>
          <w:rFonts w:ascii="TimesNewRomanPSMT" w:hAnsi="TimesNewRomanPSMT" w:cs="TimesNewRomanPSMT"/>
        </w:rPr>
        <w:t>d</w:t>
      </w:r>
      <w:r>
        <w:rPr>
          <w:rFonts w:ascii="TimesNewRomanPSMT" w:hAnsi="TimesNewRomanPSMT" w:cs="TimesNewRomanPSMT"/>
        </w:rPr>
        <w:t xml:space="preserve"> a 97-percent reduction in the sulfur content of highway diesel fuel from its </w:t>
      </w:r>
      <w:r w:rsidR="00784D06">
        <w:rPr>
          <w:rFonts w:ascii="TimesNewRomanPSMT" w:hAnsi="TimesNewRomanPSMT" w:cs="TimesNewRomanPSMT"/>
        </w:rPr>
        <w:t>previous</w:t>
      </w:r>
      <w:r>
        <w:rPr>
          <w:rFonts w:ascii="TimesNewRomanPSMT" w:hAnsi="TimesNewRomanPSMT" w:cs="TimesNewRomanPSMT"/>
        </w:rPr>
        <w:t xml:space="preserve"> level of 500 parts per million (low-sulfur diesel) to 15 parts per million (ultra-low sulfur diesel).</w:t>
      </w:r>
      <w:r w:rsidR="00784D06">
        <w:rPr>
          <w:rFonts w:ascii="TimesNewRomanPSMT" w:hAnsi="TimesNewRomanPSMT" w:cs="TimesNewRomanPSMT"/>
        </w:rPr>
        <w:t xml:space="preserve">   </w:t>
      </w:r>
      <w:r w:rsidR="00784D06" w:rsidRPr="002A7870">
        <w:t xml:space="preserve">These requirements were </w:t>
      </w:r>
      <w:r w:rsidR="00784D06" w:rsidRPr="002A7870">
        <w:lastRenderedPageBreak/>
        <w:t>successfully implemented on the timeline in the regulation.</w:t>
      </w:r>
      <w:r w:rsidR="00784D06">
        <w:t xml:space="preserve">  Emissions reductions are reflected in on-road mobile source emissions estimates for 2007 and later years. (See </w:t>
      </w:r>
      <w:r w:rsidR="00784D06" w:rsidRPr="005D7E7B">
        <w:rPr>
          <w:highlight w:val="yellow"/>
        </w:rPr>
        <w:t>Section 8</w:t>
      </w:r>
      <w:r w:rsidR="005D7E7B">
        <w:t>,</w:t>
      </w:r>
      <w:r w:rsidR="00784D06">
        <w:t xml:space="preserve"> below.)</w:t>
      </w:r>
    </w:p>
    <w:p w:rsidR="00E71C51" w:rsidRPr="002E76E6" w:rsidRDefault="00E71C51" w:rsidP="002E76E6">
      <w:pPr>
        <w:rPr>
          <w:rFonts w:ascii="TimesNewRomanPSMT" w:hAnsi="TimesNewRomanPSMT" w:cs="TimesNewRomanPSMT"/>
        </w:rPr>
      </w:pPr>
      <w:r w:rsidRPr="004F6647">
        <w:rPr>
          <w:rFonts w:asciiTheme="minorHAnsi" w:hAnsiTheme="minorHAnsi"/>
          <w:b/>
          <w:bCs/>
          <w:i/>
          <w:iCs/>
        </w:rPr>
        <w:t>Emission Standards for Large Industrial Spark-Ignition Engines and Recreational</w:t>
      </w:r>
      <w:r w:rsidR="00784D06" w:rsidRPr="004F6647">
        <w:rPr>
          <w:rFonts w:asciiTheme="minorHAnsi" w:hAnsiTheme="minorHAnsi"/>
          <w:b/>
          <w:bCs/>
          <w:i/>
          <w:iCs/>
        </w:rPr>
        <w:t xml:space="preserve"> </w:t>
      </w:r>
      <w:r w:rsidRPr="004F6647">
        <w:rPr>
          <w:rFonts w:asciiTheme="minorHAnsi" w:hAnsiTheme="minorHAnsi"/>
          <w:b/>
          <w:bCs/>
          <w:i/>
          <w:iCs/>
        </w:rPr>
        <w:t>Vehicles</w:t>
      </w:r>
      <w:r>
        <w:rPr>
          <w:rFonts w:ascii="TimesNewRomanPS-BoldMT" w:hAnsi="TimesNewRomanPS-BoldMT" w:cs="TimesNewRomanPS-BoldMT"/>
          <w:b/>
          <w:bCs/>
        </w:rPr>
        <w:t xml:space="preserve">: </w:t>
      </w:r>
      <w:r>
        <w:rPr>
          <w:rFonts w:ascii="TimesNewRomanPSMT" w:hAnsi="TimesNewRomanPSMT" w:cs="TimesNewRomanPSMT"/>
        </w:rPr>
        <w:t xml:space="preserve">EPA has adopted new standards for emissions of </w:t>
      </w:r>
      <w:r w:rsidR="007A1BD7" w:rsidRPr="007A1BD7">
        <w:t>NO</w:t>
      </w:r>
      <w:r w:rsidR="007A1BD7" w:rsidRPr="007A1BD7">
        <w:rPr>
          <w:vertAlign w:val="subscript"/>
        </w:rPr>
        <w:t>X</w:t>
      </w:r>
      <w:r>
        <w:rPr>
          <w:rFonts w:ascii="TimesNewRomanPSMT" w:hAnsi="TimesNewRomanPSMT" w:cs="TimesNewRomanPSMT"/>
        </w:rPr>
        <w:t>, hydrocarbons (HC), and carbon monoxide (CO) from several groups of previously unregulated non-road engines. Included are large industrial spark-ignition engines and recreational vehicles. The affected spark-ignition engines are those powered by gasoline, liquid propane, or compressed natural gas rated over 19 kilowatts (kW) (25 horsepower). These engines are used in commercial and industrial applications, including forklifts, electric generators, airport baggage transport vehicles, and a variety of farm and construction applications. Non-road recreational vehicles include snowmobiles, off-highway motorcycles, and all-terrain vehicles. These rules were initially effective in 2004 and will be fully phased-in by 2012.</w:t>
      </w:r>
    </w:p>
    <w:p w:rsidR="00E71C51" w:rsidRPr="00230052" w:rsidRDefault="00E71C51" w:rsidP="002E76E6">
      <w:pPr>
        <w:pStyle w:val="2ndLevelHeader"/>
      </w:pPr>
      <w:bookmarkStart w:id="118" w:name="_Toc373843523"/>
      <w:r w:rsidRPr="00230052">
        <w:t>5.</w:t>
      </w:r>
      <w:r w:rsidR="00EA35BE">
        <w:t>3</w:t>
      </w:r>
      <w:r w:rsidR="004F6647">
        <w:t>.8</w:t>
      </w:r>
      <w:r w:rsidR="007A33C0" w:rsidRPr="00230052">
        <w:t>. Controls</w:t>
      </w:r>
      <w:r w:rsidRPr="00230052">
        <w:t xml:space="preserve"> on Non-Road Sources Expected by 2018</w:t>
      </w:r>
      <w:bookmarkEnd w:id="118"/>
    </w:p>
    <w:p w:rsidR="003D00D9" w:rsidRPr="0000346B" w:rsidRDefault="00E71C51" w:rsidP="0000346B">
      <w:pPr>
        <w:rPr>
          <w:rStyle w:val="Heading9Char"/>
          <w:rFonts w:ascii="Times New Roman" w:hAnsi="Times New Roman"/>
          <w:i w:val="0"/>
          <w:iCs w:val="0"/>
          <w:color w:val="auto"/>
          <w:sz w:val="22"/>
          <w:szCs w:val="22"/>
        </w:rPr>
      </w:pPr>
      <w:r>
        <w:t>Version 3.0 of the MANE-VU 2002 Emissions Inventory was used to model the impacts of pr</w:t>
      </w:r>
      <w:r w:rsidR="004C75E9">
        <w:t>ojected 2018 emissions from non</w:t>
      </w:r>
      <w:r>
        <w:t xml:space="preserve">road sources.  </w:t>
      </w:r>
      <w:r w:rsidR="004C75E9">
        <w:t>Non</w:t>
      </w:r>
      <w:r>
        <w:t>road mobile source emissions for the 2018 emission inventory were calculated with EPA’s NONROAD2005 emissions model as incorporated into the NMIM2005 (National Mobile Inventory Model) database. The NONROAD model accounts for emissions benef</w:t>
      </w:r>
      <w:r w:rsidR="004C75E9">
        <w:t>its associated with federal non</w:t>
      </w:r>
      <w:r>
        <w:t>road emission control requ</w:t>
      </w:r>
      <w:r w:rsidR="0000346B">
        <w:t>irements such as the following:</w:t>
      </w:r>
    </w:p>
    <w:p w:rsidR="00705984" w:rsidRPr="007D1888" w:rsidRDefault="00705984" w:rsidP="00F60FE6">
      <w:pPr>
        <w:pStyle w:val="Caption"/>
        <w:rPr>
          <w:rStyle w:val="Heading8Char"/>
          <w:rFonts w:ascii="Arial" w:hAnsi="Arial" w:cs="Arial"/>
          <w:color w:val="auto"/>
        </w:rPr>
      </w:pPr>
      <w:bookmarkStart w:id="119" w:name="_Toc373842786"/>
      <w:bookmarkStart w:id="120" w:name="_Toc373843572"/>
      <w:bookmarkStart w:id="121" w:name="_Toc373844560"/>
      <w:r w:rsidRPr="007D1888">
        <w:rPr>
          <w:rStyle w:val="Heading8Char"/>
          <w:rFonts w:ascii="Arial" w:hAnsi="Arial" w:cs="Arial"/>
          <w:color w:val="auto"/>
        </w:rPr>
        <w:t>Table 5.6. Status of Control Measures – Nonroad Sources</w:t>
      </w:r>
      <w:bookmarkEnd w:id="119"/>
      <w:bookmarkEnd w:id="120"/>
      <w:bookmarkEnd w:id="1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78"/>
        <w:gridCol w:w="2098"/>
      </w:tblGrid>
      <w:tr w:rsidR="00E71C51" w:rsidRPr="00254E53" w:rsidTr="004F6647">
        <w:tc>
          <w:tcPr>
            <w:tcW w:w="7478" w:type="dxa"/>
          </w:tcPr>
          <w:p w:rsidR="00E71C51" w:rsidRPr="00254E53" w:rsidRDefault="00E71C51" w:rsidP="00E2090A">
            <w:pPr>
              <w:autoSpaceDE w:val="0"/>
              <w:autoSpaceDN w:val="0"/>
              <w:adjustRightInd w:val="0"/>
              <w:rPr>
                <w:rFonts w:ascii="TimesNewRomanPSMT" w:hAnsi="TimesNewRomanPSMT" w:cs="TimesNewRomanPSMT"/>
                <w:b/>
              </w:rPr>
            </w:pPr>
            <w:r w:rsidRPr="00254E53">
              <w:rPr>
                <w:rFonts w:ascii="TimesNewRomanPSMT" w:hAnsi="TimesNewRomanPSMT" w:cs="TimesNewRomanPSMT"/>
                <w:b/>
              </w:rPr>
              <w:t>Measure</w:t>
            </w:r>
          </w:p>
        </w:tc>
        <w:tc>
          <w:tcPr>
            <w:tcW w:w="2098" w:type="dxa"/>
          </w:tcPr>
          <w:p w:rsidR="00E71C51" w:rsidRPr="00254E53" w:rsidRDefault="00E71C51" w:rsidP="00E2090A">
            <w:pPr>
              <w:autoSpaceDE w:val="0"/>
              <w:autoSpaceDN w:val="0"/>
              <w:adjustRightInd w:val="0"/>
              <w:rPr>
                <w:rFonts w:ascii="TimesNewRomanPSMT" w:hAnsi="TimesNewRomanPSMT" w:cs="TimesNewRomanPSMT"/>
                <w:b/>
              </w:rPr>
            </w:pPr>
            <w:r w:rsidRPr="00254E53">
              <w:rPr>
                <w:rFonts w:ascii="TimesNewRomanPSMT" w:hAnsi="TimesNewRomanPSMT" w:cs="TimesNewRomanPSMT"/>
                <w:b/>
              </w:rPr>
              <w:t>Status</w:t>
            </w:r>
          </w:p>
        </w:tc>
      </w:tr>
      <w:tr w:rsidR="00E71C51" w:rsidTr="004F6647">
        <w:tc>
          <w:tcPr>
            <w:tcW w:w="7478" w:type="dxa"/>
          </w:tcPr>
          <w:p w:rsidR="00E71C51" w:rsidRDefault="00E71C51" w:rsidP="00E2090A">
            <w:pPr>
              <w:autoSpaceDE w:val="0"/>
              <w:autoSpaceDN w:val="0"/>
              <w:adjustRightInd w:val="0"/>
              <w:rPr>
                <w:rFonts w:ascii="TimesNewRomanPSMT" w:hAnsi="TimesNewRomanPSMT" w:cs="TimesNewRomanPSMT"/>
              </w:rPr>
            </w:pPr>
            <w:r>
              <w:rPr>
                <w:rFonts w:ascii="TimesNewRomanPSMT" w:hAnsi="TimesNewRomanPSMT" w:cs="TimesNewRomanPSMT"/>
              </w:rPr>
              <w:t>“Control of Air Pollution: Determination of Significance for Nonroad Sources and Emissions Standards for New Nonroad Compression Ignition Engines at or above 37 Kilowatts,” 59 FR 31306, June 17, 1994</w:t>
            </w:r>
          </w:p>
        </w:tc>
        <w:tc>
          <w:tcPr>
            <w:tcW w:w="2098" w:type="dxa"/>
          </w:tcPr>
          <w:p w:rsidR="0050308C" w:rsidRDefault="0050308C" w:rsidP="0050308C">
            <w:pPr>
              <w:autoSpaceDE w:val="0"/>
              <w:autoSpaceDN w:val="0"/>
              <w:adjustRightInd w:val="0"/>
              <w:spacing w:after="0"/>
              <w:rPr>
                <w:rFonts w:ascii="TimesNewRomanPSMT" w:hAnsi="TimesNewRomanPSMT" w:cs="TimesNewRomanPSMT"/>
              </w:rPr>
            </w:pPr>
            <w:r>
              <w:rPr>
                <w:rFonts w:ascii="TimesNewRomanPSMT" w:hAnsi="TimesNewRomanPSMT" w:cs="TimesNewRomanPSMT"/>
              </w:rPr>
              <w:t xml:space="preserve">Effective </w:t>
            </w:r>
          </w:p>
          <w:p w:rsidR="00E71C51" w:rsidRDefault="0050308C" w:rsidP="0050308C">
            <w:pPr>
              <w:autoSpaceDE w:val="0"/>
              <w:autoSpaceDN w:val="0"/>
              <w:adjustRightInd w:val="0"/>
              <w:spacing w:after="0"/>
              <w:rPr>
                <w:rFonts w:ascii="TimesNewRomanPSMT" w:hAnsi="TimesNewRomanPSMT" w:cs="TimesNewRomanPSMT"/>
              </w:rPr>
            </w:pPr>
            <w:r>
              <w:rPr>
                <w:rFonts w:ascii="TimesNewRomanPSMT" w:hAnsi="TimesNewRomanPSMT" w:cs="TimesNewRomanPSMT"/>
              </w:rPr>
              <w:t>July 18, 1994</w:t>
            </w:r>
          </w:p>
        </w:tc>
      </w:tr>
      <w:tr w:rsidR="00E71C51" w:rsidTr="004F6647">
        <w:tc>
          <w:tcPr>
            <w:tcW w:w="7478" w:type="dxa"/>
          </w:tcPr>
          <w:p w:rsidR="00E71C51" w:rsidRDefault="00E71C51" w:rsidP="00E2090A">
            <w:pPr>
              <w:autoSpaceDE w:val="0"/>
              <w:autoSpaceDN w:val="0"/>
              <w:adjustRightInd w:val="0"/>
              <w:rPr>
                <w:rFonts w:ascii="TimesNewRomanPSMT" w:hAnsi="TimesNewRomanPSMT" w:cs="TimesNewRomanPSMT"/>
              </w:rPr>
            </w:pPr>
            <w:r>
              <w:rPr>
                <w:rFonts w:ascii="TimesNewRomanPSMT" w:hAnsi="TimesNewRomanPSMT" w:cs="TimesNewRomanPSMT"/>
              </w:rPr>
              <w:t>“Control of Emissions of Air Pollution from Nonroad Diesel Engines,” 63 FR 56967, October 23, 1998</w:t>
            </w:r>
          </w:p>
        </w:tc>
        <w:tc>
          <w:tcPr>
            <w:tcW w:w="2098" w:type="dxa"/>
          </w:tcPr>
          <w:p w:rsidR="00E71C51" w:rsidRDefault="0050308C" w:rsidP="00E2090A">
            <w:pPr>
              <w:autoSpaceDE w:val="0"/>
              <w:autoSpaceDN w:val="0"/>
              <w:adjustRightInd w:val="0"/>
              <w:rPr>
                <w:rFonts w:ascii="TimesNewRomanPSMT" w:hAnsi="TimesNewRomanPSMT" w:cs="TimesNewRomanPSMT"/>
              </w:rPr>
            </w:pPr>
            <w:r>
              <w:rPr>
                <w:rFonts w:ascii="TimesNewRomanPSMT" w:hAnsi="TimesNewRomanPSMT" w:cs="TimesNewRomanPSMT"/>
              </w:rPr>
              <w:t>Phased in from 1999 to 2000, 2001-2006, and 2006-2008</w:t>
            </w:r>
          </w:p>
        </w:tc>
      </w:tr>
      <w:tr w:rsidR="00E71C51" w:rsidTr="004F6647">
        <w:tc>
          <w:tcPr>
            <w:tcW w:w="7478" w:type="dxa"/>
          </w:tcPr>
          <w:p w:rsidR="00E71C51" w:rsidRDefault="00E71C51" w:rsidP="00E2090A">
            <w:pPr>
              <w:autoSpaceDE w:val="0"/>
              <w:autoSpaceDN w:val="0"/>
              <w:adjustRightInd w:val="0"/>
              <w:rPr>
                <w:rFonts w:ascii="TimesNewRomanPSMT" w:hAnsi="TimesNewRomanPSMT" w:cs="TimesNewRomanPSMT"/>
              </w:rPr>
            </w:pPr>
            <w:r>
              <w:rPr>
                <w:rFonts w:ascii="TimesNewRomanPSMT" w:hAnsi="TimesNewRomanPSMT" w:cs="TimesNewRomanPSMT"/>
              </w:rPr>
              <w:t>“Control of Emissions from Nonroad Large Spark-Ignition Engines and Recreational Engines (Marine and Land-Based),” Final Rule, 67 FR 68241, November 8, 2002</w:t>
            </w:r>
          </w:p>
        </w:tc>
        <w:tc>
          <w:tcPr>
            <w:tcW w:w="2098" w:type="dxa"/>
          </w:tcPr>
          <w:p w:rsidR="00E71C51" w:rsidRDefault="0050308C" w:rsidP="00E2090A">
            <w:pPr>
              <w:autoSpaceDE w:val="0"/>
              <w:autoSpaceDN w:val="0"/>
              <w:adjustRightInd w:val="0"/>
              <w:rPr>
                <w:rFonts w:ascii="TimesNewRomanPSMT" w:hAnsi="TimesNewRomanPSMT" w:cs="TimesNewRomanPSMT"/>
              </w:rPr>
            </w:pPr>
            <w:r>
              <w:rPr>
                <w:rFonts w:ascii="TimesNewRomanPSMT" w:hAnsi="TimesNewRomanPSMT" w:cs="TimesNewRomanPSMT"/>
              </w:rPr>
              <w:t>Final Rule November 8, 2002</w:t>
            </w:r>
          </w:p>
        </w:tc>
      </w:tr>
      <w:tr w:rsidR="00E71C51" w:rsidTr="004F6647">
        <w:tc>
          <w:tcPr>
            <w:tcW w:w="7478" w:type="dxa"/>
          </w:tcPr>
          <w:p w:rsidR="00E71C51" w:rsidRDefault="00E71C51" w:rsidP="00E2090A">
            <w:pPr>
              <w:autoSpaceDE w:val="0"/>
              <w:autoSpaceDN w:val="0"/>
              <w:adjustRightInd w:val="0"/>
              <w:rPr>
                <w:rFonts w:ascii="TimesNewRomanPSMT" w:hAnsi="TimesNewRomanPSMT" w:cs="TimesNewRomanPSMT"/>
              </w:rPr>
            </w:pPr>
            <w:r>
              <w:rPr>
                <w:rFonts w:ascii="TimesNewRomanPSMT" w:hAnsi="TimesNewRomanPSMT" w:cs="TimesNewRomanPSMT"/>
              </w:rPr>
              <w:t>“Control of Emissions of Air Pollution from Nonroad Diesel Engines and Fuel,” Final Rule, April</w:t>
            </w:r>
            <w:r w:rsidR="0050308C">
              <w:rPr>
                <w:rFonts w:ascii="TimesNewRomanPSMT" w:hAnsi="TimesNewRomanPSMT" w:cs="TimesNewRomanPSMT"/>
              </w:rPr>
              <w:t xml:space="preserve"> 29</w:t>
            </w:r>
            <w:r>
              <w:rPr>
                <w:rFonts w:ascii="TimesNewRomanPSMT" w:hAnsi="TimesNewRomanPSMT" w:cs="TimesNewRomanPSMT"/>
              </w:rPr>
              <w:t>, 2004</w:t>
            </w:r>
          </w:p>
        </w:tc>
        <w:tc>
          <w:tcPr>
            <w:tcW w:w="2098" w:type="dxa"/>
          </w:tcPr>
          <w:p w:rsidR="00E71C51" w:rsidRDefault="0050308C" w:rsidP="00E2090A">
            <w:pPr>
              <w:autoSpaceDE w:val="0"/>
              <w:autoSpaceDN w:val="0"/>
              <w:adjustRightInd w:val="0"/>
              <w:rPr>
                <w:rFonts w:ascii="TimesNewRomanPSMT" w:hAnsi="TimesNewRomanPSMT" w:cs="TimesNewRomanPSMT"/>
              </w:rPr>
            </w:pPr>
            <w:r>
              <w:rPr>
                <w:rFonts w:ascii="TimesNewRomanPSMT" w:hAnsi="TimesNewRomanPSMT" w:cs="TimesNewRomanPSMT"/>
              </w:rPr>
              <w:t>Phased in starting in mid-2007</w:t>
            </w:r>
          </w:p>
        </w:tc>
      </w:tr>
    </w:tbl>
    <w:p w:rsidR="003A4406" w:rsidRDefault="003A4406" w:rsidP="005D405E">
      <w:pPr>
        <w:rPr>
          <w:rFonts w:asciiTheme="minorHAnsi" w:hAnsiTheme="minorHAnsi" w:cstheme="minorHAnsi"/>
          <w:b/>
          <w:i/>
        </w:rPr>
      </w:pPr>
    </w:p>
    <w:p w:rsidR="00784D06" w:rsidRPr="002A7870" w:rsidRDefault="00784D06" w:rsidP="005D405E">
      <w:r w:rsidRPr="00BF64CA">
        <w:rPr>
          <w:rFonts w:asciiTheme="minorHAnsi" w:hAnsiTheme="minorHAnsi" w:cstheme="minorHAnsi"/>
          <w:b/>
          <w:i/>
        </w:rPr>
        <w:t>Nonroad Diesel Emissions Program</w:t>
      </w:r>
      <w:r w:rsidRPr="00BF64CA">
        <w:rPr>
          <w:i/>
        </w:rPr>
        <w:t>:</w:t>
      </w:r>
      <w:r>
        <w:t xml:space="preserve">  </w:t>
      </w:r>
      <w:r w:rsidRPr="00BF64CA">
        <w:t xml:space="preserve">The EPA adopted standards for emissions of </w:t>
      </w:r>
      <w:r w:rsidR="007A1BD7" w:rsidRPr="00BF64CA">
        <w:t>NO</w:t>
      </w:r>
      <w:r w:rsidR="007A1BD7" w:rsidRPr="00BF64CA">
        <w:rPr>
          <w:vertAlign w:val="subscript"/>
        </w:rPr>
        <w:t>X</w:t>
      </w:r>
      <w:r w:rsidRPr="00BF64CA">
        <w:t>, hydrocarbons, and carbon monoxide (CO) from several groups of nonroad engines, including industrial spark-ignition engines and recreational nonroad vehicles. Industrial spark-ignition engines power commercial and industrial applications and include forklifts, electric generators, airport baggage transport vehicles, and a variety of farm and construction applications. Nonroad recreational vehicles include snowmobiles, off-highway motorcycles, and all-terrain vehicles. These rules were initially effective in 2004 and were fully phased in by 2012.</w:t>
      </w:r>
    </w:p>
    <w:p w:rsidR="00977145" w:rsidRDefault="00E87275" w:rsidP="00206FF5">
      <w:r w:rsidRPr="002A7870">
        <w:lastRenderedPageBreak/>
        <w:t xml:space="preserve">The nonroad diesel rule set standards that reduced emissions by more than 90 percent from nonroad diesel equipment and, beginning in 2007, the rule reduced fuel sulfur levels by 99 percent from previous levels. </w:t>
      </w:r>
      <w:r w:rsidR="004C75E9" w:rsidRPr="002A7870">
        <w:t>The reduction in fuel sulfur levels applied to most nonroad diesel fuel in 2010 and applied to fuel used in locomotives and marine vessels in 2012.</w:t>
      </w:r>
      <w:r w:rsidR="004C75E9">
        <w:t xml:space="preserve">  The effects of these rules are reflected in emissions estimates provided in </w:t>
      </w:r>
      <w:r w:rsidR="004C75E9" w:rsidRPr="00230052">
        <w:rPr>
          <w:highlight w:val="yellow"/>
        </w:rPr>
        <w:t>Section xxx</w:t>
      </w:r>
      <w:r w:rsidR="004C75E9">
        <w:t>, below.</w:t>
      </w:r>
    </w:p>
    <w:p w:rsidR="003A4406" w:rsidRPr="003A4406" w:rsidRDefault="00977145" w:rsidP="00206FF5">
      <w:r>
        <w:rPr>
          <w:rFonts w:asciiTheme="minorHAnsi" w:hAnsiTheme="minorHAnsi" w:cstheme="minorHAnsi"/>
          <w:b/>
          <w:i/>
        </w:rPr>
        <w:t>Aircraft, Commercial Marine</w:t>
      </w:r>
      <w:r w:rsidR="00B30AE1">
        <w:rPr>
          <w:rFonts w:asciiTheme="minorHAnsi" w:hAnsiTheme="minorHAnsi" w:cstheme="minorHAnsi"/>
          <w:b/>
          <w:i/>
        </w:rPr>
        <w:t xml:space="preserve"> Vessels</w:t>
      </w:r>
      <w:r>
        <w:rPr>
          <w:rFonts w:asciiTheme="minorHAnsi" w:hAnsiTheme="minorHAnsi" w:cstheme="minorHAnsi"/>
          <w:b/>
          <w:i/>
        </w:rPr>
        <w:t xml:space="preserve">, and Locomotives:  </w:t>
      </w:r>
      <w:r>
        <w:t>Because the NONROAD Model used to develop the nonroad source emissions did not include aircraft, commercial marine vessels, and locomotives, MANE-VU’s contractor, MACTEC, developed the inventory for these sources.  MACTEC used emissions projections developed by EPA for the Clean Air Interstate Rule (CAIR) and a linear interpolation methodology described in the February 2007 report</w:t>
      </w:r>
      <w:r w:rsidR="003A4406">
        <w:t xml:space="preserve">: </w:t>
      </w:r>
      <w:r>
        <w:t xml:space="preserve"> </w:t>
      </w:r>
      <w:r w:rsidRPr="00977145">
        <w:rPr>
          <w:i/>
        </w:rPr>
        <w:t>Development of Emissions Projections for 2009, 2012, and 2018 for Non-EGU Point, Area, and Nonroad Sources in the MANE-VU Region</w:t>
      </w:r>
      <w:r w:rsidRPr="003A4406">
        <w:rPr>
          <w:i/>
        </w:rPr>
        <w:t>.</w:t>
      </w:r>
      <w:r w:rsidR="003A4406" w:rsidRPr="003A4406">
        <w:t xml:space="preserve"> (</w:t>
      </w:r>
      <w:r w:rsidR="003A4406">
        <w:t>p</w:t>
      </w:r>
      <w:r w:rsidR="003A4406" w:rsidRPr="003A4406">
        <w:t>osted</w:t>
      </w:r>
      <w:r w:rsidR="003A4406">
        <w:t xml:space="preserve"> on the MARAMA website)</w:t>
      </w:r>
      <w:r w:rsidRPr="003A4406">
        <w:t xml:space="preserve">  Regulations applicable to marine and locomotive engines include:</w:t>
      </w:r>
    </w:p>
    <w:p w:rsidR="003A4406" w:rsidRPr="00B30AE1" w:rsidRDefault="003A4406" w:rsidP="003A4406">
      <w:pPr>
        <w:pStyle w:val="Bullets"/>
      </w:pPr>
      <w:r w:rsidRPr="00B30AE1">
        <w:t>Control of Emissions of Air Pollution from Locomotive Engines and Marine Compression-Ignition Engines less than 30 Liters per Cylinder.  Republication.  Final Rule 73 FR 37096.</w:t>
      </w:r>
    </w:p>
    <w:p w:rsidR="003A4406" w:rsidRPr="00B30AE1" w:rsidRDefault="003A4406" w:rsidP="003A4406">
      <w:pPr>
        <w:pStyle w:val="Bullets"/>
      </w:pPr>
      <w:r w:rsidRPr="00B30AE1">
        <w:t>Control of Emissions from New Marine Compression-Ignition Engines at or above 30 Liters per Cylinder (75 FR 22895).&gt;</w:t>
      </w:r>
    </w:p>
    <w:p w:rsidR="002915F4" w:rsidRDefault="00B30AE1" w:rsidP="003A4406">
      <w:pPr>
        <w:pStyle w:val="Bullets"/>
        <w:numPr>
          <w:ilvl w:val="0"/>
          <w:numId w:val="0"/>
        </w:numPr>
      </w:pPr>
      <w:r>
        <w:t>These controls we</w:t>
      </w:r>
      <w:r w:rsidR="003A4406">
        <w:t>re phased in beginning in 2009 and affect new and remanufactured engines.</w:t>
      </w:r>
    </w:p>
    <w:p w:rsidR="002915F4" w:rsidRDefault="002915F4">
      <w:pPr>
        <w:spacing w:after="0" w:line="240" w:lineRule="auto"/>
      </w:pPr>
      <w:r>
        <w:br w:type="page"/>
      </w:r>
    </w:p>
    <w:p w:rsidR="003A4406" w:rsidRDefault="003A4406" w:rsidP="003A4406">
      <w:pPr>
        <w:pStyle w:val="Bullets"/>
        <w:numPr>
          <w:ilvl w:val="0"/>
          <w:numId w:val="0"/>
        </w:numPr>
      </w:pPr>
    </w:p>
    <w:p w:rsidR="00E71C51" w:rsidRDefault="00E71C51" w:rsidP="00206FF5">
      <w:r>
        <w:rPr>
          <w:u w:val="single"/>
        </w:rPr>
        <w:br w:type="page"/>
      </w:r>
    </w:p>
    <w:p w:rsidR="0000346B" w:rsidRDefault="0000346B" w:rsidP="003A4406">
      <w:pPr>
        <w:spacing w:after="0" w:line="240" w:lineRule="auto"/>
        <w:jc w:val="center"/>
        <w:rPr>
          <w:rFonts w:ascii="Arial" w:eastAsia="Times New Roman" w:hAnsi="Arial"/>
          <w:b/>
          <w:bCs/>
          <w:color w:val="000000" w:themeColor="text1"/>
          <w:szCs w:val="26"/>
          <w:u w:val="single"/>
        </w:rPr>
      </w:pPr>
    </w:p>
    <w:p w:rsidR="00E71C51" w:rsidRDefault="00E71C51" w:rsidP="001005F7">
      <w:pPr>
        <w:pStyle w:val="Heading2"/>
        <w:spacing w:after="0"/>
      </w:pPr>
      <w:bookmarkStart w:id="122" w:name="_Toc373843524"/>
      <w:r w:rsidRPr="005D405E">
        <w:t xml:space="preserve">Section </w:t>
      </w:r>
      <w:r w:rsidR="00B06D45" w:rsidRPr="005D405E">
        <w:t>6</w:t>
      </w:r>
      <w:r w:rsidRPr="005D405E">
        <w:t xml:space="preserve">:  </w:t>
      </w:r>
      <w:r w:rsidR="004F6647">
        <w:t xml:space="preserve">State </w:t>
      </w:r>
      <w:r w:rsidRPr="005D405E">
        <w:t>Summary of Emission Reductions Resulting from</w:t>
      </w:r>
      <w:bookmarkStart w:id="123" w:name="_Toc373843525"/>
      <w:bookmarkEnd w:id="122"/>
      <w:r w:rsidR="001005F7">
        <w:br/>
      </w:r>
      <w:r w:rsidRPr="005D405E">
        <w:t>Implementation of Control Measures</w:t>
      </w:r>
      <w:bookmarkEnd w:id="123"/>
    </w:p>
    <w:p w:rsidR="003A4406" w:rsidRPr="003A4406" w:rsidRDefault="003A4406" w:rsidP="003A4406"/>
    <w:p w:rsidR="00E71C51" w:rsidRPr="00BF64CA" w:rsidRDefault="00E71C51">
      <w:pPr>
        <w:rPr>
          <w:i/>
        </w:rPr>
      </w:pPr>
      <w:r w:rsidRPr="00BF64CA">
        <w:rPr>
          <w:i/>
          <w:highlight w:val="yellow"/>
        </w:rPr>
        <w:t>&lt;</w:t>
      </w:r>
      <w:r w:rsidR="003E3A14">
        <w:rPr>
          <w:i/>
          <w:highlight w:val="yellow"/>
        </w:rPr>
        <w:t>States may wish</w:t>
      </w:r>
      <w:r w:rsidRPr="00BF64CA">
        <w:rPr>
          <w:i/>
          <w:highlight w:val="yellow"/>
        </w:rPr>
        <w:t xml:space="preserve"> to combine this with the previous sections describing the control measures</w:t>
      </w:r>
      <w:r w:rsidR="00860FA5" w:rsidRPr="00BF64CA">
        <w:rPr>
          <w:i/>
          <w:highlight w:val="yellow"/>
        </w:rPr>
        <w:t xml:space="preserve"> or with the next section on emissions changes</w:t>
      </w:r>
      <w:r w:rsidRPr="00BF64CA">
        <w:rPr>
          <w:i/>
          <w:highlight w:val="yellow"/>
        </w:rPr>
        <w:t>.  It does not appear to be feasible to develop emissions reduction estimates for every control measure from 2002 to some current year.  The following text is a placeholder.&gt;</w:t>
      </w:r>
    </w:p>
    <w:p w:rsidR="00E71C51" w:rsidRPr="005D405E" w:rsidRDefault="00B06D45" w:rsidP="005D405E">
      <w:pPr>
        <w:pStyle w:val="Heading3"/>
      </w:pPr>
      <w:bookmarkStart w:id="124" w:name="_Toc373843526"/>
      <w:r w:rsidRPr="005D405E">
        <w:t>6</w:t>
      </w:r>
      <w:r w:rsidR="00E71C51" w:rsidRPr="005D405E">
        <w:t xml:space="preserve">.1. Requirement </w:t>
      </w:r>
      <w:r w:rsidR="00891EA3" w:rsidRPr="005D405E">
        <w:t>to Summarize Emissions Reductions</w:t>
      </w:r>
      <w:bookmarkEnd w:id="124"/>
    </w:p>
    <w:p w:rsidR="00E71C51" w:rsidRPr="002A7870" w:rsidRDefault="00E71C51" w:rsidP="005D405E">
      <w:r w:rsidRPr="002A7870">
        <w:t>40 CFR 51.308(g)(2) requires that the progress report summarize the emissions reductions achieved throughout the State through implementation of the measures included in the State’s SIP for achieving reasonable progress at Class I areas (as described in the previous sections).</w:t>
      </w:r>
    </w:p>
    <w:p w:rsidR="00E71C51" w:rsidRPr="005D405E" w:rsidRDefault="00B06D45" w:rsidP="005D405E">
      <w:pPr>
        <w:pStyle w:val="Heading3"/>
      </w:pPr>
      <w:bookmarkStart w:id="125" w:name="_Toc373843527"/>
      <w:r w:rsidRPr="00230052">
        <w:t>6</w:t>
      </w:r>
      <w:r w:rsidR="00891EA3" w:rsidRPr="00230052">
        <w:t>.2</w:t>
      </w:r>
      <w:r w:rsidR="00E71C51" w:rsidRPr="00230052">
        <w:t xml:space="preserve">. </w:t>
      </w:r>
      <w:r w:rsidR="00891EA3" w:rsidRPr="00230052">
        <w:t>Summary of Key Emissions Changes in Last 5 Years</w:t>
      </w:r>
      <w:bookmarkEnd w:id="125"/>
    </w:p>
    <w:p w:rsidR="00E71C51" w:rsidRPr="002057DB" w:rsidRDefault="00E71C51" w:rsidP="005D405E">
      <w:r w:rsidRPr="002057DB">
        <w:rPr>
          <w:highlight w:val="yellow"/>
        </w:rPr>
        <w:t>&lt;Each state will summarize</w:t>
      </w:r>
      <w:r w:rsidR="00891EA3" w:rsidRPr="002057DB">
        <w:rPr>
          <w:highlight w:val="yellow"/>
        </w:rPr>
        <w:t xml:space="preserve"> key</w:t>
      </w:r>
      <w:r w:rsidRPr="002057DB">
        <w:rPr>
          <w:highlight w:val="yellow"/>
        </w:rPr>
        <w:t xml:space="preserve"> emission reductions achieved</w:t>
      </w:r>
      <w:r w:rsidR="00891EA3" w:rsidRPr="002057DB">
        <w:rPr>
          <w:highlight w:val="yellow"/>
        </w:rPr>
        <w:t xml:space="preserve"> or increases occurring</w:t>
      </w:r>
      <w:r w:rsidRPr="002057DB">
        <w:rPr>
          <w:highlight w:val="yellow"/>
        </w:rPr>
        <w:t xml:space="preserve"> in the state in the first reporting period due to measures included in its SIP.</w:t>
      </w:r>
      <w:r w:rsidR="002057DB" w:rsidRPr="002057DB">
        <w:rPr>
          <w:highlight w:val="yellow"/>
        </w:rPr>
        <w:t>&gt;</w:t>
      </w:r>
    </w:p>
    <w:p w:rsidR="00DD1D3F" w:rsidRDefault="003A4406" w:rsidP="005D405E">
      <w:r w:rsidRPr="003A4406">
        <w:rPr>
          <w:highlight w:val="yellow"/>
        </w:rPr>
        <w:t>Section 7</w:t>
      </w:r>
      <w:r w:rsidR="00DD1D3F">
        <w:t xml:space="preserve"> of this report lists emissions estimated by MANE-VU for 2002 and 2018 and compares those estimates to the most recent information available for the major categories of emissions sources.</w:t>
      </w:r>
    </w:p>
    <w:p w:rsidR="00DD1D3F" w:rsidRDefault="00DD1D3F" w:rsidP="005D405E">
      <w:r>
        <w:t xml:space="preserve">Changes in emissions from key EGUs located in </w:t>
      </w:r>
      <w:r w:rsidRPr="004F6647">
        <w:rPr>
          <w:highlight w:val="yellow"/>
        </w:rPr>
        <w:t>&lt;the State&gt;</w:t>
      </w:r>
      <w:r>
        <w:t xml:space="preserve"> are shown in </w:t>
      </w:r>
      <w:r w:rsidRPr="004F6647">
        <w:rPr>
          <w:highlight w:val="yellow"/>
        </w:rPr>
        <w:t>Appendix XXX</w:t>
      </w:r>
      <w:r>
        <w:t xml:space="preserve"> and discussed in </w:t>
      </w:r>
      <w:r w:rsidRPr="003A4406">
        <w:rPr>
          <w:highlight w:val="yellow"/>
        </w:rPr>
        <w:t>Section 4</w:t>
      </w:r>
      <w:r>
        <w:t xml:space="preserve"> above.  </w:t>
      </w:r>
    </w:p>
    <w:p w:rsidR="00DD1D3F" w:rsidRDefault="00DD1D3F" w:rsidP="005D405E">
      <w:r>
        <w:t xml:space="preserve">Reductions from key non-EGU point sources in </w:t>
      </w:r>
      <w:r w:rsidRPr="004F6647">
        <w:rPr>
          <w:highlight w:val="yellow"/>
        </w:rPr>
        <w:t xml:space="preserve">&lt;the </w:t>
      </w:r>
      <w:r w:rsidR="007A33C0" w:rsidRPr="004F6647">
        <w:rPr>
          <w:highlight w:val="yellow"/>
        </w:rPr>
        <w:t>State</w:t>
      </w:r>
      <w:r w:rsidRPr="004F6647">
        <w:rPr>
          <w:highlight w:val="yellow"/>
        </w:rPr>
        <w:t>&gt;</w:t>
      </w:r>
      <w:r>
        <w:t xml:space="preserve"> are </w:t>
      </w:r>
      <w:r w:rsidR="007A33C0">
        <w:t>listed</w:t>
      </w:r>
      <w:r>
        <w:t xml:space="preserve"> below </w:t>
      </w:r>
      <w:r w:rsidRPr="004F6647">
        <w:rPr>
          <w:highlight w:val="yellow"/>
        </w:rPr>
        <w:t>(or in Section 6, above).</w:t>
      </w:r>
      <w:r>
        <w:t xml:space="preserve">  Reductions from area and mobile source categories are documented to </w:t>
      </w:r>
      <w:r w:rsidR="003A4406">
        <w:t xml:space="preserve">the extent feasible in </w:t>
      </w:r>
      <w:r w:rsidR="003A4406" w:rsidRPr="003A4406">
        <w:rPr>
          <w:highlight w:val="yellow"/>
        </w:rPr>
        <w:t>Section 7</w:t>
      </w:r>
      <w:r>
        <w:t>, below.</w:t>
      </w:r>
    </w:p>
    <w:p w:rsidR="00705984" w:rsidRPr="007D1888" w:rsidRDefault="00705984" w:rsidP="00F60FE6">
      <w:pPr>
        <w:pStyle w:val="Caption"/>
      </w:pPr>
      <w:bookmarkStart w:id="126" w:name="_Toc373842787"/>
      <w:bookmarkStart w:id="127" w:name="_Toc373843573"/>
      <w:bookmarkStart w:id="128" w:name="_Toc373844561"/>
      <w:r w:rsidRPr="007D1888">
        <w:rPr>
          <w:rStyle w:val="Heading8Char"/>
          <w:rFonts w:ascii="Arial" w:hAnsi="Arial" w:cs="Arial"/>
          <w:color w:val="auto"/>
        </w:rPr>
        <w:t xml:space="preserve">Table 6.1. Source-Specific Emissions and Reductions in </w:t>
      </w:r>
      <w:r w:rsidRPr="007D1888">
        <w:rPr>
          <w:rStyle w:val="Heading8Char"/>
          <w:rFonts w:ascii="Arial" w:hAnsi="Arial" w:cs="Arial"/>
          <w:color w:val="auto"/>
          <w:highlight w:val="yellow"/>
        </w:rPr>
        <w:t>&lt;State&gt;</w:t>
      </w:r>
      <w:bookmarkEnd w:id="126"/>
      <w:bookmarkEnd w:id="127"/>
      <w:bookmarkEnd w:id="1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4"/>
        <w:gridCol w:w="2394"/>
        <w:gridCol w:w="2394"/>
        <w:gridCol w:w="2394"/>
      </w:tblGrid>
      <w:tr w:rsidR="00DD1D3F" w:rsidTr="004F6647">
        <w:tc>
          <w:tcPr>
            <w:tcW w:w="2394" w:type="dxa"/>
          </w:tcPr>
          <w:p w:rsidR="00DD1D3F" w:rsidRPr="00DD1D3F" w:rsidRDefault="00DD1D3F" w:rsidP="00DD1D3F">
            <w:r w:rsidRPr="00DD1D3F">
              <w:t>Source Name</w:t>
            </w:r>
          </w:p>
        </w:tc>
        <w:tc>
          <w:tcPr>
            <w:tcW w:w="2394" w:type="dxa"/>
          </w:tcPr>
          <w:p w:rsidR="00DD1D3F" w:rsidRPr="00DD1D3F" w:rsidRDefault="00DD1D3F" w:rsidP="00DD1D3F">
            <w:r w:rsidRPr="00DD1D3F">
              <w:t>Location</w:t>
            </w:r>
          </w:p>
        </w:tc>
        <w:tc>
          <w:tcPr>
            <w:tcW w:w="2394" w:type="dxa"/>
          </w:tcPr>
          <w:p w:rsidR="00DD1D3F" w:rsidRPr="00DD1D3F" w:rsidRDefault="00DD1D3F" w:rsidP="00DD1D3F">
            <w:r w:rsidRPr="00DD1D3F">
              <w:t>2002 Emissions</w:t>
            </w:r>
          </w:p>
        </w:tc>
        <w:tc>
          <w:tcPr>
            <w:tcW w:w="2394" w:type="dxa"/>
          </w:tcPr>
          <w:p w:rsidR="00DD1D3F" w:rsidRPr="00DD1D3F" w:rsidRDefault="00DD1D3F" w:rsidP="00DD1D3F">
            <w:r w:rsidRPr="00DD1D3F">
              <w:t>2010/2011 Emissions</w:t>
            </w:r>
          </w:p>
        </w:tc>
      </w:tr>
      <w:tr w:rsidR="00DD1D3F" w:rsidTr="004F6647">
        <w:tc>
          <w:tcPr>
            <w:tcW w:w="2394" w:type="dxa"/>
          </w:tcPr>
          <w:p w:rsidR="00DD1D3F" w:rsidRPr="00DD1D3F" w:rsidRDefault="00DD1D3F" w:rsidP="00DD1D3F"/>
        </w:tc>
        <w:tc>
          <w:tcPr>
            <w:tcW w:w="2394" w:type="dxa"/>
          </w:tcPr>
          <w:p w:rsidR="00DD1D3F" w:rsidRPr="00DD1D3F" w:rsidRDefault="00DD1D3F" w:rsidP="00DD1D3F"/>
        </w:tc>
        <w:tc>
          <w:tcPr>
            <w:tcW w:w="2394" w:type="dxa"/>
          </w:tcPr>
          <w:p w:rsidR="00DD1D3F" w:rsidRPr="00DD1D3F" w:rsidRDefault="00DD1D3F" w:rsidP="00DD1D3F"/>
        </w:tc>
        <w:tc>
          <w:tcPr>
            <w:tcW w:w="2394" w:type="dxa"/>
          </w:tcPr>
          <w:p w:rsidR="00DD1D3F" w:rsidRPr="00DD1D3F" w:rsidRDefault="00DD1D3F" w:rsidP="00DD1D3F"/>
        </w:tc>
      </w:tr>
      <w:tr w:rsidR="00DD1D3F" w:rsidTr="004F6647">
        <w:tc>
          <w:tcPr>
            <w:tcW w:w="2394" w:type="dxa"/>
          </w:tcPr>
          <w:p w:rsidR="00DD1D3F" w:rsidRPr="00DD1D3F" w:rsidRDefault="00DD1D3F" w:rsidP="00DD1D3F"/>
        </w:tc>
        <w:tc>
          <w:tcPr>
            <w:tcW w:w="2394" w:type="dxa"/>
          </w:tcPr>
          <w:p w:rsidR="00DD1D3F" w:rsidRPr="00DD1D3F" w:rsidRDefault="00DD1D3F" w:rsidP="00DD1D3F"/>
        </w:tc>
        <w:tc>
          <w:tcPr>
            <w:tcW w:w="2394" w:type="dxa"/>
          </w:tcPr>
          <w:p w:rsidR="00DD1D3F" w:rsidRPr="00DD1D3F" w:rsidRDefault="00DD1D3F" w:rsidP="00DD1D3F"/>
        </w:tc>
        <w:tc>
          <w:tcPr>
            <w:tcW w:w="2394" w:type="dxa"/>
          </w:tcPr>
          <w:p w:rsidR="00DD1D3F" w:rsidRPr="00DD1D3F" w:rsidRDefault="00DD1D3F" w:rsidP="00DD1D3F"/>
        </w:tc>
      </w:tr>
    </w:tbl>
    <w:p w:rsidR="00DD1D3F" w:rsidRDefault="00DD1D3F" w:rsidP="00DD1D3F"/>
    <w:p w:rsidR="004F6647" w:rsidRDefault="004F6647" w:rsidP="00DD1D3F">
      <w:r w:rsidRPr="004F6647">
        <w:rPr>
          <w:highlight w:val="yellow"/>
        </w:rPr>
        <w:t>&lt;See pages 7-8 of EPA’s April 2013 “General Principles for the 5-year Regional Haze Progress Reports” for guidance on quantification of emissions reductions.&gt;</w:t>
      </w:r>
    </w:p>
    <w:p w:rsidR="003A4406" w:rsidRPr="00ED6BD9" w:rsidRDefault="003A4406" w:rsidP="00DD1D3F">
      <w:r w:rsidRPr="00ED6BD9">
        <w:rPr>
          <w:highlight w:val="yellow"/>
        </w:rPr>
        <w:t xml:space="preserve">&lt;For a list of anticipated Non-EGU Source Shutdowns in the 2018 MANE-VU emissions inventory see Table B-5 beginning on page B-33 in </w:t>
      </w:r>
      <w:r w:rsidRPr="00ED6BD9">
        <w:rPr>
          <w:i/>
          <w:highlight w:val="yellow"/>
        </w:rPr>
        <w:t xml:space="preserve">Development of Emissions </w:t>
      </w:r>
      <w:r w:rsidR="005D7E7B" w:rsidRPr="00ED6BD9">
        <w:rPr>
          <w:i/>
          <w:highlight w:val="yellow"/>
        </w:rPr>
        <w:t>Projections</w:t>
      </w:r>
      <w:r w:rsidRPr="00ED6BD9">
        <w:rPr>
          <w:i/>
          <w:highlight w:val="yellow"/>
        </w:rPr>
        <w:t xml:space="preserve"> for 2009, 2012, and 2018 for Non-EGU Point, Area, and Nonroad Sources in the MANE-VU Region</w:t>
      </w:r>
      <w:r w:rsidR="00ED6BD9" w:rsidRPr="00ED6BD9">
        <w:rPr>
          <w:highlight w:val="yellow"/>
        </w:rPr>
        <w:t>, Final Report, February, 2007 posted on the MARAMA website under Publications.&gt;</w:t>
      </w:r>
    </w:p>
    <w:p w:rsidR="00E71C51" w:rsidRDefault="00E71C51" w:rsidP="00206FF5">
      <w:r w:rsidRPr="002A7870">
        <w:rPr>
          <w:b/>
        </w:rPr>
        <w:br w:type="page"/>
      </w:r>
    </w:p>
    <w:p w:rsidR="005D405E" w:rsidRDefault="005D405E">
      <w:pPr>
        <w:spacing w:after="0" w:line="240" w:lineRule="auto"/>
        <w:rPr>
          <w:rFonts w:ascii="Arial" w:eastAsia="Times New Roman" w:hAnsi="Arial"/>
          <w:b/>
          <w:bCs/>
          <w:color w:val="000000" w:themeColor="text1"/>
          <w:sz w:val="28"/>
          <w:szCs w:val="28"/>
          <w:u w:val="single"/>
        </w:rPr>
      </w:pPr>
      <w:r>
        <w:rPr>
          <w:sz w:val="28"/>
          <w:szCs w:val="28"/>
        </w:rPr>
        <w:lastRenderedPageBreak/>
        <w:br w:type="page"/>
      </w:r>
    </w:p>
    <w:p w:rsidR="00E71C51" w:rsidRPr="005D405E" w:rsidRDefault="00E71C51" w:rsidP="005D405E">
      <w:pPr>
        <w:pStyle w:val="Heading2"/>
      </w:pPr>
      <w:bookmarkStart w:id="129" w:name="_Toc373843528"/>
      <w:r w:rsidRPr="005D405E">
        <w:lastRenderedPageBreak/>
        <w:t xml:space="preserve">Section </w:t>
      </w:r>
      <w:r w:rsidR="00B06D45" w:rsidRPr="005D405E">
        <w:t>7</w:t>
      </w:r>
      <w:r w:rsidRPr="005D405E">
        <w:t>:  Analysis of Emission Changes in the Last Five Years from Visibility Impairing Pollutants</w:t>
      </w:r>
      <w:bookmarkEnd w:id="129"/>
    </w:p>
    <w:p w:rsidR="00E71C51" w:rsidRPr="005D405E" w:rsidRDefault="00B06D45" w:rsidP="005D405E">
      <w:pPr>
        <w:pStyle w:val="Heading3"/>
      </w:pPr>
      <w:bookmarkStart w:id="130" w:name="_Toc373843529"/>
      <w:r w:rsidRPr="005D405E">
        <w:t>7</w:t>
      </w:r>
      <w:r w:rsidR="00E71C51" w:rsidRPr="005D405E">
        <w:t>.1. Requirement to Analyze and Track Changes in Emissions</w:t>
      </w:r>
      <w:bookmarkEnd w:id="130"/>
    </w:p>
    <w:p w:rsidR="00E71C51" w:rsidRDefault="00E71C51" w:rsidP="005D405E">
      <w:r w:rsidRPr="00BF64CA">
        <w:t>Section 40 CFR 51.308(g)(4) of the Regional Haze Rule requires each state to analyze and track changes over the past five years in emissions of pollutants contributing to visibility impairment from all sources and activities within the State.  Emissions changes are to be identified by type of source or activity.  The analysis must be based on the most recent updated emissions inventory, with estimates projected forward as necessary and appropriate, to account for emissions changes during the applicable 5-year period.</w:t>
      </w:r>
    </w:p>
    <w:p w:rsidR="004F6647" w:rsidRPr="00BF64CA" w:rsidRDefault="004F6647" w:rsidP="005D405E">
      <w:r w:rsidRPr="004F6647">
        <w:rPr>
          <w:highlight w:val="yellow"/>
        </w:rPr>
        <w:t>&lt;See pp 11-14 of EPA’s April 2013 “General Principles for the 5-Year Regional Haze Progress Report” for additional guidance.  At least 2 inventory years, 5 years apart, must be compared.&gt;</w:t>
      </w:r>
    </w:p>
    <w:p w:rsidR="005B578E" w:rsidRPr="00230052" w:rsidRDefault="005B578E" w:rsidP="00230052">
      <w:pPr>
        <w:pStyle w:val="Heading3"/>
      </w:pPr>
      <w:bookmarkStart w:id="131" w:name="_Toc373843530"/>
      <w:r w:rsidRPr="00230052">
        <w:t>7.2. MANE-VU Emissions Trends</w:t>
      </w:r>
      <w:bookmarkEnd w:id="131"/>
    </w:p>
    <w:p w:rsidR="003A7492" w:rsidRDefault="005142C0" w:rsidP="005D405E">
      <w:r>
        <w:t>Several d</w:t>
      </w:r>
      <w:r w:rsidR="003A7492">
        <w:t xml:space="preserve">ata sources </w:t>
      </w:r>
      <w:r>
        <w:t xml:space="preserve">were </w:t>
      </w:r>
      <w:r w:rsidR="003A7492">
        <w:t>used to develop the information in this report</w:t>
      </w:r>
      <w:r w:rsidR="005D7E7B">
        <w:t>, including</w:t>
      </w:r>
      <w:r w:rsidR="003A7492">
        <w:t>:</w:t>
      </w:r>
    </w:p>
    <w:p w:rsidR="003A7492" w:rsidRDefault="003A7492" w:rsidP="005D405E">
      <w:pPr>
        <w:pStyle w:val="Bullets"/>
      </w:pPr>
      <w:r>
        <w:t xml:space="preserve">The 2002 based modeling inventory with a projection to 2018 (MANE-VU Version 3.3), </w:t>
      </w:r>
    </w:p>
    <w:p w:rsidR="003A7492" w:rsidRDefault="003A7492" w:rsidP="005D405E">
      <w:pPr>
        <w:pStyle w:val="Bullets"/>
      </w:pPr>
      <w:r>
        <w:t>The 2007 based modeling inventory with projections to 2017 and 2020 (MARAMA Version 3.3), and</w:t>
      </w:r>
    </w:p>
    <w:p w:rsidR="003A7492" w:rsidRDefault="003A7492" w:rsidP="005D405E">
      <w:pPr>
        <w:pStyle w:val="Bullets"/>
      </w:pPr>
      <w:r>
        <w:t>The 2010 US EPA Clean Air Markets Division (CAMD) actual emissions as reported by sources.</w:t>
      </w:r>
    </w:p>
    <w:p w:rsidR="003A7492" w:rsidRDefault="005142C0" w:rsidP="005D405E">
      <w:r>
        <w:t xml:space="preserve">While we present estimates of emissions for 2002, 2007, 2010 2017, 2018, and 2020, there are several reasons why it is difficult to make comparisons among those years.  </w:t>
      </w:r>
      <w:r w:rsidR="003A7492">
        <w:t>The pollutants and source sectors included in these data sources vary.  For example, CAMD only collects data on NO</w:t>
      </w:r>
      <w:r w:rsidR="00715083" w:rsidRPr="00715083">
        <w:rPr>
          <w:vertAlign w:val="subscript"/>
        </w:rPr>
        <w:t>X</w:t>
      </w:r>
      <w:r w:rsidR="003A7492">
        <w:t xml:space="preserve"> and SO</w:t>
      </w:r>
      <w:r w:rsidR="003A7492" w:rsidRPr="003A7492">
        <w:rPr>
          <w:vertAlign w:val="subscript"/>
        </w:rPr>
        <w:t>2</w:t>
      </w:r>
      <w:r w:rsidR="00914453">
        <w:t>,</w:t>
      </w:r>
      <w:r w:rsidR="003A7492">
        <w:t xml:space="preserve"> not PM and VOC.  Inconsistencies between data sources arise because of differences in calculation methodologies, because different emissions sources are included or emissions factors have changed, </w:t>
      </w:r>
      <w:r w:rsidR="003B78CF">
        <w:t xml:space="preserve">or </w:t>
      </w:r>
      <w:r w:rsidR="003A7492">
        <w:t>due to differences in growth projections, unanticipated shutdowns or new sources, and new control programs.</w:t>
      </w:r>
    </w:p>
    <w:p w:rsidR="005B578E" w:rsidRPr="00622241" w:rsidRDefault="00E007C7" w:rsidP="00622241">
      <w:pPr>
        <w:rPr>
          <w:highlight w:val="yellow"/>
        </w:rPr>
      </w:pPr>
      <w:r>
        <w:t xml:space="preserve">Current estimates for the years 2007, 2017, and 2020 were developed using different methods and assumptions than estimates made in 2006 for the years 2002 and 2018.  </w:t>
      </w:r>
      <w:r w:rsidR="00622241">
        <w:t xml:space="preserve">Notably, emissions models used to calculate mobile sources are different now than they were in 2006.  </w:t>
      </w:r>
      <w:r>
        <w:t>Projections of future emissions always involve assumptions –</w:t>
      </w:r>
      <w:r w:rsidR="005E0A0E">
        <w:t xml:space="preserve"> </w:t>
      </w:r>
      <w:r>
        <w:t>for example, assumptions about population growth, growth in fuel consumption, and the balance among different fuels, such as coal and natural gas.  Much has changed in the last few years as natural gas prices have declined and old coal-fired units have been shut down due to the re</w:t>
      </w:r>
      <w:r w:rsidR="00622241">
        <w:t xml:space="preserve">latively higher price of coal. </w:t>
      </w:r>
      <w:r>
        <w:t xml:space="preserve"> </w:t>
      </w:r>
      <w:r w:rsidR="00232246" w:rsidRPr="004D3329">
        <w:rPr>
          <w:highlight w:val="yellow"/>
        </w:rPr>
        <w:t xml:space="preserve">Furthermore, work is underway to estimate emissions from recent </w:t>
      </w:r>
      <w:r w:rsidR="00232246" w:rsidRPr="00622241">
        <w:rPr>
          <w:highlight w:val="yellow"/>
        </w:rPr>
        <w:t>oil and gas developments, and that data is not included here.</w:t>
      </w:r>
    </w:p>
    <w:p w:rsidR="00E007C7" w:rsidRPr="00BF64CA" w:rsidRDefault="00A67779" w:rsidP="005D405E">
      <w:r>
        <w:rPr>
          <w:highlight w:val="yellow"/>
        </w:rPr>
        <w:t>&lt;</w:t>
      </w:r>
      <w:r w:rsidR="00E007C7" w:rsidRPr="00622241">
        <w:rPr>
          <w:highlight w:val="yellow"/>
        </w:rPr>
        <w:t xml:space="preserve">As MANE-VU and MANE-VU states discuss with EPA how to report emissions for their 5-year </w:t>
      </w:r>
      <w:r w:rsidR="00E007C7" w:rsidRPr="00A67779">
        <w:rPr>
          <w:highlight w:val="yellow"/>
        </w:rPr>
        <w:t>progress reports</w:t>
      </w:r>
      <w:r w:rsidR="00E007C7" w:rsidRPr="003D00D9">
        <w:rPr>
          <w:highlight w:val="yellow"/>
        </w:rPr>
        <w:t>, the estimates presented here may serve as a starting point</w:t>
      </w:r>
      <w:r w:rsidR="003E3A14" w:rsidRPr="003D00D9">
        <w:rPr>
          <w:highlight w:val="yellow"/>
        </w:rPr>
        <w:t xml:space="preserve">.  The following information describes data sources used for this </w:t>
      </w:r>
      <w:r w:rsidR="00622241">
        <w:rPr>
          <w:highlight w:val="yellow"/>
        </w:rPr>
        <w:t>report</w:t>
      </w:r>
      <w:r w:rsidR="003E3A14" w:rsidRPr="003D00D9">
        <w:rPr>
          <w:highlight w:val="yellow"/>
        </w:rPr>
        <w:t>.</w:t>
      </w:r>
      <w:r>
        <w:t>&gt;</w:t>
      </w:r>
    </w:p>
    <w:p w:rsidR="005B578E" w:rsidRPr="00230052" w:rsidRDefault="005B578E" w:rsidP="005D405E">
      <w:pPr>
        <w:pStyle w:val="2ndLevelHeader"/>
      </w:pPr>
      <w:bookmarkStart w:id="132" w:name="_Toc339437262"/>
      <w:bookmarkStart w:id="133" w:name="_Toc373843531"/>
      <w:r w:rsidRPr="00230052">
        <w:t>7.2.1</w:t>
      </w:r>
      <w:r w:rsidR="002A5384" w:rsidRPr="00230052">
        <w:t xml:space="preserve">. </w:t>
      </w:r>
      <w:r w:rsidRPr="00230052">
        <w:t xml:space="preserve">2002 Modeling Inventory with </w:t>
      </w:r>
      <w:r w:rsidR="003905DD">
        <w:t>P</w:t>
      </w:r>
      <w:r w:rsidRPr="00230052">
        <w:t>rojections to 2018</w:t>
      </w:r>
      <w:bookmarkEnd w:id="132"/>
      <w:bookmarkEnd w:id="133"/>
    </w:p>
    <w:p w:rsidR="00A919E4" w:rsidRPr="00A919E4" w:rsidRDefault="00A919E4" w:rsidP="005D405E">
      <w:r w:rsidRPr="00A919E4">
        <w:t xml:space="preserve">The 2002 modeling inventory suite was prepared by MARAMA and finalized in 2006.  </w:t>
      </w:r>
      <w:r w:rsidR="00A67779">
        <w:t>B</w:t>
      </w:r>
      <w:r w:rsidR="00A67779" w:rsidRPr="00A919E4">
        <w:t xml:space="preserve">ased </w:t>
      </w:r>
      <w:r w:rsidR="00A67779">
        <w:t>on the base year 2002 inventory, f</w:t>
      </w:r>
      <w:r w:rsidRPr="00A919E4">
        <w:t>uture year projections were prepared for 2009 and 2018.  Two scenarios for the future year were prepared as follows:</w:t>
      </w:r>
    </w:p>
    <w:p w:rsidR="00A919E4" w:rsidRPr="00A919E4" w:rsidRDefault="00A919E4" w:rsidP="005D405E">
      <w:pPr>
        <w:pStyle w:val="Bullets"/>
      </w:pPr>
      <w:r w:rsidRPr="00A919E4">
        <w:lastRenderedPageBreak/>
        <w:t xml:space="preserve">On the Books /On the Way (OTB/OTW) – These projections reflect a scenario accounting for all in-place controls that are fully adopted into federal or individual state regulations or SIPs.   </w:t>
      </w:r>
      <w:r w:rsidR="003D00D9">
        <w:t xml:space="preserve">On the way controls included the Clean Air Interstate Rule (CAIR).  </w:t>
      </w:r>
      <w:r w:rsidRPr="00A919E4">
        <w:t xml:space="preserve">Modelers often refer to this scenario as the "future base case". </w:t>
      </w:r>
    </w:p>
    <w:p w:rsidR="00A919E4" w:rsidRPr="00A919E4" w:rsidRDefault="00A919E4" w:rsidP="005D405E">
      <w:pPr>
        <w:pStyle w:val="Bullets"/>
      </w:pPr>
      <w:r w:rsidRPr="00A919E4">
        <w:t xml:space="preserve">Beyond on the Way (BOTW) - These projections reflect a scenario accounting for all measures in the OTB/OTW scenario and also additional controls that states commit to adopt as part of the SIP process.  Modelers often refer to this scenario as the "future controlled case".  </w:t>
      </w:r>
    </w:p>
    <w:p w:rsidR="00A919E4" w:rsidRPr="00A919E4" w:rsidRDefault="00A919E4" w:rsidP="005D405E">
      <w:r w:rsidRPr="00A919E4">
        <w:t xml:space="preserve">For this emission trend analysis the Beyond on the Way (BOTW) projection for 2018 was used.  </w:t>
      </w:r>
    </w:p>
    <w:p w:rsidR="00A919E4" w:rsidRPr="00A919E4" w:rsidRDefault="00A919E4" w:rsidP="005D405E">
      <w:r w:rsidRPr="00A919E4">
        <w:t>Several versions of the 2002 inventory suite were prepared.  With each subsequent version improvements were made to the emissions estimation.  The last and best version is called Version 3.3.  This is the version that was used in air quality modeling and is also used in this emission trend analysis.</w:t>
      </w:r>
    </w:p>
    <w:p w:rsidR="00A919E4" w:rsidRPr="00A919E4" w:rsidRDefault="00A919E4" w:rsidP="005D405E">
      <w:r w:rsidRPr="00A919E4">
        <w:t>Details of the approach taken to prepare the 2002 modeling suite are found in the documentation for the base year and future projections.</w:t>
      </w:r>
    </w:p>
    <w:p w:rsidR="00A919E4" w:rsidRPr="00BF64CA" w:rsidRDefault="00A919E4" w:rsidP="005D405E">
      <w:r w:rsidRPr="00FB3990">
        <w:rPr>
          <w:i/>
          <w:highlight w:val="yellow"/>
        </w:rPr>
        <w:t>&lt;Individual states should check their SIPs to ensure they are reporting differences from the data included in their SIPs.&gt;</w:t>
      </w:r>
    </w:p>
    <w:p w:rsidR="005B578E" w:rsidRPr="005D405E" w:rsidRDefault="005B578E" w:rsidP="005D405E">
      <w:pPr>
        <w:pStyle w:val="2ndLevelHeader"/>
      </w:pPr>
      <w:bookmarkStart w:id="134" w:name="_Toc339437263"/>
      <w:bookmarkStart w:id="135" w:name="_Toc373843532"/>
      <w:r w:rsidRPr="005D405E">
        <w:t>7.2.2</w:t>
      </w:r>
      <w:r w:rsidR="007A33C0" w:rsidRPr="005D405E">
        <w:t xml:space="preserve">. </w:t>
      </w:r>
      <w:r w:rsidR="002065D7" w:rsidRPr="005D405E">
        <w:t xml:space="preserve">2007 </w:t>
      </w:r>
      <w:r w:rsidRPr="005D405E">
        <w:t xml:space="preserve">Modeling Inventory with </w:t>
      </w:r>
      <w:r w:rsidR="003905DD" w:rsidRPr="005D405E">
        <w:t>P</w:t>
      </w:r>
      <w:r w:rsidRPr="005D405E">
        <w:t>rojections to 2017 and 2020</w:t>
      </w:r>
      <w:bookmarkEnd w:id="134"/>
      <w:bookmarkEnd w:id="135"/>
    </w:p>
    <w:p w:rsidR="00A919E4" w:rsidRPr="00A919E4" w:rsidRDefault="00A919E4" w:rsidP="005D405E">
      <w:r w:rsidRPr="00A919E4">
        <w:t>The 2007 modeling inventory suite was prepared by MARAMA and finalized in 2012.</w:t>
      </w:r>
      <w:r w:rsidR="003D00D9" w:rsidRPr="003D00D9">
        <w:rPr>
          <w:rStyle w:val="FootnoteReference"/>
        </w:rPr>
        <w:t xml:space="preserve"> </w:t>
      </w:r>
      <w:r w:rsidR="003D00D9" w:rsidRPr="00BF64CA">
        <w:rPr>
          <w:rStyle w:val="FootnoteReference"/>
        </w:rPr>
        <w:footnoteReference w:id="5"/>
      </w:r>
      <w:r w:rsidRPr="00A919E4">
        <w:t xml:space="preserve">  Future year projections were prepared based on the base year 2007 emissions for 2013, 2017 and 2020 for all sectors except the electric generation and onroad sectors.</w:t>
      </w:r>
      <w:r w:rsidR="003D00D9" w:rsidRPr="003D00D9">
        <w:rPr>
          <w:rStyle w:val="FootnoteReference"/>
        </w:rPr>
        <w:t xml:space="preserve"> </w:t>
      </w:r>
      <w:r w:rsidR="003D00D9" w:rsidRPr="00BF64CA">
        <w:rPr>
          <w:rStyle w:val="FootnoteReference"/>
        </w:rPr>
        <w:footnoteReference w:id="6"/>
      </w:r>
      <w:r w:rsidRPr="00A919E4">
        <w:t xml:space="preserve">  The inventory was used by MANE</w:t>
      </w:r>
      <w:r w:rsidR="00610C6C">
        <w:t>-</w:t>
      </w:r>
      <w:r w:rsidRPr="00A919E4">
        <w:t>VU states in screening air quality modeling in 2011 and 2012.</w:t>
      </w:r>
    </w:p>
    <w:p w:rsidR="00A919E4" w:rsidRPr="00A919E4" w:rsidRDefault="00A919E4" w:rsidP="005D405E">
      <w:r w:rsidRPr="00A919E4">
        <w:t>EGU emissions are only available for the base year, 2007.  For modeling purposes, provisional EGU estimates were developed for futur</w:t>
      </w:r>
      <w:r w:rsidR="00A67779">
        <w:t>e year 2020 based on the CSAPR allocations</w:t>
      </w:r>
      <w:r w:rsidRPr="00A919E4">
        <w:t xml:space="preserve"> (now abolished).  High quality future year modeling inventories for electric generating units (EGUs) are currently being devel</w:t>
      </w:r>
      <w:r w:rsidR="00A67779">
        <w:t>oped under a separate effort le</w:t>
      </w:r>
      <w:r w:rsidRPr="00A919E4">
        <w:t>d by the Eastern Regional Technical Advisory Committee (ERTAC).  These are not yet available for this study.</w:t>
      </w:r>
    </w:p>
    <w:p w:rsidR="00A919E4" w:rsidRPr="00A919E4" w:rsidRDefault="00A919E4" w:rsidP="005D405E">
      <w:r w:rsidRPr="00A919E4">
        <w:t xml:space="preserve">Onroad emissions are only available for base year 2007 and future year 2020.  Use of the MOVES model proved so resource intensive that no funds were available to develop a 2017 onroad inventory.  Under a separate effort, the Northeast States for Coordinated Air Use Management (NESCAUM) developed a 2007 onroad inventory using the MOVES model to support air quality modeling.  Those runs were further </w:t>
      </w:r>
      <w:r w:rsidRPr="00A919E4">
        <w:lastRenderedPageBreak/>
        <w:t xml:space="preserve">revised by Virginia to adjust for the height at which temperature was measured.  This adjusted run (Version 2) was used </w:t>
      </w:r>
      <w:r w:rsidR="007D47F1">
        <w:t>in OTC</w:t>
      </w:r>
      <w:r w:rsidR="00EB4583">
        <w:t xml:space="preserve"> </w:t>
      </w:r>
      <w:r w:rsidRPr="00A919E4">
        <w:t>Level 3 screening modeling and also in this analysis.</w:t>
      </w:r>
    </w:p>
    <w:p w:rsidR="00622241" w:rsidRDefault="00A919E4" w:rsidP="00ED6BD9">
      <w:r w:rsidRPr="00A919E4">
        <w:t>For this emission trend analysis the OTB/OTW projection for 2017 and 2020 was used.</w:t>
      </w:r>
      <w:r w:rsidR="00ED6BD9">
        <w:t xml:space="preserve"> </w:t>
      </w:r>
      <w:r w:rsidR="00622241" w:rsidRPr="00A919E4">
        <w:t>This projection reflect</w:t>
      </w:r>
      <w:r w:rsidR="00622241">
        <w:t>s</w:t>
      </w:r>
      <w:r w:rsidR="00622241" w:rsidRPr="00A919E4">
        <w:t xml:space="preserve"> a scenario accounting for controls that are fully adopted into federal or individual state regulations or SIPs.   Modelers often refer to this scena</w:t>
      </w:r>
      <w:r w:rsidR="00622241">
        <w:t xml:space="preserve">rio as the "future base case". </w:t>
      </w:r>
    </w:p>
    <w:p w:rsidR="00A919E4" w:rsidRPr="00A919E4" w:rsidRDefault="00A919E4" w:rsidP="005D405E">
      <w:r w:rsidRPr="00A919E4">
        <w:t>Several versions of the 2007 inventory suite were prepared.  With each subsequent version improvements were made to the emissions estimation.  The last and best version is called Version 3.3 which was used in OTC Level 3 screening air quality modeling and also in this emission trend analysis.</w:t>
      </w:r>
    </w:p>
    <w:p w:rsidR="00A919E4" w:rsidRPr="00A919E4" w:rsidRDefault="00A919E4" w:rsidP="005D405E">
      <w:r w:rsidRPr="00A919E4">
        <w:t>Details of the approach taken to prepare the 2007 modeling suite are found in the documentation for the base year and future projections.</w:t>
      </w:r>
    </w:p>
    <w:p w:rsidR="005B578E" w:rsidRPr="00230052" w:rsidRDefault="005B578E" w:rsidP="005D405E">
      <w:pPr>
        <w:pStyle w:val="2ndLevelHeader"/>
      </w:pPr>
      <w:bookmarkStart w:id="136" w:name="_Toc339437266"/>
      <w:bookmarkStart w:id="137" w:name="_Toc373843533"/>
      <w:r w:rsidRPr="00230052">
        <w:t>7.2.3</w:t>
      </w:r>
      <w:r w:rsidR="007A33C0" w:rsidRPr="00230052">
        <w:t xml:space="preserve">. </w:t>
      </w:r>
      <w:r w:rsidRPr="00230052">
        <w:t xml:space="preserve">2010 Clean Air Markets Division (CAMD) </w:t>
      </w:r>
      <w:r w:rsidR="003905DD">
        <w:t>R</w:t>
      </w:r>
      <w:r w:rsidRPr="00230052">
        <w:t xml:space="preserve">eported </w:t>
      </w:r>
      <w:r w:rsidR="003905DD">
        <w:t>E</w:t>
      </w:r>
      <w:r w:rsidRPr="00230052">
        <w:t>missions</w:t>
      </w:r>
      <w:bookmarkEnd w:id="136"/>
      <w:bookmarkEnd w:id="137"/>
    </w:p>
    <w:p w:rsidR="005B578E" w:rsidRPr="00BF64CA" w:rsidRDefault="005B578E" w:rsidP="005D405E">
      <w:r w:rsidRPr="00BF64CA">
        <w:t xml:space="preserve">CAMD implements </w:t>
      </w:r>
      <w:r w:rsidR="007D47F1">
        <w:t xml:space="preserve">the provisions of 40 </w:t>
      </w:r>
      <w:r w:rsidR="00C61369">
        <w:t>CFR</w:t>
      </w:r>
      <w:r w:rsidR="00ED6BD9">
        <w:t xml:space="preserve"> </w:t>
      </w:r>
      <w:r w:rsidRPr="00BF64CA">
        <w:t>Part 75, which requires an hourly accounting of emissions from each affected unit -  i.e., sources participating in an emissions cap and trade program under the Acid Rain Control Program, the NO</w:t>
      </w:r>
      <w:r w:rsidR="0005043B">
        <w:rPr>
          <w:vertAlign w:val="subscript"/>
        </w:rPr>
        <w:t>X</w:t>
      </w:r>
      <w:r w:rsidRPr="00BF64CA">
        <w:t xml:space="preserve"> Budget Trading Program, or the Clean Air Interstate Rule.  Most of the CAMD sources are traditional power plants that sell electricity to the electrical grid.  However, there are other types of sources that report to CAMD that are not considered to be EGUs, such as petroleum refineries and cement kilns.  Emissions of NO</w:t>
      </w:r>
      <w:r w:rsidRPr="00BF64CA">
        <w:rPr>
          <w:vertAlign w:val="subscript"/>
        </w:rPr>
        <w:t>X</w:t>
      </w:r>
      <w:r w:rsidRPr="00BF64CA">
        <w:t>, SO</w:t>
      </w:r>
      <w:r w:rsidRPr="00BF64CA">
        <w:rPr>
          <w:vertAlign w:val="subscript"/>
        </w:rPr>
        <w:t>2</w:t>
      </w:r>
      <w:r w:rsidR="00622241" w:rsidRPr="00622241">
        <w:t>,</w:t>
      </w:r>
      <w:r w:rsidRPr="00BF64CA">
        <w:t xml:space="preserve"> and heat input (HI) are posted on the CAMD website (http://camddataandmaps.epa.gov/).  The annual unit level CAMD NO</w:t>
      </w:r>
      <w:r w:rsidRPr="00BF64CA">
        <w:rPr>
          <w:vertAlign w:val="subscript"/>
        </w:rPr>
        <w:t>X</w:t>
      </w:r>
      <w:r w:rsidRPr="00BF64CA">
        <w:t xml:space="preserve"> and SO</w:t>
      </w:r>
      <w:r w:rsidRPr="00BF64CA">
        <w:rPr>
          <w:vertAlign w:val="subscript"/>
        </w:rPr>
        <w:t>2</w:t>
      </w:r>
      <w:r w:rsidRPr="00BF64CA">
        <w:t xml:space="preserve"> emissions for 2010 were downloaded for use in this project on July 14</w:t>
      </w:r>
      <w:r w:rsidRPr="00BF64CA">
        <w:rPr>
          <w:vertAlign w:val="superscript"/>
        </w:rPr>
        <w:t>th</w:t>
      </w:r>
      <w:r w:rsidRPr="00BF64CA">
        <w:t>, 2011.</w:t>
      </w:r>
    </w:p>
    <w:p w:rsidR="005D405E" w:rsidRDefault="005B578E" w:rsidP="007D47F1">
      <w:pPr>
        <w:autoSpaceDE w:val="0"/>
        <w:autoSpaceDN w:val="0"/>
        <w:adjustRightInd w:val="0"/>
        <w:rPr>
          <w:rStyle w:val="Heading9Char"/>
          <w:rFonts w:eastAsia="Times New Roman"/>
          <w:b/>
          <w:bCs/>
        </w:rPr>
      </w:pPr>
      <w:r w:rsidRPr="00BF64CA">
        <w:t xml:space="preserve">Table </w:t>
      </w:r>
      <w:r w:rsidR="00A72B6E">
        <w:t>7.1</w:t>
      </w:r>
      <w:r w:rsidR="00A72B6E" w:rsidRPr="00BF64CA">
        <w:t xml:space="preserve"> </w:t>
      </w:r>
      <w:r w:rsidRPr="00BF64CA">
        <w:t>shows the data sources used for emissions trend analysis.</w:t>
      </w:r>
      <w:r w:rsidRPr="00B63D54">
        <w:rPr>
          <w:sz w:val="24"/>
          <w:szCs w:val="24"/>
        </w:rPr>
        <w:t xml:space="preserve">  </w:t>
      </w:r>
    </w:p>
    <w:p w:rsidR="00123A34" w:rsidRPr="007D1888" w:rsidRDefault="00705984" w:rsidP="00F60FE6">
      <w:pPr>
        <w:pStyle w:val="Caption"/>
        <w:rPr>
          <w:rStyle w:val="Heading9Char"/>
          <w:rFonts w:ascii="Arial" w:hAnsi="Arial" w:cs="Arial"/>
          <w:i w:val="0"/>
          <w:iCs w:val="0"/>
          <w:color w:val="auto"/>
          <w:szCs w:val="18"/>
        </w:rPr>
      </w:pPr>
      <w:bookmarkStart w:id="138" w:name="_Toc373842788"/>
      <w:bookmarkStart w:id="139" w:name="_Toc373843574"/>
      <w:bookmarkStart w:id="140" w:name="_Toc373844562"/>
      <w:r w:rsidRPr="007D1888">
        <w:rPr>
          <w:rStyle w:val="Heading8Char"/>
          <w:rFonts w:ascii="Arial" w:hAnsi="Arial" w:cs="Arial"/>
          <w:color w:val="auto"/>
        </w:rPr>
        <w:t>Table 7.1. Emissions Data Sources by Sector</w:t>
      </w:r>
      <w:bookmarkEnd w:id="138"/>
      <w:bookmarkEnd w:id="139"/>
      <w:bookmarkEnd w:id="140"/>
      <w:r w:rsidR="005B578E" w:rsidRPr="007D1888">
        <w:rPr>
          <w:rStyle w:val="Heading9Char"/>
          <w:rFonts w:ascii="Arial" w:hAnsi="Arial" w:cs="Arial"/>
          <w:i w:val="0"/>
          <w:iCs w:val="0"/>
          <w:color w:val="auto"/>
          <w:szCs w:val="18"/>
        </w:rPr>
        <w:t xml:space="preserve"> </w:t>
      </w:r>
    </w:p>
    <w:p w:rsidR="005B578E" w:rsidRPr="001F7C53" w:rsidRDefault="004128CD" w:rsidP="005B578E">
      <w:pPr>
        <w:keepNext/>
        <w:keepLines/>
        <w:jc w:val="center"/>
        <w:rPr>
          <w:b/>
        </w:rPr>
      </w:pPr>
      <w:r>
        <w:rPr>
          <w:noProof/>
        </w:rPr>
        <w:drawing>
          <wp:inline distT="0" distB="0" distL="0" distR="0">
            <wp:extent cx="5577840" cy="1752600"/>
            <wp:effectExtent l="0" t="0" r="3810" b="0"/>
            <wp:docPr id="74" name="Picture 23"/>
            <wp:cNvGraphicFramePr/>
            <a:graphic xmlns:a="http://schemas.openxmlformats.org/drawingml/2006/main">
              <a:graphicData uri="http://schemas.openxmlformats.org/drawingml/2006/picture">
                <pic:pic xmlns:pic="http://schemas.openxmlformats.org/drawingml/2006/picture">
                  <pic:nvPicPr>
                    <pic:cNvPr id="74" name="Picture 23"/>
                    <pic:cNvPicPr/>
                  </pic:nvPicPr>
                  <pic:blipFill>
                    <a:blip r:embed="rId34" cstate="print"/>
                    <a:srcRect/>
                    <a:stretch>
                      <a:fillRect/>
                    </a:stretch>
                  </pic:blipFill>
                  <pic:spPr bwMode="auto">
                    <a:xfrm>
                      <a:off x="0" y="0"/>
                      <a:ext cx="5577840" cy="1752600"/>
                    </a:xfrm>
                    <a:prstGeom prst="rect">
                      <a:avLst/>
                    </a:prstGeom>
                    <a:noFill/>
                    <a:ln w="9525">
                      <a:noFill/>
                      <a:miter lim="800000"/>
                      <a:headEnd/>
                      <a:tailEnd/>
                    </a:ln>
                  </pic:spPr>
                </pic:pic>
              </a:graphicData>
            </a:graphic>
          </wp:inline>
        </w:drawing>
      </w:r>
    </w:p>
    <w:p w:rsidR="00622241" w:rsidRPr="00622241" w:rsidRDefault="00622241" w:rsidP="00622241">
      <w:pPr>
        <w:spacing w:after="0"/>
        <w:rPr>
          <w:sz w:val="20"/>
          <w:szCs w:val="20"/>
        </w:rPr>
      </w:pPr>
      <w:r w:rsidRPr="00622241">
        <w:rPr>
          <w:sz w:val="20"/>
          <w:szCs w:val="20"/>
        </w:rPr>
        <w:t>* Not currently complete.  Will be included if complete in time for use in this project</w:t>
      </w:r>
    </w:p>
    <w:p w:rsidR="00622241" w:rsidRPr="00622241" w:rsidRDefault="00622241" w:rsidP="00622241">
      <w:pPr>
        <w:rPr>
          <w:sz w:val="20"/>
          <w:szCs w:val="20"/>
        </w:rPr>
      </w:pPr>
      <w:r w:rsidRPr="00622241">
        <w:rPr>
          <w:sz w:val="20"/>
          <w:szCs w:val="20"/>
        </w:rPr>
        <w:t>** To the extent crosswalk matching of units allows.</w:t>
      </w:r>
    </w:p>
    <w:p w:rsidR="00ED6BD9" w:rsidRDefault="00B66DE9" w:rsidP="000157EC">
      <w:pPr>
        <w:spacing w:after="0" w:line="240" w:lineRule="auto"/>
      </w:pPr>
      <w:r w:rsidRPr="00B66DE9">
        <w:t>Table 7.2</w:t>
      </w:r>
      <w:r w:rsidR="00556DE8" w:rsidRPr="00B66DE9">
        <w:t xml:space="preserve"> summari</w:t>
      </w:r>
      <w:r w:rsidR="000157EC">
        <w:t>z</w:t>
      </w:r>
      <w:r w:rsidR="00556DE8" w:rsidRPr="00B66DE9">
        <w:t>es the MANE VU regional emission trends for NO</w:t>
      </w:r>
      <w:r w:rsidR="00556DE8" w:rsidRPr="00C61369">
        <w:rPr>
          <w:vertAlign w:val="subscript"/>
        </w:rPr>
        <w:t>X</w:t>
      </w:r>
      <w:r w:rsidR="00556DE8" w:rsidRPr="00B66DE9">
        <w:t>, SO</w:t>
      </w:r>
      <w:r w:rsidR="00556DE8" w:rsidRPr="00C61369">
        <w:rPr>
          <w:vertAlign w:val="subscript"/>
        </w:rPr>
        <w:t>2</w:t>
      </w:r>
      <w:r w:rsidR="00556DE8" w:rsidRPr="00B66DE9">
        <w:t>, PM</w:t>
      </w:r>
      <w:r w:rsidR="00556DE8" w:rsidRPr="00C61369">
        <w:rPr>
          <w:vertAlign w:val="subscript"/>
        </w:rPr>
        <w:t>2</w:t>
      </w:r>
      <w:r w:rsidR="00C61369">
        <w:rPr>
          <w:vertAlign w:val="subscript"/>
        </w:rPr>
        <w:t>.</w:t>
      </w:r>
      <w:r w:rsidR="00556DE8" w:rsidRPr="00C61369">
        <w:rPr>
          <w:vertAlign w:val="subscript"/>
        </w:rPr>
        <w:t>5</w:t>
      </w:r>
      <w:r w:rsidR="00556DE8" w:rsidRPr="00B66DE9">
        <w:t xml:space="preserve"> and VOC by sector.  </w:t>
      </w:r>
      <w:r w:rsidR="00556DE8" w:rsidRPr="00B66DE9">
        <w:rPr>
          <w:highlight w:val="yellow"/>
        </w:rPr>
        <w:t>&lt;Note:  some states may not have included VOC emissions in their SIP and should not include them in their progress report in that case.</w:t>
      </w:r>
      <w:r w:rsidR="00C9142D" w:rsidRPr="00B66DE9">
        <w:rPr>
          <w:highlight w:val="yellow"/>
        </w:rPr>
        <w:t>&gt;</w:t>
      </w:r>
      <w:r w:rsidR="007357A7">
        <w:t xml:space="preserve"> Numbered columns</w:t>
      </w:r>
      <w:r w:rsidR="00556DE8" w:rsidRPr="00B66DE9">
        <w:t xml:space="preserve"> and footnotes have been added to distinguish between the three data sources used in the analysis.  Blue columns </w:t>
      </w:r>
      <w:r w:rsidR="000157EC">
        <w:t xml:space="preserve">(1) and (5) </w:t>
      </w:r>
      <w:r w:rsidR="00556DE8" w:rsidRPr="00B66DE9">
        <w:t xml:space="preserve">are from the 2002 inventory suite, tan columns </w:t>
      </w:r>
      <w:r w:rsidR="000157EC">
        <w:t xml:space="preserve">(2), (4), and (6) </w:t>
      </w:r>
      <w:r w:rsidR="00556DE8" w:rsidRPr="00B66DE9">
        <w:t xml:space="preserve">are from the 2007 inventory suite and the white column </w:t>
      </w:r>
      <w:r w:rsidR="000157EC">
        <w:t xml:space="preserve">(3) </w:t>
      </w:r>
      <w:r w:rsidR="00556DE8" w:rsidRPr="00B66DE9">
        <w:t xml:space="preserve">is from CAMD 2010.  </w:t>
      </w:r>
      <w:r w:rsidR="00B30AE1">
        <w:t>M</w:t>
      </w:r>
      <w:r w:rsidR="00ED6BD9">
        <w:t>ethods for estimating emissions from on-road mobile sources changed from MOBILE to MOVES.  The 2002 and 2018 estimates in Table 7.2 were based on t</w:t>
      </w:r>
      <w:r w:rsidR="00B30AE1">
        <w:t>he MOBILE model, while the 2007</w:t>
      </w:r>
      <w:r w:rsidR="00ED6BD9">
        <w:t xml:space="preserve"> and 2020 estimates were based on MOVES.  It is not possible to establish trends in mobile source emissions by comparing MOVES and MOBILE estimates to each other.  </w:t>
      </w:r>
      <w:r w:rsidR="00B30AE1">
        <w:t xml:space="preserve">Similarly, there were significant </w:t>
      </w:r>
      <w:r w:rsidR="00B30AE1">
        <w:lastRenderedPageBreak/>
        <w:t>improvements in methods used to calculate M</w:t>
      </w:r>
      <w:r w:rsidR="005A723C">
        <w:t>arine and Rail (part of nonroad MAR)</w:t>
      </w:r>
      <w:r w:rsidR="00B30AE1">
        <w:t xml:space="preserve"> and area sources, which mean trends are also problematic for those sectors.</w:t>
      </w:r>
    </w:p>
    <w:p w:rsidR="00ED6BD9" w:rsidRDefault="00ED6BD9" w:rsidP="000157EC">
      <w:pPr>
        <w:spacing w:after="0" w:line="240" w:lineRule="auto"/>
      </w:pPr>
    </w:p>
    <w:p w:rsidR="00556DE8" w:rsidRPr="00B66DE9" w:rsidRDefault="00556DE8" w:rsidP="000157EC">
      <w:pPr>
        <w:spacing w:after="0" w:line="240" w:lineRule="auto"/>
      </w:pPr>
      <w:r w:rsidRPr="00B66DE9">
        <w:t>Some general regional observations by pollutant include:</w:t>
      </w:r>
    </w:p>
    <w:p w:rsidR="00556DE8" w:rsidRPr="00B66DE9" w:rsidRDefault="00556DE8" w:rsidP="00556DE8">
      <w:pPr>
        <w:numPr>
          <w:ilvl w:val="0"/>
          <w:numId w:val="13"/>
        </w:numPr>
        <w:spacing w:before="120" w:after="180" w:line="300" w:lineRule="auto"/>
      </w:pPr>
      <w:r w:rsidRPr="00A153B3">
        <w:rPr>
          <w:b/>
        </w:rPr>
        <w:t>NO</w:t>
      </w:r>
      <w:r w:rsidRPr="00A153B3">
        <w:rPr>
          <w:b/>
          <w:vertAlign w:val="subscript"/>
        </w:rPr>
        <w:t>X</w:t>
      </w:r>
      <w:r>
        <w:t xml:space="preserve"> - </w:t>
      </w:r>
      <w:r w:rsidRPr="00B66DE9">
        <w:t>Regional NO</w:t>
      </w:r>
      <w:r w:rsidRPr="00B66DE9">
        <w:rPr>
          <w:vertAlign w:val="subscript"/>
        </w:rPr>
        <w:t>x</w:t>
      </w:r>
      <w:r w:rsidRPr="00B66DE9">
        <w:t xml:space="preserve"> emissions are dominated by two sectors:  onroad mobile and EGU.  Regional EGU NO</w:t>
      </w:r>
      <w:r w:rsidRPr="00B66DE9">
        <w:rPr>
          <w:vertAlign w:val="subscript"/>
        </w:rPr>
        <w:t>X</w:t>
      </w:r>
      <w:r w:rsidRPr="00B66DE9">
        <w:t xml:space="preserve"> emissions in 2010 are significantly lower than was estimated for 2007. </w:t>
      </w:r>
    </w:p>
    <w:p w:rsidR="00556DE8" w:rsidRPr="00B66DE9" w:rsidRDefault="00556DE8" w:rsidP="00B30AE1">
      <w:pPr>
        <w:ind w:left="720"/>
      </w:pPr>
      <w:r w:rsidRPr="00B66DE9">
        <w:t xml:space="preserve">The shift from MOBILE6 to MOVES represents a significant shift in methodology </w:t>
      </w:r>
      <w:r w:rsidR="00E87FD1">
        <w:t xml:space="preserve">that </w:t>
      </w:r>
      <w:r w:rsidRPr="00B66DE9">
        <w:t>occurred between completion of the 2002 and 2007 inventory suite for mobile NO</w:t>
      </w:r>
      <w:r w:rsidRPr="00B66DE9">
        <w:rPr>
          <w:vertAlign w:val="subscript"/>
        </w:rPr>
        <w:t>X</w:t>
      </w:r>
      <w:r w:rsidRPr="00B66DE9">
        <w:t xml:space="preserve"> emissions.  Generally, </w:t>
      </w:r>
      <w:r w:rsidR="00DF7B92">
        <w:t xml:space="preserve">future </w:t>
      </w:r>
      <w:r w:rsidRPr="00B66DE9">
        <w:t>NO</w:t>
      </w:r>
      <w:r w:rsidRPr="00B66DE9">
        <w:rPr>
          <w:vertAlign w:val="subscript"/>
        </w:rPr>
        <w:t>X</w:t>
      </w:r>
      <w:r w:rsidRPr="00B66DE9">
        <w:t xml:space="preserve"> emissions estimated using the improved mobile methodologies used in 2007 are higher than 2002.  Therefore combining these data sets does not add understanding to the NO</w:t>
      </w:r>
      <w:r w:rsidRPr="00B66DE9">
        <w:rPr>
          <w:vertAlign w:val="subscript"/>
        </w:rPr>
        <w:t>X</w:t>
      </w:r>
      <w:r w:rsidR="00B30AE1">
        <w:t xml:space="preserve"> trend analysis.  </w:t>
      </w:r>
      <w:r w:rsidRPr="00B66DE9">
        <w:t>Overall, NO</w:t>
      </w:r>
      <w:r w:rsidR="00B66DE9">
        <w:t>x</w:t>
      </w:r>
      <w:r w:rsidRPr="00B66DE9">
        <w:t xml:space="preserve"> is projected to decline in future years for both individual inventory suites</w:t>
      </w:r>
      <w:r w:rsidR="00B30AE1">
        <w:t xml:space="preserve"> (i.e., from 2002 to 2018 and from 2007 to 2017 and 2020)</w:t>
      </w:r>
      <w:r w:rsidRPr="00B66DE9">
        <w:t>.  Notably, recently measured EGU emissions indicate this sector is declining rapidly.</w:t>
      </w:r>
      <w:r w:rsidR="00E87FD1">
        <w:t xml:space="preserve">  </w:t>
      </w:r>
      <w:r w:rsidR="00E87FD1" w:rsidRPr="00E87FD1">
        <w:rPr>
          <w:highlight w:val="yellow"/>
        </w:rPr>
        <w:t>These estimates will be updated as estimates of emissions from recent oil and gas development are developed.</w:t>
      </w:r>
    </w:p>
    <w:p w:rsidR="00556DE8" w:rsidRPr="00B66DE9" w:rsidRDefault="00556DE8" w:rsidP="00556DE8">
      <w:pPr>
        <w:numPr>
          <w:ilvl w:val="0"/>
          <w:numId w:val="13"/>
        </w:numPr>
        <w:spacing w:before="120" w:after="180" w:line="300" w:lineRule="auto"/>
      </w:pPr>
      <w:r w:rsidRPr="00A153B3">
        <w:rPr>
          <w:b/>
        </w:rPr>
        <w:t>PM</w:t>
      </w:r>
      <w:r w:rsidRPr="00C61369">
        <w:rPr>
          <w:b/>
          <w:vertAlign w:val="subscript"/>
        </w:rPr>
        <w:t>2</w:t>
      </w:r>
      <w:r w:rsidR="00C61369" w:rsidRPr="00C61369">
        <w:rPr>
          <w:b/>
          <w:vertAlign w:val="subscript"/>
        </w:rPr>
        <w:t>.</w:t>
      </w:r>
      <w:r w:rsidRPr="00C61369">
        <w:rPr>
          <w:b/>
          <w:vertAlign w:val="subscript"/>
        </w:rPr>
        <w:t>5</w:t>
      </w:r>
      <w:r w:rsidRPr="00C61369">
        <w:rPr>
          <w:vertAlign w:val="subscript"/>
        </w:rPr>
        <w:t xml:space="preserve"> </w:t>
      </w:r>
      <w:r w:rsidRPr="00B66DE9">
        <w:t>- Directly emitted fine particle emissions are regionally dominated by the area sector and in particular residential wood combustion.  Improvements in both estimation methodology and emission factors occurred between the 2002 and 2007 inventory suite</w:t>
      </w:r>
      <w:r w:rsidR="0008320D">
        <w:t>s</w:t>
      </w:r>
      <w:r w:rsidRPr="00B66DE9">
        <w:t xml:space="preserve"> for residential wood combustion direct PM</w:t>
      </w:r>
      <w:r w:rsidRPr="00C61369">
        <w:rPr>
          <w:vertAlign w:val="subscript"/>
        </w:rPr>
        <w:t>2</w:t>
      </w:r>
      <w:r w:rsidR="00C61369" w:rsidRPr="00C61369">
        <w:rPr>
          <w:vertAlign w:val="subscript"/>
        </w:rPr>
        <w:t>.</w:t>
      </w:r>
      <w:r w:rsidRPr="00C61369">
        <w:rPr>
          <w:vertAlign w:val="subscript"/>
        </w:rPr>
        <w:t>5</w:t>
      </w:r>
      <w:r w:rsidR="0008320D">
        <w:t>. These improvements</w:t>
      </w:r>
      <w:r w:rsidRPr="00B66DE9">
        <w:t xml:space="preserve"> generally result in much lower emissions estimates </w:t>
      </w:r>
      <w:r w:rsidR="0008320D">
        <w:t xml:space="preserve">in the 2007/2017/2020 data </w:t>
      </w:r>
      <w:r w:rsidRPr="00B66DE9">
        <w:t>than in the 2002</w:t>
      </w:r>
      <w:r w:rsidR="0008320D">
        <w:t>/2018</w:t>
      </w:r>
      <w:r w:rsidRPr="00B66DE9">
        <w:t xml:space="preserve"> inventory suite.  Therefore combining these data sets does not add understanding to the PM</w:t>
      </w:r>
      <w:r w:rsidRPr="00C61369">
        <w:rPr>
          <w:vertAlign w:val="subscript"/>
        </w:rPr>
        <w:t>2</w:t>
      </w:r>
      <w:r w:rsidR="00C61369" w:rsidRPr="00C61369">
        <w:rPr>
          <w:vertAlign w:val="subscript"/>
        </w:rPr>
        <w:t>.</w:t>
      </w:r>
      <w:r w:rsidRPr="00C61369">
        <w:rPr>
          <w:vertAlign w:val="subscript"/>
        </w:rPr>
        <w:t xml:space="preserve">5 </w:t>
      </w:r>
      <w:r w:rsidRPr="00B66DE9">
        <w:t xml:space="preserve">source trend analysis.  </w:t>
      </w:r>
    </w:p>
    <w:p w:rsidR="00556DE8" w:rsidRPr="00B66DE9" w:rsidRDefault="00556DE8" w:rsidP="00556DE8">
      <w:pPr>
        <w:ind w:left="720"/>
      </w:pPr>
      <w:r w:rsidRPr="000157EC">
        <w:rPr>
          <w:highlight w:val="yellow"/>
        </w:rPr>
        <w:t xml:space="preserve">For many states, EGU emissions of fine particles have not </w:t>
      </w:r>
      <w:r w:rsidR="000157EC">
        <w:rPr>
          <w:highlight w:val="yellow"/>
        </w:rPr>
        <w:t xml:space="preserve">been </w:t>
      </w:r>
      <w:r w:rsidRPr="000157EC">
        <w:rPr>
          <w:highlight w:val="yellow"/>
        </w:rPr>
        <w:t>reviewed by states.  Therefore, PM</w:t>
      </w:r>
      <w:r w:rsidRPr="000157EC">
        <w:rPr>
          <w:highlight w:val="yellow"/>
          <w:vertAlign w:val="subscript"/>
        </w:rPr>
        <w:t>2</w:t>
      </w:r>
      <w:r w:rsidR="00B66DE9" w:rsidRPr="000157EC">
        <w:rPr>
          <w:highlight w:val="yellow"/>
          <w:vertAlign w:val="subscript"/>
        </w:rPr>
        <w:t>.</w:t>
      </w:r>
      <w:r w:rsidRPr="000157EC">
        <w:rPr>
          <w:highlight w:val="yellow"/>
          <w:vertAlign w:val="subscript"/>
        </w:rPr>
        <w:t>5</w:t>
      </w:r>
      <w:r w:rsidRPr="000157EC">
        <w:rPr>
          <w:highlight w:val="yellow"/>
        </w:rPr>
        <w:t xml:space="preserve"> emission estimates for this sector are </w:t>
      </w:r>
      <w:r w:rsidR="0008320D">
        <w:rPr>
          <w:highlight w:val="yellow"/>
        </w:rPr>
        <w:t>not included in Table 7.2.</w:t>
      </w:r>
      <w:r w:rsidRPr="00B66DE9">
        <w:t xml:space="preserve">  </w:t>
      </w:r>
    </w:p>
    <w:p w:rsidR="00556DE8" w:rsidRPr="00B66DE9" w:rsidRDefault="00556DE8" w:rsidP="00556DE8">
      <w:pPr>
        <w:ind w:left="720"/>
      </w:pPr>
      <w:r w:rsidRPr="00B66DE9">
        <w:t>Overall, the trend for directly emitted fine PM is mixed, with some sectors remaining largely unchanged, while others, particularly engine-based sectors,</w:t>
      </w:r>
      <w:r w:rsidR="009B2215">
        <w:t xml:space="preserve"> are</w:t>
      </w:r>
      <w:r w:rsidRPr="00B66DE9">
        <w:t xml:space="preserve"> projected to decrease.</w:t>
      </w:r>
    </w:p>
    <w:p w:rsidR="00556DE8" w:rsidRPr="00B66DE9" w:rsidRDefault="00556DE8" w:rsidP="00556DE8">
      <w:pPr>
        <w:numPr>
          <w:ilvl w:val="0"/>
          <w:numId w:val="13"/>
        </w:numPr>
        <w:spacing w:before="120" w:after="180" w:line="300" w:lineRule="auto"/>
      </w:pPr>
      <w:r w:rsidRPr="00A153B3">
        <w:rPr>
          <w:b/>
        </w:rPr>
        <w:t>SO</w:t>
      </w:r>
      <w:r w:rsidRPr="00A153B3">
        <w:rPr>
          <w:b/>
          <w:vertAlign w:val="subscript"/>
        </w:rPr>
        <w:t>2</w:t>
      </w:r>
      <w:r>
        <w:t xml:space="preserve"> - </w:t>
      </w:r>
      <w:r w:rsidRPr="00B66DE9">
        <w:t>Regional SO</w:t>
      </w:r>
      <w:r w:rsidRPr="00B66DE9">
        <w:rPr>
          <w:vertAlign w:val="subscript"/>
        </w:rPr>
        <w:t>2</w:t>
      </w:r>
      <w:r w:rsidRPr="00B66DE9">
        <w:t xml:space="preserve"> emissions are dominated by EGU emissions.  All sectors are complete for SO</w:t>
      </w:r>
      <w:r w:rsidRPr="00781CCA">
        <w:rPr>
          <w:vertAlign w:val="subscript"/>
        </w:rPr>
        <w:t>2</w:t>
      </w:r>
      <w:r w:rsidRPr="00B66DE9">
        <w:t xml:space="preserve"> without any significant impact of changing methodologies for any sector.  In addition, SO</w:t>
      </w:r>
      <w:r w:rsidRPr="00B66DE9">
        <w:rPr>
          <w:vertAlign w:val="subscript"/>
        </w:rPr>
        <w:t>2</w:t>
      </w:r>
      <w:r w:rsidRPr="00B66DE9">
        <w:t xml:space="preserve"> emissions reductions are expected to be significant.  As with NO</w:t>
      </w:r>
      <w:r w:rsidRPr="00B66DE9">
        <w:rPr>
          <w:vertAlign w:val="subscript"/>
        </w:rPr>
        <w:t>X</w:t>
      </w:r>
      <w:r w:rsidRPr="00B66DE9">
        <w:t>, regional EGU SO</w:t>
      </w:r>
      <w:r w:rsidRPr="00781CCA">
        <w:rPr>
          <w:vertAlign w:val="subscript"/>
        </w:rPr>
        <w:t>2</w:t>
      </w:r>
      <w:r w:rsidRPr="00B66DE9">
        <w:t xml:space="preserve"> emissions in 2010 are significantly lower than were estimated for 2007.</w:t>
      </w:r>
    </w:p>
    <w:p w:rsidR="00556DE8" w:rsidRPr="00B66DE9" w:rsidRDefault="00556DE8" w:rsidP="00556DE8">
      <w:pPr>
        <w:ind w:left="720"/>
      </w:pPr>
      <w:r w:rsidRPr="00B66DE9">
        <w:t>As a result, a clear overall regional SO</w:t>
      </w:r>
      <w:r w:rsidRPr="00781CCA">
        <w:rPr>
          <w:vertAlign w:val="subscript"/>
        </w:rPr>
        <w:t>2</w:t>
      </w:r>
      <w:r w:rsidRPr="00B66DE9">
        <w:t xml:space="preserve"> trend exists with emissions dropping dramatically every year. </w:t>
      </w:r>
    </w:p>
    <w:p w:rsidR="00556DE8" w:rsidRPr="00B66DE9" w:rsidRDefault="00556DE8" w:rsidP="00556DE8">
      <w:pPr>
        <w:numPr>
          <w:ilvl w:val="0"/>
          <w:numId w:val="13"/>
        </w:numPr>
        <w:spacing w:before="120" w:after="180" w:line="300" w:lineRule="auto"/>
      </w:pPr>
      <w:r w:rsidRPr="00A153B3">
        <w:rPr>
          <w:b/>
        </w:rPr>
        <w:t>VOC</w:t>
      </w:r>
      <w:r>
        <w:t xml:space="preserve"> - </w:t>
      </w:r>
      <w:r w:rsidRPr="00B66DE9">
        <w:t xml:space="preserve">Regional VOC emissions are dominated by biogenic emissions which are estimated to remain unchanged in future years.  EGU emissions are incomplete as not all states have had a chance to review these files.  However, as EGU emissions of VOC are very minor and the reductions of other sectors are so significant, we can conclude that </w:t>
      </w:r>
      <w:r w:rsidR="00DF7B92">
        <w:t xml:space="preserve">total </w:t>
      </w:r>
      <w:r w:rsidRPr="00B66DE9">
        <w:t>anthropogenic emissions of VOC are expected to drop.</w:t>
      </w:r>
      <w:r w:rsidR="00DF7B92">
        <w:t xml:space="preserve">  </w:t>
      </w:r>
    </w:p>
    <w:p w:rsidR="00ED6BD9" w:rsidRDefault="00556DE8" w:rsidP="000157EC">
      <w:pPr>
        <w:ind w:left="720"/>
        <w:rPr>
          <w:highlight w:val="yellow"/>
        </w:rPr>
      </w:pPr>
      <w:r w:rsidRPr="006A11F7">
        <w:rPr>
          <w:highlight w:val="yellow"/>
        </w:rPr>
        <w:t>Overall, the trend for anthropogenic VOC emissions is declining.</w:t>
      </w:r>
      <w:r w:rsidR="006A11F7" w:rsidRPr="006A11F7">
        <w:rPr>
          <w:highlight w:val="yellow"/>
        </w:rPr>
        <w:t xml:space="preserve">  This trend will be re-evaluated as emissions from recent oil and gas development become available.</w:t>
      </w:r>
      <w:bookmarkStart w:id="141" w:name="_Toc341960504"/>
    </w:p>
    <w:p w:rsidR="00ED6BD9" w:rsidRDefault="00ED6BD9">
      <w:pPr>
        <w:spacing w:after="0" w:line="240" w:lineRule="auto"/>
        <w:rPr>
          <w:highlight w:val="yellow"/>
        </w:rPr>
      </w:pPr>
      <w:r>
        <w:rPr>
          <w:highlight w:val="yellow"/>
        </w:rPr>
        <w:br w:type="page"/>
      </w:r>
    </w:p>
    <w:p w:rsidR="007357A7" w:rsidRPr="007D1888" w:rsidRDefault="00705984" w:rsidP="00F60FE6">
      <w:pPr>
        <w:pStyle w:val="Caption"/>
      </w:pPr>
      <w:bookmarkStart w:id="142" w:name="_Toc373842789"/>
      <w:bookmarkStart w:id="143" w:name="_Toc373843575"/>
      <w:bookmarkStart w:id="144" w:name="_Toc373844563"/>
      <w:bookmarkEnd w:id="141"/>
      <w:r w:rsidRPr="007D1888">
        <w:rPr>
          <w:rStyle w:val="Heading8Char"/>
          <w:rFonts w:ascii="Arial" w:hAnsi="Arial" w:cs="Arial"/>
          <w:color w:val="auto"/>
        </w:rPr>
        <w:lastRenderedPageBreak/>
        <w:t>Table 7.2. Air Pollutant Emission Trends between 2002 and 2020 for the MANE-VU Region</w:t>
      </w:r>
      <w:bookmarkEnd w:id="142"/>
      <w:bookmarkEnd w:id="143"/>
      <w:bookmarkEnd w:id="144"/>
      <w:r w:rsidR="007357A7" w:rsidRPr="007D1888">
        <w:tab/>
      </w:r>
      <w:r w:rsidR="007357A7" w:rsidRPr="007D1888">
        <w:tab/>
        <w:t xml:space="preserve">   </w:t>
      </w:r>
    </w:p>
    <w:tbl>
      <w:tblPr>
        <w:tblW w:w="9735" w:type="dxa"/>
        <w:tblInd w:w="93" w:type="dxa"/>
        <w:tblBorders>
          <w:top w:val="single" w:sz="4" w:space="0" w:color="auto"/>
          <w:left w:val="single" w:sz="4" w:space="0" w:color="auto"/>
          <w:bottom w:val="single" w:sz="4" w:space="0" w:color="auto"/>
          <w:right w:val="single" w:sz="4" w:space="0" w:color="auto"/>
          <w:insideV w:val="single" w:sz="4" w:space="0" w:color="auto"/>
        </w:tblBorders>
        <w:tblLayout w:type="fixed"/>
        <w:tblLook w:val="04A0" w:firstRow="1" w:lastRow="0" w:firstColumn="1" w:lastColumn="0" w:noHBand="0" w:noVBand="1"/>
      </w:tblPr>
      <w:tblGrid>
        <w:gridCol w:w="1905"/>
        <w:gridCol w:w="1170"/>
        <w:gridCol w:w="1350"/>
        <w:gridCol w:w="1350"/>
        <w:gridCol w:w="1260"/>
        <w:gridCol w:w="1260"/>
        <w:gridCol w:w="1440"/>
      </w:tblGrid>
      <w:tr w:rsidR="007357A7" w:rsidRPr="00F645B9" w:rsidTr="00851EA5">
        <w:trPr>
          <w:trHeight w:val="255"/>
        </w:trPr>
        <w:tc>
          <w:tcPr>
            <w:tcW w:w="1905" w:type="dxa"/>
            <w:tcBorders>
              <w:bottom w:val="single" w:sz="4" w:space="0" w:color="auto"/>
            </w:tcBorders>
            <w:shd w:val="clear" w:color="auto" w:fill="auto"/>
            <w:noWrap/>
            <w:vAlign w:val="bottom"/>
            <w:hideMark/>
          </w:tcPr>
          <w:p w:rsidR="007357A7" w:rsidRPr="00F645B9" w:rsidRDefault="007357A7" w:rsidP="00851EA5">
            <w:pPr>
              <w:keepNext/>
              <w:keepLines/>
              <w:spacing w:after="0"/>
              <w:rPr>
                <w:rFonts w:ascii="Arial" w:hAnsi="Arial" w:cs="Arial"/>
                <w:b/>
                <w:bCs/>
                <w:sz w:val="18"/>
              </w:rPr>
            </w:pPr>
          </w:p>
        </w:tc>
        <w:tc>
          <w:tcPr>
            <w:tcW w:w="1170" w:type="dxa"/>
            <w:tcBorders>
              <w:bottom w:val="single" w:sz="4" w:space="0" w:color="auto"/>
            </w:tcBorders>
            <w:shd w:val="clear" w:color="auto" w:fill="8DB3E2" w:themeFill="text2" w:themeFillTint="66"/>
            <w:noWrap/>
            <w:vAlign w:val="bottom"/>
            <w:hideMark/>
          </w:tcPr>
          <w:p w:rsidR="007357A7" w:rsidRPr="00F645B9" w:rsidRDefault="007357A7" w:rsidP="00851EA5">
            <w:pPr>
              <w:keepNext/>
              <w:keepLines/>
              <w:spacing w:after="0"/>
              <w:jc w:val="center"/>
              <w:rPr>
                <w:rFonts w:ascii="Arial" w:hAnsi="Arial" w:cs="Arial"/>
                <w:b/>
                <w:bCs/>
                <w:sz w:val="18"/>
              </w:rPr>
            </w:pPr>
            <w:r>
              <w:rPr>
                <w:rFonts w:ascii="Arial" w:hAnsi="Arial" w:cs="Arial"/>
                <w:b/>
                <w:bCs/>
                <w:sz w:val="18"/>
              </w:rPr>
              <w:t>(1)</w:t>
            </w:r>
          </w:p>
        </w:tc>
        <w:tc>
          <w:tcPr>
            <w:tcW w:w="1350" w:type="dxa"/>
            <w:tcBorders>
              <w:bottom w:val="single" w:sz="4" w:space="0" w:color="auto"/>
            </w:tcBorders>
            <w:shd w:val="clear" w:color="auto" w:fill="DDD9C3" w:themeFill="background2" w:themeFillShade="E6"/>
            <w:noWrap/>
            <w:vAlign w:val="bottom"/>
            <w:hideMark/>
          </w:tcPr>
          <w:p w:rsidR="007357A7" w:rsidRPr="00F645B9" w:rsidRDefault="007357A7" w:rsidP="00851EA5">
            <w:pPr>
              <w:keepNext/>
              <w:keepLines/>
              <w:spacing w:after="0"/>
              <w:jc w:val="center"/>
              <w:rPr>
                <w:rFonts w:ascii="Arial" w:hAnsi="Arial" w:cs="Arial"/>
                <w:b/>
                <w:bCs/>
                <w:sz w:val="18"/>
              </w:rPr>
            </w:pPr>
            <w:r>
              <w:rPr>
                <w:rFonts w:ascii="Arial" w:hAnsi="Arial" w:cs="Arial"/>
                <w:b/>
                <w:bCs/>
                <w:sz w:val="18"/>
              </w:rPr>
              <w:t>(2)</w:t>
            </w:r>
          </w:p>
        </w:tc>
        <w:tc>
          <w:tcPr>
            <w:tcW w:w="1350" w:type="dxa"/>
            <w:tcBorders>
              <w:bottom w:val="single" w:sz="4" w:space="0" w:color="auto"/>
            </w:tcBorders>
            <w:shd w:val="clear" w:color="auto" w:fill="auto"/>
            <w:vAlign w:val="bottom"/>
          </w:tcPr>
          <w:p w:rsidR="007357A7" w:rsidRPr="00F645B9" w:rsidRDefault="007357A7" w:rsidP="00851EA5">
            <w:pPr>
              <w:keepNext/>
              <w:keepLines/>
              <w:spacing w:after="0"/>
              <w:jc w:val="center"/>
              <w:rPr>
                <w:rFonts w:ascii="Arial" w:hAnsi="Arial" w:cs="Arial"/>
                <w:b/>
                <w:bCs/>
                <w:sz w:val="18"/>
              </w:rPr>
            </w:pPr>
            <w:r>
              <w:rPr>
                <w:rFonts w:ascii="Arial" w:hAnsi="Arial" w:cs="Arial"/>
                <w:b/>
                <w:bCs/>
                <w:sz w:val="18"/>
              </w:rPr>
              <w:t>(3)</w:t>
            </w:r>
          </w:p>
        </w:tc>
        <w:tc>
          <w:tcPr>
            <w:tcW w:w="1260" w:type="dxa"/>
            <w:tcBorders>
              <w:bottom w:val="single" w:sz="4" w:space="0" w:color="auto"/>
            </w:tcBorders>
            <w:shd w:val="clear" w:color="auto" w:fill="DDD9C3" w:themeFill="background2" w:themeFillShade="E6"/>
            <w:vAlign w:val="bottom"/>
          </w:tcPr>
          <w:p w:rsidR="007357A7" w:rsidRPr="00F645B9" w:rsidRDefault="007357A7" w:rsidP="00851EA5">
            <w:pPr>
              <w:keepNext/>
              <w:keepLines/>
              <w:spacing w:after="0"/>
              <w:jc w:val="center"/>
              <w:rPr>
                <w:rFonts w:ascii="Arial" w:hAnsi="Arial" w:cs="Arial"/>
                <w:b/>
                <w:bCs/>
                <w:sz w:val="18"/>
              </w:rPr>
            </w:pPr>
            <w:r>
              <w:rPr>
                <w:rFonts w:ascii="Arial" w:hAnsi="Arial" w:cs="Arial"/>
                <w:b/>
                <w:bCs/>
                <w:sz w:val="18"/>
              </w:rPr>
              <w:t>(4)</w:t>
            </w:r>
          </w:p>
        </w:tc>
        <w:tc>
          <w:tcPr>
            <w:tcW w:w="1260" w:type="dxa"/>
            <w:tcBorders>
              <w:bottom w:val="single" w:sz="4" w:space="0" w:color="auto"/>
            </w:tcBorders>
            <w:shd w:val="clear" w:color="auto" w:fill="8DB3E2" w:themeFill="text2" w:themeFillTint="66"/>
            <w:noWrap/>
            <w:vAlign w:val="bottom"/>
            <w:hideMark/>
          </w:tcPr>
          <w:p w:rsidR="007357A7" w:rsidRPr="00F645B9" w:rsidRDefault="007357A7" w:rsidP="00851EA5">
            <w:pPr>
              <w:keepNext/>
              <w:keepLines/>
              <w:spacing w:after="0"/>
              <w:jc w:val="center"/>
              <w:rPr>
                <w:rFonts w:ascii="Arial" w:hAnsi="Arial" w:cs="Arial"/>
                <w:b/>
                <w:bCs/>
                <w:sz w:val="18"/>
              </w:rPr>
            </w:pPr>
            <w:r>
              <w:rPr>
                <w:rFonts w:ascii="Arial" w:hAnsi="Arial" w:cs="Arial"/>
                <w:b/>
                <w:bCs/>
                <w:sz w:val="18"/>
              </w:rPr>
              <w:t>(5)</w:t>
            </w:r>
          </w:p>
        </w:tc>
        <w:tc>
          <w:tcPr>
            <w:tcW w:w="1440" w:type="dxa"/>
            <w:tcBorders>
              <w:bottom w:val="single" w:sz="4" w:space="0" w:color="auto"/>
            </w:tcBorders>
            <w:shd w:val="clear" w:color="auto" w:fill="DDD9C3" w:themeFill="background2" w:themeFillShade="E6"/>
            <w:noWrap/>
            <w:vAlign w:val="bottom"/>
            <w:hideMark/>
          </w:tcPr>
          <w:p w:rsidR="007357A7" w:rsidRPr="00F645B9" w:rsidRDefault="007357A7" w:rsidP="00851EA5">
            <w:pPr>
              <w:keepNext/>
              <w:keepLines/>
              <w:spacing w:after="0"/>
              <w:jc w:val="center"/>
              <w:rPr>
                <w:rFonts w:ascii="Arial" w:hAnsi="Arial" w:cs="Arial"/>
                <w:b/>
                <w:bCs/>
                <w:sz w:val="18"/>
              </w:rPr>
            </w:pPr>
            <w:r>
              <w:rPr>
                <w:rFonts w:ascii="Arial" w:hAnsi="Arial" w:cs="Arial"/>
                <w:b/>
                <w:bCs/>
                <w:sz w:val="18"/>
              </w:rPr>
              <w:t>(6)</w:t>
            </w:r>
          </w:p>
        </w:tc>
      </w:tr>
      <w:tr w:rsidR="00FF70D4" w:rsidRPr="00F645B9" w:rsidTr="00851EA5">
        <w:trPr>
          <w:trHeight w:val="255"/>
        </w:trPr>
        <w:tc>
          <w:tcPr>
            <w:tcW w:w="1905" w:type="dxa"/>
            <w:tcBorders>
              <w:bottom w:val="single" w:sz="4" w:space="0" w:color="auto"/>
            </w:tcBorders>
            <w:shd w:val="clear" w:color="auto" w:fill="auto"/>
            <w:noWrap/>
            <w:vAlign w:val="bottom"/>
            <w:hideMark/>
          </w:tcPr>
          <w:p w:rsidR="00FF70D4" w:rsidRPr="00F645B9" w:rsidRDefault="00FF70D4" w:rsidP="00851EA5">
            <w:pPr>
              <w:keepNext/>
              <w:keepLines/>
              <w:spacing w:after="0"/>
              <w:rPr>
                <w:rFonts w:ascii="Arial" w:hAnsi="Arial" w:cs="Arial"/>
                <w:b/>
                <w:bCs/>
                <w:sz w:val="18"/>
              </w:rPr>
            </w:pPr>
          </w:p>
        </w:tc>
        <w:tc>
          <w:tcPr>
            <w:tcW w:w="1170" w:type="dxa"/>
            <w:tcBorders>
              <w:bottom w:val="single" w:sz="4" w:space="0" w:color="auto"/>
            </w:tcBorders>
            <w:shd w:val="clear" w:color="auto" w:fill="8DB3E2" w:themeFill="text2" w:themeFillTint="66"/>
            <w:noWrap/>
            <w:vAlign w:val="bottom"/>
            <w:hideMark/>
          </w:tcPr>
          <w:p w:rsidR="00FF70D4" w:rsidRPr="00F645B9" w:rsidRDefault="00FF70D4" w:rsidP="00851EA5">
            <w:pPr>
              <w:keepNext/>
              <w:keepLines/>
              <w:spacing w:after="0"/>
              <w:jc w:val="center"/>
              <w:rPr>
                <w:rFonts w:ascii="Arial" w:hAnsi="Arial" w:cs="Arial"/>
                <w:b/>
                <w:bCs/>
                <w:sz w:val="18"/>
              </w:rPr>
            </w:pPr>
            <w:r w:rsidRPr="00F645B9">
              <w:rPr>
                <w:rFonts w:ascii="Arial" w:hAnsi="Arial" w:cs="Arial"/>
                <w:b/>
                <w:bCs/>
                <w:sz w:val="18"/>
              </w:rPr>
              <w:t>2002</w:t>
            </w:r>
          </w:p>
        </w:tc>
        <w:tc>
          <w:tcPr>
            <w:tcW w:w="1350" w:type="dxa"/>
            <w:tcBorders>
              <w:bottom w:val="single" w:sz="4" w:space="0" w:color="auto"/>
            </w:tcBorders>
            <w:shd w:val="clear" w:color="auto" w:fill="DDD9C3" w:themeFill="background2" w:themeFillShade="E6"/>
            <w:noWrap/>
            <w:vAlign w:val="bottom"/>
            <w:hideMark/>
          </w:tcPr>
          <w:p w:rsidR="00FF70D4" w:rsidRPr="00F645B9" w:rsidRDefault="00FF70D4" w:rsidP="00851EA5">
            <w:pPr>
              <w:keepNext/>
              <w:keepLines/>
              <w:spacing w:after="0"/>
              <w:jc w:val="center"/>
              <w:rPr>
                <w:rFonts w:ascii="Arial" w:hAnsi="Arial" w:cs="Arial"/>
                <w:b/>
                <w:bCs/>
                <w:sz w:val="18"/>
              </w:rPr>
            </w:pPr>
            <w:r w:rsidRPr="00F645B9">
              <w:rPr>
                <w:rFonts w:ascii="Arial" w:hAnsi="Arial" w:cs="Arial"/>
                <w:b/>
                <w:bCs/>
                <w:sz w:val="18"/>
              </w:rPr>
              <w:t>2007</w:t>
            </w:r>
          </w:p>
        </w:tc>
        <w:tc>
          <w:tcPr>
            <w:tcW w:w="1350" w:type="dxa"/>
            <w:tcBorders>
              <w:bottom w:val="single" w:sz="4" w:space="0" w:color="auto"/>
            </w:tcBorders>
            <w:shd w:val="clear" w:color="auto" w:fill="auto"/>
            <w:vAlign w:val="bottom"/>
          </w:tcPr>
          <w:p w:rsidR="00FF70D4" w:rsidRPr="00F645B9" w:rsidRDefault="00FF70D4" w:rsidP="00851EA5">
            <w:pPr>
              <w:keepNext/>
              <w:keepLines/>
              <w:spacing w:after="0"/>
              <w:jc w:val="center"/>
              <w:rPr>
                <w:rFonts w:ascii="Arial" w:hAnsi="Arial" w:cs="Arial"/>
                <w:b/>
                <w:bCs/>
                <w:sz w:val="18"/>
              </w:rPr>
            </w:pPr>
            <w:r w:rsidRPr="00F645B9">
              <w:rPr>
                <w:rFonts w:ascii="Arial" w:hAnsi="Arial" w:cs="Arial"/>
                <w:b/>
                <w:bCs/>
                <w:sz w:val="18"/>
              </w:rPr>
              <w:t>2010</w:t>
            </w:r>
          </w:p>
        </w:tc>
        <w:tc>
          <w:tcPr>
            <w:tcW w:w="1260" w:type="dxa"/>
            <w:tcBorders>
              <w:bottom w:val="single" w:sz="4" w:space="0" w:color="auto"/>
            </w:tcBorders>
            <w:shd w:val="clear" w:color="auto" w:fill="DDD9C3" w:themeFill="background2" w:themeFillShade="E6"/>
            <w:vAlign w:val="bottom"/>
          </w:tcPr>
          <w:p w:rsidR="00FF70D4" w:rsidRPr="00F645B9" w:rsidRDefault="00FF70D4" w:rsidP="00851EA5">
            <w:pPr>
              <w:keepNext/>
              <w:keepLines/>
              <w:spacing w:after="0"/>
              <w:jc w:val="center"/>
              <w:rPr>
                <w:rFonts w:ascii="Arial" w:hAnsi="Arial" w:cs="Arial"/>
                <w:b/>
                <w:bCs/>
                <w:sz w:val="18"/>
              </w:rPr>
            </w:pPr>
            <w:r w:rsidRPr="00F645B9">
              <w:rPr>
                <w:rFonts w:ascii="Arial" w:hAnsi="Arial" w:cs="Arial"/>
                <w:b/>
                <w:bCs/>
                <w:sz w:val="18"/>
              </w:rPr>
              <w:t>2017</w:t>
            </w:r>
          </w:p>
        </w:tc>
        <w:tc>
          <w:tcPr>
            <w:tcW w:w="1260" w:type="dxa"/>
            <w:tcBorders>
              <w:bottom w:val="single" w:sz="4" w:space="0" w:color="auto"/>
            </w:tcBorders>
            <w:shd w:val="clear" w:color="auto" w:fill="8DB3E2" w:themeFill="text2" w:themeFillTint="66"/>
            <w:noWrap/>
            <w:vAlign w:val="bottom"/>
            <w:hideMark/>
          </w:tcPr>
          <w:p w:rsidR="00FF70D4" w:rsidRPr="00F645B9" w:rsidRDefault="00FF70D4" w:rsidP="00851EA5">
            <w:pPr>
              <w:keepNext/>
              <w:keepLines/>
              <w:spacing w:after="0"/>
              <w:jc w:val="center"/>
              <w:rPr>
                <w:rFonts w:ascii="Arial" w:hAnsi="Arial" w:cs="Arial"/>
                <w:b/>
                <w:bCs/>
                <w:sz w:val="18"/>
              </w:rPr>
            </w:pPr>
            <w:r w:rsidRPr="00F645B9">
              <w:rPr>
                <w:rFonts w:ascii="Arial" w:hAnsi="Arial" w:cs="Arial"/>
                <w:b/>
                <w:bCs/>
                <w:sz w:val="18"/>
              </w:rPr>
              <w:t>2018</w:t>
            </w:r>
          </w:p>
        </w:tc>
        <w:tc>
          <w:tcPr>
            <w:tcW w:w="1440" w:type="dxa"/>
            <w:tcBorders>
              <w:bottom w:val="single" w:sz="4" w:space="0" w:color="auto"/>
            </w:tcBorders>
            <w:shd w:val="clear" w:color="auto" w:fill="DDD9C3" w:themeFill="background2" w:themeFillShade="E6"/>
            <w:noWrap/>
            <w:vAlign w:val="bottom"/>
            <w:hideMark/>
          </w:tcPr>
          <w:p w:rsidR="00FF70D4" w:rsidRPr="00F645B9" w:rsidRDefault="00FF70D4" w:rsidP="00851EA5">
            <w:pPr>
              <w:keepNext/>
              <w:keepLines/>
              <w:spacing w:after="0"/>
              <w:jc w:val="center"/>
              <w:rPr>
                <w:rFonts w:ascii="Arial" w:hAnsi="Arial" w:cs="Arial"/>
                <w:b/>
                <w:bCs/>
                <w:sz w:val="18"/>
              </w:rPr>
            </w:pPr>
            <w:r w:rsidRPr="00F645B9">
              <w:rPr>
                <w:rFonts w:ascii="Arial" w:hAnsi="Arial" w:cs="Arial"/>
                <w:b/>
                <w:bCs/>
                <w:sz w:val="18"/>
              </w:rPr>
              <w:t>2020</w:t>
            </w:r>
          </w:p>
        </w:tc>
      </w:tr>
      <w:tr w:rsidR="00FF70D4" w:rsidRPr="00F645B9" w:rsidTr="00851EA5">
        <w:trPr>
          <w:trHeight w:val="255"/>
        </w:trPr>
        <w:tc>
          <w:tcPr>
            <w:tcW w:w="1905" w:type="dxa"/>
            <w:tcBorders>
              <w:bottom w:val="single" w:sz="4" w:space="0" w:color="auto"/>
            </w:tcBorders>
            <w:shd w:val="clear" w:color="auto" w:fill="auto"/>
            <w:noWrap/>
            <w:vAlign w:val="bottom"/>
          </w:tcPr>
          <w:p w:rsidR="00FF70D4" w:rsidRPr="00F645B9" w:rsidRDefault="00FF70D4" w:rsidP="00851EA5">
            <w:pPr>
              <w:keepNext/>
              <w:keepLines/>
              <w:spacing w:after="0"/>
              <w:rPr>
                <w:rFonts w:ascii="Arial" w:hAnsi="Arial" w:cs="Arial"/>
                <w:b/>
                <w:bCs/>
                <w:sz w:val="18"/>
              </w:rPr>
            </w:pPr>
            <w:r w:rsidRPr="00F645B9">
              <w:rPr>
                <w:rFonts w:ascii="Arial" w:hAnsi="Arial" w:cs="Arial"/>
                <w:b/>
                <w:bCs/>
                <w:sz w:val="18"/>
              </w:rPr>
              <w:t>Data Source(1)</w:t>
            </w:r>
          </w:p>
        </w:tc>
        <w:tc>
          <w:tcPr>
            <w:tcW w:w="1170" w:type="dxa"/>
            <w:tcBorders>
              <w:bottom w:val="single" w:sz="4" w:space="0" w:color="auto"/>
            </w:tcBorders>
            <w:shd w:val="clear" w:color="auto" w:fill="8DB3E2" w:themeFill="text2" w:themeFillTint="66"/>
            <w:noWrap/>
            <w:vAlign w:val="bottom"/>
          </w:tcPr>
          <w:p w:rsidR="00FF70D4" w:rsidRPr="00F645B9" w:rsidRDefault="00FF70D4" w:rsidP="00851EA5">
            <w:pPr>
              <w:keepNext/>
              <w:keepLines/>
              <w:spacing w:after="0"/>
              <w:jc w:val="center"/>
              <w:rPr>
                <w:rFonts w:ascii="Arial" w:hAnsi="Arial" w:cs="Arial"/>
                <w:b/>
                <w:bCs/>
                <w:sz w:val="18"/>
              </w:rPr>
            </w:pPr>
            <w:r w:rsidRPr="00F645B9">
              <w:rPr>
                <w:rFonts w:ascii="Arial" w:hAnsi="Arial" w:cs="Arial"/>
                <w:b/>
                <w:bCs/>
                <w:sz w:val="18"/>
              </w:rPr>
              <w:t>2002 V3</w:t>
            </w:r>
          </w:p>
        </w:tc>
        <w:tc>
          <w:tcPr>
            <w:tcW w:w="1350" w:type="dxa"/>
            <w:tcBorders>
              <w:bottom w:val="single" w:sz="4" w:space="0" w:color="auto"/>
            </w:tcBorders>
            <w:shd w:val="clear" w:color="auto" w:fill="DDD9C3" w:themeFill="background2" w:themeFillShade="E6"/>
            <w:noWrap/>
            <w:vAlign w:val="bottom"/>
          </w:tcPr>
          <w:p w:rsidR="00FF70D4" w:rsidRPr="00F645B9" w:rsidRDefault="00FF70D4" w:rsidP="00851EA5">
            <w:pPr>
              <w:keepNext/>
              <w:keepLines/>
              <w:spacing w:after="0"/>
              <w:jc w:val="center"/>
              <w:rPr>
                <w:rFonts w:ascii="Arial" w:hAnsi="Arial" w:cs="Arial"/>
                <w:b/>
                <w:bCs/>
                <w:sz w:val="18"/>
              </w:rPr>
            </w:pPr>
            <w:r w:rsidRPr="00F645B9">
              <w:rPr>
                <w:rFonts w:ascii="Arial" w:hAnsi="Arial" w:cs="Arial"/>
                <w:b/>
                <w:bCs/>
                <w:sz w:val="18"/>
              </w:rPr>
              <w:t>2007 V3</w:t>
            </w:r>
          </w:p>
        </w:tc>
        <w:tc>
          <w:tcPr>
            <w:tcW w:w="1350" w:type="dxa"/>
            <w:tcBorders>
              <w:bottom w:val="single" w:sz="4" w:space="0" w:color="auto"/>
            </w:tcBorders>
            <w:shd w:val="clear" w:color="auto" w:fill="auto"/>
            <w:vAlign w:val="bottom"/>
          </w:tcPr>
          <w:p w:rsidR="00FF70D4" w:rsidRPr="00F645B9" w:rsidRDefault="00FF70D4" w:rsidP="00851EA5">
            <w:pPr>
              <w:keepNext/>
              <w:keepLines/>
              <w:spacing w:after="0"/>
              <w:jc w:val="center"/>
              <w:rPr>
                <w:rFonts w:ascii="Arial" w:hAnsi="Arial" w:cs="Arial"/>
                <w:b/>
                <w:bCs/>
                <w:sz w:val="18"/>
              </w:rPr>
            </w:pPr>
            <w:r w:rsidRPr="00F645B9">
              <w:rPr>
                <w:rFonts w:ascii="Arial" w:hAnsi="Arial" w:cs="Arial"/>
                <w:b/>
                <w:bCs/>
                <w:sz w:val="18"/>
              </w:rPr>
              <w:t>CAMD</w:t>
            </w:r>
          </w:p>
        </w:tc>
        <w:tc>
          <w:tcPr>
            <w:tcW w:w="1260" w:type="dxa"/>
            <w:tcBorders>
              <w:bottom w:val="single" w:sz="4" w:space="0" w:color="auto"/>
            </w:tcBorders>
            <w:shd w:val="clear" w:color="auto" w:fill="DDD9C3" w:themeFill="background2" w:themeFillShade="E6"/>
            <w:vAlign w:val="bottom"/>
          </w:tcPr>
          <w:p w:rsidR="00FF70D4" w:rsidRPr="00F645B9" w:rsidRDefault="00FF70D4" w:rsidP="00851EA5">
            <w:pPr>
              <w:keepNext/>
              <w:keepLines/>
              <w:spacing w:after="0"/>
              <w:jc w:val="center"/>
              <w:rPr>
                <w:rFonts w:ascii="Arial" w:hAnsi="Arial" w:cs="Arial"/>
                <w:b/>
                <w:bCs/>
                <w:sz w:val="18"/>
              </w:rPr>
            </w:pPr>
            <w:r w:rsidRPr="00F645B9">
              <w:rPr>
                <w:rFonts w:ascii="Arial" w:hAnsi="Arial" w:cs="Arial"/>
                <w:b/>
                <w:bCs/>
                <w:sz w:val="18"/>
              </w:rPr>
              <w:t>2007 V3</w:t>
            </w:r>
          </w:p>
        </w:tc>
        <w:tc>
          <w:tcPr>
            <w:tcW w:w="1260" w:type="dxa"/>
            <w:tcBorders>
              <w:bottom w:val="single" w:sz="4" w:space="0" w:color="auto"/>
            </w:tcBorders>
            <w:shd w:val="clear" w:color="auto" w:fill="8DB3E2" w:themeFill="text2" w:themeFillTint="66"/>
            <w:noWrap/>
            <w:vAlign w:val="bottom"/>
          </w:tcPr>
          <w:p w:rsidR="00FF70D4" w:rsidRPr="00F645B9" w:rsidRDefault="00FF70D4" w:rsidP="00851EA5">
            <w:pPr>
              <w:keepNext/>
              <w:keepLines/>
              <w:spacing w:after="0"/>
              <w:jc w:val="center"/>
              <w:rPr>
                <w:rFonts w:ascii="Arial" w:hAnsi="Arial" w:cs="Arial"/>
                <w:b/>
                <w:bCs/>
                <w:sz w:val="18"/>
              </w:rPr>
            </w:pPr>
            <w:r w:rsidRPr="00F645B9">
              <w:rPr>
                <w:rFonts w:ascii="Arial" w:hAnsi="Arial" w:cs="Arial"/>
                <w:b/>
                <w:bCs/>
                <w:sz w:val="18"/>
              </w:rPr>
              <w:t>2002 V3</w:t>
            </w:r>
          </w:p>
        </w:tc>
        <w:tc>
          <w:tcPr>
            <w:tcW w:w="1440" w:type="dxa"/>
            <w:tcBorders>
              <w:bottom w:val="single" w:sz="4" w:space="0" w:color="auto"/>
            </w:tcBorders>
            <w:shd w:val="clear" w:color="auto" w:fill="DDD9C3" w:themeFill="background2" w:themeFillShade="E6"/>
            <w:noWrap/>
            <w:vAlign w:val="bottom"/>
          </w:tcPr>
          <w:p w:rsidR="00FF70D4" w:rsidRPr="00F645B9" w:rsidRDefault="00FF70D4" w:rsidP="00851EA5">
            <w:pPr>
              <w:keepNext/>
              <w:keepLines/>
              <w:spacing w:after="0"/>
              <w:jc w:val="center"/>
              <w:rPr>
                <w:rFonts w:ascii="Arial" w:hAnsi="Arial" w:cs="Arial"/>
                <w:b/>
                <w:bCs/>
                <w:sz w:val="18"/>
              </w:rPr>
            </w:pPr>
            <w:r w:rsidRPr="00F645B9">
              <w:rPr>
                <w:rFonts w:ascii="Arial" w:hAnsi="Arial" w:cs="Arial"/>
                <w:b/>
                <w:bCs/>
                <w:sz w:val="18"/>
              </w:rPr>
              <w:t>2007 V3</w:t>
            </w:r>
          </w:p>
        </w:tc>
      </w:tr>
      <w:tr w:rsidR="00FF70D4" w:rsidRPr="00F645B9" w:rsidTr="00851EA5">
        <w:trPr>
          <w:trHeight w:val="255"/>
        </w:trPr>
        <w:tc>
          <w:tcPr>
            <w:tcW w:w="9735" w:type="dxa"/>
            <w:gridSpan w:val="7"/>
            <w:tcBorders>
              <w:top w:val="single" w:sz="4" w:space="0" w:color="auto"/>
            </w:tcBorders>
            <w:shd w:val="clear" w:color="auto" w:fill="auto"/>
            <w:noWrap/>
            <w:vAlign w:val="bottom"/>
            <w:hideMark/>
          </w:tcPr>
          <w:p w:rsidR="00FF70D4" w:rsidRPr="00F645B9" w:rsidRDefault="00FF70D4" w:rsidP="00851EA5">
            <w:pPr>
              <w:keepNext/>
              <w:keepLines/>
              <w:spacing w:after="0" w:line="240" w:lineRule="auto"/>
              <w:jc w:val="center"/>
              <w:rPr>
                <w:rFonts w:ascii="Arial" w:hAnsi="Arial" w:cs="Arial"/>
                <w:sz w:val="18"/>
                <w:highlight w:val="yellow"/>
              </w:rPr>
            </w:pPr>
            <w:r w:rsidRPr="00F645B9">
              <w:rPr>
                <w:rFonts w:ascii="Arial" w:hAnsi="Arial" w:cs="Arial"/>
                <w:b/>
                <w:bCs/>
                <w:sz w:val="18"/>
              </w:rPr>
              <w:t>Oxides of Nitrogen (TPY)</w:t>
            </w:r>
          </w:p>
        </w:tc>
      </w:tr>
      <w:tr w:rsidR="00FF70D4" w:rsidRPr="00F645B9" w:rsidTr="00851EA5">
        <w:trPr>
          <w:trHeight w:val="255"/>
        </w:trPr>
        <w:tc>
          <w:tcPr>
            <w:tcW w:w="1905" w:type="dxa"/>
            <w:tcBorders>
              <w:top w:val="single" w:sz="4" w:space="0" w:color="auto"/>
            </w:tcBorders>
            <w:shd w:val="clear" w:color="auto" w:fill="auto"/>
            <w:noWrap/>
            <w:vAlign w:val="bottom"/>
            <w:hideMark/>
          </w:tcPr>
          <w:p w:rsidR="00FF70D4" w:rsidRPr="00F645B9" w:rsidRDefault="00FF70D4" w:rsidP="00851EA5">
            <w:pPr>
              <w:keepNext/>
              <w:keepLines/>
              <w:spacing w:after="0"/>
              <w:rPr>
                <w:rFonts w:ascii="Arial" w:hAnsi="Arial" w:cs="Arial"/>
                <w:sz w:val="18"/>
              </w:rPr>
            </w:pPr>
            <w:r w:rsidRPr="00F645B9">
              <w:rPr>
                <w:rFonts w:ascii="Arial" w:hAnsi="Arial" w:cs="Arial"/>
                <w:sz w:val="18"/>
              </w:rPr>
              <w:t>Area(4)</w:t>
            </w:r>
          </w:p>
        </w:tc>
        <w:tc>
          <w:tcPr>
            <w:tcW w:w="1170" w:type="dxa"/>
            <w:tcBorders>
              <w:top w:val="single" w:sz="4" w:space="0" w:color="auto"/>
            </w:tcBorders>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266,747</w:t>
            </w:r>
          </w:p>
        </w:tc>
        <w:tc>
          <w:tcPr>
            <w:tcW w:w="1350" w:type="dxa"/>
            <w:tcBorders>
              <w:top w:val="single" w:sz="4" w:space="0" w:color="auto"/>
            </w:tcBorders>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highlight w:val="yellow"/>
              </w:rPr>
            </w:pPr>
            <w:r w:rsidRPr="00F645B9">
              <w:rPr>
                <w:rFonts w:ascii="Arial" w:hAnsi="Arial" w:cs="Arial"/>
                <w:sz w:val="18"/>
              </w:rPr>
              <w:t>207,054</w:t>
            </w:r>
          </w:p>
        </w:tc>
        <w:tc>
          <w:tcPr>
            <w:tcW w:w="1350" w:type="dxa"/>
            <w:tcBorders>
              <w:top w:val="single" w:sz="4" w:space="0" w:color="auto"/>
            </w:tcBorders>
            <w:shd w:val="clear" w:color="auto" w:fill="auto"/>
            <w:vAlign w:val="bottom"/>
          </w:tcPr>
          <w:p w:rsidR="00FF70D4" w:rsidRPr="00F645B9" w:rsidRDefault="00FF70D4" w:rsidP="00851EA5">
            <w:pPr>
              <w:keepNext/>
              <w:keepLines/>
              <w:spacing w:after="0" w:line="240" w:lineRule="auto"/>
              <w:jc w:val="right"/>
              <w:rPr>
                <w:rFonts w:ascii="Arial" w:hAnsi="Arial" w:cs="Arial"/>
                <w:sz w:val="18"/>
                <w:highlight w:val="yellow"/>
              </w:rPr>
            </w:pPr>
            <w:r w:rsidRPr="00F645B9">
              <w:rPr>
                <w:rFonts w:ascii="Arial" w:hAnsi="Arial" w:cs="Arial"/>
                <w:sz w:val="18"/>
              </w:rPr>
              <w:t>---</w:t>
            </w:r>
          </w:p>
        </w:tc>
        <w:tc>
          <w:tcPr>
            <w:tcW w:w="1260" w:type="dxa"/>
            <w:tcBorders>
              <w:top w:val="single" w:sz="4" w:space="0" w:color="auto"/>
            </w:tcBorders>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highlight w:val="yellow"/>
              </w:rPr>
            </w:pPr>
            <w:r w:rsidRPr="00F645B9">
              <w:rPr>
                <w:rFonts w:ascii="Arial" w:hAnsi="Arial" w:cs="Arial"/>
                <w:sz w:val="18"/>
              </w:rPr>
              <w:t>194,832</w:t>
            </w:r>
          </w:p>
        </w:tc>
        <w:tc>
          <w:tcPr>
            <w:tcW w:w="1260" w:type="dxa"/>
            <w:tcBorders>
              <w:top w:val="single" w:sz="4" w:space="0" w:color="auto"/>
            </w:tcBorders>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highlight w:val="yellow"/>
              </w:rPr>
            </w:pPr>
            <w:r w:rsidRPr="00F645B9">
              <w:rPr>
                <w:rFonts w:ascii="Arial" w:hAnsi="Arial" w:cs="Arial"/>
                <w:sz w:val="18"/>
              </w:rPr>
              <w:t>263,954</w:t>
            </w:r>
          </w:p>
        </w:tc>
        <w:tc>
          <w:tcPr>
            <w:tcW w:w="1440" w:type="dxa"/>
            <w:tcBorders>
              <w:top w:val="single" w:sz="4" w:space="0" w:color="auto"/>
            </w:tcBorders>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194,868</w:t>
            </w:r>
          </w:p>
        </w:tc>
      </w:tr>
      <w:tr w:rsidR="00FF70D4" w:rsidRPr="00F645B9" w:rsidTr="00851EA5">
        <w:trPr>
          <w:trHeight w:val="255"/>
        </w:trPr>
        <w:tc>
          <w:tcPr>
            <w:tcW w:w="1905" w:type="dxa"/>
            <w:shd w:val="clear" w:color="auto" w:fill="auto"/>
            <w:noWrap/>
            <w:vAlign w:val="bottom"/>
            <w:hideMark/>
          </w:tcPr>
          <w:p w:rsidR="00FF70D4" w:rsidRPr="00F645B9" w:rsidRDefault="00FF70D4" w:rsidP="00851EA5">
            <w:pPr>
              <w:keepNext/>
              <w:keepLines/>
              <w:spacing w:after="0"/>
              <w:rPr>
                <w:rFonts w:ascii="Arial" w:hAnsi="Arial" w:cs="Arial"/>
                <w:sz w:val="18"/>
              </w:rPr>
            </w:pPr>
            <w:r w:rsidRPr="00F645B9">
              <w:rPr>
                <w:rFonts w:ascii="Arial" w:hAnsi="Arial" w:cs="Arial"/>
                <w:sz w:val="18"/>
              </w:rPr>
              <w:t>Nonroad MAR(4)</w:t>
            </w:r>
          </w:p>
        </w:tc>
        <w:tc>
          <w:tcPr>
            <w:tcW w:w="117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137,733</w:t>
            </w:r>
          </w:p>
        </w:tc>
        <w:tc>
          <w:tcPr>
            <w:tcW w:w="135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173,855</w:t>
            </w:r>
          </w:p>
        </w:tc>
        <w:tc>
          <w:tcPr>
            <w:tcW w:w="1350" w:type="dxa"/>
            <w:shd w:val="clear" w:color="auto" w:fill="auto"/>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b/>
                <w:sz w:val="18"/>
              </w:rPr>
              <w:t>---</w:t>
            </w:r>
          </w:p>
        </w:tc>
        <w:tc>
          <w:tcPr>
            <w:tcW w:w="1260" w:type="dxa"/>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127,391</w:t>
            </w:r>
          </w:p>
        </w:tc>
        <w:tc>
          <w:tcPr>
            <w:tcW w:w="126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111,425</w:t>
            </w:r>
          </w:p>
        </w:tc>
        <w:tc>
          <w:tcPr>
            <w:tcW w:w="144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118,025</w:t>
            </w:r>
          </w:p>
        </w:tc>
      </w:tr>
      <w:tr w:rsidR="00FF70D4" w:rsidRPr="00F645B9" w:rsidTr="00851EA5">
        <w:trPr>
          <w:trHeight w:val="255"/>
        </w:trPr>
        <w:tc>
          <w:tcPr>
            <w:tcW w:w="1905" w:type="dxa"/>
            <w:shd w:val="clear" w:color="auto" w:fill="auto"/>
            <w:noWrap/>
            <w:vAlign w:val="bottom"/>
            <w:hideMark/>
          </w:tcPr>
          <w:p w:rsidR="00FF70D4" w:rsidRPr="00F645B9" w:rsidRDefault="00FF70D4" w:rsidP="00851EA5">
            <w:pPr>
              <w:keepNext/>
              <w:keepLines/>
              <w:spacing w:after="0"/>
              <w:rPr>
                <w:rFonts w:ascii="Arial" w:hAnsi="Arial" w:cs="Arial"/>
                <w:sz w:val="18"/>
              </w:rPr>
            </w:pPr>
            <w:r w:rsidRPr="00F645B9">
              <w:rPr>
                <w:rFonts w:ascii="Arial" w:hAnsi="Arial" w:cs="Arial"/>
                <w:sz w:val="18"/>
              </w:rPr>
              <w:t>Nonroad NMIM(4)</w:t>
            </w:r>
          </w:p>
        </w:tc>
        <w:tc>
          <w:tcPr>
            <w:tcW w:w="117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289,392</w:t>
            </w:r>
          </w:p>
        </w:tc>
        <w:tc>
          <w:tcPr>
            <w:tcW w:w="135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263,931</w:t>
            </w:r>
          </w:p>
        </w:tc>
        <w:tc>
          <w:tcPr>
            <w:tcW w:w="1350" w:type="dxa"/>
            <w:shd w:val="clear" w:color="auto" w:fill="auto"/>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c>
          <w:tcPr>
            <w:tcW w:w="1260" w:type="dxa"/>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153,553</w:t>
            </w:r>
          </w:p>
        </w:tc>
        <w:tc>
          <w:tcPr>
            <w:tcW w:w="126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158,843</w:t>
            </w:r>
          </w:p>
        </w:tc>
        <w:tc>
          <w:tcPr>
            <w:tcW w:w="144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135,962</w:t>
            </w:r>
          </w:p>
        </w:tc>
      </w:tr>
      <w:tr w:rsidR="00FF70D4" w:rsidRPr="00F645B9" w:rsidTr="00851EA5">
        <w:trPr>
          <w:trHeight w:val="255"/>
        </w:trPr>
        <w:tc>
          <w:tcPr>
            <w:tcW w:w="1905" w:type="dxa"/>
            <w:shd w:val="clear" w:color="auto" w:fill="auto"/>
            <w:noWrap/>
            <w:vAlign w:val="bottom"/>
            <w:hideMark/>
          </w:tcPr>
          <w:p w:rsidR="00FF70D4" w:rsidRPr="00F645B9" w:rsidRDefault="00FF70D4" w:rsidP="00851EA5">
            <w:pPr>
              <w:keepNext/>
              <w:keepLines/>
              <w:spacing w:after="0"/>
              <w:rPr>
                <w:rFonts w:ascii="Arial" w:hAnsi="Arial" w:cs="Arial"/>
                <w:sz w:val="18"/>
              </w:rPr>
            </w:pPr>
            <w:r w:rsidRPr="00F645B9">
              <w:rPr>
                <w:rFonts w:ascii="Arial" w:hAnsi="Arial" w:cs="Arial"/>
                <w:sz w:val="18"/>
              </w:rPr>
              <w:t>Onroad Mobile(4)</w:t>
            </w:r>
          </w:p>
        </w:tc>
        <w:tc>
          <w:tcPr>
            <w:tcW w:w="117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1,308,235</w:t>
            </w:r>
          </w:p>
        </w:tc>
        <w:tc>
          <w:tcPr>
            <w:tcW w:w="135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1,175,916</w:t>
            </w:r>
          </w:p>
        </w:tc>
        <w:tc>
          <w:tcPr>
            <w:tcW w:w="1350" w:type="dxa"/>
            <w:shd w:val="clear" w:color="auto" w:fill="auto"/>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c>
          <w:tcPr>
            <w:tcW w:w="1260" w:type="dxa"/>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c>
          <w:tcPr>
            <w:tcW w:w="126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303,956</w:t>
            </w:r>
          </w:p>
        </w:tc>
        <w:tc>
          <w:tcPr>
            <w:tcW w:w="144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471,558</w:t>
            </w:r>
          </w:p>
        </w:tc>
      </w:tr>
      <w:tr w:rsidR="00FF70D4" w:rsidRPr="00F645B9" w:rsidTr="00851EA5">
        <w:trPr>
          <w:trHeight w:val="255"/>
        </w:trPr>
        <w:tc>
          <w:tcPr>
            <w:tcW w:w="1905" w:type="dxa"/>
            <w:shd w:val="clear" w:color="auto" w:fill="auto"/>
            <w:noWrap/>
            <w:vAlign w:val="bottom"/>
            <w:hideMark/>
          </w:tcPr>
          <w:p w:rsidR="00FF70D4" w:rsidRPr="00F645B9" w:rsidRDefault="00FF70D4" w:rsidP="00851EA5">
            <w:pPr>
              <w:keepNext/>
              <w:keepLines/>
              <w:spacing w:after="0"/>
              <w:rPr>
                <w:rFonts w:ascii="Arial" w:hAnsi="Arial" w:cs="Arial"/>
                <w:sz w:val="18"/>
              </w:rPr>
            </w:pPr>
            <w:r w:rsidRPr="00F645B9">
              <w:rPr>
                <w:rFonts w:ascii="Arial" w:hAnsi="Arial" w:cs="Arial"/>
                <w:sz w:val="18"/>
              </w:rPr>
              <w:t>Point EGU(2)</w:t>
            </w:r>
          </w:p>
        </w:tc>
        <w:tc>
          <w:tcPr>
            <w:tcW w:w="117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453,395</w:t>
            </w:r>
          </w:p>
        </w:tc>
        <w:tc>
          <w:tcPr>
            <w:tcW w:w="135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338,488</w:t>
            </w:r>
          </w:p>
        </w:tc>
        <w:tc>
          <w:tcPr>
            <w:tcW w:w="1350" w:type="dxa"/>
            <w:shd w:val="clear" w:color="auto" w:fill="auto"/>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214,623</w:t>
            </w:r>
          </w:p>
        </w:tc>
        <w:tc>
          <w:tcPr>
            <w:tcW w:w="1260" w:type="dxa"/>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c>
          <w:tcPr>
            <w:tcW w:w="126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168,268</w:t>
            </w:r>
          </w:p>
        </w:tc>
        <w:tc>
          <w:tcPr>
            <w:tcW w:w="144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r>
      <w:tr w:rsidR="00FF70D4" w:rsidRPr="00F645B9" w:rsidTr="00851EA5">
        <w:trPr>
          <w:trHeight w:val="255"/>
        </w:trPr>
        <w:tc>
          <w:tcPr>
            <w:tcW w:w="1905" w:type="dxa"/>
            <w:shd w:val="clear" w:color="auto" w:fill="auto"/>
            <w:noWrap/>
            <w:vAlign w:val="bottom"/>
            <w:hideMark/>
          </w:tcPr>
          <w:p w:rsidR="00FF70D4" w:rsidRPr="00F645B9" w:rsidRDefault="00FF70D4" w:rsidP="00851EA5">
            <w:pPr>
              <w:keepNext/>
              <w:keepLines/>
              <w:spacing w:after="0"/>
              <w:rPr>
                <w:rFonts w:ascii="Arial" w:hAnsi="Arial" w:cs="Arial"/>
                <w:sz w:val="18"/>
              </w:rPr>
            </w:pPr>
            <w:r w:rsidRPr="00F645B9">
              <w:rPr>
                <w:rFonts w:ascii="Arial" w:hAnsi="Arial" w:cs="Arial"/>
                <w:sz w:val="18"/>
              </w:rPr>
              <w:t>Point nonEGU(3)</w:t>
            </w:r>
          </w:p>
        </w:tc>
        <w:tc>
          <w:tcPr>
            <w:tcW w:w="117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213,414</w:t>
            </w:r>
          </w:p>
        </w:tc>
        <w:tc>
          <w:tcPr>
            <w:tcW w:w="135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174,043</w:t>
            </w:r>
          </w:p>
        </w:tc>
        <w:tc>
          <w:tcPr>
            <w:tcW w:w="1350" w:type="dxa"/>
            <w:shd w:val="clear" w:color="auto" w:fill="auto"/>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b/>
                <w:sz w:val="18"/>
              </w:rPr>
              <w:t>---</w:t>
            </w:r>
          </w:p>
        </w:tc>
        <w:tc>
          <w:tcPr>
            <w:tcW w:w="1260" w:type="dxa"/>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169,188</w:t>
            </w:r>
          </w:p>
        </w:tc>
        <w:tc>
          <w:tcPr>
            <w:tcW w:w="126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174,218</w:t>
            </w:r>
          </w:p>
        </w:tc>
        <w:tc>
          <w:tcPr>
            <w:tcW w:w="144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169,668</w:t>
            </w:r>
          </w:p>
        </w:tc>
      </w:tr>
      <w:tr w:rsidR="00FF70D4" w:rsidRPr="00F645B9" w:rsidTr="00851EA5">
        <w:trPr>
          <w:trHeight w:val="255"/>
        </w:trPr>
        <w:tc>
          <w:tcPr>
            <w:tcW w:w="1905" w:type="dxa"/>
            <w:tcBorders>
              <w:bottom w:val="single" w:sz="4" w:space="0" w:color="auto"/>
            </w:tcBorders>
            <w:shd w:val="clear" w:color="auto" w:fill="auto"/>
            <w:noWrap/>
            <w:vAlign w:val="bottom"/>
            <w:hideMark/>
          </w:tcPr>
          <w:p w:rsidR="00FF70D4" w:rsidRPr="00F645B9" w:rsidRDefault="00FF70D4" w:rsidP="00851EA5">
            <w:pPr>
              <w:keepNext/>
              <w:keepLines/>
              <w:spacing w:after="0"/>
              <w:rPr>
                <w:rFonts w:ascii="Arial" w:hAnsi="Arial" w:cs="Arial"/>
                <w:b/>
                <w:bCs/>
                <w:sz w:val="18"/>
              </w:rPr>
            </w:pPr>
            <w:r w:rsidRPr="00F645B9">
              <w:rPr>
                <w:rFonts w:ascii="Arial" w:hAnsi="Arial" w:cs="Arial"/>
                <w:b/>
                <w:bCs/>
                <w:sz w:val="18"/>
              </w:rPr>
              <w:t>Total</w:t>
            </w:r>
          </w:p>
        </w:tc>
        <w:tc>
          <w:tcPr>
            <w:tcW w:w="1170" w:type="dxa"/>
            <w:tcBorders>
              <w:bottom w:val="single" w:sz="4" w:space="0" w:color="auto"/>
            </w:tcBorders>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b/>
                <w:sz w:val="18"/>
              </w:rPr>
            </w:pPr>
            <w:r w:rsidRPr="00F645B9">
              <w:rPr>
                <w:rFonts w:ascii="Arial" w:hAnsi="Arial" w:cs="Arial"/>
                <w:b/>
                <w:sz w:val="18"/>
              </w:rPr>
              <w:t>2,668,916</w:t>
            </w:r>
          </w:p>
        </w:tc>
        <w:tc>
          <w:tcPr>
            <w:tcW w:w="1350" w:type="dxa"/>
            <w:tcBorders>
              <w:bottom w:val="single" w:sz="4" w:space="0" w:color="auto"/>
            </w:tcBorders>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b/>
                <w:sz w:val="18"/>
              </w:rPr>
            </w:pPr>
            <w:r w:rsidRPr="00F645B9">
              <w:rPr>
                <w:rFonts w:ascii="Arial" w:hAnsi="Arial" w:cs="Arial"/>
                <w:b/>
                <w:sz w:val="18"/>
              </w:rPr>
              <w:t>2,333,286</w:t>
            </w:r>
          </w:p>
        </w:tc>
        <w:tc>
          <w:tcPr>
            <w:tcW w:w="1350" w:type="dxa"/>
            <w:tcBorders>
              <w:bottom w:val="single" w:sz="4" w:space="0" w:color="auto"/>
            </w:tcBorders>
            <w:shd w:val="clear" w:color="auto" w:fill="auto"/>
            <w:vAlign w:val="bottom"/>
          </w:tcPr>
          <w:p w:rsidR="00FF70D4" w:rsidRPr="00F645B9" w:rsidRDefault="00FF70D4" w:rsidP="00851EA5">
            <w:pPr>
              <w:keepNext/>
              <w:keepLines/>
              <w:spacing w:after="0" w:line="240" w:lineRule="auto"/>
              <w:jc w:val="right"/>
              <w:rPr>
                <w:rFonts w:ascii="Arial" w:hAnsi="Arial" w:cs="Arial"/>
                <w:b/>
                <w:sz w:val="18"/>
              </w:rPr>
            </w:pPr>
            <w:r w:rsidRPr="00F645B9">
              <w:rPr>
                <w:rFonts w:ascii="Arial" w:hAnsi="Arial" w:cs="Arial"/>
                <w:b/>
                <w:sz w:val="18"/>
              </w:rPr>
              <w:t>---</w:t>
            </w:r>
          </w:p>
        </w:tc>
        <w:tc>
          <w:tcPr>
            <w:tcW w:w="1260" w:type="dxa"/>
            <w:tcBorders>
              <w:bottom w:val="single" w:sz="4" w:space="0" w:color="auto"/>
            </w:tcBorders>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b/>
                <w:sz w:val="18"/>
              </w:rPr>
            </w:pPr>
            <w:r w:rsidRPr="00F645B9">
              <w:rPr>
                <w:rFonts w:ascii="Arial" w:hAnsi="Arial" w:cs="Arial"/>
                <w:b/>
                <w:sz w:val="18"/>
              </w:rPr>
              <w:t>---</w:t>
            </w:r>
          </w:p>
        </w:tc>
        <w:tc>
          <w:tcPr>
            <w:tcW w:w="1260" w:type="dxa"/>
            <w:tcBorders>
              <w:bottom w:val="single" w:sz="4" w:space="0" w:color="auto"/>
            </w:tcBorders>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b/>
                <w:sz w:val="18"/>
              </w:rPr>
            </w:pPr>
            <w:r w:rsidRPr="00F645B9">
              <w:rPr>
                <w:rFonts w:ascii="Arial" w:hAnsi="Arial" w:cs="Arial"/>
                <w:b/>
                <w:sz w:val="18"/>
              </w:rPr>
              <w:t>1,180,664</w:t>
            </w:r>
          </w:p>
        </w:tc>
        <w:tc>
          <w:tcPr>
            <w:tcW w:w="1440" w:type="dxa"/>
            <w:tcBorders>
              <w:bottom w:val="single" w:sz="4" w:space="0" w:color="auto"/>
            </w:tcBorders>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b/>
                <w:sz w:val="18"/>
                <w:highlight w:val="yellow"/>
              </w:rPr>
            </w:pPr>
            <w:r w:rsidRPr="00F645B9">
              <w:rPr>
                <w:rFonts w:ascii="Arial" w:hAnsi="Arial" w:cs="Arial"/>
                <w:b/>
                <w:sz w:val="18"/>
              </w:rPr>
              <w:t>---</w:t>
            </w:r>
          </w:p>
        </w:tc>
      </w:tr>
      <w:tr w:rsidR="00FF70D4" w:rsidRPr="00F645B9" w:rsidTr="00851EA5">
        <w:trPr>
          <w:trHeight w:val="255"/>
        </w:trPr>
        <w:tc>
          <w:tcPr>
            <w:tcW w:w="9735" w:type="dxa"/>
            <w:gridSpan w:val="7"/>
            <w:tcBorders>
              <w:top w:val="single" w:sz="4" w:space="0" w:color="auto"/>
            </w:tcBorders>
            <w:shd w:val="clear" w:color="auto" w:fill="auto"/>
            <w:noWrap/>
            <w:vAlign w:val="bottom"/>
            <w:hideMark/>
          </w:tcPr>
          <w:p w:rsidR="00FF70D4" w:rsidRPr="00F645B9" w:rsidRDefault="00FF70D4" w:rsidP="00851EA5">
            <w:pPr>
              <w:keepNext/>
              <w:keepLines/>
              <w:spacing w:after="0" w:line="240" w:lineRule="auto"/>
              <w:jc w:val="center"/>
              <w:rPr>
                <w:rFonts w:ascii="Arial" w:hAnsi="Arial" w:cs="Arial"/>
                <w:sz w:val="18"/>
                <w:highlight w:val="yellow"/>
              </w:rPr>
            </w:pPr>
            <w:r w:rsidRPr="00F645B9">
              <w:rPr>
                <w:rFonts w:ascii="Arial" w:hAnsi="Arial" w:cs="Arial"/>
                <w:b/>
                <w:bCs/>
                <w:sz w:val="18"/>
              </w:rPr>
              <w:t>Direct PM2.5 (TPY)</w:t>
            </w:r>
          </w:p>
        </w:tc>
      </w:tr>
      <w:tr w:rsidR="00FF70D4" w:rsidRPr="00F645B9" w:rsidTr="00851EA5">
        <w:trPr>
          <w:trHeight w:val="255"/>
        </w:trPr>
        <w:tc>
          <w:tcPr>
            <w:tcW w:w="1905" w:type="dxa"/>
            <w:tcBorders>
              <w:top w:val="single" w:sz="4" w:space="0" w:color="auto"/>
            </w:tcBorders>
            <w:shd w:val="clear" w:color="auto" w:fill="auto"/>
            <w:noWrap/>
            <w:vAlign w:val="bottom"/>
            <w:hideMark/>
          </w:tcPr>
          <w:p w:rsidR="00FF70D4" w:rsidRPr="00F645B9" w:rsidRDefault="00FF70D4" w:rsidP="00851EA5">
            <w:pPr>
              <w:keepNext/>
              <w:keepLines/>
              <w:spacing w:after="0"/>
              <w:rPr>
                <w:rFonts w:ascii="Arial" w:hAnsi="Arial" w:cs="Arial"/>
                <w:sz w:val="18"/>
              </w:rPr>
            </w:pPr>
            <w:r w:rsidRPr="00F645B9">
              <w:rPr>
                <w:rFonts w:ascii="Arial" w:hAnsi="Arial" w:cs="Arial"/>
                <w:sz w:val="18"/>
              </w:rPr>
              <w:t>Area(4)</w:t>
            </w:r>
          </w:p>
        </w:tc>
        <w:tc>
          <w:tcPr>
            <w:tcW w:w="1170" w:type="dxa"/>
            <w:tcBorders>
              <w:top w:val="single" w:sz="4" w:space="0" w:color="auto"/>
            </w:tcBorders>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332,676</w:t>
            </w:r>
          </w:p>
        </w:tc>
        <w:tc>
          <w:tcPr>
            <w:tcW w:w="1350" w:type="dxa"/>
            <w:tcBorders>
              <w:top w:val="single" w:sz="4" w:space="0" w:color="auto"/>
            </w:tcBorders>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259,938</w:t>
            </w:r>
          </w:p>
        </w:tc>
        <w:tc>
          <w:tcPr>
            <w:tcW w:w="1350" w:type="dxa"/>
            <w:tcBorders>
              <w:top w:val="single" w:sz="4" w:space="0" w:color="auto"/>
            </w:tcBorders>
            <w:shd w:val="clear" w:color="auto" w:fill="auto"/>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c>
          <w:tcPr>
            <w:tcW w:w="1260" w:type="dxa"/>
            <w:tcBorders>
              <w:top w:val="single" w:sz="4" w:space="0" w:color="auto"/>
            </w:tcBorders>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262,887</w:t>
            </w:r>
          </w:p>
        </w:tc>
        <w:tc>
          <w:tcPr>
            <w:tcW w:w="1260" w:type="dxa"/>
            <w:tcBorders>
              <w:top w:val="single" w:sz="4" w:space="0" w:color="auto"/>
            </w:tcBorders>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339,518</w:t>
            </w:r>
          </w:p>
        </w:tc>
        <w:tc>
          <w:tcPr>
            <w:tcW w:w="1440" w:type="dxa"/>
            <w:tcBorders>
              <w:top w:val="single" w:sz="4" w:space="0" w:color="auto"/>
            </w:tcBorders>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264,959</w:t>
            </w:r>
          </w:p>
        </w:tc>
      </w:tr>
      <w:tr w:rsidR="00FF70D4" w:rsidRPr="00F645B9" w:rsidTr="00851EA5">
        <w:trPr>
          <w:trHeight w:val="255"/>
        </w:trPr>
        <w:tc>
          <w:tcPr>
            <w:tcW w:w="1905" w:type="dxa"/>
            <w:shd w:val="clear" w:color="auto" w:fill="auto"/>
            <w:noWrap/>
            <w:vAlign w:val="bottom"/>
            <w:hideMark/>
          </w:tcPr>
          <w:p w:rsidR="00FF70D4" w:rsidRPr="00F645B9" w:rsidRDefault="00FF70D4" w:rsidP="00851EA5">
            <w:pPr>
              <w:keepNext/>
              <w:keepLines/>
              <w:spacing w:after="0"/>
              <w:rPr>
                <w:rFonts w:ascii="Arial" w:hAnsi="Arial" w:cs="Arial"/>
                <w:sz w:val="18"/>
              </w:rPr>
            </w:pPr>
            <w:r w:rsidRPr="00F645B9">
              <w:rPr>
                <w:rFonts w:ascii="Arial" w:hAnsi="Arial" w:cs="Arial"/>
                <w:sz w:val="18"/>
              </w:rPr>
              <w:t>Nonroad MAR(4)</w:t>
            </w:r>
          </w:p>
        </w:tc>
        <w:tc>
          <w:tcPr>
            <w:tcW w:w="117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7,929</w:t>
            </w:r>
          </w:p>
        </w:tc>
        <w:tc>
          <w:tcPr>
            <w:tcW w:w="135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7,430</w:t>
            </w:r>
          </w:p>
        </w:tc>
        <w:tc>
          <w:tcPr>
            <w:tcW w:w="1350" w:type="dxa"/>
            <w:shd w:val="clear" w:color="auto" w:fill="auto"/>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c>
          <w:tcPr>
            <w:tcW w:w="1260" w:type="dxa"/>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3,906</w:t>
            </w:r>
          </w:p>
        </w:tc>
        <w:tc>
          <w:tcPr>
            <w:tcW w:w="126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7,927</w:t>
            </w:r>
          </w:p>
        </w:tc>
        <w:tc>
          <w:tcPr>
            <w:tcW w:w="144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3,503</w:t>
            </w:r>
          </w:p>
        </w:tc>
      </w:tr>
      <w:tr w:rsidR="00FF70D4" w:rsidRPr="00F645B9" w:rsidTr="00851EA5">
        <w:trPr>
          <w:trHeight w:val="255"/>
        </w:trPr>
        <w:tc>
          <w:tcPr>
            <w:tcW w:w="1905" w:type="dxa"/>
            <w:shd w:val="clear" w:color="auto" w:fill="auto"/>
            <w:noWrap/>
            <w:vAlign w:val="bottom"/>
            <w:hideMark/>
          </w:tcPr>
          <w:p w:rsidR="00FF70D4" w:rsidRPr="00F645B9" w:rsidRDefault="00FF70D4" w:rsidP="00851EA5">
            <w:pPr>
              <w:keepNext/>
              <w:keepLines/>
              <w:spacing w:after="0"/>
              <w:rPr>
                <w:rFonts w:ascii="Arial" w:hAnsi="Arial" w:cs="Arial"/>
                <w:sz w:val="18"/>
              </w:rPr>
            </w:pPr>
            <w:r w:rsidRPr="00F645B9">
              <w:rPr>
                <w:rFonts w:ascii="Arial" w:hAnsi="Arial" w:cs="Arial"/>
                <w:sz w:val="18"/>
              </w:rPr>
              <w:t>Nonroad NMIM(4)</w:t>
            </w:r>
          </w:p>
        </w:tc>
        <w:tc>
          <w:tcPr>
            <w:tcW w:w="117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27,922</w:t>
            </w:r>
          </w:p>
        </w:tc>
        <w:tc>
          <w:tcPr>
            <w:tcW w:w="135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24,701</w:t>
            </w:r>
          </w:p>
        </w:tc>
        <w:tc>
          <w:tcPr>
            <w:tcW w:w="1350" w:type="dxa"/>
            <w:shd w:val="clear" w:color="auto" w:fill="auto"/>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c>
          <w:tcPr>
            <w:tcW w:w="1260" w:type="dxa"/>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16,536</w:t>
            </w:r>
          </w:p>
        </w:tc>
        <w:tc>
          <w:tcPr>
            <w:tcW w:w="126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15,952</w:t>
            </w:r>
          </w:p>
        </w:tc>
        <w:tc>
          <w:tcPr>
            <w:tcW w:w="144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14,421</w:t>
            </w:r>
          </w:p>
        </w:tc>
      </w:tr>
      <w:tr w:rsidR="00FF70D4" w:rsidRPr="00F645B9" w:rsidTr="00851EA5">
        <w:trPr>
          <w:trHeight w:val="255"/>
        </w:trPr>
        <w:tc>
          <w:tcPr>
            <w:tcW w:w="1905" w:type="dxa"/>
            <w:shd w:val="clear" w:color="auto" w:fill="auto"/>
            <w:noWrap/>
            <w:vAlign w:val="bottom"/>
            <w:hideMark/>
          </w:tcPr>
          <w:p w:rsidR="00FF70D4" w:rsidRPr="00F645B9" w:rsidRDefault="00FF70D4" w:rsidP="00851EA5">
            <w:pPr>
              <w:keepNext/>
              <w:keepLines/>
              <w:spacing w:after="0"/>
              <w:rPr>
                <w:rFonts w:ascii="Arial" w:hAnsi="Arial" w:cs="Arial"/>
                <w:sz w:val="18"/>
              </w:rPr>
            </w:pPr>
            <w:r w:rsidRPr="00F645B9">
              <w:rPr>
                <w:rFonts w:ascii="Arial" w:hAnsi="Arial" w:cs="Arial"/>
                <w:sz w:val="18"/>
              </w:rPr>
              <w:t>Onroad Mobile(4)</w:t>
            </w:r>
          </w:p>
        </w:tc>
        <w:tc>
          <w:tcPr>
            <w:tcW w:w="117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22,108</w:t>
            </w:r>
          </w:p>
        </w:tc>
        <w:tc>
          <w:tcPr>
            <w:tcW w:w="135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45,616</w:t>
            </w:r>
          </w:p>
        </w:tc>
        <w:tc>
          <w:tcPr>
            <w:tcW w:w="1350" w:type="dxa"/>
            <w:shd w:val="clear" w:color="auto" w:fill="auto"/>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c>
          <w:tcPr>
            <w:tcW w:w="1260" w:type="dxa"/>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c>
          <w:tcPr>
            <w:tcW w:w="126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9,189</w:t>
            </w:r>
          </w:p>
        </w:tc>
        <w:tc>
          <w:tcPr>
            <w:tcW w:w="144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28,365</w:t>
            </w:r>
          </w:p>
        </w:tc>
      </w:tr>
      <w:tr w:rsidR="00FF70D4" w:rsidRPr="00F645B9" w:rsidTr="00851EA5">
        <w:trPr>
          <w:trHeight w:val="255"/>
        </w:trPr>
        <w:tc>
          <w:tcPr>
            <w:tcW w:w="1905" w:type="dxa"/>
            <w:shd w:val="clear" w:color="auto" w:fill="auto"/>
            <w:noWrap/>
            <w:vAlign w:val="bottom"/>
            <w:hideMark/>
          </w:tcPr>
          <w:p w:rsidR="00FF70D4" w:rsidRPr="00F645B9" w:rsidRDefault="00FF70D4" w:rsidP="00851EA5">
            <w:pPr>
              <w:keepNext/>
              <w:keepLines/>
              <w:spacing w:after="0"/>
              <w:rPr>
                <w:rFonts w:ascii="Arial" w:hAnsi="Arial" w:cs="Arial"/>
                <w:sz w:val="18"/>
              </w:rPr>
            </w:pPr>
            <w:r w:rsidRPr="00F645B9">
              <w:rPr>
                <w:rFonts w:ascii="Arial" w:hAnsi="Arial" w:cs="Arial"/>
                <w:sz w:val="18"/>
              </w:rPr>
              <w:t>Point EGU(2)</w:t>
            </w:r>
          </w:p>
        </w:tc>
        <w:tc>
          <w:tcPr>
            <w:tcW w:w="117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20,670</w:t>
            </w:r>
          </w:p>
        </w:tc>
        <w:tc>
          <w:tcPr>
            <w:tcW w:w="135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44,921</w:t>
            </w:r>
          </w:p>
        </w:tc>
        <w:tc>
          <w:tcPr>
            <w:tcW w:w="1350" w:type="dxa"/>
            <w:shd w:val="clear" w:color="auto" w:fill="auto"/>
            <w:vAlign w:val="bottom"/>
          </w:tcPr>
          <w:p w:rsidR="00FF70D4" w:rsidRPr="00F645B9" w:rsidRDefault="00FF70D4" w:rsidP="00851EA5">
            <w:pPr>
              <w:keepNext/>
              <w:keepLines/>
              <w:spacing w:after="0" w:line="240" w:lineRule="auto"/>
              <w:jc w:val="right"/>
              <w:rPr>
                <w:rFonts w:ascii="Arial" w:hAnsi="Arial" w:cs="Arial"/>
                <w:sz w:val="18"/>
                <w:highlight w:val="yellow"/>
              </w:rPr>
            </w:pPr>
            <w:r w:rsidRPr="00F645B9">
              <w:rPr>
                <w:rFonts w:ascii="Arial" w:hAnsi="Arial" w:cs="Arial"/>
                <w:b/>
                <w:sz w:val="18"/>
              </w:rPr>
              <w:t>---</w:t>
            </w:r>
          </w:p>
        </w:tc>
        <w:tc>
          <w:tcPr>
            <w:tcW w:w="1260" w:type="dxa"/>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highlight w:val="yellow"/>
              </w:rPr>
            </w:pPr>
            <w:r w:rsidRPr="00F645B9">
              <w:rPr>
                <w:rFonts w:ascii="Arial" w:hAnsi="Arial" w:cs="Arial"/>
                <w:b/>
                <w:sz w:val="18"/>
              </w:rPr>
              <w:t>---</w:t>
            </w:r>
          </w:p>
        </w:tc>
        <w:tc>
          <w:tcPr>
            <w:tcW w:w="126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51,109</w:t>
            </w:r>
          </w:p>
        </w:tc>
        <w:tc>
          <w:tcPr>
            <w:tcW w:w="144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highlight w:val="yellow"/>
              </w:rPr>
            </w:pPr>
            <w:r w:rsidRPr="00F645B9">
              <w:rPr>
                <w:rFonts w:ascii="Arial" w:hAnsi="Arial" w:cs="Arial"/>
                <w:b/>
                <w:sz w:val="18"/>
              </w:rPr>
              <w:t>---</w:t>
            </w:r>
          </w:p>
        </w:tc>
      </w:tr>
      <w:tr w:rsidR="00FF70D4" w:rsidRPr="00F645B9" w:rsidTr="00851EA5">
        <w:trPr>
          <w:trHeight w:val="255"/>
        </w:trPr>
        <w:tc>
          <w:tcPr>
            <w:tcW w:w="1905" w:type="dxa"/>
            <w:shd w:val="clear" w:color="auto" w:fill="auto"/>
            <w:noWrap/>
            <w:vAlign w:val="bottom"/>
            <w:hideMark/>
          </w:tcPr>
          <w:p w:rsidR="00FF70D4" w:rsidRPr="00F645B9" w:rsidRDefault="00FF70D4" w:rsidP="00851EA5">
            <w:pPr>
              <w:keepNext/>
              <w:keepLines/>
              <w:spacing w:after="0"/>
              <w:rPr>
                <w:rFonts w:ascii="Arial" w:hAnsi="Arial" w:cs="Arial"/>
                <w:sz w:val="18"/>
              </w:rPr>
            </w:pPr>
            <w:r w:rsidRPr="00F645B9">
              <w:rPr>
                <w:rFonts w:ascii="Arial" w:hAnsi="Arial" w:cs="Arial"/>
                <w:sz w:val="18"/>
              </w:rPr>
              <w:t>Point nonEGU(3)</w:t>
            </w:r>
          </w:p>
        </w:tc>
        <w:tc>
          <w:tcPr>
            <w:tcW w:w="117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33,948</w:t>
            </w:r>
          </w:p>
        </w:tc>
        <w:tc>
          <w:tcPr>
            <w:tcW w:w="135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29,881</w:t>
            </w:r>
          </w:p>
        </w:tc>
        <w:tc>
          <w:tcPr>
            <w:tcW w:w="1350" w:type="dxa"/>
            <w:shd w:val="clear" w:color="auto" w:fill="auto"/>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c>
          <w:tcPr>
            <w:tcW w:w="1260" w:type="dxa"/>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29,659</w:t>
            </w:r>
          </w:p>
        </w:tc>
        <w:tc>
          <w:tcPr>
            <w:tcW w:w="126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38,393</w:t>
            </w:r>
          </w:p>
        </w:tc>
        <w:tc>
          <w:tcPr>
            <w:tcW w:w="144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29,868</w:t>
            </w:r>
          </w:p>
        </w:tc>
      </w:tr>
      <w:tr w:rsidR="00FF70D4" w:rsidRPr="00F645B9" w:rsidTr="00851EA5">
        <w:trPr>
          <w:trHeight w:val="255"/>
        </w:trPr>
        <w:tc>
          <w:tcPr>
            <w:tcW w:w="1905" w:type="dxa"/>
            <w:tcBorders>
              <w:bottom w:val="single" w:sz="4" w:space="0" w:color="auto"/>
            </w:tcBorders>
            <w:shd w:val="clear" w:color="auto" w:fill="auto"/>
            <w:noWrap/>
            <w:vAlign w:val="bottom"/>
            <w:hideMark/>
          </w:tcPr>
          <w:p w:rsidR="00FF70D4" w:rsidRPr="00F645B9" w:rsidRDefault="00FF70D4" w:rsidP="00851EA5">
            <w:pPr>
              <w:keepNext/>
              <w:keepLines/>
              <w:spacing w:after="0"/>
              <w:rPr>
                <w:rFonts w:ascii="Arial" w:hAnsi="Arial" w:cs="Arial"/>
                <w:b/>
                <w:bCs/>
                <w:sz w:val="18"/>
              </w:rPr>
            </w:pPr>
            <w:r w:rsidRPr="00F645B9">
              <w:rPr>
                <w:rFonts w:ascii="Arial" w:hAnsi="Arial" w:cs="Arial"/>
                <w:b/>
                <w:bCs/>
                <w:sz w:val="18"/>
              </w:rPr>
              <w:t>Total</w:t>
            </w:r>
          </w:p>
        </w:tc>
        <w:tc>
          <w:tcPr>
            <w:tcW w:w="1170" w:type="dxa"/>
            <w:tcBorders>
              <w:bottom w:val="single" w:sz="4" w:space="0" w:color="auto"/>
            </w:tcBorders>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b/>
                <w:sz w:val="18"/>
              </w:rPr>
            </w:pPr>
            <w:r w:rsidRPr="00F645B9">
              <w:rPr>
                <w:rFonts w:ascii="Arial" w:hAnsi="Arial" w:cs="Arial"/>
                <w:b/>
                <w:sz w:val="18"/>
              </w:rPr>
              <w:t>445,253</w:t>
            </w:r>
          </w:p>
        </w:tc>
        <w:tc>
          <w:tcPr>
            <w:tcW w:w="1350" w:type="dxa"/>
            <w:tcBorders>
              <w:bottom w:val="single" w:sz="4" w:space="0" w:color="auto"/>
            </w:tcBorders>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b/>
                <w:sz w:val="18"/>
              </w:rPr>
            </w:pPr>
            <w:r w:rsidRPr="00F645B9">
              <w:rPr>
                <w:rFonts w:ascii="Arial" w:hAnsi="Arial" w:cs="Arial"/>
                <w:b/>
                <w:sz w:val="18"/>
              </w:rPr>
              <w:t>412,486</w:t>
            </w:r>
          </w:p>
        </w:tc>
        <w:tc>
          <w:tcPr>
            <w:tcW w:w="1350" w:type="dxa"/>
            <w:tcBorders>
              <w:bottom w:val="single" w:sz="4" w:space="0" w:color="auto"/>
            </w:tcBorders>
            <w:shd w:val="clear" w:color="auto" w:fill="auto"/>
            <w:vAlign w:val="bottom"/>
          </w:tcPr>
          <w:p w:rsidR="00FF70D4" w:rsidRPr="00F645B9" w:rsidRDefault="00FF70D4" w:rsidP="00851EA5">
            <w:pPr>
              <w:keepNext/>
              <w:keepLines/>
              <w:spacing w:after="0" w:line="240" w:lineRule="auto"/>
              <w:jc w:val="right"/>
              <w:rPr>
                <w:rFonts w:ascii="Arial" w:hAnsi="Arial" w:cs="Arial"/>
                <w:b/>
                <w:sz w:val="18"/>
                <w:highlight w:val="yellow"/>
              </w:rPr>
            </w:pPr>
            <w:r w:rsidRPr="00F645B9">
              <w:rPr>
                <w:rFonts w:ascii="Arial" w:hAnsi="Arial" w:cs="Arial"/>
                <w:b/>
                <w:sz w:val="18"/>
              </w:rPr>
              <w:t>---</w:t>
            </w:r>
          </w:p>
        </w:tc>
        <w:tc>
          <w:tcPr>
            <w:tcW w:w="1260" w:type="dxa"/>
            <w:tcBorders>
              <w:bottom w:val="single" w:sz="4" w:space="0" w:color="auto"/>
            </w:tcBorders>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b/>
                <w:sz w:val="18"/>
                <w:highlight w:val="yellow"/>
              </w:rPr>
            </w:pPr>
            <w:r w:rsidRPr="00F645B9">
              <w:rPr>
                <w:rFonts w:ascii="Arial" w:hAnsi="Arial" w:cs="Arial"/>
                <w:b/>
                <w:sz w:val="18"/>
              </w:rPr>
              <w:t>---</w:t>
            </w:r>
          </w:p>
        </w:tc>
        <w:tc>
          <w:tcPr>
            <w:tcW w:w="1260" w:type="dxa"/>
            <w:tcBorders>
              <w:bottom w:val="single" w:sz="4" w:space="0" w:color="auto"/>
            </w:tcBorders>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b/>
                <w:sz w:val="18"/>
              </w:rPr>
            </w:pPr>
            <w:r w:rsidRPr="00F645B9">
              <w:rPr>
                <w:rFonts w:ascii="Arial" w:hAnsi="Arial" w:cs="Arial"/>
                <w:b/>
                <w:sz w:val="18"/>
              </w:rPr>
              <w:t>462,087</w:t>
            </w:r>
          </w:p>
        </w:tc>
        <w:tc>
          <w:tcPr>
            <w:tcW w:w="1440" w:type="dxa"/>
            <w:tcBorders>
              <w:bottom w:val="single" w:sz="4" w:space="0" w:color="auto"/>
            </w:tcBorders>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b/>
                <w:sz w:val="18"/>
                <w:highlight w:val="yellow"/>
              </w:rPr>
            </w:pPr>
            <w:r w:rsidRPr="00F645B9">
              <w:rPr>
                <w:rFonts w:ascii="Arial" w:hAnsi="Arial" w:cs="Arial"/>
                <w:b/>
                <w:sz w:val="18"/>
              </w:rPr>
              <w:t>---</w:t>
            </w:r>
          </w:p>
        </w:tc>
      </w:tr>
      <w:tr w:rsidR="00FF70D4" w:rsidRPr="00F645B9" w:rsidTr="00851EA5">
        <w:trPr>
          <w:trHeight w:val="255"/>
        </w:trPr>
        <w:tc>
          <w:tcPr>
            <w:tcW w:w="9735" w:type="dxa"/>
            <w:gridSpan w:val="7"/>
            <w:tcBorders>
              <w:top w:val="single" w:sz="4" w:space="0" w:color="auto"/>
            </w:tcBorders>
            <w:shd w:val="clear" w:color="auto" w:fill="auto"/>
            <w:noWrap/>
            <w:vAlign w:val="bottom"/>
            <w:hideMark/>
          </w:tcPr>
          <w:p w:rsidR="00FF70D4" w:rsidRPr="00F645B9" w:rsidRDefault="00FF70D4" w:rsidP="00851EA5">
            <w:pPr>
              <w:keepNext/>
              <w:keepLines/>
              <w:spacing w:after="0" w:line="240" w:lineRule="auto"/>
              <w:jc w:val="center"/>
              <w:rPr>
                <w:rFonts w:ascii="Arial" w:hAnsi="Arial" w:cs="Arial"/>
                <w:sz w:val="18"/>
              </w:rPr>
            </w:pPr>
            <w:r w:rsidRPr="00F645B9">
              <w:rPr>
                <w:rFonts w:ascii="Arial" w:hAnsi="Arial" w:cs="Arial"/>
                <w:b/>
                <w:bCs/>
                <w:sz w:val="18"/>
              </w:rPr>
              <w:t>Sulfur Dioxide (TPY)</w:t>
            </w:r>
          </w:p>
        </w:tc>
      </w:tr>
      <w:tr w:rsidR="00FF70D4" w:rsidRPr="00F645B9" w:rsidTr="00851EA5">
        <w:trPr>
          <w:trHeight w:val="255"/>
        </w:trPr>
        <w:tc>
          <w:tcPr>
            <w:tcW w:w="1905" w:type="dxa"/>
            <w:tcBorders>
              <w:top w:val="single" w:sz="4" w:space="0" w:color="auto"/>
            </w:tcBorders>
            <w:shd w:val="clear" w:color="auto" w:fill="auto"/>
            <w:noWrap/>
            <w:vAlign w:val="bottom"/>
            <w:hideMark/>
          </w:tcPr>
          <w:p w:rsidR="00FF70D4" w:rsidRPr="00F645B9" w:rsidRDefault="00FF70D4" w:rsidP="00851EA5">
            <w:pPr>
              <w:keepNext/>
              <w:keepLines/>
              <w:spacing w:after="0"/>
              <w:rPr>
                <w:rFonts w:ascii="Arial" w:hAnsi="Arial" w:cs="Arial"/>
                <w:sz w:val="18"/>
              </w:rPr>
            </w:pPr>
            <w:r w:rsidRPr="00F645B9">
              <w:rPr>
                <w:rFonts w:ascii="Arial" w:hAnsi="Arial" w:cs="Arial"/>
                <w:sz w:val="18"/>
              </w:rPr>
              <w:t>Area(4)</w:t>
            </w:r>
          </w:p>
        </w:tc>
        <w:tc>
          <w:tcPr>
            <w:tcW w:w="1170" w:type="dxa"/>
            <w:tcBorders>
              <w:top w:val="single" w:sz="4" w:space="0" w:color="auto"/>
            </w:tcBorders>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316,287</w:t>
            </w:r>
          </w:p>
        </w:tc>
        <w:tc>
          <w:tcPr>
            <w:tcW w:w="1350" w:type="dxa"/>
            <w:tcBorders>
              <w:top w:val="single" w:sz="4" w:space="0" w:color="auto"/>
            </w:tcBorders>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212,471</w:t>
            </w:r>
          </w:p>
        </w:tc>
        <w:tc>
          <w:tcPr>
            <w:tcW w:w="1350" w:type="dxa"/>
            <w:tcBorders>
              <w:top w:val="single" w:sz="4" w:space="0" w:color="auto"/>
            </w:tcBorders>
            <w:shd w:val="clear" w:color="auto" w:fill="auto"/>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c>
          <w:tcPr>
            <w:tcW w:w="1260" w:type="dxa"/>
            <w:tcBorders>
              <w:top w:val="single" w:sz="4" w:space="0" w:color="auto"/>
            </w:tcBorders>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119,215</w:t>
            </w:r>
          </w:p>
        </w:tc>
        <w:tc>
          <w:tcPr>
            <w:tcW w:w="1260" w:type="dxa"/>
            <w:tcBorders>
              <w:top w:val="single" w:sz="4" w:space="0" w:color="auto"/>
            </w:tcBorders>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190,437</w:t>
            </w:r>
          </w:p>
        </w:tc>
        <w:tc>
          <w:tcPr>
            <w:tcW w:w="1440" w:type="dxa"/>
            <w:tcBorders>
              <w:top w:val="single" w:sz="4" w:space="0" w:color="auto"/>
            </w:tcBorders>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116,511</w:t>
            </w:r>
          </w:p>
        </w:tc>
      </w:tr>
      <w:tr w:rsidR="00FF70D4" w:rsidRPr="00F645B9" w:rsidTr="00851EA5">
        <w:trPr>
          <w:trHeight w:val="255"/>
        </w:trPr>
        <w:tc>
          <w:tcPr>
            <w:tcW w:w="1905" w:type="dxa"/>
            <w:shd w:val="clear" w:color="auto" w:fill="auto"/>
            <w:noWrap/>
            <w:vAlign w:val="bottom"/>
            <w:hideMark/>
          </w:tcPr>
          <w:p w:rsidR="00FF70D4" w:rsidRPr="00F645B9" w:rsidRDefault="00FF70D4" w:rsidP="00851EA5">
            <w:pPr>
              <w:keepNext/>
              <w:keepLines/>
              <w:spacing w:after="0"/>
              <w:rPr>
                <w:rFonts w:ascii="Arial" w:hAnsi="Arial" w:cs="Arial"/>
                <w:sz w:val="18"/>
              </w:rPr>
            </w:pPr>
            <w:r w:rsidRPr="00F645B9">
              <w:rPr>
                <w:rFonts w:ascii="Arial" w:hAnsi="Arial" w:cs="Arial"/>
                <w:sz w:val="18"/>
              </w:rPr>
              <w:t>Nonroad MAR(4)</w:t>
            </w:r>
          </w:p>
        </w:tc>
        <w:tc>
          <w:tcPr>
            <w:tcW w:w="117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32,123</w:t>
            </w:r>
          </w:p>
        </w:tc>
        <w:tc>
          <w:tcPr>
            <w:tcW w:w="135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30,318</w:t>
            </w:r>
          </w:p>
        </w:tc>
        <w:tc>
          <w:tcPr>
            <w:tcW w:w="1350" w:type="dxa"/>
            <w:shd w:val="clear" w:color="auto" w:fill="auto"/>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b/>
                <w:sz w:val="18"/>
              </w:rPr>
              <w:t>---</w:t>
            </w:r>
          </w:p>
        </w:tc>
        <w:tc>
          <w:tcPr>
            <w:tcW w:w="1260" w:type="dxa"/>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4,870</w:t>
            </w:r>
          </w:p>
        </w:tc>
        <w:tc>
          <w:tcPr>
            <w:tcW w:w="126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8,172</w:t>
            </w:r>
          </w:p>
        </w:tc>
        <w:tc>
          <w:tcPr>
            <w:tcW w:w="144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4,183</w:t>
            </w:r>
          </w:p>
        </w:tc>
      </w:tr>
      <w:tr w:rsidR="00FF70D4" w:rsidRPr="00F645B9" w:rsidTr="00851EA5">
        <w:trPr>
          <w:trHeight w:val="255"/>
        </w:trPr>
        <w:tc>
          <w:tcPr>
            <w:tcW w:w="1905" w:type="dxa"/>
            <w:shd w:val="clear" w:color="auto" w:fill="auto"/>
            <w:noWrap/>
            <w:vAlign w:val="bottom"/>
            <w:hideMark/>
          </w:tcPr>
          <w:p w:rsidR="00FF70D4" w:rsidRPr="00F645B9" w:rsidRDefault="00FF70D4" w:rsidP="00851EA5">
            <w:pPr>
              <w:keepNext/>
              <w:keepLines/>
              <w:spacing w:after="0"/>
              <w:rPr>
                <w:rFonts w:ascii="Arial" w:hAnsi="Arial" w:cs="Arial"/>
                <w:sz w:val="18"/>
              </w:rPr>
            </w:pPr>
            <w:r w:rsidRPr="00F645B9">
              <w:rPr>
                <w:rFonts w:ascii="Arial" w:hAnsi="Arial" w:cs="Arial"/>
                <w:sz w:val="18"/>
              </w:rPr>
              <w:t>Nonroad NMIM(4)</w:t>
            </w:r>
          </w:p>
        </w:tc>
        <w:tc>
          <w:tcPr>
            <w:tcW w:w="117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24,774</w:t>
            </w:r>
          </w:p>
        </w:tc>
        <w:tc>
          <w:tcPr>
            <w:tcW w:w="135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14,167</w:t>
            </w:r>
          </w:p>
        </w:tc>
        <w:tc>
          <w:tcPr>
            <w:tcW w:w="1350" w:type="dxa"/>
            <w:shd w:val="clear" w:color="auto" w:fill="auto"/>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c>
          <w:tcPr>
            <w:tcW w:w="1260" w:type="dxa"/>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420</w:t>
            </w:r>
          </w:p>
        </w:tc>
        <w:tc>
          <w:tcPr>
            <w:tcW w:w="126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466</w:t>
            </w:r>
          </w:p>
        </w:tc>
        <w:tc>
          <w:tcPr>
            <w:tcW w:w="144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443</w:t>
            </w:r>
          </w:p>
        </w:tc>
      </w:tr>
      <w:tr w:rsidR="00FF70D4" w:rsidRPr="00F645B9" w:rsidTr="00851EA5">
        <w:trPr>
          <w:trHeight w:val="255"/>
        </w:trPr>
        <w:tc>
          <w:tcPr>
            <w:tcW w:w="1905" w:type="dxa"/>
            <w:shd w:val="clear" w:color="auto" w:fill="auto"/>
            <w:noWrap/>
            <w:vAlign w:val="bottom"/>
            <w:hideMark/>
          </w:tcPr>
          <w:p w:rsidR="00FF70D4" w:rsidRPr="00F645B9" w:rsidRDefault="00FF70D4" w:rsidP="00851EA5">
            <w:pPr>
              <w:keepNext/>
              <w:keepLines/>
              <w:spacing w:after="0"/>
              <w:rPr>
                <w:rFonts w:ascii="Arial" w:hAnsi="Arial" w:cs="Arial"/>
                <w:sz w:val="18"/>
              </w:rPr>
            </w:pPr>
            <w:r w:rsidRPr="00F645B9">
              <w:rPr>
                <w:rFonts w:ascii="Arial" w:hAnsi="Arial" w:cs="Arial"/>
                <w:sz w:val="18"/>
              </w:rPr>
              <w:t>Onroad Mobile(4)</w:t>
            </w:r>
          </w:p>
        </w:tc>
        <w:tc>
          <w:tcPr>
            <w:tcW w:w="117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40,092</w:t>
            </w:r>
          </w:p>
        </w:tc>
        <w:tc>
          <w:tcPr>
            <w:tcW w:w="135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8,974</w:t>
            </w:r>
          </w:p>
        </w:tc>
        <w:tc>
          <w:tcPr>
            <w:tcW w:w="1350" w:type="dxa"/>
            <w:shd w:val="clear" w:color="auto" w:fill="auto"/>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c>
          <w:tcPr>
            <w:tcW w:w="1260" w:type="dxa"/>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c>
          <w:tcPr>
            <w:tcW w:w="126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8,756</w:t>
            </w:r>
          </w:p>
        </w:tc>
        <w:tc>
          <w:tcPr>
            <w:tcW w:w="144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7,202</w:t>
            </w:r>
          </w:p>
        </w:tc>
      </w:tr>
      <w:tr w:rsidR="00FF70D4" w:rsidRPr="00F645B9" w:rsidTr="00851EA5">
        <w:trPr>
          <w:trHeight w:val="255"/>
        </w:trPr>
        <w:tc>
          <w:tcPr>
            <w:tcW w:w="1905" w:type="dxa"/>
            <w:shd w:val="clear" w:color="auto" w:fill="auto"/>
            <w:noWrap/>
            <w:vAlign w:val="bottom"/>
            <w:hideMark/>
          </w:tcPr>
          <w:p w:rsidR="00FF70D4" w:rsidRPr="00F645B9" w:rsidRDefault="00FF70D4" w:rsidP="00851EA5">
            <w:pPr>
              <w:keepNext/>
              <w:keepLines/>
              <w:spacing w:after="0"/>
              <w:rPr>
                <w:rFonts w:ascii="Arial" w:hAnsi="Arial" w:cs="Arial"/>
                <w:sz w:val="18"/>
              </w:rPr>
            </w:pPr>
            <w:r w:rsidRPr="00F645B9">
              <w:rPr>
                <w:rFonts w:ascii="Arial" w:hAnsi="Arial" w:cs="Arial"/>
                <w:sz w:val="18"/>
              </w:rPr>
              <w:t>Point EGU(2)</w:t>
            </w:r>
          </w:p>
        </w:tc>
        <w:tc>
          <w:tcPr>
            <w:tcW w:w="117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1,670,176</w:t>
            </w:r>
          </w:p>
        </w:tc>
        <w:tc>
          <w:tcPr>
            <w:tcW w:w="135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1,546,335</w:t>
            </w:r>
          </w:p>
        </w:tc>
        <w:tc>
          <w:tcPr>
            <w:tcW w:w="1350" w:type="dxa"/>
            <w:shd w:val="clear" w:color="auto" w:fill="auto"/>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620,183</w:t>
            </w:r>
          </w:p>
        </w:tc>
        <w:tc>
          <w:tcPr>
            <w:tcW w:w="1260" w:type="dxa"/>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c>
          <w:tcPr>
            <w:tcW w:w="126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365,024</w:t>
            </w:r>
          </w:p>
        </w:tc>
        <w:tc>
          <w:tcPr>
            <w:tcW w:w="144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r>
      <w:tr w:rsidR="00FF70D4" w:rsidRPr="00F645B9" w:rsidTr="00851EA5">
        <w:trPr>
          <w:trHeight w:val="255"/>
        </w:trPr>
        <w:tc>
          <w:tcPr>
            <w:tcW w:w="1905" w:type="dxa"/>
            <w:shd w:val="clear" w:color="auto" w:fill="auto"/>
            <w:noWrap/>
            <w:vAlign w:val="bottom"/>
            <w:hideMark/>
          </w:tcPr>
          <w:p w:rsidR="00FF70D4" w:rsidRPr="00F645B9" w:rsidRDefault="00FF70D4" w:rsidP="00851EA5">
            <w:pPr>
              <w:keepNext/>
              <w:keepLines/>
              <w:spacing w:after="0"/>
              <w:rPr>
                <w:rFonts w:ascii="Arial" w:hAnsi="Arial" w:cs="Arial"/>
                <w:sz w:val="18"/>
              </w:rPr>
            </w:pPr>
            <w:r w:rsidRPr="00F645B9">
              <w:rPr>
                <w:rFonts w:ascii="Arial" w:hAnsi="Arial" w:cs="Arial"/>
                <w:sz w:val="18"/>
              </w:rPr>
              <w:t>Point nonEGU(3)</w:t>
            </w:r>
          </w:p>
        </w:tc>
        <w:tc>
          <w:tcPr>
            <w:tcW w:w="117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239,400</w:t>
            </w:r>
          </w:p>
        </w:tc>
        <w:tc>
          <w:tcPr>
            <w:tcW w:w="135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129,615</w:t>
            </w:r>
          </w:p>
        </w:tc>
        <w:tc>
          <w:tcPr>
            <w:tcW w:w="1350" w:type="dxa"/>
            <w:shd w:val="clear" w:color="auto" w:fill="auto"/>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b/>
                <w:sz w:val="18"/>
              </w:rPr>
              <w:t>---</w:t>
            </w:r>
          </w:p>
        </w:tc>
        <w:tc>
          <w:tcPr>
            <w:tcW w:w="1260" w:type="dxa"/>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112,784</w:t>
            </w:r>
          </w:p>
        </w:tc>
        <w:tc>
          <w:tcPr>
            <w:tcW w:w="126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201,478</w:t>
            </w:r>
          </w:p>
        </w:tc>
        <w:tc>
          <w:tcPr>
            <w:tcW w:w="144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112,828</w:t>
            </w:r>
          </w:p>
        </w:tc>
      </w:tr>
      <w:tr w:rsidR="00FF70D4" w:rsidRPr="00F645B9" w:rsidTr="00851EA5">
        <w:trPr>
          <w:trHeight w:val="255"/>
        </w:trPr>
        <w:tc>
          <w:tcPr>
            <w:tcW w:w="1905" w:type="dxa"/>
            <w:tcBorders>
              <w:bottom w:val="single" w:sz="4" w:space="0" w:color="auto"/>
            </w:tcBorders>
            <w:shd w:val="clear" w:color="auto" w:fill="auto"/>
            <w:noWrap/>
            <w:vAlign w:val="bottom"/>
            <w:hideMark/>
          </w:tcPr>
          <w:p w:rsidR="00FF70D4" w:rsidRPr="00F645B9" w:rsidRDefault="00FF70D4" w:rsidP="00851EA5">
            <w:pPr>
              <w:keepNext/>
              <w:keepLines/>
              <w:spacing w:after="0"/>
              <w:rPr>
                <w:rFonts w:ascii="Arial" w:hAnsi="Arial" w:cs="Arial"/>
                <w:b/>
                <w:bCs/>
                <w:sz w:val="18"/>
              </w:rPr>
            </w:pPr>
            <w:r w:rsidRPr="00F645B9">
              <w:rPr>
                <w:rFonts w:ascii="Arial" w:hAnsi="Arial" w:cs="Arial"/>
                <w:b/>
                <w:bCs/>
                <w:sz w:val="18"/>
              </w:rPr>
              <w:t>Total</w:t>
            </w:r>
          </w:p>
        </w:tc>
        <w:tc>
          <w:tcPr>
            <w:tcW w:w="1170" w:type="dxa"/>
            <w:tcBorders>
              <w:bottom w:val="single" w:sz="4" w:space="0" w:color="auto"/>
            </w:tcBorders>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b/>
                <w:sz w:val="18"/>
              </w:rPr>
            </w:pPr>
            <w:r w:rsidRPr="00F645B9">
              <w:rPr>
                <w:rFonts w:ascii="Arial" w:hAnsi="Arial" w:cs="Arial"/>
                <w:b/>
                <w:sz w:val="18"/>
              </w:rPr>
              <w:t>2,322,851</w:t>
            </w:r>
          </w:p>
        </w:tc>
        <w:tc>
          <w:tcPr>
            <w:tcW w:w="1350" w:type="dxa"/>
            <w:tcBorders>
              <w:bottom w:val="single" w:sz="4" w:space="0" w:color="auto"/>
            </w:tcBorders>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b/>
                <w:sz w:val="18"/>
              </w:rPr>
            </w:pPr>
            <w:r w:rsidRPr="00F645B9">
              <w:rPr>
                <w:rFonts w:ascii="Arial" w:hAnsi="Arial" w:cs="Arial"/>
                <w:b/>
                <w:sz w:val="18"/>
              </w:rPr>
              <w:t>1,941,879</w:t>
            </w:r>
          </w:p>
        </w:tc>
        <w:tc>
          <w:tcPr>
            <w:tcW w:w="1350" w:type="dxa"/>
            <w:tcBorders>
              <w:bottom w:val="single" w:sz="4" w:space="0" w:color="auto"/>
            </w:tcBorders>
            <w:shd w:val="clear" w:color="auto" w:fill="auto"/>
            <w:vAlign w:val="bottom"/>
          </w:tcPr>
          <w:p w:rsidR="00FF70D4" w:rsidRPr="00F645B9" w:rsidRDefault="00FF70D4" w:rsidP="00851EA5">
            <w:pPr>
              <w:keepNext/>
              <w:keepLines/>
              <w:spacing w:after="0" w:line="240" w:lineRule="auto"/>
              <w:jc w:val="right"/>
              <w:rPr>
                <w:rFonts w:ascii="Arial" w:hAnsi="Arial" w:cs="Arial"/>
                <w:b/>
                <w:sz w:val="18"/>
              </w:rPr>
            </w:pPr>
            <w:r w:rsidRPr="00F645B9">
              <w:rPr>
                <w:rFonts w:ascii="Arial" w:hAnsi="Arial" w:cs="Arial"/>
                <w:b/>
                <w:sz w:val="18"/>
              </w:rPr>
              <w:t>---</w:t>
            </w:r>
          </w:p>
        </w:tc>
        <w:tc>
          <w:tcPr>
            <w:tcW w:w="1260" w:type="dxa"/>
            <w:tcBorders>
              <w:bottom w:val="single" w:sz="4" w:space="0" w:color="auto"/>
            </w:tcBorders>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b/>
                <w:sz w:val="18"/>
              </w:rPr>
            </w:pPr>
            <w:r w:rsidRPr="00F645B9">
              <w:rPr>
                <w:rFonts w:ascii="Arial" w:hAnsi="Arial" w:cs="Arial"/>
                <w:b/>
                <w:sz w:val="18"/>
              </w:rPr>
              <w:t>---</w:t>
            </w:r>
          </w:p>
        </w:tc>
        <w:tc>
          <w:tcPr>
            <w:tcW w:w="1260" w:type="dxa"/>
            <w:tcBorders>
              <w:bottom w:val="single" w:sz="4" w:space="0" w:color="auto"/>
            </w:tcBorders>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b/>
                <w:sz w:val="18"/>
              </w:rPr>
            </w:pPr>
            <w:r w:rsidRPr="00F645B9">
              <w:rPr>
                <w:rFonts w:ascii="Arial" w:hAnsi="Arial" w:cs="Arial"/>
                <w:b/>
                <w:sz w:val="18"/>
              </w:rPr>
              <w:t>774,333</w:t>
            </w:r>
          </w:p>
        </w:tc>
        <w:tc>
          <w:tcPr>
            <w:tcW w:w="1440" w:type="dxa"/>
            <w:tcBorders>
              <w:bottom w:val="single" w:sz="4" w:space="0" w:color="auto"/>
            </w:tcBorders>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b/>
                <w:sz w:val="18"/>
                <w:highlight w:val="yellow"/>
              </w:rPr>
            </w:pPr>
            <w:r w:rsidRPr="00F645B9">
              <w:rPr>
                <w:rFonts w:ascii="Arial" w:hAnsi="Arial" w:cs="Arial"/>
                <w:b/>
                <w:sz w:val="18"/>
              </w:rPr>
              <w:t>---</w:t>
            </w:r>
          </w:p>
        </w:tc>
      </w:tr>
      <w:tr w:rsidR="00FF70D4" w:rsidRPr="00F645B9" w:rsidTr="00851EA5">
        <w:trPr>
          <w:trHeight w:val="255"/>
        </w:trPr>
        <w:tc>
          <w:tcPr>
            <w:tcW w:w="9735" w:type="dxa"/>
            <w:gridSpan w:val="7"/>
            <w:tcBorders>
              <w:top w:val="single" w:sz="4" w:space="0" w:color="auto"/>
            </w:tcBorders>
            <w:shd w:val="clear" w:color="auto" w:fill="auto"/>
            <w:noWrap/>
            <w:vAlign w:val="bottom"/>
          </w:tcPr>
          <w:p w:rsidR="00FF70D4" w:rsidRPr="00F645B9" w:rsidRDefault="00FF70D4" w:rsidP="00851EA5">
            <w:pPr>
              <w:keepNext/>
              <w:keepLines/>
              <w:spacing w:after="0" w:line="240" w:lineRule="auto"/>
              <w:jc w:val="center"/>
              <w:rPr>
                <w:rFonts w:ascii="Arial" w:hAnsi="Arial" w:cs="Arial"/>
                <w:sz w:val="18"/>
              </w:rPr>
            </w:pPr>
            <w:r w:rsidRPr="00F645B9">
              <w:rPr>
                <w:rFonts w:ascii="Arial" w:hAnsi="Arial" w:cs="Arial"/>
                <w:b/>
                <w:sz w:val="18"/>
              </w:rPr>
              <w:t>Volatile Organic Compounds (TPY)</w:t>
            </w:r>
          </w:p>
        </w:tc>
      </w:tr>
      <w:tr w:rsidR="00FF70D4" w:rsidRPr="00F645B9" w:rsidTr="00851EA5">
        <w:trPr>
          <w:trHeight w:val="255"/>
        </w:trPr>
        <w:tc>
          <w:tcPr>
            <w:tcW w:w="1905" w:type="dxa"/>
            <w:tcBorders>
              <w:top w:val="single" w:sz="4" w:space="0" w:color="auto"/>
            </w:tcBorders>
            <w:shd w:val="clear" w:color="auto" w:fill="auto"/>
            <w:noWrap/>
            <w:vAlign w:val="bottom"/>
          </w:tcPr>
          <w:p w:rsidR="00FF70D4" w:rsidRPr="00F645B9" w:rsidRDefault="00FF70D4" w:rsidP="00851EA5">
            <w:pPr>
              <w:keepNext/>
              <w:keepLines/>
              <w:spacing w:after="0"/>
              <w:rPr>
                <w:rFonts w:ascii="Arial" w:hAnsi="Arial" w:cs="Arial"/>
                <w:sz w:val="18"/>
              </w:rPr>
            </w:pPr>
            <w:r w:rsidRPr="00F645B9">
              <w:rPr>
                <w:rFonts w:ascii="Arial" w:hAnsi="Arial" w:cs="Arial"/>
                <w:sz w:val="18"/>
              </w:rPr>
              <w:t>Area(4)</w:t>
            </w:r>
          </w:p>
        </w:tc>
        <w:tc>
          <w:tcPr>
            <w:tcW w:w="1170" w:type="dxa"/>
            <w:tcBorders>
              <w:top w:val="single" w:sz="4" w:space="0" w:color="auto"/>
            </w:tcBorders>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1,366,735</w:t>
            </w:r>
          </w:p>
        </w:tc>
        <w:tc>
          <w:tcPr>
            <w:tcW w:w="1350" w:type="dxa"/>
            <w:tcBorders>
              <w:top w:val="single" w:sz="4" w:space="0" w:color="auto"/>
            </w:tcBorders>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784,233</w:t>
            </w:r>
          </w:p>
        </w:tc>
        <w:tc>
          <w:tcPr>
            <w:tcW w:w="1350" w:type="dxa"/>
            <w:tcBorders>
              <w:top w:val="single" w:sz="4" w:space="0" w:color="auto"/>
            </w:tcBorders>
            <w:shd w:val="clear" w:color="auto" w:fill="auto"/>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c>
          <w:tcPr>
            <w:tcW w:w="1260" w:type="dxa"/>
            <w:tcBorders>
              <w:top w:val="single" w:sz="4" w:space="0" w:color="auto"/>
            </w:tcBorders>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702,289</w:t>
            </w:r>
          </w:p>
        </w:tc>
        <w:tc>
          <w:tcPr>
            <w:tcW w:w="1260" w:type="dxa"/>
            <w:tcBorders>
              <w:top w:val="single" w:sz="4" w:space="0" w:color="auto"/>
            </w:tcBorders>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1,334,175</w:t>
            </w:r>
          </w:p>
        </w:tc>
        <w:tc>
          <w:tcPr>
            <w:tcW w:w="1440" w:type="dxa"/>
            <w:tcBorders>
              <w:top w:val="single" w:sz="4" w:space="0" w:color="auto"/>
            </w:tcBorders>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696,125</w:t>
            </w:r>
          </w:p>
        </w:tc>
      </w:tr>
      <w:tr w:rsidR="00FF70D4" w:rsidRPr="00F645B9" w:rsidTr="00851EA5">
        <w:trPr>
          <w:trHeight w:val="255"/>
        </w:trPr>
        <w:tc>
          <w:tcPr>
            <w:tcW w:w="1905" w:type="dxa"/>
            <w:shd w:val="clear" w:color="auto" w:fill="auto"/>
            <w:noWrap/>
            <w:vAlign w:val="bottom"/>
          </w:tcPr>
          <w:p w:rsidR="00FF70D4" w:rsidRPr="00F645B9" w:rsidRDefault="00FF70D4" w:rsidP="00851EA5">
            <w:pPr>
              <w:keepNext/>
              <w:keepLines/>
              <w:spacing w:after="0"/>
              <w:rPr>
                <w:rFonts w:ascii="Arial" w:hAnsi="Arial" w:cs="Arial"/>
                <w:sz w:val="18"/>
              </w:rPr>
            </w:pPr>
            <w:r w:rsidRPr="00F645B9">
              <w:rPr>
                <w:rFonts w:ascii="Arial" w:hAnsi="Arial" w:cs="Arial"/>
                <w:sz w:val="18"/>
              </w:rPr>
              <w:t>Nonroad MAR(4)</w:t>
            </w:r>
          </w:p>
        </w:tc>
        <w:tc>
          <w:tcPr>
            <w:tcW w:w="117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14,026</w:t>
            </w:r>
          </w:p>
        </w:tc>
        <w:tc>
          <w:tcPr>
            <w:tcW w:w="135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19,066</w:t>
            </w:r>
          </w:p>
        </w:tc>
        <w:tc>
          <w:tcPr>
            <w:tcW w:w="1350" w:type="dxa"/>
            <w:shd w:val="clear" w:color="auto" w:fill="auto"/>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c>
          <w:tcPr>
            <w:tcW w:w="1260" w:type="dxa"/>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17,057</w:t>
            </w:r>
          </w:p>
        </w:tc>
        <w:tc>
          <w:tcPr>
            <w:tcW w:w="126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14,962</w:t>
            </w:r>
          </w:p>
        </w:tc>
        <w:tc>
          <w:tcPr>
            <w:tcW w:w="144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16,962</w:t>
            </w:r>
          </w:p>
        </w:tc>
      </w:tr>
      <w:tr w:rsidR="00FF70D4" w:rsidRPr="00F645B9" w:rsidTr="00851EA5">
        <w:trPr>
          <w:trHeight w:val="255"/>
        </w:trPr>
        <w:tc>
          <w:tcPr>
            <w:tcW w:w="1905" w:type="dxa"/>
            <w:shd w:val="clear" w:color="auto" w:fill="auto"/>
            <w:noWrap/>
            <w:vAlign w:val="bottom"/>
          </w:tcPr>
          <w:p w:rsidR="00FF70D4" w:rsidRPr="00F645B9" w:rsidRDefault="00FF70D4" w:rsidP="00851EA5">
            <w:pPr>
              <w:keepNext/>
              <w:keepLines/>
              <w:spacing w:after="0"/>
              <w:rPr>
                <w:rFonts w:ascii="Arial" w:hAnsi="Arial" w:cs="Arial"/>
                <w:sz w:val="18"/>
              </w:rPr>
            </w:pPr>
            <w:r w:rsidRPr="00F645B9">
              <w:rPr>
                <w:rFonts w:ascii="Arial" w:hAnsi="Arial" w:cs="Arial"/>
                <w:sz w:val="18"/>
              </w:rPr>
              <w:t>Nonroad NMIM(4)</w:t>
            </w:r>
          </w:p>
        </w:tc>
        <w:tc>
          <w:tcPr>
            <w:tcW w:w="117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557,536</w:t>
            </w:r>
          </w:p>
        </w:tc>
        <w:tc>
          <w:tcPr>
            <w:tcW w:w="135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412,890</w:t>
            </w:r>
          </w:p>
        </w:tc>
        <w:tc>
          <w:tcPr>
            <w:tcW w:w="1350" w:type="dxa"/>
            <w:shd w:val="clear" w:color="auto" w:fill="auto"/>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c>
          <w:tcPr>
            <w:tcW w:w="1260" w:type="dxa"/>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244,126</w:t>
            </w:r>
          </w:p>
        </w:tc>
        <w:tc>
          <w:tcPr>
            <w:tcW w:w="126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364,980</w:t>
            </w:r>
          </w:p>
        </w:tc>
        <w:tc>
          <w:tcPr>
            <w:tcW w:w="144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222,226</w:t>
            </w:r>
          </w:p>
        </w:tc>
      </w:tr>
      <w:tr w:rsidR="00FF70D4" w:rsidRPr="00F645B9" w:rsidTr="00851EA5">
        <w:trPr>
          <w:trHeight w:val="255"/>
        </w:trPr>
        <w:tc>
          <w:tcPr>
            <w:tcW w:w="1905" w:type="dxa"/>
            <w:shd w:val="clear" w:color="auto" w:fill="auto"/>
            <w:noWrap/>
            <w:vAlign w:val="bottom"/>
          </w:tcPr>
          <w:p w:rsidR="00FF70D4" w:rsidRPr="00F645B9" w:rsidRDefault="00FF70D4" w:rsidP="00851EA5">
            <w:pPr>
              <w:keepNext/>
              <w:keepLines/>
              <w:spacing w:after="0"/>
              <w:rPr>
                <w:rFonts w:ascii="Arial" w:hAnsi="Arial" w:cs="Arial"/>
                <w:sz w:val="18"/>
              </w:rPr>
            </w:pPr>
            <w:r w:rsidRPr="00F645B9">
              <w:rPr>
                <w:rFonts w:ascii="Arial" w:hAnsi="Arial" w:cs="Arial"/>
                <w:sz w:val="18"/>
              </w:rPr>
              <w:t>Onroad Mobile(4)</w:t>
            </w:r>
          </w:p>
        </w:tc>
        <w:tc>
          <w:tcPr>
            <w:tcW w:w="117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789,560</w:t>
            </w:r>
          </w:p>
        </w:tc>
        <w:tc>
          <w:tcPr>
            <w:tcW w:w="135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600,638</w:t>
            </w:r>
          </w:p>
        </w:tc>
        <w:tc>
          <w:tcPr>
            <w:tcW w:w="1350" w:type="dxa"/>
            <w:shd w:val="clear" w:color="auto" w:fill="auto"/>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c>
          <w:tcPr>
            <w:tcW w:w="1260" w:type="dxa"/>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c>
          <w:tcPr>
            <w:tcW w:w="126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269,979</w:t>
            </w:r>
          </w:p>
        </w:tc>
        <w:tc>
          <w:tcPr>
            <w:tcW w:w="144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269,647</w:t>
            </w:r>
          </w:p>
        </w:tc>
      </w:tr>
      <w:tr w:rsidR="00FF70D4" w:rsidRPr="00F645B9" w:rsidTr="00851EA5">
        <w:trPr>
          <w:trHeight w:val="255"/>
        </w:trPr>
        <w:tc>
          <w:tcPr>
            <w:tcW w:w="1905" w:type="dxa"/>
            <w:shd w:val="clear" w:color="auto" w:fill="auto"/>
            <w:noWrap/>
            <w:vAlign w:val="bottom"/>
          </w:tcPr>
          <w:p w:rsidR="00FF70D4" w:rsidRPr="00F645B9" w:rsidRDefault="00FF70D4" w:rsidP="00851EA5">
            <w:pPr>
              <w:keepNext/>
              <w:keepLines/>
              <w:spacing w:after="0"/>
              <w:rPr>
                <w:rFonts w:ascii="Arial" w:hAnsi="Arial" w:cs="Arial"/>
                <w:sz w:val="18"/>
              </w:rPr>
            </w:pPr>
            <w:r w:rsidRPr="00F645B9">
              <w:rPr>
                <w:rFonts w:ascii="Arial" w:hAnsi="Arial" w:cs="Arial"/>
                <w:sz w:val="18"/>
              </w:rPr>
              <w:t>Point EGU(2)</w:t>
            </w:r>
          </w:p>
        </w:tc>
        <w:tc>
          <w:tcPr>
            <w:tcW w:w="117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11,943</w:t>
            </w:r>
          </w:p>
        </w:tc>
        <w:tc>
          <w:tcPr>
            <w:tcW w:w="135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4,975</w:t>
            </w:r>
          </w:p>
        </w:tc>
        <w:tc>
          <w:tcPr>
            <w:tcW w:w="1350" w:type="dxa"/>
            <w:shd w:val="clear" w:color="auto" w:fill="auto"/>
            <w:vAlign w:val="bottom"/>
          </w:tcPr>
          <w:p w:rsidR="00FF70D4" w:rsidRPr="00F645B9" w:rsidRDefault="00FF70D4" w:rsidP="00851EA5">
            <w:pPr>
              <w:keepNext/>
              <w:keepLines/>
              <w:spacing w:after="0" w:line="240" w:lineRule="auto"/>
              <w:jc w:val="right"/>
              <w:rPr>
                <w:rFonts w:ascii="Arial" w:hAnsi="Arial" w:cs="Arial"/>
                <w:sz w:val="18"/>
                <w:highlight w:val="yellow"/>
              </w:rPr>
            </w:pPr>
            <w:r w:rsidRPr="00F645B9">
              <w:rPr>
                <w:rFonts w:ascii="Arial" w:hAnsi="Arial" w:cs="Arial"/>
                <w:b/>
                <w:sz w:val="18"/>
              </w:rPr>
              <w:t>---</w:t>
            </w:r>
          </w:p>
        </w:tc>
        <w:tc>
          <w:tcPr>
            <w:tcW w:w="1260" w:type="dxa"/>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highlight w:val="yellow"/>
              </w:rPr>
            </w:pPr>
            <w:r w:rsidRPr="00F645B9">
              <w:rPr>
                <w:rFonts w:ascii="Arial" w:hAnsi="Arial" w:cs="Arial"/>
                <w:b/>
                <w:sz w:val="18"/>
              </w:rPr>
              <w:t>---</w:t>
            </w:r>
          </w:p>
        </w:tc>
        <w:tc>
          <w:tcPr>
            <w:tcW w:w="126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4,344</w:t>
            </w:r>
          </w:p>
        </w:tc>
        <w:tc>
          <w:tcPr>
            <w:tcW w:w="144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highlight w:val="yellow"/>
              </w:rPr>
            </w:pPr>
            <w:r w:rsidRPr="00F645B9">
              <w:rPr>
                <w:rFonts w:ascii="Arial" w:hAnsi="Arial" w:cs="Arial"/>
                <w:b/>
                <w:sz w:val="18"/>
              </w:rPr>
              <w:t>---</w:t>
            </w:r>
          </w:p>
        </w:tc>
      </w:tr>
      <w:tr w:rsidR="00FF70D4" w:rsidRPr="00F645B9" w:rsidTr="00851EA5">
        <w:trPr>
          <w:trHeight w:val="255"/>
        </w:trPr>
        <w:tc>
          <w:tcPr>
            <w:tcW w:w="1905" w:type="dxa"/>
            <w:shd w:val="clear" w:color="auto" w:fill="auto"/>
            <w:noWrap/>
            <w:vAlign w:val="bottom"/>
          </w:tcPr>
          <w:p w:rsidR="00FF70D4" w:rsidRPr="00F645B9" w:rsidRDefault="00FF70D4" w:rsidP="00851EA5">
            <w:pPr>
              <w:keepNext/>
              <w:keepLines/>
              <w:spacing w:after="0"/>
              <w:rPr>
                <w:rFonts w:ascii="Arial" w:hAnsi="Arial" w:cs="Arial"/>
                <w:sz w:val="18"/>
              </w:rPr>
            </w:pPr>
            <w:r w:rsidRPr="00F645B9">
              <w:rPr>
                <w:rFonts w:ascii="Arial" w:hAnsi="Arial" w:cs="Arial"/>
                <w:sz w:val="18"/>
              </w:rPr>
              <w:t>Point nonEGU(3)</w:t>
            </w:r>
          </w:p>
        </w:tc>
        <w:tc>
          <w:tcPr>
            <w:tcW w:w="117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92,562</w:t>
            </w:r>
          </w:p>
        </w:tc>
        <w:tc>
          <w:tcPr>
            <w:tcW w:w="135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68,003</w:t>
            </w:r>
          </w:p>
        </w:tc>
        <w:tc>
          <w:tcPr>
            <w:tcW w:w="1350" w:type="dxa"/>
            <w:shd w:val="clear" w:color="auto" w:fill="auto"/>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w:t>
            </w:r>
          </w:p>
        </w:tc>
        <w:tc>
          <w:tcPr>
            <w:tcW w:w="1260" w:type="dxa"/>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68,099</w:t>
            </w:r>
          </w:p>
        </w:tc>
        <w:tc>
          <w:tcPr>
            <w:tcW w:w="126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103,727</w:t>
            </w:r>
          </w:p>
        </w:tc>
        <w:tc>
          <w:tcPr>
            <w:tcW w:w="144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sz w:val="18"/>
              </w:rPr>
            </w:pPr>
            <w:r w:rsidRPr="00F645B9">
              <w:rPr>
                <w:rFonts w:ascii="Arial" w:hAnsi="Arial" w:cs="Arial"/>
                <w:sz w:val="18"/>
              </w:rPr>
              <w:t>68,005</w:t>
            </w:r>
          </w:p>
        </w:tc>
      </w:tr>
      <w:tr w:rsidR="00FF70D4" w:rsidRPr="00F645B9" w:rsidTr="00851EA5">
        <w:trPr>
          <w:trHeight w:val="255"/>
        </w:trPr>
        <w:tc>
          <w:tcPr>
            <w:tcW w:w="1905" w:type="dxa"/>
            <w:shd w:val="clear" w:color="auto" w:fill="auto"/>
            <w:noWrap/>
            <w:vAlign w:val="bottom"/>
          </w:tcPr>
          <w:p w:rsidR="00FF70D4" w:rsidRPr="00F645B9" w:rsidRDefault="00FF70D4" w:rsidP="00851EA5">
            <w:pPr>
              <w:keepNext/>
              <w:keepLines/>
              <w:spacing w:after="0"/>
              <w:rPr>
                <w:rFonts w:ascii="Arial" w:hAnsi="Arial" w:cs="Arial"/>
                <w:b/>
                <w:bCs/>
                <w:sz w:val="18"/>
              </w:rPr>
            </w:pPr>
            <w:r w:rsidRPr="00F645B9">
              <w:rPr>
                <w:rFonts w:ascii="Arial" w:hAnsi="Arial" w:cs="Arial"/>
                <w:b/>
                <w:bCs/>
                <w:sz w:val="18"/>
              </w:rPr>
              <w:t>Total</w:t>
            </w:r>
          </w:p>
        </w:tc>
        <w:tc>
          <w:tcPr>
            <w:tcW w:w="117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b/>
                <w:sz w:val="18"/>
              </w:rPr>
            </w:pPr>
            <w:r w:rsidRPr="00F645B9">
              <w:rPr>
                <w:rFonts w:ascii="Arial" w:hAnsi="Arial" w:cs="Arial"/>
                <w:b/>
                <w:sz w:val="18"/>
              </w:rPr>
              <w:t>2,832,364</w:t>
            </w:r>
          </w:p>
        </w:tc>
        <w:tc>
          <w:tcPr>
            <w:tcW w:w="135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b/>
                <w:sz w:val="18"/>
              </w:rPr>
            </w:pPr>
            <w:r w:rsidRPr="00F645B9">
              <w:rPr>
                <w:rFonts w:ascii="Arial" w:hAnsi="Arial" w:cs="Arial"/>
                <w:b/>
                <w:sz w:val="18"/>
              </w:rPr>
              <w:t>1,889,805</w:t>
            </w:r>
          </w:p>
        </w:tc>
        <w:tc>
          <w:tcPr>
            <w:tcW w:w="1350" w:type="dxa"/>
            <w:shd w:val="clear" w:color="auto" w:fill="auto"/>
            <w:vAlign w:val="bottom"/>
          </w:tcPr>
          <w:p w:rsidR="00FF70D4" w:rsidRPr="00F645B9" w:rsidRDefault="00FF70D4" w:rsidP="00851EA5">
            <w:pPr>
              <w:keepNext/>
              <w:keepLines/>
              <w:spacing w:after="0" w:line="240" w:lineRule="auto"/>
              <w:jc w:val="right"/>
              <w:rPr>
                <w:rFonts w:ascii="Arial" w:hAnsi="Arial" w:cs="Arial"/>
                <w:b/>
                <w:sz w:val="18"/>
                <w:highlight w:val="yellow"/>
              </w:rPr>
            </w:pPr>
            <w:r w:rsidRPr="00F645B9">
              <w:rPr>
                <w:rFonts w:ascii="Arial" w:hAnsi="Arial" w:cs="Arial"/>
                <w:b/>
                <w:sz w:val="18"/>
              </w:rPr>
              <w:t>---</w:t>
            </w:r>
          </w:p>
        </w:tc>
        <w:tc>
          <w:tcPr>
            <w:tcW w:w="1260" w:type="dxa"/>
            <w:shd w:val="clear" w:color="auto" w:fill="DDD9C3" w:themeFill="background2" w:themeFillShade="E6"/>
            <w:vAlign w:val="bottom"/>
          </w:tcPr>
          <w:p w:rsidR="00FF70D4" w:rsidRPr="00F645B9" w:rsidRDefault="00FF70D4" w:rsidP="00851EA5">
            <w:pPr>
              <w:keepNext/>
              <w:keepLines/>
              <w:spacing w:after="0" w:line="240" w:lineRule="auto"/>
              <w:jc w:val="right"/>
              <w:rPr>
                <w:rFonts w:ascii="Arial" w:hAnsi="Arial" w:cs="Arial"/>
                <w:b/>
                <w:sz w:val="18"/>
                <w:highlight w:val="yellow"/>
              </w:rPr>
            </w:pPr>
            <w:r w:rsidRPr="00F645B9">
              <w:rPr>
                <w:rFonts w:ascii="Arial" w:hAnsi="Arial" w:cs="Arial"/>
                <w:b/>
                <w:sz w:val="18"/>
              </w:rPr>
              <w:t>---</w:t>
            </w:r>
          </w:p>
        </w:tc>
        <w:tc>
          <w:tcPr>
            <w:tcW w:w="1260" w:type="dxa"/>
            <w:shd w:val="clear" w:color="auto" w:fill="8DB3E2" w:themeFill="text2" w:themeFillTint="66"/>
            <w:noWrap/>
            <w:vAlign w:val="bottom"/>
          </w:tcPr>
          <w:p w:rsidR="00FF70D4" w:rsidRPr="00F645B9" w:rsidRDefault="00FF70D4" w:rsidP="00851EA5">
            <w:pPr>
              <w:keepNext/>
              <w:keepLines/>
              <w:spacing w:after="0" w:line="240" w:lineRule="auto"/>
              <w:jc w:val="right"/>
              <w:rPr>
                <w:rFonts w:ascii="Arial" w:hAnsi="Arial" w:cs="Arial"/>
                <w:b/>
                <w:sz w:val="18"/>
              </w:rPr>
            </w:pPr>
            <w:r w:rsidRPr="00F645B9">
              <w:rPr>
                <w:rFonts w:ascii="Arial" w:hAnsi="Arial" w:cs="Arial"/>
                <w:b/>
                <w:sz w:val="18"/>
              </w:rPr>
              <w:t>2,092,168</w:t>
            </w:r>
          </w:p>
        </w:tc>
        <w:tc>
          <w:tcPr>
            <w:tcW w:w="1440" w:type="dxa"/>
            <w:shd w:val="clear" w:color="auto" w:fill="DDD9C3" w:themeFill="background2" w:themeFillShade="E6"/>
            <w:noWrap/>
            <w:vAlign w:val="bottom"/>
          </w:tcPr>
          <w:p w:rsidR="00FF70D4" w:rsidRPr="00F645B9" w:rsidRDefault="00FF70D4" w:rsidP="00851EA5">
            <w:pPr>
              <w:keepNext/>
              <w:keepLines/>
              <w:spacing w:after="0" w:line="240" w:lineRule="auto"/>
              <w:jc w:val="right"/>
              <w:rPr>
                <w:rFonts w:ascii="Arial" w:hAnsi="Arial" w:cs="Arial"/>
                <w:b/>
                <w:sz w:val="18"/>
                <w:highlight w:val="yellow"/>
              </w:rPr>
            </w:pPr>
            <w:r w:rsidRPr="00F645B9">
              <w:rPr>
                <w:rFonts w:ascii="Arial" w:hAnsi="Arial" w:cs="Arial"/>
                <w:b/>
                <w:sz w:val="18"/>
              </w:rPr>
              <w:t>---</w:t>
            </w:r>
          </w:p>
        </w:tc>
      </w:tr>
    </w:tbl>
    <w:p w:rsidR="00821C03" w:rsidRPr="007357A7" w:rsidRDefault="00821C03" w:rsidP="00821C03">
      <w:pPr>
        <w:spacing w:after="0"/>
        <w:rPr>
          <w:sz w:val="18"/>
        </w:rPr>
      </w:pPr>
      <w:r w:rsidRPr="007357A7">
        <w:rPr>
          <w:sz w:val="18"/>
        </w:rPr>
        <w:t>1) This trend is built from three sources:</w:t>
      </w:r>
    </w:p>
    <w:p w:rsidR="00821C03" w:rsidRPr="007357A7" w:rsidRDefault="00821C03" w:rsidP="00821C03">
      <w:pPr>
        <w:spacing w:after="0"/>
        <w:ind w:firstLine="270"/>
        <w:rPr>
          <w:sz w:val="18"/>
        </w:rPr>
      </w:pPr>
      <w:r w:rsidRPr="007357A7">
        <w:rPr>
          <w:sz w:val="18"/>
          <w:u w:val="single"/>
        </w:rPr>
        <w:t>2002 V3</w:t>
      </w:r>
      <w:r w:rsidRPr="007357A7">
        <w:rPr>
          <w:sz w:val="18"/>
        </w:rPr>
        <w:t xml:space="preserve"> with future p</w:t>
      </w:r>
      <w:r w:rsidR="007357A7" w:rsidRPr="007357A7">
        <w:rPr>
          <w:sz w:val="18"/>
        </w:rPr>
        <w:t>rojection to 2018 (</w:t>
      </w:r>
      <w:r w:rsidRPr="007357A7">
        <w:rPr>
          <w:sz w:val="18"/>
        </w:rPr>
        <w:t>Columns</w:t>
      </w:r>
      <w:r w:rsidR="007357A7" w:rsidRPr="007357A7">
        <w:rPr>
          <w:sz w:val="18"/>
        </w:rPr>
        <w:t xml:space="preserve"> 1 and 5</w:t>
      </w:r>
      <w:r w:rsidRPr="007357A7">
        <w:rPr>
          <w:sz w:val="18"/>
        </w:rPr>
        <w:t>)</w:t>
      </w:r>
    </w:p>
    <w:p w:rsidR="00821C03" w:rsidRPr="007357A7" w:rsidRDefault="00821C03" w:rsidP="00821C03">
      <w:pPr>
        <w:spacing w:after="0"/>
        <w:ind w:firstLine="270"/>
        <w:rPr>
          <w:sz w:val="18"/>
        </w:rPr>
      </w:pPr>
      <w:r w:rsidRPr="007357A7">
        <w:rPr>
          <w:sz w:val="18"/>
          <w:u w:val="single"/>
        </w:rPr>
        <w:t>2007 V3</w:t>
      </w:r>
      <w:r w:rsidRPr="007357A7">
        <w:rPr>
          <w:sz w:val="18"/>
        </w:rPr>
        <w:t xml:space="preserve"> with a p</w:t>
      </w:r>
      <w:r w:rsidR="007357A7" w:rsidRPr="007357A7">
        <w:rPr>
          <w:sz w:val="18"/>
        </w:rPr>
        <w:t>rojection to 2017 and 2020 (</w:t>
      </w:r>
      <w:r w:rsidRPr="007357A7">
        <w:rPr>
          <w:sz w:val="18"/>
        </w:rPr>
        <w:t>Columns</w:t>
      </w:r>
      <w:r w:rsidR="007357A7" w:rsidRPr="007357A7">
        <w:rPr>
          <w:sz w:val="18"/>
        </w:rPr>
        <w:t xml:space="preserve"> 2 and 6</w:t>
      </w:r>
      <w:r w:rsidRPr="007357A7">
        <w:rPr>
          <w:sz w:val="18"/>
        </w:rPr>
        <w:t>)</w:t>
      </w:r>
    </w:p>
    <w:p w:rsidR="00821C03" w:rsidRPr="007357A7" w:rsidRDefault="00821C03" w:rsidP="00821C03">
      <w:pPr>
        <w:spacing w:after="0"/>
        <w:ind w:firstLine="270"/>
        <w:rPr>
          <w:sz w:val="18"/>
        </w:rPr>
      </w:pPr>
      <w:r w:rsidRPr="007357A7">
        <w:rPr>
          <w:sz w:val="18"/>
          <w:u w:val="single"/>
        </w:rPr>
        <w:t>CAMD</w:t>
      </w:r>
      <w:r w:rsidRPr="007357A7">
        <w:rPr>
          <w:sz w:val="18"/>
        </w:rPr>
        <w:t xml:space="preserve"> actual 2010 emissions as rep</w:t>
      </w:r>
      <w:r w:rsidR="007357A7" w:rsidRPr="007357A7">
        <w:rPr>
          <w:sz w:val="18"/>
        </w:rPr>
        <w:t>orted to the US EPA CAMD (Column 3</w:t>
      </w:r>
      <w:r w:rsidRPr="007357A7">
        <w:rPr>
          <w:sz w:val="18"/>
        </w:rPr>
        <w:t>)</w:t>
      </w:r>
    </w:p>
    <w:p w:rsidR="00821C03" w:rsidRPr="007357A7" w:rsidRDefault="00821C03" w:rsidP="00821C03">
      <w:pPr>
        <w:spacing w:after="0"/>
        <w:ind w:left="720" w:hanging="720"/>
        <w:rPr>
          <w:sz w:val="18"/>
        </w:rPr>
      </w:pPr>
      <w:r w:rsidRPr="007357A7">
        <w:rPr>
          <w:sz w:val="18"/>
        </w:rPr>
        <w:t>(2) Data meets or exceeds target of 90% complete across all years for most states. Units with incomplete data for one or more years have been completed by states or have been removed so that a consistent set of data is presented across years.  Therefore totals are not identical to modeled inventory or TSD.</w:t>
      </w:r>
    </w:p>
    <w:p w:rsidR="00821C03" w:rsidRPr="007357A7" w:rsidRDefault="00821C03" w:rsidP="00821C03">
      <w:pPr>
        <w:spacing w:after="0"/>
        <w:ind w:left="720" w:hanging="720"/>
      </w:pPr>
      <w:r w:rsidRPr="007357A7">
        <w:rPr>
          <w:sz w:val="18"/>
        </w:rPr>
        <w:t>(3) Data does not meet target of 90% complete across all years.  Total represents all units completed by state.  Totals are not identical to modeled inventory or TSD.</w:t>
      </w:r>
    </w:p>
    <w:p w:rsidR="00821C03" w:rsidRPr="007357A7" w:rsidRDefault="00821C03" w:rsidP="00821C03">
      <w:pPr>
        <w:keepNext/>
        <w:keepLines/>
        <w:spacing w:after="0"/>
        <w:rPr>
          <w:sz w:val="18"/>
        </w:rPr>
      </w:pPr>
      <w:r w:rsidRPr="007357A7">
        <w:rPr>
          <w:sz w:val="18"/>
        </w:rPr>
        <w:t>(4) Data identical to modeled inventory and TSD for most states.  No revision to correct inconsistent methodology.</w:t>
      </w:r>
    </w:p>
    <w:p w:rsidR="007357A7" w:rsidRPr="007357A7" w:rsidRDefault="00016A50" w:rsidP="007357A7">
      <w:pPr>
        <w:ind w:left="720"/>
        <w:rPr>
          <w:sz w:val="20"/>
        </w:rPr>
      </w:pPr>
      <w:r>
        <w:rPr>
          <w:noProof/>
          <w:sz w:val="20"/>
        </w:rPr>
        <mc:AlternateContent>
          <mc:Choice Requires="wps">
            <w:drawing>
              <wp:anchor distT="0" distB="0" distL="114300" distR="114300" simplePos="0" relativeHeight="251663360" behindDoc="0" locked="0" layoutInCell="1" allowOverlap="1">
                <wp:simplePos x="0" y="0"/>
                <wp:positionH relativeFrom="column">
                  <wp:align>center</wp:align>
                </wp:positionH>
                <wp:positionV relativeFrom="paragraph">
                  <wp:posOffset>356870</wp:posOffset>
                </wp:positionV>
                <wp:extent cx="6097270" cy="384810"/>
                <wp:effectExtent l="0" t="4445" r="0" b="1270"/>
                <wp:wrapNone/>
                <wp:docPr id="6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7270" cy="384810"/>
                        </a:xfrm>
                        <a:prstGeom prst="rect">
                          <a:avLst/>
                        </a:prstGeom>
                        <a:solidFill>
                          <a:srgbClr val="FFFFFF"/>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rsidR="00CC55EF" w:rsidRPr="007E604D" w:rsidRDefault="00CC55EF">
                            <w:pPr>
                              <w:rPr>
                                <w:sz w:val="16"/>
                              </w:rPr>
                            </w:pPr>
                            <w:r w:rsidRPr="007E604D">
                              <w:rPr>
                                <w:sz w:val="16"/>
                              </w:rPr>
                              <w:t>Reference</w:t>
                            </w:r>
                            <w:r>
                              <w:rPr>
                                <w:sz w:val="16"/>
                              </w:rPr>
                              <w:t xml:space="preserve">:  “Regional Emissions Trends Analysis for MANE-VU States: Technical Support Document, Revision 3,”  March 22, 2013 (posted on MARAMA website </w:t>
                            </w:r>
                            <w:hyperlink r:id="rId35" w:history="1">
                              <w:r w:rsidRPr="008E3785">
                                <w:rPr>
                                  <w:rStyle w:val="Hyperlink"/>
                                  <w:sz w:val="16"/>
                                </w:rPr>
                                <w:t>www.marama.org</w:t>
                              </w:r>
                            </w:hyperlink>
                            <w:r>
                              <w:rPr>
                                <w:sz w:val="16"/>
                              </w:rPr>
                              <w:t>)  Exhibit 8.1 p. 22.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0;margin-top:28.1pt;width:480.1pt;height:30.3pt;z-index:25166336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" stroked="f" strokeweight="0">
                <v:textbox>
                  <w:txbxContent>
                    <w:p w:rsidR="00CC55EF" w:rsidRPr="007E604D" w:rsidRDefault="00CC55EF">
                      <w:pPr>
                        <w:rPr>
                          <w:sz w:val="16"/>
                        </w:rPr>
                      </w:pPr>
                      <w:r w:rsidRPr="007E604D">
                        <w:rPr>
                          <w:sz w:val="16"/>
                        </w:rPr>
                        <w:t>Reference</w:t>
                      </w:r>
                      <w:r>
                        <w:rPr>
                          <w:sz w:val="16"/>
                        </w:rPr>
                        <w:t xml:space="preserve">:  “Regional Emissions Trends Analysis for MANE-VU States: Technical Support Document, Revision 3,”  March 22, 2013 (posted on MARAMA website </w:t>
                      </w:r>
                      <w:hyperlink r:id="rId36" w:history="1">
                        <w:r w:rsidRPr="008E3785">
                          <w:rPr>
                            <w:rStyle w:val="Hyperlink"/>
                            <w:sz w:val="16"/>
                          </w:rPr>
                          <w:t>www.marama.org</w:t>
                        </w:r>
                      </w:hyperlink>
                      <w:r>
                        <w:rPr>
                          <w:sz w:val="16"/>
                        </w:rPr>
                        <w:t>)  Exhibit 8.1 p. 22.</w:t>
                      </w:r>
                    </w:p>
                  </w:txbxContent>
                </v:textbox>
              </v:shape>
            </w:pict>
          </mc:Fallback>
        </mc:AlternateContent>
      </w:r>
      <w:r w:rsidR="00821C03" w:rsidRPr="007357A7">
        <w:rPr>
          <w:sz w:val="18"/>
        </w:rPr>
        <w:t>Nonroad MAR – includes commercial marine vessels, airports, and railroad locomotives</w:t>
      </w:r>
      <w:r w:rsidR="00821C03" w:rsidRPr="007357A7">
        <w:rPr>
          <w:sz w:val="18"/>
        </w:rPr>
        <w:br/>
        <w:t>Nonroad NMIM – includes equipment included in USEPA’s NMIM/NONROAD model</w:t>
      </w:r>
      <w:r w:rsidR="00821C03" w:rsidRPr="007357A7" w:rsidDel="00821C03">
        <w:rPr>
          <w:sz w:val="20"/>
        </w:rPr>
        <w:t xml:space="preserve"> </w:t>
      </w:r>
    </w:p>
    <w:p w:rsidR="00DE222F" w:rsidRPr="00BF64CA" w:rsidRDefault="00DE222F" w:rsidP="008E7EBD">
      <w:pPr>
        <w:rPr>
          <w:i/>
        </w:rPr>
      </w:pPr>
      <w:r w:rsidRPr="00BF64CA">
        <w:rPr>
          <w:i/>
          <w:highlight w:val="yellow"/>
        </w:rPr>
        <w:t>&lt;Note that on road mobile source emissions estimation methods changed from MOBILE to MOVES, and that this makes inter-annual comparisons impossible between certain years.&gt;</w:t>
      </w:r>
    </w:p>
    <w:p w:rsidR="00DF7B92" w:rsidRDefault="00DF7B92" w:rsidP="008E7EBD">
      <w:pPr>
        <w:rPr>
          <w:i/>
          <w:sz w:val="24"/>
          <w:szCs w:val="24"/>
        </w:rPr>
      </w:pPr>
      <w:r w:rsidRPr="00DF7B92">
        <w:rPr>
          <w:sz w:val="24"/>
          <w:szCs w:val="24"/>
          <w:highlight w:val="yellow"/>
        </w:rPr>
        <w:lastRenderedPageBreak/>
        <w:t>&lt;</w:t>
      </w:r>
      <w:r w:rsidRPr="00DF7B92">
        <w:rPr>
          <w:i/>
          <w:sz w:val="24"/>
          <w:szCs w:val="24"/>
          <w:highlight w:val="yellow"/>
        </w:rPr>
        <w:t>Each state agency will need to include a table showing emissions trend data for their state.&gt;</w:t>
      </w:r>
    </w:p>
    <w:p w:rsidR="00F4299D" w:rsidRDefault="00F4299D" w:rsidP="008E7EBD">
      <w:pPr>
        <w:rPr>
          <w:i/>
          <w:sz w:val="24"/>
          <w:szCs w:val="24"/>
        </w:rPr>
      </w:pPr>
    </w:p>
    <w:p w:rsidR="00F4299D" w:rsidRPr="007D1888" w:rsidRDefault="00F4299D" w:rsidP="00DA27BA">
      <w:pPr>
        <w:pStyle w:val="2TablesandFigures2"/>
        <w:rPr>
          <w:rStyle w:val="Heading9Char"/>
          <w:rFonts w:ascii="Arial" w:hAnsi="Arial" w:cs="Arial"/>
          <w:i w:val="0"/>
          <w:iCs w:val="0"/>
          <w:color w:val="auto"/>
          <w:szCs w:val="18"/>
        </w:rPr>
      </w:pPr>
      <w:bookmarkStart w:id="145" w:name="_Toc373843576"/>
      <w:bookmarkStart w:id="146" w:name="_Toc374023014"/>
      <w:r w:rsidRPr="007D1888">
        <w:rPr>
          <w:rStyle w:val="Heading8Char"/>
          <w:rFonts w:ascii="Arial" w:hAnsi="Arial" w:cs="Arial"/>
          <w:color w:val="auto"/>
        </w:rPr>
        <w:t>Figure 7.1. Regional SO</w:t>
      </w:r>
      <w:r w:rsidRPr="0008320D">
        <w:rPr>
          <w:rStyle w:val="Heading8Char"/>
          <w:rFonts w:ascii="Arial" w:hAnsi="Arial" w:cs="Arial"/>
          <w:color w:val="auto"/>
          <w:vertAlign w:val="subscript"/>
        </w:rPr>
        <w:t>2</w:t>
      </w:r>
      <w:r w:rsidRPr="007D1888">
        <w:rPr>
          <w:rStyle w:val="Heading8Char"/>
          <w:rFonts w:ascii="Arial" w:hAnsi="Arial" w:cs="Arial"/>
          <w:color w:val="auto"/>
        </w:rPr>
        <w:t xml:space="preserve"> Emissions Trends by Sector</w:t>
      </w:r>
      <w:bookmarkEnd w:id="145"/>
      <w:bookmarkEnd w:id="146"/>
      <w:r w:rsidRPr="007D1888">
        <w:rPr>
          <w:rStyle w:val="Heading9Char"/>
          <w:rFonts w:ascii="Arial" w:hAnsi="Arial" w:cs="Arial"/>
          <w:i w:val="0"/>
          <w:iCs w:val="0"/>
          <w:color w:val="auto"/>
          <w:szCs w:val="18"/>
        </w:rPr>
        <w:t xml:space="preserve"> </w:t>
      </w:r>
    </w:p>
    <w:p w:rsidR="005C2D59" w:rsidRDefault="00016A50" w:rsidP="003405AC">
      <w:pPr>
        <w:pStyle w:val="Heading3"/>
        <w:rPr>
          <w:b w:val="0"/>
          <w:bCs/>
          <w:u w:val="single"/>
        </w:rPr>
      </w:pPr>
      <w:r>
        <w:rPr>
          <w:noProof/>
        </w:rPr>
        <mc:AlternateContent>
          <mc:Choice Requires="wps">
            <w:drawing>
              <wp:anchor distT="0" distB="0" distL="114300" distR="114300" simplePos="0" relativeHeight="251667456" behindDoc="0" locked="0" layoutInCell="1" allowOverlap="1">
                <wp:simplePos x="0" y="0"/>
                <wp:positionH relativeFrom="column">
                  <wp:posOffset>1477645</wp:posOffset>
                </wp:positionH>
                <wp:positionV relativeFrom="paragraph">
                  <wp:posOffset>3175000</wp:posOffset>
                </wp:positionV>
                <wp:extent cx="451485" cy="184150"/>
                <wp:effectExtent l="1270" t="3175" r="4445" b="3175"/>
                <wp:wrapNone/>
                <wp:docPr id="3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485" cy="184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C55EF" w:rsidRPr="007E604D" w:rsidRDefault="00CC55EF">
                            <w:pPr>
                              <w:rPr>
                                <w:sz w:val="16"/>
                              </w:rPr>
                            </w:pPr>
                            <w:r w:rsidRPr="007E604D">
                              <w:rPr>
                                <w:sz w:val="16"/>
                              </w:rPr>
                              <w:t>Area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 o:spid="_x0000_s1027" type="#_x0000_t202" style="position:absolute;margin-left:116.35pt;margin-top:250pt;width:35.55pt;height:1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" stroked="f">
                <v:textbox>
                  <w:txbxContent>
                    <w:p w:rsidR="00CC55EF" w:rsidRPr="007E604D" w:rsidRDefault="00CC55EF">
                      <w:pPr>
                        <w:rPr>
                          <w:sz w:val="16"/>
                        </w:rPr>
                      </w:pPr>
                      <w:r w:rsidRPr="007E604D">
                        <w:rPr>
                          <w:sz w:val="16"/>
                        </w:rPr>
                        <w:t>Area</w:t>
                      </w:r>
                    </w:p>
                  </w:txbxContent>
                </v:textbox>
              </v:shape>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948055</wp:posOffset>
                </wp:positionH>
                <wp:positionV relativeFrom="paragraph">
                  <wp:posOffset>3571240</wp:posOffset>
                </wp:positionV>
                <wp:extent cx="607695" cy="202565"/>
                <wp:effectExtent l="0" t="0" r="0" b="0"/>
                <wp:wrapNone/>
                <wp:docPr id="2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 cy="202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C55EF" w:rsidRPr="007E604D" w:rsidRDefault="00CC55EF" w:rsidP="007E604D">
                            <w:pPr>
                              <w:rPr>
                                <w:sz w:val="16"/>
                              </w:rPr>
                            </w:pPr>
                            <w:r>
                              <w:rPr>
                                <w:sz w:val="16"/>
                              </w:rPr>
                              <w:t>NonEGU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 o:spid="_x0000_s1028" type="#_x0000_t202" style="position:absolute;margin-left:74.65pt;margin-top:281.2pt;width:47.85pt;height:15.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" stroked="f">
                <v:textbox>
                  <w:txbxContent>
                    <w:p w:rsidR="00CC55EF" w:rsidRPr="007E604D" w:rsidRDefault="00CC55EF" w:rsidP="007E604D">
                      <w:pPr>
                        <w:rPr>
                          <w:sz w:val="16"/>
                        </w:rPr>
                      </w:pPr>
                      <w:r>
                        <w:rPr>
                          <w:sz w:val="16"/>
                        </w:rPr>
                        <w:t>NonEGU</w:t>
                      </w:r>
                    </w:p>
                  </w:txbxContent>
                </v:textbox>
              </v:shape>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1209675</wp:posOffset>
                </wp:positionH>
                <wp:positionV relativeFrom="paragraph">
                  <wp:posOffset>175260</wp:posOffset>
                </wp:positionV>
                <wp:extent cx="493395" cy="217170"/>
                <wp:effectExtent l="0" t="3810" r="1905" b="0"/>
                <wp:wrapNone/>
                <wp:docPr id="2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2171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C55EF" w:rsidRPr="007E604D" w:rsidRDefault="00CC55EF">
                            <w:pPr>
                              <w:rPr>
                                <w:sz w:val="16"/>
                              </w:rPr>
                            </w:pPr>
                            <w:r w:rsidRPr="007E604D">
                              <w:rPr>
                                <w:sz w:val="16"/>
                              </w:rPr>
                              <w:t>EGU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 o:spid="_x0000_s1029" type="#_x0000_t202" style="position:absolute;margin-left:95.25pt;margin-top:13.8pt;width:38.85pt;height:17.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" stroked="f">
                <v:textbox>
                  <w:txbxContent>
                    <w:p w:rsidR="00CC55EF" w:rsidRPr="007E604D" w:rsidRDefault="00CC55EF">
                      <w:pPr>
                        <w:rPr>
                          <w:sz w:val="16"/>
                        </w:rPr>
                      </w:pPr>
                      <w:r w:rsidRPr="007E604D">
                        <w:rPr>
                          <w:sz w:val="16"/>
                        </w:rPr>
                        <w:t>EGU</w:t>
                      </w:r>
                    </w:p>
                  </w:txbxContent>
                </v:textbox>
              </v:shape>
            </w:pict>
          </mc:Fallback>
        </mc:AlternateContent>
      </w:r>
      <w:r w:rsidR="00B35F42" w:rsidRPr="007E604D">
        <w:rPr>
          <w:b w:val="0"/>
          <w:noProof/>
        </w:rPr>
        <w:drawing>
          <wp:anchor distT="0" distB="0" distL="114300" distR="114300" simplePos="0" relativeHeight="251669504" behindDoc="1" locked="0" layoutInCell="1" allowOverlap="1">
            <wp:simplePos x="0" y="0"/>
            <wp:positionH relativeFrom="column">
              <wp:posOffset>0</wp:posOffset>
            </wp:positionH>
            <wp:positionV relativeFrom="paragraph">
              <wp:posOffset>2633</wp:posOffset>
            </wp:positionV>
            <wp:extent cx="5832088" cy="4231888"/>
            <wp:effectExtent l="1905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32088" cy="4231888"/>
                    </a:xfrm>
                    <a:prstGeom prst="rect">
                      <a:avLst/>
                    </a:prstGeom>
                    <a:noFill/>
                  </pic:spPr>
                </pic:pic>
              </a:graphicData>
            </a:graphic>
          </wp:anchor>
        </w:drawing>
      </w:r>
      <w:r w:rsidR="00E71C51" w:rsidRPr="007E604D">
        <w:rPr>
          <w:b w:val="0"/>
        </w:rPr>
        <w:br w:type="page"/>
      </w:r>
    </w:p>
    <w:p w:rsidR="002915F4" w:rsidRDefault="002915F4">
      <w:pPr>
        <w:spacing w:after="0" w:line="240" w:lineRule="auto"/>
        <w:rPr>
          <w:rFonts w:ascii="Arial" w:eastAsia="Times New Roman" w:hAnsi="Arial"/>
          <w:b/>
          <w:bCs/>
          <w:color w:val="000000" w:themeColor="text1"/>
          <w:szCs w:val="26"/>
          <w:u w:val="single"/>
        </w:rPr>
      </w:pPr>
    </w:p>
    <w:p w:rsidR="00E71C51" w:rsidRPr="005D405E" w:rsidRDefault="00E71C51" w:rsidP="005D405E">
      <w:pPr>
        <w:pStyle w:val="Heading2"/>
      </w:pPr>
      <w:bookmarkStart w:id="147" w:name="_Toc373843534"/>
      <w:r w:rsidRPr="005D405E">
        <w:t xml:space="preserve">Section </w:t>
      </w:r>
      <w:r w:rsidR="00B06D45" w:rsidRPr="005D405E">
        <w:t>8</w:t>
      </w:r>
      <w:r w:rsidRPr="005D405E">
        <w:t>:  Assessment of Significant Anthropogenic Emission Changes In or Outside the State in the Last Five Years that Have Limited or Impeded Progress in Reducing Emissions and Improving Visibility</w:t>
      </w:r>
      <w:bookmarkEnd w:id="147"/>
    </w:p>
    <w:p w:rsidR="00E71C51" w:rsidRPr="00230052" w:rsidRDefault="00B06D45" w:rsidP="00230052">
      <w:pPr>
        <w:pStyle w:val="Heading3"/>
      </w:pPr>
      <w:bookmarkStart w:id="148" w:name="_Toc373843535"/>
      <w:r w:rsidRPr="00230052">
        <w:t>8</w:t>
      </w:r>
      <w:r w:rsidR="00E71C51" w:rsidRPr="00230052">
        <w:t>.1. Requirement to Assess whether Emissions Changes have Impeded Progress</w:t>
      </w:r>
      <w:bookmarkEnd w:id="148"/>
    </w:p>
    <w:p w:rsidR="00E71C51" w:rsidRPr="002A7870" w:rsidRDefault="00E71C51" w:rsidP="005D405E">
      <w:r>
        <w:t>Section 40 CFR 51.308(g)(5) of the Regional Haze Rule</w:t>
      </w:r>
      <w:r w:rsidRPr="002A7870">
        <w:t xml:space="preserve"> requires an assessment of any significant changes in anthropogenic emissions within or outside the State th</w:t>
      </w:r>
      <w:r w:rsidR="00AA3E60">
        <w:t>at have occurred over the past five</w:t>
      </w:r>
      <w:r w:rsidRPr="002A7870">
        <w:t xml:space="preserve"> years that have limited or impeded progress in reducing pollutant emissions and improving visibility.</w:t>
      </w:r>
    </w:p>
    <w:p w:rsidR="005B78AD" w:rsidRDefault="00E41A5F" w:rsidP="005D405E">
      <w:r>
        <w:t xml:space="preserve">EPA has </w:t>
      </w:r>
      <w:r w:rsidR="00A04DE3">
        <w:t>indicated</w:t>
      </w:r>
      <w:r w:rsidR="00243E21">
        <w:t xml:space="preserve"> a</w:t>
      </w:r>
      <w:r w:rsidR="00243E21" w:rsidRPr="005B78AD">
        <w:t xml:space="preserve"> significant change that can limit or impede progress could be either</w:t>
      </w:r>
      <w:r w:rsidR="00243E21">
        <w:t>:</w:t>
      </w:r>
    </w:p>
    <w:p w:rsidR="00E71C51" w:rsidRDefault="00A04DE3" w:rsidP="005B78AD">
      <w:pPr>
        <w:pStyle w:val="Numbering"/>
        <w:numPr>
          <w:ilvl w:val="0"/>
          <w:numId w:val="37"/>
        </w:numPr>
      </w:pPr>
      <w:r w:rsidRPr="005B78AD">
        <w:t>a significant unexpected increase in anthropogenic em</w:t>
      </w:r>
      <w:r w:rsidR="005C2D59">
        <w:t>issions that occurred over the five</w:t>
      </w:r>
      <w:r w:rsidRPr="005B78AD">
        <w:t>-year period (that is, an increase that was not projected in the analysis of the SIP),</w:t>
      </w:r>
      <w:r w:rsidR="005B78AD">
        <w:t xml:space="preserve"> or</w:t>
      </w:r>
    </w:p>
    <w:p w:rsidR="005B78AD" w:rsidRDefault="005B78AD" w:rsidP="005B78AD">
      <w:pPr>
        <w:pStyle w:val="Numbering"/>
        <w:numPr>
          <w:ilvl w:val="0"/>
          <w:numId w:val="37"/>
        </w:numPr>
      </w:pPr>
      <w:r>
        <w:t>a significant expected reduction in anthropogenic emissions that did not occur (that is, a projected decrease in emissions in the analyses for the SIP that was not realized).</w:t>
      </w:r>
    </w:p>
    <w:p w:rsidR="005C2D59" w:rsidRPr="005B78AD" w:rsidRDefault="005C2D59" w:rsidP="005C2D59">
      <w:pPr>
        <w:pStyle w:val="Numbering"/>
        <w:numPr>
          <w:ilvl w:val="0"/>
          <w:numId w:val="0"/>
        </w:numPr>
      </w:pPr>
      <w:r>
        <w:rPr>
          <w:highlight w:val="yellow"/>
        </w:rPr>
        <w:t xml:space="preserve">&lt;See also p. </w:t>
      </w:r>
      <w:r w:rsidRPr="005C2D59">
        <w:rPr>
          <w:highlight w:val="yellow"/>
        </w:rPr>
        <w:t>15 of EPA’s April 2013 “General Principles” document.  EPA expects this requirement to be addressed with readily available information.&gt;</w:t>
      </w:r>
    </w:p>
    <w:p w:rsidR="00E71C51" w:rsidRPr="00230052" w:rsidRDefault="00B06D45" w:rsidP="00230052">
      <w:pPr>
        <w:pStyle w:val="Heading3"/>
      </w:pPr>
      <w:bookmarkStart w:id="149" w:name="_Toc373843536"/>
      <w:r w:rsidRPr="00230052">
        <w:t>8</w:t>
      </w:r>
      <w:r w:rsidR="00E71C51" w:rsidRPr="00230052">
        <w:t>.2. Assessment</w:t>
      </w:r>
      <w:bookmarkEnd w:id="149"/>
    </w:p>
    <w:p w:rsidR="00243E21" w:rsidRDefault="00E71C51" w:rsidP="005D405E">
      <w:pPr>
        <w:rPr>
          <w:i/>
          <w:highlight w:val="yellow"/>
        </w:rPr>
      </w:pPr>
      <w:r w:rsidRPr="002A7870">
        <w:t xml:space="preserve">In general, haze-causing emissions in MANE-VU </w:t>
      </w:r>
      <w:r w:rsidR="005B78AD">
        <w:t>have declined.  (See Section 7</w:t>
      </w:r>
      <w:r w:rsidRPr="002A7870">
        <w:t xml:space="preserve"> above for more details.)</w:t>
      </w:r>
      <w:r w:rsidRPr="006B7765">
        <w:t xml:space="preserve"> </w:t>
      </w:r>
      <w:r>
        <w:t xml:space="preserve"> </w:t>
      </w:r>
      <w:r w:rsidRPr="002A7870">
        <w:t xml:space="preserve">Furthermore, most of the emission reductions in the SIPs were anticipated to occur in a stepwise fashion (e.g., in 2010 or 2014 or 2018) rather than in a gradual trend.  Therefore, in some sectors, </w:t>
      </w:r>
      <w:r w:rsidR="004C749E">
        <w:t>emissions may not have declined</w:t>
      </w:r>
      <w:r w:rsidR="00AA3E60">
        <w:t xml:space="preserve"> in the five</w:t>
      </w:r>
      <w:r w:rsidRPr="002A7870">
        <w:t xml:space="preserve"> years since 2002.</w:t>
      </w:r>
      <w:r w:rsidR="00DE222F">
        <w:t xml:space="preserve">  </w:t>
      </w:r>
    </w:p>
    <w:p w:rsidR="00E71C51" w:rsidRPr="005D405E" w:rsidRDefault="00E71C51" w:rsidP="005D405E">
      <w:pPr>
        <w:rPr>
          <w:rFonts w:ascii="Arial" w:hAnsi="Arial" w:cs="Arial"/>
          <w:b/>
          <w:spacing w:val="-6"/>
        </w:rPr>
      </w:pPr>
      <w:r w:rsidRPr="005D405E">
        <w:rPr>
          <w:rFonts w:ascii="Arial" w:hAnsi="Arial" w:cs="Arial"/>
          <w:b/>
          <w:spacing w:val="-6"/>
          <w:highlight w:val="yellow"/>
        </w:rPr>
        <w:t>OPTION A</w:t>
      </w:r>
    </w:p>
    <w:p w:rsidR="00E71C51" w:rsidRPr="002A7870" w:rsidRDefault="00E71C51" w:rsidP="005D405E">
      <w:pPr>
        <w:rPr>
          <w:spacing w:val="-6"/>
        </w:rPr>
      </w:pPr>
      <w:r w:rsidRPr="002A7870">
        <w:rPr>
          <w:spacing w:val="-6"/>
        </w:rPr>
        <w:t>The analyses and summaries in the previous sections include all relevant significant emission sources and show there are none that have limited or impeded progress for the regional haze program during this report period.</w:t>
      </w:r>
    </w:p>
    <w:p w:rsidR="00E71C51" w:rsidRPr="005D405E" w:rsidRDefault="00E71C51" w:rsidP="005D405E">
      <w:pPr>
        <w:rPr>
          <w:rFonts w:ascii="Arial" w:hAnsi="Arial" w:cs="Arial"/>
          <w:b/>
          <w:spacing w:val="-6"/>
        </w:rPr>
      </w:pPr>
      <w:r w:rsidRPr="005D405E">
        <w:rPr>
          <w:rFonts w:ascii="Arial" w:hAnsi="Arial" w:cs="Arial"/>
          <w:b/>
          <w:spacing w:val="-6"/>
          <w:highlight w:val="yellow"/>
        </w:rPr>
        <w:t>OPTION B</w:t>
      </w:r>
    </w:p>
    <w:p w:rsidR="00E71C51" w:rsidRDefault="00E71C51" w:rsidP="005D405E">
      <w:pPr>
        <w:rPr>
          <w:spacing w:val="-6"/>
        </w:rPr>
      </w:pPr>
      <w:r w:rsidRPr="002A7870">
        <w:rPr>
          <w:spacing w:val="-6"/>
        </w:rPr>
        <w:t>The analyses in the previous sections indicate that the following source(s) have limited or impeded progress for the regional haze program during this report period.  As part of the commitment to address the SIP’s deficiencies within one year, the State commits to further analyze additional controls for this/these source(s).</w:t>
      </w:r>
    </w:p>
    <w:p w:rsidR="00705984" w:rsidRPr="007D1888" w:rsidRDefault="00705984" w:rsidP="00F60FE6">
      <w:pPr>
        <w:pStyle w:val="Caption"/>
      </w:pPr>
      <w:bookmarkStart w:id="150" w:name="_Toc373842790"/>
      <w:bookmarkStart w:id="151" w:name="_Toc373843577"/>
      <w:bookmarkStart w:id="152" w:name="_Toc373844564"/>
      <w:r w:rsidRPr="007D1888">
        <w:rPr>
          <w:rStyle w:val="Heading8Char"/>
          <w:rFonts w:ascii="Arial" w:hAnsi="Arial" w:cs="Arial"/>
          <w:color w:val="auto"/>
        </w:rPr>
        <w:t>Table 8.1. Sources Impeding Progress</w:t>
      </w:r>
      <w:bookmarkEnd w:id="150"/>
      <w:bookmarkEnd w:id="151"/>
      <w:bookmarkEnd w:id="15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90"/>
        <w:gridCol w:w="3189"/>
        <w:gridCol w:w="3197"/>
      </w:tblGrid>
      <w:tr w:rsidR="00E71C51" w:rsidRPr="006355B8" w:rsidTr="006355B8">
        <w:tc>
          <w:tcPr>
            <w:tcW w:w="3190" w:type="dxa"/>
          </w:tcPr>
          <w:p w:rsidR="00E71C51" w:rsidRPr="006355B8" w:rsidRDefault="00E71C51" w:rsidP="004068DA">
            <w:pPr>
              <w:rPr>
                <w:rFonts w:cs="Bookman Old Style"/>
                <w:spacing w:val="-6"/>
                <w:sz w:val="24"/>
                <w:szCs w:val="24"/>
              </w:rPr>
            </w:pPr>
            <w:r w:rsidRPr="006355B8">
              <w:rPr>
                <w:rFonts w:cs="Bookman Old Style"/>
                <w:spacing w:val="-6"/>
                <w:sz w:val="24"/>
                <w:szCs w:val="24"/>
              </w:rPr>
              <w:t>Source</w:t>
            </w:r>
          </w:p>
        </w:tc>
        <w:tc>
          <w:tcPr>
            <w:tcW w:w="3189" w:type="dxa"/>
          </w:tcPr>
          <w:p w:rsidR="00E71C51" w:rsidRPr="006355B8" w:rsidRDefault="00E71C51" w:rsidP="004068DA">
            <w:pPr>
              <w:rPr>
                <w:rFonts w:cs="Bookman Old Style"/>
                <w:spacing w:val="-6"/>
                <w:sz w:val="24"/>
                <w:szCs w:val="24"/>
              </w:rPr>
            </w:pPr>
            <w:r w:rsidRPr="006355B8">
              <w:rPr>
                <w:rFonts w:cs="Bookman Old Style"/>
                <w:spacing w:val="-6"/>
                <w:sz w:val="24"/>
                <w:szCs w:val="24"/>
              </w:rPr>
              <w:t>Location</w:t>
            </w:r>
          </w:p>
        </w:tc>
        <w:tc>
          <w:tcPr>
            <w:tcW w:w="3197" w:type="dxa"/>
          </w:tcPr>
          <w:p w:rsidR="00E71C51" w:rsidRPr="006355B8" w:rsidRDefault="00E71C51" w:rsidP="004068DA">
            <w:pPr>
              <w:rPr>
                <w:rFonts w:cs="Bookman Old Style"/>
                <w:spacing w:val="-6"/>
                <w:sz w:val="24"/>
                <w:szCs w:val="24"/>
              </w:rPr>
            </w:pPr>
            <w:r w:rsidRPr="006355B8">
              <w:rPr>
                <w:rFonts w:cs="Bookman Old Style"/>
                <w:spacing w:val="-6"/>
                <w:sz w:val="24"/>
                <w:szCs w:val="24"/>
              </w:rPr>
              <w:t>Pollutant(s) of concern</w:t>
            </w:r>
          </w:p>
        </w:tc>
      </w:tr>
      <w:tr w:rsidR="00E71C51" w:rsidRPr="006355B8" w:rsidTr="006355B8">
        <w:tc>
          <w:tcPr>
            <w:tcW w:w="3190" w:type="dxa"/>
          </w:tcPr>
          <w:p w:rsidR="00E71C51" w:rsidRPr="005C2D59" w:rsidRDefault="005C2D59" w:rsidP="004068DA">
            <w:pPr>
              <w:rPr>
                <w:rFonts w:cs="Bookman Old Style"/>
                <w:spacing w:val="-6"/>
                <w:sz w:val="24"/>
                <w:szCs w:val="24"/>
              </w:rPr>
            </w:pPr>
            <w:r>
              <w:rPr>
                <w:rFonts w:cs="Bookman Old Style"/>
                <w:spacing w:val="-6"/>
                <w:sz w:val="24"/>
                <w:szCs w:val="24"/>
              </w:rPr>
              <w:t>Source name or category</w:t>
            </w:r>
          </w:p>
        </w:tc>
        <w:tc>
          <w:tcPr>
            <w:tcW w:w="3189" w:type="dxa"/>
          </w:tcPr>
          <w:p w:rsidR="00E71C51" w:rsidRPr="005C2D59" w:rsidRDefault="005C2D59" w:rsidP="004068DA">
            <w:pPr>
              <w:rPr>
                <w:rFonts w:cs="Bookman Old Style"/>
                <w:spacing w:val="-6"/>
                <w:sz w:val="24"/>
                <w:szCs w:val="24"/>
              </w:rPr>
            </w:pPr>
            <w:r w:rsidRPr="005C2D59">
              <w:rPr>
                <w:rFonts w:cs="Bookman Old Style"/>
                <w:spacing w:val="-6"/>
                <w:sz w:val="24"/>
                <w:szCs w:val="24"/>
              </w:rPr>
              <w:t>County</w:t>
            </w:r>
          </w:p>
        </w:tc>
        <w:tc>
          <w:tcPr>
            <w:tcW w:w="3197" w:type="dxa"/>
          </w:tcPr>
          <w:p w:rsidR="00E71C51" w:rsidRPr="006355B8" w:rsidRDefault="00E71C51" w:rsidP="00843E5B">
            <w:pPr>
              <w:rPr>
                <w:rFonts w:cs="Bookman Old Style"/>
                <w:i/>
                <w:spacing w:val="-6"/>
                <w:sz w:val="24"/>
                <w:szCs w:val="24"/>
              </w:rPr>
            </w:pPr>
          </w:p>
        </w:tc>
      </w:tr>
      <w:tr w:rsidR="00E71C51" w:rsidRPr="006355B8" w:rsidTr="006355B8">
        <w:tc>
          <w:tcPr>
            <w:tcW w:w="3190" w:type="dxa"/>
          </w:tcPr>
          <w:p w:rsidR="00E71C51" w:rsidRPr="005C2D59" w:rsidRDefault="00E71C51" w:rsidP="001B6E07">
            <w:pPr>
              <w:rPr>
                <w:rFonts w:cs="Bookman Old Style"/>
                <w:spacing w:val="-6"/>
                <w:sz w:val="24"/>
                <w:szCs w:val="24"/>
              </w:rPr>
            </w:pPr>
          </w:p>
        </w:tc>
        <w:tc>
          <w:tcPr>
            <w:tcW w:w="3189" w:type="dxa"/>
          </w:tcPr>
          <w:p w:rsidR="00E71C51" w:rsidRPr="006355B8" w:rsidRDefault="00E71C51" w:rsidP="004068DA">
            <w:pPr>
              <w:rPr>
                <w:rFonts w:cs="Bookman Old Style"/>
                <w:i/>
                <w:spacing w:val="-6"/>
                <w:sz w:val="24"/>
                <w:szCs w:val="24"/>
              </w:rPr>
            </w:pPr>
          </w:p>
        </w:tc>
        <w:tc>
          <w:tcPr>
            <w:tcW w:w="3197" w:type="dxa"/>
          </w:tcPr>
          <w:p w:rsidR="00E71C51" w:rsidRPr="006355B8" w:rsidRDefault="00E71C51" w:rsidP="004068DA">
            <w:pPr>
              <w:rPr>
                <w:rFonts w:cs="Bookman Old Style"/>
                <w:i/>
                <w:spacing w:val="-6"/>
                <w:sz w:val="24"/>
                <w:szCs w:val="24"/>
              </w:rPr>
            </w:pPr>
          </w:p>
        </w:tc>
      </w:tr>
    </w:tbl>
    <w:p w:rsidR="00E71C51" w:rsidRPr="00375CC3" w:rsidRDefault="00E71C51" w:rsidP="00375CC3">
      <w:pPr>
        <w:rPr>
          <w:sz w:val="24"/>
          <w:szCs w:val="24"/>
        </w:rPr>
      </w:pPr>
      <w:r w:rsidRPr="00CC58A1">
        <w:rPr>
          <w:rFonts w:cs="Bookman Old Style"/>
          <w:spacing w:val="-6"/>
        </w:rPr>
        <w:t xml:space="preserve"> </w:t>
      </w:r>
    </w:p>
    <w:p w:rsidR="005D405E" w:rsidRDefault="005D405E">
      <w:pPr>
        <w:spacing w:after="0" w:line="240" w:lineRule="auto"/>
        <w:rPr>
          <w:rFonts w:ascii="Arial" w:eastAsia="Times New Roman" w:hAnsi="Arial"/>
          <w:b/>
          <w:bCs/>
          <w:color w:val="000000" w:themeColor="text1"/>
          <w:sz w:val="28"/>
          <w:szCs w:val="28"/>
          <w:u w:val="single"/>
        </w:rPr>
      </w:pPr>
      <w:r>
        <w:rPr>
          <w:sz w:val="28"/>
          <w:szCs w:val="28"/>
        </w:rPr>
        <w:br w:type="page"/>
      </w:r>
    </w:p>
    <w:p w:rsidR="005D405E" w:rsidRDefault="005D405E">
      <w:pPr>
        <w:spacing w:after="0" w:line="240" w:lineRule="auto"/>
        <w:rPr>
          <w:rFonts w:ascii="Arial" w:eastAsia="Times New Roman" w:hAnsi="Arial"/>
          <w:b/>
          <w:bCs/>
          <w:color w:val="000000" w:themeColor="text1"/>
          <w:sz w:val="28"/>
          <w:szCs w:val="28"/>
          <w:u w:val="single"/>
        </w:rPr>
      </w:pPr>
      <w:r>
        <w:rPr>
          <w:sz w:val="28"/>
          <w:szCs w:val="28"/>
        </w:rPr>
        <w:lastRenderedPageBreak/>
        <w:br w:type="page"/>
      </w:r>
    </w:p>
    <w:p w:rsidR="00E71C51" w:rsidRDefault="00E71C51" w:rsidP="005D405E">
      <w:pPr>
        <w:pStyle w:val="Heading2"/>
      </w:pPr>
      <w:bookmarkStart w:id="153" w:name="_Toc373843537"/>
      <w:r w:rsidRPr="005D405E">
        <w:lastRenderedPageBreak/>
        <w:t xml:space="preserve">Section </w:t>
      </w:r>
      <w:r w:rsidR="00B06D45" w:rsidRPr="005D405E">
        <w:t>9</w:t>
      </w:r>
      <w:r w:rsidRPr="005D405E">
        <w:t>:  Assessment regarding whether Current Regional Haze State Implementation Plan (SIP) Elements and Strategies are Sufficient to Meet Reasonable Progress Goals</w:t>
      </w:r>
      <w:bookmarkEnd w:id="153"/>
    </w:p>
    <w:p w:rsidR="00E71C51" w:rsidRPr="00230052" w:rsidRDefault="00B06D45" w:rsidP="00230052">
      <w:pPr>
        <w:pStyle w:val="Heading3"/>
      </w:pPr>
      <w:bookmarkStart w:id="154" w:name="_Toc373843538"/>
      <w:r w:rsidRPr="00230052">
        <w:t>9</w:t>
      </w:r>
      <w:r w:rsidR="00E71C51" w:rsidRPr="00230052">
        <w:t>.1. Requirement to Assess Sufficiency of Plan</w:t>
      </w:r>
      <w:bookmarkEnd w:id="154"/>
    </w:p>
    <w:p w:rsidR="00E71C51" w:rsidRPr="002A7870" w:rsidRDefault="00E71C51" w:rsidP="005D405E">
      <w:r>
        <w:t xml:space="preserve">Section 40 CFR 51.308(g)(6) </w:t>
      </w:r>
      <w:r w:rsidRPr="002A7870">
        <w:t>of the Regional Haze Rule requires an assessment of whether the current implementation plan elements and strategies are sufficient to enable the State, or other States with mandatory Federal Class I areas affected by emissions from the State, to meet all established reasonable progress goals.</w:t>
      </w:r>
    </w:p>
    <w:p w:rsidR="00E71C51" w:rsidRPr="00230052" w:rsidRDefault="00B06D45" w:rsidP="00230052">
      <w:pPr>
        <w:pStyle w:val="Heading3"/>
      </w:pPr>
      <w:bookmarkStart w:id="155" w:name="_Toc373843539"/>
      <w:r w:rsidRPr="00230052">
        <w:t>9</w:t>
      </w:r>
      <w:r w:rsidR="00E71C51" w:rsidRPr="00230052">
        <w:t>.2. Assessment</w:t>
      </w:r>
      <w:bookmarkEnd w:id="155"/>
    </w:p>
    <w:p w:rsidR="00E71C51" w:rsidRPr="005D405E" w:rsidRDefault="007A33C0" w:rsidP="005D405E">
      <w:pPr>
        <w:rPr>
          <w:rFonts w:ascii="Arial" w:hAnsi="Arial" w:cs="Arial"/>
          <w:b/>
        </w:rPr>
      </w:pPr>
      <w:r w:rsidRPr="005D405E">
        <w:rPr>
          <w:rFonts w:ascii="Arial" w:hAnsi="Arial" w:cs="Arial"/>
          <w:b/>
          <w:highlight w:val="yellow"/>
        </w:rPr>
        <w:t>OPTION A</w:t>
      </w:r>
    </w:p>
    <w:p w:rsidR="00E71C51" w:rsidRPr="002A7870" w:rsidRDefault="00E71C51" w:rsidP="005D405E">
      <w:r w:rsidRPr="002A7870">
        <w:t xml:space="preserve">Based on the analyses throughout this Report, </w:t>
      </w:r>
      <w:r w:rsidRPr="002A7870">
        <w:rPr>
          <w:highlight w:val="yellow"/>
        </w:rPr>
        <w:t>&lt;State&gt;</w:t>
      </w:r>
      <w:r w:rsidRPr="002A7870">
        <w:t xml:space="preserve"> determines that the existing Regional Haze SIP is sufficient to meet the reasonable progress goal.</w:t>
      </w:r>
    </w:p>
    <w:p w:rsidR="00E71C51" w:rsidRPr="005D405E" w:rsidRDefault="007A33C0" w:rsidP="005D405E">
      <w:pPr>
        <w:rPr>
          <w:rFonts w:ascii="Arial" w:hAnsi="Arial" w:cs="Arial"/>
          <w:b/>
        </w:rPr>
      </w:pPr>
      <w:r w:rsidRPr="005D405E">
        <w:rPr>
          <w:rFonts w:ascii="Arial" w:hAnsi="Arial" w:cs="Arial"/>
          <w:b/>
          <w:highlight w:val="yellow"/>
        </w:rPr>
        <w:t>OPTION B</w:t>
      </w:r>
    </w:p>
    <w:p w:rsidR="00E71C51" w:rsidRDefault="00E71C51" w:rsidP="005D405E">
      <w:r w:rsidRPr="002A7870">
        <w:t xml:space="preserve">Based on the analyses throughout this Report, </w:t>
      </w:r>
      <w:r w:rsidRPr="002A7870">
        <w:rPr>
          <w:highlight w:val="yellow"/>
        </w:rPr>
        <w:t>&lt;State&gt;</w:t>
      </w:r>
      <w:r w:rsidRPr="002A7870">
        <w:t xml:space="preserve"> determines that the existing Regional Haze SIP is not sufficient to meet the reasonable progress goal.  See Section 1</w:t>
      </w:r>
      <w:r>
        <w:t>2</w:t>
      </w:r>
      <w:r w:rsidRPr="002A7870">
        <w:t xml:space="preserve"> for next steps.</w:t>
      </w:r>
    </w:p>
    <w:p w:rsidR="005C2D59" w:rsidRPr="002A7870" w:rsidRDefault="005C2D59" w:rsidP="005D405E">
      <w:r w:rsidRPr="0057242D">
        <w:rPr>
          <w:highlight w:val="yellow"/>
        </w:rPr>
        <w:t>&lt;Note: State may wish to reiterate information regarding importance of sulfates and reductions in SO</w:t>
      </w:r>
      <w:r w:rsidRPr="0057242D">
        <w:rPr>
          <w:highlight w:val="yellow"/>
          <w:vertAlign w:val="subscript"/>
        </w:rPr>
        <w:t>2</w:t>
      </w:r>
      <w:r w:rsidRPr="0057242D">
        <w:rPr>
          <w:highlight w:val="yellow"/>
        </w:rPr>
        <w:t xml:space="preserve"> emissions and sulfates since 2002.&gt;</w:t>
      </w:r>
      <w:r w:rsidR="0057242D" w:rsidRPr="0057242D">
        <w:rPr>
          <w:highlight w:val="yellow"/>
        </w:rPr>
        <w:t xml:space="preserve"> &lt;See pp 16-17 of EPA’s April 2015 guidance.&gt;</w:t>
      </w:r>
    </w:p>
    <w:p w:rsidR="00E71C51" w:rsidRPr="002A7870" w:rsidRDefault="00E71C51" w:rsidP="005D405E"/>
    <w:p w:rsidR="00E71C51" w:rsidRDefault="00E71C51" w:rsidP="00206FF5">
      <w:r>
        <w:br w:type="page"/>
      </w:r>
    </w:p>
    <w:p w:rsidR="005D405E" w:rsidRDefault="005D405E">
      <w:pPr>
        <w:spacing w:after="0" w:line="240" w:lineRule="auto"/>
        <w:rPr>
          <w:rFonts w:ascii="Arial" w:eastAsia="Times New Roman" w:hAnsi="Arial"/>
          <w:b/>
          <w:bCs/>
          <w:color w:val="000000" w:themeColor="text1"/>
          <w:sz w:val="28"/>
          <w:szCs w:val="28"/>
          <w:u w:val="single"/>
        </w:rPr>
      </w:pPr>
      <w:r>
        <w:rPr>
          <w:sz w:val="28"/>
          <w:szCs w:val="28"/>
        </w:rPr>
        <w:lastRenderedPageBreak/>
        <w:br w:type="page"/>
      </w:r>
    </w:p>
    <w:p w:rsidR="00E71C51" w:rsidRPr="0057242D" w:rsidRDefault="00E71C51" w:rsidP="0057242D">
      <w:pPr>
        <w:pStyle w:val="Heading2"/>
      </w:pPr>
      <w:bookmarkStart w:id="156" w:name="_Toc373843540"/>
      <w:r w:rsidRPr="0057242D">
        <w:lastRenderedPageBreak/>
        <w:t>Section 1</w:t>
      </w:r>
      <w:r w:rsidR="00B06D45" w:rsidRPr="0057242D">
        <w:t>0</w:t>
      </w:r>
      <w:r w:rsidRPr="0057242D">
        <w:t>:  Monitoring Strategy Review</w:t>
      </w:r>
      <w:bookmarkEnd w:id="156"/>
    </w:p>
    <w:p w:rsidR="00E71C51" w:rsidRDefault="00E71C51" w:rsidP="008657F5">
      <w:pPr>
        <w:pStyle w:val="Default"/>
        <w:rPr>
          <w:rFonts w:ascii="Arial" w:hAnsi="Arial" w:cs="Arial"/>
          <w:bCs/>
          <w:color w:val="auto"/>
        </w:rPr>
      </w:pPr>
    </w:p>
    <w:p w:rsidR="00E71C51" w:rsidRPr="005D405E" w:rsidRDefault="00E71C51" w:rsidP="005D405E">
      <w:pPr>
        <w:pStyle w:val="Heading3"/>
      </w:pPr>
      <w:bookmarkStart w:id="157" w:name="_Toc373843541"/>
      <w:r w:rsidRPr="005D405E">
        <w:t>1</w:t>
      </w:r>
      <w:r w:rsidR="00B06D45" w:rsidRPr="005D405E">
        <w:t>0</w:t>
      </w:r>
      <w:r w:rsidRPr="005D405E">
        <w:t>.1. Requirement to Review Monitoring Strategy</w:t>
      </w:r>
      <w:bookmarkEnd w:id="157"/>
    </w:p>
    <w:p w:rsidR="00E71C51" w:rsidRPr="002A7870" w:rsidRDefault="00E71C51" w:rsidP="005D405E">
      <w:r>
        <w:t xml:space="preserve">Section 40 CFR 51.308(g)(7) </w:t>
      </w:r>
      <w:r w:rsidRPr="002A7870">
        <w:t>of the Regional Haze Rules requires each state with a Class I area to review the State’s visibility monitoring strategy and any modifications to the strategy as necessary.</w:t>
      </w:r>
      <w:r w:rsidR="00C879CF">
        <w:t xml:space="preserve">  </w:t>
      </w:r>
      <w:r w:rsidRPr="002A7870">
        <w:rPr>
          <w:highlight w:val="yellow"/>
        </w:rPr>
        <w:t>&lt;Each MANE-VU Class I state developed a visibility monitoring strategy for its regional haze SIP. Each MANE-VU Class I state will review its strategy to determine its continued adequacy.&gt;</w:t>
      </w:r>
    </w:p>
    <w:p w:rsidR="00E71C51" w:rsidRPr="005D405E" w:rsidRDefault="00E71C51" w:rsidP="005D405E">
      <w:pPr>
        <w:pStyle w:val="Heading3"/>
      </w:pPr>
      <w:bookmarkStart w:id="158" w:name="_Toc373843542"/>
      <w:r w:rsidRPr="005D405E">
        <w:t>1</w:t>
      </w:r>
      <w:r w:rsidR="00B06D45" w:rsidRPr="005D405E">
        <w:t>0</w:t>
      </w:r>
      <w:r w:rsidRPr="005D405E">
        <w:t>.2. Review</w:t>
      </w:r>
      <w:bookmarkEnd w:id="158"/>
    </w:p>
    <w:p w:rsidR="00E71C51" w:rsidRPr="002A7870" w:rsidRDefault="00E71C51" w:rsidP="005D405E">
      <w:r w:rsidRPr="005D405E">
        <w:rPr>
          <w:rFonts w:ascii="Arial" w:hAnsi="Arial" w:cs="Arial"/>
          <w:b/>
        </w:rPr>
        <w:t>OPTION A</w:t>
      </w:r>
      <w:r w:rsidRPr="002A7870">
        <w:t xml:space="preserve"> - states with no </w:t>
      </w:r>
      <w:r>
        <w:t>Class I areas</w:t>
      </w:r>
    </w:p>
    <w:p w:rsidR="00E71C51" w:rsidRPr="002A7870" w:rsidRDefault="00E71C51" w:rsidP="005D405E">
      <w:r w:rsidRPr="002A7870">
        <w:t xml:space="preserve">This section is not applicable to </w:t>
      </w:r>
      <w:r w:rsidRPr="002A7870">
        <w:rPr>
          <w:highlight w:val="yellow"/>
        </w:rPr>
        <w:t>&lt;state name&gt;</w:t>
      </w:r>
      <w:r w:rsidRPr="002A7870">
        <w:t xml:space="preserve"> because there are no </w:t>
      </w:r>
      <w:r>
        <w:t>Class I areas</w:t>
      </w:r>
      <w:r w:rsidRPr="002A7870">
        <w:t xml:space="preserve"> in the State.</w:t>
      </w:r>
    </w:p>
    <w:p w:rsidR="00E71C51" w:rsidRPr="002A7870" w:rsidRDefault="00E71C51" w:rsidP="005D405E">
      <w:r w:rsidRPr="005D405E">
        <w:rPr>
          <w:rFonts w:ascii="Arial" w:hAnsi="Arial" w:cs="Arial"/>
          <w:b/>
        </w:rPr>
        <w:t>OPTION B</w:t>
      </w:r>
      <w:r w:rsidRPr="002A7870">
        <w:t xml:space="preserve"> - states with </w:t>
      </w:r>
      <w:r>
        <w:t>Class I areas</w:t>
      </w:r>
    </w:p>
    <w:p w:rsidR="00E71C51" w:rsidRDefault="00E71C51" w:rsidP="005D405E">
      <w:r w:rsidRPr="002A7870">
        <w:t xml:space="preserve">As part of the original Regional Haze Program requirements, the following monitoring network was deemed adequate for the </w:t>
      </w:r>
      <w:r w:rsidRPr="002A7870">
        <w:rPr>
          <w:highlight w:val="yellow"/>
        </w:rPr>
        <w:t>&lt;State name&gt;</w:t>
      </w:r>
      <w:r w:rsidRPr="002A7870">
        <w:t xml:space="preserve">.  The monitoring strategy relies upon participation in the Interagency Monitoring of Protected Visual Environments (IMPROVE) network.  For the Five Year Progress Report, </w:t>
      </w:r>
      <w:r w:rsidRPr="002A7870">
        <w:rPr>
          <w:highlight w:val="yellow"/>
        </w:rPr>
        <w:t>&lt;State&gt;</w:t>
      </w:r>
      <w:r w:rsidRPr="002A7870">
        <w:t xml:space="preserve"> has evaluated its monitoring network and any changes from the original SIP network are noted.  </w:t>
      </w:r>
    </w:p>
    <w:p w:rsidR="00705984" w:rsidRPr="007D1888" w:rsidRDefault="00705984" w:rsidP="00F60FE6">
      <w:pPr>
        <w:pStyle w:val="Caption"/>
        <w:rPr>
          <w:rStyle w:val="Heading8Char"/>
          <w:rFonts w:ascii="Arial" w:hAnsi="Arial" w:cs="Arial"/>
          <w:color w:val="auto"/>
        </w:rPr>
      </w:pPr>
      <w:bookmarkStart w:id="159" w:name="_Toc373842791"/>
      <w:bookmarkStart w:id="160" w:name="_Toc373843578"/>
      <w:bookmarkStart w:id="161" w:name="_Toc373844565"/>
      <w:r w:rsidRPr="007D1888">
        <w:rPr>
          <w:rStyle w:val="Heading8Char"/>
          <w:rFonts w:ascii="Arial" w:hAnsi="Arial" w:cs="Arial"/>
          <w:color w:val="auto"/>
        </w:rPr>
        <w:t>Table 10.1. Visibility Monitoring Sites in the State</w:t>
      </w:r>
      <w:bookmarkEnd w:id="159"/>
      <w:bookmarkEnd w:id="160"/>
      <w:bookmarkEnd w:id="161"/>
    </w:p>
    <w:tbl>
      <w:tblPr>
        <w:tblW w:w="9396"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96"/>
        <w:gridCol w:w="1080"/>
        <w:gridCol w:w="810"/>
        <w:gridCol w:w="1080"/>
        <w:gridCol w:w="1170"/>
        <w:gridCol w:w="1440"/>
        <w:gridCol w:w="1350"/>
        <w:gridCol w:w="1170"/>
      </w:tblGrid>
      <w:tr w:rsidR="00E71C51" w:rsidRPr="006355B8" w:rsidTr="006355B8">
        <w:trPr>
          <w:trHeight w:val="520"/>
        </w:trPr>
        <w:tc>
          <w:tcPr>
            <w:tcW w:w="1296" w:type="dxa"/>
          </w:tcPr>
          <w:p w:rsidR="00E71C51" w:rsidRPr="006355B8" w:rsidRDefault="00E71C51" w:rsidP="00372CCF">
            <w:pPr>
              <w:pStyle w:val="Default"/>
              <w:rPr>
                <w:rFonts w:ascii="Calibri" w:hAnsi="Calibri"/>
                <w:sz w:val="22"/>
                <w:szCs w:val="22"/>
              </w:rPr>
            </w:pPr>
            <w:r w:rsidRPr="006355B8">
              <w:rPr>
                <w:rFonts w:ascii="Calibri" w:hAnsi="Calibri"/>
                <w:sz w:val="22"/>
                <w:szCs w:val="22"/>
              </w:rPr>
              <w:t>Site Name</w:t>
            </w:r>
          </w:p>
        </w:tc>
        <w:tc>
          <w:tcPr>
            <w:tcW w:w="1080" w:type="dxa"/>
          </w:tcPr>
          <w:p w:rsidR="00E71C51" w:rsidRPr="006355B8" w:rsidRDefault="00E71C51" w:rsidP="00372CCF">
            <w:pPr>
              <w:pStyle w:val="Default"/>
              <w:rPr>
                <w:rFonts w:ascii="Calibri" w:hAnsi="Calibri"/>
                <w:sz w:val="22"/>
                <w:szCs w:val="22"/>
              </w:rPr>
            </w:pPr>
            <w:r w:rsidRPr="006355B8">
              <w:rPr>
                <w:rFonts w:ascii="Calibri" w:hAnsi="Calibri"/>
                <w:sz w:val="22"/>
                <w:szCs w:val="22"/>
              </w:rPr>
              <w:t>Site Code</w:t>
            </w:r>
          </w:p>
        </w:tc>
        <w:tc>
          <w:tcPr>
            <w:tcW w:w="810" w:type="dxa"/>
          </w:tcPr>
          <w:p w:rsidR="00E71C51" w:rsidRPr="006355B8" w:rsidRDefault="00E71C51" w:rsidP="00372CCF">
            <w:pPr>
              <w:pStyle w:val="Default"/>
              <w:rPr>
                <w:rFonts w:ascii="Calibri" w:hAnsi="Calibri"/>
                <w:sz w:val="22"/>
                <w:szCs w:val="22"/>
              </w:rPr>
            </w:pPr>
            <w:r w:rsidRPr="006355B8">
              <w:rPr>
                <w:rFonts w:ascii="Calibri" w:hAnsi="Calibri"/>
                <w:sz w:val="22"/>
                <w:szCs w:val="22"/>
              </w:rPr>
              <w:t>State</w:t>
            </w:r>
          </w:p>
        </w:tc>
        <w:tc>
          <w:tcPr>
            <w:tcW w:w="1080" w:type="dxa"/>
          </w:tcPr>
          <w:p w:rsidR="00E71C51" w:rsidRPr="006355B8" w:rsidRDefault="00E71C51" w:rsidP="00372CCF">
            <w:pPr>
              <w:pStyle w:val="Default"/>
              <w:rPr>
                <w:rFonts w:ascii="Calibri" w:hAnsi="Calibri"/>
                <w:sz w:val="22"/>
                <w:szCs w:val="22"/>
              </w:rPr>
            </w:pPr>
            <w:r w:rsidRPr="006355B8">
              <w:rPr>
                <w:rFonts w:ascii="Calibri" w:hAnsi="Calibri"/>
                <w:sz w:val="22"/>
                <w:szCs w:val="22"/>
              </w:rPr>
              <w:t>Latitude</w:t>
            </w:r>
          </w:p>
        </w:tc>
        <w:tc>
          <w:tcPr>
            <w:tcW w:w="1170" w:type="dxa"/>
          </w:tcPr>
          <w:p w:rsidR="00E71C51" w:rsidRPr="006355B8" w:rsidRDefault="00E71C51" w:rsidP="00372CCF">
            <w:pPr>
              <w:pStyle w:val="Default"/>
              <w:rPr>
                <w:rFonts w:ascii="Calibri" w:hAnsi="Calibri"/>
                <w:sz w:val="22"/>
                <w:szCs w:val="22"/>
              </w:rPr>
            </w:pPr>
            <w:r w:rsidRPr="006355B8">
              <w:rPr>
                <w:rFonts w:ascii="Calibri" w:hAnsi="Calibri"/>
                <w:sz w:val="22"/>
                <w:szCs w:val="22"/>
              </w:rPr>
              <w:t>Longitude</w:t>
            </w:r>
          </w:p>
        </w:tc>
        <w:tc>
          <w:tcPr>
            <w:tcW w:w="1440" w:type="dxa"/>
          </w:tcPr>
          <w:p w:rsidR="00E71C51" w:rsidRPr="006355B8" w:rsidRDefault="00E71C51" w:rsidP="00372CCF">
            <w:pPr>
              <w:pStyle w:val="Default"/>
              <w:rPr>
                <w:rFonts w:ascii="Calibri" w:hAnsi="Calibri"/>
                <w:sz w:val="22"/>
                <w:szCs w:val="22"/>
              </w:rPr>
            </w:pPr>
            <w:r w:rsidRPr="006355B8">
              <w:rPr>
                <w:rFonts w:ascii="Calibri" w:hAnsi="Calibri"/>
                <w:sz w:val="22"/>
                <w:szCs w:val="22"/>
              </w:rPr>
              <w:t>Elevation (m)</w:t>
            </w:r>
          </w:p>
        </w:tc>
        <w:tc>
          <w:tcPr>
            <w:tcW w:w="1350" w:type="dxa"/>
          </w:tcPr>
          <w:p w:rsidR="00E71C51" w:rsidRPr="006355B8" w:rsidRDefault="00E71C51" w:rsidP="00372CCF">
            <w:pPr>
              <w:pStyle w:val="Default"/>
              <w:rPr>
                <w:rFonts w:ascii="Calibri" w:hAnsi="Calibri"/>
                <w:sz w:val="22"/>
                <w:szCs w:val="22"/>
              </w:rPr>
            </w:pPr>
            <w:r w:rsidRPr="006355B8">
              <w:rPr>
                <w:rFonts w:ascii="Calibri" w:hAnsi="Calibri"/>
                <w:sz w:val="22"/>
                <w:szCs w:val="22"/>
              </w:rPr>
              <w:t>Dates of Operation</w:t>
            </w:r>
          </w:p>
        </w:tc>
        <w:tc>
          <w:tcPr>
            <w:tcW w:w="1170" w:type="dxa"/>
          </w:tcPr>
          <w:p w:rsidR="00E71C51" w:rsidRPr="006355B8" w:rsidRDefault="00E71C51" w:rsidP="00372CCF">
            <w:pPr>
              <w:pStyle w:val="Default"/>
              <w:rPr>
                <w:rFonts w:ascii="Calibri" w:hAnsi="Calibri"/>
                <w:sz w:val="22"/>
                <w:szCs w:val="22"/>
              </w:rPr>
            </w:pPr>
            <w:r w:rsidRPr="006355B8">
              <w:rPr>
                <w:rFonts w:ascii="Calibri" w:hAnsi="Calibri"/>
                <w:sz w:val="22"/>
                <w:szCs w:val="22"/>
              </w:rPr>
              <w:t>Notes</w:t>
            </w:r>
          </w:p>
        </w:tc>
      </w:tr>
      <w:tr w:rsidR="00E71C51" w:rsidRPr="006355B8" w:rsidTr="006355B8">
        <w:trPr>
          <w:trHeight w:val="1303"/>
        </w:trPr>
        <w:tc>
          <w:tcPr>
            <w:tcW w:w="1296" w:type="dxa"/>
          </w:tcPr>
          <w:p w:rsidR="00E71C51" w:rsidRPr="006355B8" w:rsidRDefault="00E71C51" w:rsidP="00372CCF">
            <w:pPr>
              <w:pStyle w:val="Default"/>
              <w:rPr>
                <w:rFonts w:ascii="Calibri" w:hAnsi="Calibri"/>
                <w:i/>
                <w:sz w:val="22"/>
                <w:szCs w:val="22"/>
              </w:rPr>
            </w:pPr>
            <w:r w:rsidRPr="006355B8">
              <w:rPr>
                <w:rFonts w:ascii="Calibri" w:hAnsi="Calibri"/>
                <w:i/>
                <w:spacing w:val="5"/>
                <w:sz w:val="22"/>
                <w:szCs w:val="22"/>
              </w:rPr>
              <w:t xml:space="preserve">Ex: </w:t>
            </w:r>
          </w:p>
          <w:tbl>
            <w:tblPr>
              <w:tblW w:w="0" w:type="auto"/>
              <w:tblLayout w:type="fixed"/>
              <w:tblLook w:val="0000" w:firstRow="0" w:lastRow="0" w:firstColumn="0" w:lastColumn="0" w:noHBand="0" w:noVBand="0"/>
            </w:tblPr>
            <w:tblGrid>
              <w:gridCol w:w="1222"/>
              <w:gridCol w:w="236"/>
            </w:tblGrid>
            <w:tr w:rsidR="00E71C51" w:rsidRPr="006355B8" w:rsidTr="00372CCF">
              <w:trPr>
                <w:trHeight w:val="642"/>
              </w:trPr>
              <w:tc>
                <w:tcPr>
                  <w:tcW w:w="1222" w:type="dxa"/>
                </w:tcPr>
                <w:p w:rsidR="00E71C51" w:rsidRPr="006355B8" w:rsidRDefault="00E71C51" w:rsidP="00372CCF">
                  <w:pPr>
                    <w:pStyle w:val="Default"/>
                    <w:rPr>
                      <w:rFonts w:ascii="Calibri" w:hAnsi="Calibri"/>
                      <w:i/>
                      <w:sz w:val="22"/>
                      <w:szCs w:val="22"/>
                    </w:rPr>
                  </w:pPr>
                  <w:r w:rsidRPr="006355B8">
                    <w:rPr>
                      <w:rFonts w:ascii="Calibri" w:hAnsi="Calibri"/>
                      <w:i/>
                      <w:sz w:val="22"/>
                      <w:szCs w:val="22"/>
                    </w:rPr>
                    <w:t xml:space="preserve">Brigantine </w:t>
                  </w:r>
                </w:p>
              </w:tc>
              <w:tc>
                <w:tcPr>
                  <w:tcW w:w="222" w:type="dxa"/>
                </w:tcPr>
                <w:p w:rsidR="00E71C51" w:rsidRPr="006355B8" w:rsidRDefault="00E71C51" w:rsidP="00372CCF">
                  <w:pPr>
                    <w:pStyle w:val="Default"/>
                    <w:rPr>
                      <w:rFonts w:ascii="Calibri" w:hAnsi="Calibri"/>
                      <w:i/>
                      <w:sz w:val="22"/>
                      <w:szCs w:val="22"/>
                    </w:rPr>
                  </w:pPr>
                </w:p>
              </w:tc>
            </w:tr>
          </w:tbl>
          <w:p w:rsidR="00E71C51" w:rsidRPr="006355B8" w:rsidRDefault="00E71C51" w:rsidP="00372CCF">
            <w:pPr>
              <w:pStyle w:val="Default"/>
              <w:rPr>
                <w:rFonts w:ascii="Calibri" w:hAnsi="Calibri"/>
                <w:i/>
                <w:color w:val="auto"/>
                <w:sz w:val="22"/>
                <w:szCs w:val="22"/>
              </w:rPr>
            </w:pPr>
          </w:p>
          <w:p w:rsidR="00E71C51" w:rsidRPr="006355B8" w:rsidRDefault="00E71C51" w:rsidP="006355B8">
            <w:pPr>
              <w:spacing w:before="216" w:after="0" w:line="240" w:lineRule="auto"/>
              <w:ind w:right="72"/>
              <w:rPr>
                <w:i/>
                <w:spacing w:val="5"/>
              </w:rPr>
            </w:pPr>
          </w:p>
        </w:tc>
        <w:tc>
          <w:tcPr>
            <w:tcW w:w="1080" w:type="dxa"/>
          </w:tcPr>
          <w:p w:rsidR="00E71C51" w:rsidRPr="006355B8" w:rsidRDefault="00E71C51" w:rsidP="006355B8">
            <w:pPr>
              <w:spacing w:before="216" w:after="0" w:line="240" w:lineRule="auto"/>
              <w:ind w:right="72"/>
              <w:rPr>
                <w:i/>
                <w:spacing w:val="5"/>
              </w:rPr>
            </w:pPr>
            <w:r w:rsidRPr="006355B8">
              <w:rPr>
                <w:i/>
                <w:spacing w:val="5"/>
              </w:rPr>
              <w:t>BRIG</w:t>
            </w:r>
          </w:p>
        </w:tc>
        <w:tc>
          <w:tcPr>
            <w:tcW w:w="810" w:type="dxa"/>
          </w:tcPr>
          <w:p w:rsidR="00E71C51" w:rsidRPr="006355B8" w:rsidRDefault="00E71C51" w:rsidP="006355B8">
            <w:pPr>
              <w:spacing w:before="216" w:after="0" w:line="240" w:lineRule="auto"/>
              <w:ind w:right="72"/>
              <w:rPr>
                <w:i/>
                <w:spacing w:val="5"/>
              </w:rPr>
            </w:pPr>
            <w:r w:rsidRPr="006355B8">
              <w:rPr>
                <w:i/>
                <w:spacing w:val="5"/>
              </w:rPr>
              <w:t>NJ</w:t>
            </w:r>
          </w:p>
        </w:tc>
        <w:tc>
          <w:tcPr>
            <w:tcW w:w="1080" w:type="dxa"/>
          </w:tcPr>
          <w:p w:rsidR="00E71C51" w:rsidRPr="006355B8" w:rsidRDefault="00E71C51" w:rsidP="00372CCF">
            <w:pPr>
              <w:pStyle w:val="Default"/>
              <w:rPr>
                <w:rFonts w:ascii="Calibri" w:hAnsi="Calibri"/>
                <w:i/>
                <w:sz w:val="22"/>
                <w:szCs w:val="22"/>
              </w:rPr>
            </w:pPr>
          </w:p>
          <w:p w:rsidR="00E71C51" w:rsidRPr="006355B8" w:rsidRDefault="00E71C51" w:rsidP="00372CCF">
            <w:pPr>
              <w:pStyle w:val="Default"/>
              <w:rPr>
                <w:rFonts w:ascii="Calibri" w:hAnsi="Calibri"/>
                <w:i/>
                <w:sz w:val="22"/>
                <w:szCs w:val="22"/>
              </w:rPr>
            </w:pPr>
          </w:p>
        </w:tc>
        <w:tc>
          <w:tcPr>
            <w:tcW w:w="1170" w:type="dxa"/>
          </w:tcPr>
          <w:p w:rsidR="00E71C51" w:rsidRPr="006355B8" w:rsidRDefault="00E71C51" w:rsidP="00372CCF">
            <w:pPr>
              <w:pStyle w:val="Default"/>
              <w:rPr>
                <w:rFonts w:ascii="Calibri" w:hAnsi="Calibri"/>
                <w:i/>
                <w:sz w:val="22"/>
                <w:szCs w:val="22"/>
              </w:rPr>
            </w:pPr>
          </w:p>
        </w:tc>
        <w:tc>
          <w:tcPr>
            <w:tcW w:w="1440" w:type="dxa"/>
          </w:tcPr>
          <w:p w:rsidR="00E71C51" w:rsidRPr="006355B8" w:rsidRDefault="00E71C51" w:rsidP="00372CCF">
            <w:pPr>
              <w:pStyle w:val="Default"/>
              <w:rPr>
                <w:rFonts w:ascii="Calibri" w:hAnsi="Calibri"/>
                <w:i/>
                <w:sz w:val="22"/>
                <w:szCs w:val="22"/>
              </w:rPr>
            </w:pPr>
          </w:p>
        </w:tc>
        <w:tc>
          <w:tcPr>
            <w:tcW w:w="1350" w:type="dxa"/>
          </w:tcPr>
          <w:p w:rsidR="00E71C51" w:rsidRPr="006355B8" w:rsidRDefault="00E71C51" w:rsidP="006355B8">
            <w:pPr>
              <w:spacing w:before="216" w:after="0" w:line="240" w:lineRule="auto"/>
              <w:ind w:right="72"/>
              <w:rPr>
                <w:i/>
                <w:spacing w:val="5"/>
              </w:rPr>
            </w:pPr>
          </w:p>
        </w:tc>
        <w:tc>
          <w:tcPr>
            <w:tcW w:w="1170" w:type="dxa"/>
          </w:tcPr>
          <w:p w:rsidR="00E71C51" w:rsidRPr="006355B8" w:rsidRDefault="00E71C51" w:rsidP="006355B8">
            <w:pPr>
              <w:spacing w:after="0" w:line="240" w:lineRule="auto"/>
              <w:rPr>
                <w:i/>
              </w:rPr>
            </w:pPr>
          </w:p>
        </w:tc>
      </w:tr>
      <w:tr w:rsidR="00E71C51" w:rsidRPr="006355B8" w:rsidTr="006355B8">
        <w:tc>
          <w:tcPr>
            <w:tcW w:w="1296" w:type="dxa"/>
          </w:tcPr>
          <w:p w:rsidR="00E71C51" w:rsidRPr="006355B8" w:rsidRDefault="00E71C51" w:rsidP="006355B8">
            <w:pPr>
              <w:spacing w:before="216" w:after="0" w:line="240" w:lineRule="auto"/>
              <w:ind w:right="72"/>
              <w:rPr>
                <w:spacing w:val="5"/>
                <w:sz w:val="24"/>
                <w:szCs w:val="24"/>
              </w:rPr>
            </w:pPr>
          </w:p>
        </w:tc>
        <w:tc>
          <w:tcPr>
            <w:tcW w:w="1080" w:type="dxa"/>
          </w:tcPr>
          <w:p w:rsidR="00E71C51" w:rsidRPr="006355B8" w:rsidRDefault="00E71C51" w:rsidP="006355B8">
            <w:pPr>
              <w:spacing w:before="216" w:after="0" w:line="240" w:lineRule="auto"/>
              <w:ind w:right="72"/>
              <w:rPr>
                <w:spacing w:val="5"/>
              </w:rPr>
            </w:pPr>
          </w:p>
        </w:tc>
        <w:tc>
          <w:tcPr>
            <w:tcW w:w="810" w:type="dxa"/>
          </w:tcPr>
          <w:p w:rsidR="00E71C51" w:rsidRPr="006355B8" w:rsidRDefault="00E71C51" w:rsidP="006355B8">
            <w:pPr>
              <w:spacing w:before="216" w:after="0" w:line="240" w:lineRule="auto"/>
              <w:ind w:right="72"/>
              <w:rPr>
                <w:spacing w:val="5"/>
                <w:sz w:val="24"/>
                <w:szCs w:val="24"/>
              </w:rPr>
            </w:pPr>
          </w:p>
        </w:tc>
        <w:tc>
          <w:tcPr>
            <w:tcW w:w="1080" w:type="dxa"/>
          </w:tcPr>
          <w:p w:rsidR="00E71C51" w:rsidRPr="006355B8" w:rsidRDefault="00E71C51" w:rsidP="006355B8">
            <w:pPr>
              <w:spacing w:before="216" w:after="0" w:line="240" w:lineRule="auto"/>
              <w:ind w:right="72"/>
              <w:rPr>
                <w:spacing w:val="5"/>
                <w:sz w:val="24"/>
                <w:szCs w:val="24"/>
              </w:rPr>
            </w:pPr>
          </w:p>
        </w:tc>
        <w:tc>
          <w:tcPr>
            <w:tcW w:w="1170" w:type="dxa"/>
          </w:tcPr>
          <w:p w:rsidR="00E71C51" w:rsidRPr="006355B8" w:rsidRDefault="00E71C51" w:rsidP="006355B8">
            <w:pPr>
              <w:spacing w:before="216" w:after="0" w:line="240" w:lineRule="auto"/>
              <w:ind w:right="72"/>
              <w:rPr>
                <w:spacing w:val="5"/>
                <w:sz w:val="24"/>
                <w:szCs w:val="24"/>
              </w:rPr>
            </w:pPr>
          </w:p>
        </w:tc>
        <w:tc>
          <w:tcPr>
            <w:tcW w:w="1440" w:type="dxa"/>
          </w:tcPr>
          <w:p w:rsidR="00E71C51" w:rsidRPr="006355B8" w:rsidRDefault="00E71C51" w:rsidP="006355B8">
            <w:pPr>
              <w:spacing w:before="216" w:after="0" w:line="240" w:lineRule="auto"/>
              <w:ind w:right="72"/>
              <w:rPr>
                <w:spacing w:val="5"/>
                <w:sz w:val="24"/>
                <w:szCs w:val="24"/>
              </w:rPr>
            </w:pPr>
          </w:p>
        </w:tc>
        <w:tc>
          <w:tcPr>
            <w:tcW w:w="1350" w:type="dxa"/>
          </w:tcPr>
          <w:p w:rsidR="00E71C51" w:rsidRPr="006355B8" w:rsidRDefault="00E71C51" w:rsidP="006355B8">
            <w:pPr>
              <w:spacing w:before="216" w:after="0" w:line="240" w:lineRule="auto"/>
              <w:ind w:right="72"/>
              <w:rPr>
                <w:spacing w:val="5"/>
                <w:sz w:val="24"/>
                <w:szCs w:val="24"/>
              </w:rPr>
            </w:pPr>
          </w:p>
        </w:tc>
        <w:tc>
          <w:tcPr>
            <w:tcW w:w="1170" w:type="dxa"/>
          </w:tcPr>
          <w:p w:rsidR="00E71C51" w:rsidRPr="006355B8" w:rsidRDefault="00E71C51" w:rsidP="006355B8">
            <w:pPr>
              <w:spacing w:before="216" w:after="0" w:line="240" w:lineRule="auto"/>
              <w:ind w:right="72"/>
              <w:rPr>
                <w:spacing w:val="5"/>
              </w:rPr>
            </w:pPr>
          </w:p>
        </w:tc>
      </w:tr>
    </w:tbl>
    <w:p w:rsidR="0057242D" w:rsidRDefault="0057242D" w:rsidP="005D405E"/>
    <w:p w:rsidR="00E71C51" w:rsidRPr="002A7870" w:rsidRDefault="00E71C51" w:rsidP="005D405E">
      <w:r>
        <w:t>S</w:t>
      </w:r>
      <w:r w:rsidRPr="002A7870">
        <w:t xml:space="preserve">ee Section </w:t>
      </w:r>
      <w:r w:rsidR="0057242D">
        <w:t>2</w:t>
      </w:r>
      <w:r w:rsidRPr="002A7870">
        <w:t xml:space="preserve"> </w:t>
      </w:r>
      <w:r w:rsidR="00DA0688">
        <w:t>f</w:t>
      </w:r>
      <w:r w:rsidRPr="002A7870">
        <w:t>or a discussion of visibility changes from 200</w:t>
      </w:r>
      <w:r>
        <w:t>0-2004 baseline period</w:t>
      </w:r>
      <w:r w:rsidRPr="002A7870">
        <w:t xml:space="preserve"> to the </w:t>
      </w:r>
      <w:r w:rsidR="0057242D">
        <w:t>current five</w:t>
      </w:r>
      <w:r>
        <w:t>-year period with</w:t>
      </w:r>
      <w:r w:rsidRPr="002A7870">
        <w:t xml:space="preserve"> quality assured IMPROVE data.</w:t>
      </w:r>
    </w:p>
    <w:p w:rsidR="00E71C51" w:rsidRDefault="00E71C51" w:rsidP="00372CCF">
      <w:pPr>
        <w:autoSpaceDE w:val="0"/>
        <w:autoSpaceDN w:val="0"/>
        <w:adjustRightInd w:val="0"/>
        <w:rPr>
          <w:rFonts w:cs="Garamond"/>
          <w:b/>
          <w:bCs/>
          <w:spacing w:val="-8"/>
          <w:u w:val="single"/>
        </w:rPr>
      </w:pPr>
    </w:p>
    <w:p w:rsidR="00AA3E60" w:rsidRPr="00CC58A1" w:rsidRDefault="00AA3E60" w:rsidP="00372CCF">
      <w:pPr>
        <w:autoSpaceDE w:val="0"/>
        <w:autoSpaceDN w:val="0"/>
        <w:adjustRightInd w:val="0"/>
        <w:sectPr w:rsidR="00AA3E60" w:rsidRPr="00CC58A1" w:rsidSect="001E0750">
          <w:footerReference w:type="even" r:id="rId38"/>
          <w:footerReference w:type="default" r:id="rId39"/>
          <w:pgSz w:w="12240" w:h="15840"/>
          <w:pgMar w:top="1440" w:right="1440" w:bottom="1440" w:left="1440" w:header="720" w:footer="720" w:gutter="0"/>
          <w:pgNumType w:start="1"/>
          <w:cols w:space="720"/>
          <w:noEndnote/>
          <w:titlePg/>
          <w:docGrid w:linePitch="299"/>
        </w:sectPr>
      </w:pPr>
    </w:p>
    <w:p w:rsidR="005D405E" w:rsidRDefault="005D405E">
      <w:pPr>
        <w:spacing w:after="0" w:line="240" w:lineRule="auto"/>
        <w:rPr>
          <w:rFonts w:ascii="Arial" w:eastAsia="Times New Roman" w:hAnsi="Arial"/>
          <w:b/>
          <w:bCs/>
          <w:color w:val="000000" w:themeColor="text1"/>
          <w:sz w:val="28"/>
          <w:szCs w:val="28"/>
          <w:u w:val="single"/>
        </w:rPr>
      </w:pPr>
      <w:r>
        <w:rPr>
          <w:sz w:val="28"/>
          <w:szCs w:val="28"/>
        </w:rPr>
        <w:lastRenderedPageBreak/>
        <w:br w:type="page"/>
      </w:r>
    </w:p>
    <w:p w:rsidR="00E71C51" w:rsidRPr="00066E1B" w:rsidRDefault="00E71C51" w:rsidP="00066E1B">
      <w:pPr>
        <w:pStyle w:val="Heading2"/>
      </w:pPr>
      <w:bookmarkStart w:id="162" w:name="_Toc373843543"/>
      <w:r w:rsidRPr="00066E1B">
        <w:lastRenderedPageBreak/>
        <w:t>Section 1</w:t>
      </w:r>
      <w:r w:rsidR="00B06D45" w:rsidRPr="00066E1B">
        <w:t>1</w:t>
      </w:r>
      <w:r w:rsidRPr="00066E1B">
        <w:t>:  Determination of Adequacy of Current Regional Haze SIP</w:t>
      </w:r>
      <w:bookmarkEnd w:id="162"/>
    </w:p>
    <w:p w:rsidR="00E71C51" w:rsidRPr="00066E1B" w:rsidRDefault="00E71C51" w:rsidP="00066E1B">
      <w:pPr>
        <w:pStyle w:val="Heading3"/>
      </w:pPr>
      <w:bookmarkStart w:id="163" w:name="_Toc373843544"/>
      <w:r w:rsidRPr="00066E1B">
        <w:t>1</w:t>
      </w:r>
      <w:r w:rsidR="00B06D45" w:rsidRPr="00066E1B">
        <w:t>1</w:t>
      </w:r>
      <w:r w:rsidRPr="00066E1B">
        <w:t>.1. Requirement to Determine Adequacy of Current SIP</w:t>
      </w:r>
      <w:bookmarkEnd w:id="163"/>
    </w:p>
    <w:p w:rsidR="00E71C51" w:rsidRPr="002A7870" w:rsidRDefault="00E71C51" w:rsidP="00066E1B">
      <w:r>
        <w:t>Section 40 CFR 51.308(h)</w:t>
      </w:r>
      <w:r w:rsidRPr="002A7870">
        <w:t xml:space="preserve"> of the Regional Haze Rule requires the State to </w:t>
      </w:r>
      <w:r>
        <w:t>determine the adequacy of its regional haze SIP</w:t>
      </w:r>
      <w:r w:rsidRPr="002A7870">
        <w:t xml:space="preserve"> based upon information presented in its progress report.  </w:t>
      </w:r>
      <w:r w:rsidR="003D53B8" w:rsidRPr="003D53B8">
        <w:rPr>
          <w:highlight w:val="yellow"/>
        </w:rPr>
        <w:t>&lt;</w:t>
      </w:r>
      <w:r w:rsidRPr="003D53B8">
        <w:rPr>
          <w:highlight w:val="yellow"/>
        </w:rPr>
        <w:t>Suggested text follows.</w:t>
      </w:r>
      <w:r w:rsidR="003D53B8" w:rsidRPr="003D53B8">
        <w:rPr>
          <w:highlight w:val="yellow"/>
        </w:rPr>
        <w:t>&gt;</w:t>
      </w:r>
    </w:p>
    <w:p w:rsidR="00E71C51" w:rsidRPr="00230052" w:rsidRDefault="00E71C51" w:rsidP="00230052">
      <w:pPr>
        <w:pStyle w:val="Heading3"/>
      </w:pPr>
      <w:bookmarkStart w:id="164" w:name="_Toc373843545"/>
      <w:r w:rsidRPr="00230052">
        <w:t>1</w:t>
      </w:r>
      <w:r w:rsidR="00B06D45" w:rsidRPr="00230052">
        <w:t>1</w:t>
      </w:r>
      <w:r w:rsidRPr="00230052">
        <w:t>.2. Determination</w:t>
      </w:r>
      <w:bookmarkEnd w:id="164"/>
    </w:p>
    <w:p w:rsidR="00E71C51" w:rsidRPr="002A7870" w:rsidRDefault="00E71C51" w:rsidP="00066E1B">
      <w:r w:rsidRPr="002A7870">
        <w:t xml:space="preserve">Based on the analyses conducted for this Report, </w:t>
      </w:r>
      <w:r w:rsidRPr="002A7870">
        <w:rPr>
          <w:highlight w:val="yellow"/>
        </w:rPr>
        <w:t>&lt;</w:t>
      </w:r>
      <w:r w:rsidR="006A15F5">
        <w:rPr>
          <w:highlight w:val="yellow"/>
        </w:rPr>
        <w:t>State</w:t>
      </w:r>
      <w:r w:rsidRPr="002A7870">
        <w:rPr>
          <w:highlight w:val="yellow"/>
        </w:rPr>
        <w:t xml:space="preserve">&gt; </w:t>
      </w:r>
      <w:r w:rsidRPr="002A7870">
        <w:t xml:space="preserve">determines that the existing SIP is adequate for continued reasonable progress towards natural conditions in all mandatory Class I Federal areas impacted by emissions from </w:t>
      </w:r>
      <w:r w:rsidRPr="002A7870">
        <w:rPr>
          <w:highlight w:val="yellow"/>
        </w:rPr>
        <w:t>&lt;</w:t>
      </w:r>
      <w:r w:rsidR="006A15F5">
        <w:rPr>
          <w:highlight w:val="yellow"/>
        </w:rPr>
        <w:t>State</w:t>
      </w:r>
      <w:r w:rsidRPr="002A7870">
        <w:rPr>
          <w:highlight w:val="yellow"/>
        </w:rPr>
        <w:t>&gt;</w:t>
      </w:r>
      <w:r w:rsidRPr="002A7870">
        <w:t xml:space="preserve">.  </w:t>
      </w:r>
    </w:p>
    <w:p w:rsidR="00E71C51" w:rsidRPr="002A7870" w:rsidRDefault="00E71C51" w:rsidP="00066E1B">
      <w:pPr>
        <w:rPr>
          <w:w w:val="105"/>
        </w:rPr>
      </w:pPr>
      <w:r w:rsidRPr="002A7870">
        <w:rPr>
          <w:w w:val="105"/>
          <w:highlight w:val="yellow"/>
        </w:rPr>
        <w:t>OR</w:t>
      </w:r>
    </w:p>
    <w:p w:rsidR="00E71C51" w:rsidRPr="0057242D" w:rsidRDefault="00E71C51" w:rsidP="00066E1B">
      <w:pPr>
        <w:rPr>
          <w:highlight w:val="yellow"/>
        </w:rPr>
      </w:pPr>
      <w:r w:rsidRPr="002A7870">
        <w:t xml:space="preserve">As a result of the findings of this Five Year Progress Report, </w:t>
      </w:r>
      <w:r w:rsidR="006A15F5">
        <w:rPr>
          <w:highlight w:val="yellow"/>
        </w:rPr>
        <w:t>&lt;State</w:t>
      </w:r>
      <w:r w:rsidRPr="002A7870">
        <w:rPr>
          <w:highlight w:val="yellow"/>
        </w:rPr>
        <w:t>&gt;</w:t>
      </w:r>
      <w:r w:rsidRPr="002A7870">
        <w:t xml:space="preserve"> determines that the existing SIP is not/may not be adequate to ensure continued reasonable progress towards natural conditions in the following mandatory Class I Federal area(s) due to emissions from </w:t>
      </w:r>
      <w:r w:rsidR="006A15F5">
        <w:rPr>
          <w:highlight w:val="yellow"/>
        </w:rPr>
        <w:t>&lt;another State or S</w:t>
      </w:r>
      <w:r w:rsidRPr="002A7870">
        <w:rPr>
          <w:highlight w:val="yellow"/>
        </w:rPr>
        <w:t>tates&gt;</w:t>
      </w:r>
      <w:r w:rsidR="0057242D">
        <w:t xml:space="preserve">: </w:t>
      </w:r>
      <w:r w:rsidR="0057242D" w:rsidRPr="0057242D">
        <w:rPr>
          <w:highlight w:val="yellow"/>
        </w:rPr>
        <w:t xml:space="preserve">&lt;List </w:t>
      </w:r>
      <w:r w:rsidR="0057242D">
        <w:rPr>
          <w:highlight w:val="yellow"/>
        </w:rPr>
        <w:t xml:space="preserve">  </w:t>
      </w:r>
      <w:r w:rsidR="0057242D" w:rsidRPr="0057242D">
        <w:rPr>
          <w:highlight w:val="yellow"/>
        </w:rPr>
        <w:t>Class I areas.&gt; &lt;The State&gt;</w:t>
      </w:r>
      <w:r w:rsidR="0057242D">
        <w:t xml:space="preserve"> has notified EPA and the other states which participated in the regional planning process for the above Class I area(s).</w:t>
      </w:r>
      <w:r w:rsidRPr="002A7870">
        <w:t xml:space="preserve">  </w:t>
      </w:r>
      <w:r w:rsidR="006A15F5">
        <w:rPr>
          <w:highlight w:val="yellow"/>
        </w:rPr>
        <w:t>&lt;State</w:t>
      </w:r>
      <w:r w:rsidRPr="002A7870">
        <w:rPr>
          <w:highlight w:val="yellow"/>
        </w:rPr>
        <w:t>&gt;</w:t>
      </w:r>
      <w:r w:rsidRPr="002A7870">
        <w:t xml:space="preserve"> commits to collaborating with </w:t>
      </w:r>
      <w:r w:rsidR="006A15F5">
        <w:rPr>
          <w:highlight w:val="yellow"/>
        </w:rPr>
        <w:t>&lt;other S</w:t>
      </w:r>
      <w:r w:rsidRPr="002A7870">
        <w:rPr>
          <w:highlight w:val="yellow"/>
        </w:rPr>
        <w:t>tates&gt;</w:t>
      </w:r>
      <w:r w:rsidRPr="002A7870">
        <w:t xml:space="preserve"> through a regional planning process to develop additional control strategies to address the SIP’s deficiencies.</w:t>
      </w:r>
    </w:p>
    <w:p w:rsidR="00E71C51" w:rsidRPr="002A7870" w:rsidRDefault="00E71C51" w:rsidP="00066E1B">
      <w:pPr>
        <w:rPr>
          <w:i/>
          <w:spacing w:val="-3"/>
          <w:highlight w:val="yellow"/>
        </w:rPr>
      </w:pPr>
      <w:r w:rsidRPr="002A7870">
        <w:rPr>
          <w:i/>
          <w:spacing w:val="-3"/>
          <w:highlight w:val="yellow"/>
        </w:rPr>
        <w:t>&lt;Class I area&gt;</w:t>
      </w:r>
    </w:p>
    <w:p w:rsidR="00E71C51" w:rsidRPr="002A7870" w:rsidRDefault="00E71C51" w:rsidP="00066E1B">
      <w:pPr>
        <w:rPr>
          <w:spacing w:val="-3"/>
          <w:highlight w:val="yellow"/>
        </w:rPr>
      </w:pPr>
      <w:r w:rsidRPr="002A7870">
        <w:rPr>
          <w:spacing w:val="-3"/>
          <w:highlight w:val="yellow"/>
        </w:rPr>
        <w:t>OR</w:t>
      </w:r>
    </w:p>
    <w:p w:rsidR="00E71C51" w:rsidRPr="002A7870" w:rsidRDefault="00E71C51" w:rsidP="00066E1B">
      <w:r w:rsidRPr="002A7870">
        <w:t xml:space="preserve">As a result of the findings of this Five Year Progress Report, </w:t>
      </w:r>
      <w:r w:rsidR="006A15F5">
        <w:rPr>
          <w:highlight w:val="yellow"/>
        </w:rPr>
        <w:t>&lt;State</w:t>
      </w:r>
      <w:r w:rsidRPr="002A7870">
        <w:rPr>
          <w:highlight w:val="yellow"/>
        </w:rPr>
        <w:t>&gt;</w:t>
      </w:r>
      <w:r w:rsidRPr="002A7870">
        <w:t xml:space="preserve"> determines that the existing SIP is not/may not be adequate for continued progress towards natural conditions in the following mandatory Class I Federal area(s) located in the State because of emissions from sources outside the U.S. in </w:t>
      </w:r>
      <w:r w:rsidR="006A15F5">
        <w:rPr>
          <w:highlight w:val="yellow"/>
        </w:rPr>
        <w:t>&lt;name of C</w:t>
      </w:r>
      <w:r w:rsidRPr="002A7870">
        <w:rPr>
          <w:highlight w:val="yellow"/>
        </w:rPr>
        <w:t>ountry&gt;</w:t>
      </w:r>
      <w:r w:rsidRPr="002A7870">
        <w:t xml:space="preserve">.  </w:t>
      </w:r>
      <w:r w:rsidRPr="002A7870">
        <w:rPr>
          <w:highlight w:val="yellow"/>
        </w:rPr>
        <w:t>&lt;Include details here or in section 7.&gt;</w:t>
      </w:r>
    </w:p>
    <w:p w:rsidR="00E71C51" w:rsidRPr="002A7870" w:rsidRDefault="00E71C51" w:rsidP="00066E1B">
      <w:pPr>
        <w:rPr>
          <w:i/>
          <w:spacing w:val="-3"/>
          <w:highlight w:val="yellow"/>
        </w:rPr>
      </w:pPr>
      <w:r w:rsidRPr="002A7870">
        <w:rPr>
          <w:i/>
          <w:spacing w:val="-3"/>
          <w:highlight w:val="yellow"/>
        </w:rPr>
        <w:t>&lt;Class I area&gt;</w:t>
      </w:r>
    </w:p>
    <w:p w:rsidR="00E71C51" w:rsidRPr="002A7870" w:rsidRDefault="00E71C51" w:rsidP="00066E1B">
      <w:pPr>
        <w:rPr>
          <w:spacing w:val="-3"/>
        </w:rPr>
      </w:pPr>
      <w:r w:rsidRPr="002A7870">
        <w:rPr>
          <w:spacing w:val="-3"/>
          <w:highlight w:val="yellow"/>
        </w:rPr>
        <w:t>OR</w:t>
      </w:r>
    </w:p>
    <w:p w:rsidR="00E71C51" w:rsidRPr="002A7870" w:rsidRDefault="00E71C51" w:rsidP="00066E1B">
      <w:r w:rsidRPr="002A7870">
        <w:t xml:space="preserve">As a result of the findings of this Five Year Progress Report, </w:t>
      </w:r>
      <w:r w:rsidR="00EF1278">
        <w:rPr>
          <w:highlight w:val="yellow"/>
        </w:rPr>
        <w:t>&lt;State</w:t>
      </w:r>
      <w:r w:rsidRPr="002A7870">
        <w:rPr>
          <w:highlight w:val="yellow"/>
        </w:rPr>
        <w:t>&gt;</w:t>
      </w:r>
      <w:r w:rsidRPr="002A7870">
        <w:t xml:space="preserve"> determines that the existing SIP is not/may not be adequate for continued progress towards natural conditions in the following mandatory Class I Federal area(s) located in the State because of emissions from sources within the boundaries of </w:t>
      </w:r>
      <w:r w:rsidR="00EF1278">
        <w:rPr>
          <w:highlight w:val="yellow"/>
        </w:rPr>
        <w:t>&lt;State</w:t>
      </w:r>
      <w:r w:rsidRPr="002A7870">
        <w:rPr>
          <w:highlight w:val="yellow"/>
        </w:rPr>
        <w:t>&gt;.</w:t>
      </w:r>
      <w:r w:rsidRPr="002A7870">
        <w:t xml:space="preserve">  </w:t>
      </w:r>
      <w:r w:rsidR="00EF1278">
        <w:rPr>
          <w:highlight w:val="yellow"/>
        </w:rPr>
        <w:t>&lt;State</w:t>
      </w:r>
      <w:r w:rsidRPr="002A7870">
        <w:rPr>
          <w:highlight w:val="yellow"/>
        </w:rPr>
        <w:t>&gt;</w:t>
      </w:r>
      <w:r w:rsidRPr="002A7870">
        <w:t xml:space="preserve"> commits to address the SIP’s deficiencies within one year of submittal of this Progress Report to EPA.</w:t>
      </w:r>
    </w:p>
    <w:p w:rsidR="00E71C51" w:rsidRPr="00CC58A1" w:rsidRDefault="00E71C51" w:rsidP="006C5F21">
      <w:pPr>
        <w:spacing w:before="288"/>
        <w:ind w:right="144"/>
      </w:pPr>
    </w:p>
    <w:p w:rsidR="00E71C51" w:rsidRDefault="00E71C51" w:rsidP="00206FF5">
      <w:r>
        <w:br w:type="page"/>
      </w:r>
    </w:p>
    <w:p w:rsidR="00066E1B" w:rsidRDefault="00066E1B">
      <w:pPr>
        <w:spacing w:after="0" w:line="240" w:lineRule="auto"/>
        <w:rPr>
          <w:rFonts w:ascii="Arial" w:eastAsia="Times New Roman" w:hAnsi="Arial"/>
          <w:b/>
          <w:bCs/>
          <w:color w:val="000000" w:themeColor="text1"/>
          <w:sz w:val="28"/>
          <w:szCs w:val="28"/>
          <w:u w:val="single"/>
        </w:rPr>
      </w:pPr>
      <w:r>
        <w:rPr>
          <w:sz w:val="28"/>
          <w:szCs w:val="28"/>
        </w:rPr>
        <w:lastRenderedPageBreak/>
        <w:br w:type="page"/>
      </w:r>
    </w:p>
    <w:p w:rsidR="00E71C51" w:rsidRPr="00066E1B" w:rsidRDefault="00E71C51" w:rsidP="00066E1B">
      <w:pPr>
        <w:pStyle w:val="Heading2"/>
      </w:pPr>
      <w:bookmarkStart w:id="165" w:name="_Toc373843546"/>
      <w:r w:rsidRPr="00066E1B">
        <w:lastRenderedPageBreak/>
        <w:t>Section 1</w:t>
      </w:r>
      <w:r w:rsidR="00B06D45" w:rsidRPr="00066E1B">
        <w:t>2</w:t>
      </w:r>
      <w:r w:rsidRPr="00066E1B">
        <w:t>:  Consultation with Federal Land Managers</w:t>
      </w:r>
      <w:bookmarkEnd w:id="165"/>
    </w:p>
    <w:p w:rsidR="00E71C51" w:rsidRPr="00066E1B" w:rsidRDefault="00E71C51" w:rsidP="00066E1B">
      <w:pPr>
        <w:pStyle w:val="Heading3"/>
      </w:pPr>
      <w:bookmarkStart w:id="166" w:name="_Toc373843547"/>
      <w:r w:rsidRPr="00066E1B">
        <w:t>1</w:t>
      </w:r>
      <w:r w:rsidR="00B06D45" w:rsidRPr="00066E1B">
        <w:t>2</w:t>
      </w:r>
      <w:r w:rsidRPr="00066E1B">
        <w:t>.1. Requirement to Consult Federal Land Managers</w:t>
      </w:r>
      <w:bookmarkEnd w:id="166"/>
    </w:p>
    <w:p w:rsidR="00E71C51" w:rsidRPr="003F1164" w:rsidRDefault="00E71C51" w:rsidP="00066E1B">
      <w:r w:rsidRPr="003F1164">
        <w:t xml:space="preserve">The Regional Haze Rule </w:t>
      </w:r>
      <w:r>
        <w:t xml:space="preserve">at 40 CFR 51.308(i) </w:t>
      </w:r>
      <w:r w:rsidRPr="003F1164">
        <w:t>requires that the state provide the Federal Land Manager(s) responsible for Class I areas affected by emissions from within the state an opportunity for consultation, in person and at least 60 days before holding any public hearing on this progress report SIP.</w:t>
      </w:r>
    </w:p>
    <w:p w:rsidR="00E71C51" w:rsidRPr="003F1164" w:rsidRDefault="00E71C51" w:rsidP="00066E1B">
      <w:r w:rsidRPr="003F1164">
        <w:rPr>
          <w:highlight w:val="yellow"/>
        </w:rPr>
        <w:t>&lt;There is no specific requirement to consult with other states about the 5-year progress report unless the Class I State determines that other states are not adequately implementing their SIPs or controlling emissions to enable reasonable progress in improving visibility at the State’s Class I area(s).&gt;</w:t>
      </w:r>
    </w:p>
    <w:p w:rsidR="00E71C51" w:rsidRPr="00066E1B" w:rsidRDefault="00E71C51" w:rsidP="00066E1B">
      <w:pPr>
        <w:pStyle w:val="Heading3"/>
      </w:pPr>
      <w:bookmarkStart w:id="167" w:name="_Toc373843548"/>
      <w:r w:rsidRPr="00066E1B">
        <w:t>1</w:t>
      </w:r>
      <w:r w:rsidR="00B06D45" w:rsidRPr="00066E1B">
        <w:t>2</w:t>
      </w:r>
      <w:r w:rsidRPr="00066E1B">
        <w:t>.2. Consultation Process</w:t>
      </w:r>
      <w:bookmarkEnd w:id="167"/>
    </w:p>
    <w:p w:rsidR="00E71C51" w:rsidRPr="003F1164" w:rsidRDefault="007F632A" w:rsidP="00066E1B">
      <w:r>
        <w:rPr>
          <w:highlight w:val="yellow"/>
        </w:rPr>
        <w:t>&lt;State</w:t>
      </w:r>
      <w:r w:rsidR="00E71C51" w:rsidRPr="003F1164">
        <w:rPr>
          <w:highlight w:val="yellow"/>
        </w:rPr>
        <w:t xml:space="preserve">&gt; </w:t>
      </w:r>
      <w:r w:rsidR="00E71C51" w:rsidRPr="003F1164">
        <w:t xml:space="preserve">sent the draft SIP revision to the FLMs </w:t>
      </w:r>
      <w:r w:rsidR="00E71C51" w:rsidRPr="002115CC">
        <w:t xml:space="preserve">on </w:t>
      </w:r>
      <w:r w:rsidR="00E71C51" w:rsidRPr="002115CC">
        <w:rPr>
          <w:highlight w:val="yellow"/>
        </w:rPr>
        <w:t>&lt;dates&gt;.</w:t>
      </w:r>
      <w:r w:rsidR="00E71C51" w:rsidRPr="003F1164">
        <w:rPr>
          <w:i/>
          <w:highlight w:val="yellow"/>
        </w:rPr>
        <w:t xml:space="preserve"> </w:t>
      </w:r>
      <w:r w:rsidR="00E71C51" w:rsidRPr="003F1164">
        <w:rPr>
          <w:highlight w:val="yellow"/>
        </w:rPr>
        <w:t xml:space="preserve"> </w:t>
      </w:r>
    </w:p>
    <w:p w:rsidR="00E71C51" w:rsidRPr="003F1164" w:rsidRDefault="007F632A" w:rsidP="00066E1B">
      <w:pPr>
        <w:rPr>
          <w:spacing w:val="-1"/>
        </w:rPr>
      </w:pPr>
      <w:r w:rsidRPr="007F632A">
        <w:rPr>
          <w:highlight w:val="yellow"/>
        </w:rPr>
        <w:t>&lt;State</w:t>
      </w:r>
      <w:r w:rsidR="00E71C51" w:rsidRPr="007F632A">
        <w:rPr>
          <w:highlight w:val="yellow"/>
        </w:rPr>
        <w:t>&gt;</w:t>
      </w:r>
      <w:r w:rsidR="00E71C51" w:rsidRPr="007F632A">
        <w:t xml:space="preserve"> sent the</w:t>
      </w:r>
      <w:r w:rsidR="00E71C51" w:rsidRPr="003F1164">
        <w:t xml:space="preserve"> proposed SIP </w:t>
      </w:r>
      <w:r w:rsidR="00E71C51" w:rsidRPr="003F1164">
        <w:rPr>
          <w:spacing w:val="-1"/>
        </w:rPr>
        <w:t xml:space="preserve">revision to the FLMs as part of the public review comment period on </w:t>
      </w:r>
      <w:r w:rsidR="00E71C51" w:rsidRPr="007F632A">
        <w:rPr>
          <w:spacing w:val="-1"/>
          <w:highlight w:val="yellow"/>
        </w:rPr>
        <w:t>&lt;dates&gt;.</w:t>
      </w:r>
      <w:r w:rsidR="00E71C51" w:rsidRPr="003F1164">
        <w:rPr>
          <w:spacing w:val="-1"/>
          <w:highlight w:val="yellow"/>
        </w:rPr>
        <w:t xml:space="preserve"> </w:t>
      </w:r>
    </w:p>
    <w:p w:rsidR="00E71C51" w:rsidRPr="003F1164" w:rsidRDefault="007F632A" w:rsidP="00066E1B">
      <w:pPr>
        <w:rPr>
          <w:spacing w:val="-1"/>
        </w:rPr>
      </w:pPr>
      <w:r w:rsidRPr="007F632A">
        <w:rPr>
          <w:highlight w:val="yellow"/>
        </w:rPr>
        <w:t>&lt;State&gt;</w:t>
      </w:r>
      <w:r w:rsidRPr="007F632A">
        <w:t xml:space="preserve"> </w:t>
      </w:r>
      <w:r w:rsidR="00E71C51" w:rsidRPr="003F1164">
        <w:rPr>
          <w:spacing w:val="-1"/>
        </w:rPr>
        <w:t xml:space="preserve">notified the FLMs of public hearings held on </w:t>
      </w:r>
      <w:r w:rsidR="00E71C51" w:rsidRPr="007F632A">
        <w:rPr>
          <w:spacing w:val="-1"/>
          <w:highlight w:val="yellow"/>
        </w:rPr>
        <w:t>&lt;dates&gt;.</w:t>
      </w:r>
      <w:r w:rsidR="00E71C51" w:rsidRPr="003F1164">
        <w:rPr>
          <w:spacing w:val="-1"/>
        </w:rPr>
        <w:t xml:space="preserve">  </w:t>
      </w:r>
    </w:p>
    <w:p w:rsidR="00E71C51" w:rsidRPr="003F1164" w:rsidRDefault="002115CC" w:rsidP="00066E1B">
      <w:pPr>
        <w:rPr>
          <w:spacing w:val="-1"/>
        </w:rPr>
      </w:pPr>
      <w:r>
        <w:rPr>
          <w:spacing w:val="-1"/>
          <w:highlight w:val="yellow"/>
        </w:rPr>
        <w:t>&lt;State</w:t>
      </w:r>
      <w:r w:rsidR="00E71C51" w:rsidRPr="002115CC">
        <w:rPr>
          <w:spacing w:val="-1"/>
          <w:highlight w:val="yellow"/>
        </w:rPr>
        <w:t>&gt;</w:t>
      </w:r>
      <w:r w:rsidR="00E71C51" w:rsidRPr="003F1164">
        <w:rPr>
          <w:spacing w:val="-1"/>
        </w:rPr>
        <w:t xml:space="preserve"> </w:t>
      </w:r>
      <w:r w:rsidR="00E71C51" w:rsidRPr="002115CC">
        <w:rPr>
          <w:spacing w:val="-1"/>
          <w:highlight w:val="yellow"/>
        </w:rPr>
        <w:t>considered/incorporated</w:t>
      </w:r>
      <w:r w:rsidR="00E71C51" w:rsidRPr="002115CC">
        <w:rPr>
          <w:spacing w:val="-1"/>
        </w:rPr>
        <w:t xml:space="preserve"> the</w:t>
      </w:r>
      <w:r w:rsidR="00E71C51" w:rsidRPr="003F1164">
        <w:rPr>
          <w:spacing w:val="-1"/>
        </w:rPr>
        <w:t xml:space="preserve"> FLMs comments on the proposed SIP revision, along with other comments (see Appendix XXX)</w:t>
      </w:r>
    </w:p>
    <w:p w:rsidR="00E71C51" w:rsidRPr="003F1164" w:rsidRDefault="002115CC" w:rsidP="00066E1B">
      <w:pPr>
        <w:rPr>
          <w:spacing w:val="-1"/>
          <w:u w:val="single"/>
        </w:rPr>
      </w:pPr>
      <w:r>
        <w:rPr>
          <w:highlight w:val="yellow"/>
        </w:rPr>
        <w:t>&lt;State</w:t>
      </w:r>
      <w:r w:rsidR="00E71C51" w:rsidRPr="002115CC">
        <w:rPr>
          <w:highlight w:val="yellow"/>
        </w:rPr>
        <w:t>&gt;</w:t>
      </w:r>
      <w:r w:rsidR="00E71C51" w:rsidRPr="003F1164">
        <w:t xml:space="preserve"> will continue to coordinate and consult with the Federal Land Managers on future SIP revisions, including progress reports, as well as during the </w:t>
      </w:r>
      <w:r w:rsidR="00E71C51" w:rsidRPr="003F1164">
        <w:rPr>
          <w:spacing w:val="-5"/>
        </w:rPr>
        <w:t xml:space="preserve">implementation of programs having the potential to contribute to visibility impairment in the </w:t>
      </w:r>
      <w:r w:rsidR="00E71C51" w:rsidRPr="003F1164">
        <w:t>mandatory Class I areas</w:t>
      </w:r>
      <w:r w:rsidR="00E71C51" w:rsidRPr="003F1164">
        <w:rPr>
          <w:spacing w:val="-1"/>
        </w:rPr>
        <w:t>.</w:t>
      </w:r>
    </w:p>
    <w:p w:rsidR="00E71C51" w:rsidRDefault="00E71C51">
      <w:pPr>
        <w:rPr>
          <w:sz w:val="24"/>
          <w:szCs w:val="24"/>
        </w:rPr>
      </w:pPr>
      <w:r>
        <w:rPr>
          <w:sz w:val="24"/>
          <w:szCs w:val="24"/>
        </w:rPr>
        <w:br w:type="page"/>
      </w:r>
    </w:p>
    <w:p w:rsidR="00066E1B" w:rsidRDefault="00066E1B">
      <w:pPr>
        <w:spacing w:after="0" w:line="240" w:lineRule="auto"/>
        <w:rPr>
          <w:rFonts w:ascii="Arial" w:eastAsia="Times New Roman" w:hAnsi="Arial"/>
          <w:b/>
          <w:bCs/>
          <w:color w:val="000000"/>
          <w:szCs w:val="26"/>
          <w:u w:val="single"/>
        </w:rPr>
      </w:pPr>
      <w:r>
        <w:rPr>
          <w:color w:val="000000"/>
        </w:rPr>
        <w:lastRenderedPageBreak/>
        <w:br w:type="page"/>
      </w:r>
    </w:p>
    <w:p w:rsidR="00E71C51" w:rsidRPr="00A57D6D" w:rsidRDefault="00E71C51" w:rsidP="00A57D6D">
      <w:pPr>
        <w:pStyle w:val="Heading2"/>
        <w:rPr>
          <w:color w:val="000000"/>
          <w:szCs w:val="22"/>
        </w:rPr>
      </w:pPr>
      <w:bookmarkStart w:id="168" w:name="_Toc373843549"/>
      <w:r w:rsidRPr="00A57D6D">
        <w:rPr>
          <w:color w:val="000000"/>
        </w:rPr>
        <w:lastRenderedPageBreak/>
        <w:t>Appendix XXX - Acronyms</w:t>
      </w:r>
      <w:bookmarkEnd w:id="16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45"/>
        <w:gridCol w:w="7031"/>
      </w:tblGrid>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BART</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Best Available Retrofit Technology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CAA</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Clean Air Act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CENRAP</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Central Regional Air Planning Association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CenSARA</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Central States Air Resource Agencies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EGU</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Electricity Generating Unit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EPA</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Environmental Protection Agency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FIP</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Federal Implementation Plan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FLM</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Federal Land Manager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FY</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Fiscal Year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IMPROVE</w:t>
            </w:r>
          </w:p>
        </w:tc>
        <w:tc>
          <w:tcPr>
            <w:tcW w:w="7031" w:type="dxa"/>
          </w:tcPr>
          <w:p w:rsidR="00E71C51" w:rsidRPr="006355B8" w:rsidRDefault="00E71C51" w:rsidP="006610A0">
            <w:pPr>
              <w:pStyle w:val="Default"/>
              <w:rPr>
                <w:rFonts w:ascii="Calibri" w:hAnsi="Calibri"/>
              </w:rPr>
            </w:pPr>
            <w:r w:rsidRPr="006355B8">
              <w:rPr>
                <w:rFonts w:ascii="Calibri" w:hAnsi="Calibri"/>
              </w:rPr>
              <w:t>Interagency Monitoring of Protected Visual Environments</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LADCO</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Lake Michigan Air Directors Consortium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MANE-VU</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Mid-Atlantic/Northeast Visibility Union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MARAMA</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Mid-Atlantic Regional Air Management Association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METRO4</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Southeastern Local Air Pollution Control Agencies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MJO</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Multi-Jurisdictional Organization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MOA</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Memorandum of Agreement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MRPO</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Midwest Regional Planning Organization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NAAQS</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National Ambient Air Quality Standards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NESCAUM</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Northeast States for Coordinated Air Use Management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NESHAP</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National Emission Standards for Hazardous Air Pollutant </w:t>
            </w:r>
          </w:p>
        </w:tc>
      </w:tr>
      <w:tr w:rsidR="00E71C51" w:rsidRPr="006355B8" w:rsidTr="006355B8">
        <w:tc>
          <w:tcPr>
            <w:tcW w:w="2545" w:type="dxa"/>
          </w:tcPr>
          <w:p w:rsidR="00E71C51" w:rsidRPr="006355B8" w:rsidRDefault="00E71C51" w:rsidP="00F424E3">
            <w:pPr>
              <w:pStyle w:val="Default"/>
              <w:rPr>
                <w:rFonts w:ascii="Calibri" w:hAnsi="Calibri"/>
              </w:rPr>
            </w:pPr>
            <w:r w:rsidRPr="006355B8">
              <w:rPr>
                <w:rFonts w:ascii="Calibri" w:hAnsi="Calibri"/>
              </w:rPr>
              <w:t>NO</w:t>
            </w:r>
            <w:r w:rsidR="00F424E3">
              <w:rPr>
                <w:rFonts w:ascii="Calibri" w:hAnsi="Calibri"/>
                <w:vertAlign w:val="subscript"/>
              </w:rPr>
              <w:t>X</w:t>
            </w:r>
          </w:p>
        </w:tc>
        <w:tc>
          <w:tcPr>
            <w:tcW w:w="7031" w:type="dxa"/>
          </w:tcPr>
          <w:p w:rsidR="00E71C51" w:rsidRPr="006355B8" w:rsidRDefault="00E71C51" w:rsidP="006610A0">
            <w:pPr>
              <w:pStyle w:val="Default"/>
              <w:rPr>
                <w:rFonts w:ascii="Calibri" w:hAnsi="Calibri"/>
              </w:rPr>
            </w:pPr>
            <w:r w:rsidRPr="006355B8">
              <w:rPr>
                <w:rFonts w:ascii="Calibri" w:hAnsi="Calibri"/>
              </w:rPr>
              <w:t>Nitrogen oxides</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NPS</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National Park Service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NSPS</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New Source Performance Standards </w:t>
            </w:r>
          </w:p>
        </w:tc>
      </w:tr>
      <w:tr w:rsidR="00E71C51" w:rsidRPr="006355B8" w:rsidTr="006355B8">
        <w:tc>
          <w:tcPr>
            <w:tcW w:w="2545" w:type="dxa"/>
          </w:tcPr>
          <w:p w:rsidR="00E71C51" w:rsidRPr="006355B8" w:rsidRDefault="00E71C51" w:rsidP="006610A0">
            <w:pPr>
              <w:pStyle w:val="Default"/>
              <w:rPr>
                <w:rFonts w:ascii="Calibri" w:hAnsi="Calibri"/>
                <w:vertAlign w:val="subscript"/>
              </w:rPr>
            </w:pPr>
            <w:r w:rsidRPr="006355B8">
              <w:rPr>
                <w:rFonts w:ascii="Calibri" w:hAnsi="Calibri"/>
              </w:rPr>
              <w:t>OAQPS</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Office of Air Quality Planning and Standards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OAR</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Office of Air and Radiation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OTC</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Ozone Transport Commission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PM</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Particulate matter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PM</w:t>
            </w:r>
            <w:r w:rsidRPr="006355B8">
              <w:rPr>
                <w:rFonts w:ascii="Calibri" w:hAnsi="Calibri"/>
                <w:vertAlign w:val="subscript"/>
              </w:rPr>
              <w:t>2.5</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Particulate matter of diameter of 2.5 micrometers of less </w:t>
            </w:r>
          </w:p>
        </w:tc>
      </w:tr>
      <w:tr w:rsidR="002A5384" w:rsidRPr="006355B8" w:rsidTr="006355B8">
        <w:tc>
          <w:tcPr>
            <w:tcW w:w="2545" w:type="dxa"/>
          </w:tcPr>
          <w:p w:rsidR="002A5384" w:rsidRPr="006355B8" w:rsidRDefault="002A5384" w:rsidP="006610A0">
            <w:pPr>
              <w:pStyle w:val="Default"/>
              <w:rPr>
                <w:rFonts w:ascii="Calibri" w:hAnsi="Calibri"/>
              </w:rPr>
            </w:pPr>
            <w:r>
              <w:rPr>
                <w:rFonts w:ascii="Calibri" w:hAnsi="Calibri"/>
              </w:rPr>
              <w:t>RAVI</w:t>
            </w:r>
          </w:p>
        </w:tc>
        <w:tc>
          <w:tcPr>
            <w:tcW w:w="7031" w:type="dxa"/>
          </w:tcPr>
          <w:p w:rsidR="002A5384" w:rsidRPr="006355B8" w:rsidRDefault="002A5384" w:rsidP="006610A0">
            <w:pPr>
              <w:pStyle w:val="Default"/>
              <w:rPr>
                <w:rFonts w:ascii="Calibri" w:hAnsi="Calibri"/>
              </w:rPr>
            </w:pPr>
            <w:r>
              <w:rPr>
                <w:rFonts w:ascii="Calibri" w:hAnsi="Calibri"/>
              </w:rPr>
              <w:t>Reasonably Attributable Visibility Impairment</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RPO</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Regional Planning Organization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SESARM</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Southeastern States Air Resource Managers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SAMI</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Southern Appalachian Mountains Initiative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SIP</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State Implementation Plan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SO</w:t>
            </w:r>
            <w:r w:rsidRPr="006355B8">
              <w:rPr>
                <w:rFonts w:ascii="Calibri" w:hAnsi="Calibri"/>
                <w:vertAlign w:val="subscript"/>
              </w:rPr>
              <w:t>2</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Sulfur dioxide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URP</w:t>
            </w:r>
          </w:p>
        </w:tc>
        <w:tc>
          <w:tcPr>
            <w:tcW w:w="7031" w:type="dxa"/>
          </w:tcPr>
          <w:p w:rsidR="00E71C51" w:rsidRPr="006355B8" w:rsidRDefault="00E71C51" w:rsidP="006610A0">
            <w:pPr>
              <w:pStyle w:val="Default"/>
              <w:rPr>
                <w:rFonts w:ascii="Calibri" w:hAnsi="Calibri"/>
              </w:rPr>
            </w:pPr>
            <w:r w:rsidRPr="006355B8">
              <w:rPr>
                <w:rFonts w:ascii="Calibri" w:hAnsi="Calibri"/>
              </w:rPr>
              <w:t>Uniform Rate of Progress</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VIEWS</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Visibility Information Exchange Web System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VISTAS</w:t>
            </w:r>
          </w:p>
        </w:tc>
        <w:tc>
          <w:tcPr>
            <w:tcW w:w="7031" w:type="dxa"/>
          </w:tcPr>
          <w:p w:rsidR="00E71C51" w:rsidRPr="006355B8" w:rsidRDefault="00E71C51" w:rsidP="006610A0">
            <w:pPr>
              <w:pStyle w:val="Default"/>
              <w:rPr>
                <w:rFonts w:ascii="Calibri" w:hAnsi="Calibri"/>
              </w:rPr>
            </w:pPr>
            <w:r w:rsidRPr="006355B8">
              <w:rPr>
                <w:rFonts w:ascii="Calibri" w:hAnsi="Calibri"/>
              </w:rPr>
              <w:t xml:space="preserve">Visibility Improvement State and Tribal Association of the Southeast </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WESTAR</w:t>
            </w:r>
          </w:p>
        </w:tc>
        <w:tc>
          <w:tcPr>
            <w:tcW w:w="7031" w:type="dxa"/>
          </w:tcPr>
          <w:p w:rsidR="00E71C51" w:rsidRPr="006355B8" w:rsidRDefault="00E71C51" w:rsidP="006610A0">
            <w:pPr>
              <w:pStyle w:val="Default"/>
              <w:rPr>
                <w:rFonts w:ascii="Calibri" w:hAnsi="Calibri"/>
              </w:rPr>
            </w:pPr>
            <w:r w:rsidRPr="006355B8">
              <w:rPr>
                <w:rFonts w:ascii="Calibri" w:hAnsi="Calibri"/>
              </w:rPr>
              <w:t>Western States Air Resource Council</w:t>
            </w:r>
          </w:p>
        </w:tc>
      </w:tr>
      <w:tr w:rsidR="00E71C51" w:rsidRPr="006355B8" w:rsidTr="006355B8">
        <w:tc>
          <w:tcPr>
            <w:tcW w:w="2545" w:type="dxa"/>
          </w:tcPr>
          <w:p w:rsidR="00E71C51" w:rsidRPr="006355B8" w:rsidRDefault="00E71C51" w:rsidP="006610A0">
            <w:pPr>
              <w:pStyle w:val="Default"/>
              <w:rPr>
                <w:rFonts w:ascii="Calibri" w:hAnsi="Calibri"/>
              </w:rPr>
            </w:pPr>
            <w:r w:rsidRPr="006355B8">
              <w:rPr>
                <w:rFonts w:ascii="Calibri" w:hAnsi="Calibri"/>
              </w:rPr>
              <w:t>WRAP</w:t>
            </w:r>
          </w:p>
        </w:tc>
        <w:tc>
          <w:tcPr>
            <w:tcW w:w="7031" w:type="dxa"/>
          </w:tcPr>
          <w:p w:rsidR="00E71C51" w:rsidRPr="006355B8" w:rsidRDefault="00E71C51" w:rsidP="006610A0">
            <w:pPr>
              <w:pStyle w:val="Default"/>
              <w:rPr>
                <w:rFonts w:ascii="Calibri" w:hAnsi="Calibri"/>
              </w:rPr>
            </w:pPr>
            <w:r w:rsidRPr="006355B8">
              <w:rPr>
                <w:rFonts w:ascii="Calibri" w:hAnsi="Calibri"/>
              </w:rPr>
              <w:t>Western Regional Air Partnership</w:t>
            </w:r>
          </w:p>
        </w:tc>
      </w:tr>
    </w:tbl>
    <w:p w:rsidR="00E71C51" w:rsidRDefault="00E71C51" w:rsidP="00D66630">
      <w:pPr>
        <w:pStyle w:val="Caption"/>
        <w:jc w:val="center"/>
        <w:outlineLvl w:val="0"/>
        <w:rPr>
          <w:rFonts w:ascii="Arial" w:hAnsi="Arial" w:cs="Arial"/>
          <w:sz w:val="28"/>
          <w:szCs w:val="28"/>
          <w:u w:val="single"/>
        </w:rPr>
        <w:sectPr w:rsidR="00E71C51">
          <w:footerReference w:type="default" r:id="rId40"/>
          <w:pgSz w:w="12240" w:h="15840"/>
          <w:pgMar w:top="1440" w:right="1440" w:bottom="1440" w:left="1440" w:header="720" w:footer="720" w:gutter="0"/>
          <w:cols w:space="720"/>
          <w:docGrid w:linePitch="360"/>
        </w:sectPr>
      </w:pPr>
    </w:p>
    <w:p w:rsidR="00E71C51" w:rsidRPr="00A57D6D" w:rsidRDefault="00E71C51" w:rsidP="00206FF5">
      <w:pPr>
        <w:pStyle w:val="Heading2"/>
        <w:rPr>
          <w:color w:val="000000"/>
        </w:rPr>
      </w:pPr>
      <w:bookmarkStart w:id="169" w:name="_Toc373843550"/>
      <w:r w:rsidRPr="00A57D6D">
        <w:rPr>
          <w:color w:val="000000"/>
        </w:rPr>
        <w:lastRenderedPageBreak/>
        <w:t>A</w:t>
      </w:r>
      <w:r w:rsidR="008C1672">
        <w:rPr>
          <w:color w:val="000000"/>
        </w:rPr>
        <w:t>ppendix</w:t>
      </w:r>
      <w:r w:rsidRPr="00A57D6D">
        <w:rPr>
          <w:color w:val="000000"/>
        </w:rPr>
        <w:t xml:space="preserve"> XXX:  BART Determinations in the State</w:t>
      </w:r>
      <w:bookmarkEnd w:id="169"/>
    </w:p>
    <w:tbl>
      <w:tblPr>
        <w:tblW w:w="13036" w:type="dxa"/>
        <w:tblInd w:w="20" w:type="dxa"/>
        <w:tblLayout w:type="fixed"/>
        <w:tblCellMar>
          <w:left w:w="0" w:type="dxa"/>
          <w:right w:w="0" w:type="dxa"/>
        </w:tblCellMar>
        <w:tblLook w:val="0000" w:firstRow="0" w:lastRow="0" w:firstColumn="0" w:lastColumn="0" w:noHBand="0" w:noVBand="0"/>
      </w:tblPr>
      <w:tblGrid>
        <w:gridCol w:w="1090"/>
        <w:gridCol w:w="876"/>
        <w:gridCol w:w="3060"/>
        <w:gridCol w:w="1980"/>
        <w:gridCol w:w="3150"/>
        <w:gridCol w:w="2880"/>
      </w:tblGrid>
      <w:tr w:rsidR="00E71C51" w:rsidRPr="006355B8" w:rsidTr="00D66630">
        <w:trPr>
          <w:trHeight w:hRule="exact" w:val="720"/>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spacing w:line="211" w:lineRule="auto"/>
              <w:jc w:val="center"/>
              <w:rPr>
                <w:rFonts w:cs="Garamond"/>
                <w:sz w:val="23"/>
                <w:szCs w:val="23"/>
              </w:rPr>
            </w:pPr>
            <w:r w:rsidRPr="006355B8">
              <w:rPr>
                <w:rFonts w:cs="Garamond"/>
                <w:spacing w:val="-4"/>
                <w:sz w:val="23"/>
                <w:szCs w:val="23"/>
              </w:rPr>
              <w:t>Facility</w:t>
            </w: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spacing w:line="213" w:lineRule="auto"/>
              <w:jc w:val="center"/>
              <w:rPr>
                <w:rFonts w:cs="Garamond"/>
                <w:sz w:val="23"/>
                <w:szCs w:val="23"/>
              </w:rPr>
            </w:pPr>
            <w:r w:rsidRPr="006355B8">
              <w:rPr>
                <w:rFonts w:cs="Garamond"/>
                <w:sz w:val="23"/>
                <w:szCs w:val="23"/>
              </w:rPr>
              <w:t>Unit</w:t>
            </w: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spacing w:line="213" w:lineRule="auto"/>
              <w:jc w:val="center"/>
              <w:rPr>
                <w:rFonts w:cs="Garamond"/>
                <w:spacing w:val="-4"/>
                <w:sz w:val="23"/>
                <w:szCs w:val="23"/>
              </w:rPr>
            </w:pPr>
            <w:r w:rsidRPr="006355B8">
              <w:rPr>
                <w:rFonts w:cs="Garamond"/>
                <w:sz w:val="23"/>
                <w:szCs w:val="23"/>
              </w:rPr>
              <w:t>Description of BART control</w:t>
            </w: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spacing w:line="208" w:lineRule="auto"/>
              <w:jc w:val="center"/>
              <w:rPr>
                <w:rFonts w:cs="Garamond"/>
                <w:spacing w:val="-4"/>
                <w:sz w:val="23"/>
                <w:szCs w:val="23"/>
              </w:rPr>
            </w:pPr>
            <w:r w:rsidRPr="006355B8">
              <w:rPr>
                <w:rFonts w:cs="Garamond"/>
                <w:sz w:val="23"/>
                <w:szCs w:val="23"/>
              </w:rPr>
              <w:t>Implementation Deadline</w:t>
            </w:r>
          </w:p>
        </w:tc>
        <w:tc>
          <w:tcPr>
            <w:tcW w:w="315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spacing w:line="213" w:lineRule="auto"/>
              <w:jc w:val="center"/>
              <w:rPr>
                <w:rFonts w:cs="Garamond"/>
                <w:spacing w:val="-4"/>
                <w:sz w:val="23"/>
                <w:szCs w:val="23"/>
              </w:rPr>
            </w:pPr>
            <w:r w:rsidRPr="006355B8">
              <w:rPr>
                <w:rFonts w:cs="Garamond"/>
                <w:spacing w:val="-2"/>
                <w:sz w:val="23"/>
                <w:szCs w:val="23"/>
              </w:rPr>
              <w:t>Status (as of &lt;date&gt;)</w:t>
            </w:r>
          </w:p>
        </w:tc>
        <w:tc>
          <w:tcPr>
            <w:tcW w:w="28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spacing w:before="36" w:line="211" w:lineRule="auto"/>
              <w:rPr>
                <w:rFonts w:cs="Garamond"/>
                <w:spacing w:val="-8"/>
                <w:sz w:val="23"/>
                <w:szCs w:val="23"/>
              </w:rPr>
            </w:pPr>
            <w:r w:rsidRPr="006355B8">
              <w:rPr>
                <w:rFonts w:cs="Garamond"/>
                <w:spacing w:val="-4"/>
                <w:sz w:val="23"/>
                <w:szCs w:val="23"/>
              </w:rPr>
              <w:t>Notes</w:t>
            </w:r>
          </w:p>
        </w:tc>
      </w:tr>
      <w:tr w:rsidR="00E71C51" w:rsidRPr="006355B8" w:rsidTr="00C879CF">
        <w:trPr>
          <w:trHeight w:hRule="exact" w:val="1891"/>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C879CF">
            <w:pPr>
              <w:rPr>
                <w:rFonts w:cs="Garamond"/>
                <w:i/>
              </w:rPr>
            </w:pPr>
            <w:r w:rsidRPr="006355B8">
              <w:rPr>
                <w:rFonts w:cs="Garamond"/>
                <w:i/>
              </w:rPr>
              <w:t xml:space="preserve">Ex: </w:t>
            </w:r>
            <w:r w:rsidR="00C879CF">
              <w:rPr>
                <w:rFonts w:cs="Garamond"/>
                <w:i/>
              </w:rPr>
              <w:t>Plant name</w:t>
            </w: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i/>
              </w:rPr>
            </w:pPr>
            <w:r w:rsidRPr="006355B8">
              <w:rPr>
                <w:rFonts w:cs="Garamond"/>
                <w:i/>
              </w:rPr>
              <w:t>1</w:t>
            </w: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i/>
              </w:rPr>
            </w:pPr>
            <w:r w:rsidRPr="006355B8">
              <w:rPr>
                <w:rFonts w:cs="Garamond"/>
                <w:i/>
              </w:rPr>
              <w:t>Fuel switch to NG at all times, with the exception of a gas curtailment order from the gas supplier, in which case the facility will be allowed to utilize backup #6 fuel oil.</w:t>
            </w: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i/>
              </w:rPr>
            </w:pPr>
            <w:r w:rsidRPr="006355B8">
              <w:rPr>
                <w:rFonts w:cs="Garamond"/>
                <w:i/>
              </w:rPr>
              <w:t>mm/dd/yr</w:t>
            </w:r>
          </w:p>
        </w:tc>
        <w:tc>
          <w:tcPr>
            <w:tcW w:w="315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i/>
              </w:rPr>
            </w:pPr>
            <w:r w:rsidRPr="006355B8">
              <w:rPr>
                <w:rFonts w:cs="Garamond"/>
                <w:i/>
              </w:rPr>
              <w:t>In compliance</w:t>
            </w:r>
          </w:p>
        </w:tc>
        <w:tc>
          <w:tcPr>
            <w:tcW w:w="28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i/>
              </w:rPr>
            </w:pPr>
          </w:p>
        </w:tc>
      </w:tr>
      <w:tr w:rsidR="00E71C51" w:rsidRPr="006355B8" w:rsidTr="00D66630">
        <w:trPr>
          <w:trHeight w:hRule="exact" w:val="566"/>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15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28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r>
      <w:tr w:rsidR="00E71C51" w:rsidRPr="006355B8" w:rsidTr="00D66630">
        <w:trPr>
          <w:trHeight w:hRule="exact" w:val="571"/>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15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28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r>
      <w:tr w:rsidR="00E71C51" w:rsidRPr="006355B8" w:rsidTr="00D66630">
        <w:trPr>
          <w:trHeight w:hRule="exact" w:val="571"/>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15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28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r>
      <w:tr w:rsidR="00E71C51" w:rsidRPr="006355B8" w:rsidTr="00D66630">
        <w:trPr>
          <w:trHeight w:hRule="exact" w:val="567"/>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15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28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r>
      <w:tr w:rsidR="00E71C51" w:rsidRPr="006355B8" w:rsidTr="00D66630">
        <w:trPr>
          <w:trHeight w:hRule="exact" w:val="571"/>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15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28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r>
      <w:tr w:rsidR="00E71C51" w:rsidRPr="006355B8" w:rsidTr="00D66630">
        <w:trPr>
          <w:trHeight w:hRule="exact" w:val="566"/>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15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28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r>
      <w:tr w:rsidR="00E71C51" w:rsidRPr="006355B8" w:rsidTr="00D66630">
        <w:trPr>
          <w:trHeight w:hRule="exact" w:val="572"/>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15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28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r>
      <w:tr w:rsidR="00E71C51" w:rsidRPr="006355B8" w:rsidTr="00D66630">
        <w:trPr>
          <w:trHeight w:hRule="exact" w:val="566"/>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15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28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r>
      <w:tr w:rsidR="00E71C51" w:rsidRPr="006355B8" w:rsidTr="00D66630">
        <w:trPr>
          <w:trHeight w:hRule="exact" w:val="566"/>
        </w:trPr>
        <w:tc>
          <w:tcPr>
            <w:tcW w:w="109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876"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06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19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315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c>
          <w:tcPr>
            <w:tcW w:w="2880" w:type="dxa"/>
            <w:tcBorders>
              <w:top w:val="single" w:sz="4" w:space="0" w:color="auto"/>
              <w:left w:val="single" w:sz="4" w:space="0" w:color="auto"/>
              <w:bottom w:val="single" w:sz="4" w:space="0" w:color="auto"/>
              <w:right w:val="single" w:sz="4" w:space="0" w:color="auto"/>
            </w:tcBorders>
          </w:tcPr>
          <w:p w:rsidR="00E71C51" w:rsidRPr="006355B8" w:rsidRDefault="00E71C51" w:rsidP="007E4548">
            <w:pPr>
              <w:rPr>
                <w:rFonts w:cs="Garamond"/>
              </w:rPr>
            </w:pPr>
          </w:p>
        </w:tc>
      </w:tr>
    </w:tbl>
    <w:p w:rsidR="00E71C51" w:rsidRDefault="00E71C51" w:rsidP="00D66630">
      <w:pPr>
        <w:rPr>
          <w:sz w:val="24"/>
          <w:szCs w:val="24"/>
        </w:rPr>
      </w:pPr>
    </w:p>
    <w:p w:rsidR="00E71C51" w:rsidRDefault="00E71C51">
      <w:pPr>
        <w:rPr>
          <w:sz w:val="24"/>
          <w:szCs w:val="24"/>
        </w:rPr>
        <w:sectPr w:rsidR="00E71C51" w:rsidSect="00D66630">
          <w:pgSz w:w="15840" w:h="12240" w:orient="landscape"/>
          <w:pgMar w:top="1440" w:right="1440" w:bottom="1440" w:left="1440" w:header="720" w:footer="720" w:gutter="0"/>
          <w:cols w:space="720"/>
          <w:docGrid w:linePitch="360"/>
        </w:sectPr>
      </w:pPr>
    </w:p>
    <w:p w:rsidR="00E71C51" w:rsidRPr="00066E1B" w:rsidRDefault="00E71C51" w:rsidP="00066E1B">
      <w:pPr>
        <w:pStyle w:val="Heading2"/>
      </w:pPr>
      <w:bookmarkStart w:id="170" w:name="_Toc373843551"/>
      <w:r w:rsidRPr="00066E1B">
        <w:lastRenderedPageBreak/>
        <w:t>Appendix XXX:  Regional Haze Rule Metric</w:t>
      </w:r>
      <w:bookmarkEnd w:id="170"/>
      <w:r w:rsidRPr="00066E1B">
        <w:t xml:space="preserve"> </w:t>
      </w:r>
    </w:p>
    <w:p w:rsidR="00E22693" w:rsidRPr="00BF64CA" w:rsidRDefault="00E22693" w:rsidP="00066E1B">
      <w:r w:rsidRPr="00BF64CA">
        <w:t>IMPROVE aerosol sampling and filter analysis at MANE-VU Class 1 sites are conducted according to procedures described in “</w:t>
      </w:r>
      <w:r w:rsidRPr="00BF64CA">
        <w:rPr>
          <w:i/>
        </w:rPr>
        <w:t xml:space="preserve">IMPROVE Standard Operating Protocols: Particle Monitoring Network”.  </w:t>
      </w:r>
      <w:r w:rsidRPr="00BF64CA">
        <w:t>(</w:t>
      </w:r>
      <w:r w:rsidRPr="00030B46">
        <w:t>http://vista.cira.colostate.edu/improve/Publications/IMPROVE_SOPs.htm</w:t>
      </w:r>
      <w:r w:rsidRPr="00BF64CA">
        <w:t xml:space="preserve">).  Data are available from the Federal Land Manager </w:t>
      </w:r>
      <w:r w:rsidR="00C9142D" w:rsidRPr="00BF64CA">
        <w:t>Database:</w:t>
      </w:r>
      <w:r w:rsidRPr="00BF64CA">
        <w:t xml:space="preserve"> </w:t>
      </w:r>
      <w:r w:rsidRPr="00030B46">
        <w:t>http://views.cira.colostate.edu/fed/QueryWizard/Default.aspx</w:t>
      </w:r>
      <w:r w:rsidRPr="00BF64CA">
        <w:t xml:space="preserve"> .</w:t>
      </w:r>
    </w:p>
    <w:p w:rsidR="003E61C3" w:rsidRDefault="00E22693" w:rsidP="00066E1B">
      <w:r w:rsidRPr="00BF64CA">
        <w:t>The haze-relevant aerosol measurements include PM</w:t>
      </w:r>
      <w:r w:rsidRPr="00BF64CA">
        <w:rPr>
          <w:vertAlign w:val="subscript"/>
        </w:rPr>
        <w:t>10</w:t>
      </w:r>
      <w:r w:rsidRPr="00BF64CA">
        <w:t xml:space="preserve"> mass and PM</w:t>
      </w:r>
      <w:r w:rsidRPr="00BF64CA">
        <w:rPr>
          <w:vertAlign w:val="subscript"/>
        </w:rPr>
        <w:t>2.5</w:t>
      </w:r>
      <w:r w:rsidRPr="00BF64CA">
        <w:t xml:space="preserve"> mass (from which coarse mass is calculated), fine sulfate and nitrate ions (from which ammonium sulfate and ammonium nitrate are calculated), fine organic carbon (from which particulate organic matter is calculated), fine elemental carbon, fine elemental chlorine and chloride ion (from which sea salt mass is calculated), and fine crustal elements (Si, Al, Fe, Ca, Ti – from which fine soil is calculated).   The calculated aerosol species concentrations are then combined with estimated dry light extinction efficiencies and enhanced by hygroscopic growth functions (for sulfate nitrate &amp; sea salt) using climatologically derived monthly relative humidity and f(RH) growth functions. This “aerosol light extinction is added to Rayleigh Scattering from natural gaseous air molecules. </w:t>
      </w:r>
    </w:p>
    <w:p w:rsidR="00E22693" w:rsidRDefault="00E22693" w:rsidP="00066E1B">
      <w:r w:rsidRPr="00BF64CA">
        <w:t xml:space="preserve">The equation presented below used for these extinction calculations – referred to as the IMPROVE Equation, Version II, and recommended by the IMPROVE Steering </w:t>
      </w:r>
      <w:r w:rsidR="00C9142D" w:rsidRPr="00BF64CA">
        <w:t>Committee is</w:t>
      </w:r>
      <w:r w:rsidRPr="00BF64CA">
        <w:t xml:space="preserve"> described in</w:t>
      </w:r>
      <w:r w:rsidRPr="00BF64CA">
        <w:rPr>
          <w:b/>
        </w:rPr>
        <w:t xml:space="preserve"> “</w:t>
      </w:r>
      <w:r w:rsidRPr="00BF64CA">
        <w:rPr>
          <w:i/>
        </w:rPr>
        <w:t>Review of the IMPROVE Equation for Estimating Ambient Light Extinction Coefficients - Final Report</w:t>
      </w:r>
      <w:r w:rsidR="00A2129A">
        <w:rPr>
          <w:i/>
        </w:rPr>
        <w:t>,</w:t>
      </w:r>
      <w:r w:rsidRPr="00BF64CA">
        <w:t>” J. L. Hand and W. C. Malm,</w:t>
      </w:r>
      <w:r w:rsidR="00A2129A">
        <w:t xml:space="preserve"> March 2006, </w:t>
      </w:r>
      <w:r w:rsidR="003E61C3">
        <w:t xml:space="preserve">which is </w:t>
      </w:r>
      <w:r w:rsidR="00A2129A">
        <w:t xml:space="preserve">posted on the IMPROVE web site at </w:t>
      </w:r>
      <w:hyperlink r:id="rId41" w:history="1">
        <w:r w:rsidR="00A2129A" w:rsidRPr="00C567F4">
          <w:rPr>
            <w:rStyle w:val="Hyperlink"/>
          </w:rPr>
          <w:t>http://vista.cira.colostate.edu/improve/Publications/GrayLit/gray_literature.htm</w:t>
        </w:r>
      </w:hyperlink>
      <w:r w:rsidR="00A2129A">
        <w:t xml:space="preserve"> .</w:t>
      </w:r>
    </w:p>
    <w:p w:rsidR="00A2129A" w:rsidRPr="00A2129A" w:rsidRDefault="00A2129A" w:rsidP="00066E1B">
      <w:pPr>
        <w:rPr>
          <w:b/>
        </w:rPr>
      </w:pPr>
    </w:p>
    <w:p w:rsidR="00E22693" w:rsidRPr="00BF64CA" w:rsidRDefault="00E22693" w:rsidP="00E22693">
      <w:pPr>
        <w:autoSpaceDE w:val="0"/>
        <w:autoSpaceDN w:val="0"/>
        <w:adjustRightInd w:val="0"/>
        <w:rPr>
          <w:b/>
        </w:rPr>
      </w:pPr>
      <w:r w:rsidRPr="00BF64CA">
        <w:t>B</w:t>
      </w:r>
      <w:r w:rsidRPr="00BF64CA">
        <w:rPr>
          <w:vertAlign w:val="subscript"/>
        </w:rPr>
        <w:t>ext</w:t>
      </w:r>
      <w:r w:rsidRPr="00BF64CA">
        <w:t xml:space="preserve">   ≈    2.2 x f</w:t>
      </w:r>
      <w:r w:rsidRPr="00E450AE">
        <w:rPr>
          <w:smallCaps/>
          <w:vertAlign w:val="subscript"/>
        </w:rPr>
        <w:t>S</w:t>
      </w:r>
      <w:r w:rsidRPr="00BF64CA">
        <w:t xml:space="preserve"> (RH) x [Small (NH</w:t>
      </w:r>
      <w:r w:rsidRPr="00BF64CA">
        <w:rPr>
          <w:vertAlign w:val="subscript"/>
        </w:rPr>
        <w:t>4</w:t>
      </w:r>
      <w:r w:rsidRPr="00BF64CA">
        <w:t>)</w:t>
      </w:r>
      <w:r w:rsidRPr="00BF64CA">
        <w:rPr>
          <w:vertAlign w:val="subscript"/>
        </w:rPr>
        <w:t>2</w:t>
      </w:r>
      <w:r w:rsidRPr="00BF64CA">
        <w:t>SO</w:t>
      </w:r>
      <w:r w:rsidRPr="00BF64CA">
        <w:rPr>
          <w:vertAlign w:val="subscript"/>
        </w:rPr>
        <w:t>4</w:t>
      </w:r>
      <w:r w:rsidRPr="00BF64CA">
        <w:t>] + 4.8 x f</w:t>
      </w:r>
      <w:r w:rsidRPr="00E450AE">
        <w:rPr>
          <w:vertAlign w:val="subscript"/>
        </w:rPr>
        <w:t>L</w:t>
      </w:r>
      <w:r w:rsidRPr="00BF64CA">
        <w:t xml:space="preserve"> (RH) x [Large (NH</w:t>
      </w:r>
      <w:r w:rsidRPr="00BF64CA">
        <w:rPr>
          <w:vertAlign w:val="subscript"/>
        </w:rPr>
        <w:t>4</w:t>
      </w:r>
      <w:r w:rsidRPr="00BF64CA">
        <w:t>)</w:t>
      </w:r>
      <w:r w:rsidRPr="00BF64CA">
        <w:rPr>
          <w:vertAlign w:val="subscript"/>
        </w:rPr>
        <w:t>2</w:t>
      </w:r>
      <w:r w:rsidRPr="00BF64CA">
        <w:t>SO</w:t>
      </w:r>
      <w:r w:rsidRPr="00BF64CA">
        <w:rPr>
          <w:vertAlign w:val="subscript"/>
        </w:rPr>
        <w:t>4</w:t>
      </w:r>
      <w:r w:rsidRPr="00BF64CA">
        <w:t>]</w:t>
      </w:r>
    </w:p>
    <w:p w:rsidR="00E22693" w:rsidRPr="00BF64CA" w:rsidRDefault="00E22693" w:rsidP="00E22693">
      <w:pPr>
        <w:autoSpaceDE w:val="0"/>
        <w:autoSpaceDN w:val="0"/>
        <w:adjustRightInd w:val="0"/>
        <w:ind w:left="720"/>
        <w:jc w:val="both"/>
      </w:pPr>
      <w:r w:rsidRPr="00BF64CA">
        <w:t>+ 2.4 x f</w:t>
      </w:r>
      <w:r w:rsidR="00E450AE" w:rsidRPr="00A2129A">
        <w:rPr>
          <w:smallCaps/>
          <w:vertAlign w:val="subscript"/>
        </w:rPr>
        <w:t>S</w:t>
      </w:r>
      <w:r w:rsidRPr="00BF64CA">
        <w:t xml:space="preserve"> (RH) x [Small NH</w:t>
      </w:r>
      <w:r w:rsidRPr="00BF64CA">
        <w:rPr>
          <w:vertAlign w:val="subscript"/>
        </w:rPr>
        <w:t>4</w:t>
      </w:r>
      <w:r w:rsidRPr="00BF64CA">
        <w:t>NO</w:t>
      </w:r>
      <w:r w:rsidRPr="00BF64CA">
        <w:rPr>
          <w:vertAlign w:val="subscript"/>
        </w:rPr>
        <w:t>3</w:t>
      </w:r>
      <w:r w:rsidRPr="00BF64CA">
        <w:t>] + 5.1 x f</w:t>
      </w:r>
      <w:r w:rsidRPr="00E450AE">
        <w:rPr>
          <w:vertAlign w:val="subscript"/>
        </w:rPr>
        <w:t>L</w:t>
      </w:r>
      <w:r w:rsidRPr="00BF64CA">
        <w:t xml:space="preserve"> (RH) x [Large NH</w:t>
      </w:r>
      <w:r w:rsidRPr="00BF64CA">
        <w:rPr>
          <w:vertAlign w:val="subscript"/>
        </w:rPr>
        <w:t>4</w:t>
      </w:r>
      <w:r w:rsidRPr="00BF64CA">
        <w:t>NO</w:t>
      </w:r>
      <w:r w:rsidRPr="00BF64CA">
        <w:rPr>
          <w:vertAlign w:val="subscript"/>
        </w:rPr>
        <w:t>3</w:t>
      </w:r>
      <w:r w:rsidRPr="00BF64CA">
        <w:t>]</w:t>
      </w:r>
    </w:p>
    <w:p w:rsidR="00E22693" w:rsidRPr="00BF64CA" w:rsidRDefault="00E22693" w:rsidP="00E22693">
      <w:pPr>
        <w:autoSpaceDE w:val="0"/>
        <w:autoSpaceDN w:val="0"/>
        <w:adjustRightInd w:val="0"/>
        <w:ind w:left="720"/>
        <w:jc w:val="both"/>
      </w:pPr>
      <w:r w:rsidRPr="00BF64CA">
        <w:t>+ 2.8 x [Small Organic Mass] + 6.1 x [Large Organic Mass]</w:t>
      </w:r>
    </w:p>
    <w:p w:rsidR="00E22693" w:rsidRPr="00BF64CA" w:rsidRDefault="00E22693" w:rsidP="00E22693">
      <w:pPr>
        <w:autoSpaceDE w:val="0"/>
        <w:autoSpaceDN w:val="0"/>
        <w:adjustRightInd w:val="0"/>
        <w:ind w:left="720"/>
        <w:jc w:val="both"/>
      </w:pPr>
      <w:r w:rsidRPr="00BF64CA">
        <w:t>+ 10 x [Elemental Carbon] + 1 x [Fine Soil Mass]</w:t>
      </w:r>
    </w:p>
    <w:p w:rsidR="00E22693" w:rsidRPr="00BF64CA" w:rsidRDefault="00E22693" w:rsidP="00E22693">
      <w:pPr>
        <w:autoSpaceDE w:val="0"/>
        <w:autoSpaceDN w:val="0"/>
        <w:adjustRightInd w:val="0"/>
        <w:ind w:left="720"/>
        <w:jc w:val="both"/>
      </w:pPr>
      <w:r w:rsidRPr="00BF64CA">
        <w:t>+ 1.7 x f</w:t>
      </w:r>
      <w:r w:rsidRPr="00A2129A">
        <w:rPr>
          <w:vertAlign w:val="subscript"/>
        </w:rPr>
        <w:t>SS</w:t>
      </w:r>
      <w:r w:rsidRPr="00BF64CA">
        <w:t xml:space="preserve"> (RH) x [Sea Salt Mass] + 0.6 x [Coarse Mass]</w:t>
      </w:r>
    </w:p>
    <w:p w:rsidR="00E22693" w:rsidRPr="00BF64CA" w:rsidRDefault="00E22693" w:rsidP="00E22693">
      <w:pPr>
        <w:autoSpaceDE w:val="0"/>
        <w:autoSpaceDN w:val="0"/>
        <w:adjustRightInd w:val="0"/>
        <w:ind w:left="720"/>
        <w:jc w:val="both"/>
        <w:rPr>
          <w:color w:val="000000"/>
        </w:rPr>
      </w:pPr>
      <w:r w:rsidRPr="00BF64CA">
        <w:t>+ Rayleigh Scattering (Site Specific) + 0.33 x [NO</w:t>
      </w:r>
      <w:r w:rsidRPr="00BF64CA">
        <w:rPr>
          <w:vertAlign w:val="subscript"/>
        </w:rPr>
        <w:t>2</w:t>
      </w:r>
      <w:r w:rsidRPr="00BF64CA">
        <w:t xml:space="preserve"> (ppb)]</w:t>
      </w:r>
    </w:p>
    <w:p w:rsidR="00E22693" w:rsidRPr="00BF64CA" w:rsidRDefault="00E22693" w:rsidP="00066E1B">
      <w:r w:rsidRPr="00BF64CA">
        <w:t>Where:</w:t>
      </w:r>
    </w:p>
    <w:p w:rsidR="00E22693" w:rsidRPr="00BF64CA" w:rsidRDefault="00E22693" w:rsidP="00E22693">
      <w:pPr>
        <w:autoSpaceDE w:val="0"/>
        <w:autoSpaceDN w:val="0"/>
        <w:adjustRightInd w:val="0"/>
        <w:ind w:left="720"/>
        <w:jc w:val="both"/>
      </w:pPr>
      <w:r w:rsidRPr="00BF64CA">
        <w:t>B</w:t>
      </w:r>
      <w:r w:rsidRPr="00BF64CA">
        <w:rPr>
          <w:vertAlign w:val="subscript"/>
        </w:rPr>
        <w:t>ext</w:t>
      </w:r>
      <w:r w:rsidRPr="00BF64CA">
        <w:t xml:space="preserve"> = The light extinction coefficient in inverse megameters [Mm</w:t>
      </w:r>
      <w:r w:rsidRPr="00BF64CA">
        <w:rPr>
          <w:vertAlign w:val="superscript"/>
        </w:rPr>
        <w:t>-1</w:t>
      </w:r>
      <w:r w:rsidRPr="00BF64CA">
        <w:t>],</w:t>
      </w:r>
    </w:p>
    <w:p w:rsidR="00E22693" w:rsidRPr="00BF64CA" w:rsidRDefault="00E22693" w:rsidP="00E22693">
      <w:pPr>
        <w:autoSpaceDE w:val="0"/>
        <w:autoSpaceDN w:val="0"/>
        <w:adjustRightInd w:val="0"/>
        <w:ind w:left="720"/>
        <w:jc w:val="both"/>
      </w:pPr>
      <w:r w:rsidRPr="00BF64CA">
        <w:t>f</w:t>
      </w:r>
      <w:r w:rsidR="00E450AE" w:rsidRPr="00E450AE">
        <w:rPr>
          <w:smallCaps/>
          <w:vertAlign w:val="subscript"/>
        </w:rPr>
        <w:t>S</w:t>
      </w:r>
      <w:r w:rsidRPr="00BF64CA">
        <w:t xml:space="preserve"> (RH) and f</w:t>
      </w:r>
      <w:r w:rsidRPr="00E450AE">
        <w:rPr>
          <w:vertAlign w:val="subscript"/>
        </w:rPr>
        <w:t>L</w:t>
      </w:r>
      <w:r w:rsidRPr="00BF64CA">
        <w:t xml:space="preserve"> (RH) = Humidity factor associated with small and large mode mass size distributions of (NH</w:t>
      </w:r>
      <w:r w:rsidRPr="00BF64CA">
        <w:rPr>
          <w:vertAlign w:val="subscript"/>
        </w:rPr>
        <w:t>4</w:t>
      </w:r>
      <w:r w:rsidRPr="00BF64CA">
        <w:t>)</w:t>
      </w:r>
      <w:r w:rsidRPr="00BF64CA">
        <w:rPr>
          <w:vertAlign w:val="subscript"/>
        </w:rPr>
        <w:t>2</w:t>
      </w:r>
      <w:r w:rsidRPr="00BF64CA">
        <w:t>SO</w:t>
      </w:r>
      <w:r w:rsidRPr="00BF64CA">
        <w:rPr>
          <w:vertAlign w:val="subscript"/>
        </w:rPr>
        <w:t xml:space="preserve">4 </w:t>
      </w:r>
      <w:r w:rsidRPr="00BF64CA">
        <w:t>and NH</w:t>
      </w:r>
      <w:r w:rsidRPr="00BF64CA">
        <w:rPr>
          <w:vertAlign w:val="subscript"/>
        </w:rPr>
        <w:t>4</w:t>
      </w:r>
      <w:r w:rsidRPr="00BF64CA">
        <w:t>NO</w:t>
      </w:r>
      <w:r w:rsidRPr="00BF64CA">
        <w:rPr>
          <w:vertAlign w:val="subscript"/>
        </w:rPr>
        <w:t>3,</w:t>
      </w:r>
    </w:p>
    <w:p w:rsidR="00E22693" w:rsidRPr="00BF64CA" w:rsidRDefault="00E22693" w:rsidP="00E22693">
      <w:pPr>
        <w:ind w:left="720"/>
        <w:jc w:val="both"/>
      </w:pPr>
      <w:r w:rsidRPr="00BF64CA">
        <w:t>f</w:t>
      </w:r>
      <w:r w:rsidR="00E450AE">
        <w:rPr>
          <w:vertAlign w:val="subscript"/>
        </w:rPr>
        <w:t>SS</w:t>
      </w:r>
      <w:r w:rsidRPr="00BF64CA">
        <w:t xml:space="preserve"> (RH) = Humidity factor associated with Sea Salt,</w:t>
      </w:r>
    </w:p>
    <w:p w:rsidR="00E22693" w:rsidRPr="00BF64CA" w:rsidRDefault="00E22693" w:rsidP="00E22693">
      <w:pPr>
        <w:autoSpaceDE w:val="0"/>
        <w:autoSpaceDN w:val="0"/>
        <w:adjustRightInd w:val="0"/>
        <w:jc w:val="both"/>
      </w:pPr>
      <w:r w:rsidRPr="00BF64CA">
        <w:rPr>
          <w:color w:val="000000"/>
        </w:rPr>
        <w:tab/>
      </w:r>
      <w:r w:rsidRPr="00BF64CA">
        <w:t>NO</w:t>
      </w:r>
      <w:r w:rsidRPr="00BF64CA">
        <w:rPr>
          <w:vertAlign w:val="subscript"/>
        </w:rPr>
        <w:t>2</w:t>
      </w:r>
      <w:r w:rsidRPr="00BF64CA">
        <w:t xml:space="preserve"> data are not available and concentrations are assumed to be negligible</w:t>
      </w:r>
    </w:p>
    <w:p w:rsidR="00E22693" w:rsidRPr="00BF64CA" w:rsidRDefault="00E22693" w:rsidP="00066E1B">
      <w:r w:rsidRPr="00BF64CA">
        <w:t>Apportionment of the total concentrations of ammonium sulfate ((NH</w:t>
      </w:r>
      <w:r w:rsidRPr="00BF64CA">
        <w:rPr>
          <w:vertAlign w:val="subscript"/>
        </w:rPr>
        <w:t>4</w:t>
      </w:r>
      <w:r w:rsidRPr="00BF64CA">
        <w:t>)</w:t>
      </w:r>
      <w:r w:rsidRPr="00BF64CA">
        <w:rPr>
          <w:vertAlign w:val="subscript"/>
        </w:rPr>
        <w:t>2</w:t>
      </w:r>
      <w:r w:rsidRPr="00BF64CA">
        <w:t xml:space="preserve">SO4) into the concentrations of small and large size fractions is accomplished using the following equations: </w:t>
      </w:r>
    </w:p>
    <w:p w:rsidR="00E22693" w:rsidRPr="00BF64CA" w:rsidRDefault="00E22693" w:rsidP="00E22693">
      <w:pPr>
        <w:autoSpaceDE w:val="0"/>
        <w:autoSpaceDN w:val="0"/>
        <w:adjustRightInd w:val="0"/>
        <w:ind w:left="720"/>
        <w:jc w:val="both"/>
      </w:pPr>
      <w:r w:rsidRPr="00BF64CA">
        <w:t>[Large (NH</w:t>
      </w:r>
      <w:r w:rsidRPr="00BF64CA">
        <w:rPr>
          <w:vertAlign w:val="subscript"/>
        </w:rPr>
        <w:t>4</w:t>
      </w:r>
      <w:r w:rsidRPr="00BF64CA">
        <w:t>)</w:t>
      </w:r>
      <w:r w:rsidRPr="00BF64CA">
        <w:rPr>
          <w:vertAlign w:val="subscript"/>
        </w:rPr>
        <w:t>2</w:t>
      </w:r>
      <w:r w:rsidRPr="00BF64CA">
        <w:t>SO</w:t>
      </w:r>
      <w:r w:rsidRPr="00BF64CA">
        <w:rPr>
          <w:vertAlign w:val="subscript"/>
        </w:rPr>
        <w:t>4</w:t>
      </w:r>
      <w:r w:rsidRPr="00BF64CA">
        <w:t>] = [Total (NH</w:t>
      </w:r>
      <w:r w:rsidRPr="00BF64CA">
        <w:rPr>
          <w:vertAlign w:val="subscript"/>
        </w:rPr>
        <w:t>4</w:t>
      </w:r>
      <w:r w:rsidRPr="00BF64CA">
        <w:t>)</w:t>
      </w:r>
      <w:r w:rsidRPr="00BF64CA">
        <w:rPr>
          <w:vertAlign w:val="subscript"/>
        </w:rPr>
        <w:t>2</w:t>
      </w:r>
      <w:r w:rsidRPr="00BF64CA">
        <w:t>SO</w:t>
      </w:r>
      <w:r w:rsidRPr="00BF64CA">
        <w:rPr>
          <w:vertAlign w:val="subscript"/>
        </w:rPr>
        <w:t>4</w:t>
      </w:r>
      <w:r w:rsidRPr="00BF64CA">
        <w:t>]/20 x [Total (NH</w:t>
      </w:r>
      <w:r w:rsidRPr="00BF64CA">
        <w:rPr>
          <w:vertAlign w:val="subscript"/>
        </w:rPr>
        <w:t>4</w:t>
      </w:r>
      <w:r w:rsidRPr="00BF64CA">
        <w:t>)</w:t>
      </w:r>
      <w:r w:rsidRPr="00BF64CA">
        <w:rPr>
          <w:vertAlign w:val="subscript"/>
        </w:rPr>
        <w:t>2</w:t>
      </w:r>
      <w:r w:rsidRPr="00BF64CA">
        <w:t>SO</w:t>
      </w:r>
      <w:r w:rsidRPr="00BF64CA">
        <w:rPr>
          <w:vertAlign w:val="subscript"/>
        </w:rPr>
        <w:t>4</w:t>
      </w:r>
      <w:r w:rsidRPr="00BF64CA">
        <w:t>]</w:t>
      </w:r>
      <w:r w:rsidR="00A2129A">
        <w:t xml:space="preserve"> </w:t>
      </w:r>
    </w:p>
    <w:p w:rsidR="00E22693" w:rsidRPr="00BF64CA" w:rsidRDefault="00121DF8" w:rsidP="00A2129A">
      <w:pPr>
        <w:autoSpaceDE w:val="0"/>
        <w:autoSpaceDN w:val="0"/>
        <w:adjustRightInd w:val="0"/>
        <w:ind w:left="720"/>
        <w:jc w:val="both"/>
        <w:rPr>
          <w:color w:val="000000"/>
        </w:rPr>
      </w:pPr>
      <w:r w:rsidRPr="00BF64CA">
        <w:t xml:space="preserve"> </w:t>
      </w:r>
      <w:r w:rsidR="00E22693" w:rsidRPr="00BF64CA">
        <w:t>[Small (NH</w:t>
      </w:r>
      <w:r w:rsidR="00E22693" w:rsidRPr="00BF64CA">
        <w:rPr>
          <w:vertAlign w:val="subscript"/>
        </w:rPr>
        <w:t>4</w:t>
      </w:r>
      <w:r w:rsidR="00E22693" w:rsidRPr="00BF64CA">
        <w:t>)</w:t>
      </w:r>
      <w:r w:rsidR="00E22693" w:rsidRPr="00BF64CA">
        <w:rPr>
          <w:vertAlign w:val="subscript"/>
        </w:rPr>
        <w:t>2</w:t>
      </w:r>
      <w:r w:rsidR="00E22693" w:rsidRPr="00BF64CA">
        <w:t>SO</w:t>
      </w:r>
      <w:r w:rsidR="00E22693" w:rsidRPr="00BF64CA">
        <w:rPr>
          <w:vertAlign w:val="subscript"/>
        </w:rPr>
        <w:t>4</w:t>
      </w:r>
      <w:r w:rsidR="00E22693" w:rsidRPr="00BF64CA">
        <w:t>] = [Total (NH</w:t>
      </w:r>
      <w:r w:rsidR="00E22693" w:rsidRPr="00BF64CA">
        <w:rPr>
          <w:vertAlign w:val="subscript"/>
        </w:rPr>
        <w:t>4</w:t>
      </w:r>
      <w:r w:rsidR="00E22693" w:rsidRPr="00BF64CA">
        <w:t>)</w:t>
      </w:r>
      <w:r w:rsidR="00E22693" w:rsidRPr="00BF64CA">
        <w:rPr>
          <w:vertAlign w:val="subscript"/>
        </w:rPr>
        <w:t>2</w:t>
      </w:r>
      <w:r w:rsidR="00E22693" w:rsidRPr="00BF64CA">
        <w:t>SO</w:t>
      </w:r>
      <w:r w:rsidR="00E22693" w:rsidRPr="00BF64CA">
        <w:rPr>
          <w:vertAlign w:val="subscript"/>
        </w:rPr>
        <w:t>4</w:t>
      </w:r>
      <w:r w:rsidR="00E22693" w:rsidRPr="00BF64CA">
        <w:t>] - [Large (NH</w:t>
      </w:r>
      <w:r w:rsidR="00E22693" w:rsidRPr="00BF64CA">
        <w:rPr>
          <w:vertAlign w:val="subscript"/>
        </w:rPr>
        <w:t>4</w:t>
      </w:r>
      <w:r w:rsidR="00E22693" w:rsidRPr="00BF64CA">
        <w:t>)</w:t>
      </w:r>
      <w:r w:rsidR="00E22693" w:rsidRPr="00BF64CA">
        <w:rPr>
          <w:vertAlign w:val="subscript"/>
        </w:rPr>
        <w:t>2</w:t>
      </w:r>
      <w:r w:rsidR="00E22693" w:rsidRPr="00BF64CA">
        <w:t>SO</w:t>
      </w:r>
      <w:r w:rsidR="00E22693" w:rsidRPr="00BF64CA">
        <w:rPr>
          <w:vertAlign w:val="subscript"/>
        </w:rPr>
        <w:t>4</w:t>
      </w:r>
      <w:r w:rsidR="00E22693" w:rsidRPr="00BF64CA">
        <w:t>]</w:t>
      </w:r>
      <w:r w:rsidR="00A2129A">
        <w:t xml:space="preserve"> </w:t>
      </w:r>
    </w:p>
    <w:p w:rsidR="00E22693" w:rsidRDefault="00E22693" w:rsidP="00066E1B">
      <w:r w:rsidRPr="00BF64CA">
        <w:lastRenderedPageBreak/>
        <w:t>Similar equations are used to apportion total ammonium nitrate (NH</w:t>
      </w:r>
      <w:r w:rsidRPr="00BF64CA">
        <w:rPr>
          <w:vertAlign w:val="subscript"/>
        </w:rPr>
        <w:t>4</w:t>
      </w:r>
      <w:r w:rsidRPr="00BF64CA">
        <w:t>NO</w:t>
      </w:r>
      <w:r w:rsidRPr="00BF64CA">
        <w:rPr>
          <w:vertAlign w:val="subscript"/>
        </w:rPr>
        <w:t>3</w:t>
      </w:r>
      <w:r w:rsidRPr="00BF64CA">
        <w:t xml:space="preserve">) and total particulate organic mass (POM = 1.8 x OC) concentrations into the small and large size fractions. </w:t>
      </w:r>
    </w:p>
    <w:p w:rsidR="003E61C3" w:rsidRDefault="003E61C3" w:rsidP="00066E1B">
      <w:r>
        <w:t>The above IMPROVE Equation replaced the eq</w:t>
      </w:r>
      <w:r w:rsidR="00522BC4">
        <w:t xml:space="preserve">uation in EPA’s September 2003 </w:t>
      </w:r>
      <w:r w:rsidRPr="00522BC4">
        <w:rPr>
          <w:i/>
        </w:rPr>
        <w:t>Guidance for Tracking Progress Under the Regional Haze Rule</w:t>
      </w:r>
      <w:r>
        <w:t xml:space="preserve"> (EPA-454/b-03-004) posted on EPA’s website at </w:t>
      </w:r>
      <w:hyperlink r:id="rId42" w:history="1">
        <w:r w:rsidRPr="00C567F4">
          <w:rPr>
            <w:rStyle w:val="Hyperlink"/>
          </w:rPr>
          <w:t>http://www.epa.gov/ttnamti1/files/ambient/visible/tracking.pdf</w:t>
        </w:r>
      </w:hyperlink>
      <w:r>
        <w:t>.  Other aspects of that guidance are not affected by the IMPROVE Equation.</w:t>
      </w:r>
    </w:p>
    <w:p w:rsidR="00E22693" w:rsidRPr="00BF64CA" w:rsidRDefault="00E22693" w:rsidP="00066E1B">
      <w:r w:rsidRPr="00BF64CA">
        <w:t>The resulting light extinction estimates (B</w:t>
      </w:r>
      <w:r w:rsidRPr="00BF64CA">
        <w:rPr>
          <w:vertAlign w:val="subscript"/>
        </w:rPr>
        <w:t>ext</w:t>
      </w:r>
      <w:r w:rsidRPr="00BF64CA">
        <w:t xml:space="preserve"> in Mm</w:t>
      </w:r>
      <w:r w:rsidRPr="00BF64CA">
        <w:rPr>
          <w:vertAlign w:val="superscript"/>
        </w:rPr>
        <w:t>-1</w:t>
      </w:r>
      <w:r w:rsidRPr="00BF64CA">
        <w:t>) can be converted to deciviews</w:t>
      </w:r>
      <w:r w:rsidR="00121DF8">
        <w:t xml:space="preserve"> using </w:t>
      </w:r>
      <w:r w:rsidR="003E61C3">
        <w:t>the following</w:t>
      </w:r>
      <w:r w:rsidR="00121DF8">
        <w:t xml:space="preserve"> natural logarithm function</w:t>
      </w:r>
      <w:r w:rsidRPr="00BF64CA">
        <w:t>:</w:t>
      </w:r>
    </w:p>
    <w:p w:rsidR="00E22693" w:rsidRPr="00BF64CA" w:rsidRDefault="00E22693" w:rsidP="00E22693">
      <w:pPr>
        <w:autoSpaceDE w:val="0"/>
        <w:autoSpaceDN w:val="0"/>
        <w:adjustRightInd w:val="0"/>
        <w:ind w:left="720"/>
        <w:jc w:val="both"/>
      </w:pPr>
      <w:r w:rsidRPr="00BF64CA">
        <w:t xml:space="preserve">Deciviews (dv) = 10 ln </w:t>
      </w:r>
      <w:r w:rsidR="003E61C3">
        <w:t>(</w:t>
      </w:r>
      <w:r w:rsidRPr="00BF64CA">
        <w:t>B</w:t>
      </w:r>
      <w:r w:rsidRPr="00BF64CA">
        <w:rPr>
          <w:vertAlign w:val="subscript"/>
        </w:rPr>
        <w:t>ext</w:t>
      </w:r>
      <w:r w:rsidRPr="00BF64CA">
        <w:t>/10</w:t>
      </w:r>
      <w:r w:rsidR="003E61C3">
        <w:t>)</w:t>
      </w:r>
    </w:p>
    <w:p w:rsidR="00E22693" w:rsidRPr="00BF64CA" w:rsidRDefault="00E22693" w:rsidP="00066E1B">
      <w:r w:rsidRPr="00BF64CA">
        <w:t xml:space="preserve">For each year meeting data completeness requirements, averages are calculated, in deciviews, for the 20% haziest days and for the 20% clearest days at each site. These annual means are aggregated into 5-year averages for a “baseline” period (2000-2004) and for </w:t>
      </w:r>
      <w:r w:rsidR="003E61C3">
        <w:t>later</w:t>
      </w:r>
      <w:r w:rsidRPr="00BF64CA">
        <w:t xml:space="preserve"> 5-year periods. </w:t>
      </w:r>
    </w:p>
    <w:p w:rsidR="00E22693" w:rsidRPr="00BF64CA" w:rsidRDefault="00E22693" w:rsidP="00066E1B">
      <w:r w:rsidRPr="00BF64CA">
        <w:t xml:space="preserve">The EPA Regional Haze Rule </w:t>
      </w:r>
      <w:r w:rsidR="003E61C3">
        <w:t xml:space="preserve">target </w:t>
      </w:r>
      <w:r w:rsidRPr="00BF64CA">
        <w:t xml:space="preserve">requires that the 20% clearest days not deteriorate over time, while the 20% haziest days are expected to improve </w:t>
      </w:r>
      <w:r w:rsidR="003E61C3">
        <w:t xml:space="preserve">visibility </w:t>
      </w:r>
      <w:r w:rsidRPr="00BF64CA">
        <w:t>to the level of “natural background” by 2064. To achieve a “uniform rate of progress</w:t>
      </w:r>
      <w:r w:rsidR="003E61C3">
        <w:t>,</w:t>
      </w:r>
      <w:r w:rsidRPr="00BF64CA">
        <w:t>” consistent with reaching natural background by 2064, the haziest 20% days would need to improve at an annual rate of at least:</w:t>
      </w:r>
    </w:p>
    <w:p w:rsidR="00E22693" w:rsidRPr="00BF64CA" w:rsidRDefault="00E22693" w:rsidP="00E22693">
      <w:pPr>
        <w:autoSpaceDE w:val="0"/>
        <w:autoSpaceDN w:val="0"/>
        <w:adjustRightInd w:val="0"/>
        <w:ind w:firstLine="720"/>
        <w:jc w:val="both"/>
      </w:pPr>
      <w:r w:rsidRPr="00BF64CA">
        <w:t>Annual Uniform Improvement = (Baseline – Natural Background) / 60</w:t>
      </w:r>
    </w:p>
    <w:p w:rsidR="00E22693" w:rsidRPr="00BF64CA" w:rsidRDefault="00E22693" w:rsidP="00066E1B">
      <w:r w:rsidRPr="00BF64CA">
        <w:t>For each 5-year period, uniform progress would be maintained if:</w:t>
      </w:r>
    </w:p>
    <w:p w:rsidR="00E22693" w:rsidRPr="00BF64CA" w:rsidRDefault="00E22693" w:rsidP="00E22693">
      <w:pPr>
        <w:autoSpaceDE w:val="0"/>
        <w:autoSpaceDN w:val="0"/>
        <w:adjustRightInd w:val="0"/>
        <w:ind w:firstLine="720"/>
        <w:jc w:val="both"/>
      </w:pPr>
      <w:r w:rsidRPr="00BF64CA">
        <w:t>5-year Uniform Improvement = (Baseline – Natural Background) / 12</w:t>
      </w:r>
    </w:p>
    <w:p w:rsidR="00E22693" w:rsidRPr="00BF64CA" w:rsidRDefault="00E22693" w:rsidP="00066E1B">
      <w:r w:rsidRPr="00BF64CA">
        <w:t>Each state with a Class I area establishes a Reasonable Progress Goal for that Class I area for each 10-year period that is based on decisions about how much progress in reducing regional haze would be reasonable by that date.  The first regional haze SIPs set Reasonable Progress Goals for 2018.  The Uniform Rate of Progress is considered by the state in setting the Reasonable Progress Goal, but the goal must reflect what is considered reasonable, which may be more or less progress than would be expected based on the uniform rate of progress.</w:t>
      </w:r>
    </w:p>
    <w:p w:rsidR="00E71C51" w:rsidRDefault="00E71C51">
      <w:pPr>
        <w:rPr>
          <w:sz w:val="24"/>
          <w:szCs w:val="24"/>
        </w:rPr>
      </w:pPr>
    </w:p>
    <w:p w:rsidR="00A774E6" w:rsidRDefault="0002597D" w:rsidP="00066E1B">
      <w:r>
        <w:br w:type="page"/>
      </w:r>
    </w:p>
    <w:p w:rsidR="003F3197" w:rsidRDefault="003F3197" w:rsidP="00066E1B">
      <w:pPr>
        <w:pStyle w:val="Heading2"/>
      </w:pPr>
      <w:bookmarkStart w:id="171" w:name="_Toc373843552"/>
      <w:r w:rsidRPr="00066E1B">
        <w:lastRenderedPageBreak/>
        <w:t xml:space="preserve">Appendix XXX:  </w:t>
      </w:r>
      <w:r w:rsidR="00E8209B" w:rsidRPr="00066E1B">
        <w:t>Statement on Controls in MANE-VU</w:t>
      </w:r>
      <w:bookmarkEnd w:id="171"/>
      <w:r w:rsidRPr="00066E1B">
        <w:t xml:space="preserve"> </w:t>
      </w:r>
    </w:p>
    <w:p w:rsidR="00093AE0" w:rsidRDefault="00093AE0" w:rsidP="00093AE0">
      <w:r>
        <w:rPr>
          <w:noProof/>
        </w:rPr>
        <w:drawing>
          <wp:inline distT="0" distB="0" distL="0" distR="0">
            <wp:extent cx="5943600" cy="7601710"/>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a:stretch>
                      <a:fillRect/>
                    </a:stretch>
                  </pic:blipFill>
                  <pic:spPr bwMode="auto">
                    <a:xfrm>
                      <a:off x="0" y="0"/>
                      <a:ext cx="5943600" cy="7601710"/>
                    </a:xfrm>
                    <a:prstGeom prst="rect">
                      <a:avLst/>
                    </a:prstGeom>
                    <a:noFill/>
                    <a:ln w="9525">
                      <a:noFill/>
                      <a:miter lim="800000"/>
                      <a:headEnd/>
                      <a:tailEnd/>
                    </a:ln>
                  </pic:spPr>
                </pic:pic>
              </a:graphicData>
            </a:graphic>
          </wp:inline>
        </w:drawing>
      </w:r>
    </w:p>
    <w:p w:rsidR="00093AE0" w:rsidRDefault="0010161B" w:rsidP="00093AE0">
      <w:r>
        <w:rPr>
          <w:noProof/>
        </w:rPr>
        <w:lastRenderedPageBreak/>
        <w:drawing>
          <wp:inline distT="0" distB="0" distL="0" distR="0">
            <wp:extent cx="5943600" cy="7598887"/>
            <wp:effectExtent l="1905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srcRect/>
                    <a:stretch>
                      <a:fillRect/>
                    </a:stretch>
                  </pic:blipFill>
                  <pic:spPr bwMode="auto">
                    <a:xfrm>
                      <a:off x="0" y="0"/>
                      <a:ext cx="5943600" cy="7598887"/>
                    </a:xfrm>
                    <a:prstGeom prst="rect">
                      <a:avLst/>
                    </a:prstGeom>
                    <a:noFill/>
                    <a:ln w="9525">
                      <a:noFill/>
                      <a:miter lim="800000"/>
                      <a:headEnd/>
                      <a:tailEnd/>
                    </a:ln>
                  </pic:spPr>
                </pic:pic>
              </a:graphicData>
            </a:graphic>
          </wp:inline>
        </w:drawing>
      </w:r>
    </w:p>
    <w:p w:rsidR="00093AE0" w:rsidRPr="00093AE0" w:rsidRDefault="00093AE0" w:rsidP="00093AE0"/>
    <w:p w:rsidR="0010161B" w:rsidRDefault="0010161B">
      <w:pPr>
        <w:spacing w:after="0" w:line="240" w:lineRule="auto"/>
      </w:pPr>
    </w:p>
    <w:p w:rsidR="0010161B" w:rsidRDefault="0010161B">
      <w:pPr>
        <w:spacing w:after="0" w:line="240" w:lineRule="auto"/>
      </w:pPr>
    </w:p>
    <w:p w:rsidR="0010161B" w:rsidRDefault="0010161B" w:rsidP="0010161B">
      <w:pPr>
        <w:pStyle w:val="Heading2"/>
      </w:pPr>
      <w:bookmarkStart w:id="172" w:name="_Toc373843553"/>
      <w:r w:rsidRPr="00066E1B">
        <w:t>Appendix XXX:  Statement on Controls Outside of MANE-VU</w:t>
      </w:r>
      <w:bookmarkEnd w:id="172"/>
      <w:r w:rsidRPr="00066E1B">
        <w:t xml:space="preserve"> </w:t>
      </w:r>
    </w:p>
    <w:p w:rsidR="0010161B" w:rsidRDefault="0010161B">
      <w:pPr>
        <w:spacing w:after="0" w:line="240" w:lineRule="auto"/>
      </w:pPr>
    </w:p>
    <w:p w:rsidR="0010161B" w:rsidRDefault="00AA3E60">
      <w:pPr>
        <w:spacing w:after="0" w:line="240" w:lineRule="auto"/>
        <w:rPr>
          <w:rFonts w:ascii="Arial" w:eastAsia="Times New Roman" w:hAnsi="Arial"/>
          <w:b/>
          <w:bCs/>
          <w:color w:val="000000" w:themeColor="text1"/>
          <w:szCs w:val="26"/>
          <w:u w:val="single"/>
        </w:rPr>
      </w:pPr>
      <w:r>
        <w:rPr>
          <w:noProof/>
        </w:rPr>
        <w:drawing>
          <wp:anchor distT="0" distB="0" distL="114300" distR="114300" simplePos="0" relativeHeight="251672576" behindDoc="0" locked="0" layoutInCell="1" allowOverlap="1">
            <wp:simplePos x="0" y="0"/>
            <wp:positionH relativeFrom="column">
              <wp:posOffset>19050</wp:posOffset>
            </wp:positionH>
            <wp:positionV relativeFrom="paragraph">
              <wp:posOffset>36830</wp:posOffset>
            </wp:positionV>
            <wp:extent cx="5943600" cy="7600950"/>
            <wp:effectExtent l="19050" t="0" r="0" b="0"/>
            <wp:wrapSquare wrapText="bothSides"/>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srcRect/>
                    <a:stretch>
                      <a:fillRect/>
                    </a:stretch>
                  </pic:blipFill>
                  <pic:spPr bwMode="auto">
                    <a:xfrm>
                      <a:off x="0" y="0"/>
                      <a:ext cx="5943600" cy="7600950"/>
                    </a:xfrm>
                    <a:prstGeom prst="rect">
                      <a:avLst/>
                    </a:prstGeom>
                    <a:noFill/>
                    <a:ln w="9525">
                      <a:noFill/>
                      <a:miter lim="800000"/>
                      <a:headEnd/>
                      <a:tailEnd/>
                    </a:ln>
                  </pic:spPr>
                </pic:pic>
              </a:graphicData>
            </a:graphic>
          </wp:anchor>
        </w:drawing>
      </w:r>
      <w:r w:rsidR="0010161B">
        <w:br w:type="page"/>
      </w:r>
      <w:r w:rsidR="0010161B">
        <w:rPr>
          <w:rFonts w:ascii="Arial" w:eastAsia="Times New Roman" w:hAnsi="Arial"/>
          <w:b/>
          <w:bCs/>
          <w:noProof/>
          <w:color w:val="000000" w:themeColor="text1"/>
          <w:szCs w:val="26"/>
          <w:u w:val="single"/>
        </w:rPr>
        <w:lastRenderedPageBreak/>
        <w:drawing>
          <wp:inline distT="0" distB="0" distL="0" distR="0">
            <wp:extent cx="5943600" cy="7604533"/>
            <wp:effectExtent l="19050" t="0" r="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srcRect/>
                    <a:stretch>
                      <a:fillRect/>
                    </a:stretch>
                  </pic:blipFill>
                  <pic:spPr bwMode="auto">
                    <a:xfrm>
                      <a:off x="0" y="0"/>
                      <a:ext cx="5943600" cy="7604533"/>
                    </a:xfrm>
                    <a:prstGeom prst="rect">
                      <a:avLst/>
                    </a:prstGeom>
                    <a:noFill/>
                    <a:ln w="9525">
                      <a:noFill/>
                      <a:miter lim="800000"/>
                      <a:headEnd/>
                      <a:tailEnd/>
                    </a:ln>
                  </pic:spPr>
                </pic:pic>
              </a:graphicData>
            </a:graphic>
          </wp:inline>
        </w:drawing>
      </w:r>
      <w:r w:rsidR="0010161B">
        <w:rPr>
          <w:rFonts w:ascii="Arial" w:eastAsia="Times New Roman" w:hAnsi="Arial"/>
          <w:b/>
          <w:bCs/>
          <w:color w:val="000000" w:themeColor="text1"/>
          <w:szCs w:val="26"/>
          <w:u w:val="single"/>
        </w:rPr>
        <w:br w:type="page"/>
      </w:r>
    </w:p>
    <w:p w:rsidR="00251C23" w:rsidRDefault="003F3197" w:rsidP="00066E1B">
      <w:pPr>
        <w:pStyle w:val="Heading2"/>
      </w:pPr>
      <w:bookmarkStart w:id="173" w:name="_Toc373843554"/>
      <w:r w:rsidRPr="00066E1B">
        <w:lastRenderedPageBreak/>
        <w:t xml:space="preserve">Appendix XXX:  </w:t>
      </w:r>
      <w:r w:rsidR="00E8209B" w:rsidRPr="00066E1B">
        <w:t>Statement on National Controls</w:t>
      </w:r>
      <w:bookmarkEnd w:id="173"/>
    </w:p>
    <w:p w:rsidR="0010161B" w:rsidRDefault="0010161B" w:rsidP="008A40F9">
      <w:pPr>
        <w:pStyle w:val="Heading2"/>
        <w:spacing w:after="0"/>
      </w:pPr>
      <w:bookmarkStart w:id="174" w:name="_Toc373830846"/>
      <w:r>
        <w:rPr>
          <w:noProof/>
        </w:rPr>
        <w:drawing>
          <wp:anchor distT="0" distB="0" distL="114300" distR="114300" simplePos="0" relativeHeight="251673600" behindDoc="0" locked="0" layoutInCell="1" allowOverlap="1">
            <wp:simplePos x="0" y="0"/>
            <wp:positionH relativeFrom="column">
              <wp:posOffset>19050</wp:posOffset>
            </wp:positionH>
            <wp:positionV relativeFrom="paragraph">
              <wp:posOffset>186690</wp:posOffset>
            </wp:positionV>
            <wp:extent cx="5943600" cy="7629525"/>
            <wp:effectExtent l="19050" t="0" r="0" b="0"/>
            <wp:wrapSquare wrapText="bothSides"/>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srcRect/>
                    <a:stretch>
                      <a:fillRect/>
                    </a:stretch>
                  </pic:blipFill>
                  <pic:spPr bwMode="auto">
                    <a:xfrm>
                      <a:off x="0" y="0"/>
                      <a:ext cx="5943600" cy="7629525"/>
                    </a:xfrm>
                    <a:prstGeom prst="rect">
                      <a:avLst/>
                    </a:prstGeom>
                    <a:noFill/>
                    <a:ln w="9525">
                      <a:noFill/>
                      <a:miter lim="800000"/>
                      <a:headEnd/>
                      <a:tailEnd/>
                    </a:ln>
                  </pic:spPr>
                </pic:pic>
              </a:graphicData>
            </a:graphic>
          </wp:anchor>
        </w:drawing>
      </w:r>
      <w:bookmarkEnd w:id="174"/>
      <w:r>
        <w:br w:type="page"/>
      </w:r>
    </w:p>
    <w:p w:rsidR="004B3DE9" w:rsidRDefault="002915F4">
      <w:pPr>
        <w:spacing w:after="0" w:line="240" w:lineRule="auto"/>
        <w:rPr>
          <w:rFonts w:ascii="Arial" w:eastAsia="Times New Roman" w:hAnsi="Arial"/>
          <w:b/>
          <w:bCs/>
          <w:color w:val="000000" w:themeColor="text1"/>
          <w:szCs w:val="26"/>
          <w:u w:val="single"/>
        </w:rPr>
      </w:pPr>
      <w:r>
        <w:rPr>
          <w:noProof/>
        </w:rPr>
        <w:lastRenderedPageBreak/>
        <w:drawing>
          <wp:anchor distT="0" distB="0" distL="114300" distR="114300" simplePos="0" relativeHeight="251675648" behindDoc="0" locked="0" layoutInCell="1" allowOverlap="1">
            <wp:simplePos x="0" y="0"/>
            <wp:positionH relativeFrom="column">
              <wp:posOffset>57150</wp:posOffset>
            </wp:positionH>
            <wp:positionV relativeFrom="paragraph">
              <wp:posOffset>-133350</wp:posOffset>
            </wp:positionV>
            <wp:extent cx="5943600" cy="7629525"/>
            <wp:effectExtent l="19050" t="0" r="0" b="0"/>
            <wp:wrapSquare wrapText="bothSides"/>
            <wp:docPr id="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srcRect/>
                    <a:stretch>
                      <a:fillRect/>
                    </a:stretch>
                  </pic:blipFill>
                  <pic:spPr bwMode="auto">
                    <a:xfrm>
                      <a:off x="0" y="0"/>
                      <a:ext cx="5943600" cy="7629525"/>
                    </a:xfrm>
                    <a:prstGeom prst="rect">
                      <a:avLst/>
                    </a:prstGeom>
                    <a:noFill/>
                    <a:ln w="9525">
                      <a:noFill/>
                      <a:miter lim="800000"/>
                      <a:headEnd/>
                      <a:tailEnd/>
                    </a:ln>
                  </pic:spPr>
                </pic:pic>
              </a:graphicData>
            </a:graphic>
          </wp:anchor>
        </w:drawing>
      </w:r>
      <w:r w:rsidR="004B3DE9">
        <w:br w:type="page"/>
      </w:r>
    </w:p>
    <w:p w:rsidR="008A40F9" w:rsidRDefault="008A40F9" w:rsidP="008A40F9">
      <w:pPr>
        <w:pStyle w:val="Heading2"/>
      </w:pPr>
      <w:bookmarkStart w:id="175" w:name="_Toc373843555"/>
      <w:r w:rsidRPr="00066E1B">
        <w:lastRenderedPageBreak/>
        <w:t xml:space="preserve">Appendix XXX:  </w:t>
      </w:r>
      <w:r>
        <w:t>Summary of and Response to Comments from Federal Land Managers</w:t>
      </w:r>
      <w:bookmarkEnd w:id="175"/>
    </w:p>
    <w:p w:rsidR="00AA3E60" w:rsidRPr="00AA3E60" w:rsidRDefault="00AA3E60" w:rsidP="00AA3E60">
      <w:pPr>
        <w:jc w:val="center"/>
      </w:pPr>
      <w:r w:rsidRPr="00AA3E60">
        <w:rPr>
          <w:highlight w:val="yellow"/>
        </w:rPr>
        <w:t>&lt;To be completed by each state.&gt;</w:t>
      </w:r>
    </w:p>
    <w:p w:rsidR="004B3DE9" w:rsidRPr="00066E1B" w:rsidRDefault="004B3DE9" w:rsidP="004B3DE9">
      <w:pPr>
        <w:pStyle w:val="Heading2"/>
      </w:pPr>
      <w:r>
        <w:br w:type="page"/>
      </w:r>
    </w:p>
    <w:p w:rsidR="0040350E" w:rsidRDefault="0040350E" w:rsidP="0040350E">
      <w:pPr>
        <w:pStyle w:val="Heading2"/>
      </w:pPr>
      <w:bookmarkStart w:id="176" w:name="_Toc373843556"/>
      <w:r w:rsidRPr="00066E1B">
        <w:lastRenderedPageBreak/>
        <w:t>Appendix XXX:  Status of Emissions from 167 Key Stacks</w:t>
      </w:r>
      <w:bookmarkEnd w:id="176"/>
    </w:p>
    <w:p w:rsidR="00AA3E60" w:rsidRPr="00AA3E60" w:rsidRDefault="00AA3E60" w:rsidP="00AA3E60">
      <w:pPr>
        <w:jc w:val="center"/>
      </w:pPr>
      <w:r w:rsidRPr="00AA3E60">
        <w:rPr>
          <w:highlight w:val="yellow"/>
        </w:rPr>
        <w:t>&lt;See separate spreadsheet prepared by NESCAUM&gt;</w:t>
      </w:r>
    </w:p>
    <w:p w:rsidR="0040350E" w:rsidRPr="0040350E" w:rsidRDefault="0040350E" w:rsidP="0040350E"/>
    <w:p w:rsidR="00E71C51" w:rsidRPr="00375CC3" w:rsidRDefault="00E71C51" w:rsidP="00D66630">
      <w:pPr>
        <w:rPr>
          <w:sz w:val="24"/>
          <w:szCs w:val="24"/>
        </w:rPr>
      </w:pPr>
    </w:p>
    <w:sectPr w:rsidR="00E71C51" w:rsidRPr="00375CC3" w:rsidSect="00241911">
      <w:headerReference w:type="default" r:id="rId4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55EF" w:rsidRDefault="00CC55EF" w:rsidP="00C97277">
      <w:pPr>
        <w:spacing w:after="0" w:line="240" w:lineRule="auto"/>
      </w:pPr>
      <w:r>
        <w:separator/>
      </w:r>
    </w:p>
  </w:endnote>
  <w:endnote w:type="continuationSeparator" w:id="0">
    <w:p w:rsidR="00CC55EF" w:rsidRDefault="00CC55EF" w:rsidP="00C972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BoldMT">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TimesNewRomanPSMT">
    <w:panose1 w:val="00000000000000000000"/>
    <w:charset w:val="00"/>
    <w:family w:val="roman"/>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55EF" w:rsidRDefault="00CC55EF">
    <w:pPr>
      <w:rPr>
        <w:sz w:val="16"/>
        <w:szCs w:val="16"/>
      </w:rPr>
    </w:pPr>
    <w:r>
      <w:rPr>
        <w:noProof/>
      </w:rPr>
      <mc:AlternateContent>
        <mc:Choice Requires="wps">
          <w:drawing>
            <wp:anchor distT="0" distB="0" distL="0" distR="0" simplePos="0" relativeHeight="251656192" behindDoc="0" locked="0" layoutInCell="0" allowOverlap="1">
              <wp:simplePos x="0" y="0"/>
              <wp:positionH relativeFrom="page">
                <wp:posOffset>899795</wp:posOffset>
              </wp:positionH>
              <wp:positionV relativeFrom="paragraph">
                <wp:posOffset>0</wp:posOffset>
              </wp:positionV>
              <wp:extent cx="5982335" cy="198120"/>
              <wp:effectExtent l="4445" t="9525" r="4445" b="1905"/>
              <wp:wrapSquare wrapText="bothSides"/>
              <wp:docPr id="2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2335" cy="1981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C55EF" w:rsidRPr="00903EFA" w:rsidRDefault="00CC55EF" w:rsidP="00372CCF"/>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margin-left:70.85pt;margin-top:0;width:471.05pt;height:15.6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" o:allowincell="f" stroked="f">
              <v:fill opacity="0"/>
              <v:textbox inset="0,0,0,0">
                <w:txbxContent>
                  <w:p w:rsidR="00CC55EF" w:rsidRPr="00903EFA" w:rsidRDefault="00CC55EF" w:rsidP="00372CCF"/>
                </w:txbxContent>
              </v:textbox>
              <w10:wrap type="square" anchorx="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4017150"/>
      <w:docPartObj>
        <w:docPartGallery w:val="Page Numbers (Bottom of Page)"/>
        <w:docPartUnique/>
      </w:docPartObj>
    </w:sdtPr>
    <w:sdtContent>
      <w:p w:rsidR="00CC55EF" w:rsidRDefault="00CC55EF">
        <w:pPr>
          <w:pStyle w:val="Footer"/>
          <w:jc w:val="center"/>
        </w:pPr>
        <w:r>
          <w:fldChar w:fldCharType="begin"/>
        </w:r>
        <w:r>
          <w:instrText xml:space="preserve"> PAGE   \* MERGEFORMAT </w:instrText>
        </w:r>
        <w:r>
          <w:fldChar w:fldCharType="separate"/>
        </w:r>
        <w:r w:rsidR="00057442">
          <w:rPr>
            <w:noProof/>
          </w:rPr>
          <w:t>2</w:t>
        </w:r>
        <w:r>
          <w:rPr>
            <w:noProof/>
          </w:rPr>
          <w:fldChar w:fldCharType="end"/>
        </w:r>
      </w:p>
    </w:sdtContent>
  </w:sdt>
  <w:p w:rsidR="00CC55EF" w:rsidRPr="003405AC" w:rsidRDefault="00CC55EF" w:rsidP="003405AC">
    <w:pPr>
      <w:pStyle w:val="Footer"/>
      <w:rPr>
        <w:szCs w:val="1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55EF" w:rsidRDefault="00CC55EF">
    <w:pPr>
      <w:pStyle w:val="Footer"/>
      <w:jc w:val="center"/>
    </w:pPr>
    <w:r>
      <w:fldChar w:fldCharType="begin"/>
    </w:r>
    <w:r>
      <w:instrText xml:space="preserve"> PAGE   \* MERGEFORMAT </w:instrText>
    </w:r>
    <w:r>
      <w:fldChar w:fldCharType="separate"/>
    </w:r>
    <w:r w:rsidR="00BD09EF">
      <w:rPr>
        <w:noProof/>
      </w:rPr>
      <w:t>87</w:t>
    </w:r>
    <w:r>
      <w:rPr>
        <w:noProof/>
      </w:rPr>
      <w:fldChar w:fldCharType="end"/>
    </w:r>
  </w:p>
  <w:p w:rsidR="00CC55EF" w:rsidRDefault="00CC55E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55EF" w:rsidRDefault="00CC55EF" w:rsidP="00C97277">
      <w:pPr>
        <w:spacing w:after="0" w:line="240" w:lineRule="auto"/>
      </w:pPr>
      <w:r>
        <w:separator/>
      </w:r>
    </w:p>
  </w:footnote>
  <w:footnote w:type="continuationSeparator" w:id="0">
    <w:p w:rsidR="00CC55EF" w:rsidRDefault="00CC55EF" w:rsidP="00C97277">
      <w:pPr>
        <w:spacing w:after="0" w:line="240" w:lineRule="auto"/>
      </w:pPr>
      <w:r>
        <w:continuationSeparator/>
      </w:r>
    </w:p>
  </w:footnote>
  <w:footnote w:id="1">
    <w:p w:rsidR="00CC55EF" w:rsidRPr="00116209" w:rsidRDefault="00CC55EF" w:rsidP="00E46153">
      <w:pPr>
        <w:pStyle w:val="FootnoteText"/>
        <w:ind w:left="360" w:hanging="360"/>
        <w:jc w:val="both"/>
      </w:pPr>
      <w:r w:rsidRPr="00116209">
        <w:rPr>
          <w:rStyle w:val="FootnoteReference"/>
        </w:rPr>
        <w:footnoteRef/>
      </w:r>
      <w:r w:rsidRPr="00116209">
        <w:t xml:space="preserve"> </w:t>
      </w:r>
      <w:r w:rsidRPr="00116209">
        <w:tab/>
      </w:r>
      <w:r>
        <w:t>&lt;</w:t>
      </w:r>
      <w:r w:rsidRPr="00D327AD">
        <w:rPr>
          <w:highlight w:val="yellow"/>
        </w:rPr>
        <w:t>Option for non-Class I state</w:t>
      </w:r>
      <w:r w:rsidRPr="004250EE">
        <w:rPr>
          <w:highlight w:val="yellow"/>
        </w:rPr>
        <w:t>s if applicable</w:t>
      </w:r>
      <w:r>
        <w:t xml:space="preserve">&gt;  </w:t>
      </w:r>
      <w:r w:rsidRPr="008170A7">
        <w:t>IMPROVE monitors are</w:t>
      </w:r>
      <w:r>
        <w:t xml:space="preserve"> necessary for certain analysis </w:t>
      </w:r>
      <w:r w:rsidRPr="008170A7">
        <w:t>and assessments</w:t>
      </w:r>
      <w:r>
        <w:t xml:space="preserve"> of visibility</w:t>
      </w:r>
      <w:r w:rsidRPr="008170A7">
        <w:t>.</w:t>
      </w:r>
      <w:r>
        <w:t xml:space="preserve"> There are no </w:t>
      </w:r>
      <w:r w:rsidRPr="00116209">
        <w:t xml:space="preserve">Class I areas within </w:t>
      </w:r>
      <w:r w:rsidRPr="00D327AD">
        <w:rPr>
          <w:highlight w:val="yellow"/>
        </w:rPr>
        <w:t>&lt;the State’s&gt;</w:t>
      </w:r>
      <w:r>
        <w:t xml:space="preserve"> </w:t>
      </w:r>
      <w:r w:rsidRPr="00116209">
        <w:t xml:space="preserve">borders, and </w:t>
      </w:r>
      <w:r w:rsidRPr="00D327AD">
        <w:rPr>
          <w:highlight w:val="yellow"/>
        </w:rPr>
        <w:t>&lt;the State&gt;</w:t>
      </w:r>
      <w:r>
        <w:t xml:space="preserve"> </w:t>
      </w:r>
      <w:r w:rsidRPr="00116209">
        <w:t xml:space="preserve">does </w:t>
      </w:r>
      <w:r w:rsidRPr="00D327AD">
        <w:rPr>
          <w:highlight w:val="yellow"/>
        </w:rPr>
        <w:t>not</w:t>
      </w:r>
      <w:r>
        <w:t xml:space="preserve"> operate an </w:t>
      </w:r>
      <w:r w:rsidRPr="00116209">
        <w:t xml:space="preserve">“Interagency Monitoring of Protected Visual Environments” (IMPROVE) </w:t>
      </w:r>
      <w:r>
        <w:t>monitor</w:t>
      </w:r>
      <w:r w:rsidRPr="00116209">
        <w:t xml:space="preserve">.    Accordingly, EPA stated in their </w:t>
      </w:r>
      <w:r>
        <w:t>&lt;date&gt;</w:t>
      </w:r>
      <w:r w:rsidRPr="00116209">
        <w:t xml:space="preserve"> approval of </w:t>
      </w:r>
      <w:r>
        <w:rPr>
          <w:i/>
        </w:rPr>
        <w:t>&lt;</w:t>
      </w:r>
      <w:r w:rsidRPr="00D327AD">
        <w:rPr>
          <w:i/>
          <w:highlight w:val="yellow"/>
        </w:rPr>
        <w:t>the State’s</w:t>
      </w:r>
      <w:r>
        <w:rPr>
          <w:i/>
        </w:rPr>
        <w:t>&gt;</w:t>
      </w:r>
      <w:r w:rsidRPr="00116209">
        <w:rPr>
          <w:i/>
        </w:rPr>
        <w:t xml:space="preserve"> </w:t>
      </w:r>
      <w:r w:rsidRPr="00D327AD">
        <w:rPr>
          <w:i/>
          <w:highlight w:val="yellow"/>
        </w:rPr>
        <w:t xml:space="preserve">Visibility State Implementation Plan </w:t>
      </w:r>
      <w:r w:rsidRPr="00D327AD">
        <w:rPr>
          <w:highlight w:val="yellow"/>
        </w:rPr>
        <w:t>&lt;cite FR</w:t>
      </w:r>
      <w:r>
        <w:t>&gt;</w:t>
      </w:r>
      <w:r w:rsidRPr="00116209">
        <w:t xml:space="preserve"> that </w:t>
      </w:r>
      <w:r>
        <w:t>&lt;the State&gt;</w:t>
      </w:r>
      <w:r w:rsidRPr="00116209">
        <w:t xml:space="preserve"> was not required to address the elements </w:t>
      </w:r>
      <w:r>
        <w:t xml:space="preserve">below </w:t>
      </w:r>
      <w:r w:rsidRPr="00116209">
        <w:t xml:space="preserve">as part of its </w:t>
      </w:r>
      <w:r>
        <w:rPr>
          <w:i/>
        </w:rPr>
        <w:t>&lt;</w:t>
      </w:r>
      <w:r w:rsidRPr="00D327AD">
        <w:rPr>
          <w:i/>
          <w:highlight w:val="yellow"/>
        </w:rPr>
        <w:t>the State&gt; Visibility State Implementation Plan</w:t>
      </w:r>
      <w:r>
        <w:rPr>
          <w:i/>
        </w:rPr>
        <w:t xml:space="preserve">. </w:t>
      </w:r>
      <w:r>
        <w:t xml:space="preserve"> Thus it is appropriate that &lt;</w:t>
      </w:r>
      <w:r w:rsidRPr="00D327AD">
        <w:rPr>
          <w:highlight w:val="yellow"/>
        </w:rPr>
        <w:t>the State</w:t>
      </w:r>
      <w:r>
        <w:t xml:space="preserve">&gt; also </w:t>
      </w:r>
      <w:r w:rsidRPr="00116209">
        <w:t xml:space="preserve">not </w:t>
      </w:r>
      <w:r>
        <w:t xml:space="preserve">address them </w:t>
      </w:r>
      <w:r w:rsidRPr="00116209">
        <w:t xml:space="preserve">within </w:t>
      </w:r>
      <w:r>
        <w:t xml:space="preserve">its </w:t>
      </w:r>
      <w:r w:rsidRPr="00116209">
        <w:rPr>
          <w:i/>
        </w:rPr>
        <w:t>5-Year Progress Report</w:t>
      </w:r>
      <w:r w:rsidRPr="00116209">
        <w:t xml:space="preserve">: </w:t>
      </w:r>
    </w:p>
    <w:p w:rsidR="00CC55EF" w:rsidRPr="00116209" w:rsidRDefault="00CC55EF" w:rsidP="00E46153">
      <w:pPr>
        <w:pStyle w:val="FootnoteText"/>
        <w:numPr>
          <w:ilvl w:val="0"/>
          <w:numId w:val="15"/>
        </w:numPr>
      </w:pPr>
      <w:r w:rsidRPr="00116209">
        <w:t xml:space="preserve">Calculation of baseline and natural visibility conditions, </w:t>
      </w:r>
    </w:p>
    <w:p w:rsidR="00CC55EF" w:rsidRPr="00116209" w:rsidRDefault="00CC55EF" w:rsidP="00E46153">
      <w:pPr>
        <w:pStyle w:val="FootnoteText"/>
        <w:numPr>
          <w:ilvl w:val="0"/>
          <w:numId w:val="15"/>
        </w:numPr>
      </w:pPr>
      <w:r w:rsidRPr="00116209">
        <w:t xml:space="preserve">Establishment of reasonable progress goals, </w:t>
      </w:r>
    </w:p>
    <w:p w:rsidR="00CC55EF" w:rsidRPr="00116209" w:rsidRDefault="00CC55EF" w:rsidP="00E46153">
      <w:pPr>
        <w:pStyle w:val="FootnoteText"/>
        <w:numPr>
          <w:ilvl w:val="0"/>
          <w:numId w:val="15"/>
        </w:numPr>
      </w:pPr>
      <w:r w:rsidRPr="00116209">
        <w:t xml:space="preserve">Monitoring requirements, and </w:t>
      </w:r>
    </w:p>
    <w:p w:rsidR="00CC55EF" w:rsidRDefault="00CC55EF" w:rsidP="00E46153">
      <w:pPr>
        <w:pStyle w:val="FootnoteText"/>
        <w:numPr>
          <w:ilvl w:val="0"/>
          <w:numId w:val="15"/>
        </w:numPr>
      </w:pPr>
      <w:r>
        <w:t>Reasonably Attributable Visibility Impairment (</w:t>
      </w:r>
      <w:r w:rsidRPr="00116209">
        <w:t>RAVI</w:t>
      </w:r>
      <w:r>
        <w:t>)</w:t>
      </w:r>
      <w:r w:rsidRPr="00116209">
        <w:t xml:space="preserve"> requirements.   </w:t>
      </w:r>
    </w:p>
  </w:footnote>
  <w:footnote w:id="2">
    <w:p w:rsidR="00CC55EF" w:rsidRDefault="00CC55EF" w:rsidP="005B578E">
      <w:pPr>
        <w:pStyle w:val="FootnoteText"/>
      </w:pPr>
      <w:r>
        <w:rPr>
          <w:rStyle w:val="FootnoteReference"/>
        </w:rPr>
        <w:footnoteRef/>
      </w:r>
      <w:r>
        <w:t xml:space="preserve"> </w:t>
      </w:r>
      <w:r w:rsidRPr="004250EE">
        <w:t xml:space="preserve">The 28 percent (%) emission reduction from non-EGU sources </w:t>
      </w:r>
      <w:r>
        <w:t xml:space="preserve">outside MANE-VU </w:t>
      </w:r>
      <w:r w:rsidRPr="004250EE">
        <w:t>was intended to represent a similar emission reduction as the MANE-VU Low Sulfur Fuel Oil strategy in the areas inside MANE-VU. This strategy intentionally did not define a specific control measure. It was the intention of the MANE-VU states to enable contributing states to define how they would achieve this additional reduction in a way that is most reasonable for the sources in their state.  Based on MANE-VU’s initial analysis of available projection inventories for 2018, these targets were estimated as 151,000 and 308,000 tons p</w:t>
      </w:r>
      <w:r>
        <w:t>er year reduction in non-EGU SO</w:t>
      </w:r>
      <w:r w:rsidRPr="003E67E1">
        <w:rPr>
          <w:vertAlign w:val="subscript"/>
        </w:rPr>
        <w:t>2</w:t>
      </w:r>
      <w:r w:rsidRPr="004250EE">
        <w:t xml:space="preserve"> emissions from the Midwest RPO and VISTAS RPO respectively. MANE-VU reached a consensus with the Midwest RPO during the consultation process that 131,6000 tons per year was a more accurate estimate of the magnitude of a 28 percent reduction relative to </w:t>
      </w:r>
      <w:r>
        <w:t>their projected 2018 non-EGU SO</w:t>
      </w:r>
      <w:r w:rsidRPr="003E67E1">
        <w:rPr>
          <w:vertAlign w:val="subscript"/>
        </w:rPr>
        <w:t>2</w:t>
      </w:r>
      <w:r w:rsidRPr="004250EE">
        <w:t xml:space="preserve"> emissions of 470,000 tons per year.</w:t>
      </w:r>
      <w:r>
        <w:t xml:space="preserve">  </w:t>
      </w:r>
    </w:p>
    <w:p w:rsidR="00CC55EF" w:rsidRDefault="00CC55EF">
      <w:pPr>
        <w:pStyle w:val="FootnoteText"/>
      </w:pPr>
    </w:p>
  </w:footnote>
  <w:footnote w:id="3">
    <w:p w:rsidR="00CC55EF" w:rsidRPr="005557CC" w:rsidRDefault="00CC55EF" w:rsidP="005441DD">
      <w:pPr>
        <w:pStyle w:val="Heading1"/>
        <w:spacing w:before="0" w:beforeAutospacing="0" w:after="0" w:afterAutospacing="0"/>
        <w:rPr>
          <w:rFonts w:ascii="Times New Roman" w:hAnsi="Times New Roman"/>
          <w:sz w:val="22"/>
          <w:szCs w:val="22"/>
        </w:rPr>
      </w:pPr>
      <w:r w:rsidRPr="005557CC">
        <w:rPr>
          <w:rStyle w:val="FootnoteReference"/>
          <w:rFonts w:ascii="Times New Roman" w:hAnsi="Times New Roman"/>
          <w:b w:val="0"/>
          <w:sz w:val="22"/>
          <w:szCs w:val="22"/>
        </w:rPr>
        <w:footnoteRef/>
      </w:r>
      <w:r w:rsidRPr="005557CC">
        <w:rPr>
          <w:rFonts w:ascii="Times New Roman" w:hAnsi="Times New Roman"/>
          <w:b w:val="0"/>
          <w:sz w:val="22"/>
          <w:szCs w:val="22"/>
        </w:rPr>
        <w:t xml:space="preserve"> Jenny L. Hand, et al., </w:t>
      </w:r>
      <w:r w:rsidRPr="005557CC">
        <w:rPr>
          <w:rFonts w:ascii="Times New Roman" w:hAnsi="Times New Roman"/>
          <w:b w:val="0"/>
          <w:i/>
          <w:sz w:val="22"/>
          <w:szCs w:val="22"/>
        </w:rPr>
        <w:t>Spatial and Seasonal Patterns and Temporal Variability of Haze and its Constituents in the United States:  Report V</w:t>
      </w:r>
      <w:r w:rsidRPr="005557CC">
        <w:rPr>
          <w:rFonts w:ascii="Times New Roman" w:hAnsi="Times New Roman"/>
          <w:b w:val="0"/>
          <w:sz w:val="22"/>
          <w:szCs w:val="22"/>
        </w:rPr>
        <w:t xml:space="preserve">, June 2011, posted on the improve website at </w:t>
      </w:r>
      <w:hyperlink r:id="rId1" w:history="1">
        <w:r w:rsidRPr="005557CC">
          <w:rPr>
            <w:rStyle w:val="Hyperlink"/>
            <w:rFonts w:ascii="Times New Roman" w:hAnsi="Times New Roman"/>
            <w:b w:val="0"/>
            <w:sz w:val="22"/>
            <w:szCs w:val="22"/>
          </w:rPr>
          <w:t>http://vista.cira.colostate.edu/improve/publications/Reports/2011/2011.htm</w:t>
        </w:r>
      </w:hyperlink>
    </w:p>
  </w:footnote>
  <w:footnote w:id="4">
    <w:p w:rsidR="00CC55EF" w:rsidRDefault="00CC55EF" w:rsidP="00840436">
      <w:pPr>
        <w:pStyle w:val="FootnoteText"/>
      </w:pPr>
      <w:r>
        <w:rPr>
          <w:rStyle w:val="FootnoteReference"/>
        </w:rPr>
        <w:footnoteRef/>
      </w:r>
      <w:r>
        <w:t xml:space="preserve"> </w:t>
      </w:r>
      <w:r w:rsidRPr="00EE3302">
        <w:rPr>
          <w:i/>
        </w:rPr>
        <w:t>Contributions to Regional Haze in the Northeast and Mid-Atlantic United States</w:t>
      </w:r>
      <w:r>
        <w:t>.  NESCAUM, 2006</w:t>
      </w:r>
    </w:p>
  </w:footnote>
  <w:footnote w:id="5">
    <w:p w:rsidR="00CC55EF" w:rsidRPr="005265AF" w:rsidRDefault="00CC55EF" w:rsidP="003D00D9">
      <w:r>
        <w:rPr>
          <w:rStyle w:val="FootnoteReference"/>
        </w:rPr>
        <w:footnoteRef/>
      </w:r>
      <w:r>
        <w:t xml:space="preserve"> </w:t>
      </w:r>
      <w:r w:rsidRPr="005265AF">
        <w:rPr>
          <w:b/>
          <w:szCs w:val="24"/>
        </w:rPr>
        <w:t>MARAMA 2012a.</w:t>
      </w:r>
      <w:r w:rsidRPr="005265AF">
        <w:rPr>
          <w:szCs w:val="24"/>
        </w:rPr>
        <w:t xml:space="preserve">  Prepared by AMEC Environment and Infrastructure and SRA International for the Mid-Atlantic Regional Air Management Association. </w:t>
      </w:r>
      <w:r w:rsidRPr="005265AF">
        <w:rPr>
          <w:i/>
          <w:szCs w:val="24"/>
        </w:rPr>
        <w:t xml:space="preserve"> Technical Support Document for the Development of the 2007 Emission Inventory for Regional Air Quality Modeling in the Northeast / Mid-Atlantic Region Version 3_3</w:t>
      </w:r>
      <w:r w:rsidRPr="005265AF">
        <w:rPr>
          <w:szCs w:val="24"/>
        </w:rPr>
        <w:t xml:space="preserve">.  January 23, 2012. </w:t>
      </w:r>
    </w:p>
  </w:footnote>
  <w:footnote w:id="6">
    <w:p w:rsidR="00CC55EF" w:rsidRPr="005265AF" w:rsidRDefault="00CC55EF" w:rsidP="003D00D9">
      <w:pPr>
        <w:rPr>
          <w:szCs w:val="24"/>
        </w:rPr>
      </w:pPr>
      <w:r w:rsidRPr="005265AF">
        <w:rPr>
          <w:rStyle w:val="FootnoteReference"/>
        </w:rPr>
        <w:footnoteRef/>
      </w:r>
      <w:r w:rsidRPr="005265AF">
        <w:t xml:space="preserve"> </w:t>
      </w:r>
      <w:r w:rsidRPr="005265AF">
        <w:rPr>
          <w:b/>
          <w:szCs w:val="24"/>
        </w:rPr>
        <w:t>MARAMA 2012b.</w:t>
      </w:r>
      <w:r w:rsidRPr="005265AF">
        <w:rPr>
          <w:szCs w:val="24"/>
        </w:rPr>
        <w:t xml:space="preserve">  Prepared by AMEC Environment and Infrastructure and SRA International for the Mid-Atlantic Regional Air Management Association. </w:t>
      </w:r>
      <w:r w:rsidRPr="005265AF">
        <w:rPr>
          <w:i/>
          <w:szCs w:val="24"/>
        </w:rPr>
        <w:t xml:space="preserve"> Technical Support Document for the Development of the 2013/2017/2020 Emission Inventories for Regional Air Quality Modeling in the Northeast / Mid-Atlantic Region Version 3_3</w:t>
      </w:r>
      <w:r w:rsidRPr="005265AF">
        <w:rPr>
          <w:szCs w:val="24"/>
        </w:rPr>
        <w:t>.  January 23, 2012</w:t>
      </w:r>
    </w:p>
    <w:p w:rsidR="00CC55EF" w:rsidRDefault="00CC55EF" w:rsidP="003D00D9">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55EF" w:rsidRPr="00254B86" w:rsidRDefault="00CC55EF" w:rsidP="00254B86">
    <w:pPr>
      <w:pStyle w:val="Header"/>
      <w:jc w:val="right"/>
      <w:rPr>
        <w:u w:val="single"/>
      </w:rPr>
    </w:pPr>
    <w:r>
      <w:rPr>
        <w:u w:val="single"/>
      </w:rPr>
      <w:t>11/26/2013</w:t>
    </w:r>
    <w:r w:rsidRPr="00254B86">
      <w:rPr>
        <w:u w:val="single"/>
      </w:rPr>
      <w:tab/>
    </w:r>
    <w:r w:rsidRPr="00254B86">
      <w:rPr>
        <w:u w:val="single"/>
      </w:rPr>
      <w:tab/>
      <w:t xml:space="preserve">Page </w:t>
    </w:r>
    <w:r w:rsidRPr="00254B86">
      <w:rPr>
        <w:b/>
        <w:u w:val="single"/>
      </w:rPr>
      <w:fldChar w:fldCharType="begin"/>
    </w:r>
    <w:r w:rsidRPr="00254B86">
      <w:rPr>
        <w:b/>
        <w:u w:val="single"/>
      </w:rPr>
      <w:instrText xml:space="preserve"> PAGE </w:instrText>
    </w:r>
    <w:r w:rsidRPr="00254B86">
      <w:rPr>
        <w:b/>
        <w:u w:val="single"/>
      </w:rPr>
      <w:fldChar w:fldCharType="separate"/>
    </w:r>
    <w:r w:rsidR="00BD09EF">
      <w:rPr>
        <w:b/>
        <w:noProof/>
        <w:u w:val="single"/>
      </w:rPr>
      <w:t>87</w:t>
    </w:r>
    <w:r w:rsidRPr="00254B86">
      <w:rPr>
        <w:b/>
        <w:u w:val="single"/>
      </w:rPr>
      <w:fldChar w:fldCharType="end"/>
    </w:r>
    <w:r w:rsidRPr="00254B86">
      <w:rPr>
        <w:u w:val="single"/>
      </w:rPr>
      <w:t xml:space="preserve"> of </w:t>
    </w:r>
    <w:r w:rsidRPr="00254B86">
      <w:rPr>
        <w:b/>
        <w:u w:val="single"/>
      </w:rPr>
      <w:fldChar w:fldCharType="begin"/>
    </w:r>
    <w:r w:rsidRPr="00254B86">
      <w:rPr>
        <w:b/>
        <w:u w:val="single"/>
      </w:rPr>
      <w:instrText xml:space="preserve"> NUMPAGES  </w:instrText>
    </w:r>
    <w:r w:rsidRPr="00254B86">
      <w:rPr>
        <w:b/>
        <w:u w:val="single"/>
      </w:rPr>
      <w:fldChar w:fldCharType="separate"/>
    </w:r>
    <w:r w:rsidR="00BD09EF">
      <w:rPr>
        <w:b/>
        <w:noProof/>
        <w:u w:val="single"/>
      </w:rPr>
      <w:t>87</w:t>
    </w:r>
    <w:r w:rsidRPr="00254B86">
      <w:rPr>
        <w:b/>
        <w:u w:val="single"/>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413AC"/>
    <w:multiLevelType w:val="singleLevel"/>
    <w:tmpl w:val="1FFDA11F"/>
    <w:lvl w:ilvl="0">
      <w:start w:val="1"/>
      <w:numFmt w:val="decimal"/>
      <w:lvlText w:val="%1)"/>
      <w:lvlJc w:val="left"/>
      <w:pPr>
        <w:tabs>
          <w:tab w:val="num" w:pos="360"/>
        </w:tabs>
        <w:ind w:left="1224"/>
      </w:pPr>
      <w:rPr>
        <w:rFonts w:cs="Times New Roman"/>
        <w:snapToGrid/>
        <w:spacing w:val="14"/>
        <w:sz w:val="24"/>
        <w:szCs w:val="24"/>
      </w:rPr>
    </w:lvl>
  </w:abstractNum>
  <w:abstractNum w:abstractNumId="1">
    <w:nsid w:val="00D468AE"/>
    <w:multiLevelType w:val="hybridMultilevel"/>
    <w:tmpl w:val="66A8C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8F6344"/>
    <w:multiLevelType w:val="hybridMultilevel"/>
    <w:tmpl w:val="EFBCB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933298"/>
    <w:multiLevelType w:val="hybridMultilevel"/>
    <w:tmpl w:val="4E349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2B2E19"/>
    <w:multiLevelType w:val="hybridMultilevel"/>
    <w:tmpl w:val="7536FF10"/>
    <w:lvl w:ilvl="0" w:tplc="0409000F">
      <w:start w:val="1"/>
      <w:numFmt w:val="decimal"/>
      <w:lvlText w:val="%1."/>
      <w:lvlJc w:val="left"/>
      <w:pPr>
        <w:ind w:left="720" w:hanging="360"/>
      </w:pPr>
      <w:rPr>
        <w:rFont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2FD1C6B"/>
    <w:multiLevelType w:val="multilevel"/>
    <w:tmpl w:val="1BFE6434"/>
    <w:lvl w:ilvl="0">
      <w:start w:val="1"/>
      <w:numFmt w:val="decimal"/>
      <w:lvlText w:val="%1."/>
      <w:lvlJc w:val="left"/>
      <w:pPr>
        <w:ind w:left="720" w:hanging="360"/>
      </w:pPr>
      <w:rPr>
        <w:rFonts w:cs="Times New Roman" w:hint="default"/>
      </w:rPr>
    </w:lvl>
    <w:lvl w:ilvl="1">
      <w:start w:val="12"/>
      <w:numFmt w:val="decimal"/>
      <w:isLgl/>
      <w:lvlText w:val="%1.%2"/>
      <w:lvlJc w:val="left"/>
      <w:pPr>
        <w:ind w:left="1185" w:hanging="465"/>
      </w:pPr>
      <w:rPr>
        <w:rFonts w:cs="Times New Roman" w:hint="default"/>
        <w:b/>
      </w:rPr>
    </w:lvl>
    <w:lvl w:ilvl="2">
      <w:start w:val="1"/>
      <w:numFmt w:val="decimal"/>
      <w:isLgl/>
      <w:lvlText w:val="%1.%2.%3"/>
      <w:lvlJc w:val="left"/>
      <w:pPr>
        <w:ind w:left="1800" w:hanging="720"/>
      </w:pPr>
      <w:rPr>
        <w:rFonts w:cs="Times New Roman" w:hint="default"/>
        <w:b/>
      </w:rPr>
    </w:lvl>
    <w:lvl w:ilvl="3">
      <w:start w:val="1"/>
      <w:numFmt w:val="decimal"/>
      <w:isLgl/>
      <w:lvlText w:val="%1.%2.%3.%4"/>
      <w:lvlJc w:val="left"/>
      <w:pPr>
        <w:ind w:left="2160" w:hanging="720"/>
      </w:pPr>
      <w:rPr>
        <w:rFonts w:cs="Times New Roman" w:hint="default"/>
        <w:b/>
      </w:rPr>
    </w:lvl>
    <w:lvl w:ilvl="4">
      <w:start w:val="1"/>
      <w:numFmt w:val="decimal"/>
      <w:isLgl/>
      <w:lvlText w:val="%1.%2.%3.%4.%5"/>
      <w:lvlJc w:val="left"/>
      <w:pPr>
        <w:ind w:left="2880" w:hanging="1080"/>
      </w:pPr>
      <w:rPr>
        <w:rFonts w:cs="Times New Roman" w:hint="default"/>
        <w:b/>
      </w:rPr>
    </w:lvl>
    <w:lvl w:ilvl="5">
      <w:start w:val="1"/>
      <w:numFmt w:val="decimal"/>
      <w:isLgl/>
      <w:lvlText w:val="%1.%2.%3.%4.%5.%6"/>
      <w:lvlJc w:val="left"/>
      <w:pPr>
        <w:ind w:left="3240" w:hanging="1080"/>
      </w:pPr>
      <w:rPr>
        <w:rFonts w:cs="Times New Roman" w:hint="default"/>
        <w:b/>
      </w:rPr>
    </w:lvl>
    <w:lvl w:ilvl="6">
      <w:start w:val="1"/>
      <w:numFmt w:val="decimal"/>
      <w:isLgl/>
      <w:lvlText w:val="%1.%2.%3.%4.%5.%6.%7"/>
      <w:lvlJc w:val="left"/>
      <w:pPr>
        <w:ind w:left="3960" w:hanging="1440"/>
      </w:pPr>
      <w:rPr>
        <w:rFonts w:cs="Times New Roman" w:hint="default"/>
        <w:b/>
      </w:rPr>
    </w:lvl>
    <w:lvl w:ilvl="7">
      <w:start w:val="1"/>
      <w:numFmt w:val="decimal"/>
      <w:isLgl/>
      <w:lvlText w:val="%1.%2.%3.%4.%5.%6.%7.%8"/>
      <w:lvlJc w:val="left"/>
      <w:pPr>
        <w:ind w:left="4320" w:hanging="1440"/>
      </w:pPr>
      <w:rPr>
        <w:rFonts w:cs="Times New Roman" w:hint="default"/>
        <w:b/>
      </w:rPr>
    </w:lvl>
    <w:lvl w:ilvl="8">
      <w:start w:val="1"/>
      <w:numFmt w:val="decimal"/>
      <w:isLgl/>
      <w:lvlText w:val="%1.%2.%3.%4.%5.%6.%7.%8.%9"/>
      <w:lvlJc w:val="left"/>
      <w:pPr>
        <w:ind w:left="5040" w:hanging="1800"/>
      </w:pPr>
      <w:rPr>
        <w:rFonts w:cs="Times New Roman" w:hint="default"/>
        <w:b/>
      </w:rPr>
    </w:lvl>
  </w:abstractNum>
  <w:abstractNum w:abstractNumId="6">
    <w:nsid w:val="175715C6"/>
    <w:multiLevelType w:val="hybridMultilevel"/>
    <w:tmpl w:val="1C462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6F301D9"/>
    <w:multiLevelType w:val="hybridMultilevel"/>
    <w:tmpl w:val="2C3A39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8">
    <w:nsid w:val="276B7AAA"/>
    <w:multiLevelType w:val="hybridMultilevel"/>
    <w:tmpl w:val="6B5AC3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8922051"/>
    <w:multiLevelType w:val="hybridMultilevel"/>
    <w:tmpl w:val="DC149DAE"/>
    <w:lvl w:ilvl="0" w:tplc="0409000F">
      <w:start w:val="1"/>
      <w:numFmt w:val="decimal"/>
      <w:lvlText w:val="%1."/>
      <w:lvlJc w:val="left"/>
      <w:pPr>
        <w:tabs>
          <w:tab w:val="num" w:pos="720"/>
        </w:tabs>
        <w:ind w:left="720" w:hanging="360"/>
      </w:pPr>
      <w:rPr>
        <w:rFonts w:cs="Times New Roman"/>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0">
    <w:nsid w:val="29490767"/>
    <w:multiLevelType w:val="hybridMultilevel"/>
    <w:tmpl w:val="702E0CFC"/>
    <w:lvl w:ilvl="0" w:tplc="C7DE45E6">
      <w:start w:val="1"/>
      <w:numFmt w:val="decimal"/>
      <w:lvlText w:val="(%1)"/>
      <w:lvlJc w:val="left"/>
      <w:pPr>
        <w:ind w:left="720" w:hanging="360"/>
      </w:pPr>
      <w:rPr>
        <w:rFont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C2B2A26"/>
    <w:multiLevelType w:val="hybridMultilevel"/>
    <w:tmpl w:val="B1EC4644"/>
    <w:lvl w:ilvl="0" w:tplc="0409000F">
      <w:start w:val="1"/>
      <w:numFmt w:val="decimal"/>
      <w:lvlText w:val="%1."/>
      <w:lvlJc w:val="left"/>
      <w:pPr>
        <w:ind w:left="720" w:hanging="360"/>
      </w:pPr>
      <w:rPr>
        <w:rFont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00030B0"/>
    <w:multiLevelType w:val="hybridMultilevel"/>
    <w:tmpl w:val="10A87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1CF0BA8"/>
    <w:multiLevelType w:val="hybridMultilevel"/>
    <w:tmpl w:val="6F72E848"/>
    <w:lvl w:ilvl="0" w:tplc="CF382BBA">
      <w:start w:val="1"/>
      <w:numFmt w:val="decimal"/>
      <w:pStyle w:val="Numbering"/>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nsid w:val="34AF53F8"/>
    <w:multiLevelType w:val="hybridMultilevel"/>
    <w:tmpl w:val="20CED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55661AF"/>
    <w:multiLevelType w:val="hybridMultilevel"/>
    <w:tmpl w:val="1ED41BCA"/>
    <w:lvl w:ilvl="0" w:tplc="9450687C">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37A61AE4"/>
    <w:multiLevelType w:val="multilevel"/>
    <w:tmpl w:val="2B4A3F88"/>
    <w:lvl w:ilvl="0">
      <w:start w:val="1"/>
      <w:numFmt w:val="decimal"/>
      <w:isLgl/>
      <w:suff w:val="space"/>
      <w:lvlText w:val="%1.0 "/>
      <w:lvlJc w:val="left"/>
      <w:pPr>
        <w:ind w:left="1080" w:hanging="1080"/>
      </w:pPr>
      <w:rPr>
        <w:rFonts w:ascii="Times New Roman" w:hAnsi="Times New Roman" w:hint="default"/>
        <w:b/>
        <w:i w:val="0"/>
        <w:sz w:val="28"/>
      </w:rPr>
    </w:lvl>
    <w:lvl w:ilvl="1">
      <w:start w:val="1"/>
      <w:numFmt w:val="decimal"/>
      <w:lvlText w:val="%1.%2"/>
      <w:lvlJc w:val="left"/>
      <w:pPr>
        <w:tabs>
          <w:tab w:val="num" w:pos="1080"/>
        </w:tabs>
        <w:ind w:left="1080" w:hanging="1080"/>
      </w:pPr>
      <w:rPr>
        <w:rFonts w:ascii="Times New Roman" w:hAnsi="Times New Roman" w:hint="default"/>
        <w:b/>
        <w:i w:val="0"/>
        <w:sz w:val="24"/>
      </w:rPr>
    </w:lvl>
    <w:lvl w:ilvl="2">
      <w:start w:val="1"/>
      <w:numFmt w:val="decimal"/>
      <w:lvlText w:val="%1.%2.%3"/>
      <w:lvlJc w:val="left"/>
      <w:pPr>
        <w:tabs>
          <w:tab w:val="num" w:pos="1440"/>
        </w:tabs>
        <w:ind w:left="1440" w:hanging="1080"/>
      </w:pPr>
      <w:rPr>
        <w:rFonts w:ascii="Times New Roman" w:hAnsi="Times New Roman" w:cs="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080"/>
        </w:tabs>
        <w:ind w:left="1080" w:hanging="1080"/>
      </w:pPr>
      <w:rPr>
        <w:rFonts w:ascii="Times New Roman" w:hAnsi="Times New Roman" w:hint="default"/>
        <w:b/>
        <w:i w:val="0"/>
        <w:sz w:val="22"/>
      </w:rPr>
    </w:lvl>
    <w:lvl w:ilvl="4">
      <w:start w:val="1"/>
      <w:numFmt w:val="decimal"/>
      <w:lvlText w:val="%1.%2.%3.%4.%5"/>
      <w:lvlJc w:val="left"/>
      <w:pPr>
        <w:tabs>
          <w:tab w:val="num" w:pos="1080"/>
        </w:tabs>
        <w:ind w:left="1080" w:hanging="1080"/>
      </w:pPr>
      <w:rPr>
        <w:rFonts w:ascii="Times New Roman" w:hAnsi="Times New Roman" w:hint="default"/>
        <w:b/>
        <w:i w:val="0"/>
        <w:sz w:val="22"/>
        <w:u w:val="none"/>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nsid w:val="3B643E72"/>
    <w:multiLevelType w:val="hybridMultilevel"/>
    <w:tmpl w:val="B256F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D1C0ED0"/>
    <w:multiLevelType w:val="hybridMultilevel"/>
    <w:tmpl w:val="ADD8D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DF9323F"/>
    <w:multiLevelType w:val="hybridMultilevel"/>
    <w:tmpl w:val="9BA82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2C9685A"/>
    <w:multiLevelType w:val="hybridMultilevel"/>
    <w:tmpl w:val="03E47FAC"/>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
    <w:nsid w:val="44FB18E5"/>
    <w:multiLevelType w:val="hybridMultilevel"/>
    <w:tmpl w:val="87C2A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9FA3D11"/>
    <w:multiLevelType w:val="hybridMultilevel"/>
    <w:tmpl w:val="F50C7A92"/>
    <w:lvl w:ilvl="0" w:tplc="04090001">
      <w:start w:val="1"/>
      <w:numFmt w:val="bullet"/>
      <w:lvlText w:val=""/>
      <w:lvlJc w:val="left"/>
      <w:pPr>
        <w:ind w:left="1276" w:hanging="360"/>
      </w:pPr>
      <w:rPr>
        <w:rFonts w:ascii="Symbol" w:hAnsi="Symbol" w:hint="default"/>
      </w:rPr>
    </w:lvl>
    <w:lvl w:ilvl="1" w:tplc="04090003" w:tentative="1">
      <w:start w:val="1"/>
      <w:numFmt w:val="bullet"/>
      <w:lvlText w:val="o"/>
      <w:lvlJc w:val="left"/>
      <w:pPr>
        <w:ind w:left="1996" w:hanging="360"/>
      </w:pPr>
      <w:rPr>
        <w:rFonts w:ascii="Courier New" w:hAnsi="Courier New" w:hint="default"/>
      </w:rPr>
    </w:lvl>
    <w:lvl w:ilvl="2" w:tplc="04090005" w:tentative="1">
      <w:start w:val="1"/>
      <w:numFmt w:val="bullet"/>
      <w:lvlText w:val=""/>
      <w:lvlJc w:val="left"/>
      <w:pPr>
        <w:ind w:left="2716" w:hanging="360"/>
      </w:pPr>
      <w:rPr>
        <w:rFonts w:ascii="Wingdings" w:hAnsi="Wingdings" w:hint="default"/>
      </w:rPr>
    </w:lvl>
    <w:lvl w:ilvl="3" w:tplc="04090001" w:tentative="1">
      <w:start w:val="1"/>
      <w:numFmt w:val="bullet"/>
      <w:lvlText w:val=""/>
      <w:lvlJc w:val="left"/>
      <w:pPr>
        <w:ind w:left="3436" w:hanging="360"/>
      </w:pPr>
      <w:rPr>
        <w:rFonts w:ascii="Symbol" w:hAnsi="Symbol" w:hint="default"/>
      </w:rPr>
    </w:lvl>
    <w:lvl w:ilvl="4" w:tplc="04090003" w:tentative="1">
      <w:start w:val="1"/>
      <w:numFmt w:val="bullet"/>
      <w:lvlText w:val="o"/>
      <w:lvlJc w:val="left"/>
      <w:pPr>
        <w:ind w:left="4156" w:hanging="360"/>
      </w:pPr>
      <w:rPr>
        <w:rFonts w:ascii="Courier New" w:hAnsi="Courier New" w:hint="default"/>
      </w:rPr>
    </w:lvl>
    <w:lvl w:ilvl="5" w:tplc="04090005" w:tentative="1">
      <w:start w:val="1"/>
      <w:numFmt w:val="bullet"/>
      <w:lvlText w:val=""/>
      <w:lvlJc w:val="left"/>
      <w:pPr>
        <w:ind w:left="4876" w:hanging="360"/>
      </w:pPr>
      <w:rPr>
        <w:rFonts w:ascii="Wingdings" w:hAnsi="Wingdings" w:hint="default"/>
      </w:rPr>
    </w:lvl>
    <w:lvl w:ilvl="6" w:tplc="04090001" w:tentative="1">
      <w:start w:val="1"/>
      <w:numFmt w:val="bullet"/>
      <w:lvlText w:val=""/>
      <w:lvlJc w:val="left"/>
      <w:pPr>
        <w:ind w:left="5596" w:hanging="360"/>
      </w:pPr>
      <w:rPr>
        <w:rFonts w:ascii="Symbol" w:hAnsi="Symbol" w:hint="default"/>
      </w:rPr>
    </w:lvl>
    <w:lvl w:ilvl="7" w:tplc="04090003" w:tentative="1">
      <w:start w:val="1"/>
      <w:numFmt w:val="bullet"/>
      <w:lvlText w:val="o"/>
      <w:lvlJc w:val="left"/>
      <w:pPr>
        <w:ind w:left="6316" w:hanging="360"/>
      </w:pPr>
      <w:rPr>
        <w:rFonts w:ascii="Courier New" w:hAnsi="Courier New" w:hint="default"/>
      </w:rPr>
    </w:lvl>
    <w:lvl w:ilvl="8" w:tplc="04090005" w:tentative="1">
      <w:start w:val="1"/>
      <w:numFmt w:val="bullet"/>
      <w:lvlText w:val=""/>
      <w:lvlJc w:val="left"/>
      <w:pPr>
        <w:ind w:left="7036" w:hanging="360"/>
      </w:pPr>
      <w:rPr>
        <w:rFonts w:ascii="Wingdings" w:hAnsi="Wingdings" w:hint="default"/>
      </w:rPr>
    </w:lvl>
  </w:abstractNum>
  <w:abstractNum w:abstractNumId="23">
    <w:nsid w:val="505104E9"/>
    <w:multiLevelType w:val="hybridMultilevel"/>
    <w:tmpl w:val="EBD6014C"/>
    <w:lvl w:ilvl="0" w:tplc="0409000F">
      <w:start w:val="1"/>
      <w:numFmt w:val="decimal"/>
      <w:lvlText w:val="%1."/>
      <w:lvlJc w:val="left"/>
      <w:pPr>
        <w:ind w:left="720" w:hanging="360"/>
      </w:pPr>
      <w:rPr>
        <w:rFont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CEC0D30"/>
    <w:multiLevelType w:val="hybridMultilevel"/>
    <w:tmpl w:val="3A8C6C12"/>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E885D42"/>
    <w:multiLevelType w:val="multilevel"/>
    <w:tmpl w:val="B0507990"/>
    <w:lvl w:ilvl="0">
      <w:start w:val="1"/>
      <w:numFmt w:val="decimal"/>
      <w:lvlText w:val="%1."/>
      <w:lvlJc w:val="left"/>
      <w:pPr>
        <w:tabs>
          <w:tab w:val="num" w:pos="1120"/>
        </w:tabs>
        <w:ind w:left="1120" w:hanging="360"/>
      </w:pPr>
      <w:rPr>
        <w:rFonts w:cs="Times New Roman"/>
      </w:rPr>
    </w:lvl>
    <w:lvl w:ilvl="1">
      <w:start w:val="1"/>
      <w:numFmt w:val="decimal"/>
      <w:isLgl/>
      <w:lvlText w:val="%1.%2"/>
      <w:lvlJc w:val="left"/>
      <w:pPr>
        <w:ind w:left="1120" w:hanging="360"/>
      </w:pPr>
      <w:rPr>
        <w:rFonts w:cs="Times New Roman" w:hint="default"/>
      </w:rPr>
    </w:lvl>
    <w:lvl w:ilvl="2">
      <w:start w:val="1"/>
      <w:numFmt w:val="decimal"/>
      <w:isLgl/>
      <w:lvlText w:val="%1.%2.%3"/>
      <w:lvlJc w:val="left"/>
      <w:pPr>
        <w:ind w:left="1480" w:hanging="720"/>
      </w:pPr>
      <w:rPr>
        <w:rFonts w:cs="Times New Roman" w:hint="default"/>
      </w:rPr>
    </w:lvl>
    <w:lvl w:ilvl="3">
      <w:start w:val="1"/>
      <w:numFmt w:val="decimal"/>
      <w:isLgl/>
      <w:lvlText w:val="%1.%2.%3.%4"/>
      <w:lvlJc w:val="left"/>
      <w:pPr>
        <w:ind w:left="1480" w:hanging="720"/>
      </w:pPr>
      <w:rPr>
        <w:rFonts w:cs="Times New Roman" w:hint="default"/>
      </w:rPr>
    </w:lvl>
    <w:lvl w:ilvl="4">
      <w:start w:val="1"/>
      <w:numFmt w:val="decimal"/>
      <w:isLgl/>
      <w:lvlText w:val="%1.%2.%3.%4.%5"/>
      <w:lvlJc w:val="left"/>
      <w:pPr>
        <w:ind w:left="1840" w:hanging="1080"/>
      </w:pPr>
      <w:rPr>
        <w:rFonts w:cs="Times New Roman" w:hint="default"/>
      </w:rPr>
    </w:lvl>
    <w:lvl w:ilvl="5">
      <w:start w:val="1"/>
      <w:numFmt w:val="decimal"/>
      <w:isLgl/>
      <w:lvlText w:val="%1.%2.%3.%4.%5.%6"/>
      <w:lvlJc w:val="left"/>
      <w:pPr>
        <w:ind w:left="1840" w:hanging="1080"/>
      </w:pPr>
      <w:rPr>
        <w:rFonts w:cs="Times New Roman" w:hint="default"/>
      </w:rPr>
    </w:lvl>
    <w:lvl w:ilvl="6">
      <w:start w:val="1"/>
      <w:numFmt w:val="decimal"/>
      <w:isLgl/>
      <w:lvlText w:val="%1.%2.%3.%4.%5.%6.%7"/>
      <w:lvlJc w:val="left"/>
      <w:pPr>
        <w:ind w:left="2200" w:hanging="1440"/>
      </w:pPr>
      <w:rPr>
        <w:rFonts w:cs="Times New Roman" w:hint="default"/>
      </w:rPr>
    </w:lvl>
    <w:lvl w:ilvl="7">
      <w:start w:val="1"/>
      <w:numFmt w:val="decimal"/>
      <w:isLgl/>
      <w:lvlText w:val="%1.%2.%3.%4.%5.%6.%7.%8"/>
      <w:lvlJc w:val="left"/>
      <w:pPr>
        <w:ind w:left="2200" w:hanging="1440"/>
      </w:pPr>
      <w:rPr>
        <w:rFonts w:cs="Times New Roman" w:hint="default"/>
      </w:rPr>
    </w:lvl>
    <w:lvl w:ilvl="8">
      <w:start w:val="1"/>
      <w:numFmt w:val="decimal"/>
      <w:isLgl/>
      <w:lvlText w:val="%1.%2.%3.%4.%5.%6.%7.%8.%9"/>
      <w:lvlJc w:val="left"/>
      <w:pPr>
        <w:ind w:left="2200" w:hanging="1440"/>
      </w:pPr>
      <w:rPr>
        <w:rFonts w:cs="Times New Roman" w:hint="default"/>
      </w:rPr>
    </w:lvl>
  </w:abstractNum>
  <w:abstractNum w:abstractNumId="26">
    <w:nsid w:val="5F586BA4"/>
    <w:multiLevelType w:val="hybridMultilevel"/>
    <w:tmpl w:val="D1E4B662"/>
    <w:lvl w:ilvl="0" w:tplc="5F98A5C8">
      <w:start w:val="1"/>
      <w:numFmt w:val="bullet"/>
      <w:pStyle w:val="Bulle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2755161"/>
    <w:multiLevelType w:val="hybridMultilevel"/>
    <w:tmpl w:val="9CE47498"/>
    <w:lvl w:ilvl="0" w:tplc="755CDFA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A9C1899"/>
    <w:multiLevelType w:val="hybridMultilevel"/>
    <w:tmpl w:val="810AE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B1A5527"/>
    <w:multiLevelType w:val="hybridMultilevel"/>
    <w:tmpl w:val="06229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B90266A"/>
    <w:multiLevelType w:val="hybridMultilevel"/>
    <w:tmpl w:val="FA0EA9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7D9D565D"/>
    <w:multiLevelType w:val="hybridMultilevel"/>
    <w:tmpl w:val="EBD6014C"/>
    <w:lvl w:ilvl="0" w:tplc="0409000F">
      <w:start w:val="1"/>
      <w:numFmt w:val="decimal"/>
      <w:lvlText w:val="%1."/>
      <w:lvlJc w:val="left"/>
      <w:pPr>
        <w:ind w:left="720" w:hanging="360"/>
      </w:pPr>
      <w:rPr>
        <w:rFont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FCF7958"/>
    <w:multiLevelType w:val="hybridMultilevel"/>
    <w:tmpl w:val="EC00768E"/>
    <w:lvl w:ilvl="0" w:tplc="04090017">
      <w:start w:val="1"/>
      <w:numFmt w:val="lowerLetter"/>
      <w:lvlText w:val="%1)"/>
      <w:lvlJc w:val="left"/>
      <w:pPr>
        <w:ind w:left="1080" w:hanging="360"/>
      </w:pPr>
      <w:rPr>
        <w:rFonts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nsid w:val="7FE1261E"/>
    <w:multiLevelType w:val="hybridMultilevel"/>
    <w:tmpl w:val="9F8667CC"/>
    <w:lvl w:ilvl="0" w:tplc="0409000F">
      <w:start w:val="1"/>
      <w:numFmt w:val="decimal"/>
      <w:lvlText w:val="%1."/>
      <w:lvlJc w:val="left"/>
      <w:pPr>
        <w:ind w:left="720" w:hanging="360"/>
      </w:pPr>
      <w:rPr>
        <w:rFont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22"/>
  </w:num>
  <w:num w:numId="3">
    <w:abstractNumId w:val="18"/>
  </w:num>
  <w:num w:numId="4">
    <w:abstractNumId w:val="31"/>
  </w:num>
  <w:num w:numId="5">
    <w:abstractNumId w:val="5"/>
  </w:num>
  <w:num w:numId="6">
    <w:abstractNumId w:val="20"/>
  </w:num>
  <w:num w:numId="7">
    <w:abstractNumId w:val="0"/>
  </w:num>
  <w:num w:numId="8">
    <w:abstractNumId w:val="3"/>
  </w:num>
  <w:num w:numId="9">
    <w:abstractNumId w:val="21"/>
  </w:num>
  <w:num w:numId="10">
    <w:abstractNumId w:val="25"/>
  </w:num>
  <w:num w:numId="11">
    <w:abstractNumId w:val="6"/>
  </w:num>
  <w:num w:numId="12">
    <w:abstractNumId w:val="4"/>
  </w:num>
  <w:num w:numId="13">
    <w:abstractNumId w:val="24"/>
  </w:num>
  <w:num w:numId="14">
    <w:abstractNumId w:val="10"/>
  </w:num>
  <w:num w:numId="15">
    <w:abstractNumId w:val="32"/>
  </w:num>
  <w:num w:numId="16">
    <w:abstractNumId w:val="13"/>
  </w:num>
  <w:num w:numId="17">
    <w:abstractNumId w:val="15"/>
  </w:num>
  <w:num w:numId="18">
    <w:abstractNumId w:val="9"/>
  </w:num>
  <w:num w:numId="19">
    <w:abstractNumId w:val="7"/>
  </w:num>
  <w:num w:numId="20">
    <w:abstractNumId w:val="11"/>
  </w:num>
  <w:num w:numId="21">
    <w:abstractNumId w:val="33"/>
  </w:num>
  <w:num w:numId="22">
    <w:abstractNumId w:val="29"/>
  </w:num>
  <w:num w:numId="23">
    <w:abstractNumId w:val="19"/>
  </w:num>
  <w:num w:numId="24">
    <w:abstractNumId w:val="28"/>
  </w:num>
  <w:num w:numId="25">
    <w:abstractNumId w:val="23"/>
  </w:num>
  <w:num w:numId="26">
    <w:abstractNumId w:val="16"/>
  </w:num>
  <w:num w:numId="2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6"/>
  </w:num>
  <w:num w:numId="29">
    <w:abstractNumId w:val="30"/>
  </w:num>
  <w:num w:numId="30">
    <w:abstractNumId w:val="1"/>
  </w:num>
  <w:num w:numId="31">
    <w:abstractNumId w:val="12"/>
  </w:num>
  <w:num w:numId="32">
    <w:abstractNumId w:val="14"/>
  </w:num>
  <w:num w:numId="33">
    <w:abstractNumId w:val="17"/>
  </w:num>
  <w:num w:numId="34">
    <w:abstractNumId w:val="13"/>
    <w:lvlOverride w:ilvl="0">
      <w:startOverride w:val="1"/>
    </w:lvlOverride>
  </w:num>
  <w:num w:numId="35">
    <w:abstractNumId w:val="2"/>
  </w:num>
  <w:num w:numId="36">
    <w:abstractNumId w:val="27"/>
  </w:num>
  <w:num w:numId="37">
    <w:abstractNumId w:val="1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605B"/>
    <w:rsid w:val="0000032E"/>
    <w:rsid w:val="00000587"/>
    <w:rsid w:val="000005B8"/>
    <w:rsid w:val="00002AFC"/>
    <w:rsid w:val="0000346B"/>
    <w:rsid w:val="00004FFC"/>
    <w:rsid w:val="00007EBA"/>
    <w:rsid w:val="00012032"/>
    <w:rsid w:val="00014A88"/>
    <w:rsid w:val="0001549E"/>
    <w:rsid w:val="000157EC"/>
    <w:rsid w:val="0001589E"/>
    <w:rsid w:val="00016A50"/>
    <w:rsid w:val="00017904"/>
    <w:rsid w:val="00021121"/>
    <w:rsid w:val="0002576C"/>
    <w:rsid w:val="0002597D"/>
    <w:rsid w:val="00030B46"/>
    <w:rsid w:val="00033E72"/>
    <w:rsid w:val="000408FC"/>
    <w:rsid w:val="0004096B"/>
    <w:rsid w:val="00041526"/>
    <w:rsid w:val="00041DC2"/>
    <w:rsid w:val="00044C27"/>
    <w:rsid w:val="000451D0"/>
    <w:rsid w:val="00046A78"/>
    <w:rsid w:val="00047823"/>
    <w:rsid w:val="0005043B"/>
    <w:rsid w:val="00050678"/>
    <w:rsid w:val="00050C0F"/>
    <w:rsid w:val="00052547"/>
    <w:rsid w:val="000528BA"/>
    <w:rsid w:val="00057442"/>
    <w:rsid w:val="00060EDC"/>
    <w:rsid w:val="00063106"/>
    <w:rsid w:val="0006480D"/>
    <w:rsid w:val="00065F74"/>
    <w:rsid w:val="00066E1B"/>
    <w:rsid w:val="000733E7"/>
    <w:rsid w:val="00073DB7"/>
    <w:rsid w:val="00081D9F"/>
    <w:rsid w:val="0008320D"/>
    <w:rsid w:val="00083425"/>
    <w:rsid w:val="000844C7"/>
    <w:rsid w:val="00084F88"/>
    <w:rsid w:val="00087E8A"/>
    <w:rsid w:val="00091942"/>
    <w:rsid w:val="00093AE0"/>
    <w:rsid w:val="00095317"/>
    <w:rsid w:val="0009536C"/>
    <w:rsid w:val="00095B62"/>
    <w:rsid w:val="000977CD"/>
    <w:rsid w:val="000A0913"/>
    <w:rsid w:val="000A1557"/>
    <w:rsid w:val="000A156A"/>
    <w:rsid w:val="000A1A57"/>
    <w:rsid w:val="000A2FB3"/>
    <w:rsid w:val="000A31EC"/>
    <w:rsid w:val="000A4ACA"/>
    <w:rsid w:val="000A59B9"/>
    <w:rsid w:val="000B20F2"/>
    <w:rsid w:val="000B47F2"/>
    <w:rsid w:val="000B4B84"/>
    <w:rsid w:val="000B71D4"/>
    <w:rsid w:val="000B73FE"/>
    <w:rsid w:val="000C0F05"/>
    <w:rsid w:val="000C1AE7"/>
    <w:rsid w:val="000C7165"/>
    <w:rsid w:val="000D22ED"/>
    <w:rsid w:val="000D2C51"/>
    <w:rsid w:val="000D487F"/>
    <w:rsid w:val="000E0879"/>
    <w:rsid w:val="000E1353"/>
    <w:rsid w:val="000E7328"/>
    <w:rsid w:val="000F2773"/>
    <w:rsid w:val="000F722A"/>
    <w:rsid w:val="001000E1"/>
    <w:rsid w:val="001005F7"/>
    <w:rsid w:val="0010161B"/>
    <w:rsid w:val="00102307"/>
    <w:rsid w:val="00113F87"/>
    <w:rsid w:val="00116209"/>
    <w:rsid w:val="00116B50"/>
    <w:rsid w:val="00121A98"/>
    <w:rsid w:val="00121DF8"/>
    <w:rsid w:val="00123A34"/>
    <w:rsid w:val="00131F07"/>
    <w:rsid w:val="001347B4"/>
    <w:rsid w:val="00141AEF"/>
    <w:rsid w:val="00145564"/>
    <w:rsid w:val="0014642B"/>
    <w:rsid w:val="00150C05"/>
    <w:rsid w:val="00153D28"/>
    <w:rsid w:val="00154605"/>
    <w:rsid w:val="001600D2"/>
    <w:rsid w:val="00163509"/>
    <w:rsid w:val="0016470E"/>
    <w:rsid w:val="001667D8"/>
    <w:rsid w:val="00170F88"/>
    <w:rsid w:val="00171AB9"/>
    <w:rsid w:val="00173DEF"/>
    <w:rsid w:val="00176F01"/>
    <w:rsid w:val="00180E27"/>
    <w:rsid w:val="00183E38"/>
    <w:rsid w:val="0019165D"/>
    <w:rsid w:val="001926D2"/>
    <w:rsid w:val="00192C9D"/>
    <w:rsid w:val="00194C9E"/>
    <w:rsid w:val="001956E0"/>
    <w:rsid w:val="001958CC"/>
    <w:rsid w:val="00195AA9"/>
    <w:rsid w:val="001969DC"/>
    <w:rsid w:val="00197BAD"/>
    <w:rsid w:val="001A241E"/>
    <w:rsid w:val="001A7AC2"/>
    <w:rsid w:val="001B6E07"/>
    <w:rsid w:val="001C20F9"/>
    <w:rsid w:val="001C543C"/>
    <w:rsid w:val="001C5499"/>
    <w:rsid w:val="001D6E7B"/>
    <w:rsid w:val="001E0750"/>
    <w:rsid w:val="001E0E86"/>
    <w:rsid w:val="001E216E"/>
    <w:rsid w:val="001E41B3"/>
    <w:rsid w:val="001E4567"/>
    <w:rsid w:val="001E58CA"/>
    <w:rsid w:val="001F5B80"/>
    <w:rsid w:val="001F62F7"/>
    <w:rsid w:val="001F6E7B"/>
    <w:rsid w:val="001F7071"/>
    <w:rsid w:val="002057DB"/>
    <w:rsid w:val="002065D7"/>
    <w:rsid w:val="00206FF5"/>
    <w:rsid w:val="0020798B"/>
    <w:rsid w:val="00210FE6"/>
    <w:rsid w:val="002115CC"/>
    <w:rsid w:val="00212D3F"/>
    <w:rsid w:val="00217CE9"/>
    <w:rsid w:val="0022132B"/>
    <w:rsid w:val="00222E84"/>
    <w:rsid w:val="00223671"/>
    <w:rsid w:val="00224287"/>
    <w:rsid w:val="00230052"/>
    <w:rsid w:val="00232246"/>
    <w:rsid w:val="00232C2F"/>
    <w:rsid w:val="00240B50"/>
    <w:rsid w:val="00241911"/>
    <w:rsid w:val="00241C37"/>
    <w:rsid w:val="00243517"/>
    <w:rsid w:val="00243E21"/>
    <w:rsid w:val="00251C23"/>
    <w:rsid w:val="00254B86"/>
    <w:rsid w:val="00254E53"/>
    <w:rsid w:val="00255E22"/>
    <w:rsid w:val="002563D2"/>
    <w:rsid w:val="00257D55"/>
    <w:rsid w:val="00257E07"/>
    <w:rsid w:val="00260F5C"/>
    <w:rsid w:val="00261356"/>
    <w:rsid w:val="00262478"/>
    <w:rsid w:val="002636D1"/>
    <w:rsid w:val="00263B60"/>
    <w:rsid w:val="0026502F"/>
    <w:rsid w:val="00273028"/>
    <w:rsid w:val="00280EB2"/>
    <w:rsid w:val="00282AC6"/>
    <w:rsid w:val="0028336E"/>
    <w:rsid w:val="0028402C"/>
    <w:rsid w:val="00285D3E"/>
    <w:rsid w:val="002915F4"/>
    <w:rsid w:val="002931D1"/>
    <w:rsid w:val="00296A20"/>
    <w:rsid w:val="002A017C"/>
    <w:rsid w:val="002A0E56"/>
    <w:rsid w:val="002A1A52"/>
    <w:rsid w:val="002A2A91"/>
    <w:rsid w:val="002A3C45"/>
    <w:rsid w:val="002A401D"/>
    <w:rsid w:val="002A5384"/>
    <w:rsid w:val="002A6083"/>
    <w:rsid w:val="002A6833"/>
    <w:rsid w:val="002A6E27"/>
    <w:rsid w:val="002A7683"/>
    <w:rsid w:val="002A7870"/>
    <w:rsid w:val="002B0B10"/>
    <w:rsid w:val="002B2EDC"/>
    <w:rsid w:val="002B37A6"/>
    <w:rsid w:val="002B79B1"/>
    <w:rsid w:val="002B7C89"/>
    <w:rsid w:val="002C1AE6"/>
    <w:rsid w:val="002C4EDD"/>
    <w:rsid w:val="002C5E26"/>
    <w:rsid w:val="002C5F86"/>
    <w:rsid w:val="002D0FFA"/>
    <w:rsid w:val="002D2757"/>
    <w:rsid w:val="002D5156"/>
    <w:rsid w:val="002D561A"/>
    <w:rsid w:val="002D7E35"/>
    <w:rsid w:val="002E05E3"/>
    <w:rsid w:val="002E76E6"/>
    <w:rsid w:val="002F2A9E"/>
    <w:rsid w:val="002F4285"/>
    <w:rsid w:val="002F5DDC"/>
    <w:rsid w:val="002F6E38"/>
    <w:rsid w:val="003061E8"/>
    <w:rsid w:val="003074B0"/>
    <w:rsid w:val="00307C8F"/>
    <w:rsid w:val="003129C3"/>
    <w:rsid w:val="0031596C"/>
    <w:rsid w:val="00316F7D"/>
    <w:rsid w:val="00320392"/>
    <w:rsid w:val="00321238"/>
    <w:rsid w:val="00322AB0"/>
    <w:rsid w:val="00324F03"/>
    <w:rsid w:val="00337413"/>
    <w:rsid w:val="003405AC"/>
    <w:rsid w:val="0034107F"/>
    <w:rsid w:val="003417FE"/>
    <w:rsid w:val="00341C0E"/>
    <w:rsid w:val="0034660B"/>
    <w:rsid w:val="00350E2E"/>
    <w:rsid w:val="00352341"/>
    <w:rsid w:val="00355F09"/>
    <w:rsid w:val="00361EFD"/>
    <w:rsid w:val="003621A9"/>
    <w:rsid w:val="00363946"/>
    <w:rsid w:val="00363CAA"/>
    <w:rsid w:val="00370C3A"/>
    <w:rsid w:val="00372CCF"/>
    <w:rsid w:val="00373528"/>
    <w:rsid w:val="00375CC3"/>
    <w:rsid w:val="003809D6"/>
    <w:rsid w:val="0038121B"/>
    <w:rsid w:val="00381D60"/>
    <w:rsid w:val="00384CF6"/>
    <w:rsid w:val="00384EDF"/>
    <w:rsid w:val="003872D9"/>
    <w:rsid w:val="003905DD"/>
    <w:rsid w:val="00392C4C"/>
    <w:rsid w:val="00392E66"/>
    <w:rsid w:val="0039645B"/>
    <w:rsid w:val="003A140D"/>
    <w:rsid w:val="003A27F9"/>
    <w:rsid w:val="003A4406"/>
    <w:rsid w:val="003A6609"/>
    <w:rsid w:val="003A7492"/>
    <w:rsid w:val="003A7EB4"/>
    <w:rsid w:val="003B08B0"/>
    <w:rsid w:val="003B1CAE"/>
    <w:rsid w:val="003B1E00"/>
    <w:rsid w:val="003B5027"/>
    <w:rsid w:val="003B6E47"/>
    <w:rsid w:val="003B78CF"/>
    <w:rsid w:val="003C2192"/>
    <w:rsid w:val="003C6302"/>
    <w:rsid w:val="003D00D9"/>
    <w:rsid w:val="003D3F54"/>
    <w:rsid w:val="003D42D5"/>
    <w:rsid w:val="003D4C77"/>
    <w:rsid w:val="003D53B8"/>
    <w:rsid w:val="003D6929"/>
    <w:rsid w:val="003E1935"/>
    <w:rsid w:val="003E3A14"/>
    <w:rsid w:val="003E61C3"/>
    <w:rsid w:val="003E67E1"/>
    <w:rsid w:val="003E72E5"/>
    <w:rsid w:val="003F0EF5"/>
    <w:rsid w:val="003F1164"/>
    <w:rsid w:val="003F1574"/>
    <w:rsid w:val="003F1777"/>
    <w:rsid w:val="003F3197"/>
    <w:rsid w:val="003F3BD0"/>
    <w:rsid w:val="003F551C"/>
    <w:rsid w:val="0040350E"/>
    <w:rsid w:val="004068DA"/>
    <w:rsid w:val="004069A8"/>
    <w:rsid w:val="004104C0"/>
    <w:rsid w:val="00411749"/>
    <w:rsid w:val="004128CD"/>
    <w:rsid w:val="00413C29"/>
    <w:rsid w:val="00413C77"/>
    <w:rsid w:val="00415201"/>
    <w:rsid w:val="00417C4B"/>
    <w:rsid w:val="004212D7"/>
    <w:rsid w:val="0042194D"/>
    <w:rsid w:val="00421D17"/>
    <w:rsid w:val="004250EE"/>
    <w:rsid w:val="00425611"/>
    <w:rsid w:val="004330FE"/>
    <w:rsid w:val="0043396A"/>
    <w:rsid w:val="0043457D"/>
    <w:rsid w:val="00434B35"/>
    <w:rsid w:val="0043541C"/>
    <w:rsid w:val="00445A4B"/>
    <w:rsid w:val="00453A25"/>
    <w:rsid w:val="00457154"/>
    <w:rsid w:val="00460605"/>
    <w:rsid w:val="004611BA"/>
    <w:rsid w:val="00462BB2"/>
    <w:rsid w:val="00463D01"/>
    <w:rsid w:val="0046696B"/>
    <w:rsid w:val="00470FBA"/>
    <w:rsid w:val="00475241"/>
    <w:rsid w:val="00475350"/>
    <w:rsid w:val="004817C0"/>
    <w:rsid w:val="00484514"/>
    <w:rsid w:val="004855E5"/>
    <w:rsid w:val="00486837"/>
    <w:rsid w:val="00487C8C"/>
    <w:rsid w:val="00490AE6"/>
    <w:rsid w:val="00493BB9"/>
    <w:rsid w:val="0049421A"/>
    <w:rsid w:val="00494385"/>
    <w:rsid w:val="004947A3"/>
    <w:rsid w:val="004A2A11"/>
    <w:rsid w:val="004A39EB"/>
    <w:rsid w:val="004A5109"/>
    <w:rsid w:val="004A7B5C"/>
    <w:rsid w:val="004B0817"/>
    <w:rsid w:val="004B08B2"/>
    <w:rsid w:val="004B120B"/>
    <w:rsid w:val="004B3DE9"/>
    <w:rsid w:val="004B4807"/>
    <w:rsid w:val="004B5D09"/>
    <w:rsid w:val="004C1175"/>
    <w:rsid w:val="004C28CA"/>
    <w:rsid w:val="004C4428"/>
    <w:rsid w:val="004C749E"/>
    <w:rsid w:val="004C75E9"/>
    <w:rsid w:val="004D3329"/>
    <w:rsid w:val="004D33A9"/>
    <w:rsid w:val="004D33F7"/>
    <w:rsid w:val="004D5CB4"/>
    <w:rsid w:val="004D7798"/>
    <w:rsid w:val="004D7F65"/>
    <w:rsid w:val="004E01EA"/>
    <w:rsid w:val="004E17F6"/>
    <w:rsid w:val="004E26C7"/>
    <w:rsid w:val="004E3BE6"/>
    <w:rsid w:val="004E48D2"/>
    <w:rsid w:val="004E5FA9"/>
    <w:rsid w:val="004F2724"/>
    <w:rsid w:val="004F3423"/>
    <w:rsid w:val="004F4B49"/>
    <w:rsid w:val="004F6647"/>
    <w:rsid w:val="004F7584"/>
    <w:rsid w:val="0050308C"/>
    <w:rsid w:val="005142C0"/>
    <w:rsid w:val="00520B77"/>
    <w:rsid w:val="00520C2B"/>
    <w:rsid w:val="00520CE3"/>
    <w:rsid w:val="00521BBF"/>
    <w:rsid w:val="005226AF"/>
    <w:rsid w:val="00522BC4"/>
    <w:rsid w:val="005265AF"/>
    <w:rsid w:val="00531928"/>
    <w:rsid w:val="005339EB"/>
    <w:rsid w:val="00535DF6"/>
    <w:rsid w:val="005363B5"/>
    <w:rsid w:val="005441DD"/>
    <w:rsid w:val="0054478E"/>
    <w:rsid w:val="005455EA"/>
    <w:rsid w:val="005521FE"/>
    <w:rsid w:val="005523B9"/>
    <w:rsid w:val="00553174"/>
    <w:rsid w:val="005549DD"/>
    <w:rsid w:val="00554A79"/>
    <w:rsid w:val="005557CC"/>
    <w:rsid w:val="005564FC"/>
    <w:rsid w:val="00556A9B"/>
    <w:rsid w:val="00556DE8"/>
    <w:rsid w:val="00557C64"/>
    <w:rsid w:val="0056024F"/>
    <w:rsid w:val="005650BD"/>
    <w:rsid w:val="00571154"/>
    <w:rsid w:val="0057242D"/>
    <w:rsid w:val="00574CCB"/>
    <w:rsid w:val="005759CE"/>
    <w:rsid w:val="00577310"/>
    <w:rsid w:val="00577F80"/>
    <w:rsid w:val="0058098F"/>
    <w:rsid w:val="00581E23"/>
    <w:rsid w:val="005825B9"/>
    <w:rsid w:val="0058484E"/>
    <w:rsid w:val="005A353F"/>
    <w:rsid w:val="005A3565"/>
    <w:rsid w:val="005A544E"/>
    <w:rsid w:val="005A723C"/>
    <w:rsid w:val="005B1CA1"/>
    <w:rsid w:val="005B32E9"/>
    <w:rsid w:val="005B4DF3"/>
    <w:rsid w:val="005B53E9"/>
    <w:rsid w:val="005B578E"/>
    <w:rsid w:val="005B5859"/>
    <w:rsid w:val="005B59A9"/>
    <w:rsid w:val="005B764B"/>
    <w:rsid w:val="005B78AD"/>
    <w:rsid w:val="005C05B5"/>
    <w:rsid w:val="005C2D59"/>
    <w:rsid w:val="005C3E1A"/>
    <w:rsid w:val="005C5F74"/>
    <w:rsid w:val="005D2411"/>
    <w:rsid w:val="005D405E"/>
    <w:rsid w:val="005D4BB1"/>
    <w:rsid w:val="005D5C14"/>
    <w:rsid w:val="005D628D"/>
    <w:rsid w:val="005D7E7B"/>
    <w:rsid w:val="005E0950"/>
    <w:rsid w:val="005E0A0E"/>
    <w:rsid w:val="005E2538"/>
    <w:rsid w:val="005E3655"/>
    <w:rsid w:val="005E37C6"/>
    <w:rsid w:val="005E3CD0"/>
    <w:rsid w:val="005E4C80"/>
    <w:rsid w:val="005F2459"/>
    <w:rsid w:val="006007AE"/>
    <w:rsid w:val="00603645"/>
    <w:rsid w:val="006069F6"/>
    <w:rsid w:val="00610C6C"/>
    <w:rsid w:val="006112DF"/>
    <w:rsid w:val="006146D7"/>
    <w:rsid w:val="00615474"/>
    <w:rsid w:val="00622241"/>
    <w:rsid w:val="00622349"/>
    <w:rsid w:val="006228F2"/>
    <w:rsid w:val="006233DF"/>
    <w:rsid w:val="00624513"/>
    <w:rsid w:val="0062514D"/>
    <w:rsid w:val="0062524C"/>
    <w:rsid w:val="0062729D"/>
    <w:rsid w:val="00627646"/>
    <w:rsid w:val="00630C40"/>
    <w:rsid w:val="0063318E"/>
    <w:rsid w:val="006355B8"/>
    <w:rsid w:val="00635C72"/>
    <w:rsid w:val="0063662A"/>
    <w:rsid w:val="006610A0"/>
    <w:rsid w:val="00661BC9"/>
    <w:rsid w:val="00662B71"/>
    <w:rsid w:val="00664EFA"/>
    <w:rsid w:val="00667395"/>
    <w:rsid w:val="0066786C"/>
    <w:rsid w:val="00670FB4"/>
    <w:rsid w:val="006723E1"/>
    <w:rsid w:val="00672644"/>
    <w:rsid w:val="006728D8"/>
    <w:rsid w:val="006814BF"/>
    <w:rsid w:val="00682DB6"/>
    <w:rsid w:val="00686ABD"/>
    <w:rsid w:val="00686B32"/>
    <w:rsid w:val="00691932"/>
    <w:rsid w:val="006926FB"/>
    <w:rsid w:val="006927C2"/>
    <w:rsid w:val="00692CEB"/>
    <w:rsid w:val="00693186"/>
    <w:rsid w:val="006960F5"/>
    <w:rsid w:val="006A11F7"/>
    <w:rsid w:val="006A15F5"/>
    <w:rsid w:val="006A22DC"/>
    <w:rsid w:val="006A65E4"/>
    <w:rsid w:val="006B4EB2"/>
    <w:rsid w:val="006B6B71"/>
    <w:rsid w:val="006B7765"/>
    <w:rsid w:val="006C5F21"/>
    <w:rsid w:val="006C643B"/>
    <w:rsid w:val="006C66E6"/>
    <w:rsid w:val="006C769F"/>
    <w:rsid w:val="006D01AD"/>
    <w:rsid w:val="006D02C1"/>
    <w:rsid w:val="006D093C"/>
    <w:rsid w:val="006D161C"/>
    <w:rsid w:val="006D1EC0"/>
    <w:rsid w:val="006D246F"/>
    <w:rsid w:val="006D2846"/>
    <w:rsid w:val="006D2D8D"/>
    <w:rsid w:val="006D497F"/>
    <w:rsid w:val="006D7CA9"/>
    <w:rsid w:val="006E2E38"/>
    <w:rsid w:val="006E403A"/>
    <w:rsid w:val="006E54E3"/>
    <w:rsid w:val="006F3E20"/>
    <w:rsid w:val="006F6881"/>
    <w:rsid w:val="00701084"/>
    <w:rsid w:val="00701190"/>
    <w:rsid w:val="007023C2"/>
    <w:rsid w:val="007030C3"/>
    <w:rsid w:val="00705984"/>
    <w:rsid w:val="0071085B"/>
    <w:rsid w:val="00713114"/>
    <w:rsid w:val="00714136"/>
    <w:rsid w:val="00714501"/>
    <w:rsid w:val="00715083"/>
    <w:rsid w:val="00717E1E"/>
    <w:rsid w:val="00717FDD"/>
    <w:rsid w:val="00720E46"/>
    <w:rsid w:val="007216FD"/>
    <w:rsid w:val="00721C73"/>
    <w:rsid w:val="00723977"/>
    <w:rsid w:val="00733D7A"/>
    <w:rsid w:val="00734AD3"/>
    <w:rsid w:val="007357A7"/>
    <w:rsid w:val="007402E2"/>
    <w:rsid w:val="00741265"/>
    <w:rsid w:val="007443CF"/>
    <w:rsid w:val="00745DE0"/>
    <w:rsid w:val="00745E30"/>
    <w:rsid w:val="00746809"/>
    <w:rsid w:val="00751DDE"/>
    <w:rsid w:val="007520AF"/>
    <w:rsid w:val="00754B1E"/>
    <w:rsid w:val="00755F00"/>
    <w:rsid w:val="00761A43"/>
    <w:rsid w:val="00762EE6"/>
    <w:rsid w:val="00764598"/>
    <w:rsid w:val="00766EB4"/>
    <w:rsid w:val="0077417B"/>
    <w:rsid w:val="007744A9"/>
    <w:rsid w:val="00777A24"/>
    <w:rsid w:val="00780AC4"/>
    <w:rsid w:val="00781CCA"/>
    <w:rsid w:val="00782635"/>
    <w:rsid w:val="007827ED"/>
    <w:rsid w:val="00784D06"/>
    <w:rsid w:val="00784EA5"/>
    <w:rsid w:val="00785355"/>
    <w:rsid w:val="00787C5A"/>
    <w:rsid w:val="00791C63"/>
    <w:rsid w:val="00793615"/>
    <w:rsid w:val="0079557E"/>
    <w:rsid w:val="00796B0B"/>
    <w:rsid w:val="00797C89"/>
    <w:rsid w:val="00797D83"/>
    <w:rsid w:val="007A0116"/>
    <w:rsid w:val="007A0528"/>
    <w:rsid w:val="007A1BD7"/>
    <w:rsid w:val="007A280E"/>
    <w:rsid w:val="007A2AFC"/>
    <w:rsid w:val="007A33C0"/>
    <w:rsid w:val="007A5161"/>
    <w:rsid w:val="007A640D"/>
    <w:rsid w:val="007A7813"/>
    <w:rsid w:val="007A7C93"/>
    <w:rsid w:val="007A7E86"/>
    <w:rsid w:val="007B3782"/>
    <w:rsid w:val="007B77DD"/>
    <w:rsid w:val="007C4B07"/>
    <w:rsid w:val="007C6B49"/>
    <w:rsid w:val="007C73BC"/>
    <w:rsid w:val="007D1888"/>
    <w:rsid w:val="007D47F1"/>
    <w:rsid w:val="007D5D9A"/>
    <w:rsid w:val="007D6481"/>
    <w:rsid w:val="007E0000"/>
    <w:rsid w:val="007E1E63"/>
    <w:rsid w:val="007E4548"/>
    <w:rsid w:val="007E557B"/>
    <w:rsid w:val="007E604D"/>
    <w:rsid w:val="007F27AA"/>
    <w:rsid w:val="007F2E36"/>
    <w:rsid w:val="007F34B3"/>
    <w:rsid w:val="007F41CF"/>
    <w:rsid w:val="007F4C5E"/>
    <w:rsid w:val="007F632A"/>
    <w:rsid w:val="007F79EE"/>
    <w:rsid w:val="008015A5"/>
    <w:rsid w:val="00815190"/>
    <w:rsid w:val="008163F7"/>
    <w:rsid w:val="008170A7"/>
    <w:rsid w:val="008203DF"/>
    <w:rsid w:val="0082053F"/>
    <w:rsid w:val="00821C03"/>
    <w:rsid w:val="00822489"/>
    <w:rsid w:val="00822782"/>
    <w:rsid w:val="00825B2A"/>
    <w:rsid w:val="008319E0"/>
    <w:rsid w:val="00837EFA"/>
    <w:rsid w:val="00840436"/>
    <w:rsid w:val="008431CA"/>
    <w:rsid w:val="00843224"/>
    <w:rsid w:val="00843E5B"/>
    <w:rsid w:val="00844098"/>
    <w:rsid w:val="00844A4D"/>
    <w:rsid w:val="00844FF6"/>
    <w:rsid w:val="00851EA5"/>
    <w:rsid w:val="00853386"/>
    <w:rsid w:val="00853900"/>
    <w:rsid w:val="00856865"/>
    <w:rsid w:val="00856AAE"/>
    <w:rsid w:val="008602A3"/>
    <w:rsid w:val="00860FA5"/>
    <w:rsid w:val="008638CA"/>
    <w:rsid w:val="00863AF3"/>
    <w:rsid w:val="008657F5"/>
    <w:rsid w:val="00867F36"/>
    <w:rsid w:val="008721D5"/>
    <w:rsid w:val="00874142"/>
    <w:rsid w:val="008763E5"/>
    <w:rsid w:val="00876CDD"/>
    <w:rsid w:val="00881038"/>
    <w:rsid w:val="0088334E"/>
    <w:rsid w:val="0089014D"/>
    <w:rsid w:val="00890C8A"/>
    <w:rsid w:val="00891749"/>
    <w:rsid w:val="00891EA3"/>
    <w:rsid w:val="00896398"/>
    <w:rsid w:val="0089655D"/>
    <w:rsid w:val="0089753E"/>
    <w:rsid w:val="008A10BE"/>
    <w:rsid w:val="008A1C5E"/>
    <w:rsid w:val="008A2E2E"/>
    <w:rsid w:val="008A40F9"/>
    <w:rsid w:val="008A476E"/>
    <w:rsid w:val="008B4090"/>
    <w:rsid w:val="008C1672"/>
    <w:rsid w:val="008C2145"/>
    <w:rsid w:val="008C2189"/>
    <w:rsid w:val="008C4C74"/>
    <w:rsid w:val="008D07FD"/>
    <w:rsid w:val="008D2025"/>
    <w:rsid w:val="008D249A"/>
    <w:rsid w:val="008D408E"/>
    <w:rsid w:val="008D6E96"/>
    <w:rsid w:val="008D7BF0"/>
    <w:rsid w:val="008E626A"/>
    <w:rsid w:val="008E7B20"/>
    <w:rsid w:val="008E7EBD"/>
    <w:rsid w:val="008F0D4D"/>
    <w:rsid w:val="008F0DA1"/>
    <w:rsid w:val="008F11D1"/>
    <w:rsid w:val="008F11FA"/>
    <w:rsid w:val="008F644F"/>
    <w:rsid w:val="008F7C8D"/>
    <w:rsid w:val="009006D6"/>
    <w:rsid w:val="00903EFA"/>
    <w:rsid w:val="00904850"/>
    <w:rsid w:val="00904CB8"/>
    <w:rsid w:val="0090755F"/>
    <w:rsid w:val="009078CA"/>
    <w:rsid w:val="00911548"/>
    <w:rsid w:val="00911F94"/>
    <w:rsid w:val="0091311A"/>
    <w:rsid w:val="00913865"/>
    <w:rsid w:val="00914453"/>
    <w:rsid w:val="00921BB5"/>
    <w:rsid w:val="009240CC"/>
    <w:rsid w:val="00926750"/>
    <w:rsid w:val="00926F65"/>
    <w:rsid w:val="00927A46"/>
    <w:rsid w:val="009303E5"/>
    <w:rsid w:val="009316B3"/>
    <w:rsid w:val="00932C39"/>
    <w:rsid w:val="00933D72"/>
    <w:rsid w:val="00936E40"/>
    <w:rsid w:val="0094085F"/>
    <w:rsid w:val="009411D4"/>
    <w:rsid w:val="0094417E"/>
    <w:rsid w:val="00944D56"/>
    <w:rsid w:val="009526A2"/>
    <w:rsid w:val="0097192D"/>
    <w:rsid w:val="00972D81"/>
    <w:rsid w:val="00974AFE"/>
    <w:rsid w:val="00975385"/>
    <w:rsid w:val="009753B0"/>
    <w:rsid w:val="009753B1"/>
    <w:rsid w:val="009756B7"/>
    <w:rsid w:val="0097576E"/>
    <w:rsid w:val="00977145"/>
    <w:rsid w:val="00984516"/>
    <w:rsid w:val="00984DBA"/>
    <w:rsid w:val="009978E8"/>
    <w:rsid w:val="009A1801"/>
    <w:rsid w:val="009A3EE2"/>
    <w:rsid w:val="009A4B74"/>
    <w:rsid w:val="009A605B"/>
    <w:rsid w:val="009A646A"/>
    <w:rsid w:val="009B04F0"/>
    <w:rsid w:val="009B0EE1"/>
    <w:rsid w:val="009B2215"/>
    <w:rsid w:val="009B3D9C"/>
    <w:rsid w:val="009C2190"/>
    <w:rsid w:val="009D01B4"/>
    <w:rsid w:val="009D257B"/>
    <w:rsid w:val="009D4079"/>
    <w:rsid w:val="009D67A7"/>
    <w:rsid w:val="009E134D"/>
    <w:rsid w:val="009E1D3B"/>
    <w:rsid w:val="009E38FD"/>
    <w:rsid w:val="009E5680"/>
    <w:rsid w:val="009E7C6E"/>
    <w:rsid w:val="009F40B8"/>
    <w:rsid w:val="009F4835"/>
    <w:rsid w:val="00A026E6"/>
    <w:rsid w:val="00A04DE3"/>
    <w:rsid w:val="00A07450"/>
    <w:rsid w:val="00A07665"/>
    <w:rsid w:val="00A1046C"/>
    <w:rsid w:val="00A122F4"/>
    <w:rsid w:val="00A12D87"/>
    <w:rsid w:val="00A142D1"/>
    <w:rsid w:val="00A15345"/>
    <w:rsid w:val="00A2129A"/>
    <w:rsid w:val="00A2208C"/>
    <w:rsid w:val="00A22DD1"/>
    <w:rsid w:val="00A26025"/>
    <w:rsid w:val="00A3198B"/>
    <w:rsid w:val="00A40817"/>
    <w:rsid w:val="00A42284"/>
    <w:rsid w:val="00A4576A"/>
    <w:rsid w:val="00A46E10"/>
    <w:rsid w:val="00A55B5B"/>
    <w:rsid w:val="00A56EF1"/>
    <w:rsid w:val="00A57D6D"/>
    <w:rsid w:val="00A62723"/>
    <w:rsid w:val="00A63F97"/>
    <w:rsid w:val="00A64AC2"/>
    <w:rsid w:val="00A6574F"/>
    <w:rsid w:val="00A66319"/>
    <w:rsid w:val="00A6682B"/>
    <w:rsid w:val="00A6754E"/>
    <w:rsid w:val="00A67779"/>
    <w:rsid w:val="00A71ADE"/>
    <w:rsid w:val="00A72B6E"/>
    <w:rsid w:val="00A73A3E"/>
    <w:rsid w:val="00A73B97"/>
    <w:rsid w:val="00A76018"/>
    <w:rsid w:val="00A76EE1"/>
    <w:rsid w:val="00A774E6"/>
    <w:rsid w:val="00A82E47"/>
    <w:rsid w:val="00A84942"/>
    <w:rsid w:val="00A8611B"/>
    <w:rsid w:val="00A87CC9"/>
    <w:rsid w:val="00A87D0C"/>
    <w:rsid w:val="00A919E4"/>
    <w:rsid w:val="00A94CEF"/>
    <w:rsid w:val="00A953E1"/>
    <w:rsid w:val="00AA23B1"/>
    <w:rsid w:val="00AA3E60"/>
    <w:rsid w:val="00AA4681"/>
    <w:rsid w:val="00AA56FD"/>
    <w:rsid w:val="00AA6A66"/>
    <w:rsid w:val="00AB0390"/>
    <w:rsid w:val="00AB5BF8"/>
    <w:rsid w:val="00AB783F"/>
    <w:rsid w:val="00AC376F"/>
    <w:rsid w:val="00AC3932"/>
    <w:rsid w:val="00AC5502"/>
    <w:rsid w:val="00AC59B1"/>
    <w:rsid w:val="00AD135D"/>
    <w:rsid w:val="00AD486A"/>
    <w:rsid w:val="00AD69BB"/>
    <w:rsid w:val="00AE3121"/>
    <w:rsid w:val="00AE6806"/>
    <w:rsid w:val="00AF0ACB"/>
    <w:rsid w:val="00AF150D"/>
    <w:rsid w:val="00AF1924"/>
    <w:rsid w:val="00AF3B63"/>
    <w:rsid w:val="00AF3CB9"/>
    <w:rsid w:val="00AF4201"/>
    <w:rsid w:val="00AF5D50"/>
    <w:rsid w:val="00AF6230"/>
    <w:rsid w:val="00B00C18"/>
    <w:rsid w:val="00B03DFA"/>
    <w:rsid w:val="00B06551"/>
    <w:rsid w:val="00B06D45"/>
    <w:rsid w:val="00B06E7D"/>
    <w:rsid w:val="00B078AE"/>
    <w:rsid w:val="00B10284"/>
    <w:rsid w:val="00B10978"/>
    <w:rsid w:val="00B10F2E"/>
    <w:rsid w:val="00B1176F"/>
    <w:rsid w:val="00B17EBE"/>
    <w:rsid w:val="00B23415"/>
    <w:rsid w:val="00B24CC6"/>
    <w:rsid w:val="00B24DA4"/>
    <w:rsid w:val="00B27876"/>
    <w:rsid w:val="00B30AE1"/>
    <w:rsid w:val="00B317CB"/>
    <w:rsid w:val="00B33143"/>
    <w:rsid w:val="00B35F42"/>
    <w:rsid w:val="00B36413"/>
    <w:rsid w:val="00B374D0"/>
    <w:rsid w:val="00B37ED3"/>
    <w:rsid w:val="00B41B3B"/>
    <w:rsid w:val="00B616CE"/>
    <w:rsid w:val="00B63D54"/>
    <w:rsid w:val="00B6441E"/>
    <w:rsid w:val="00B65844"/>
    <w:rsid w:val="00B66DE9"/>
    <w:rsid w:val="00B67045"/>
    <w:rsid w:val="00B67928"/>
    <w:rsid w:val="00B709F3"/>
    <w:rsid w:val="00B71504"/>
    <w:rsid w:val="00B72550"/>
    <w:rsid w:val="00B75D18"/>
    <w:rsid w:val="00B75F4F"/>
    <w:rsid w:val="00B76CD0"/>
    <w:rsid w:val="00B804FB"/>
    <w:rsid w:val="00B83705"/>
    <w:rsid w:val="00B846D5"/>
    <w:rsid w:val="00B850D3"/>
    <w:rsid w:val="00B85336"/>
    <w:rsid w:val="00B8633E"/>
    <w:rsid w:val="00B86374"/>
    <w:rsid w:val="00B91C0B"/>
    <w:rsid w:val="00B92673"/>
    <w:rsid w:val="00B92683"/>
    <w:rsid w:val="00B9289D"/>
    <w:rsid w:val="00BA062A"/>
    <w:rsid w:val="00BA08E6"/>
    <w:rsid w:val="00BA317B"/>
    <w:rsid w:val="00BA55C4"/>
    <w:rsid w:val="00BA7A6E"/>
    <w:rsid w:val="00BB13A8"/>
    <w:rsid w:val="00BB42A2"/>
    <w:rsid w:val="00BB693A"/>
    <w:rsid w:val="00BB7392"/>
    <w:rsid w:val="00BB7EF8"/>
    <w:rsid w:val="00BC2554"/>
    <w:rsid w:val="00BC3407"/>
    <w:rsid w:val="00BC506C"/>
    <w:rsid w:val="00BC5167"/>
    <w:rsid w:val="00BC795A"/>
    <w:rsid w:val="00BD09EF"/>
    <w:rsid w:val="00BD22AA"/>
    <w:rsid w:val="00BD3BB1"/>
    <w:rsid w:val="00BD40E1"/>
    <w:rsid w:val="00BD4489"/>
    <w:rsid w:val="00BD4F70"/>
    <w:rsid w:val="00BD6737"/>
    <w:rsid w:val="00BD688D"/>
    <w:rsid w:val="00BD7909"/>
    <w:rsid w:val="00BE5AD6"/>
    <w:rsid w:val="00BF1B16"/>
    <w:rsid w:val="00BF4328"/>
    <w:rsid w:val="00BF516E"/>
    <w:rsid w:val="00BF64CA"/>
    <w:rsid w:val="00C00633"/>
    <w:rsid w:val="00C00804"/>
    <w:rsid w:val="00C011DA"/>
    <w:rsid w:val="00C02149"/>
    <w:rsid w:val="00C02BE8"/>
    <w:rsid w:val="00C04743"/>
    <w:rsid w:val="00C052FE"/>
    <w:rsid w:val="00C06D33"/>
    <w:rsid w:val="00C16F27"/>
    <w:rsid w:val="00C17AA0"/>
    <w:rsid w:val="00C17D1E"/>
    <w:rsid w:val="00C203B2"/>
    <w:rsid w:val="00C3047A"/>
    <w:rsid w:val="00C31E57"/>
    <w:rsid w:val="00C31F5D"/>
    <w:rsid w:val="00C37D58"/>
    <w:rsid w:val="00C45957"/>
    <w:rsid w:val="00C4754A"/>
    <w:rsid w:val="00C549AD"/>
    <w:rsid w:val="00C55DC8"/>
    <w:rsid w:val="00C57577"/>
    <w:rsid w:val="00C6077D"/>
    <w:rsid w:val="00C60B76"/>
    <w:rsid w:val="00C61369"/>
    <w:rsid w:val="00C63833"/>
    <w:rsid w:val="00C642B0"/>
    <w:rsid w:val="00C66DC1"/>
    <w:rsid w:val="00C679B1"/>
    <w:rsid w:val="00C71AC6"/>
    <w:rsid w:val="00C71C86"/>
    <w:rsid w:val="00C71E51"/>
    <w:rsid w:val="00C7261E"/>
    <w:rsid w:val="00C73798"/>
    <w:rsid w:val="00C74D6E"/>
    <w:rsid w:val="00C83D66"/>
    <w:rsid w:val="00C879CF"/>
    <w:rsid w:val="00C90C4A"/>
    <w:rsid w:val="00C9142D"/>
    <w:rsid w:val="00C93020"/>
    <w:rsid w:val="00C932EA"/>
    <w:rsid w:val="00C951C9"/>
    <w:rsid w:val="00C96350"/>
    <w:rsid w:val="00C96BD3"/>
    <w:rsid w:val="00C96D90"/>
    <w:rsid w:val="00C97277"/>
    <w:rsid w:val="00CA575B"/>
    <w:rsid w:val="00CA65BE"/>
    <w:rsid w:val="00CA7598"/>
    <w:rsid w:val="00CB4AE7"/>
    <w:rsid w:val="00CB5E0D"/>
    <w:rsid w:val="00CB62D1"/>
    <w:rsid w:val="00CB68DD"/>
    <w:rsid w:val="00CC257D"/>
    <w:rsid w:val="00CC55EF"/>
    <w:rsid w:val="00CC58A1"/>
    <w:rsid w:val="00CC5AFE"/>
    <w:rsid w:val="00CD36C7"/>
    <w:rsid w:val="00CD5A35"/>
    <w:rsid w:val="00CD6055"/>
    <w:rsid w:val="00CE06B7"/>
    <w:rsid w:val="00CF34FF"/>
    <w:rsid w:val="00D00010"/>
    <w:rsid w:val="00D00671"/>
    <w:rsid w:val="00D0079C"/>
    <w:rsid w:val="00D11859"/>
    <w:rsid w:val="00D12144"/>
    <w:rsid w:val="00D1292E"/>
    <w:rsid w:val="00D13CF2"/>
    <w:rsid w:val="00D14E84"/>
    <w:rsid w:val="00D2019B"/>
    <w:rsid w:val="00D2077A"/>
    <w:rsid w:val="00D2276D"/>
    <w:rsid w:val="00D2471A"/>
    <w:rsid w:val="00D250D0"/>
    <w:rsid w:val="00D2668E"/>
    <w:rsid w:val="00D26E19"/>
    <w:rsid w:val="00D3235F"/>
    <w:rsid w:val="00D327AD"/>
    <w:rsid w:val="00D32B5A"/>
    <w:rsid w:val="00D333A2"/>
    <w:rsid w:val="00D352C8"/>
    <w:rsid w:val="00D35E14"/>
    <w:rsid w:val="00D4358D"/>
    <w:rsid w:val="00D44961"/>
    <w:rsid w:val="00D47C21"/>
    <w:rsid w:val="00D5211B"/>
    <w:rsid w:val="00D54C31"/>
    <w:rsid w:val="00D55F95"/>
    <w:rsid w:val="00D60123"/>
    <w:rsid w:val="00D6042A"/>
    <w:rsid w:val="00D61573"/>
    <w:rsid w:val="00D66630"/>
    <w:rsid w:val="00D66CC4"/>
    <w:rsid w:val="00D67C72"/>
    <w:rsid w:val="00D70492"/>
    <w:rsid w:val="00D71A32"/>
    <w:rsid w:val="00D756B0"/>
    <w:rsid w:val="00D75DC4"/>
    <w:rsid w:val="00D803C0"/>
    <w:rsid w:val="00D80A09"/>
    <w:rsid w:val="00D813C8"/>
    <w:rsid w:val="00D875AB"/>
    <w:rsid w:val="00D9016C"/>
    <w:rsid w:val="00DA020B"/>
    <w:rsid w:val="00DA0688"/>
    <w:rsid w:val="00DA27BA"/>
    <w:rsid w:val="00DA4EF4"/>
    <w:rsid w:val="00DA6F7F"/>
    <w:rsid w:val="00DB6C74"/>
    <w:rsid w:val="00DB70E8"/>
    <w:rsid w:val="00DC3007"/>
    <w:rsid w:val="00DC4AE3"/>
    <w:rsid w:val="00DD003B"/>
    <w:rsid w:val="00DD0DF0"/>
    <w:rsid w:val="00DD1D3F"/>
    <w:rsid w:val="00DD5ADB"/>
    <w:rsid w:val="00DD5DC9"/>
    <w:rsid w:val="00DD7CF3"/>
    <w:rsid w:val="00DE13F2"/>
    <w:rsid w:val="00DE222F"/>
    <w:rsid w:val="00DE2294"/>
    <w:rsid w:val="00DE4BD5"/>
    <w:rsid w:val="00DE5906"/>
    <w:rsid w:val="00DF7B92"/>
    <w:rsid w:val="00E007C7"/>
    <w:rsid w:val="00E0135B"/>
    <w:rsid w:val="00E03AC2"/>
    <w:rsid w:val="00E05F1D"/>
    <w:rsid w:val="00E119A0"/>
    <w:rsid w:val="00E138A7"/>
    <w:rsid w:val="00E15304"/>
    <w:rsid w:val="00E2090A"/>
    <w:rsid w:val="00E22693"/>
    <w:rsid w:val="00E22D93"/>
    <w:rsid w:val="00E231F1"/>
    <w:rsid w:val="00E25112"/>
    <w:rsid w:val="00E27733"/>
    <w:rsid w:val="00E306DF"/>
    <w:rsid w:val="00E31D00"/>
    <w:rsid w:val="00E32178"/>
    <w:rsid w:val="00E34754"/>
    <w:rsid w:val="00E35623"/>
    <w:rsid w:val="00E40ECC"/>
    <w:rsid w:val="00E41A5F"/>
    <w:rsid w:val="00E44775"/>
    <w:rsid w:val="00E450AE"/>
    <w:rsid w:val="00E45D16"/>
    <w:rsid w:val="00E46153"/>
    <w:rsid w:val="00E46F90"/>
    <w:rsid w:val="00E47D4D"/>
    <w:rsid w:val="00E50DFB"/>
    <w:rsid w:val="00E54E4D"/>
    <w:rsid w:val="00E55474"/>
    <w:rsid w:val="00E5794F"/>
    <w:rsid w:val="00E644FB"/>
    <w:rsid w:val="00E6534D"/>
    <w:rsid w:val="00E65BEE"/>
    <w:rsid w:val="00E66C1F"/>
    <w:rsid w:val="00E6709E"/>
    <w:rsid w:val="00E70F1F"/>
    <w:rsid w:val="00E71C51"/>
    <w:rsid w:val="00E745C2"/>
    <w:rsid w:val="00E74B56"/>
    <w:rsid w:val="00E80565"/>
    <w:rsid w:val="00E8209B"/>
    <w:rsid w:val="00E87275"/>
    <w:rsid w:val="00E875E7"/>
    <w:rsid w:val="00E87FD1"/>
    <w:rsid w:val="00E902B8"/>
    <w:rsid w:val="00E910BF"/>
    <w:rsid w:val="00E9209C"/>
    <w:rsid w:val="00E95818"/>
    <w:rsid w:val="00E97F3E"/>
    <w:rsid w:val="00EA2C0E"/>
    <w:rsid w:val="00EA3023"/>
    <w:rsid w:val="00EA35BE"/>
    <w:rsid w:val="00EA3775"/>
    <w:rsid w:val="00EA7A71"/>
    <w:rsid w:val="00EB12D2"/>
    <w:rsid w:val="00EB3108"/>
    <w:rsid w:val="00EB32B6"/>
    <w:rsid w:val="00EB4583"/>
    <w:rsid w:val="00EB588C"/>
    <w:rsid w:val="00EB599C"/>
    <w:rsid w:val="00EB608E"/>
    <w:rsid w:val="00EC343A"/>
    <w:rsid w:val="00EC406D"/>
    <w:rsid w:val="00EC74C3"/>
    <w:rsid w:val="00ED1FAE"/>
    <w:rsid w:val="00ED2A0F"/>
    <w:rsid w:val="00ED2D27"/>
    <w:rsid w:val="00ED5159"/>
    <w:rsid w:val="00ED60D3"/>
    <w:rsid w:val="00ED6BD9"/>
    <w:rsid w:val="00EE2A22"/>
    <w:rsid w:val="00EE3302"/>
    <w:rsid w:val="00EE64FF"/>
    <w:rsid w:val="00EF0549"/>
    <w:rsid w:val="00EF1278"/>
    <w:rsid w:val="00EF20EC"/>
    <w:rsid w:val="00EF2BD0"/>
    <w:rsid w:val="00EF3964"/>
    <w:rsid w:val="00EF7B46"/>
    <w:rsid w:val="00F029BC"/>
    <w:rsid w:val="00F05A79"/>
    <w:rsid w:val="00F068BB"/>
    <w:rsid w:val="00F124CA"/>
    <w:rsid w:val="00F179FA"/>
    <w:rsid w:val="00F217D9"/>
    <w:rsid w:val="00F2435A"/>
    <w:rsid w:val="00F2467D"/>
    <w:rsid w:val="00F36BD5"/>
    <w:rsid w:val="00F41D65"/>
    <w:rsid w:val="00F424E3"/>
    <w:rsid w:val="00F4299D"/>
    <w:rsid w:val="00F43FD4"/>
    <w:rsid w:val="00F454FA"/>
    <w:rsid w:val="00F4622F"/>
    <w:rsid w:val="00F46BBC"/>
    <w:rsid w:val="00F5121F"/>
    <w:rsid w:val="00F52E9D"/>
    <w:rsid w:val="00F5361C"/>
    <w:rsid w:val="00F5487E"/>
    <w:rsid w:val="00F556DB"/>
    <w:rsid w:val="00F60FE6"/>
    <w:rsid w:val="00F62FAE"/>
    <w:rsid w:val="00F64A73"/>
    <w:rsid w:val="00F664D7"/>
    <w:rsid w:val="00F67280"/>
    <w:rsid w:val="00F71A1A"/>
    <w:rsid w:val="00F767F2"/>
    <w:rsid w:val="00F913AC"/>
    <w:rsid w:val="00F96BC8"/>
    <w:rsid w:val="00F976B5"/>
    <w:rsid w:val="00FA49DE"/>
    <w:rsid w:val="00FA4DF8"/>
    <w:rsid w:val="00FB395B"/>
    <w:rsid w:val="00FB3990"/>
    <w:rsid w:val="00FB437B"/>
    <w:rsid w:val="00FB637C"/>
    <w:rsid w:val="00FC23D6"/>
    <w:rsid w:val="00FC2E62"/>
    <w:rsid w:val="00FC484E"/>
    <w:rsid w:val="00FC668C"/>
    <w:rsid w:val="00FD1956"/>
    <w:rsid w:val="00FD392D"/>
    <w:rsid w:val="00FD4E94"/>
    <w:rsid w:val="00FE052E"/>
    <w:rsid w:val="00FE5B29"/>
    <w:rsid w:val="00FF0BAB"/>
    <w:rsid w:val="00FF1373"/>
    <w:rsid w:val="00FF3189"/>
    <w:rsid w:val="00FF5E7F"/>
    <w:rsid w:val="00FF70D4"/>
    <w:rsid w:val="00FF7E47"/>
    <w:rsid w:val="00FF7F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qFormat="1"/>
    <w:lsdException w:name="heading 9" w:lock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FA4DF8"/>
    <w:pPr>
      <w:spacing w:after="120" w:line="276" w:lineRule="auto"/>
    </w:pPr>
    <w:rPr>
      <w:rFonts w:ascii="Times New Roman" w:hAnsi="Times New Roman"/>
    </w:rPr>
  </w:style>
  <w:style w:type="paragraph" w:styleId="Heading1">
    <w:name w:val="heading 1"/>
    <w:basedOn w:val="Normal"/>
    <w:link w:val="Heading1Char"/>
    <w:qFormat/>
    <w:rsid w:val="00E745C2"/>
    <w:pPr>
      <w:spacing w:before="100" w:beforeAutospacing="1" w:after="100" w:afterAutospacing="1" w:line="240" w:lineRule="auto"/>
      <w:outlineLvl w:val="0"/>
    </w:pPr>
    <w:rPr>
      <w:rFonts w:ascii="Arial" w:eastAsia="Times New Roman" w:hAnsi="Arial"/>
      <w:b/>
      <w:bCs/>
      <w:color w:val="000000"/>
      <w:kern w:val="36"/>
      <w:sz w:val="48"/>
      <w:szCs w:val="48"/>
    </w:rPr>
  </w:style>
  <w:style w:type="paragraph" w:styleId="Heading2">
    <w:name w:val="heading 2"/>
    <w:basedOn w:val="Normal"/>
    <w:next w:val="Normal"/>
    <w:link w:val="Heading2Char"/>
    <w:qFormat/>
    <w:rsid w:val="00E745C2"/>
    <w:pPr>
      <w:keepNext/>
      <w:keepLines/>
      <w:jc w:val="center"/>
      <w:outlineLvl w:val="1"/>
    </w:pPr>
    <w:rPr>
      <w:rFonts w:ascii="Arial" w:eastAsia="Times New Roman" w:hAnsi="Arial"/>
      <w:b/>
      <w:bCs/>
      <w:color w:val="000000" w:themeColor="text1"/>
      <w:szCs w:val="26"/>
      <w:u w:val="single"/>
    </w:rPr>
  </w:style>
  <w:style w:type="paragraph" w:styleId="Heading3">
    <w:name w:val="heading 3"/>
    <w:basedOn w:val="Heading2"/>
    <w:next w:val="Normal"/>
    <w:link w:val="Heading3Char"/>
    <w:qFormat/>
    <w:rsid w:val="00AC5502"/>
    <w:pPr>
      <w:jc w:val="left"/>
      <w:outlineLvl w:val="2"/>
    </w:pPr>
    <w:rPr>
      <w:bCs w:val="0"/>
      <w:u w:val="none"/>
    </w:rPr>
  </w:style>
  <w:style w:type="paragraph" w:styleId="Heading4">
    <w:name w:val="heading 4"/>
    <w:basedOn w:val="Normal"/>
    <w:next w:val="Normal"/>
    <w:link w:val="Heading4Char"/>
    <w:qFormat/>
    <w:rsid w:val="000B71D4"/>
    <w:pPr>
      <w:keepNext/>
      <w:keepLines/>
      <w:ind w:left="720"/>
      <w:outlineLvl w:val="3"/>
    </w:pPr>
    <w:rPr>
      <w:rFonts w:ascii="Cambria" w:eastAsia="Times New Roman" w:hAnsi="Cambria"/>
      <w:b/>
      <w:bCs/>
      <w:i/>
      <w:iCs/>
      <w:color w:val="000000" w:themeColor="text1"/>
    </w:rPr>
  </w:style>
  <w:style w:type="paragraph" w:styleId="Heading5">
    <w:name w:val="heading 5"/>
    <w:aliases w:val="Tables and Figures"/>
    <w:basedOn w:val="Caption"/>
    <w:next w:val="Normal"/>
    <w:link w:val="Heading5Char"/>
    <w:qFormat/>
    <w:rsid w:val="002F5DDC"/>
    <w:pPr>
      <w:outlineLvl w:val="4"/>
    </w:pPr>
    <w:rPr>
      <w:rFonts w:ascii="Arial" w:hAnsi="Arial" w:cs="Arial"/>
      <w:sz w:val="20"/>
    </w:rPr>
  </w:style>
  <w:style w:type="paragraph" w:styleId="Heading6">
    <w:name w:val="heading 6"/>
    <w:basedOn w:val="Normal"/>
    <w:next w:val="Normal"/>
    <w:link w:val="Heading6Char"/>
    <w:uiPriority w:val="99"/>
    <w:qFormat/>
    <w:rsid w:val="009E38FD"/>
    <w:pPr>
      <w:keepNext/>
      <w:keepLines/>
      <w:spacing w:before="200" w:after="0"/>
      <w:ind w:left="1440"/>
      <w:outlineLvl w:val="5"/>
    </w:pPr>
    <w:rPr>
      <w:rFonts w:ascii="Cambria" w:eastAsia="Times New Roman" w:hAnsi="Cambria"/>
      <w:i/>
      <w:iCs/>
      <w:color w:val="243F60"/>
    </w:rPr>
  </w:style>
  <w:style w:type="paragraph" w:styleId="Heading7">
    <w:name w:val="heading 7"/>
    <w:basedOn w:val="Normal"/>
    <w:next w:val="Normal"/>
    <w:link w:val="Heading7Char"/>
    <w:uiPriority w:val="99"/>
    <w:qFormat/>
    <w:rsid w:val="009E38FD"/>
    <w:pPr>
      <w:keepNext/>
      <w:keepLines/>
      <w:spacing w:before="200" w:after="0"/>
      <w:outlineLvl w:val="6"/>
    </w:pPr>
    <w:rPr>
      <w:rFonts w:ascii="Cambria" w:eastAsia="Times New Roman" w:hAnsi="Cambria"/>
      <w:i/>
      <w:iCs/>
      <w:color w:val="404040"/>
    </w:rPr>
  </w:style>
  <w:style w:type="paragraph" w:styleId="Heading8">
    <w:name w:val="heading 8"/>
    <w:basedOn w:val="Normal"/>
    <w:next w:val="Normal"/>
    <w:link w:val="Heading8Char"/>
    <w:uiPriority w:val="99"/>
    <w:qFormat/>
    <w:rsid w:val="00E47D4D"/>
    <w:pPr>
      <w:keepNext/>
      <w:keepLines/>
      <w:spacing w:before="200" w:after="0"/>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9"/>
    <w:qFormat/>
    <w:rsid w:val="00E47D4D"/>
    <w:pPr>
      <w:keepNext/>
      <w:keepLines/>
      <w:spacing w:before="200" w:after="0"/>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E745C2"/>
    <w:rPr>
      <w:rFonts w:ascii="Arial" w:eastAsia="Times New Roman" w:hAnsi="Arial"/>
      <w:b/>
      <w:bCs/>
      <w:color w:val="000000"/>
      <w:kern w:val="36"/>
      <w:sz w:val="48"/>
      <w:szCs w:val="48"/>
    </w:rPr>
  </w:style>
  <w:style w:type="character" w:customStyle="1" w:styleId="Heading2Char">
    <w:name w:val="Heading 2 Char"/>
    <w:basedOn w:val="DefaultParagraphFont"/>
    <w:link w:val="Heading2"/>
    <w:locked/>
    <w:rsid w:val="00E745C2"/>
    <w:rPr>
      <w:rFonts w:ascii="Arial" w:eastAsia="Times New Roman" w:hAnsi="Arial"/>
      <w:b/>
      <w:bCs/>
      <w:color w:val="000000" w:themeColor="text1"/>
      <w:szCs w:val="26"/>
      <w:u w:val="single"/>
    </w:rPr>
  </w:style>
  <w:style w:type="character" w:customStyle="1" w:styleId="Heading3Char">
    <w:name w:val="Heading 3 Char"/>
    <w:basedOn w:val="DefaultParagraphFont"/>
    <w:link w:val="Heading3"/>
    <w:locked/>
    <w:rsid w:val="00AC5502"/>
    <w:rPr>
      <w:rFonts w:ascii="Arial" w:eastAsia="Times New Roman" w:hAnsi="Arial"/>
      <w:b/>
      <w:color w:val="000000" w:themeColor="text1"/>
      <w:szCs w:val="26"/>
    </w:rPr>
  </w:style>
  <w:style w:type="character" w:customStyle="1" w:styleId="Heading4Char">
    <w:name w:val="Heading 4 Char"/>
    <w:basedOn w:val="DefaultParagraphFont"/>
    <w:link w:val="Heading4"/>
    <w:locked/>
    <w:rsid w:val="000B71D4"/>
    <w:rPr>
      <w:rFonts w:ascii="Cambria" w:eastAsia="Times New Roman" w:hAnsi="Cambria"/>
      <w:b/>
      <w:bCs/>
      <w:i/>
      <w:iCs/>
      <w:color w:val="000000" w:themeColor="text1"/>
    </w:rPr>
  </w:style>
  <w:style w:type="paragraph" w:styleId="Caption">
    <w:name w:val="caption"/>
    <w:basedOn w:val="Normal"/>
    <w:next w:val="Normal"/>
    <w:uiPriority w:val="99"/>
    <w:qFormat/>
    <w:rsid w:val="00D66630"/>
    <w:pPr>
      <w:spacing w:line="240" w:lineRule="auto"/>
    </w:pPr>
    <w:rPr>
      <w:rFonts w:eastAsia="Times New Roman"/>
      <w:b/>
      <w:bCs/>
      <w:szCs w:val="18"/>
    </w:rPr>
  </w:style>
  <w:style w:type="character" w:customStyle="1" w:styleId="Heading5Char">
    <w:name w:val="Heading 5 Char"/>
    <w:aliases w:val="Tables and Figures Char"/>
    <w:basedOn w:val="DefaultParagraphFont"/>
    <w:link w:val="Heading5"/>
    <w:locked/>
    <w:rsid w:val="002F5DDC"/>
    <w:rPr>
      <w:rFonts w:ascii="Arial" w:eastAsia="Times New Roman" w:hAnsi="Arial" w:cs="Arial"/>
      <w:b/>
      <w:bCs/>
      <w:sz w:val="20"/>
      <w:szCs w:val="18"/>
    </w:rPr>
  </w:style>
  <w:style w:type="character" w:customStyle="1" w:styleId="Heading6Char">
    <w:name w:val="Heading 6 Char"/>
    <w:basedOn w:val="DefaultParagraphFont"/>
    <w:link w:val="Heading6"/>
    <w:uiPriority w:val="99"/>
    <w:locked/>
    <w:rsid w:val="009E38FD"/>
    <w:rPr>
      <w:rFonts w:ascii="Cambria" w:hAnsi="Cambria" w:cs="Times New Roman"/>
      <w:i/>
      <w:iCs/>
      <w:color w:val="243F60"/>
    </w:rPr>
  </w:style>
  <w:style w:type="character" w:customStyle="1" w:styleId="Heading7Char">
    <w:name w:val="Heading 7 Char"/>
    <w:basedOn w:val="DefaultParagraphFont"/>
    <w:link w:val="Heading7"/>
    <w:uiPriority w:val="99"/>
    <w:locked/>
    <w:rsid w:val="009E38FD"/>
    <w:rPr>
      <w:rFonts w:ascii="Cambria" w:hAnsi="Cambria" w:cs="Times New Roman"/>
      <w:i/>
      <w:iCs/>
      <w:color w:val="404040"/>
    </w:rPr>
  </w:style>
  <w:style w:type="character" w:customStyle="1" w:styleId="Heading8Char">
    <w:name w:val="Heading 8 Char"/>
    <w:basedOn w:val="DefaultParagraphFont"/>
    <w:link w:val="Heading8"/>
    <w:uiPriority w:val="99"/>
    <w:locked/>
    <w:rsid w:val="00E47D4D"/>
    <w:rPr>
      <w:rFonts w:ascii="Cambria" w:hAnsi="Cambria" w:cs="Times New Roman"/>
      <w:color w:val="404040"/>
      <w:sz w:val="20"/>
      <w:szCs w:val="20"/>
    </w:rPr>
  </w:style>
  <w:style w:type="character" w:customStyle="1" w:styleId="Heading9Char">
    <w:name w:val="Heading 9 Char"/>
    <w:basedOn w:val="DefaultParagraphFont"/>
    <w:link w:val="Heading9"/>
    <w:uiPriority w:val="99"/>
    <w:locked/>
    <w:rsid w:val="00E47D4D"/>
    <w:rPr>
      <w:rFonts w:ascii="Cambria" w:hAnsi="Cambria" w:cs="Times New Roman"/>
      <w:i/>
      <w:iCs/>
      <w:color w:val="404040"/>
      <w:sz w:val="20"/>
      <w:szCs w:val="20"/>
    </w:rPr>
  </w:style>
  <w:style w:type="table" w:styleId="TableGrid">
    <w:name w:val="Table Grid"/>
    <w:basedOn w:val="TableNormal"/>
    <w:uiPriority w:val="99"/>
    <w:rsid w:val="00B24CC6"/>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rsid w:val="00C97277"/>
    <w:pPr>
      <w:spacing w:after="0" w:line="240" w:lineRule="auto"/>
    </w:pPr>
    <w:rPr>
      <w:sz w:val="20"/>
      <w:szCs w:val="20"/>
    </w:rPr>
  </w:style>
  <w:style w:type="character" w:customStyle="1" w:styleId="FootnoteTextChar">
    <w:name w:val="Footnote Text Char"/>
    <w:basedOn w:val="DefaultParagraphFont"/>
    <w:link w:val="FootnoteText"/>
    <w:uiPriority w:val="99"/>
    <w:semiHidden/>
    <w:locked/>
    <w:rsid w:val="00C97277"/>
    <w:rPr>
      <w:rFonts w:cs="Times New Roman"/>
      <w:sz w:val="20"/>
      <w:szCs w:val="20"/>
    </w:rPr>
  </w:style>
  <w:style w:type="character" w:styleId="FootnoteReference">
    <w:name w:val="footnote reference"/>
    <w:basedOn w:val="DefaultParagraphFont"/>
    <w:uiPriority w:val="99"/>
    <w:semiHidden/>
    <w:rsid w:val="00C97277"/>
    <w:rPr>
      <w:rFonts w:cs="Times New Roman"/>
      <w:vertAlign w:val="superscript"/>
    </w:rPr>
  </w:style>
  <w:style w:type="character" w:styleId="Hyperlink">
    <w:name w:val="Hyperlink"/>
    <w:basedOn w:val="DefaultParagraphFont"/>
    <w:uiPriority w:val="99"/>
    <w:rsid w:val="00C97277"/>
    <w:rPr>
      <w:rFonts w:cs="Times New Roman"/>
      <w:color w:val="0000FF"/>
      <w:u w:val="single"/>
    </w:rPr>
  </w:style>
  <w:style w:type="paragraph" w:customStyle="1" w:styleId="Default">
    <w:name w:val="Default"/>
    <w:uiPriority w:val="99"/>
    <w:rsid w:val="00C97277"/>
    <w:pPr>
      <w:autoSpaceDE w:val="0"/>
      <w:autoSpaceDN w:val="0"/>
      <w:adjustRightInd w:val="0"/>
    </w:pPr>
    <w:rPr>
      <w:rFonts w:ascii="Times New Roman" w:hAnsi="Times New Roman"/>
      <w:color w:val="000000"/>
      <w:sz w:val="24"/>
      <w:szCs w:val="24"/>
    </w:rPr>
  </w:style>
  <w:style w:type="paragraph" w:styleId="HTMLPreformatted">
    <w:name w:val="HTML Preformatted"/>
    <w:basedOn w:val="Normal"/>
    <w:link w:val="HTMLPreformattedChar"/>
    <w:uiPriority w:val="99"/>
    <w:semiHidden/>
    <w:rsid w:val="007131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713114"/>
    <w:rPr>
      <w:rFonts w:ascii="Courier New" w:hAnsi="Courier New" w:cs="Courier New"/>
      <w:sz w:val="20"/>
      <w:szCs w:val="20"/>
    </w:rPr>
  </w:style>
  <w:style w:type="paragraph" w:styleId="Header">
    <w:name w:val="header"/>
    <w:basedOn w:val="Normal"/>
    <w:link w:val="HeaderChar"/>
    <w:uiPriority w:val="99"/>
    <w:rsid w:val="00713114"/>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713114"/>
    <w:rPr>
      <w:rFonts w:cs="Times New Roman"/>
    </w:rPr>
  </w:style>
  <w:style w:type="paragraph" w:styleId="Footer">
    <w:name w:val="footer"/>
    <w:basedOn w:val="Normal"/>
    <w:link w:val="FooterChar"/>
    <w:uiPriority w:val="99"/>
    <w:rsid w:val="00713114"/>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713114"/>
    <w:rPr>
      <w:rFonts w:cs="Times New Roman"/>
    </w:rPr>
  </w:style>
  <w:style w:type="paragraph" w:styleId="BalloonText">
    <w:name w:val="Balloon Text"/>
    <w:basedOn w:val="Normal"/>
    <w:link w:val="BalloonTextChar"/>
    <w:uiPriority w:val="99"/>
    <w:semiHidden/>
    <w:rsid w:val="008C4C7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8C4C74"/>
    <w:rPr>
      <w:rFonts w:ascii="Tahoma" w:hAnsi="Tahoma" w:cs="Tahoma"/>
      <w:sz w:val="16"/>
      <w:szCs w:val="16"/>
    </w:rPr>
  </w:style>
  <w:style w:type="paragraph" w:styleId="Subtitle">
    <w:name w:val="Subtitle"/>
    <w:basedOn w:val="Normal"/>
    <w:next w:val="Normal"/>
    <w:link w:val="SubtitleChar"/>
    <w:uiPriority w:val="99"/>
    <w:qFormat/>
    <w:rsid w:val="00095B62"/>
    <w:pPr>
      <w:numPr>
        <w:ilvl w:val="1"/>
      </w:numPr>
    </w:pPr>
    <w:rPr>
      <w:rFonts w:ascii="Cambria" w:eastAsia="Times New Roman" w:hAnsi="Cambria"/>
      <w:i/>
      <w:iCs/>
      <w:color w:val="4F81BD"/>
      <w:spacing w:val="15"/>
      <w:sz w:val="24"/>
      <w:szCs w:val="24"/>
    </w:rPr>
  </w:style>
  <w:style w:type="character" w:customStyle="1" w:styleId="SubtitleChar">
    <w:name w:val="Subtitle Char"/>
    <w:basedOn w:val="DefaultParagraphFont"/>
    <w:link w:val="Subtitle"/>
    <w:uiPriority w:val="99"/>
    <w:locked/>
    <w:rsid w:val="00095B62"/>
    <w:rPr>
      <w:rFonts w:ascii="Cambria" w:hAnsi="Cambria" w:cs="Times New Roman"/>
      <w:i/>
      <w:iCs/>
      <w:color w:val="4F81BD"/>
      <w:spacing w:val="15"/>
      <w:sz w:val="24"/>
      <w:szCs w:val="24"/>
    </w:rPr>
  </w:style>
  <w:style w:type="character" w:styleId="SubtleEmphasis">
    <w:name w:val="Subtle Emphasis"/>
    <w:basedOn w:val="DefaultParagraphFont"/>
    <w:uiPriority w:val="99"/>
    <w:qFormat/>
    <w:rsid w:val="00095B62"/>
    <w:rPr>
      <w:rFonts w:cs="Times New Roman"/>
      <w:i/>
      <w:iCs/>
      <w:color w:val="808080"/>
    </w:rPr>
  </w:style>
  <w:style w:type="character" w:styleId="Emphasis">
    <w:name w:val="Emphasis"/>
    <w:basedOn w:val="DefaultParagraphFont"/>
    <w:uiPriority w:val="99"/>
    <w:qFormat/>
    <w:rsid w:val="00095B62"/>
    <w:rPr>
      <w:rFonts w:cs="Times New Roman"/>
      <w:i/>
      <w:iCs/>
    </w:rPr>
  </w:style>
  <w:style w:type="character" w:styleId="IntenseEmphasis">
    <w:name w:val="Intense Emphasis"/>
    <w:basedOn w:val="DefaultParagraphFont"/>
    <w:uiPriority w:val="99"/>
    <w:qFormat/>
    <w:rsid w:val="00095B62"/>
    <w:rPr>
      <w:rFonts w:cs="Times New Roman"/>
      <w:b/>
      <w:bCs/>
      <w:i/>
      <w:iCs/>
      <w:color w:val="4F81BD"/>
    </w:rPr>
  </w:style>
  <w:style w:type="paragraph" w:styleId="ListParagraph">
    <w:name w:val="List Paragraph"/>
    <w:basedOn w:val="Normal"/>
    <w:uiPriority w:val="34"/>
    <w:qFormat/>
    <w:rsid w:val="006C5F21"/>
    <w:pPr>
      <w:ind w:left="720"/>
      <w:contextualSpacing/>
    </w:pPr>
  </w:style>
  <w:style w:type="character" w:styleId="CommentReference">
    <w:name w:val="annotation reference"/>
    <w:basedOn w:val="DefaultParagraphFont"/>
    <w:uiPriority w:val="99"/>
    <w:semiHidden/>
    <w:rsid w:val="00372CCF"/>
    <w:rPr>
      <w:rFonts w:cs="Times New Roman"/>
      <w:sz w:val="16"/>
      <w:szCs w:val="16"/>
    </w:rPr>
  </w:style>
  <w:style w:type="paragraph" w:styleId="CommentText">
    <w:name w:val="annotation text"/>
    <w:basedOn w:val="Normal"/>
    <w:link w:val="CommentTextChar"/>
    <w:uiPriority w:val="99"/>
    <w:semiHidden/>
    <w:rsid w:val="00372CCF"/>
    <w:pPr>
      <w:widowControl w:val="0"/>
      <w:kinsoku w:val="0"/>
      <w:spacing w:after="0" w:line="240" w:lineRule="auto"/>
    </w:pPr>
    <w:rPr>
      <w:rFonts w:eastAsia="Times New Roman"/>
      <w:sz w:val="20"/>
      <w:szCs w:val="20"/>
    </w:rPr>
  </w:style>
  <w:style w:type="character" w:customStyle="1" w:styleId="CommentTextChar">
    <w:name w:val="Comment Text Char"/>
    <w:basedOn w:val="DefaultParagraphFont"/>
    <w:link w:val="CommentText"/>
    <w:uiPriority w:val="99"/>
    <w:semiHidden/>
    <w:locked/>
    <w:rsid w:val="00372CCF"/>
    <w:rPr>
      <w:rFonts w:ascii="Times New Roman" w:hAnsi="Times New Roman" w:cs="Times New Roman"/>
      <w:sz w:val="20"/>
      <w:szCs w:val="20"/>
    </w:rPr>
  </w:style>
  <w:style w:type="paragraph" w:customStyle="1" w:styleId="TableTitle">
    <w:name w:val="Table Title"/>
    <w:basedOn w:val="Normal"/>
    <w:uiPriority w:val="99"/>
    <w:rsid w:val="00C052FE"/>
    <w:pPr>
      <w:autoSpaceDE w:val="0"/>
      <w:autoSpaceDN w:val="0"/>
      <w:adjustRightInd w:val="0"/>
      <w:spacing w:after="0" w:line="280" w:lineRule="atLeast"/>
      <w:jc w:val="center"/>
      <w:textAlignment w:val="center"/>
    </w:pPr>
    <w:rPr>
      <w:rFonts w:ascii="Arial" w:eastAsia="Times New Roman" w:hAnsi="Arial" w:cs="Arial"/>
      <w:b/>
      <w:bCs/>
      <w:color w:val="000000"/>
      <w:sz w:val="24"/>
      <w:szCs w:val="24"/>
    </w:rPr>
  </w:style>
  <w:style w:type="paragraph" w:customStyle="1" w:styleId="subhead">
    <w:name w:val="subhead"/>
    <w:basedOn w:val="Normal"/>
    <w:uiPriority w:val="99"/>
    <w:rsid w:val="00C052FE"/>
    <w:pPr>
      <w:spacing w:before="100" w:beforeAutospacing="1" w:after="100" w:afterAutospacing="1" w:line="240" w:lineRule="auto"/>
    </w:pPr>
    <w:rPr>
      <w:rFonts w:eastAsia="Times New Roman"/>
      <w:sz w:val="24"/>
      <w:szCs w:val="24"/>
    </w:rPr>
  </w:style>
  <w:style w:type="paragraph" w:styleId="NormalWeb">
    <w:name w:val="Normal (Web)"/>
    <w:basedOn w:val="Normal"/>
    <w:uiPriority w:val="99"/>
    <w:rsid w:val="00C052FE"/>
    <w:pPr>
      <w:spacing w:before="100" w:beforeAutospacing="1" w:after="100" w:afterAutospacing="1" w:line="240" w:lineRule="auto"/>
    </w:pPr>
    <w:rPr>
      <w:rFonts w:eastAsia="Times New Roman"/>
      <w:sz w:val="24"/>
      <w:szCs w:val="24"/>
    </w:rPr>
  </w:style>
  <w:style w:type="paragraph" w:customStyle="1" w:styleId="BodyText1">
    <w:name w:val="Body Text1"/>
    <w:basedOn w:val="Normal"/>
    <w:uiPriority w:val="99"/>
    <w:rsid w:val="009006D6"/>
    <w:pPr>
      <w:autoSpaceDE w:val="0"/>
      <w:autoSpaceDN w:val="0"/>
      <w:adjustRightInd w:val="0"/>
      <w:spacing w:after="0" w:line="240" w:lineRule="auto"/>
      <w:textAlignment w:val="center"/>
    </w:pPr>
    <w:rPr>
      <w:rFonts w:eastAsia="Times New Roman"/>
      <w:color w:val="000000"/>
    </w:rPr>
  </w:style>
  <w:style w:type="paragraph" w:styleId="TOCHeading">
    <w:name w:val="TOC Heading"/>
    <w:basedOn w:val="Heading1"/>
    <w:next w:val="Normal"/>
    <w:uiPriority w:val="99"/>
    <w:qFormat/>
    <w:rsid w:val="0002576C"/>
    <w:pPr>
      <w:keepNext/>
      <w:keepLines/>
      <w:spacing w:before="480" w:beforeAutospacing="0" w:after="0" w:afterAutospacing="0" w:line="276" w:lineRule="auto"/>
      <w:outlineLvl w:val="9"/>
    </w:pPr>
    <w:rPr>
      <w:rFonts w:ascii="Cambria" w:hAnsi="Cambria"/>
      <w:color w:val="365F91"/>
      <w:kern w:val="0"/>
      <w:sz w:val="28"/>
      <w:szCs w:val="28"/>
      <w:lang w:eastAsia="ja-JP"/>
    </w:rPr>
  </w:style>
  <w:style w:type="paragraph" w:styleId="TOC1">
    <w:name w:val="toc 1"/>
    <w:basedOn w:val="Normal"/>
    <w:next w:val="Normal"/>
    <w:autoRedefine/>
    <w:uiPriority w:val="39"/>
    <w:rsid w:val="0002576C"/>
    <w:pPr>
      <w:spacing w:after="100"/>
    </w:pPr>
  </w:style>
  <w:style w:type="paragraph" w:styleId="TOC2">
    <w:name w:val="toc 2"/>
    <w:basedOn w:val="Normal"/>
    <w:next w:val="Normal"/>
    <w:autoRedefine/>
    <w:uiPriority w:val="39"/>
    <w:rsid w:val="0002576C"/>
    <w:pPr>
      <w:spacing w:after="100"/>
      <w:ind w:left="220"/>
    </w:pPr>
  </w:style>
  <w:style w:type="paragraph" w:styleId="TOC3">
    <w:name w:val="toc 3"/>
    <w:basedOn w:val="Normal"/>
    <w:next w:val="Normal"/>
    <w:autoRedefine/>
    <w:uiPriority w:val="39"/>
    <w:rsid w:val="0002576C"/>
    <w:pPr>
      <w:spacing w:after="100"/>
      <w:ind w:left="440"/>
    </w:pPr>
  </w:style>
  <w:style w:type="paragraph" w:styleId="TOC4">
    <w:name w:val="toc 4"/>
    <w:basedOn w:val="Normal"/>
    <w:next w:val="Normal"/>
    <w:autoRedefine/>
    <w:uiPriority w:val="39"/>
    <w:rsid w:val="000C0F05"/>
    <w:pPr>
      <w:spacing w:after="100"/>
      <w:ind w:left="660"/>
    </w:pPr>
  </w:style>
  <w:style w:type="paragraph" w:styleId="TOC5">
    <w:name w:val="toc 5"/>
    <w:basedOn w:val="Normal"/>
    <w:next w:val="Normal"/>
    <w:autoRedefine/>
    <w:uiPriority w:val="39"/>
    <w:rsid w:val="000C0F05"/>
    <w:pPr>
      <w:spacing w:after="100"/>
      <w:ind w:left="880"/>
    </w:pPr>
  </w:style>
  <w:style w:type="paragraph" w:styleId="TOC6">
    <w:name w:val="toc 6"/>
    <w:basedOn w:val="Normal"/>
    <w:next w:val="Normal"/>
    <w:autoRedefine/>
    <w:uiPriority w:val="39"/>
    <w:rsid w:val="000C0F05"/>
    <w:pPr>
      <w:spacing w:after="100"/>
      <w:ind w:left="1100"/>
    </w:pPr>
  </w:style>
  <w:style w:type="paragraph" w:styleId="TableofFigures">
    <w:name w:val="table of figures"/>
    <w:aliases w:val="List of Tables"/>
    <w:basedOn w:val="2TablesandFigures2"/>
    <w:next w:val="Normal"/>
    <w:link w:val="TableofFiguresChar"/>
    <w:uiPriority w:val="99"/>
    <w:rsid w:val="00720E46"/>
    <w:pPr>
      <w:spacing w:after="0"/>
      <w:ind w:left="440" w:hanging="440"/>
    </w:pPr>
    <w:rPr>
      <w:rFonts w:asciiTheme="minorHAnsi" w:eastAsia="Calibri" w:hAnsiTheme="minorHAnsi" w:cs="Times New Roman"/>
      <w:b w:val="0"/>
      <w:bCs w:val="0"/>
      <w:smallCaps/>
      <w:szCs w:val="20"/>
    </w:rPr>
  </w:style>
  <w:style w:type="paragraph" w:styleId="CommentSubject">
    <w:name w:val="annotation subject"/>
    <w:basedOn w:val="CommentText"/>
    <w:next w:val="CommentText"/>
    <w:link w:val="CommentSubjectChar"/>
    <w:uiPriority w:val="99"/>
    <w:semiHidden/>
    <w:rsid w:val="005E3CD0"/>
    <w:pPr>
      <w:widowControl/>
      <w:kinsoku/>
      <w:spacing w:after="200"/>
    </w:pPr>
    <w:rPr>
      <w:rFonts w:ascii="Calibri" w:eastAsia="Calibri" w:hAnsi="Calibri"/>
      <w:b/>
      <w:bCs/>
    </w:rPr>
  </w:style>
  <w:style w:type="character" w:customStyle="1" w:styleId="CommentSubjectChar">
    <w:name w:val="Comment Subject Char"/>
    <w:basedOn w:val="CommentTextChar"/>
    <w:link w:val="CommentSubject"/>
    <w:uiPriority w:val="99"/>
    <w:semiHidden/>
    <w:locked/>
    <w:rsid w:val="005E3CD0"/>
    <w:rPr>
      <w:rFonts w:ascii="Times New Roman" w:hAnsi="Times New Roman" w:cs="Times New Roman"/>
      <w:b/>
      <w:bCs/>
      <w:sz w:val="20"/>
      <w:szCs w:val="20"/>
    </w:rPr>
  </w:style>
  <w:style w:type="character" w:styleId="Strong">
    <w:name w:val="Strong"/>
    <w:qFormat/>
    <w:locked/>
    <w:rsid w:val="00AC5502"/>
    <w:rPr>
      <w:rFonts w:ascii="Arial" w:hAnsi="Arial" w:cs="Arial"/>
    </w:rPr>
  </w:style>
  <w:style w:type="paragraph" w:customStyle="1" w:styleId="2ndLevelHeader">
    <w:name w:val="2nd Level Header"/>
    <w:basedOn w:val="Heading4"/>
    <w:next w:val="Normal"/>
    <w:qFormat/>
    <w:rsid w:val="000B71D4"/>
    <w:pPr>
      <w:ind w:left="0" w:firstLine="720"/>
    </w:pPr>
    <w:rPr>
      <w:rFonts w:ascii="Arial" w:hAnsi="Arial"/>
    </w:rPr>
  </w:style>
  <w:style w:type="paragraph" w:customStyle="1" w:styleId="Numbering">
    <w:name w:val="Numbering"/>
    <w:basedOn w:val="Normal"/>
    <w:qFormat/>
    <w:rsid w:val="000B71D4"/>
    <w:pPr>
      <w:numPr>
        <w:numId w:val="16"/>
      </w:numPr>
      <w:autoSpaceDE w:val="0"/>
      <w:autoSpaceDN w:val="0"/>
      <w:adjustRightInd w:val="0"/>
      <w:spacing w:line="240" w:lineRule="auto"/>
      <w:jc w:val="both"/>
    </w:pPr>
  </w:style>
  <w:style w:type="paragraph" w:customStyle="1" w:styleId="Bullets">
    <w:name w:val="Bullets"/>
    <w:basedOn w:val="ListParagraph"/>
    <w:qFormat/>
    <w:rsid w:val="000A31EC"/>
    <w:pPr>
      <w:numPr>
        <w:numId w:val="28"/>
      </w:numPr>
      <w:contextualSpacing w:val="0"/>
    </w:pPr>
  </w:style>
  <w:style w:type="paragraph" w:customStyle="1" w:styleId="2TablesandFigures2">
    <w:name w:val="2Tables and Figures2"/>
    <w:next w:val="Normal"/>
    <w:qFormat/>
    <w:rsid w:val="002F5DDC"/>
    <w:pPr>
      <w:spacing w:after="120" w:line="276" w:lineRule="auto"/>
    </w:pPr>
    <w:rPr>
      <w:rFonts w:ascii="Arial" w:eastAsia="Times New Roman" w:hAnsi="Arial" w:cs="Arial"/>
      <w:b/>
      <w:bCs/>
      <w:sz w:val="20"/>
      <w:szCs w:val="18"/>
    </w:rPr>
  </w:style>
  <w:style w:type="character" w:customStyle="1" w:styleId="TableofFiguresChar">
    <w:name w:val="Table of Figures Char"/>
    <w:aliases w:val="List of Tables Char"/>
    <w:basedOn w:val="DefaultParagraphFont"/>
    <w:link w:val="TableofFigures"/>
    <w:uiPriority w:val="99"/>
    <w:rsid w:val="00B75F4F"/>
    <w:rPr>
      <w:rFonts w:asciiTheme="minorHAnsi" w:hAnsiTheme="minorHAnsi"/>
      <w:smallCap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qFormat="1"/>
    <w:lsdException w:name="heading 9" w:lock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FA4DF8"/>
    <w:pPr>
      <w:spacing w:after="120" w:line="276" w:lineRule="auto"/>
    </w:pPr>
    <w:rPr>
      <w:rFonts w:ascii="Times New Roman" w:hAnsi="Times New Roman"/>
    </w:rPr>
  </w:style>
  <w:style w:type="paragraph" w:styleId="Heading1">
    <w:name w:val="heading 1"/>
    <w:basedOn w:val="Normal"/>
    <w:link w:val="Heading1Char"/>
    <w:qFormat/>
    <w:rsid w:val="00E745C2"/>
    <w:pPr>
      <w:spacing w:before="100" w:beforeAutospacing="1" w:after="100" w:afterAutospacing="1" w:line="240" w:lineRule="auto"/>
      <w:outlineLvl w:val="0"/>
    </w:pPr>
    <w:rPr>
      <w:rFonts w:ascii="Arial" w:eastAsia="Times New Roman" w:hAnsi="Arial"/>
      <w:b/>
      <w:bCs/>
      <w:color w:val="000000"/>
      <w:kern w:val="36"/>
      <w:sz w:val="48"/>
      <w:szCs w:val="48"/>
    </w:rPr>
  </w:style>
  <w:style w:type="paragraph" w:styleId="Heading2">
    <w:name w:val="heading 2"/>
    <w:basedOn w:val="Normal"/>
    <w:next w:val="Normal"/>
    <w:link w:val="Heading2Char"/>
    <w:qFormat/>
    <w:rsid w:val="00E745C2"/>
    <w:pPr>
      <w:keepNext/>
      <w:keepLines/>
      <w:jc w:val="center"/>
      <w:outlineLvl w:val="1"/>
    </w:pPr>
    <w:rPr>
      <w:rFonts w:ascii="Arial" w:eastAsia="Times New Roman" w:hAnsi="Arial"/>
      <w:b/>
      <w:bCs/>
      <w:color w:val="000000" w:themeColor="text1"/>
      <w:szCs w:val="26"/>
      <w:u w:val="single"/>
    </w:rPr>
  </w:style>
  <w:style w:type="paragraph" w:styleId="Heading3">
    <w:name w:val="heading 3"/>
    <w:basedOn w:val="Heading2"/>
    <w:next w:val="Normal"/>
    <w:link w:val="Heading3Char"/>
    <w:qFormat/>
    <w:rsid w:val="00AC5502"/>
    <w:pPr>
      <w:jc w:val="left"/>
      <w:outlineLvl w:val="2"/>
    </w:pPr>
    <w:rPr>
      <w:bCs w:val="0"/>
      <w:u w:val="none"/>
    </w:rPr>
  </w:style>
  <w:style w:type="paragraph" w:styleId="Heading4">
    <w:name w:val="heading 4"/>
    <w:basedOn w:val="Normal"/>
    <w:next w:val="Normal"/>
    <w:link w:val="Heading4Char"/>
    <w:qFormat/>
    <w:rsid w:val="000B71D4"/>
    <w:pPr>
      <w:keepNext/>
      <w:keepLines/>
      <w:ind w:left="720"/>
      <w:outlineLvl w:val="3"/>
    </w:pPr>
    <w:rPr>
      <w:rFonts w:ascii="Cambria" w:eastAsia="Times New Roman" w:hAnsi="Cambria"/>
      <w:b/>
      <w:bCs/>
      <w:i/>
      <w:iCs/>
      <w:color w:val="000000" w:themeColor="text1"/>
    </w:rPr>
  </w:style>
  <w:style w:type="paragraph" w:styleId="Heading5">
    <w:name w:val="heading 5"/>
    <w:aliases w:val="Tables and Figures"/>
    <w:basedOn w:val="Caption"/>
    <w:next w:val="Normal"/>
    <w:link w:val="Heading5Char"/>
    <w:qFormat/>
    <w:rsid w:val="002F5DDC"/>
    <w:pPr>
      <w:outlineLvl w:val="4"/>
    </w:pPr>
    <w:rPr>
      <w:rFonts w:ascii="Arial" w:hAnsi="Arial" w:cs="Arial"/>
      <w:sz w:val="20"/>
    </w:rPr>
  </w:style>
  <w:style w:type="paragraph" w:styleId="Heading6">
    <w:name w:val="heading 6"/>
    <w:basedOn w:val="Normal"/>
    <w:next w:val="Normal"/>
    <w:link w:val="Heading6Char"/>
    <w:uiPriority w:val="99"/>
    <w:qFormat/>
    <w:rsid w:val="009E38FD"/>
    <w:pPr>
      <w:keepNext/>
      <w:keepLines/>
      <w:spacing w:before="200" w:after="0"/>
      <w:ind w:left="1440"/>
      <w:outlineLvl w:val="5"/>
    </w:pPr>
    <w:rPr>
      <w:rFonts w:ascii="Cambria" w:eastAsia="Times New Roman" w:hAnsi="Cambria"/>
      <w:i/>
      <w:iCs/>
      <w:color w:val="243F60"/>
    </w:rPr>
  </w:style>
  <w:style w:type="paragraph" w:styleId="Heading7">
    <w:name w:val="heading 7"/>
    <w:basedOn w:val="Normal"/>
    <w:next w:val="Normal"/>
    <w:link w:val="Heading7Char"/>
    <w:uiPriority w:val="99"/>
    <w:qFormat/>
    <w:rsid w:val="009E38FD"/>
    <w:pPr>
      <w:keepNext/>
      <w:keepLines/>
      <w:spacing w:before="200" w:after="0"/>
      <w:outlineLvl w:val="6"/>
    </w:pPr>
    <w:rPr>
      <w:rFonts w:ascii="Cambria" w:eastAsia="Times New Roman" w:hAnsi="Cambria"/>
      <w:i/>
      <w:iCs/>
      <w:color w:val="404040"/>
    </w:rPr>
  </w:style>
  <w:style w:type="paragraph" w:styleId="Heading8">
    <w:name w:val="heading 8"/>
    <w:basedOn w:val="Normal"/>
    <w:next w:val="Normal"/>
    <w:link w:val="Heading8Char"/>
    <w:uiPriority w:val="99"/>
    <w:qFormat/>
    <w:rsid w:val="00E47D4D"/>
    <w:pPr>
      <w:keepNext/>
      <w:keepLines/>
      <w:spacing w:before="200" w:after="0"/>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9"/>
    <w:qFormat/>
    <w:rsid w:val="00E47D4D"/>
    <w:pPr>
      <w:keepNext/>
      <w:keepLines/>
      <w:spacing w:before="200" w:after="0"/>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E745C2"/>
    <w:rPr>
      <w:rFonts w:ascii="Arial" w:eastAsia="Times New Roman" w:hAnsi="Arial"/>
      <w:b/>
      <w:bCs/>
      <w:color w:val="000000"/>
      <w:kern w:val="36"/>
      <w:sz w:val="48"/>
      <w:szCs w:val="48"/>
    </w:rPr>
  </w:style>
  <w:style w:type="character" w:customStyle="1" w:styleId="Heading2Char">
    <w:name w:val="Heading 2 Char"/>
    <w:basedOn w:val="DefaultParagraphFont"/>
    <w:link w:val="Heading2"/>
    <w:locked/>
    <w:rsid w:val="00E745C2"/>
    <w:rPr>
      <w:rFonts w:ascii="Arial" w:eastAsia="Times New Roman" w:hAnsi="Arial"/>
      <w:b/>
      <w:bCs/>
      <w:color w:val="000000" w:themeColor="text1"/>
      <w:szCs w:val="26"/>
      <w:u w:val="single"/>
    </w:rPr>
  </w:style>
  <w:style w:type="character" w:customStyle="1" w:styleId="Heading3Char">
    <w:name w:val="Heading 3 Char"/>
    <w:basedOn w:val="DefaultParagraphFont"/>
    <w:link w:val="Heading3"/>
    <w:locked/>
    <w:rsid w:val="00AC5502"/>
    <w:rPr>
      <w:rFonts w:ascii="Arial" w:eastAsia="Times New Roman" w:hAnsi="Arial"/>
      <w:b/>
      <w:color w:val="000000" w:themeColor="text1"/>
      <w:szCs w:val="26"/>
    </w:rPr>
  </w:style>
  <w:style w:type="character" w:customStyle="1" w:styleId="Heading4Char">
    <w:name w:val="Heading 4 Char"/>
    <w:basedOn w:val="DefaultParagraphFont"/>
    <w:link w:val="Heading4"/>
    <w:locked/>
    <w:rsid w:val="000B71D4"/>
    <w:rPr>
      <w:rFonts w:ascii="Cambria" w:eastAsia="Times New Roman" w:hAnsi="Cambria"/>
      <w:b/>
      <w:bCs/>
      <w:i/>
      <w:iCs/>
      <w:color w:val="000000" w:themeColor="text1"/>
    </w:rPr>
  </w:style>
  <w:style w:type="paragraph" w:styleId="Caption">
    <w:name w:val="caption"/>
    <w:basedOn w:val="Normal"/>
    <w:next w:val="Normal"/>
    <w:uiPriority w:val="99"/>
    <w:qFormat/>
    <w:rsid w:val="00D66630"/>
    <w:pPr>
      <w:spacing w:line="240" w:lineRule="auto"/>
    </w:pPr>
    <w:rPr>
      <w:rFonts w:eastAsia="Times New Roman"/>
      <w:b/>
      <w:bCs/>
      <w:szCs w:val="18"/>
    </w:rPr>
  </w:style>
  <w:style w:type="character" w:customStyle="1" w:styleId="Heading5Char">
    <w:name w:val="Heading 5 Char"/>
    <w:aliases w:val="Tables and Figures Char"/>
    <w:basedOn w:val="DefaultParagraphFont"/>
    <w:link w:val="Heading5"/>
    <w:locked/>
    <w:rsid w:val="002F5DDC"/>
    <w:rPr>
      <w:rFonts w:ascii="Arial" w:eastAsia="Times New Roman" w:hAnsi="Arial" w:cs="Arial"/>
      <w:b/>
      <w:bCs/>
      <w:sz w:val="20"/>
      <w:szCs w:val="18"/>
    </w:rPr>
  </w:style>
  <w:style w:type="character" w:customStyle="1" w:styleId="Heading6Char">
    <w:name w:val="Heading 6 Char"/>
    <w:basedOn w:val="DefaultParagraphFont"/>
    <w:link w:val="Heading6"/>
    <w:uiPriority w:val="99"/>
    <w:locked/>
    <w:rsid w:val="009E38FD"/>
    <w:rPr>
      <w:rFonts w:ascii="Cambria" w:hAnsi="Cambria" w:cs="Times New Roman"/>
      <w:i/>
      <w:iCs/>
      <w:color w:val="243F60"/>
    </w:rPr>
  </w:style>
  <w:style w:type="character" w:customStyle="1" w:styleId="Heading7Char">
    <w:name w:val="Heading 7 Char"/>
    <w:basedOn w:val="DefaultParagraphFont"/>
    <w:link w:val="Heading7"/>
    <w:uiPriority w:val="99"/>
    <w:locked/>
    <w:rsid w:val="009E38FD"/>
    <w:rPr>
      <w:rFonts w:ascii="Cambria" w:hAnsi="Cambria" w:cs="Times New Roman"/>
      <w:i/>
      <w:iCs/>
      <w:color w:val="404040"/>
    </w:rPr>
  </w:style>
  <w:style w:type="character" w:customStyle="1" w:styleId="Heading8Char">
    <w:name w:val="Heading 8 Char"/>
    <w:basedOn w:val="DefaultParagraphFont"/>
    <w:link w:val="Heading8"/>
    <w:uiPriority w:val="99"/>
    <w:locked/>
    <w:rsid w:val="00E47D4D"/>
    <w:rPr>
      <w:rFonts w:ascii="Cambria" w:hAnsi="Cambria" w:cs="Times New Roman"/>
      <w:color w:val="404040"/>
      <w:sz w:val="20"/>
      <w:szCs w:val="20"/>
    </w:rPr>
  </w:style>
  <w:style w:type="character" w:customStyle="1" w:styleId="Heading9Char">
    <w:name w:val="Heading 9 Char"/>
    <w:basedOn w:val="DefaultParagraphFont"/>
    <w:link w:val="Heading9"/>
    <w:uiPriority w:val="99"/>
    <w:locked/>
    <w:rsid w:val="00E47D4D"/>
    <w:rPr>
      <w:rFonts w:ascii="Cambria" w:hAnsi="Cambria" w:cs="Times New Roman"/>
      <w:i/>
      <w:iCs/>
      <w:color w:val="404040"/>
      <w:sz w:val="20"/>
      <w:szCs w:val="20"/>
    </w:rPr>
  </w:style>
  <w:style w:type="table" w:styleId="TableGrid">
    <w:name w:val="Table Grid"/>
    <w:basedOn w:val="TableNormal"/>
    <w:uiPriority w:val="99"/>
    <w:rsid w:val="00B24CC6"/>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rsid w:val="00C97277"/>
    <w:pPr>
      <w:spacing w:after="0" w:line="240" w:lineRule="auto"/>
    </w:pPr>
    <w:rPr>
      <w:sz w:val="20"/>
      <w:szCs w:val="20"/>
    </w:rPr>
  </w:style>
  <w:style w:type="character" w:customStyle="1" w:styleId="FootnoteTextChar">
    <w:name w:val="Footnote Text Char"/>
    <w:basedOn w:val="DefaultParagraphFont"/>
    <w:link w:val="FootnoteText"/>
    <w:uiPriority w:val="99"/>
    <w:semiHidden/>
    <w:locked/>
    <w:rsid w:val="00C97277"/>
    <w:rPr>
      <w:rFonts w:cs="Times New Roman"/>
      <w:sz w:val="20"/>
      <w:szCs w:val="20"/>
    </w:rPr>
  </w:style>
  <w:style w:type="character" w:styleId="FootnoteReference">
    <w:name w:val="footnote reference"/>
    <w:basedOn w:val="DefaultParagraphFont"/>
    <w:uiPriority w:val="99"/>
    <w:semiHidden/>
    <w:rsid w:val="00C97277"/>
    <w:rPr>
      <w:rFonts w:cs="Times New Roman"/>
      <w:vertAlign w:val="superscript"/>
    </w:rPr>
  </w:style>
  <w:style w:type="character" w:styleId="Hyperlink">
    <w:name w:val="Hyperlink"/>
    <w:basedOn w:val="DefaultParagraphFont"/>
    <w:uiPriority w:val="99"/>
    <w:rsid w:val="00C97277"/>
    <w:rPr>
      <w:rFonts w:cs="Times New Roman"/>
      <w:color w:val="0000FF"/>
      <w:u w:val="single"/>
    </w:rPr>
  </w:style>
  <w:style w:type="paragraph" w:customStyle="1" w:styleId="Default">
    <w:name w:val="Default"/>
    <w:uiPriority w:val="99"/>
    <w:rsid w:val="00C97277"/>
    <w:pPr>
      <w:autoSpaceDE w:val="0"/>
      <w:autoSpaceDN w:val="0"/>
      <w:adjustRightInd w:val="0"/>
    </w:pPr>
    <w:rPr>
      <w:rFonts w:ascii="Times New Roman" w:hAnsi="Times New Roman"/>
      <w:color w:val="000000"/>
      <w:sz w:val="24"/>
      <w:szCs w:val="24"/>
    </w:rPr>
  </w:style>
  <w:style w:type="paragraph" w:styleId="HTMLPreformatted">
    <w:name w:val="HTML Preformatted"/>
    <w:basedOn w:val="Normal"/>
    <w:link w:val="HTMLPreformattedChar"/>
    <w:uiPriority w:val="99"/>
    <w:semiHidden/>
    <w:rsid w:val="007131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713114"/>
    <w:rPr>
      <w:rFonts w:ascii="Courier New" w:hAnsi="Courier New" w:cs="Courier New"/>
      <w:sz w:val="20"/>
      <w:szCs w:val="20"/>
    </w:rPr>
  </w:style>
  <w:style w:type="paragraph" w:styleId="Header">
    <w:name w:val="header"/>
    <w:basedOn w:val="Normal"/>
    <w:link w:val="HeaderChar"/>
    <w:uiPriority w:val="99"/>
    <w:rsid w:val="00713114"/>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713114"/>
    <w:rPr>
      <w:rFonts w:cs="Times New Roman"/>
    </w:rPr>
  </w:style>
  <w:style w:type="paragraph" w:styleId="Footer">
    <w:name w:val="footer"/>
    <w:basedOn w:val="Normal"/>
    <w:link w:val="FooterChar"/>
    <w:uiPriority w:val="99"/>
    <w:rsid w:val="00713114"/>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713114"/>
    <w:rPr>
      <w:rFonts w:cs="Times New Roman"/>
    </w:rPr>
  </w:style>
  <w:style w:type="paragraph" w:styleId="BalloonText">
    <w:name w:val="Balloon Text"/>
    <w:basedOn w:val="Normal"/>
    <w:link w:val="BalloonTextChar"/>
    <w:uiPriority w:val="99"/>
    <w:semiHidden/>
    <w:rsid w:val="008C4C7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8C4C74"/>
    <w:rPr>
      <w:rFonts w:ascii="Tahoma" w:hAnsi="Tahoma" w:cs="Tahoma"/>
      <w:sz w:val="16"/>
      <w:szCs w:val="16"/>
    </w:rPr>
  </w:style>
  <w:style w:type="paragraph" w:styleId="Subtitle">
    <w:name w:val="Subtitle"/>
    <w:basedOn w:val="Normal"/>
    <w:next w:val="Normal"/>
    <w:link w:val="SubtitleChar"/>
    <w:uiPriority w:val="99"/>
    <w:qFormat/>
    <w:rsid w:val="00095B62"/>
    <w:pPr>
      <w:numPr>
        <w:ilvl w:val="1"/>
      </w:numPr>
    </w:pPr>
    <w:rPr>
      <w:rFonts w:ascii="Cambria" w:eastAsia="Times New Roman" w:hAnsi="Cambria"/>
      <w:i/>
      <w:iCs/>
      <w:color w:val="4F81BD"/>
      <w:spacing w:val="15"/>
      <w:sz w:val="24"/>
      <w:szCs w:val="24"/>
    </w:rPr>
  </w:style>
  <w:style w:type="character" w:customStyle="1" w:styleId="SubtitleChar">
    <w:name w:val="Subtitle Char"/>
    <w:basedOn w:val="DefaultParagraphFont"/>
    <w:link w:val="Subtitle"/>
    <w:uiPriority w:val="99"/>
    <w:locked/>
    <w:rsid w:val="00095B62"/>
    <w:rPr>
      <w:rFonts w:ascii="Cambria" w:hAnsi="Cambria" w:cs="Times New Roman"/>
      <w:i/>
      <w:iCs/>
      <w:color w:val="4F81BD"/>
      <w:spacing w:val="15"/>
      <w:sz w:val="24"/>
      <w:szCs w:val="24"/>
    </w:rPr>
  </w:style>
  <w:style w:type="character" w:styleId="SubtleEmphasis">
    <w:name w:val="Subtle Emphasis"/>
    <w:basedOn w:val="DefaultParagraphFont"/>
    <w:uiPriority w:val="99"/>
    <w:qFormat/>
    <w:rsid w:val="00095B62"/>
    <w:rPr>
      <w:rFonts w:cs="Times New Roman"/>
      <w:i/>
      <w:iCs/>
      <w:color w:val="808080"/>
    </w:rPr>
  </w:style>
  <w:style w:type="character" w:styleId="Emphasis">
    <w:name w:val="Emphasis"/>
    <w:basedOn w:val="DefaultParagraphFont"/>
    <w:uiPriority w:val="99"/>
    <w:qFormat/>
    <w:rsid w:val="00095B62"/>
    <w:rPr>
      <w:rFonts w:cs="Times New Roman"/>
      <w:i/>
      <w:iCs/>
    </w:rPr>
  </w:style>
  <w:style w:type="character" w:styleId="IntenseEmphasis">
    <w:name w:val="Intense Emphasis"/>
    <w:basedOn w:val="DefaultParagraphFont"/>
    <w:uiPriority w:val="99"/>
    <w:qFormat/>
    <w:rsid w:val="00095B62"/>
    <w:rPr>
      <w:rFonts w:cs="Times New Roman"/>
      <w:b/>
      <w:bCs/>
      <w:i/>
      <w:iCs/>
      <w:color w:val="4F81BD"/>
    </w:rPr>
  </w:style>
  <w:style w:type="paragraph" w:styleId="ListParagraph">
    <w:name w:val="List Paragraph"/>
    <w:basedOn w:val="Normal"/>
    <w:uiPriority w:val="34"/>
    <w:qFormat/>
    <w:rsid w:val="006C5F21"/>
    <w:pPr>
      <w:ind w:left="720"/>
      <w:contextualSpacing/>
    </w:pPr>
  </w:style>
  <w:style w:type="character" w:styleId="CommentReference">
    <w:name w:val="annotation reference"/>
    <w:basedOn w:val="DefaultParagraphFont"/>
    <w:uiPriority w:val="99"/>
    <w:semiHidden/>
    <w:rsid w:val="00372CCF"/>
    <w:rPr>
      <w:rFonts w:cs="Times New Roman"/>
      <w:sz w:val="16"/>
      <w:szCs w:val="16"/>
    </w:rPr>
  </w:style>
  <w:style w:type="paragraph" w:styleId="CommentText">
    <w:name w:val="annotation text"/>
    <w:basedOn w:val="Normal"/>
    <w:link w:val="CommentTextChar"/>
    <w:uiPriority w:val="99"/>
    <w:semiHidden/>
    <w:rsid w:val="00372CCF"/>
    <w:pPr>
      <w:widowControl w:val="0"/>
      <w:kinsoku w:val="0"/>
      <w:spacing w:after="0" w:line="240" w:lineRule="auto"/>
    </w:pPr>
    <w:rPr>
      <w:rFonts w:eastAsia="Times New Roman"/>
      <w:sz w:val="20"/>
      <w:szCs w:val="20"/>
    </w:rPr>
  </w:style>
  <w:style w:type="character" w:customStyle="1" w:styleId="CommentTextChar">
    <w:name w:val="Comment Text Char"/>
    <w:basedOn w:val="DefaultParagraphFont"/>
    <w:link w:val="CommentText"/>
    <w:uiPriority w:val="99"/>
    <w:semiHidden/>
    <w:locked/>
    <w:rsid w:val="00372CCF"/>
    <w:rPr>
      <w:rFonts w:ascii="Times New Roman" w:hAnsi="Times New Roman" w:cs="Times New Roman"/>
      <w:sz w:val="20"/>
      <w:szCs w:val="20"/>
    </w:rPr>
  </w:style>
  <w:style w:type="paragraph" w:customStyle="1" w:styleId="TableTitle">
    <w:name w:val="Table Title"/>
    <w:basedOn w:val="Normal"/>
    <w:uiPriority w:val="99"/>
    <w:rsid w:val="00C052FE"/>
    <w:pPr>
      <w:autoSpaceDE w:val="0"/>
      <w:autoSpaceDN w:val="0"/>
      <w:adjustRightInd w:val="0"/>
      <w:spacing w:after="0" w:line="280" w:lineRule="atLeast"/>
      <w:jc w:val="center"/>
      <w:textAlignment w:val="center"/>
    </w:pPr>
    <w:rPr>
      <w:rFonts w:ascii="Arial" w:eastAsia="Times New Roman" w:hAnsi="Arial" w:cs="Arial"/>
      <w:b/>
      <w:bCs/>
      <w:color w:val="000000"/>
      <w:sz w:val="24"/>
      <w:szCs w:val="24"/>
    </w:rPr>
  </w:style>
  <w:style w:type="paragraph" w:customStyle="1" w:styleId="subhead">
    <w:name w:val="subhead"/>
    <w:basedOn w:val="Normal"/>
    <w:uiPriority w:val="99"/>
    <w:rsid w:val="00C052FE"/>
    <w:pPr>
      <w:spacing w:before="100" w:beforeAutospacing="1" w:after="100" w:afterAutospacing="1" w:line="240" w:lineRule="auto"/>
    </w:pPr>
    <w:rPr>
      <w:rFonts w:eastAsia="Times New Roman"/>
      <w:sz w:val="24"/>
      <w:szCs w:val="24"/>
    </w:rPr>
  </w:style>
  <w:style w:type="paragraph" w:styleId="NormalWeb">
    <w:name w:val="Normal (Web)"/>
    <w:basedOn w:val="Normal"/>
    <w:uiPriority w:val="99"/>
    <w:rsid w:val="00C052FE"/>
    <w:pPr>
      <w:spacing w:before="100" w:beforeAutospacing="1" w:after="100" w:afterAutospacing="1" w:line="240" w:lineRule="auto"/>
    </w:pPr>
    <w:rPr>
      <w:rFonts w:eastAsia="Times New Roman"/>
      <w:sz w:val="24"/>
      <w:szCs w:val="24"/>
    </w:rPr>
  </w:style>
  <w:style w:type="paragraph" w:customStyle="1" w:styleId="BodyText1">
    <w:name w:val="Body Text1"/>
    <w:basedOn w:val="Normal"/>
    <w:uiPriority w:val="99"/>
    <w:rsid w:val="009006D6"/>
    <w:pPr>
      <w:autoSpaceDE w:val="0"/>
      <w:autoSpaceDN w:val="0"/>
      <w:adjustRightInd w:val="0"/>
      <w:spacing w:after="0" w:line="240" w:lineRule="auto"/>
      <w:textAlignment w:val="center"/>
    </w:pPr>
    <w:rPr>
      <w:rFonts w:eastAsia="Times New Roman"/>
      <w:color w:val="000000"/>
    </w:rPr>
  </w:style>
  <w:style w:type="paragraph" w:styleId="TOCHeading">
    <w:name w:val="TOC Heading"/>
    <w:basedOn w:val="Heading1"/>
    <w:next w:val="Normal"/>
    <w:uiPriority w:val="99"/>
    <w:qFormat/>
    <w:rsid w:val="0002576C"/>
    <w:pPr>
      <w:keepNext/>
      <w:keepLines/>
      <w:spacing w:before="480" w:beforeAutospacing="0" w:after="0" w:afterAutospacing="0" w:line="276" w:lineRule="auto"/>
      <w:outlineLvl w:val="9"/>
    </w:pPr>
    <w:rPr>
      <w:rFonts w:ascii="Cambria" w:hAnsi="Cambria"/>
      <w:color w:val="365F91"/>
      <w:kern w:val="0"/>
      <w:sz w:val="28"/>
      <w:szCs w:val="28"/>
      <w:lang w:eastAsia="ja-JP"/>
    </w:rPr>
  </w:style>
  <w:style w:type="paragraph" w:styleId="TOC1">
    <w:name w:val="toc 1"/>
    <w:basedOn w:val="Normal"/>
    <w:next w:val="Normal"/>
    <w:autoRedefine/>
    <w:uiPriority w:val="39"/>
    <w:rsid w:val="0002576C"/>
    <w:pPr>
      <w:spacing w:after="100"/>
    </w:pPr>
  </w:style>
  <w:style w:type="paragraph" w:styleId="TOC2">
    <w:name w:val="toc 2"/>
    <w:basedOn w:val="Normal"/>
    <w:next w:val="Normal"/>
    <w:autoRedefine/>
    <w:uiPriority w:val="39"/>
    <w:rsid w:val="0002576C"/>
    <w:pPr>
      <w:spacing w:after="100"/>
      <w:ind w:left="220"/>
    </w:pPr>
  </w:style>
  <w:style w:type="paragraph" w:styleId="TOC3">
    <w:name w:val="toc 3"/>
    <w:basedOn w:val="Normal"/>
    <w:next w:val="Normal"/>
    <w:autoRedefine/>
    <w:uiPriority w:val="39"/>
    <w:rsid w:val="0002576C"/>
    <w:pPr>
      <w:spacing w:after="100"/>
      <w:ind w:left="440"/>
    </w:pPr>
  </w:style>
  <w:style w:type="paragraph" w:styleId="TOC4">
    <w:name w:val="toc 4"/>
    <w:basedOn w:val="Normal"/>
    <w:next w:val="Normal"/>
    <w:autoRedefine/>
    <w:uiPriority w:val="39"/>
    <w:rsid w:val="000C0F05"/>
    <w:pPr>
      <w:spacing w:after="100"/>
      <w:ind w:left="660"/>
    </w:pPr>
  </w:style>
  <w:style w:type="paragraph" w:styleId="TOC5">
    <w:name w:val="toc 5"/>
    <w:basedOn w:val="Normal"/>
    <w:next w:val="Normal"/>
    <w:autoRedefine/>
    <w:uiPriority w:val="39"/>
    <w:rsid w:val="000C0F05"/>
    <w:pPr>
      <w:spacing w:after="100"/>
      <w:ind w:left="880"/>
    </w:pPr>
  </w:style>
  <w:style w:type="paragraph" w:styleId="TOC6">
    <w:name w:val="toc 6"/>
    <w:basedOn w:val="Normal"/>
    <w:next w:val="Normal"/>
    <w:autoRedefine/>
    <w:uiPriority w:val="39"/>
    <w:rsid w:val="000C0F05"/>
    <w:pPr>
      <w:spacing w:after="100"/>
      <w:ind w:left="1100"/>
    </w:pPr>
  </w:style>
  <w:style w:type="paragraph" w:styleId="TableofFigures">
    <w:name w:val="table of figures"/>
    <w:aliases w:val="List of Tables"/>
    <w:basedOn w:val="2TablesandFigures2"/>
    <w:next w:val="Normal"/>
    <w:link w:val="TableofFiguresChar"/>
    <w:uiPriority w:val="99"/>
    <w:rsid w:val="00720E46"/>
    <w:pPr>
      <w:spacing w:after="0"/>
      <w:ind w:left="440" w:hanging="440"/>
    </w:pPr>
    <w:rPr>
      <w:rFonts w:asciiTheme="minorHAnsi" w:eastAsia="Calibri" w:hAnsiTheme="minorHAnsi" w:cs="Times New Roman"/>
      <w:b w:val="0"/>
      <w:bCs w:val="0"/>
      <w:smallCaps/>
      <w:szCs w:val="20"/>
    </w:rPr>
  </w:style>
  <w:style w:type="paragraph" w:styleId="CommentSubject">
    <w:name w:val="annotation subject"/>
    <w:basedOn w:val="CommentText"/>
    <w:next w:val="CommentText"/>
    <w:link w:val="CommentSubjectChar"/>
    <w:uiPriority w:val="99"/>
    <w:semiHidden/>
    <w:rsid w:val="005E3CD0"/>
    <w:pPr>
      <w:widowControl/>
      <w:kinsoku/>
      <w:spacing w:after="200"/>
    </w:pPr>
    <w:rPr>
      <w:rFonts w:ascii="Calibri" w:eastAsia="Calibri" w:hAnsi="Calibri"/>
      <w:b/>
      <w:bCs/>
    </w:rPr>
  </w:style>
  <w:style w:type="character" w:customStyle="1" w:styleId="CommentSubjectChar">
    <w:name w:val="Comment Subject Char"/>
    <w:basedOn w:val="CommentTextChar"/>
    <w:link w:val="CommentSubject"/>
    <w:uiPriority w:val="99"/>
    <w:semiHidden/>
    <w:locked/>
    <w:rsid w:val="005E3CD0"/>
    <w:rPr>
      <w:rFonts w:ascii="Times New Roman" w:hAnsi="Times New Roman" w:cs="Times New Roman"/>
      <w:b/>
      <w:bCs/>
      <w:sz w:val="20"/>
      <w:szCs w:val="20"/>
    </w:rPr>
  </w:style>
  <w:style w:type="character" w:styleId="Strong">
    <w:name w:val="Strong"/>
    <w:qFormat/>
    <w:locked/>
    <w:rsid w:val="00AC5502"/>
    <w:rPr>
      <w:rFonts w:ascii="Arial" w:hAnsi="Arial" w:cs="Arial"/>
    </w:rPr>
  </w:style>
  <w:style w:type="paragraph" w:customStyle="1" w:styleId="2ndLevelHeader">
    <w:name w:val="2nd Level Header"/>
    <w:basedOn w:val="Heading4"/>
    <w:next w:val="Normal"/>
    <w:qFormat/>
    <w:rsid w:val="000B71D4"/>
    <w:pPr>
      <w:ind w:left="0" w:firstLine="720"/>
    </w:pPr>
    <w:rPr>
      <w:rFonts w:ascii="Arial" w:hAnsi="Arial"/>
    </w:rPr>
  </w:style>
  <w:style w:type="paragraph" w:customStyle="1" w:styleId="Numbering">
    <w:name w:val="Numbering"/>
    <w:basedOn w:val="Normal"/>
    <w:qFormat/>
    <w:rsid w:val="000B71D4"/>
    <w:pPr>
      <w:numPr>
        <w:numId w:val="16"/>
      </w:numPr>
      <w:autoSpaceDE w:val="0"/>
      <w:autoSpaceDN w:val="0"/>
      <w:adjustRightInd w:val="0"/>
      <w:spacing w:line="240" w:lineRule="auto"/>
      <w:jc w:val="both"/>
    </w:pPr>
  </w:style>
  <w:style w:type="paragraph" w:customStyle="1" w:styleId="Bullets">
    <w:name w:val="Bullets"/>
    <w:basedOn w:val="ListParagraph"/>
    <w:qFormat/>
    <w:rsid w:val="000A31EC"/>
    <w:pPr>
      <w:numPr>
        <w:numId w:val="28"/>
      </w:numPr>
      <w:contextualSpacing w:val="0"/>
    </w:pPr>
  </w:style>
  <w:style w:type="paragraph" w:customStyle="1" w:styleId="2TablesandFigures2">
    <w:name w:val="2Tables and Figures2"/>
    <w:next w:val="Normal"/>
    <w:qFormat/>
    <w:rsid w:val="002F5DDC"/>
    <w:pPr>
      <w:spacing w:after="120" w:line="276" w:lineRule="auto"/>
    </w:pPr>
    <w:rPr>
      <w:rFonts w:ascii="Arial" w:eastAsia="Times New Roman" w:hAnsi="Arial" w:cs="Arial"/>
      <w:b/>
      <w:bCs/>
      <w:sz w:val="20"/>
      <w:szCs w:val="18"/>
    </w:rPr>
  </w:style>
  <w:style w:type="character" w:customStyle="1" w:styleId="TableofFiguresChar">
    <w:name w:val="Table of Figures Char"/>
    <w:aliases w:val="List of Tables Char"/>
    <w:basedOn w:val="DefaultParagraphFont"/>
    <w:link w:val="TableofFigures"/>
    <w:uiPriority w:val="99"/>
    <w:rsid w:val="00B75F4F"/>
    <w:rPr>
      <w:rFonts w:asciiTheme="minorHAnsi" w:hAnsiTheme="minorHAnsi"/>
      <w:smallCap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129139">
      <w:bodyDiv w:val="1"/>
      <w:marLeft w:val="0"/>
      <w:marRight w:val="0"/>
      <w:marTop w:val="0"/>
      <w:marBottom w:val="0"/>
      <w:divBdr>
        <w:top w:val="none" w:sz="0" w:space="0" w:color="auto"/>
        <w:left w:val="none" w:sz="0" w:space="0" w:color="auto"/>
        <w:bottom w:val="none" w:sz="0" w:space="0" w:color="auto"/>
        <w:right w:val="none" w:sz="0" w:space="0" w:color="auto"/>
      </w:divBdr>
    </w:div>
    <w:div w:id="75054443">
      <w:bodyDiv w:val="1"/>
      <w:marLeft w:val="0"/>
      <w:marRight w:val="0"/>
      <w:marTop w:val="0"/>
      <w:marBottom w:val="0"/>
      <w:divBdr>
        <w:top w:val="none" w:sz="0" w:space="0" w:color="auto"/>
        <w:left w:val="none" w:sz="0" w:space="0" w:color="auto"/>
        <w:bottom w:val="none" w:sz="0" w:space="0" w:color="auto"/>
        <w:right w:val="none" w:sz="0" w:space="0" w:color="auto"/>
      </w:divBdr>
    </w:div>
    <w:div w:id="94713953">
      <w:bodyDiv w:val="1"/>
      <w:marLeft w:val="0"/>
      <w:marRight w:val="0"/>
      <w:marTop w:val="0"/>
      <w:marBottom w:val="0"/>
      <w:divBdr>
        <w:top w:val="none" w:sz="0" w:space="0" w:color="auto"/>
        <w:left w:val="none" w:sz="0" w:space="0" w:color="auto"/>
        <w:bottom w:val="none" w:sz="0" w:space="0" w:color="auto"/>
        <w:right w:val="none" w:sz="0" w:space="0" w:color="auto"/>
      </w:divBdr>
    </w:div>
    <w:div w:id="105467959">
      <w:bodyDiv w:val="1"/>
      <w:marLeft w:val="0"/>
      <w:marRight w:val="0"/>
      <w:marTop w:val="0"/>
      <w:marBottom w:val="0"/>
      <w:divBdr>
        <w:top w:val="none" w:sz="0" w:space="0" w:color="auto"/>
        <w:left w:val="none" w:sz="0" w:space="0" w:color="auto"/>
        <w:bottom w:val="none" w:sz="0" w:space="0" w:color="auto"/>
        <w:right w:val="none" w:sz="0" w:space="0" w:color="auto"/>
      </w:divBdr>
    </w:div>
    <w:div w:id="118693947">
      <w:bodyDiv w:val="1"/>
      <w:marLeft w:val="0"/>
      <w:marRight w:val="0"/>
      <w:marTop w:val="0"/>
      <w:marBottom w:val="0"/>
      <w:divBdr>
        <w:top w:val="none" w:sz="0" w:space="0" w:color="auto"/>
        <w:left w:val="none" w:sz="0" w:space="0" w:color="auto"/>
        <w:bottom w:val="none" w:sz="0" w:space="0" w:color="auto"/>
        <w:right w:val="none" w:sz="0" w:space="0" w:color="auto"/>
      </w:divBdr>
    </w:div>
    <w:div w:id="134953447">
      <w:bodyDiv w:val="1"/>
      <w:marLeft w:val="0"/>
      <w:marRight w:val="0"/>
      <w:marTop w:val="0"/>
      <w:marBottom w:val="0"/>
      <w:divBdr>
        <w:top w:val="none" w:sz="0" w:space="0" w:color="auto"/>
        <w:left w:val="none" w:sz="0" w:space="0" w:color="auto"/>
        <w:bottom w:val="none" w:sz="0" w:space="0" w:color="auto"/>
        <w:right w:val="none" w:sz="0" w:space="0" w:color="auto"/>
      </w:divBdr>
    </w:div>
    <w:div w:id="184172056">
      <w:bodyDiv w:val="1"/>
      <w:marLeft w:val="0"/>
      <w:marRight w:val="0"/>
      <w:marTop w:val="0"/>
      <w:marBottom w:val="0"/>
      <w:divBdr>
        <w:top w:val="none" w:sz="0" w:space="0" w:color="auto"/>
        <w:left w:val="none" w:sz="0" w:space="0" w:color="auto"/>
        <w:bottom w:val="none" w:sz="0" w:space="0" w:color="auto"/>
        <w:right w:val="none" w:sz="0" w:space="0" w:color="auto"/>
      </w:divBdr>
    </w:div>
    <w:div w:id="206837606">
      <w:bodyDiv w:val="1"/>
      <w:marLeft w:val="0"/>
      <w:marRight w:val="0"/>
      <w:marTop w:val="0"/>
      <w:marBottom w:val="0"/>
      <w:divBdr>
        <w:top w:val="none" w:sz="0" w:space="0" w:color="auto"/>
        <w:left w:val="none" w:sz="0" w:space="0" w:color="auto"/>
        <w:bottom w:val="none" w:sz="0" w:space="0" w:color="auto"/>
        <w:right w:val="none" w:sz="0" w:space="0" w:color="auto"/>
      </w:divBdr>
    </w:div>
    <w:div w:id="215707775">
      <w:bodyDiv w:val="1"/>
      <w:marLeft w:val="0"/>
      <w:marRight w:val="0"/>
      <w:marTop w:val="0"/>
      <w:marBottom w:val="0"/>
      <w:divBdr>
        <w:top w:val="none" w:sz="0" w:space="0" w:color="auto"/>
        <w:left w:val="none" w:sz="0" w:space="0" w:color="auto"/>
        <w:bottom w:val="none" w:sz="0" w:space="0" w:color="auto"/>
        <w:right w:val="none" w:sz="0" w:space="0" w:color="auto"/>
      </w:divBdr>
    </w:div>
    <w:div w:id="240872943">
      <w:bodyDiv w:val="1"/>
      <w:marLeft w:val="0"/>
      <w:marRight w:val="0"/>
      <w:marTop w:val="0"/>
      <w:marBottom w:val="0"/>
      <w:divBdr>
        <w:top w:val="none" w:sz="0" w:space="0" w:color="auto"/>
        <w:left w:val="none" w:sz="0" w:space="0" w:color="auto"/>
        <w:bottom w:val="none" w:sz="0" w:space="0" w:color="auto"/>
        <w:right w:val="none" w:sz="0" w:space="0" w:color="auto"/>
      </w:divBdr>
    </w:div>
    <w:div w:id="280501880">
      <w:bodyDiv w:val="1"/>
      <w:marLeft w:val="0"/>
      <w:marRight w:val="0"/>
      <w:marTop w:val="0"/>
      <w:marBottom w:val="0"/>
      <w:divBdr>
        <w:top w:val="none" w:sz="0" w:space="0" w:color="auto"/>
        <w:left w:val="none" w:sz="0" w:space="0" w:color="auto"/>
        <w:bottom w:val="none" w:sz="0" w:space="0" w:color="auto"/>
        <w:right w:val="none" w:sz="0" w:space="0" w:color="auto"/>
      </w:divBdr>
    </w:div>
    <w:div w:id="296109114">
      <w:bodyDiv w:val="1"/>
      <w:marLeft w:val="0"/>
      <w:marRight w:val="0"/>
      <w:marTop w:val="0"/>
      <w:marBottom w:val="0"/>
      <w:divBdr>
        <w:top w:val="none" w:sz="0" w:space="0" w:color="auto"/>
        <w:left w:val="none" w:sz="0" w:space="0" w:color="auto"/>
        <w:bottom w:val="none" w:sz="0" w:space="0" w:color="auto"/>
        <w:right w:val="none" w:sz="0" w:space="0" w:color="auto"/>
      </w:divBdr>
    </w:div>
    <w:div w:id="298071238">
      <w:bodyDiv w:val="1"/>
      <w:marLeft w:val="0"/>
      <w:marRight w:val="0"/>
      <w:marTop w:val="0"/>
      <w:marBottom w:val="0"/>
      <w:divBdr>
        <w:top w:val="none" w:sz="0" w:space="0" w:color="auto"/>
        <w:left w:val="none" w:sz="0" w:space="0" w:color="auto"/>
        <w:bottom w:val="none" w:sz="0" w:space="0" w:color="auto"/>
        <w:right w:val="none" w:sz="0" w:space="0" w:color="auto"/>
      </w:divBdr>
    </w:div>
    <w:div w:id="302933412">
      <w:bodyDiv w:val="1"/>
      <w:marLeft w:val="0"/>
      <w:marRight w:val="0"/>
      <w:marTop w:val="0"/>
      <w:marBottom w:val="0"/>
      <w:divBdr>
        <w:top w:val="none" w:sz="0" w:space="0" w:color="auto"/>
        <w:left w:val="none" w:sz="0" w:space="0" w:color="auto"/>
        <w:bottom w:val="none" w:sz="0" w:space="0" w:color="auto"/>
        <w:right w:val="none" w:sz="0" w:space="0" w:color="auto"/>
      </w:divBdr>
    </w:div>
    <w:div w:id="340593178">
      <w:bodyDiv w:val="1"/>
      <w:marLeft w:val="0"/>
      <w:marRight w:val="0"/>
      <w:marTop w:val="0"/>
      <w:marBottom w:val="0"/>
      <w:divBdr>
        <w:top w:val="none" w:sz="0" w:space="0" w:color="auto"/>
        <w:left w:val="none" w:sz="0" w:space="0" w:color="auto"/>
        <w:bottom w:val="none" w:sz="0" w:space="0" w:color="auto"/>
        <w:right w:val="none" w:sz="0" w:space="0" w:color="auto"/>
      </w:divBdr>
    </w:div>
    <w:div w:id="354842559">
      <w:bodyDiv w:val="1"/>
      <w:marLeft w:val="0"/>
      <w:marRight w:val="0"/>
      <w:marTop w:val="0"/>
      <w:marBottom w:val="0"/>
      <w:divBdr>
        <w:top w:val="none" w:sz="0" w:space="0" w:color="auto"/>
        <w:left w:val="none" w:sz="0" w:space="0" w:color="auto"/>
        <w:bottom w:val="none" w:sz="0" w:space="0" w:color="auto"/>
        <w:right w:val="none" w:sz="0" w:space="0" w:color="auto"/>
      </w:divBdr>
    </w:div>
    <w:div w:id="385496095">
      <w:bodyDiv w:val="1"/>
      <w:marLeft w:val="0"/>
      <w:marRight w:val="0"/>
      <w:marTop w:val="0"/>
      <w:marBottom w:val="0"/>
      <w:divBdr>
        <w:top w:val="none" w:sz="0" w:space="0" w:color="auto"/>
        <w:left w:val="none" w:sz="0" w:space="0" w:color="auto"/>
        <w:bottom w:val="none" w:sz="0" w:space="0" w:color="auto"/>
        <w:right w:val="none" w:sz="0" w:space="0" w:color="auto"/>
      </w:divBdr>
    </w:div>
    <w:div w:id="418215042">
      <w:bodyDiv w:val="1"/>
      <w:marLeft w:val="0"/>
      <w:marRight w:val="0"/>
      <w:marTop w:val="0"/>
      <w:marBottom w:val="0"/>
      <w:divBdr>
        <w:top w:val="none" w:sz="0" w:space="0" w:color="auto"/>
        <w:left w:val="none" w:sz="0" w:space="0" w:color="auto"/>
        <w:bottom w:val="none" w:sz="0" w:space="0" w:color="auto"/>
        <w:right w:val="none" w:sz="0" w:space="0" w:color="auto"/>
      </w:divBdr>
    </w:div>
    <w:div w:id="440339427">
      <w:bodyDiv w:val="1"/>
      <w:marLeft w:val="0"/>
      <w:marRight w:val="0"/>
      <w:marTop w:val="0"/>
      <w:marBottom w:val="0"/>
      <w:divBdr>
        <w:top w:val="none" w:sz="0" w:space="0" w:color="auto"/>
        <w:left w:val="none" w:sz="0" w:space="0" w:color="auto"/>
        <w:bottom w:val="none" w:sz="0" w:space="0" w:color="auto"/>
        <w:right w:val="none" w:sz="0" w:space="0" w:color="auto"/>
      </w:divBdr>
    </w:div>
    <w:div w:id="444082859">
      <w:bodyDiv w:val="1"/>
      <w:marLeft w:val="0"/>
      <w:marRight w:val="0"/>
      <w:marTop w:val="0"/>
      <w:marBottom w:val="0"/>
      <w:divBdr>
        <w:top w:val="none" w:sz="0" w:space="0" w:color="auto"/>
        <w:left w:val="none" w:sz="0" w:space="0" w:color="auto"/>
        <w:bottom w:val="none" w:sz="0" w:space="0" w:color="auto"/>
        <w:right w:val="none" w:sz="0" w:space="0" w:color="auto"/>
      </w:divBdr>
    </w:div>
    <w:div w:id="498693325">
      <w:bodyDiv w:val="1"/>
      <w:marLeft w:val="0"/>
      <w:marRight w:val="0"/>
      <w:marTop w:val="0"/>
      <w:marBottom w:val="0"/>
      <w:divBdr>
        <w:top w:val="none" w:sz="0" w:space="0" w:color="auto"/>
        <w:left w:val="none" w:sz="0" w:space="0" w:color="auto"/>
        <w:bottom w:val="none" w:sz="0" w:space="0" w:color="auto"/>
        <w:right w:val="none" w:sz="0" w:space="0" w:color="auto"/>
      </w:divBdr>
    </w:div>
    <w:div w:id="534125492">
      <w:bodyDiv w:val="1"/>
      <w:marLeft w:val="0"/>
      <w:marRight w:val="0"/>
      <w:marTop w:val="0"/>
      <w:marBottom w:val="0"/>
      <w:divBdr>
        <w:top w:val="none" w:sz="0" w:space="0" w:color="auto"/>
        <w:left w:val="none" w:sz="0" w:space="0" w:color="auto"/>
        <w:bottom w:val="none" w:sz="0" w:space="0" w:color="auto"/>
        <w:right w:val="none" w:sz="0" w:space="0" w:color="auto"/>
      </w:divBdr>
    </w:div>
    <w:div w:id="576281339">
      <w:bodyDiv w:val="1"/>
      <w:marLeft w:val="0"/>
      <w:marRight w:val="0"/>
      <w:marTop w:val="0"/>
      <w:marBottom w:val="0"/>
      <w:divBdr>
        <w:top w:val="none" w:sz="0" w:space="0" w:color="auto"/>
        <w:left w:val="none" w:sz="0" w:space="0" w:color="auto"/>
        <w:bottom w:val="none" w:sz="0" w:space="0" w:color="auto"/>
        <w:right w:val="none" w:sz="0" w:space="0" w:color="auto"/>
      </w:divBdr>
    </w:div>
    <w:div w:id="580532060">
      <w:bodyDiv w:val="1"/>
      <w:marLeft w:val="0"/>
      <w:marRight w:val="0"/>
      <w:marTop w:val="0"/>
      <w:marBottom w:val="0"/>
      <w:divBdr>
        <w:top w:val="none" w:sz="0" w:space="0" w:color="auto"/>
        <w:left w:val="none" w:sz="0" w:space="0" w:color="auto"/>
        <w:bottom w:val="none" w:sz="0" w:space="0" w:color="auto"/>
        <w:right w:val="none" w:sz="0" w:space="0" w:color="auto"/>
      </w:divBdr>
    </w:div>
    <w:div w:id="697511421">
      <w:bodyDiv w:val="1"/>
      <w:marLeft w:val="0"/>
      <w:marRight w:val="0"/>
      <w:marTop w:val="0"/>
      <w:marBottom w:val="0"/>
      <w:divBdr>
        <w:top w:val="none" w:sz="0" w:space="0" w:color="auto"/>
        <w:left w:val="none" w:sz="0" w:space="0" w:color="auto"/>
        <w:bottom w:val="none" w:sz="0" w:space="0" w:color="auto"/>
        <w:right w:val="none" w:sz="0" w:space="0" w:color="auto"/>
      </w:divBdr>
    </w:div>
    <w:div w:id="699939205">
      <w:bodyDiv w:val="1"/>
      <w:marLeft w:val="0"/>
      <w:marRight w:val="0"/>
      <w:marTop w:val="0"/>
      <w:marBottom w:val="0"/>
      <w:divBdr>
        <w:top w:val="none" w:sz="0" w:space="0" w:color="auto"/>
        <w:left w:val="none" w:sz="0" w:space="0" w:color="auto"/>
        <w:bottom w:val="none" w:sz="0" w:space="0" w:color="auto"/>
        <w:right w:val="none" w:sz="0" w:space="0" w:color="auto"/>
      </w:divBdr>
    </w:div>
    <w:div w:id="715396498">
      <w:bodyDiv w:val="1"/>
      <w:marLeft w:val="0"/>
      <w:marRight w:val="0"/>
      <w:marTop w:val="0"/>
      <w:marBottom w:val="0"/>
      <w:divBdr>
        <w:top w:val="none" w:sz="0" w:space="0" w:color="auto"/>
        <w:left w:val="none" w:sz="0" w:space="0" w:color="auto"/>
        <w:bottom w:val="none" w:sz="0" w:space="0" w:color="auto"/>
        <w:right w:val="none" w:sz="0" w:space="0" w:color="auto"/>
      </w:divBdr>
    </w:div>
    <w:div w:id="720792049">
      <w:bodyDiv w:val="1"/>
      <w:marLeft w:val="0"/>
      <w:marRight w:val="0"/>
      <w:marTop w:val="0"/>
      <w:marBottom w:val="0"/>
      <w:divBdr>
        <w:top w:val="none" w:sz="0" w:space="0" w:color="auto"/>
        <w:left w:val="none" w:sz="0" w:space="0" w:color="auto"/>
        <w:bottom w:val="none" w:sz="0" w:space="0" w:color="auto"/>
        <w:right w:val="none" w:sz="0" w:space="0" w:color="auto"/>
      </w:divBdr>
    </w:div>
    <w:div w:id="728458252">
      <w:bodyDiv w:val="1"/>
      <w:marLeft w:val="0"/>
      <w:marRight w:val="0"/>
      <w:marTop w:val="0"/>
      <w:marBottom w:val="0"/>
      <w:divBdr>
        <w:top w:val="none" w:sz="0" w:space="0" w:color="auto"/>
        <w:left w:val="none" w:sz="0" w:space="0" w:color="auto"/>
        <w:bottom w:val="none" w:sz="0" w:space="0" w:color="auto"/>
        <w:right w:val="none" w:sz="0" w:space="0" w:color="auto"/>
      </w:divBdr>
    </w:div>
    <w:div w:id="764378541">
      <w:bodyDiv w:val="1"/>
      <w:marLeft w:val="0"/>
      <w:marRight w:val="0"/>
      <w:marTop w:val="0"/>
      <w:marBottom w:val="0"/>
      <w:divBdr>
        <w:top w:val="none" w:sz="0" w:space="0" w:color="auto"/>
        <w:left w:val="none" w:sz="0" w:space="0" w:color="auto"/>
        <w:bottom w:val="none" w:sz="0" w:space="0" w:color="auto"/>
        <w:right w:val="none" w:sz="0" w:space="0" w:color="auto"/>
      </w:divBdr>
    </w:div>
    <w:div w:id="775252818">
      <w:bodyDiv w:val="1"/>
      <w:marLeft w:val="0"/>
      <w:marRight w:val="0"/>
      <w:marTop w:val="0"/>
      <w:marBottom w:val="0"/>
      <w:divBdr>
        <w:top w:val="none" w:sz="0" w:space="0" w:color="auto"/>
        <w:left w:val="none" w:sz="0" w:space="0" w:color="auto"/>
        <w:bottom w:val="none" w:sz="0" w:space="0" w:color="auto"/>
        <w:right w:val="none" w:sz="0" w:space="0" w:color="auto"/>
      </w:divBdr>
    </w:div>
    <w:div w:id="786971008">
      <w:bodyDiv w:val="1"/>
      <w:marLeft w:val="0"/>
      <w:marRight w:val="0"/>
      <w:marTop w:val="0"/>
      <w:marBottom w:val="0"/>
      <w:divBdr>
        <w:top w:val="none" w:sz="0" w:space="0" w:color="auto"/>
        <w:left w:val="none" w:sz="0" w:space="0" w:color="auto"/>
        <w:bottom w:val="none" w:sz="0" w:space="0" w:color="auto"/>
        <w:right w:val="none" w:sz="0" w:space="0" w:color="auto"/>
      </w:divBdr>
    </w:div>
    <w:div w:id="790787643">
      <w:bodyDiv w:val="1"/>
      <w:marLeft w:val="0"/>
      <w:marRight w:val="0"/>
      <w:marTop w:val="0"/>
      <w:marBottom w:val="0"/>
      <w:divBdr>
        <w:top w:val="none" w:sz="0" w:space="0" w:color="auto"/>
        <w:left w:val="none" w:sz="0" w:space="0" w:color="auto"/>
        <w:bottom w:val="none" w:sz="0" w:space="0" w:color="auto"/>
        <w:right w:val="none" w:sz="0" w:space="0" w:color="auto"/>
      </w:divBdr>
    </w:div>
    <w:div w:id="830023114">
      <w:bodyDiv w:val="1"/>
      <w:marLeft w:val="0"/>
      <w:marRight w:val="0"/>
      <w:marTop w:val="0"/>
      <w:marBottom w:val="0"/>
      <w:divBdr>
        <w:top w:val="none" w:sz="0" w:space="0" w:color="auto"/>
        <w:left w:val="none" w:sz="0" w:space="0" w:color="auto"/>
        <w:bottom w:val="none" w:sz="0" w:space="0" w:color="auto"/>
        <w:right w:val="none" w:sz="0" w:space="0" w:color="auto"/>
      </w:divBdr>
    </w:div>
    <w:div w:id="878665669">
      <w:bodyDiv w:val="1"/>
      <w:marLeft w:val="0"/>
      <w:marRight w:val="0"/>
      <w:marTop w:val="0"/>
      <w:marBottom w:val="0"/>
      <w:divBdr>
        <w:top w:val="none" w:sz="0" w:space="0" w:color="auto"/>
        <w:left w:val="none" w:sz="0" w:space="0" w:color="auto"/>
        <w:bottom w:val="none" w:sz="0" w:space="0" w:color="auto"/>
        <w:right w:val="none" w:sz="0" w:space="0" w:color="auto"/>
      </w:divBdr>
    </w:div>
    <w:div w:id="932666421">
      <w:bodyDiv w:val="1"/>
      <w:marLeft w:val="0"/>
      <w:marRight w:val="0"/>
      <w:marTop w:val="0"/>
      <w:marBottom w:val="0"/>
      <w:divBdr>
        <w:top w:val="none" w:sz="0" w:space="0" w:color="auto"/>
        <w:left w:val="none" w:sz="0" w:space="0" w:color="auto"/>
        <w:bottom w:val="none" w:sz="0" w:space="0" w:color="auto"/>
        <w:right w:val="none" w:sz="0" w:space="0" w:color="auto"/>
      </w:divBdr>
    </w:div>
    <w:div w:id="1000427722">
      <w:bodyDiv w:val="1"/>
      <w:marLeft w:val="0"/>
      <w:marRight w:val="0"/>
      <w:marTop w:val="0"/>
      <w:marBottom w:val="0"/>
      <w:divBdr>
        <w:top w:val="none" w:sz="0" w:space="0" w:color="auto"/>
        <w:left w:val="none" w:sz="0" w:space="0" w:color="auto"/>
        <w:bottom w:val="none" w:sz="0" w:space="0" w:color="auto"/>
        <w:right w:val="none" w:sz="0" w:space="0" w:color="auto"/>
      </w:divBdr>
    </w:div>
    <w:div w:id="1019964612">
      <w:bodyDiv w:val="1"/>
      <w:marLeft w:val="0"/>
      <w:marRight w:val="0"/>
      <w:marTop w:val="0"/>
      <w:marBottom w:val="0"/>
      <w:divBdr>
        <w:top w:val="none" w:sz="0" w:space="0" w:color="auto"/>
        <w:left w:val="none" w:sz="0" w:space="0" w:color="auto"/>
        <w:bottom w:val="none" w:sz="0" w:space="0" w:color="auto"/>
        <w:right w:val="none" w:sz="0" w:space="0" w:color="auto"/>
      </w:divBdr>
    </w:div>
    <w:div w:id="1029180553">
      <w:bodyDiv w:val="1"/>
      <w:marLeft w:val="0"/>
      <w:marRight w:val="0"/>
      <w:marTop w:val="0"/>
      <w:marBottom w:val="0"/>
      <w:divBdr>
        <w:top w:val="none" w:sz="0" w:space="0" w:color="auto"/>
        <w:left w:val="none" w:sz="0" w:space="0" w:color="auto"/>
        <w:bottom w:val="none" w:sz="0" w:space="0" w:color="auto"/>
        <w:right w:val="none" w:sz="0" w:space="0" w:color="auto"/>
      </w:divBdr>
    </w:div>
    <w:div w:id="1126317101">
      <w:bodyDiv w:val="1"/>
      <w:marLeft w:val="0"/>
      <w:marRight w:val="0"/>
      <w:marTop w:val="0"/>
      <w:marBottom w:val="0"/>
      <w:divBdr>
        <w:top w:val="none" w:sz="0" w:space="0" w:color="auto"/>
        <w:left w:val="none" w:sz="0" w:space="0" w:color="auto"/>
        <w:bottom w:val="none" w:sz="0" w:space="0" w:color="auto"/>
        <w:right w:val="none" w:sz="0" w:space="0" w:color="auto"/>
      </w:divBdr>
    </w:div>
    <w:div w:id="1179810210">
      <w:bodyDiv w:val="1"/>
      <w:marLeft w:val="0"/>
      <w:marRight w:val="0"/>
      <w:marTop w:val="0"/>
      <w:marBottom w:val="0"/>
      <w:divBdr>
        <w:top w:val="none" w:sz="0" w:space="0" w:color="auto"/>
        <w:left w:val="none" w:sz="0" w:space="0" w:color="auto"/>
        <w:bottom w:val="none" w:sz="0" w:space="0" w:color="auto"/>
        <w:right w:val="none" w:sz="0" w:space="0" w:color="auto"/>
      </w:divBdr>
    </w:div>
    <w:div w:id="1184244163">
      <w:bodyDiv w:val="1"/>
      <w:marLeft w:val="0"/>
      <w:marRight w:val="0"/>
      <w:marTop w:val="0"/>
      <w:marBottom w:val="0"/>
      <w:divBdr>
        <w:top w:val="none" w:sz="0" w:space="0" w:color="auto"/>
        <w:left w:val="none" w:sz="0" w:space="0" w:color="auto"/>
        <w:bottom w:val="none" w:sz="0" w:space="0" w:color="auto"/>
        <w:right w:val="none" w:sz="0" w:space="0" w:color="auto"/>
      </w:divBdr>
    </w:div>
    <w:div w:id="1261454169">
      <w:bodyDiv w:val="1"/>
      <w:marLeft w:val="0"/>
      <w:marRight w:val="0"/>
      <w:marTop w:val="0"/>
      <w:marBottom w:val="0"/>
      <w:divBdr>
        <w:top w:val="none" w:sz="0" w:space="0" w:color="auto"/>
        <w:left w:val="none" w:sz="0" w:space="0" w:color="auto"/>
        <w:bottom w:val="none" w:sz="0" w:space="0" w:color="auto"/>
        <w:right w:val="none" w:sz="0" w:space="0" w:color="auto"/>
      </w:divBdr>
    </w:div>
    <w:div w:id="1283419939">
      <w:bodyDiv w:val="1"/>
      <w:marLeft w:val="0"/>
      <w:marRight w:val="0"/>
      <w:marTop w:val="0"/>
      <w:marBottom w:val="0"/>
      <w:divBdr>
        <w:top w:val="none" w:sz="0" w:space="0" w:color="auto"/>
        <w:left w:val="none" w:sz="0" w:space="0" w:color="auto"/>
        <w:bottom w:val="none" w:sz="0" w:space="0" w:color="auto"/>
        <w:right w:val="none" w:sz="0" w:space="0" w:color="auto"/>
      </w:divBdr>
    </w:div>
    <w:div w:id="1323390954">
      <w:bodyDiv w:val="1"/>
      <w:marLeft w:val="0"/>
      <w:marRight w:val="0"/>
      <w:marTop w:val="0"/>
      <w:marBottom w:val="0"/>
      <w:divBdr>
        <w:top w:val="none" w:sz="0" w:space="0" w:color="auto"/>
        <w:left w:val="none" w:sz="0" w:space="0" w:color="auto"/>
        <w:bottom w:val="none" w:sz="0" w:space="0" w:color="auto"/>
        <w:right w:val="none" w:sz="0" w:space="0" w:color="auto"/>
      </w:divBdr>
    </w:div>
    <w:div w:id="1330135749">
      <w:bodyDiv w:val="1"/>
      <w:marLeft w:val="0"/>
      <w:marRight w:val="0"/>
      <w:marTop w:val="0"/>
      <w:marBottom w:val="0"/>
      <w:divBdr>
        <w:top w:val="none" w:sz="0" w:space="0" w:color="auto"/>
        <w:left w:val="none" w:sz="0" w:space="0" w:color="auto"/>
        <w:bottom w:val="none" w:sz="0" w:space="0" w:color="auto"/>
        <w:right w:val="none" w:sz="0" w:space="0" w:color="auto"/>
      </w:divBdr>
    </w:div>
    <w:div w:id="1372263209">
      <w:bodyDiv w:val="1"/>
      <w:marLeft w:val="0"/>
      <w:marRight w:val="0"/>
      <w:marTop w:val="0"/>
      <w:marBottom w:val="0"/>
      <w:divBdr>
        <w:top w:val="none" w:sz="0" w:space="0" w:color="auto"/>
        <w:left w:val="none" w:sz="0" w:space="0" w:color="auto"/>
        <w:bottom w:val="none" w:sz="0" w:space="0" w:color="auto"/>
        <w:right w:val="none" w:sz="0" w:space="0" w:color="auto"/>
      </w:divBdr>
    </w:div>
    <w:div w:id="1468471731">
      <w:bodyDiv w:val="1"/>
      <w:marLeft w:val="0"/>
      <w:marRight w:val="0"/>
      <w:marTop w:val="0"/>
      <w:marBottom w:val="0"/>
      <w:divBdr>
        <w:top w:val="none" w:sz="0" w:space="0" w:color="auto"/>
        <w:left w:val="none" w:sz="0" w:space="0" w:color="auto"/>
        <w:bottom w:val="none" w:sz="0" w:space="0" w:color="auto"/>
        <w:right w:val="none" w:sz="0" w:space="0" w:color="auto"/>
      </w:divBdr>
    </w:div>
    <w:div w:id="1504078783">
      <w:bodyDiv w:val="1"/>
      <w:marLeft w:val="0"/>
      <w:marRight w:val="0"/>
      <w:marTop w:val="0"/>
      <w:marBottom w:val="0"/>
      <w:divBdr>
        <w:top w:val="none" w:sz="0" w:space="0" w:color="auto"/>
        <w:left w:val="none" w:sz="0" w:space="0" w:color="auto"/>
        <w:bottom w:val="none" w:sz="0" w:space="0" w:color="auto"/>
        <w:right w:val="none" w:sz="0" w:space="0" w:color="auto"/>
      </w:divBdr>
    </w:div>
    <w:div w:id="1612785485">
      <w:bodyDiv w:val="1"/>
      <w:marLeft w:val="0"/>
      <w:marRight w:val="0"/>
      <w:marTop w:val="0"/>
      <w:marBottom w:val="0"/>
      <w:divBdr>
        <w:top w:val="none" w:sz="0" w:space="0" w:color="auto"/>
        <w:left w:val="none" w:sz="0" w:space="0" w:color="auto"/>
        <w:bottom w:val="none" w:sz="0" w:space="0" w:color="auto"/>
        <w:right w:val="none" w:sz="0" w:space="0" w:color="auto"/>
      </w:divBdr>
    </w:div>
    <w:div w:id="1628926870">
      <w:bodyDiv w:val="1"/>
      <w:marLeft w:val="0"/>
      <w:marRight w:val="0"/>
      <w:marTop w:val="0"/>
      <w:marBottom w:val="0"/>
      <w:divBdr>
        <w:top w:val="none" w:sz="0" w:space="0" w:color="auto"/>
        <w:left w:val="none" w:sz="0" w:space="0" w:color="auto"/>
        <w:bottom w:val="none" w:sz="0" w:space="0" w:color="auto"/>
        <w:right w:val="none" w:sz="0" w:space="0" w:color="auto"/>
      </w:divBdr>
    </w:div>
    <w:div w:id="1630938534">
      <w:bodyDiv w:val="1"/>
      <w:marLeft w:val="0"/>
      <w:marRight w:val="0"/>
      <w:marTop w:val="0"/>
      <w:marBottom w:val="0"/>
      <w:divBdr>
        <w:top w:val="none" w:sz="0" w:space="0" w:color="auto"/>
        <w:left w:val="none" w:sz="0" w:space="0" w:color="auto"/>
        <w:bottom w:val="none" w:sz="0" w:space="0" w:color="auto"/>
        <w:right w:val="none" w:sz="0" w:space="0" w:color="auto"/>
      </w:divBdr>
    </w:div>
    <w:div w:id="1651014530">
      <w:bodyDiv w:val="1"/>
      <w:marLeft w:val="0"/>
      <w:marRight w:val="0"/>
      <w:marTop w:val="0"/>
      <w:marBottom w:val="0"/>
      <w:divBdr>
        <w:top w:val="none" w:sz="0" w:space="0" w:color="auto"/>
        <w:left w:val="none" w:sz="0" w:space="0" w:color="auto"/>
        <w:bottom w:val="none" w:sz="0" w:space="0" w:color="auto"/>
        <w:right w:val="none" w:sz="0" w:space="0" w:color="auto"/>
      </w:divBdr>
    </w:div>
    <w:div w:id="1675453308">
      <w:bodyDiv w:val="1"/>
      <w:marLeft w:val="0"/>
      <w:marRight w:val="0"/>
      <w:marTop w:val="0"/>
      <w:marBottom w:val="0"/>
      <w:divBdr>
        <w:top w:val="none" w:sz="0" w:space="0" w:color="auto"/>
        <w:left w:val="none" w:sz="0" w:space="0" w:color="auto"/>
        <w:bottom w:val="none" w:sz="0" w:space="0" w:color="auto"/>
        <w:right w:val="none" w:sz="0" w:space="0" w:color="auto"/>
      </w:divBdr>
    </w:div>
    <w:div w:id="1689939342">
      <w:bodyDiv w:val="1"/>
      <w:marLeft w:val="0"/>
      <w:marRight w:val="0"/>
      <w:marTop w:val="0"/>
      <w:marBottom w:val="0"/>
      <w:divBdr>
        <w:top w:val="none" w:sz="0" w:space="0" w:color="auto"/>
        <w:left w:val="none" w:sz="0" w:space="0" w:color="auto"/>
        <w:bottom w:val="none" w:sz="0" w:space="0" w:color="auto"/>
        <w:right w:val="none" w:sz="0" w:space="0" w:color="auto"/>
      </w:divBdr>
    </w:div>
    <w:div w:id="1747456761">
      <w:bodyDiv w:val="1"/>
      <w:marLeft w:val="0"/>
      <w:marRight w:val="0"/>
      <w:marTop w:val="0"/>
      <w:marBottom w:val="0"/>
      <w:divBdr>
        <w:top w:val="none" w:sz="0" w:space="0" w:color="auto"/>
        <w:left w:val="none" w:sz="0" w:space="0" w:color="auto"/>
        <w:bottom w:val="none" w:sz="0" w:space="0" w:color="auto"/>
        <w:right w:val="none" w:sz="0" w:space="0" w:color="auto"/>
      </w:divBdr>
    </w:div>
    <w:div w:id="1748067660">
      <w:bodyDiv w:val="1"/>
      <w:marLeft w:val="0"/>
      <w:marRight w:val="0"/>
      <w:marTop w:val="0"/>
      <w:marBottom w:val="0"/>
      <w:divBdr>
        <w:top w:val="none" w:sz="0" w:space="0" w:color="auto"/>
        <w:left w:val="none" w:sz="0" w:space="0" w:color="auto"/>
        <w:bottom w:val="none" w:sz="0" w:space="0" w:color="auto"/>
        <w:right w:val="none" w:sz="0" w:space="0" w:color="auto"/>
      </w:divBdr>
    </w:div>
    <w:div w:id="1813017048">
      <w:bodyDiv w:val="1"/>
      <w:marLeft w:val="0"/>
      <w:marRight w:val="0"/>
      <w:marTop w:val="0"/>
      <w:marBottom w:val="0"/>
      <w:divBdr>
        <w:top w:val="none" w:sz="0" w:space="0" w:color="auto"/>
        <w:left w:val="none" w:sz="0" w:space="0" w:color="auto"/>
        <w:bottom w:val="none" w:sz="0" w:space="0" w:color="auto"/>
        <w:right w:val="none" w:sz="0" w:space="0" w:color="auto"/>
      </w:divBdr>
    </w:div>
    <w:div w:id="1813406060">
      <w:bodyDiv w:val="1"/>
      <w:marLeft w:val="0"/>
      <w:marRight w:val="0"/>
      <w:marTop w:val="0"/>
      <w:marBottom w:val="0"/>
      <w:divBdr>
        <w:top w:val="none" w:sz="0" w:space="0" w:color="auto"/>
        <w:left w:val="none" w:sz="0" w:space="0" w:color="auto"/>
        <w:bottom w:val="none" w:sz="0" w:space="0" w:color="auto"/>
        <w:right w:val="none" w:sz="0" w:space="0" w:color="auto"/>
      </w:divBdr>
    </w:div>
    <w:div w:id="1884520115">
      <w:bodyDiv w:val="1"/>
      <w:marLeft w:val="0"/>
      <w:marRight w:val="0"/>
      <w:marTop w:val="0"/>
      <w:marBottom w:val="0"/>
      <w:divBdr>
        <w:top w:val="none" w:sz="0" w:space="0" w:color="auto"/>
        <w:left w:val="none" w:sz="0" w:space="0" w:color="auto"/>
        <w:bottom w:val="none" w:sz="0" w:space="0" w:color="auto"/>
        <w:right w:val="none" w:sz="0" w:space="0" w:color="auto"/>
      </w:divBdr>
    </w:div>
    <w:div w:id="1893925958">
      <w:marLeft w:val="0"/>
      <w:marRight w:val="0"/>
      <w:marTop w:val="0"/>
      <w:marBottom w:val="0"/>
      <w:divBdr>
        <w:top w:val="none" w:sz="0" w:space="0" w:color="auto"/>
        <w:left w:val="none" w:sz="0" w:space="0" w:color="auto"/>
        <w:bottom w:val="none" w:sz="0" w:space="0" w:color="auto"/>
        <w:right w:val="none" w:sz="0" w:space="0" w:color="auto"/>
      </w:divBdr>
    </w:div>
    <w:div w:id="1893925959">
      <w:marLeft w:val="0"/>
      <w:marRight w:val="0"/>
      <w:marTop w:val="0"/>
      <w:marBottom w:val="0"/>
      <w:divBdr>
        <w:top w:val="none" w:sz="0" w:space="0" w:color="auto"/>
        <w:left w:val="none" w:sz="0" w:space="0" w:color="auto"/>
        <w:bottom w:val="none" w:sz="0" w:space="0" w:color="auto"/>
        <w:right w:val="none" w:sz="0" w:space="0" w:color="auto"/>
      </w:divBdr>
    </w:div>
    <w:div w:id="1956524841">
      <w:bodyDiv w:val="1"/>
      <w:marLeft w:val="0"/>
      <w:marRight w:val="0"/>
      <w:marTop w:val="0"/>
      <w:marBottom w:val="0"/>
      <w:divBdr>
        <w:top w:val="none" w:sz="0" w:space="0" w:color="auto"/>
        <w:left w:val="none" w:sz="0" w:space="0" w:color="auto"/>
        <w:bottom w:val="none" w:sz="0" w:space="0" w:color="auto"/>
        <w:right w:val="none" w:sz="0" w:space="0" w:color="auto"/>
      </w:divBdr>
    </w:div>
    <w:div w:id="2005737148">
      <w:bodyDiv w:val="1"/>
      <w:marLeft w:val="0"/>
      <w:marRight w:val="0"/>
      <w:marTop w:val="0"/>
      <w:marBottom w:val="0"/>
      <w:divBdr>
        <w:top w:val="none" w:sz="0" w:space="0" w:color="auto"/>
        <w:left w:val="none" w:sz="0" w:space="0" w:color="auto"/>
        <w:bottom w:val="none" w:sz="0" w:space="0" w:color="auto"/>
        <w:right w:val="none" w:sz="0" w:space="0" w:color="auto"/>
      </w:divBdr>
    </w:div>
    <w:div w:id="2011331521">
      <w:bodyDiv w:val="1"/>
      <w:marLeft w:val="0"/>
      <w:marRight w:val="0"/>
      <w:marTop w:val="0"/>
      <w:marBottom w:val="0"/>
      <w:divBdr>
        <w:top w:val="none" w:sz="0" w:space="0" w:color="auto"/>
        <w:left w:val="none" w:sz="0" w:space="0" w:color="auto"/>
        <w:bottom w:val="none" w:sz="0" w:space="0" w:color="auto"/>
        <w:right w:val="none" w:sz="0" w:space="0" w:color="auto"/>
      </w:divBdr>
    </w:div>
    <w:div w:id="2019850015">
      <w:bodyDiv w:val="1"/>
      <w:marLeft w:val="0"/>
      <w:marRight w:val="0"/>
      <w:marTop w:val="0"/>
      <w:marBottom w:val="0"/>
      <w:divBdr>
        <w:top w:val="none" w:sz="0" w:space="0" w:color="auto"/>
        <w:left w:val="none" w:sz="0" w:space="0" w:color="auto"/>
        <w:bottom w:val="none" w:sz="0" w:space="0" w:color="auto"/>
        <w:right w:val="none" w:sz="0" w:space="0" w:color="auto"/>
      </w:divBdr>
    </w:div>
    <w:div w:id="2083259734">
      <w:bodyDiv w:val="1"/>
      <w:marLeft w:val="0"/>
      <w:marRight w:val="0"/>
      <w:marTop w:val="0"/>
      <w:marBottom w:val="0"/>
      <w:divBdr>
        <w:top w:val="none" w:sz="0" w:space="0" w:color="auto"/>
        <w:left w:val="none" w:sz="0" w:space="0" w:color="auto"/>
        <w:bottom w:val="none" w:sz="0" w:space="0" w:color="auto"/>
        <w:right w:val="none" w:sz="0" w:space="0" w:color="auto"/>
      </w:divBdr>
    </w:div>
    <w:div w:id="2125538655">
      <w:bodyDiv w:val="1"/>
      <w:marLeft w:val="0"/>
      <w:marRight w:val="0"/>
      <w:marTop w:val="0"/>
      <w:marBottom w:val="0"/>
      <w:divBdr>
        <w:top w:val="none" w:sz="0" w:space="0" w:color="auto"/>
        <w:left w:val="none" w:sz="0" w:space="0" w:color="auto"/>
        <w:bottom w:val="none" w:sz="0" w:space="0" w:color="auto"/>
        <w:right w:val="none" w:sz="0" w:space="0" w:color="auto"/>
      </w:divBdr>
    </w:div>
    <w:div w:id="21281145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emf"/><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image" Target="media/image23.wmf"/><Relationship Id="rId42" Type="http://schemas.openxmlformats.org/officeDocument/2006/relationships/hyperlink" Target="http://www.epa.gov/ttnamti1/files/ambient/visible/tracking.pdf" TargetMode="External"/><Relationship Id="rId47" Type="http://schemas.openxmlformats.org/officeDocument/2006/relationships/image" Target="media/image29.emf"/><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emf"/><Relationship Id="rId33" Type="http://schemas.openxmlformats.org/officeDocument/2006/relationships/hyperlink" Target="http://www.marama.org/publications_folder/MANEVU_Emission_Projections_TSD_022807.pdf" TargetMode="External"/><Relationship Id="rId38" Type="http://schemas.openxmlformats.org/officeDocument/2006/relationships/footer" Target="footer1.xml"/><Relationship Id="rId46" Type="http://schemas.openxmlformats.org/officeDocument/2006/relationships/image" Target="media/image28.emf"/><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emf"/><Relationship Id="rId29" Type="http://schemas.openxmlformats.org/officeDocument/2006/relationships/image" Target="media/image20.emf"/><Relationship Id="rId41" Type="http://schemas.openxmlformats.org/officeDocument/2006/relationships/hyperlink" Target="http://vista.cira.colostate.edu/improve/Publications/GrayLit/gray_literature.ht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emf"/><Relationship Id="rId32" Type="http://schemas.openxmlformats.org/officeDocument/2006/relationships/image" Target="media/image22.emf"/><Relationship Id="rId37" Type="http://schemas.openxmlformats.org/officeDocument/2006/relationships/image" Target="media/image24.png"/><Relationship Id="rId40" Type="http://schemas.openxmlformats.org/officeDocument/2006/relationships/footer" Target="footer3.xml"/><Relationship Id="rId45" Type="http://schemas.openxmlformats.org/officeDocument/2006/relationships/image" Target="media/image27.emf"/><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hyperlink" Target="http://www.nescaum.org/topics/regional-haze/regional-haze-documents" TargetMode="External"/><Relationship Id="rId36" Type="http://schemas.openxmlformats.org/officeDocument/2006/relationships/hyperlink" Target="http://www.marama.org" TargetMode="External"/><Relationship Id="rId49"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image" Target="media/image11.emf"/><Relationship Id="rId31" Type="http://schemas.openxmlformats.org/officeDocument/2006/relationships/hyperlink" Target="http://www.marama.org/publications_folder/EGU_Projections_Summary_Final_Aug_2009.pdf" TargetMode="External"/><Relationship Id="rId44" Type="http://schemas.openxmlformats.org/officeDocument/2006/relationships/image" Target="media/image26.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1.emf"/><Relationship Id="rId35" Type="http://schemas.openxmlformats.org/officeDocument/2006/relationships/hyperlink" Target="http://www.marama.org" TargetMode="External"/><Relationship Id="rId43" Type="http://schemas.openxmlformats.org/officeDocument/2006/relationships/image" Target="media/image25.emf"/><Relationship Id="rId48" Type="http://schemas.openxmlformats.org/officeDocument/2006/relationships/image" Target="media/image30.emf"/><Relationship Id="rId8" Type="http://schemas.openxmlformats.org/officeDocument/2006/relationships/endnotes" Target="endnotes.xml"/><Relationship Id="rId51"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vista.cira.colostate.edu/improve/publications/Reports/2011/2011.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874E895-EF44-4E1D-B7CE-C9908C8A99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87</Pages>
  <Words>19401</Words>
  <Characters>114759</Characters>
  <Application>Microsoft Office Word</Application>
  <DocSecurity>4</DocSecurity>
  <Lines>956</Lines>
  <Paragraphs>267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133893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Susan Wierman</dc:creator>
  <cp:lastModifiedBy>Downs, Tom</cp:lastModifiedBy>
  <cp:revision>2</cp:revision>
  <cp:lastPrinted>2013-12-04T21:40:00Z</cp:lastPrinted>
  <dcterms:created xsi:type="dcterms:W3CDTF">2015-03-30T12:34:00Z</dcterms:created>
  <dcterms:modified xsi:type="dcterms:W3CDTF">2015-03-30T12:34:00Z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1713608791</vt:i4>
  </property>
</Properties>
</file>