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BC02C" w14:textId="77777777" w:rsidR="007C21BA" w:rsidRPr="00E12761" w:rsidRDefault="007C21BA">
      <w:pPr>
        <w:widowControl/>
        <w:jc w:val="center"/>
        <w:rPr>
          <w:sz w:val="26"/>
          <w:szCs w:val="26"/>
        </w:rPr>
      </w:pPr>
      <w:bookmarkStart w:id="0" w:name="_GoBack"/>
      <w:bookmarkEnd w:id="0"/>
      <w:r w:rsidRPr="00E12761">
        <w:rPr>
          <w:sz w:val="26"/>
          <w:szCs w:val="26"/>
        </w:rPr>
        <w:t>UNITED STATES OF AMERICA</w:t>
      </w:r>
    </w:p>
    <w:p w14:paraId="787BC02D" w14:textId="77777777" w:rsidR="007C21BA" w:rsidRPr="00E12761" w:rsidRDefault="007C21BA">
      <w:pPr>
        <w:widowControl/>
        <w:jc w:val="center"/>
        <w:rPr>
          <w:sz w:val="26"/>
          <w:szCs w:val="26"/>
        </w:rPr>
      </w:pPr>
      <w:r w:rsidRPr="00E12761">
        <w:rPr>
          <w:sz w:val="26"/>
          <w:szCs w:val="26"/>
        </w:rPr>
        <w:t>FEDERAL ENERGY REGULATORY COMMISSION</w:t>
      </w:r>
    </w:p>
    <w:p w14:paraId="787BC02E" w14:textId="77777777" w:rsidR="007C21BA" w:rsidRPr="00E12761" w:rsidRDefault="007C21BA">
      <w:pPr>
        <w:widowControl/>
        <w:rPr>
          <w:sz w:val="26"/>
          <w:szCs w:val="26"/>
        </w:rPr>
      </w:pPr>
    </w:p>
    <w:p w14:paraId="787BC02F" w14:textId="1DF370CA" w:rsidR="00133E55" w:rsidRPr="00E12761" w:rsidRDefault="008A1D52" w:rsidP="00BE7B44">
      <w:pPr>
        <w:jc w:val="center"/>
        <w:rPr>
          <w:sz w:val="26"/>
          <w:szCs w:val="26"/>
        </w:rPr>
      </w:pPr>
      <w:r w:rsidRPr="00804064">
        <w:rPr>
          <w:sz w:val="26"/>
          <w:szCs w:val="26"/>
        </w:rPr>
        <w:t>Black Bear Hydro Partners</w:t>
      </w:r>
      <w:r w:rsidR="003C71E4">
        <w:rPr>
          <w:sz w:val="26"/>
          <w:szCs w:val="26"/>
        </w:rPr>
        <w:t>,</w:t>
      </w:r>
      <w:r w:rsidRPr="00804064">
        <w:rPr>
          <w:sz w:val="26"/>
          <w:szCs w:val="26"/>
        </w:rPr>
        <w:t xml:space="preserve"> LLC</w:t>
      </w:r>
      <w:r>
        <w:rPr>
          <w:sz w:val="26"/>
          <w:szCs w:val="26"/>
        </w:rPr>
        <w:tab/>
      </w:r>
      <w:r>
        <w:rPr>
          <w:sz w:val="26"/>
          <w:szCs w:val="26"/>
        </w:rPr>
        <w:tab/>
      </w:r>
      <w:r>
        <w:rPr>
          <w:sz w:val="26"/>
          <w:szCs w:val="26"/>
        </w:rPr>
        <w:tab/>
      </w:r>
      <w:r>
        <w:rPr>
          <w:sz w:val="26"/>
          <w:szCs w:val="26"/>
        </w:rPr>
        <w:tab/>
      </w:r>
      <w:r>
        <w:rPr>
          <w:sz w:val="26"/>
          <w:szCs w:val="26"/>
        </w:rPr>
        <w:tab/>
      </w:r>
      <w:r w:rsidR="0062371D">
        <w:rPr>
          <w:sz w:val="26"/>
          <w:szCs w:val="26"/>
        </w:rPr>
        <w:t xml:space="preserve"> </w:t>
      </w:r>
      <w:r>
        <w:rPr>
          <w:sz w:val="26"/>
          <w:szCs w:val="26"/>
        </w:rPr>
        <w:t xml:space="preserve">       </w:t>
      </w:r>
      <w:r w:rsidR="0062371D">
        <w:rPr>
          <w:sz w:val="26"/>
          <w:szCs w:val="26"/>
        </w:rPr>
        <w:t xml:space="preserve"> </w:t>
      </w:r>
      <w:r w:rsidR="00133E55" w:rsidRPr="00E12761">
        <w:rPr>
          <w:sz w:val="26"/>
          <w:szCs w:val="26"/>
        </w:rPr>
        <w:t xml:space="preserve">Project No. </w:t>
      </w:r>
      <w:r>
        <w:rPr>
          <w:sz w:val="26"/>
          <w:szCs w:val="26"/>
        </w:rPr>
        <w:t>2727</w:t>
      </w:r>
      <w:r w:rsidR="00133E55" w:rsidRPr="00E12761">
        <w:rPr>
          <w:sz w:val="26"/>
          <w:szCs w:val="26"/>
        </w:rPr>
        <w:t>-</w:t>
      </w:r>
      <w:r w:rsidR="006443BC" w:rsidRPr="00E12761">
        <w:rPr>
          <w:sz w:val="26"/>
          <w:szCs w:val="26"/>
        </w:rPr>
        <w:t>0</w:t>
      </w:r>
      <w:r>
        <w:rPr>
          <w:sz w:val="26"/>
          <w:szCs w:val="26"/>
        </w:rPr>
        <w:t>92</w:t>
      </w:r>
    </w:p>
    <w:p w14:paraId="787BC030" w14:textId="77777777" w:rsidR="00133E55" w:rsidRPr="00E12761" w:rsidRDefault="00133E55">
      <w:pPr>
        <w:widowControl/>
        <w:rPr>
          <w:sz w:val="26"/>
          <w:szCs w:val="26"/>
        </w:rPr>
      </w:pPr>
    </w:p>
    <w:p w14:paraId="787BC031" w14:textId="77777777" w:rsidR="007C21BA" w:rsidRPr="00E12761" w:rsidRDefault="007C21BA">
      <w:pPr>
        <w:widowControl/>
        <w:jc w:val="center"/>
        <w:rPr>
          <w:b/>
          <w:bCs/>
          <w:sz w:val="26"/>
          <w:szCs w:val="26"/>
        </w:rPr>
      </w:pPr>
      <w:r w:rsidRPr="00E12761">
        <w:rPr>
          <w:sz w:val="26"/>
          <w:szCs w:val="26"/>
        </w:rPr>
        <w:t>NOTICE OF APPLICATION ACCEPTED FOR FILING, SOLICITING MOTIONS TO INTERVENE AND PROTESTS,</w:t>
      </w:r>
      <w:r w:rsidR="006443BC" w:rsidRPr="00E12761">
        <w:rPr>
          <w:sz w:val="26"/>
          <w:szCs w:val="26"/>
        </w:rPr>
        <w:t xml:space="preserve"> </w:t>
      </w:r>
      <w:r w:rsidRPr="00E12761">
        <w:rPr>
          <w:iCs/>
          <w:sz w:val="26"/>
          <w:szCs w:val="26"/>
        </w:rPr>
        <w:t>READY FOR ENVIRONMENTAL ANALYSIS</w:t>
      </w:r>
      <w:r w:rsidRPr="00E12761">
        <w:rPr>
          <w:i/>
          <w:iCs/>
          <w:sz w:val="26"/>
          <w:szCs w:val="26"/>
        </w:rPr>
        <w:t>,</w:t>
      </w:r>
      <w:r w:rsidRPr="00E12761">
        <w:rPr>
          <w:sz w:val="26"/>
          <w:szCs w:val="26"/>
        </w:rPr>
        <w:t xml:space="preserve"> AND SOLICITING COMMENTS, RECOMMENDATIONS, TERMS AND CONDITIONS, AND PRESCRIPTIONS</w:t>
      </w:r>
    </w:p>
    <w:p w14:paraId="787BC032" w14:textId="77777777" w:rsidR="006E0313" w:rsidRDefault="006E0313">
      <w:pPr>
        <w:widowControl/>
        <w:jc w:val="center"/>
        <w:rPr>
          <w:bCs/>
          <w:sz w:val="26"/>
          <w:szCs w:val="26"/>
        </w:rPr>
      </w:pPr>
    </w:p>
    <w:p w14:paraId="787BC033" w14:textId="33820EB1" w:rsidR="007C21BA" w:rsidRPr="00E12761" w:rsidRDefault="00BC56A4">
      <w:pPr>
        <w:widowControl/>
        <w:jc w:val="center"/>
        <w:rPr>
          <w:bCs/>
          <w:sz w:val="26"/>
          <w:szCs w:val="26"/>
        </w:rPr>
      </w:pPr>
      <w:r>
        <w:rPr>
          <w:bCs/>
          <w:sz w:val="26"/>
          <w:szCs w:val="26"/>
        </w:rPr>
        <w:t>(</w:t>
      </w:r>
      <w:r w:rsidR="008A1D52" w:rsidRPr="001D2A6D">
        <w:rPr>
          <w:bCs/>
          <w:sz w:val="26"/>
          <w:szCs w:val="26"/>
        </w:rPr>
        <w:t xml:space="preserve">February </w:t>
      </w:r>
      <w:r w:rsidR="00B35DCA" w:rsidRPr="001D2A6D">
        <w:rPr>
          <w:bCs/>
          <w:sz w:val="26"/>
          <w:szCs w:val="26"/>
        </w:rPr>
        <w:t>9</w:t>
      </w:r>
      <w:r w:rsidR="008A1D52" w:rsidRPr="001D2A6D">
        <w:rPr>
          <w:bCs/>
          <w:sz w:val="26"/>
          <w:szCs w:val="26"/>
        </w:rPr>
        <w:t>, 2018</w:t>
      </w:r>
      <w:r>
        <w:rPr>
          <w:bCs/>
          <w:sz w:val="26"/>
          <w:szCs w:val="26"/>
        </w:rPr>
        <w:t>)</w:t>
      </w:r>
    </w:p>
    <w:p w14:paraId="787BC034" w14:textId="77777777" w:rsidR="007C21BA" w:rsidRPr="00E12761" w:rsidRDefault="007C21BA">
      <w:pPr>
        <w:widowControl/>
        <w:tabs>
          <w:tab w:val="center" w:pos="4680"/>
        </w:tabs>
        <w:rPr>
          <w:sz w:val="26"/>
          <w:szCs w:val="26"/>
        </w:rPr>
      </w:pPr>
      <w:r w:rsidRPr="00E12761">
        <w:rPr>
          <w:sz w:val="26"/>
          <w:szCs w:val="26"/>
        </w:rPr>
        <w:tab/>
      </w:r>
    </w:p>
    <w:p w14:paraId="787BC035" w14:textId="47700E26" w:rsidR="007C21BA" w:rsidRPr="00E12761" w:rsidRDefault="007C21BA">
      <w:pPr>
        <w:widowControl/>
        <w:rPr>
          <w:sz w:val="26"/>
          <w:szCs w:val="26"/>
        </w:rPr>
      </w:pPr>
      <w:r w:rsidRPr="00E12761">
        <w:rPr>
          <w:sz w:val="26"/>
          <w:szCs w:val="26"/>
        </w:rPr>
        <w:t xml:space="preserve">Take notice that the following hydroelectric </w:t>
      </w:r>
      <w:r w:rsidR="00E85C20">
        <w:rPr>
          <w:sz w:val="26"/>
          <w:szCs w:val="26"/>
        </w:rPr>
        <w:t xml:space="preserve">license </w:t>
      </w:r>
      <w:r w:rsidRPr="00E12761">
        <w:rPr>
          <w:sz w:val="26"/>
          <w:szCs w:val="26"/>
        </w:rPr>
        <w:t xml:space="preserve">application has been filed with the </w:t>
      </w:r>
      <w:r w:rsidR="006443BC" w:rsidRPr="00E12761">
        <w:rPr>
          <w:sz w:val="26"/>
          <w:szCs w:val="26"/>
        </w:rPr>
        <w:t>C</w:t>
      </w:r>
      <w:r w:rsidRPr="00E12761">
        <w:rPr>
          <w:sz w:val="26"/>
          <w:szCs w:val="26"/>
        </w:rPr>
        <w:t>ommission and is available for public inspection.</w:t>
      </w:r>
    </w:p>
    <w:p w14:paraId="787BC036" w14:textId="77777777" w:rsidR="007C21BA" w:rsidRPr="00E12761" w:rsidRDefault="007C21BA">
      <w:pPr>
        <w:widowControl/>
        <w:rPr>
          <w:sz w:val="26"/>
          <w:szCs w:val="26"/>
        </w:rPr>
      </w:pPr>
    </w:p>
    <w:p w14:paraId="787BC037" w14:textId="1F7A66EF" w:rsidR="007C21BA" w:rsidRPr="00E12761" w:rsidRDefault="007C21BA">
      <w:pPr>
        <w:widowControl/>
        <w:rPr>
          <w:sz w:val="26"/>
          <w:szCs w:val="26"/>
        </w:rPr>
      </w:pPr>
      <w:r w:rsidRPr="00E12761">
        <w:rPr>
          <w:sz w:val="26"/>
          <w:szCs w:val="26"/>
        </w:rPr>
        <w:t xml:space="preserve">a.  </w:t>
      </w:r>
      <w:r w:rsidR="00E8498A">
        <w:rPr>
          <w:sz w:val="26"/>
          <w:szCs w:val="26"/>
        </w:rPr>
        <w:tab/>
      </w:r>
      <w:r w:rsidRPr="00E12761">
        <w:rPr>
          <w:sz w:val="26"/>
          <w:szCs w:val="26"/>
        </w:rPr>
        <w:t xml:space="preserve">Type of Application:  </w:t>
      </w:r>
      <w:r w:rsidR="00E85C20">
        <w:rPr>
          <w:sz w:val="26"/>
          <w:szCs w:val="26"/>
        </w:rPr>
        <w:t>New</w:t>
      </w:r>
      <w:r w:rsidR="006443BC" w:rsidRPr="00E12761">
        <w:rPr>
          <w:sz w:val="26"/>
          <w:szCs w:val="26"/>
        </w:rPr>
        <w:t xml:space="preserve"> </w:t>
      </w:r>
      <w:r w:rsidR="008A1D52">
        <w:rPr>
          <w:sz w:val="26"/>
          <w:szCs w:val="26"/>
        </w:rPr>
        <w:t>Major</w:t>
      </w:r>
      <w:r w:rsidR="006443BC" w:rsidRPr="00E12761">
        <w:rPr>
          <w:sz w:val="26"/>
          <w:szCs w:val="26"/>
        </w:rPr>
        <w:t xml:space="preserve"> License</w:t>
      </w:r>
    </w:p>
    <w:p w14:paraId="787BC038" w14:textId="77777777" w:rsidR="007C21BA" w:rsidRPr="00E12761" w:rsidRDefault="007C21BA">
      <w:pPr>
        <w:widowControl/>
        <w:rPr>
          <w:sz w:val="26"/>
          <w:szCs w:val="26"/>
        </w:rPr>
      </w:pPr>
    </w:p>
    <w:p w14:paraId="787BC039" w14:textId="106FE42B" w:rsidR="007C21BA" w:rsidRPr="00E12761" w:rsidRDefault="007C21BA">
      <w:pPr>
        <w:widowControl/>
        <w:rPr>
          <w:sz w:val="26"/>
          <w:szCs w:val="26"/>
        </w:rPr>
      </w:pPr>
      <w:r w:rsidRPr="00E12761">
        <w:rPr>
          <w:sz w:val="26"/>
          <w:szCs w:val="26"/>
        </w:rPr>
        <w:t xml:space="preserve">b.  </w:t>
      </w:r>
      <w:r w:rsidR="00E8498A">
        <w:rPr>
          <w:sz w:val="26"/>
          <w:szCs w:val="26"/>
        </w:rPr>
        <w:tab/>
      </w:r>
      <w:r w:rsidRPr="00E12761">
        <w:rPr>
          <w:sz w:val="26"/>
          <w:szCs w:val="26"/>
        </w:rPr>
        <w:t xml:space="preserve">Project No.:  </w:t>
      </w:r>
      <w:r w:rsidR="008A1D52">
        <w:rPr>
          <w:sz w:val="26"/>
          <w:szCs w:val="26"/>
        </w:rPr>
        <w:t>2727-092</w:t>
      </w:r>
    </w:p>
    <w:p w14:paraId="787BC03A" w14:textId="77777777" w:rsidR="007C21BA" w:rsidRPr="00E12761" w:rsidRDefault="007C21BA">
      <w:pPr>
        <w:widowControl/>
        <w:rPr>
          <w:sz w:val="26"/>
          <w:szCs w:val="26"/>
        </w:rPr>
      </w:pPr>
    </w:p>
    <w:p w14:paraId="787BC03B" w14:textId="492FC5FE" w:rsidR="007C21BA" w:rsidRPr="00E12761" w:rsidRDefault="007C21BA">
      <w:pPr>
        <w:widowControl/>
        <w:rPr>
          <w:sz w:val="26"/>
          <w:szCs w:val="26"/>
        </w:rPr>
      </w:pPr>
      <w:r w:rsidRPr="00E12761">
        <w:rPr>
          <w:sz w:val="26"/>
          <w:szCs w:val="26"/>
        </w:rPr>
        <w:t xml:space="preserve">c.  </w:t>
      </w:r>
      <w:r w:rsidR="00E8498A">
        <w:rPr>
          <w:sz w:val="26"/>
          <w:szCs w:val="26"/>
        </w:rPr>
        <w:tab/>
      </w:r>
      <w:r w:rsidRPr="00E12761">
        <w:rPr>
          <w:sz w:val="26"/>
          <w:szCs w:val="26"/>
        </w:rPr>
        <w:t xml:space="preserve">Date filed:  </w:t>
      </w:r>
      <w:r w:rsidR="008A1D52">
        <w:rPr>
          <w:sz w:val="26"/>
          <w:szCs w:val="26"/>
        </w:rPr>
        <w:t>December 30</w:t>
      </w:r>
      <w:r w:rsidR="008A1D52" w:rsidRPr="00E12761">
        <w:rPr>
          <w:sz w:val="26"/>
          <w:szCs w:val="26"/>
        </w:rPr>
        <w:t>, 201</w:t>
      </w:r>
      <w:r w:rsidR="008A1D52">
        <w:rPr>
          <w:sz w:val="26"/>
          <w:szCs w:val="26"/>
        </w:rPr>
        <w:t>5</w:t>
      </w:r>
    </w:p>
    <w:p w14:paraId="787BC03C" w14:textId="77777777" w:rsidR="007C21BA" w:rsidRPr="00E12761" w:rsidRDefault="007C21BA">
      <w:pPr>
        <w:widowControl/>
        <w:rPr>
          <w:sz w:val="26"/>
          <w:szCs w:val="26"/>
        </w:rPr>
      </w:pPr>
    </w:p>
    <w:p w14:paraId="787BC03D" w14:textId="1F3AC722" w:rsidR="007C21BA" w:rsidRPr="00E12761" w:rsidRDefault="007C21BA">
      <w:pPr>
        <w:widowControl/>
        <w:rPr>
          <w:sz w:val="26"/>
          <w:szCs w:val="26"/>
        </w:rPr>
      </w:pPr>
      <w:r w:rsidRPr="00E12761">
        <w:rPr>
          <w:sz w:val="26"/>
          <w:szCs w:val="26"/>
        </w:rPr>
        <w:t xml:space="preserve">d.  </w:t>
      </w:r>
      <w:r w:rsidR="00E8498A">
        <w:rPr>
          <w:sz w:val="26"/>
          <w:szCs w:val="26"/>
        </w:rPr>
        <w:tab/>
      </w:r>
      <w:r w:rsidRPr="00E12761">
        <w:rPr>
          <w:sz w:val="26"/>
          <w:szCs w:val="26"/>
        </w:rPr>
        <w:t xml:space="preserve">Applicant:  </w:t>
      </w:r>
      <w:r w:rsidR="008A1D52" w:rsidRPr="00804064">
        <w:rPr>
          <w:sz w:val="26"/>
          <w:szCs w:val="26"/>
        </w:rPr>
        <w:t>Black Bear Hydro Partners</w:t>
      </w:r>
      <w:r w:rsidR="003C71E4">
        <w:rPr>
          <w:sz w:val="26"/>
          <w:szCs w:val="26"/>
        </w:rPr>
        <w:t>,</w:t>
      </w:r>
      <w:r w:rsidR="008A1D52" w:rsidRPr="00804064">
        <w:rPr>
          <w:sz w:val="26"/>
          <w:szCs w:val="26"/>
        </w:rPr>
        <w:t xml:space="preserve"> LLC</w:t>
      </w:r>
      <w:r w:rsidR="008A1D52" w:rsidRPr="00804064">
        <w:rPr>
          <w:sz w:val="26"/>
          <w:szCs w:val="26"/>
          <w:lang w:val="en-CA"/>
        </w:rPr>
        <w:t xml:space="preserve"> (Black Bear Hydro)</w:t>
      </w:r>
    </w:p>
    <w:p w14:paraId="787BC03E" w14:textId="77777777" w:rsidR="007C21BA" w:rsidRPr="00E12761" w:rsidRDefault="007C21BA">
      <w:pPr>
        <w:widowControl/>
        <w:rPr>
          <w:sz w:val="26"/>
          <w:szCs w:val="26"/>
        </w:rPr>
      </w:pPr>
    </w:p>
    <w:p w14:paraId="787BC03F" w14:textId="1DA781CB" w:rsidR="007C21BA" w:rsidRPr="00E12761" w:rsidRDefault="007C21BA">
      <w:pPr>
        <w:widowControl/>
        <w:rPr>
          <w:sz w:val="26"/>
          <w:szCs w:val="26"/>
        </w:rPr>
      </w:pPr>
      <w:r w:rsidRPr="00E12761">
        <w:rPr>
          <w:sz w:val="26"/>
          <w:szCs w:val="26"/>
        </w:rPr>
        <w:t xml:space="preserve">e.  </w:t>
      </w:r>
      <w:r w:rsidR="00E8498A">
        <w:rPr>
          <w:sz w:val="26"/>
          <w:szCs w:val="26"/>
        </w:rPr>
        <w:tab/>
      </w:r>
      <w:r w:rsidRPr="00E12761">
        <w:rPr>
          <w:sz w:val="26"/>
          <w:szCs w:val="26"/>
        </w:rPr>
        <w:t xml:space="preserve">Name of Project:  </w:t>
      </w:r>
      <w:r w:rsidR="008A1D52" w:rsidRPr="00804064">
        <w:rPr>
          <w:sz w:val="26"/>
          <w:szCs w:val="26"/>
          <w:lang w:val="en-CA"/>
        </w:rPr>
        <w:t xml:space="preserve">Ellsworth </w:t>
      </w:r>
      <w:r w:rsidR="008A1D52" w:rsidRPr="00804064">
        <w:rPr>
          <w:sz w:val="26"/>
          <w:szCs w:val="26"/>
        </w:rPr>
        <w:t>Hydroelectric Project (Ellsworth Project)</w:t>
      </w:r>
    </w:p>
    <w:p w14:paraId="787BC040" w14:textId="77777777" w:rsidR="007C21BA" w:rsidRPr="00E12761" w:rsidRDefault="007C21BA">
      <w:pPr>
        <w:widowControl/>
        <w:rPr>
          <w:sz w:val="26"/>
          <w:szCs w:val="26"/>
        </w:rPr>
      </w:pPr>
    </w:p>
    <w:p w14:paraId="787BC041" w14:textId="2760DD38" w:rsidR="007C21BA" w:rsidRPr="00E12761" w:rsidRDefault="007C21BA">
      <w:pPr>
        <w:widowControl/>
        <w:rPr>
          <w:sz w:val="26"/>
          <w:szCs w:val="26"/>
          <w:u w:val="single"/>
        </w:rPr>
      </w:pPr>
      <w:r w:rsidRPr="00E12761">
        <w:rPr>
          <w:sz w:val="26"/>
          <w:szCs w:val="26"/>
        </w:rPr>
        <w:t xml:space="preserve">f.  </w:t>
      </w:r>
      <w:r w:rsidR="00E8498A">
        <w:rPr>
          <w:sz w:val="26"/>
          <w:szCs w:val="26"/>
        </w:rPr>
        <w:tab/>
      </w:r>
      <w:r w:rsidRPr="00E12761">
        <w:rPr>
          <w:sz w:val="26"/>
          <w:szCs w:val="26"/>
        </w:rPr>
        <w:t xml:space="preserve">Location:  </w:t>
      </w:r>
      <w:r w:rsidR="008A1D52">
        <w:rPr>
          <w:sz w:val="26"/>
          <w:szCs w:val="26"/>
        </w:rPr>
        <w:t>O</w:t>
      </w:r>
      <w:r w:rsidR="008A1D52" w:rsidRPr="00804064">
        <w:rPr>
          <w:sz w:val="26"/>
          <w:szCs w:val="26"/>
        </w:rPr>
        <w:t xml:space="preserve">n the Union River in Hancock County, Maine.  </w:t>
      </w:r>
      <w:r w:rsidR="008A1D52" w:rsidRPr="00E12761">
        <w:rPr>
          <w:sz w:val="26"/>
          <w:szCs w:val="26"/>
        </w:rPr>
        <w:t>There are no federal or tribal lands within the project boundary.</w:t>
      </w:r>
    </w:p>
    <w:p w14:paraId="787BC042" w14:textId="77777777" w:rsidR="007C21BA" w:rsidRPr="00E12761" w:rsidRDefault="007C21BA">
      <w:pPr>
        <w:widowControl/>
        <w:rPr>
          <w:sz w:val="26"/>
          <w:szCs w:val="26"/>
        </w:rPr>
      </w:pPr>
    </w:p>
    <w:p w14:paraId="787BC043" w14:textId="1D00B0D5" w:rsidR="007C21BA" w:rsidRPr="00E12761" w:rsidRDefault="007C21BA">
      <w:pPr>
        <w:widowControl/>
        <w:rPr>
          <w:sz w:val="26"/>
          <w:szCs w:val="26"/>
        </w:rPr>
      </w:pPr>
      <w:r w:rsidRPr="00E12761">
        <w:rPr>
          <w:sz w:val="26"/>
          <w:szCs w:val="26"/>
        </w:rPr>
        <w:t xml:space="preserve">g.  </w:t>
      </w:r>
      <w:r w:rsidR="00E8498A">
        <w:rPr>
          <w:sz w:val="26"/>
          <w:szCs w:val="26"/>
        </w:rPr>
        <w:tab/>
      </w:r>
      <w:r w:rsidRPr="00E12761">
        <w:rPr>
          <w:sz w:val="26"/>
          <w:szCs w:val="26"/>
        </w:rPr>
        <w:t xml:space="preserve">Filed Pursuant to:  </w:t>
      </w:r>
      <w:r w:rsidR="00B239C1" w:rsidRPr="00E12761">
        <w:rPr>
          <w:sz w:val="26"/>
          <w:szCs w:val="26"/>
        </w:rPr>
        <w:t>Federal Power Act 16 U.S.C. 791(a)-825(r)</w:t>
      </w:r>
    </w:p>
    <w:p w14:paraId="787BC044" w14:textId="77777777" w:rsidR="007C21BA" w:rsidRPr="00E12761" w:rsidRDefault="007C21BA">
      <w:pPr>
        <w:widowControl/>
        <w:rPr>
          <w:sz w:val="26"/>
          <w:szCs w:val="26"/>
        </w:rPr>
      </w:pPr>
    </w:p>
    <w:p w14:paraId="1DADFFF2" w14:textId="77777777" w:rsidR="008A1D52" w:rsidRPr="00E12761" w:rsidRDefault="007C21BA" w:rsidP="008A1D52">
      <w:pPr>
        <w:widowControl/>
        <w:rPr>
          <w:sz w:val="26"/>
          <w:szCs w:val="26"/>
        </w:rPr>
      </w:pPr>
      <w:r w:rsidRPr="00E12761">
        <w:rPr>
          <w:sz w:val="26"/>
          <w:szCs w:val="26"/>
        </w:rPr>
        <w:t xml:space="preserve">h.  </w:t>
      </w:r>
      <w:r w:rsidR="00E8498A">
        <w:rPr>
          <w:sz w:val="26"/>
          <w:szCs w:val="26"/>
        </w:rPr>
        <w:tab/>
      </w:r>
      <w:r w:rsidRPr="00E12761">
        <w:rPr>
          <w:sz w:val="26"/>
          <w:szCs w:val="26"/>
        </w:rPr>
        <w:t xml:space="preserve">Applicant Contact: </w:t>
      </w:r>
      <w:r w:rsidR="00A80BC3">
        <w:rPr>
          <w:sz w:val="26"/>
          <w:szCs w:val="26"/>
        </w:rPr>
        <w:t xml:space="preserve"> </w:t>
      </w:r>
      <w:r w:rsidR="008A1D52" w:rsidRPr="00804064">
        <w:rPr>
          <w:sz w:val="26"/>
          <w:szCs w:val="26"/>
        </w:rPr>
        <w:t xml:space="preserve">Ms. Kelly Maloney, Manager of Licensing and Compliance, Brookfield </w:t>
      </w:r>
      <w:r w:rsidR="008A1D52">
        <w:rPr>
          <w:sz w:val="26"/>
          <w:szCs w:val="26"/>
        </w:rPr>
        <w:t>Renewable Energy Group</w:t>
      </w:r>
      <w:r w:rsidR="008A1D52" w:rsidRPr="00804064">
        <w:rPr>
          <w:sz w:val="26"/>
          <w:szCs w:val="26"/>
        </w:rPr>
        <w:t>, 150 Main Street, Lewiston, ME 04240; Telephone: (207) 755-5606</w:t>
      </w:r>
    </w:p>
    <w:p w14:paraId="787BC046" w14:textId="77777777" w:rsidR="00B239C1" w:rsidRPr="00E12761" w:rsidRDefault="00B239C1">
      <w:pPr>
        <w:widowControl/>
        <w:rPr>
          <w:sz w:val="26"/>
          <w:szCs w:val="26"/>
        </w:rPr>
      </w:pPr>
    </w:p>
    <w:p w14:paraId="787BC047" w14:textId="70341F8E" w:rsidR="007C21BA" w:rsidRPr="00E12761" w:rsidRDefault="007C21BA">
      <w:pPr>
        <w:widowControl/>
        <w:rPr>
          <w:sz w:val="26"/>
          <w:szCs w:val="26"/>
        </w:rPr>
      </w:pPr>
      <w:proofErr w:type="spellStart"/>
      <w:r w:rsidRPr="00E12761">
        <w:rPr>
          <w:sz w:val="26"/>
          <w:szCs w:val="26"/>
        </w:rPr>
        <w:t>i</w:t>
      </w:r>
      <w:proofErr w:type="spellEnd"/>
      <w:r w:rsidRPr="00E12761">
        <w:rPr>
          <w:sz w:val="26"/>
          <w:szCs w:val="26"/>
        </w:rPr>
        <w:t xml:space="preserve">.  </w:t>
      </w:r>
      <w:r w:rsidR="00E8498A">
        <w:rPr>
          <w:sz w:val="26"/>
          <w:szCs w:val="26"/>
        </w:rPr>
        <w:tab/>
      </w:r>
      <w:r w:rsidRPr="00E12761">
        <w:rPr>
          <w:sz w:val="26"/>
          <w:szCs w:val="26"/>
        </w:rPr>
        <w:t xml:space="preserve">FERC Contact:  </w:t>
      </w:r>
      <w:r w:rsidR="008A1D52" w:rsidRPr="00804064">
        <w:rPr>
          <w:sz w:val="26"/>
          <w:szCs w:val="26"/>
        </w:rPr>
        <w:t xml:space="preserve">Dr. Nicholas </w:t>
      </w:r>
      <w:proofErr w:type="spellStart"/>
      <w:r w:rsidR="008A1D52" w:rsidRPr="00804064">
        <w:rPr>
          <w:sz w:val="26"/>
          <w:szCs w:val="26"/>
        </w:rPr>
        <w:t>Palso</w:t>
      </w:r>
      <w:proofErr w:type="spellEnd"/>
      <w:r w:rsidR="008A1D52" w:rsidRPr="00804064">
        <w:rPr>
          <w:sz w:val="26"/>
          <w:szCs w:val="26"/>
          <w:lang w:val="en-CA"/>
        </w:rPr>
        <w:fldChar w:fldCharType="begin"/>
      </w:r>
      <w:r w:rsidR="008A1D52" w:rsidRPr="00804064">
        <w:rPr>
          <w:sz w:val="26"/>
          <w:szCs w:val="26"/>
          <w:lang w:val="en-CA"/>
        </w:rPr>
        <w:instrText xml:space="preserve"> SEQ CHAPTER \h \r 1</w:instrText>
      </w:r>
      <w:r w:rsidR="008A1D52" w:rsidRPr="00804064">
        <w:rPr>
          <w:sz w:val="26"/>
          <w:szCs w:val="26"/>
          <w:lang w:val="en-CA"/>
        </w:rPr>
        <w:fldChar w:fldCharType="end"/>
      </w:r>
      <w:r w:rsidR="008A1D52" w:rsidRPr="00804064">
        <w:rPr>
          <w:sz w:val="26"/>
          <w:szCs w:val="26"/>
        </w:rPr>
        <w:t>, (202) 502-8854 or</w:t>
      </w:r>
      <w:r w:rsidR="008A1D52" w:rsidRPr="00804064">
        <w:rPr>
          <w:color w:val="FF0000"/>
          <w:sz w:val="26"/>
          <w:szCs w:val="26"/>
        </w:rPr>
        <w:t xml:space="preserve"> </w:t>
      </w:r>
      <w:hyperlink r:id="rId12" w:history="1">
        <w:r w:rsidR="008A1D52" w:rsidRPr="00804064">
          <w:rPr>
            <w:rStyle w:val="Hyperlink"/>
            <w:sz w:val="26"/>
            <w:szCs w:val="26"/>
          </w:rPr>
          <w:t>nicholas.palso@ferc.gov</w:t>
        </w:r>
      </w:hyperlink>
    </w:p>
    <w:p w14:paraId="787BC048" w14:textId="77777777" w:rsidR="007C21BA" w:rsidRPr="00E12761" w:rsidRDefault="007C21BA">
      <w:pPr>
        <w:widowControl/>
        <w:rPr>
          <w:sz w:val="26"/>
          <w:szCs w:val="26"/>
        </w:rPr>
      </w:pPr>
    </w:p>
    <w:p w14:paraId="787BC049" w14:textId="24332967" w:rsidR="007C21BA" w:rsidRPr="00E12761" w:rsidRDefault="007C21BA">
      <w:pPr>
        <w:widowControl/>
        <w:rPr>
          <w:sz w:val="26"/>
          <w:szCs w:val="26"/>
        </w:rPr>
      </w:pPr>
      <w:r w:rsidRPr="00E12761">
        <w:rPr>
          <w:sz w:val="26"/>
          <w:szCs w:val="26"/>
        </w:rPr>
        <w:t xml:space="preserve">j.  </w:t>
      </w:r>
      <w:r w:rsidR="00E8498A">
        <w:rPr>
          <w:sz w:val="26"/>
          <w:szCs w:val="26"/>
        </w:rPr>
        <w:tab/>
      </w:r>
      <w:r w:rsidRPr="00E12761">
        <w:rPr>
          <w:sz w:val="26"/>
          <w:szCs w:val="26"/>
        </w:rPr>
        <w:t xml:space="preserve">Deadline for filing </w:t>
      </w:r>
      <w:r w:rsidRPr="006C26A9">
        <w:rPr>
          <w:sz w:val="26"/>
          <w:szCs w:val="26"/>
        </w:rPr>
        <w:t>motions to intervene and protests</w:t>
      </w:r>
      <w:r w:rsidRPr="00E12761">
        <w:rPr>
          <w:sz w:val="26"/>
          <w:szCs w:val="26"/>
        </w:rPr>
        <w:t>, comments, recommendations, terms and conditions, and prescriptions</w:t>
      </w:r>
      <w:r w:rsidR="00802CA0" w:rsidRPr="00E12761">
        <w:rPr>
          <w:sz w:val="26"/>
          <w:szCs w:val="26"/>
        </w:rPr>
        <w:t xml:space="preserve">: </w:t>
      </w:r>
      <w:r w:rsidRPr="00E12761">
        <w:rPr>
          <w:sz w:val="26"/>
          <w:szCs w:val="26"/>
        </w:rPr>
        <w:t xml:space="preserve"> 60 days from the issuance </w:t>
      </w:r>
      <w:r w:rsidR="00802CA0" w:rsidRPr="00E12761">
        <w:rPr>
          <w:sz w:val="26"/>
          <w:szCs w:val="26"/>
        </w:rPr>
        <w:t xml:space="preserve">date </w:t>
      </w:r>
      <w:r w:rsidRPr="00E12761">
        <w:rPr>
          <w:sz w:val="26"/>
          <w:szCs w:val="26"/>
        </w:rPr>
        <w:t xml:space="preserve">of this notice; reply comments are due 105 days from the issuance date of this notice. </w:t>
      </w:r>
    </w:p>
    <w:p w14:paraId="787BC04A" w14:textId="77777777" w:rsidR="007C21BA" w:rsidRPr="00E12761" w:rsidRDefault="007C21BA">
      <w:pPr>
        <w:widowControl/>
        <w:ind w:firstLine="2880"/>
        <w:rPr>
          <w:sz w:val="26"/>
          <w:szCs w:val="26"/>
        </w:rPr>
      </w:pPr>
    </w:p>
    <w:p w14:paraId="787BC04C" w14:textId="35CB8F01" w:rsidR="0040158E" w:rsidRPr="00E12761" w:rsidRDefault="0040158E" w:rsidP="0040158E">
      <w:pPr>
        <w:ind w:firstLine="720"/>
        <w:rPr>
          <w:sz w:val="26"/>
          <w:szCs w:val="26"/>
        </w:rPr>
      </w:pPr>
      <w:r w:rsidRPr="00E12761">
        <w:rPr>
          <w:sz w:val="26"/>
          <w:szCs w:val="26"/>
        </w:rPr>
        <w:t xml:space="preserve">The Commission strongly encourages electronic filing.  </w:t>
      </w:r>
      <w:r w:rsidRPr="006C26A9">
        <w:rPr>
          <w:sz w:val="26"/>
          <w:szCs w:val="26"/>
        </w:rPr>
        <w:t>Please file motions to intervene and protests, comments</w:t>
      </w:r>
      <w:r w:rsidRPr="00E12761">
        <w:rPr>
          <w:sz w:val="26"/>
          <w:szCs w:val="26"/>
        </w:rPr>
        <w:t xml:space="preserve">, recommendations, terms and conditions, and </w:t>
      </w:r>
      <w:r w:rsidRPr="00E12761">
        <w:rPr>
          <w:sz w:val="26"/>
          <w:szCs w:val="26"/>
        </w:rPr>
        <w:lastRenderedPageBreak/>
        <w:t xml:space="preserve">prescriptions using the Commission’s </w:t>
      </w:r>
      <w:proofErr w:type="spellStart"/>
      <w:r w:rsidRPr="00E12761">
        <w:rPr>
          <w:sz w:val="26"/>
          <w:szCs w:val="26"/>
        </w:rPr>
        <w:t>eFiling</w:t>
      </w:r>
      <w:proofErr w:type="spellEnd"/>
      <w:r w:rsidRPr="00E12761">
        <w:rPr>
          <w:sz w:val="26"/>
          <w:szCs w:val="26"/>
        </w:rPr>
        <w:t xml:space="preserve"> system at </w:t>
      </w:r>
      <w:hyperlink r:id="rId13" w:history="1">
        <w:r w:rsidRPr="00E12761">
          <w:rPr>
            <w:rStyle w:val="Hyperlink"/>
            <w:sz w:val="26"/>
            <w:szCs w:val="26"/>
          </w:rPr>
          <w:t>http://www.ferc.gov/docs-filing/efiling.asp</w:t>
        </w:r>
      </w:hyperlink>
      <w:r w:rsidRPr="00E12761">
        <w:rPr>
          <w:sz w:val="26"/>
          <w:szCs w:val="26"/>
        </w:rPr>
        <w:t xml:space="preserve">.  Commenters can submit brief comments up to 6,000 characters, without prior registration, using the </w:t>
      </w:r>
      <w:proofErr w:type="spellStart"/>
      <w:r w:rsidRPr="00E12761">
        <w:rPr>
          <w:sz w:val="26"/>
          <w:szCs w:val="26"/>
        </w:rPr>
        <w:t>eComment</w:t>
      </w:r>
      <w:proofErr w:type="spellEnd"/>
      <w:r w:rsidRPr="00E12761">
        <w:rPr>
          <w:sz w:val="26"/>
          <w:szCs w:val="26"/>
        </w:rPr>
        <w:t xml:space="preserve"> system at </w:t>
      </w:r>
      <w:hyperlink r:id="rId14" w:history="1">
        <w:r w:rsidRPr="00E12761">
          <w:rPr>
            <w:rStyle w:val="Hyperlink"/>
            <w:sz w:val="26"/>
            <w:szCs w:val="26"/>
          </w:rPr>
          <w:t>http://www.ferc.gov/docs-filing/ecomment.asp</w:t>
        </w:r>
      </w:hyperlink>
      <w:r w:rsidRPr="00E12761">
        <w:rPr>
          <w:sz w:val="26"/>
          <w:szCs w:val="26"/>
        </w:rPr>
        <w:t xml:space="preserve">.  You must include your name and contact information at the end of your comments.  For assistance, please contact FERC Online Support at </w:t>
      </w:r>
      <w:hyperlink r:id="rId15" w:history="1">
        <w:r w:rsidRPr="00E12761">
          <w:rPr>
            <w:rStyle w:val="Hyperlink"/>
            <w:sz w:val="26"/>
            <w:szCs w:val="26"/>
          </w:rPr>
          <w:t>FERCOnlineSupport@ferc.gov</w:t>
        </w:r>
      </w:hyperlink>
      <w:r w:rsidRPr="001D2A6D">
        <w:rPr>
          <w:sz w:val="26"/>
          <w:szCs w:val="26"/>
        </w:rPr>
        <w:t>,</w:t>
      </w:r>
      <w:r w:rsidRPr="00E12761">
        <w:rPr>
          <w:color w:val="0000FF"/>
          <w:sz w:val="26"/>
          <w:szCs w:val="26"/>
        </w:rPr>
        <w:t xml:space="preserve"> </w:t>
      </w:r>
      <w:r w:rsidRPr="0059747B">
        <w:rPr>
          <w:sz w:val="26"/>
          <w:szCs w:val="26"/>
        </w:rPr>
        <w:t>(</w:t>
      </w:r>
      <w:r w:rsidRPr="00E12761">
        <w:rPr>
          <w:sz w:val="26"/>
          <w:szCs w:val="26"/>
        </w:rPr>
        <w:t xml:space="preserve">866) 208-3676 (toll free), or (202) 502-8659 (TTY).  </w:t>
      </w:r>
      <w:r w:rsidRPr="00E12761">
        <w:rPr>
          <w:bCs/>
          <w:sz w:val="26"/>
          <w:szCs w:val="26"/>
        </w:rPr>
        <w:t>In lieu of electronic filing, please send a paper copy to:  Secretary, Federal Energy Regulatory Commission, 888 First Street, NE, Washington, D.C.  20426.  The first page of any filing should include docket number P-</w:t>
      </w:r>
      <w:r w:rsidR="008A1D52">
        <w:rPr>
          <w:bCs/>
          <w:sz w:val="26"/>
          <w:szCs w:val="26"/>
        </w:rPr>
        <w:t>2727-092</w:t>
      </w:r>
      <w:r w:rsidRPr="00E12761">
        <w:rPr>
          <w:bCs/>
          <w:sz w:val="26"/>
          <w:szCs w:val="26"/>
        </w:rPr>
        <w:t>.</w:t>
      </w:r>
    </w:p>
    <w:p w14:paraId="787BC04D" w14:textId="77777777" w:rsidR="007C21BA" w:rsidRPr="00E12761" w:rsidRDefault="007C21BA" w:rsidP="00315D57">
      <w:pPr>
        <w:widowControl/>
        <w:ind w:firstLine="720"/>
        <w:rPr>
          <w:sz w:val="26"/>
          <w:szCs w:val="26"/>
        </w:rPr>
      </w:pPr>
    </w:p>
    <w:p w14:paraId="787BC04E" w14:textId="631F620F" w:rsidR="007C21BA" w:rsidRPr="00E12761" w:rsidRDefault="007C21BA">
      <w:pPr>
        <w:widowControl/>
        <w:ind w:firstLine="720"/>
        <w:rPr>
          <w:sz w:val="26"/>
          <w:szCs w:val="26"/>
        </w:rPr>
      </w:pPr>
      <w:r w:rsidRPr="00E12761">
        <w:rPr>
          <w:sz w:val="26"/>
          <w:szCs w:val="26"/>
        </w:rPr>
        <w:t xml:space="preserve">The Commission's Rules of Practice require all intervenors filing documents with the Commission to serve a copy of that document on each person on the official service list for the project.  Further, if an intervenor files comments or documents with the Commission relating to the merits of an issue that may affect the responsibilities of a </w:t>
      </w:r>
      <w:proofErr w:type="gramStart"/>
      <w:r w:rsidRPr="00E12761">
        <w:rPr>
          <w:sz w:val="26"/>
          <w:szCs w:val="26"/>
        </w:rPr>
        <w:t>particular resource</w:t>
      </w:r>
      <w:proofErr w:type="gramEnd"/>
      <w:r w:rsidRPr="00E12761">
        <w:rPr>
          <w:sz w:val="26"/>
          <w:szCs w:val="26"/>
        </w:rPr>
        <w:t xml:space="preserve"> agency, they must also serve a copy of the document on that resource agency.</w:t>
      </w:r>
    </w:p>
    <w:p w14:paraId="787BC04F" w14:textId="77777777" w:rsidR="007C21BA" w:rsidRPr="00E12761" w:rsidRDefault="007C21BA">
      <w:pPr>
        <w:widowControl/>
        <w:rPr>
          <w:sz w:val="26"/>
          <w:szCs w:val="26"/>
        </w:rPr>
      </w:pPr>
    </w:p>
    <w:p w14:paraId="787BC050" w14:textId="77DF30D6" w:rsidR="007C21BA" w:rsidRPr="00E12761" w:rsidRDefault="007C21BA">
      <w:pPr>
        <w:widowControl/>
        <w:rPr>
          <w:sz w:val="26"/>
          <w:szCs w:val="26"/>
        </w:rPr>
      </w:pPr>
      <w:r w:rsidRPr="00E12761">
        <w:rPr>
          <w:sz w:val="26"/>
          <w:szCs w:val="26"/>
        </w:rPr>
        <w:t xml:space="preserve">k.  </w:t>
      </w:r>
      <w:r w:rsidR="00E8498A">
        <w:rPr>
          <w:sz w:val="26"/>
          <w:szCs w:val="26"/>
        </w:rPr>
        <w:tab/>
      </w:r>
      <w:r w:rsidRPr="00E12761">
        <w:rPr>
          <w:sz w:val="26"/>
          <w:szCs w:val="26"/>
        </w:rPr>
        <w:t>This application has been accepted for filing</w:t>
      </w:r>
      <w:r w:rsidRPr="00E12761">
        <w:rPr>
          <w:i/>
          <w:iCs/>
          <w:sz w:val="26"/>
          <w:szCs w:val="26"/>
        </w:rPr>
        <w:t xml:space="preserve"> </w:t>
      </w:r>
      <w:r w:rsidRPr="00E12761">
        <w:rPr>
          <w:iCs/>
          <w:sz w:val="26"/>
          <w:szCs w:val="26"/>
        </w:rPr>
        <w:t>and is now ready for environmental analysis</w:t>
      </w:r>
      <w:r w:rsidRPr="00E12761">
        <w:rPr>
          <w:i/>
          <w:iCs/>
          <w:sz w:val="26"/>
          <w:szCs w:val="26"/>
        </w:rPr>
        <w:t>.</w:t>
      </w:r>
    </w:p>
    <w:p w14:paraId="787BC051" w14:textId="77777777" w:rsidR="007C21BA" w:rsidRPr="00E12761" w:rsidRDefault="007C21BA">
      <w:pPr>
        <w:widowControl/>
        <w:rPr>
          <w:sz w:val="26"/>
          <w:szCs w:val="26"/>
        </w:rPr>
      </w:pPr>
    </w:p>
    <w:p w14:paraId="5BCE6CEA" w14:textId="0DCC7630" w:rsidR="00E73194" w:rsidRPr="00804064" w:rsidRDefault="005C65FD" w:rsidP="00E73194">
      <w:pPr>
        <w:rPr>
          <w:sz w:val="26"/>
          <w:szCs w:val="26"/>
        </w:rPr>
      </w:pPr>
      <w:r w:rsidRPr="00E12761">
        <w:rPr>
          <w:sz w:val="26"/>
          <w:szCs w:val="26"/>
        </w:rPr>
        <w:t>l.</w:t>
      </w:r>
      <w:r w:rsidR="00B239C1" w:rsidRPr="00E12761">
        <w:rPr>
          <w:sz w:val="26"/>
          <w:szCs w:val="26"/>
        </w:rPr>
        <w:t xml:space="preserve">  </w:t>
      </w:r>
      <w:r w:rsidR="003A325C">
        <w:rPr>
          <w:sz w:val="26"/>
          <w:szCs w:val="26"/>
        </w:rPr>
        <w:tab/>
      </w:r>
      <w:r w:rsidR="00E73194" w:rsidRPr="00804064">
        <w:rPr>
          <w:sz w:val="26"/>
          <w:szCs w:val="26"/>
        </w:rPr>
        <w:t xml:space="preserve">The existing Ellsworth Project consists of two developments (Graham Lake and Ellsworth) with a total installed capacity of 8.9 megawatts (MW).  The project’s average annual generation is 30,511 megawatt-hours.  The power generated by the project is sold </w:t>
      </w:r>
      <w:r w:rsidR="00531CA4">
        <w:rPr>
          <w:sz w:val="26"/>
          <w:szCs w:val="26"/>
        </w:rPr>
        <w:t>to the regional power pool administered by ISO New England, Inc.</w:t>
      </w:r>
      <w:r w:rsidR="00E73194" w:rsidRPr="00804064">
        <w:rPr>
          <w:sz w:val="26"/>
          <w:szCs w:val="26"/>
        </w:rPr>
        <w:t xml:space="preserve"> </w:t>
      </w:r>
    </w:p>
    <w:p w14:paraId="193540DA" w14:textId="77777777" w:rsidR="00E73194" w:rsidRPr="00804064" w:rsidRDefault="00E73194" w:rsidP="00E73194">
      <w:pPr>
        <w:rPr>
          <w:rFonts w:eastAsia="Calibri"/>
          <w:sz w:val="26"/>
          <w:szCs w:val="26"/>
        </w:rPr>
      </w:pPr>
    </w:p>
    <w:p w14:paraId="2B0597A1" w14:textId="77777777" w:rsidR="00E73194" w:rsidRPr="001D2A6D" w:rsidRDefault="00E73194" w:rsidP="00E73194">
      <w:pPr>
        <w:ind w:firstLine="720"/>
        <w:rPr>
          <w:sz w:val="26"/>
          <w:szCs w:val="26"/>
          <w:u w:val="single"/>
        </w:rPr>
      </w:pPr>
      <w:r w:rsidRPr="001D2A6D">
        <w:rPr>
          <w:sz w:val="26"/>
          <w:szCs w:val="26"/>
          <w:u w:val="single"/>
        </w:rPr>
        <w:t>Graham Lake Development</w:t>
      </w:r>
    </w:p>
    <w:p w14:paraId="1096CA51" w14:textId="77777777" w:rsidR="00E73194" w:rsidRPr="00804064" w:rsidRDefault="00E73194" w:rsidP="00E73194">
      <w:pPr>
        <w:rPr>
          <w:sz w:val="26"/>
          <w:szCs w:val="26"/>
        </w:rPr>
      </w:pPr>
    </w:p>
    <w:p w14:paraId="03DC3C34" w14:textId="741D178A" w:rsidR="00E73194" w:rsidRDefault="00E73194" w:rsidP="00E73194">
      <w:pPr>
        <w:rPr>
          <w:sz w:val="26"/>
          <w:szCs w:val="26"/>
        </w:rPr>
      </w:pPr>
      <w:r w:rsidRPr="00804064">
        <w:rPr>
          <w:sz w:val="26"/>
          <w:szCs w:val="26"/>
        </w:rPr>
        <w:tab/>
        <w:t xml:space="preserve">The existing Graham Lake Development consists of:  (1) a </w:t>
      </w:r>
      <w:r w:rsidR="00BF5266">
        <w:rPr>
          <w:sz w:val="26"/>
          <w:szCs w:val="26"/>
        </w:rPr>
        <w:t>630</w:t>
      </w:r>
      <w:r w:rsidRPr="00804064">
        <w:rPr>
          <w:sz w:val="26"/>
          <w:szCs w:val="26"/>
        </w:rPr>
        <w:t>-foot-long, 58-foot-high dam that includes</w:t>
      </w:r>
      <w:r>
        <w:rPr>
          <w:sz w:val="26"/>
          <w:szCs w:val="26"/>
        </w:rPr>
        <w:t>: (</w:t>
      </w:r>
      <w:proofErr w:type="spellStart"/>
      <w:r>
        <w:rPr>
          <w:sz w:val="26"/>
          <w:szCs w:val="26"/>
        </w:rPr>
        <w:t>i</w:t>
      </w:r>
      <w:proofErr w:type="spellEnd"/>
      <w:r>
        <w:rPr>
          <w:sz w:val="26"/>
          <w:szCs w:val="26"/>
        </w:rPr>
        <w:t>)</w:t>
      </w:r>
      <w:r w:rsidRPr="00804064">
        <w:rPr>
          <w:sz w:val="26"/>
          <w:szCs w:val="26"/>
        </w:rPr>
        <w:t xml:space="preserve"> an 80-foot-long, 58-foot-high concrete spillway section with three 20-foot-wide, 22.5-foot-high spillway gates and one 8-foot-wide sluice gate</w:t>
      </w:r>
      <w:r w:rsidR="00AC18F5">
        <w:rPr>
          <w:sz w:val="26"/>
          <w:szCs w:val="26"/>
        </w:rPr>
        <w:t xml:space="preserve"> used for downstream fish passage</w:t>
      </w:r>
      <w:r>
        <w:rPr>
          <w:sz w:val="26"/>
          <w:szCs w:val="26"/>
        </w:rPr>
        <w:t>;</w:t>
      </w:r>
      <w:r w:rsidRPr="00804064">
        <w:rPr>
          <w:sz w:val="26"/>
          <w:szCs w:val="26"/>
        </w:rPr>
        <w:t xml:space="preserve"> and </w:t>
      </w:r>
      <w:r>
        <w:rPr>
          <w:sz w:val="26"/>
          <w:szCs w:val="26"/>
        </w:rPr>
        <w:t xml:space="preserve">(ii) </w:t>
      </w:r>
      <w:r w:rsidRPr="00BF5266">
        <w:rPr>
          <w:sz w:val="26"/>
          <w:szCs w:val="26"/>
        </w:rPr>
        <w:t xml:space="preserve">a </w:t>
      </w:r>
      <w:r w:rsidR="00BF5266" w:rsidRPr="001D2A6D">
        <w:rPr>
          <w:sz w:val="26"/>
          <w:szCs w:val="26"/>
        </w:rPr>
        <w:t>550</w:t>
      </w:r>
      <w:r w:rsidRPr="00BF5266">
        <w:rPr>
          <w:sz w:val="26"/>
          <w:szCs w:val="26"/>
        </w:rPr>
        <w:t>-foot-long, 45-foot-high</w:t>
      </w:r>
      <w:r w:rsidRPr="00804064">
        <w:rPr>
          <w:sz w:val="26"/>
          <w:szCs w:val="26"/>
        </w:rPr>
        <w:t xml:space="preserve"> earthen embankment section with a concrete and sheet pile core wall; (2) a</w:t>
      </w:r>
      <w:r w:rsidR="00AD2E85">
        <w:rPr>
          <w:sz w:val="26"/>
          <w:szCs w:val="26"/>
        </w:rPr>
        <w:t>n approximately</w:t>
      </w:r>
      <w:r w:rsidRPr="00804064">
        <w:rPr>
          <w:sz w:val="26"/>
          <w:szCs w:val="26"/>
        </w:rPr>
        <w:t xml:space="preserve"> 10,000-acre impoundment (Graham Lake) with a useable storage volume of </w:t>
      </w:r>
      <w:r>
        <w:rPr>
          <w:sz w:val="26"/>
          <w:szCs w:val="26"/>
        </w:rPr>
        <w:t>1</w:t>
      </w:r>
      <w:r w:rsidR="008C74A7">
        <w:rPr>
          <w:sz w:val="26"/>
          <w:szCs w:val="26"/>
        </w:rPr>
        <w:t>33,150</w:t>
      </w:r>
      <w:r w:rsidR="001D2A6D">
        <w:rPr>
          <w:sz w:val="26"/>
          <w:szCs w:val="26"/>
        </w:rPr>
        <w:t xml:space="preserve"> </w:t>
      </w:r>
      <w:r>
        <w:rPr>
          <w:sz w:val="26"/>
          <w:szCs w:val="26"/>
        </w:rPr>
        <w:t>acre</w:t>
      </w:r>
      <w:r w:rsidRPr="00804064">
        <w:rPr>
          <w:sz w:val="26"/>
          <w:szCs w:val="26"/>
        </w:rPr>
        <w:t xml:space="preserve">-feet at a normal maximum elevation of 104.2 National Geodetic Vertical Datum </w:t>
      </w:r>
      <w:r w:rsidR="00AD2E85">
        <w:rPr>
          <w:sz w:val="26"/>
          <w:szCs w:val="26"/>
        </w:rPr>
        <w:t xml:space="preserve">1929 </w:t>
      </w:r>
      <w:r w:rsidRPr="00804064">
        <w:rPr>
          <w:sz w:val="26"/>
          <w:szCs w:val="26"/>
        </w:rPr>
        <w:t xml:space="preserve">(NGVD); (3) a 720-foot-long, 58-foot-high concrete gravity flood control structure </w:t>
      </w:r>
      <w:r w:rsidR="00615717">
        <w:rPr>
          <w:sz w:val="26"/>
          <w:szCs w:val="26"/>
        </w:rPr>
        <w:t>and</w:t>
      </w:r>
      <w:r w:rsidRPr="00804064">
        <w:rPr>
          <w:sz w:val="26"/>
          <w:szCs w:val="26"/>
        </w:rPr>
        <w:t xml:space="preserve"> a 65-foot-diameter, 55-foot-high stone-filled sheet pile retaining structure; (4) a 71-foot-long, 36.5-foot-high concrete wing wall; and (5) appurtenant facilities.</w:t>
      </w:r>
    </w:p>
    <w:p w14:paraId="70BFEE5F" w14:textId="77777777" w:rsidR="00E73194" w:rsidRDefault="00E73194" w:rsidP="00E73194">
      <w:pPr>
        <w:rPr>
          <w:sz w:val="26"/>
          <w:szCs w:val="26"/>
        </w:rPr>
      </w:pPr>
    </w:p>
    <w:p w14:paraId="3E08B886" w14:textId="77777777" w:rsidR="00E73194" w:rsidRPr="001D2A6D" w:rsidRDefault="00E73194" w:rsidP="00E73194">
      <w:pPr>
        <w:rPr>
          <w:sz w:val="26"/>
          <w:szCs w:val="26"/>
          <w:u w:val="single"/>
        </w:rPr>
      </w:pPr>
      <w:r w:rsidRPr="00804064">
        <w:rPr>
          <w:sz w:val="26"/>
          <w:szCs w:val="26"/>
        </w:rPr>
        <w:tab/>
      </w:r>
      <w:r w:rsidRPr="001D2A6D">
        <w:rPr>
          <w:sz w:val="26"/>
          <w:szCs w:val="26"/>
          <w:u w:val="single"/>
        </w:rPr>
        <w:t>Ellsworth Development</w:t>
      </w:r>
    </w:p>
    <w:p w14:paraId="6F9BC6BE" w14:textId="77777777" w:rsidR="00E73194" w:rsidRPr="00804064" w:rsidRDefault="00E73194" w:rsidP="00E73194">
      <w:pPr>
        <w:rPr>
          <w:sz w:val="26"/>
          <w:szCs w:val="26"/>
        </w:rPr>
      </w:pPr>
    </w:p>
    <w:p w14:paraId="46244D9A" w14:textId="3D0B1464" w:rsidR="00E73194" w:rsidRPr="00804064" w:rsidRDefault="00E73194" w:rsidP="00E73194">
      <w:pPr>
        <w:rPr>
          <w:bCs/>
          <w:sz w:val="26"/>
          <w:szCs w:val="26"/>
        </w:rPr>
      </w:pPr>
      <w:r w:rsidRPr="00804064">
        <w:rPr>
          <w:sz w:val="26"/>
          <w:szCs w:val="26"/>
        </w:rPr>
        <w:tab/>
        <w:t>The existing Ellsworth Development consists of</w:t>
      </w:r>
      <w:r w:rsidRPr="00804064">
        <w:rPr>
          <w:iCs/>
          <w:sz w:val="26"/>
          <w:szCs w:val="26"/>
        </w:rPr>
        <w:t xml:space="preserve">:  </w:t>
      </w:r>
      <w:r w:rsidRPr="00804064">
        <w:rPr>
          <w:sz w:val="26"/>
          <w:szCs w:val="26"/>
        </w:rPr>
        <w:t>(</w:t>
      </w:r>
      <w:r>
        <w:rPr>
          <w:sz w:val="26"/>
          <w:szCs w:val="26"/>
        </w:rPr>
        <w:t>1</w:t>
      </w:r>
      <w:r w:rsidRPr="00804064">
        <w:rPr>
          <w:sz w:val="26"/>
          <w:szCs w:val="26"/>
        </w:rPr>
        <w:t>) a 377-foot-long, 6</w:t>
      </w:r>
      <w:r w:rsidR="00BF5266">
        <w:rPr>
          <w:sz w:val="26"/>
          <w:szCs w:val="26"/>
        </w:rPr>
        <w:t>0</w:t>
      </w:r>
      <w:r w:rsidRPr="00804064">
        <w:rPr>
          <w:sz w:val="26"/>
          <w:szCs w:val="26"/>
        </w:rPr>
        <w:t>-foot-high dam that includes</w:t>
      </w:r>
      <w:r>
        <w:rPr>
          <w:sz w:val="26"/>
          <w:szCs w:val="26"/>
        </w:rPr>
        <w:t>: (</w:t>
      </w:r>
      <w:proofErr w:type="spellStart"/>
      <w:r>
        <w:rPr>
          <w:sz w:val="26"/>
          <w:szCs w:val="26"/>
        </w:rPr>
        <w:t>i</w:t>
      </w:r>
      <w:proofErr w:type="spellEnd"/>
      <w:r>
        <w:rPr>
          <w:sz w:val="26"/>
          <w:szCs w:val="26"/>
        </w:rPr>
        <w:t>)</w:t>
      </w:r>
      <w:r w:rsidRPr="00804064">
        <w:rPr>
          <w:sz w:val="26"/>
          <w:szCs w:val="26"/>
        </w:rPr>
        <w:t xml:space="preserve"> a 102-foot-long, 6</w:t>
      </w:r>
      <w:r w:rsidR="007766D6">
        <w:rPr>
          <w:sz w:val="26"/>
          <w:szCs w:val="26"/>
        </w:rPr>
        <w:t>0</w:t>
      </w:r>
      <w:r w:rsidRPr="00804064">
        <w:rPr>
          <w:sz w:val="26"/>
          <w:szCs w:val="26"/>
        </w:rPr>
        <w:t>-foot-high concrete bulkhead section</w:t>
      </w:r>
      <w:r>
        <w:rPr>
          <w:sz w:val="26"/>
          <w:szCs w:val="26"/>
        </w:rPr>
        <w:t>;</w:t>
      </w:r>
      <w:r w:rsidRPr="00804064">
        <w:rPr>
          <w:sz w:val="26"/>
          <w:szCs w:val="26"/>
        </w:rPr>
        <w:t xml:space="preserve"> and </w:t>
      </w:r>
      <w:r>
        <w:rPr>
          <w:sz w:val="26"/>
          <w:szCs w:val="26"/>
        </w:rPr>
        <w:t xml:space="preserve">(ii) </w:t>
      </w:r>
      <w:r w:rsidRPr="00804064">
        <w:rPr>
          <w:sz w:val="26"/>
          <w:szCs w:val="26"/>
        </w:rPr>
        <w:t>a 275-foot-long, 57-foot-high concrete overflow spillway</w:t>
      </w:r>
      <w:r w:rsidRPr="00804064">
        <w:rPr>
          <w:bCs/>
          <w:sz w:val="26"/>
          <w:szCs w:val="26"/>
        </w:rPr>
        <w:t xml:space="preserve"> with 1.7-foot-high </w:t>
      </w:r>
      <w:r w:rsidRPr="00804064">
        <w:rPr>
          <w:bCs/>
          <w:sz w:val="26"/>
          <w:szCs w:val="26"/>
        </w:rPr>
        <w:lastRenderedPageBreak/>
        <w:t>flashboards</w:t>
      </w:r>
      <w:r w:rsidRPr="00804064">
        <w:rPr>
          <w:sz w:val="26"/>
          <w:szCs w:val="26"/>
        </w:rPr>
        <w:t>; (</w:t>
      </w:r>
      <w:r>
        <w:rPr>
          <w:sz w:val="26"/>
          <w:szCs w:val="26"/>
        </w:rPr>
        <w:t>2</w:t>
      </w:r>
      <w:r w:rsidRPr="00804064">
        <w:rPr>
          <w:sz w:val="26"/>
          <w:szCs w:val="26"/>
        </w:rPr>
        <w:t>) an 85-foot-long, 71-foot-high concrete non-over flow wall at the west end of the bulkhead section; (</w:t>
      </w:r>
      <w:r>
        <w:rPr>
          <w:sz w:val="26"/>
          <w:szCs w:val="26"/>
        </w:rPr>
        <w:t>3</w:t>
      </w:r>
      <w:r w:rsidRPr="00804064">
        <w:rPr>
          <w:sz w:val="26"/>
          <w:szCs w:val="26"/>
        </w:rPr>
        <w:t>) a 26-foot-high abutment at the east end of the spillway; (</w:t>
      </w:r>
      <w:r>
        <w:rPr>
          <w:sz w:val="26"/>
          <w:szCs w:val="26"/>
        </w:rPr>
        <w:t>4</w:t>
      </w:r>
      <w:r w:rsidRPr="00804064">
        <w:rPr>
          <w:sz w:val="26"/>
          <w:szCs w:val="26"/>
        </w:rPr>
        <w:t xml:space="preserve">) a 90-acre </w:t>
      </w:r>
      <w:r w:rsidRPr="00804064">
        <w:rPr>
          <w:bCs/>
          <w:sz w:val="26"/>
          <w:szCs w:val="26"/>
        </w:rPr>
        <w:t>impoundment</w:t>
      </w:r>
      <w:r w:rsidRPr="00804064">
        <w:rPr>
          <w:sz w:val="26"/>
          <w:szCs w:val="26"/>
        </w:rPr>
        <w:t xml:space="preserve"> (Lake Leonard) with a gross storage volume of </w:t>
      </w:r>
      <w:r w:rsidR="008C74A7">
        <w:rPr>
          <w:sz w:val="26"/>
          <w:szCs w:val="26"/>
        </w:rPr>
        <w:t>2,456</w:t>
      </w:r>
      <w:r w:rsidRPr="00804064">
        <w:rPr>
          <w:sz w:val="26"/>
          <w:szCs w:val="26"/>
        </w:rPr>
        <w:t xml:space="preserve"> </w:t>
      </w:r>
      <w:r>
        <w:rPr>
          <w:sz w:val="26"/>
          <w:szCs w:val="26"/>
        </w:rPr>
        <w:t>acre-feet</w:t>
      </w:r>
      <w:r w:rsidRPr="00804064">
        <w:rPr>
          <w:sz w:val="26"/>
          <w:szCs w:val="26"/>
        </w:rPr>
        <w:t xml:space="preserve"> at a normal maximum elevation of 66.7 feet NGVD; </w:t>
      </w:r>
      <w:r w:rsidRPr="00804064">
        <w:rPr>
          <w:bCs/>
          <w:sz w:val="26"/>
          <w:szCs w:val="26"/>
        </w:rPr>
        <w:t>(</w:t>
      </w:r>
      <w:r>
        <w:rPr>
          <w:bCs/>
          <w:sz w:val="26"/>
          <w:szCs w:val="26"/>
        </w:rPr>
        <w:t>5</w:t>
      </w:r>
      <w:r w:rsidRPr="00804064">
        <w:rPr>
          <w:bCs/>
          <w:sz w:val="26"/>
          <w:szCs w:val="26"/>
        </w:rPr>
        <w:t>) generating facility No. 1 that includes:  (</w:t>
      </w:r>
      <w:proofErr w:type="spellStart"/>
      <w:r w:rsidRPr="00804064">
        <w:rPr>
          <w:bCs/>
          <w:sz w:val="26"/>
          <w:szCs w:val="26"/>
        </w:rPr>
        <w:t>i</w:t>
      </w:r>
      <w:proofErr w:type="spellEnd"/>
      <w:r w:rsidRPr="00804064">
        <w:rPr>
          <w:bCs/>
          <w:sz w:val="26"/>
          <w:szCs w:val="26"/>
        </w:rPr>
        <w:t xml:space="preserve">) a </w:t>
      </w:r>
      <w:r w:rsidR="007766D6">
        <w:rPr>
          <w:bCs/>
          <w:sz w:val="26"/>
          <w:szCs w:val="26"/>
        </w:rPr>
        <w:t xml:space="preserve">15-foot-wide, 10-foot-high </w:t>
      </w:r>
      <w:proofErr w:type="spellStart"/>
      <w:r w:rsidRPr="00804064">
        <w:rPr>
          <w:bCs/>
          <w:sz w:val="26"/>
          <w:szCs w:val="26"/>
        </w:rPr>
        <w:t>headgate</w:t>
      </w:r>
      <w:proofErr w:type="spellEnd"/>
      <w:r w:rsidRPr="00804064">
        <w:rPr>
          <w:bCs/>
          <w:sz w:val="26"/>
          <w:szCs w:val="26"/>
        </w:rPr>
        <w:t xml:space="preserve"> </w:t>
      </w:r>
      <w:r w:rsidR="007766D6">
        <w:rPr>
          <w:bCs/>
          <w:sz w:val="26"/>
          <w:szCs w:val="26"/>
        </w:rPr>
        <w:t>with</w:t>
      </w:r>
      <w:r w:rsidRPr="00804064">
        <w:rPr>
          <w:bCs/>
          <w:sz w:val="26"/>
          <w:szCs w:val="26"/>
        </w:rPr>
        <w:t xml:space="preserve"> a </w:t>
      </w:r>
      <w:r w:rsidR="00ED1ED2">
        <w:rPr>
          <w:bCs/>
          <w:sz w:val="26"/>
          <w:szCs w:val="26"/>
        </w:rPr>
        <w:t xml:space="preserve">15-foot-wide, 12.5-foot-high </w:t>
      </w:r>
      <w:proofErr w:type="spellStart"/>
      <w:r w:rsidRPr="00804064">
        <w:rPr>
          <w:bCs/>
          <w:sz w:val="26"/>
          <w:szCs w:val="26"/>
        </w:rPr>
        <w:t>trashrack</w:t>
      </w:r>
      <w:proofErr w:type="spellEnd"/>
      <w:r w:rsidRPr="00804064">
        <w:rPr>
          <w:bCs/>
          <w:sz w:val="26"/>
          <w:szCs w:val="26"/>
        </w:rPr>
        <w:t xml:space="preserve">; (ii) a 10-foot-diameter, 74-foot-long penstock; and (iii) a </w:t>
      </w:r>
      <w:r w:rsidR="00CE54F8">
        <w:rPr>
          <w:bCs/>
          <w:sz w:val="26"/>
          <w:szCs w:val="26"/>
        </w:rPr>
        <w:t>26</w:t>
      </w:r>
      <w:r w:rsidRPr="00804064">
        <w:rPr>
          <w:bCs/>
          <w:sz w:val="26"/>
          <w:szCs w:val="26"/>
        </w:rPr>
        <w:t xml:space="preserve">-foot-long, </w:t>
      </w:r>
      <w:r w:rsidR="00CE54F8">
        <w:rPr>
          <w:bCs/>
          <w:sz w:val="26"/>
          <w:szCs w:val="26"/>
        </w:rPr>
        <w:t>28</w:t>
      </w:r>
      <w:r w:rsidRPr="00804064">
        <w:rPr>
          <w:bCs/>
          <w:sz w:val="26"/>
          <w:szCs w:val="26"/>
        </w:rPr>
        <w:t xml:space="preserve">-foot-wide concrete and masonry </w:t>
      </w:r>
      <w:r w:rsidR="00CE54F8">
        <w:rPr>
          <w:bCs/>
          <w:sz w:val="26"/>
          <w:szCs w:val="26"/>
        </w:rPr>
        <w:t>powerhouse</w:t>
      </w:r>
      <w:r w:rsidRPr="00804064">
        <w:rPr>
          <w:bCs/>
          <w:sz w:val="26"/>
          <w:szCs w:val="26"/>
        </w:rPr>
        <w:t xml:space="preserve"> that is integral </w:t>
      </w:r>
      <w:r w:rsidR="00C164EE">
        <w:rPr>
          <w:bCs/>
          <w:sz w:val="26"/>
          <w:szCs w:val="26"/>
        </w:rPr>
        <w:t>to</w:t>
      </w:r>
      <w:r w:rsidRPr="00804064">
        <w:rPr>
          <w:bCs/>
          <w:sz w:val="26"/>
          <w:szCs w:val="26"/>
        </w:rPr>
        <w:t xml:space="preserve"> the </w:t>
      </w:r>
      <w:r w:rsidR="00CE54F8">
        <w:rPr>
          <w:bCs/>
          <w:sz w:val="26"/>
          <w:szCs w:val="26"/>
        </w:rPr>
        <w:t xml:space="preserve">concrete non-overflow </w:t>
      </w:r>
      <w:r w:rsidR="00ED1ED2">
        <w:rPr>
          <w:bCs/>
          <w:sz w:val="26"/>
          <w:szCs w:val="26"/>
        </w:rPr>
        <w:t xml:space="preserve">dam </w:t>
      </w:r>
      <w:r w:rsidR="00CE54F8">
        <w:rPr>
          <w:bCs/>
          <w:sz w:val="26"/>
          <w:szCs w:val="26"/>
        </w:rPr>
        <w:t>section</w:t>
      </w:r>
      <w:r w:rsidRPr="00804064">
        <w:rPr>
          <w:bCs/>
          <w:sz w:val="26"/>
          <w:szCs w:val="26"/>
        </w:rPr>
        <w:t xml:space="preserve"> and contains a single </w:t>
      </w:r>
      <w:r w:rsidRPr="00804064">
        <w:rPr>
          <w:sz w:val="26"/>
          <w:szCs w:val="26"/>
        </w:rPr>
        <w:t>2.5</w:t>
      </w:r>
      <w:r w:rsidR="005D4BE3">
        <w:rPr>
          <w:sz w:val="26"/>
          <w:szCs w:val="26"/>
        </w:rPr>
        <w:t>-</w:t>
      </w:r>
      <w:r w:rsidRPr="00804064">
        <w:rPr>
          <w:sz w:val="26"/>
          <w:szCs w:val="26"/>
        </w:rPr>
        <w:t>MW</w:t>
      </w:r>
      <w:r w:rsidRPr="00804064">
        <w:rPr>
          <w:bCs/>
          <w:sz w:val="26"/>
          <w:szCs w:val="26"/>
        </w:rPr>
        <w:t xml:space="preserve"> turbine-generator unit; (</w:t>
      </w:r>
      <w:r>
        <w:rPr>
          <w:bCs/>
          <w:sz w:val="26"/>
          <w:szCs w:val="26"/>
        </w:rPr>
        <w:t>6</w:t>
      </w:r>
      <w:r w:rsidRPr="00804064">
        <w:rPr>
          <w:bCs/>
          <w:sz w:val="26"/>
          <w:szCs w:val="26"/>
        </w:rPr>
        <w:t>) generating facility No. 2 that includes:  (</w:t>
      </w:r>
      <w:proofErr w:type="spellStart"/>
      <w:r w:rsidRPr="00804064">
        <w:rPr>
          <w:bCs/>
          <w:sz w:val="26"/>
          <w:szCs w:val="26"/>
        </w:rPr>
        <w:t>i</w:t>
      </w:r>
      <w:proofErr w:type="spellEnd"/>
      <w:r w:rsidRPr="00804064">
        <w:rPr>
          <w:bCs/>
          <w:sz w:val="26"/>
          <w:szCs w:val="26"/>
        </w:rPr>
        <w:t>) an 88.4-foot-wide, 32-foot-high intake structure with</w:t>
      </w:r>
      <w:r w:rsidR="00ED1ED2">
        <w:rPr>
          <w:bCs/>
          <w:sz w:val="26"/>
          <w:szCs w:val="26"/>
        </w:rPr>
        <w:t xml:space="preserve"> two,</w:t>
      </w:r>
      <w:r w:rsidRPr="00804064">
        <w:rPr>
          <w:bCs/>
          <w:sz w:val="26"/>
          <w:szCs w:val="26"/>
        </w:rPr>
        <w:t xml:space="preserve"> </w:t>
      </w:r>
      <w:r w:rsidR="00ED1ED2">
        <w:rPr>
          <w:bCs/>
          <w:sz w:val="26"/>
          <w:szCs w:val="26"/>
        </w:rPr>
        <w:t xml:space="preserve">8-foot-wide, 15-foot-high </w:t>
      </w:r>
      <w:proofErr w:type="spellStart"/>
      <w:r w:rsidR="00ED1ED2">
        <w:rPr>
          <w:bCs/>
          <w:sz w:val="26"/>
          <w:szCs w:val="26"/>
        </w:rPr>
        <w:t>headgates</w:t>
      </w:r>
      <w:proofErr w:type="spellEnd"/>
      <w:r w:rsidR="00ED1ED2">
        <w:rPr>
          <w:bCs/>
          <w:sz w:val="26"/>
          <w:szCs w:val="26"/>
        </w:rPr>
        <w:t xml:space="preserve"> with 8-foot-wide, 14-foot-high </w:t>
      </w:r>
      <w:proofErr w:type="spellStart"/>
      <w:r w:rsidR="00ED1ED2">
        <w:rPr>
          <w:bCs/>
          <w:sz w:val="26"/>
          <w:szCs w:val="26"/>
        </w:rPr>
        <w:t>trashracks</w:t>
      </w:r>
      <w:proofErr w:type="spellEnd"/>
      <w:r w:rsidR="00ED1ED2">
        <w:rPr>
          <w:bCs/>
          <w:sz w:val="26"/>
          <w:szCs w:val="26"/>
        </w:rPr>
        <w:t xml:space="preserve">, and one 12-foot-wide, 15-foot-high </w:t>
      </w:r>
      <w:proofErr w:type="spellStart"/>
      <w:r w:rsidR="00ED1ED2">
        <w:rPr>
          <w:bCs/>
          <w:sz w:val="26"/>
          <w:szCs w:val="26"/>
        </w:rPr>
        <w:t>headgate</w:t>
      </w:r>
      <w:proofErr w:type="spellEnd"/>
      <w:r w:rsidR="00ED1ED2">
        <w:rPr>
          <w:bCs/>
          <w:sz w:val="26"/>
          <w:szCs w:val="26"/>
        </w:rPr>
        <w:t xml:space="preserve"> with a 12-foot-wide, 14-foot-high </w:t>
      </w:r>
      <w:proofErr w:type="spellStart"/>
      <w:r w:rsidR="00ED1ED2">
        <w:rPr>
          <w:bCs/>
          <w:sz w:val="26"/>
          <w:szCs w:val="26"/>
        </w:rPr>
        <w:t>trashrack</w:t>
      </w:r>
      <w:proofErr w:type="spellEnd"/>
      <w:r w:rsidRPr="00804064">
        <w:rPr>
          <w:bCs/>
          <w:sz w:val="26"/>
          <w:szCs w:val="26"/>
        </w:rPr>
        <w:t xml:space="preserve">; (ii) an 8-foot-diameter, 164-foot-long penstock, an 8-foot-diameter, 195-foot-long penstock, and a 12-foot-diameter, 225-foot-long penstock; and (iii) a 52.5-foot-long, 68-foot-wide </w:t>
      </w:r>
      <w:r w:rsidRPr="00804064">
        <w:rPr>
          <w:sz w:val="26"/>
          <w:szCs w:val="26"/>
        </w:rPr>
        <w:t xml:space="preserve">concrete and masonry </w:t>
      </w:r>
      <w:r w:rsidRPr="00804064">
        <w:rPr>
          <w:bCs/>
          <w:sz w:val="26"/>
          <w:szCs w:val="26"/>
        </w:rPr>
        <w:t xml:space="preserve">powerhouse </w:t>
      </w:r>
      <w:r w:rsidR="00AC18F5">
        <w:rPr>
          <w:bCs/>
          <w:sz w:val="26"/>
          <w:szCs w:val="26"/>
        </w:rPr>
        <w:t>tha</w:t>
      </w:r>
      <w:r w:rsidR="00B35DCA">
        <w:rPr>
          <w:bCs/>
          <w:sz w:val="26"/>
          <w:szCs w:val="26"/>
        </w:rPr>
        <w:t>t</w:t>
      </w:r>
      <w:r w:rsidR="00AC18F5">
        <w:rPr>
          <w:bCs/>
          <w:sz w:val="26"/>
          <w:szCs w:val="26"/>
        </w:rPr>
        <w:t xml:space="preserve"> is attached to a 15-foot-long, 30-foot-wide switch house and </w:t>
      </w:r>
      <w:r w:rsidRPr="00804064">
        <w:rPr>
          <w:bCs/>
          <w:sz w:val="26"/>
          <w:szCs w:val="26"/>
        </w:rPr>
        <w:t>that contains two 2.0-MW and one 2.4-MW turbine-generator units</w:t>
      </w:r>
      <w:r w:rsidRPr="00804064">
        <w:rPr>
          <w:sz w:val="26"/>
          <w:szCs w:val="26"/>
        </w:rPr>
        <w:t>; (</w:t>
      </w:r>
      <w:r>
        <w:rPr>
          <w:sz w:val="26"/>
          <w:szCs w:val="26"/>
        </w:rPr>
        <w:t>7</w:t>
      </w:r>
      <w:r w:rsidRPr="00804064">
        <w:rPr>
          <w:sz w:val="26"/>
          <w:szCs w:val="26"/>
        </w:rPr>
        <w:t xml:space="preserve">) </w:t>
      </w:r>
      <w:r w:rsidRPr="00804064">
        <w:rPr>
          <w:bCs/>
          <w:sz w:val="26"/>
          <w:szCs w:val="26"/>
        </w:rPr>
        <w:t xml:space="preserve">downstream </w:t>
      </w:r>
      <w:r w:rsidRPr="00804064">
        <w:rPr>
          <w:sz w:val="26"/>
          <w:szCs w:val="26"/>
        </w:rPr>
        <w:t>fish passage facilities that include three 3-foot-wide surface weirs</w:t>
      </w:r>
      <w:r w:rsidR="00757FD9">
        <w:rPr>
          <w:sz w:val="26"/>
          <w:szCs w:val="26"/>
        </w:rPr>
        <w:t xml:space="preserve"> </w:t>
      </w:r>
      <w:r w:rsidR="00D15999">
        <w:rPr>
          <w:sz w:val="26"/>
          <w:szCs w:val="26"/>
        </w:rPr>
        <w:t xml:space="preserve">and </w:t>
      </w:r>
      <w:r w:rsidR="00757FD9">
        <w:rPr>
          <w:sz w:val="26"/>
          <w:szCs w:val="26"/>
        </w:rPr>
        <w:t xml:space="preserve">an </w:t>
      </w:r>
      <w:r w:rsidR="00D15999">
        <w:rPr>
          <w:sz w:val="26"/>
          <w:szCs w:val="26"/>
        </w:rPr>
        <w:t>18-inch</w:t>
      </w:r>
      <w:r w:rsidR="00757FD9">
        <w:rPr>
          <w:sz w:val="26"/>
          <w:szCs w:val="26"/>
        </w:rPr>
        <w:t>-diameter transport pipe</w:t>
      </w:r>
      <w:r w:rsidR="007912F8">
        <w:rPr>
          <w:sz w:val="26"/>
          <w:szCs w:val="26"/>
        </w:rPr>
        <w:t xml:space="preserve">; </w:t>
      </w:r>
      <w:r w:rsidRPr="00804064">
        <w:rPr>
          <w:sz w:val="26"/>
          <w:szCs w:val="26"/>
        </w:rPr>
        <w:t>(</w:t>
      </w:r>
      <w:r>
        <w:rPr>
          <w:sz w:val="26"/>
          <w:szCs w:val="26"/>
        </w:rPr>
        <w:t>8</w:t>
      </w:r>
      <w:r w:rsidRPr="00804064">
        <w:rPr>
          <w:sz w:val="26"/>
          <w:szCs w:val="26"/>
        </w:rPr>
        <w:t xml:space="preserve">) upstream fish passage facilities that include a </w:t>
      </w:r>
      <w:r w:rsidR="00AC18F5">
        <w:rPr>
          <w:sz w:val="26"/>
          <w:szCs w:val="26"/>
        </w:rPr>
        <w:t>120-foot-long, 8-foot-wide</w:t>
      </w:r>
      <w:r w:rsidRPr="00804064">
        <w:rPr>
          <w:sz w:val="26"/>
          <w:szCs w:val="26"/>
        </w:rPr>
        <w:t xml:space="preserve"> </w:t>
      </w:r>
      <w:proofErr w:type="spellStart"/>
      <w:r w:rsidRPr="00804064">
        <w:rPr>
          <w:sz w:val="26"/>
          <w:szCs w:val="26"/>
        </w:rPr>
        <w:t>fishway</w:t>
      </w:r>
      <w:proofErr w:type="spellEnd"/>
      <w:r w:rsidRPr="00804064">
        <w:rPr>
          <w:sz w:val="26"/>
          <w:szCs w:val="26"/>
        </w:rPr>
        <w:t xml:space="preserve"> </w:t>
      </w:r>
      <w:r w:rsidR="00AC18F5">
        <w:rPr>
          <w:sz w:val="26"/>
          <w:szCs w:val="26"/>
        </w:rPr>
        <w:t>with a 3-foot-wide opening</w:t>
      </w:r>
      <w:r w:rsidR="00EC6B4F">
        <w:rPr>
          <w:sz w:val="26"/>
          <w:szCs w:val="26"/>
        </w:rPr>
        <w:t xml:space="preserve"> </w:t>
      </w:r>
      <w:r w:rsidRPr="00804064">
        <w:rPr>
          <w:sz w:val="26"/>
          <w:szCs w:val="26"/>
        </w:rPr>
        <w:t>and collection station; (</w:t>
      </w:r>
      <w:r>
        <w:rPr>
          <w:sz w:val="26"/>
          <w:szCs w:val="26"/>
        </w:rPr>
        <w:t>9</w:t>
      </w:r>
      <w:r w:rsidRPr="00804064">
        <w:rPr>
          <w:sz w:val="26"/>
          <w:szCs w:val="26"/>
        </w:rPr>
        <w:t xml:space="preserve">) a </w:t>
      </w:r>
      <w:r w:rsidR="00EC6B4F">
        <w:rPr>
          <w:sz w:val="26"/>
          <w:szCs w:val="26"/>
        </w:rPr>
        <w:t>450</w:t>
      </w:r>
      <w:r w:rsidRPr="00804064">
        <w:rPr>
          <w:sz w:val="26"/>
          <w:szCs w:val="26"/>
        </w:rPr>
        <w:t>-foot-long</w:t>
      </w:r>
      <w:r w:rsidR="00EC6B4F">
        <w:rPr>
          <w:sz w:val="26"/>
          <w:szCs w:val="26"/>
        </w:rPr>
        <w:t>, 2.3 kilovolt</w:t>
      </w:r>
      <w:r w:rsidRPr="00804064">
        <w:rPr>
          <w:sz w:val="26"/>
          <w:szCs w:val="26"/>
        </w:rPr>
        <w:t xml:space="preserve"> </w:t>
      </w:r>
      <w:r w:rsidR="00EC6B4F">
        <w:rPr>
          <w:sz w:val="26"/>
          <w:szCs w:val="26"/>
        </w:rPr>
        <w:t xml:space="preserve">generator lead </w:t>
      </w:r>
      <w:r w:rsidRPr="00804064">
        <w:rPr>
          <w:sz w:val="26"/>
          <w:szCs w:val="26"/>
        </w:rPr>
        <w:t xml:space="preserve">line </w:t>
      </w:r>
      <w:r w:rsidR="00EC6B4F">
        <w:rPr>
          <w:sz w:val="26"/>
          <w:szCs w:val="26"/>
        </w:rPr>
        <w:t xml:space="preserve">and step-up transformer </w:t>
      </w:r>
      <w:r w:rsidRPr="00804064">
        <w:rPr>
          <w:sz w:val="26"/>
          <w:szCs w:val="26"/>
        </w:rPr>
        <w:t xml:space="preserve">connecting the turbine-generator units to the </w:t>
      </w:r>
      <w:r w:rsidR="00EC6B4F">
        <w:rPr>
          <w:sz w:val="26"/>
          <w:szCs w:val="26"/>
        </w:rPr>
        <w:t xml:space="preserve">local utility’s </w:t>
      </w:r>
      <w:r w:rsidR="00C87C71">
        <w:rPr>
          <w:sz w:val="26"/>
          <w:szCs w:val="26"/>
        </w:rPr>
        <w:t xml:space="preserve">electric </w:t>
      </w:r>
      <w:r w:rsidR="00EC6B4F">
        <w:rPr>
          <w:sz w:val="26"/>
          <w:szCs w:val="26"/>
        </w:rPr>
        <w:t>distribution system</w:t>
      </w:r>
      <w:r w:rsidRPr="00804064">
        <w:rPr>
          <w:sz w:val="26"/>
          <w:szCs w:val="26"/>
        </w:rPr>
        <w:t>; and (</w:t>
      </w:r>
      <w:r>
        <w:rPr>
          <w:sz w:val="26"/>
          <w:szCs w:val="26"/>
        </w:rPr>
        <w:t>10</w:t>
      </w:r>
      <w:r w:rsidRPr="00804064">
        <w:rPr>
          <w:sz w:val="26"/>
          <w:szCs w:val="26"/>
        </w:rPr>
        <w:t>) appurtenant facilities.</w:t>
      </w:r>
    </w:p>
    <w:p w14:paraId="79C1DA0B" w14:textId="77777777" w:rsidR="00E73194" w:rsidRPr="00804064" w:rsidRDefault="00E73194" w:rsidP="00E73194">
      <w:pPr>
        <w:rPr>
          <w:sz w:val="26"/>
          <w:szCs w:val="26"/>
        </w:rPr>
      </w:pPr>
    </w:p>
    <w:p w14:paraId="1CD6D4AE" w14:textId="1F5D6097" w:rsidR="00E73194" w:rsidRPr="00804064" w:rsidRDefault="00E73194" w:rsidP="003956B3">
      <w:pPr>
        <w:rPr>
          <w:sz w:val="26"/>
          <w:szCs w:val="26"/>
        </w:rPr>
      </w:pPr>
      <w:r w:rsidRPr="00804064">
        <w:rPr>
          <w:sz w:val="26"/>
          <w:szCs w:val="26"/>
        </w:rPr>
        <w:tab/>
      </w:r>
      <w:r w:rsidR="008254B6">
        <w:rPr>
          <w:sz w:val="26"/>
          <w:szCs w:val="26"/>
        </w:rPr>
        <w:t xml:space="preserve">The Ellsworth Project operates </w:t>
      </w:r>
      <w:r w:rsidR="006A713B">
        <w:rPr>
          <w:sz w:val="26"/>
          <w:szCs w:val="26"/>
        </w:rPr>
        <w:t xml:space="preserve">as a water storage facility and a peaking generation facility, depending on available inflows.  </w:t>
      </w:r>
      <w:r w:rsidR="003956B3">
        <w:rPr>
          <w:sz w:val="26"/>
          <w:szCs w:val="26"/>
        </w:rPr>
        <w:t>W</w:t>
      </w:r>
      <w:r w:rsidRPr="004968E0">
        <w:rPr>
          <w:sz w:val="26"/>
          <w:szCs w:val="26"/>
        </w:rPr>
        <w:t>ater</w:t>
      </w:r>
      <w:r w:rsidRPr="004968E0">
        <w:t xml:space="preserve"> </w:t>
      </w:r>
      <w:r w:rsidRPr="00804064">
        <w:rPr>
          <w:bCs/>
          <w:sz w:val="26"/>
          <w:szCs w:val="26"/>
        </w:rPr>
        <w:t xml:space="preserve">is stored </w:t>
      </w:r>
      <w:r w:rsidR="003956B3">
        <w:rPr>
          <w:bCs/>
          <w:sz w:val="26"/>
          <w:szCs w:val="26"/>
        </w:rPr>
        <w:t>at t</w:t>
      </w:r>
      <w:r w:rsidR="003956B3" w:rsidRPr="00804064">
        <w:rPr>
          <w:sz w:val="26"/>
          <w:szCs w:val="26"/>
        </w:rPr>
        <w:t xml:space="preserve">he Graham Lake Development </w:t>
      </w:r>
      <w:r w:rsidRPr="00804064">
        <w:rPr>
          <w:bCs/>
          <w:sz w:val="26"/>
          <w:szCs w:val="26"/>
        </w:rPr>
        <w:t>to reduce downstream flooding during periods of high flow</w:t>
      </w:r>
      <w:r w:rsidR="00C87C71">
        <w:rPr>
          <w:bCs/>
          <w:sz w:val="26"/>
          <w:szCs w:val="26"/>
        </w:rPr>
        <w:t>,</w:t>
      </w:r>
      <w:r w:rsidRPr="00804064">
        <w:rPr>
          <w:bCs/>
          <w:sz w:val="26"/>
          <w:szCs w:val="26"/>
        </w:rPr>
        <w:t xml:space="preserve"> </w:t>
      </w:r>
      <w:r w:rsidRPr="00804064">
        <w:rPr>
          <w:sz w:val="26"/>
          <w:szCs w:val="26"/>
        </w:rPr>
        <w:t xml:space="preserve">and </w:t>
      </w:r>
      <w:r w:rsidR="00C87C71">
        <w:rPr>
          <w:sz w:val="26"/>
          <w:szCs w:val="26"/>
        </w:rPr>
        <w:t xml:space="preserve">is </w:t>
      </w:r>
      <w:r w:rsidRPr="00804064">
        <w:rPr>
          <w:sz w:val="26"/>
          <w:szCs w:val="26"/>
        </w:rPr>
        <w:t xml:space="preserve">released during periods of low flow </w:t>
      </w:r>
      <w:r w:rsidR="006A713B">
        <w:rPr>
          <w:sz w:val="26"/>
          <w:szCs w:val="26"/>
        </w:rPr>
        <w:t>so that minimum flows can be maintained in the Union River below Graham Lake Dam</w:t>
      </w:r>
      <w:r w:rsidRPr="00804064">
        <w:rPr>
          <w:sz w:val="26"/>
          <w:szCs w:val="26"/>
        </w:rPr>
        <w:t xml:space="preserve">.  </w:t>
      </w:r>
      <w:r w:rsidR="003956B3">
        <w:rPr>
          <w:sz w:val="26"/>
          <w:szCs w:val="26"/>
        </w:rPr>
        <w:t xml:space="preserve">The </w:t>
      </w:r>
      <w:r w:rsidR="003956B3" w:rsidRPr="003956B3">
        <w:rPr>
          <w:sz w:val="26"/>
          <w:szCs w:val="26"/>
        </w:rPr>
        <w:t>ability to store and</w:t>
      </w:r>
      <w:r w:rsidR="003956B3">
        <w:rPr>
          <w:sz w:val="26"/>
          <w:szCs w:val="26"/>
        </w:rPr>
        <w:t xml:space="preserve"> </w:t>
      </w:r>
      <w:r w:rsidR="00C87C71">
        <w:rPr>
          <w:sz w:val="26"/>
          <w:szCs w:val="26"/>
        </w:rPr>
        <w:t xml:space="preserve">release water at the Graham Lake Development makes it possible for </w:t>
      </w:r>
      <w:r w:rsidR="003956B3" w:rsidRPr="003956B3">
        <w:rPr>
          <w:sz w:val="26"/>
          <w:szCs w:val="26"/>
        </w:rPr>
        <w:t xml:space="preserve">the Ellsworth </w:t>
      </w:r>
      <w:r w:rsidR="00C87C71">
        <w:rPr>
          <w:sz w:val="26"/>
          <w:szCs w:val="26"/>
        </w:rPr>
        <w:t>Development</w:t>
      </w:r>
      <w:r w:rsidR="003956B3" w:rsidRPr="003956B3">
        <w:rPr>
          <w:sz w:val="26"/>
          <w:szCs w:val="26"/>
        </w:rPr>
        <w:t xml:space="preserve"> to operate in a peaking mode during</w:t>
      </w:r>
      <w:r w:rsidR="003956B3">
        <w:rPr>
          <w:sz w:val="26"/>
          <w:szCs w:val="26"/>
        </w:rPr>
        <w:t xml:space="preserve"> </w:t>
      </w:r>
      <w:r w:rsidR="003956B3" w:rsidRPr="003956B3">
        <w:rPr>
          <w:sz w:val="26"/>
          <w:szCs w:val="26"/>
        </w:rPr>
        <w:t>periods of high electric demand.</w:t>
      </w:r>
      <w:r w:rsidRPr="00804064">
        <w:rPr>
          <w:sz w:val="26"/>
          <w:szCs w:val="26"/>
        </w:rPr>
        <w:t xml:space="preserve">  </w:t>
      </w:r>
    </w:p>
    <w:p w14:paraId="78A9D446" w14:textId="77777777" w:rsidR="00E73194" w:rsidRPr="00804064" w:rsidRDefault="00E73194" w:rsidP="00E73194">
      <w:pPr>
        <w:rPr>
          <w:sz w:val="26"/>
          <w:szCs w:val="26"/>
        </w:rPr>
      </w:pPr>
    </w:p>
    <w:p w14:paraId="2641830F" w14:textId="69D8E189" w:rsidR="00E73194" w:rsidRPr="00E12761" w:rsidRDefault="00E73194" w:rsidP="00E73194">
      <w:pPr>
        <w:widowControl/>
        <w:ind w:firstLine="720"/>
        <w:rPr>
          <w:sz w:val="26"/>
          <w:szCs w:val="26"/>
        </w:rPr>
      </w:pPr>
      <w:r w:rsidRPr="00804064">
        <w:rPr>
          <w:sz w:val="26"/>
          <w:szCs w:val="26"/>
        </w:rPr>
        <w:t xml:space="preserve">The existing license requires an instantaneous minimum flow </w:t>
      </w:r>
      <w:r w:rsidR="004D2949">
        <w:rPr>
          <w:sz w:val="26"/>
          <w:szCs w:val="26"/>
        </w:rPr>
        <w:t xml:space="preserve">release </w:t>
      </w:r>
      <w:r w:rsidRPr="00804064">
        <w:rPr>
          <w:sz w:val="26"/>
          <w:szCs w:val="26"/>
        </w:rPr>
        <w:t>of 250 cubic feet per second (</w:t>
      </w:r>
      <w:proofErr w:type="spellStart"/>
      <w:r w:rsidRPr="00804064">
        <w:rPr>
          <w:sz w:val="26"/>
          <w:szCs w:val="26"/>
        </w:rPr>
        <w:t>cfs</w:t>
      </w:r>
      <w:proofErr w:type="spellEnd"/>
      <w:r w:rsidRPr="00804064">
        <w:rPr>
          <w:sz w:val="26"/>
          <w:szCs w:val="26"/>
        </w:rPr>
        <w:t xml:space="preserve">), or inflow (whichever is less), downstream of each development from May 1 to June 30 each year.  The minimum flow </w:t>
      </w:r>
      <w:r w:rsidR="004D2949">
        <w:rPr>
          <w:sz w:val="26"/>
          <w:szCs w:val="26"/>
        </w:rPr>
        <w:t>release from</w:t>
      </w:r>
      <w:r w:rsidRPr="00804064">
        <w:rPr>
          <w:sz w:val="26"/>
          <w:szCs w:val="26"/>
        </w:rPr>
        <w:t xml:space="preserve"> each development is reduced to 105 </w:t>
      </w:r>
      <w:proofErr w:type="spellStart"/>
      <w:r w:rsidRPr="00804064">
        <w:rPr>
          <w:sz w:val="26"/>
          <w:szCs w:val="26"/>
        </w:rPr>
        <w:t>cfs</w:t>
      </w:r>
      <w:proofErr w:type="spellEnd"/>
      <w:r w:rsidRPr="00804064">
        <w:rPr>
          <w:sz w:val="26"/>
          <w:szCs w:val="26"/>
        </w:rPr>
        <w:t xml:space="preserve"> from July 1 to April 30 each year.  In addition to the minimum flows, the existing license requires Black Bear Hydro to maintain Graham Lake and Lake Leonard between elevations 93.4 and 104.2 feet NGVD and 65.7 and 66.7 feet NGVD, respectively.  Black Bear Hydro proposes to </w:t>
      </w:r>
      <w:r w:rsidR="00E76CA1" w:rsidRPr="00E76CA1">
        <w:rPr>
          <w:sz w:val="26"/>
          <w:szCs w:val="26"/>
        </w:rPr>
        <w:t>continue the current licensed mode of operation</w:t>
      </w:r>
      <w:r w:rsidR="00E76CA1">
        <w:rPr>
          <w:sz w:val="26"/>
          <w:szCs w:val="26"/>
        </w:rPr>
        <w:t>,</w:t>
      </w:r>
      <w:r w:rsidR="00E76CA1" w:rsidRPr="00E76CA1">
        <w:rPr>
          <w:sz w:val="26"/>
          <w:szCs w:val="26"/>
        </w:rPr>
        <w:t xml:space="preserve"> </w:t>
      </w:r>
      <w:r w:rsidR="00C87C71">
        <w:rPr>
          <w:sz w:val="26"/>
          <w:szCs w:val="26"/>
        </w:rPr>
        <w:t xml:space="preserve">including minimum flow releases.  Black Bear Hydro also proposes to </w:t>
      </w:r>
      <w:r w:rsidRPr="00804064">
        <w:rPr>
          <w:sz w:val="26"/>
          <w:szCs w:val="26"/>
        </w:rPr>
        <w:t xml:space="preserve">install upstream eel passage facilities at the Graham Lake and Ellsworth </w:t>
      </w:r>
      <w:r w:rsidR="003956B3">
        <w:rPr>
          <w:sz w:val="26"/>
          <w:szCs w:val="26"/>
        </w:rPr>
        <w:t>D</w:t>
      </w:r>
      <w:r w:rsidRPr="00804064">
        <w:rPr>
          <w:sz w:val="26"/>
          <w:szCs w:val="26"/>
        </w:rPr>
        <w:t>evelopments</w:t>
      </w:r>
      <w:r>
        <w:rPr>
          <w:sz w:val="26"/>
          <w:szCs w:val="26"/>
        </w:rPr>
        <w:t>,</w:t>
      </w:r>
      <w:r w:rsidRPr="00804064">
        <w:rPr>
          <w:sz w:val="26"/>
          <w:szCs w:val="26"/>
        </w:rPr>
        <w:t xml:space="preserve"> construct a canoe portage</w:t>
      </w:r>
      <w:r w:rsidR="00E76CA1">
        <w:rPr>
          <w:sz w:val="26"/>
          <w:szCs w:val="26"/>
        </w:rPr>
        <w:t xml:space="preserve"> trail</w:t>
      </w:r>
      <w:r w:rsidRPr="00804064">
        <w:rPr>
          <w:sz w:val="26"/>
          <w:szCs w:val="26"/>
        </w:rPr>
        <w:t xml:space="preserve"> at the Graham Lake Development, and improve angler access at the Graham Lake Development.</w:t>
      </w:r>
      <w:r>
        <w:rPr>
          <w:sz w:val="26"/>
          <w:szCs w:val="26"/>
        </w:rPr>
        <w:t xml:space="preserve">  </w:t>
      </w:r>
      <w:r w:rsidRPr="00E12761">
        <w:rPr>
          <w:color w:val="FF0000"/>
          <w:sz w:val="26"/>
          <w:szCs w:val="26"/>
        </w:rPr>
        <w:t xml:space="preserve">  </w:t>
      </w:r>
    </w:p>
    <w:p w14:paraId="787BC056" w14:textId="07DF8295" w:rsidR="0030556C" w:rsidRPr="0083721D" w:rsidRDefault="0030556C" w:rsidP="00E73194">
      <w:pPr>
        <w:tabs>
          <w:tab w:val="left" w:pos="450"/>
        </w:tabs>
        <w:rPr>
          <w:sz w:val="26"/>
          <w:szCs w:val="26"/>
        </w:rPr>
      </w:pPr>
    </w:p>
    <w:p w14:paraId="787BC057" w14:textId="4D0DEF9C" w:rsidR="007C21BA" w:rsidRPr="00E12761" w:rsidRDefault="007C21BA" w:rsidP="000D2DC0">
      <w:pPr>
        <w:widowControl/>
        <w:rPr>
          <w:sz w:val="26"/>
          <w:szCs w:val="26"/>
        </w:rPr>
      </w:pPr>
      <w:r w:rsidRPr="00E12761">
        <w:rPr>
          <w:sz w:val="26"/>
          <w:szCs w:val="26"/>
        </w:rPr>
        <w:lastRenderedPageBreak/>
        <w:t xml:space="preserve">m.  </w:t>
      </w:r>
      <w:r w:rsidR="00E8498A">
        <w:rPr>
          <w:sz w:val="26"/>
          <w:szCs w:val="26"/>
        </w:rPr>
        <w:tab/>
      </w:r>
      <w:r w:rsidRPr="00E12761">
        <w:rPr>
          <w:sz w:val="26"/>
          <w:szCs w:val="26"/>
        </w:rPr>
        <w:t xml:space="preserve">A copy of the application is available for review at the Commission in the Public Reference Room or may be viewed on the Commission's website at </w:t>
      </w:r>
      <w:hyperlink r:id="rId16" w:history="1">
        <w:r w:rsidR="00EF1788" w:rsidRPr="00EF1788">
          <w:rPr>
            <w:rStyle w:val="Hyperlink"/>
            <w:sz w:val="26"/>
            <w:szCs w:val="26"/>
          </w:rPr>
          <w:t>http://www.ferc.gov</w:t>
        </w:r>
      </w:hyperlink>
      <w:r w:rsidRPr="00E12761">
        <w:rPr>
          <w:sz w:val="26"/>
          <w:szCs w:val="26"/>
        </w:rPr>
        <w:t xml:space="preserve"> using the "</w:t>
      </w:r>
      <w:proofErr w:type="spellStart"/>
      <w:r w:rsidR="000D2DC0" w:rsidRPr="00E12761">
        <w:rPr>
          <w:sz w:val="26"/>
          <w:szCs w:val="26"/>
        </w:rPr>
        <w:t>eLibrary</w:t>
      </w:r>
      <w:proofErr w:type="spellEnd"/>
      <w:r w:rsidRPr="00E12761">
        <w:rPr>
          <w:sz w:val="26"/>
          <w:szCs w:val="26"/>
        </w:rPr>
        <w:t>" link.  Enter the docket number excluding the last three digits in the docket number field to access the document.  For assistance, contact FERC Online Support</w:t>
      </w:r>
      <w:r w:rsidR="00C642D6">
        <w:rPr>
          <w:sz w:val="26"/>
          <w:szCs w:val="26"/>
        </w:rPr>
        <w:t xml:space="preserve">.  </w:t>
      </w:r>
      <w:r w:rsidRPr="00E12761">
        <w:rPr>
          <w:sz w:val="26"/>
          <w:szCs w:val="26"/>
        </w:rPr>
        <w:t>A copy is also available for inspection and reproduction at the address in item h above.</w:t>
      </w:r>
    </w:p>
    <w:p w14:paraId="787BC058" w14:textId="77777777" w:rsidR="007C21BA" w:rsidRPr="00E12761" w:rsidRDefault="007C21BA">
      <w:pPr>
        <w:widowControl/>
        <w:rPr>
          <w:sz w:val="26"/>
          <w:szCs w:val="26"/>
        </w:rPr>
      </w:pPr>
    </w:p>
    <w:p w14:paraId="787BC059" w14:textId="2AAE1EF9" w:rsidR="007C21BA" w:rsidRPr="00E12761" w:rsidRDefault="007C21BA">
      <w:pPr>
        <w:widowControl/>
        <w:rPr>
          <w:sz w:val="26"/>
          <w:szCs w:val="26"/>
        </w:rPr>
      </w:pPr>
      <w:r w:rsidRPr="00E12761">
        <w:rPr>
          <w:sz w:val="26"/>
          <w:szCs w:val="26"/>
        </w:rPr>
        <w:t xml:space="preserve">n. </w:t>
      </w:r>
      <w:r w:rsidR="006E0313">
        <w:rPr>
          <w:sz w:val="26"/>
          <w:szCs w:val="26"/>
        </w:rPr>
        <w:t xml:space="preserve"> </w:t>
      </w:r>
      <w:r w:rsidR="00E8498A">
        <w:rPr>
          <w:sz w:val="26"/>
          <w:szCs w:val="26"/>
        </w:rPr>
        <w:tab/>
      </w:r>
      <w:r w:rsidRPr="00E12761">
        <w:rPr>
          <w:sz w:val="26"/>
          <w:szCs w:val="26"/>
        </w:rPr>
        <w:t xml:space="preserve">Anyone may submit comments, a protest, or a motion to intervene in accordance with the requirements of </w:t>
      </w:r>
      <w:r w:rsidR="00DD3477">
        <w:rPr>
          <w:sz w:val="26"/>
          <w:szCs w:val="26"/>
        </w:rPr>
        <w:t xml:space="preserve">the Commission’s </w:t>
      </w:r>
      <w:r w:rsidRPr="00E12761">
        <w:rPr>
          <w:sz w:val="26"/>
          <w:szCs w:val="26"/>
        </w:rPr>
        <w:t xml:space="preserve">Rules of Practice and Procedure, 18 CFR 385.210, .211, </w:t>
      </w:r>
      <w:r w:rsidR="00A94E8C" w:rsidRPr="00E12761">
        <w:rPr>
          <w:sz w:val="26"/>
          <w:szCs w:val="26"/>
        </w:rPr>
        <w:t>and .</w:t>
      </w:r>
      <w:r w:rsidRPr="00E12761">
        <w:rPr>
          <w:sz w:val="26"/>
          <w:szCs w:val="26"/>
        </w:rPr>
        <w:t xml:space="preserve">214.  In determining the appropriate action to take, the Commission will consider all protests or other comments filed, but only those who file a motion to intervene in accordance with the Commission's Rules may become a party to the proceeding.  Any comments, protests, or motions to intervene must be received on or before the specified comment date for the </w:t>
      </w:r>
      <w:proofErr w:type="gramStart"/>
      <w:r w:rsidRPr="00E12761">
        <w:rPr>
          <w:sz w:val="26"/>
          <w:szCs w:val="26"/>
        </w:rPr>
        <w:t>particular application</w:t>
      </w:r>
      <w:proofErr w:type="gramEnd"/>
      <w:r w:rsidRPr="00E12761">
        <w:rPr>
          <w:sz w:val="26"/>
          <w:szCs w:val="26"/>
        </w:rPr>
        <w:t>.</w:t>
      </w:r>
    </w:p>
    <w:p w14:paraId="787BC05A" w14:textId="77777777" w:rsidR="007C21BA" w:rsidRPr="00E12761" w:rsidRDefault="007C21BA">
      <w:pPr>
        <w:widowControl/>
        <w:rPr>
          <w:sz w:val="26"/>
          <w:szCs w:val="26"/>
        </w:rPr>
      </w:pPr>
    </w:p>
    <w:p w14:paraId="2EA16BB6" w14:textId="454AB53C" w:rsidR="00526216" w:rsidRPr="00E12761" w:rsidRDefault="007C21BA" w:rsidP="004A491E">
      <w:pPr>
        <w:widowControl/>
        <w:ind w:firstLine="720"/>
        <w:rPr>
          <w:sz w:val="26"/>
          <w:szCs w:val="26"/>
        </w:rPr>
      </w:pPr>
      <w:r w:rsidRPr="00E12761">
        <w:rPr>
          <w:sz w:val="26"/>
          <w:szCs w:val="26"/>
        </w:rPr>
        <w:t>All filings must (1) bear in all capital letters the title "PROTEST</w:t>
      </w:r>
      <w:r w:rsidR="006A669C">
        <w:rPr>
          <w:sz w:val="26"/>
          <w:szCs w:val="26"/>
        </w:rPr>
        <w:t>,</w:t>
      </w:r>
      <w:r w:rsidRPr="00E12761">
        <w:rPr>
          <w:sz w:val="26"/>
          <w:szCs w:val="26"/>
        </w:rPr>
        <w:t>" "MOTION TO INTERVENE</w:t>
      </w:r>
      <w:r w:rsidR="006A669C">
        <w:rPr>
          <w:sz w:val="26"/>
          <w:szCs w:val="26"/>
        </w:rPr>
        <w:t>,</w:t>
      </w:r>
      <w:r w:rsidRPr="00E12761">
        <w:rPr>
          <w:sz w:val="26"/>
          <w:szCs w:val="26"/>
        </w:rPr>
        <w:t xml:space="preserve">" "COMMENTS," "REPLY COMMENTS," "RECOMMENDATIONS," "TERMS AND CONDITIONS," or "PRESCRIPTIONS;" (2) set forth in the heading the name of the applicant and the project number of the application to which the filing responds; (3) furnish the name, address, and telephone number of the person protesting or intervening; and (4) otherwise comply with the requirements of 18 CFR 385.2001 through 385.2005.  All comments, recommendations, terms and conditions or prescriptions must set forth their evidentiary basis and otherwise comply with the requirements of 18 CFR 4.34(b).  Agencies may obtain copies of the application directly from the applicant.  A copy of any protest or motion to intervene must be served upon each representative of the applicant specified in the </w:t>
      </w:r>
      <w:proofErr w:type="gramStart"/>
      <w:r w:rsidRPr="00E12761">
        <w:rPr>
          <w:sz w:val="26"/>
          <w:szCs w:val="26"/>
        </w:rPr>
        <w:t>particular application</w:t>
      </w:r>
      <w:proofErr w:type="gramEnd"/>
      <w:r w:rsidRPr="00E12761">
        <w:rPr>
          <w:sz w:val="26"/>
          <w:szCs w:val="26"/>
        </w:rPr>
        <w:t xml:space="preserve">.  A copy of all other filings </w:t>
      </w:r>
      <w:proofErr w:type="gramStart"/>
      <w:r w:rsidRPr="00E12761">
        <w:rPr>
          <w:sz w:val="26"/>
          <w:szCs w:val="26"/>
        </w:rPr>
        <w:t>in reference to</w:t>
      </w:r>
      <w:proofErr w:type="gramEnd"/>
      <w:r w:rsidRPr="00E12761">
        <w:rPr>
          <w:sz w:val="26"/>
          <w:szCs w:val="26"/>
        </w:rPr>
        <w:t xml:space="preserve"> this application must be accompanied by proof of service on all persons listed in the service list prepared by the Commission in this proceeding, in accordance with 18 CFR 4.34(b) and 385.2010.</w:t>
      </w:r>
    </w:p>
    <w:p w14:paraId="787BC05C" w14:textId="77777777" w:rsidR="00E04EF8" w:rsidRDefault="00E04EF8" w:rsidP="000D2DC0">
      <w:pPr>
        <w:widowControl/>
        <w:ind w:firstLine="720"/>
        <w:rPr>
          <w:sz w:val="26"/>
          <w:szCs w:val="26"/>
        </w:rPr>
      </w:pPr>
    </w:p>
    <w:p w14:paraId="787BC05D" w14:textId="77777777" w:rsidR="007C21BA" w:rsidRDefault="007C21BA" w:rsidP="000D2DC0">
      <w:pPr>
        <w:widowControl/>
        <w:ind w:firstLine="720"/>
        <w:rPr>
          <w:sz w:val="26"/>
          <w:szCs w:val="26"/>
        </w:rPr>
      </w:pPr>
      <w:r w:rsidRPr="00E12761">
        <w:rPr>
          <w:sz w:val="26"/>
          <w:szCs w:val="26"/>
        </w:rPr>
        <w:t xml:space="preserve">You may also register online at </w:t>
      </w:r>
      <w:hyperlink r:id="rId17" w:history="1">
        <w:r w:rsidR="00EF1788" w:rsidRPr="00EF1788">
          <w:rPr>
            <w:rStyle w:val="Hyperlink"/>
            <w:sz w:val="26"/>
            <w:szCs w:val="26"/>
          </w:rPr>
          <w:t>http://www.ferc.gov/docs-filing/esubscription.asp</w:t>
        </w:r>
      </w:hyperlink>
      <w:r w:rsidR="00EF1788" w:rsidRPr="00EF1788">
        <w:rPr>
          <w:sz w:val="26"/>
          <w:szCs w:val="26"/>
        </w:rPr>
        <w:t xml:space="preserve"> </w:t>
      </w:r>
      <w:r w:rsidRPr="00E12761">
        <w:rPr>
          <w:sz w:val="26"/>
          <w:szCs w:val="26"/>
        </w:rPr>
        <w:t>to be notified via email of new filings and issuances related to this or other pending projects.  For assistance, contact FERC Online Support.</w:t>
      </w:r>
    </w:p>
    <w:p w14:paraId="65792914" w14:textId="77777777" w:rsidR="00024551" w:rsidRDefault="00024551" w:rsidP="00932FDB">
      <w:pPr>
        <w:widowControl/>
        <w:rPr>
          <w:sz w:val="26"/>
          <w:szCs w:val="26"/>
        </w:rPr>
      </w:pPr>
    </w:p>
    <w:p w14:paraId="00E1DE50" w14:textId="77777777" w:rsidR="00024551" w:rsidRPr="00014170" w:rsidRDefault="00024551" w:rsidP="001D2A6D">
      <w:pPr>
        <w:keepNext/>
        <w:rPr>
          <w:sz w:val="26"/>
          <w:szCs w:val="26"/>
        </w:rPr>
      </w:pPr>
      <w:r w:rsidRPr="00014170">
        <w:rPr>
          <w:sz w:val="26"/>
          <w:szCs w:val="26"/>
        </w:rPr>
        <w:t xml:space="preserve">o.  </w:t>
      </w:r>
      <w:r w:rsidRPr="00014170">
        <w:rPr>
          <w:sz w:val="26"/>
          <w:szCs w:val="26"/>
        </w:rPr>
        <w:tab/>
        <w:t xml:space="preserve">Procedural Schedule:  </w:t>
      </w:r>
    </w:p>
    <w:p w14:paraId="741A4AD9" w14:textId="77777777" w:rsidR="00024551" w:rsidRPr="00014170" w:rsidRDefault="00024551" w:rsidP="001D2A6D">
      <w:pPr>
        <w:keepNext/>
        <w:rPr>
          <w:sz w:val="26"/>
          <w:szCs w:val="26"/>
        </w:rPr>
      </w:pPr>
    </w:p>
    <w:p w14:paraId="2FB651FB" w14:textId="77777777" w:rsidR="00024551" w:rsidRPr="00014170" w:rsidRDefault="00024551" w:rsidP="001D2A6D">
      <w:pPr>
        <w:keepNext/>
        <w:ind w:firstLine="720"/>
        <w:rPr>
          <w:sz w:val="26"/>
          <w:szCs w:val="26"/>
        </w:rPr>
      </w:pPr>
      <w:r w:rsidRPr="00014170">
        <w:rPr>
          <w:sz w:val="26"/>
          <w:szCs w:val="26"/>
        </w:rPr>
        <w:t xml:space="preserve">The application will be processed </w:t>
      </w:r>
      <w:proofErr w:type="gramStart"/>
      <w:r w:rsidRPr="00014170">
        <w:rPr>
          <w:sz w:val="26"/>
          <w:szCs w:val="26"/>
        </w:rPr>
        <w:t>according to</w:t>
      </w:r>
      <w:proofErr w:type="gramEnd"/>
      <w:r w:rsidRPr="00014170">
        <w:rPr>
          <w:sz w:val="26"/>
          <w:szCs w:val="26"/>
        </w:rPr>
        <w:t xml:space="preserve"> the following </w:t>
      </w:r>
      <w:r w:rsidRPr="00014170">
        <w:rPr>
          <w:color w:val="000000"/>
          <w:sz w:val="26"/>
          <w:szCs w:val="26"/>
        </w:rPr>
        <w:t xml:space="preserve">revised </w:t>
      </w:r>
      <w:r w:rsidRPr="00014170">
        <w:rPr>
          <w:sz w:val="26"/>
          <w:szCs w:val="26"/>
        </w:rPr>
        <w:t xml:space="preserve">schedule.  Revisions to the schedule may be made as appropriate. </w:t>
      </w:r>
    </w:p>
    <w:p w14:paraId="0073E5D3" w14:textId="77777777" w:rsidR="00024551" w:rsidRPr="00014170" w:rsidRDefault="00024551" w:rsidP="00024551">
      <w:pPr>
        <w:rPr>
          <w:sz w:val="26"/>
          <w:szCs w:val="26"/>
        </w:rPr>
      </w:pPr>
    </w:p>
    <w:tbl>
      <w:tblPr>
        <w:tblW w:w="0" w:type="auto"/>
        <w:tblLook w:val="01E0" w:firstRow="1" w:lastRow="1" w:firstColumn="1" w:lastColumn="1" w:noHBand="0" w:noVBand="0"/>
      </w:tblPr>
      <w:tblGrid>
        <w:gridCol w:w="4689"/>
        <w:gridCol w:w="4671"/>
      </w:tblGrid>
      <w:tr w:rsidR="00024551" w:rsidRPr="00014170" w14:paraId="54419E68" w14:textId="77777777" w:rsidTr="00AD062F">
        <w:tc>
          <w:tcPr>
            <w:tcW w:w="4689" w:type="dxa"/>
            <w:hideMark/>
          </w:tcPr>
          <w:p w14:paraId="794488BF" w14:textId="77777777" w:rsidR="00024551" w:rsidRPr="00014170" w:rsidRDefault="00024551" w:rsidP="00AD062F">
            <w:pPr>
              <w:jc w:val="center"/>
              <w:rPr>
                <w:sz w:val="26"/>
                <w:szCs w:val="26"/>
              </w:rPr>
            </w:pPr>
            <w:r w:rsidRPr="00014170">
              <w:rPr>
                <w:sz w:val="26"/>
                <w:szCs w:val="26"/>
              </w:rPr>
              <w:t>MILESTONE</w:t>
            </w:r>
          </w:p>
        </w:tc>
        <w:tc>
          <w:tcPr>
            <w:tcW w:w="4671" w:type="dxa"/>
          </w:tcPr>
          <w:p w14:paraId="553EF0F6" w14:textId="77777777" w:rsidR="00024551" w:rsidRPr="00014170" w:rsidRDefault="00024551" w:rsidP="00AD062F">
            <w:pPr>
              <w:jc w:val="center"/>
              <w:rPr>
                <w:sz w:val="26"/>
                <w:szCs w:val="26"/>
              </w:rPr>
            </w:pPr>
            <w:r w:rsidRPr="00014170">
              <w:rPr>
                <w:sz w:val="26"/>
                <w:szCs w:val="26"/>
              </w:rPr>
              <w:t>TARGET DATE</w:t>
            </w:r>
          </w:p>
          <w:p w14:paraId="6AAEF032" w14:textId="77777777" w:rsidR="00024551" w:rsidRPr="00014170" w:rsidRDefault="00024551" w:rsidP="00AD062F">
            <w:pPr>
              <w:jc w:val="center"/>
              <w:rPr>
                <w:sz w:val="26"/>
                <w:szCs w:val="26"/>
              </w:rPr>
            </w:pPr>
          </w:p>
        </w:tc>
      </w:tr>
      <w:tr w:rsidR="00024551" w:rsidRPr="00014170" w14:paraId="2CAA5840" w14:textId="77777777" w:rsidTr="00AD062F">
        <w:tc>
          <w:tcPr>
            <w:tcW w:w="4689" w:type="dxa"/>
            <w:hideMark/>
          </w:tcPr>
          <w:p w14:paraId="7466D95D" w14:textId="46493607" w:rsidR="00024551" w:rsidRPr="00014170" w:rsidRDefault="00024551" w:rsidP="006A669C">
            <w:pPr>
              <w:rPr>
                <w:sz w:val="26"/>
                <w:szCs w:val="26"/>
              </w:rPr>
            </w:pPr>
            <w:r w:rsidRPr="00014170">
              <w:rPr>
                <w:sz w:val="26"/>
                <w:szCs w:val="26"/>
              </w:rPr>
              <w:t xml:space="preserve">Filing of </w:t>
            </w:r>
            <w:r w:rsidR="006A669C">
              <w:rPr>
                <w:sz w:val="26"/>
                <w:szCs w:val="26"/>
              </w:rPr>
              <w:t>inte</w:t>
            </w:r>
            <w:r w:rsidR="00824FC6">
              <w:rPr>
                <w:sz w:val="26"/>
                <w:szCs w:val="26"/>
              </w:rPr>
              <w:t>r</w:t>
            </w:r>
            <w:r w:rsidR="006A669C">
              <w:rPr>
                <w:sz w:val="26"/>
                <w:szCs w:val="26"/>
              </w:rPr>
              <w:t xml:space="preserve">ventions, protests, comments, </w:t>
            </w:r>
            <w:r w:rsidRPr="00014170">
              <w:rPr>
                <w:sz w:val="26"/>
                <w:szCs w:val="26"/>
              </w:rPr>
              <w:t xml:space="preserve">recommendations, preliminary </w:t>
            </w:r>
            <w:r w:rsidRPr="00014170">
              <w:rPr>
                <w:sz w:val="26"/>
                <w:szCs w:val="26"/>
              </w:rPr>
              <w:lastRenderedPageBreak/>
              <w:t xml:space="preserve">terms and conditions, and preliminary </w:t>
            </w:r>
            <w:proofErr w:type="spellStart"/>
            <w:r w:rsidRPr="00014170">
              <w:rPr>
                <w:sz w:val="26"/>
                <w:szCs w:val="26"/>
              </w:rPr>
              <w:t>fishway</w:t>
            </w:r>
            <w:proofErr w:type="spellEnd"/>
            <w:r w:rsidRPr="00014170">
              <w:rPr>
                <w:sz w:val="26"/>
                <w:szCs w:val="26"/>
              </w:rPr>
              <w:t xml:space="preserve"> prescriptions</w:t>
            </w:r>
            <w:r w:rsidR="006A669C" w:rsidRPr="006C26A9">
              <w:rPr>
                <w:sz w:val="26"/>
                <w:szCs w:val="26"/>
              </w:rPr>
              <w:t xml:space="preserve"> </w:t>
            </w:r>
          </w:p>
        </w:tc>
        <w:tc>
          <w:tcPr>
            <w:tcW w:w="4671" w:type="dxa"/>
            <w:hideMark/>
          </w:tcPr>
          <w:p w14:paraId="19E11142" w14:textId="77777777" w:rsidR="00CC2031" w:rsidRDefault="00CC2031" w:rsidP="00AD062F">
            <w:pPr>
              <w:jc w:val="center"/>
              <w:rPr>
                <w:sz w:val="26"/>
                <w:szCs w:val="26"/>
              </w:rPr>
            </w:pPr>
          </w:p>
          <w:p w14:paraId="28ADBFF8" w14:textId="38E92797" w:rsidR="00024551" w:rsidRPr="00014170" w:rsidRDefault="00E73194" w:rsidP="00AD062F">
            <w:pPr>
              <w:jc w:val="center"/>
              <w:rPr>
                <w:sz w:val="26"/>
                <w:szCs w:val="26"/>
              </w:rPr>
            </w:pPr>
            <w:r>
              <w:rPr>
                <w:sz w:val="26"/>
                <w:szCs w:val="26"/>
              </w:rPr>
              <w:t xml:space="preserve">April </w:t>
            </w:r>
            <w:r w:rsidR="00024551" w:rsidRPr="00014170">
              <w:rPr>
                <w:sz w:val="26"/>
                <w:szCs w:val="26"/>
              </w:rPr>
              <w:t>2018</w:t>
            </w:r>
          </w:p>
        </w:tc>
      </w:tr>
      <w:tr w:rsidR="00024551" w:rsidRPr="00014170" w14:paraId="5A7B8E86" w14:textId="77777777" w:rsidTr="00AD062F">
        <w:tc>
          <w:tcPr>
            <w:tcW w:w="4689" w:type="dxa"/>
            <w:hideMark/>
          </w:tcPr>
          <w:p w14:paraId="3A44D728" w14:textId="77777777" w:rsidR="00C87C71" w:rsidRDefault="00C87C71" w:rsidP="00AD062F">
            <w:pPr>
              <w:rPr>
                <w:sz w:val="26"/>
                <w:szCs w:val="26"/>
              </w:rPr>
            </w:pPr>
          </w:p>
          <w:p w14:paraId="1E0849D9" w14:textId="4F47B22D" w:rsidR="00024551" w:rsidRPr="00014170" w:rsidRDefault="00024551" w:rsidP="00AD062F">
            <w:pPr>
              <w:rPr>
                <w:sz w:val="26"/>
                <w:szCs w:val="26"/>
              </w:rPr>
            </w:pPr>
            <w:r w:rsidRPr="00014170">
              <w:rPr>
                <w:sz w:val="26"/>
                <w:szCs w:val="26"/>
              </w:rPr>
              <w:t xml:space="preserve">Commission issues </w:t>
            </w:r>
            <w:r w:rsidR="00E73194">
              <w:rPr>
                <w:sz w:val="26"/>
                <w:szCs w:val="26"/>
              </w:rPr>
              <w:t xml:space="preserve">Draft </w:t>
            </w:r>
            <w:r w:rsidRPr="00014170">
              <w:rPr>
                <w:sz w:val="26"/>
                <w:szCs w:val="26"/>
              </w:rPr>
              <w:t xml:space="preserve">Environmental Assessment </w:t>
            </w:r>
          </w:p>
        </w:tc>
        <w:tc>
          <w:tcPr>
            <w:tcW w:w="4671" w:type="dxa"/>
            <w:hideMark/>
          </w:tcPr>
          <w:p w14:paraId="79A66375" w14:textId="77777777" w:rsidR="00C87C71" w:rsidRDefault="00C87C71" w:rsidP="00AD062F">
            <w:pPr>
              <w:jc w:val="center"/>
              <w:rPr>
                <w:sz w:val="26"/>
                <w:szCs w:val="26"/>
              </w:rPr>
            </w:pPr>
          </w:p>
          <w:p w14:paraId="3F05BEF5" w14:textId="3D646371" w:rsidR="00024551" w:rsidRPr="00014170" w:rsidRDefault="00E73194" w:rsidP="00AD062F">
            <w:pPr>
              <w:jc w:val="center"/>
              <w:rPr>
                <w:sz w:val="26"/>
                <w:szCs w:val="26"/>
              </w:rPr>
            </w:pPr>
            <w:r>
              <w:rPr>
                <w:sz w:val="26"/>
                <w:szCs w:val="26"/>
              </w:rPr>
              <w:t>August</w:t>
            </w:r>
            <w:r w:rsidR="00024551" w:rsidRPr="00014170">
              <w:rPr>
                <w:sz w:val="26"/>
                <w:szCs w:val="26"/>
              </w:rPr>
              <w:t xml:space="preserve"> 2018</w:t>
            </w:r>
          </w:p>
        </w:tc>
      </w:tr>
      <w:tr w:rsidR="00E73194" w:rsidRPr="00014170" w14:paraId="03923735" w14:textId="77777777" w:rsidTr="00AD062F">
        <w:tc>
          <w:tcPr>
            <w:tcW w:w="4689" w:type="dxa"/>
          </w:tcPr>
          <w:p w14:paraId="7DFEF8E9" w14:textId="77777777" w:rsidR="00C87C71" w:rsidRDefault="00C87C71" w:rsidP="00E73194">
            <w:pPr>
              <w:rPr>
                <w:sz w:val="26"/>
                <w:szCs w:val="26"/>
              </w:rPr>
            </w:pPr>
          </w:p>
          <w:p w14:paraId="65DA95AC" w14:textId="77777777" w:rsidR="00E73194" w:rsidRDefault="00E73194" w:rsidP="00E73194">
            <w:pPr>
              <w:rPr>
                <w:sz w:val="26"/>
                <w:szCs w:val="26"/>
              </w:rPr>
            </w:pPr>
            <w:r w:rsidRPr="00014170">
              <w:rPr>
                <w:sz w:val="26"/>
                <w:szCs w:val="26"/>
              </w:rPr>
              <w:t xml:space="preserve">Comments on </w:t>
            </w:r>
            <w:r>
              <w:rPr>
                <w:sz w:val="26"/>
                <w:szCs w:val="26"/>
              </w:rPr>
              <w:t xml:space="preserve">Draft </w:t>
            </w:r>
            <w:r w:rsidRPr="00014170">
              <w:rPr>
                <w:sz w:val="26"/>
                <w:szCs w:val="26"/>
              </w:rPr>
              <w:t>Environmental Assessment</w:t>
            </w:r>
          </w:p>
          <w:p w14:paraId="39A00B9D" w14:textId="77777777" w:rsidR="00C87C71" w:rsidRDefault="00C87C71" w:rsidP="00E73194">
            <w:pPr>
              <w:rPr>
                <w:sz w:val="26"/>
                <w:szCs w:val="26"/>
              </w:rPr>
            </w:pPr>
          </w:p>
          <w:p w14:paraId="6DDCC5F2" w14:textId="0DACC3F3" w:rsidR="00824FC6" w:rsidRPr="00014170" w:rsidRDefault="00824FC6" w:rsidP="00E73194">
            <w:pPr>
              <w:rPr>
                <w:sz w:val="26"/>
                <w:szCs w:val="26"/>
              </w:rPr>
            </w:pPr>
            <w:r>
              <w:rPr>
                <w:sz w:val="26"/>
                <w:szCs w:val="26"/>
              </w:rPr>
              <w:t xml:space="preserve">Modified terms and conditions, and </w:t>
            </w:r>
            <w:proofErr w:type="spellStart"/>
            <w:r>
              <w:rPr>
                <w:sz w:val="26"/>
                <w:szCs w:val="26"/>
              </w:rPr>
              <w:t>fishway</w:t>
            </w:r>
            <w:proofErr w:type="spellEnd"/>
            <w:r>
              <w:rPr>
                <w:sz w:val="26"/>
                <w:szCs w:val="26"/>
              </w:rPr>
              <w:t xml:space="preserve"> prescriptions</w:t>
            </w:r>
          </w:p>
        </w:tc>
        <w:tc>
          <w:tcPr>
            <w:tcW w:w="4671" w:type="dxa"/>
          </w:tcPr>
          <w:p w14:paraId="7F42798F" w14:textId="77777777" w:rsidR="00C87C71" w:rsidRDefault="00C87C71" w:rsidP="00E73194">
            <w:pPr>
              <w:jc w:val="center"/>
              <w:rPr>
                <w:sz w:val="26"/>
                <w:szCs w:val="26"/>
              </w:rPr>
            </w:pPr>
          </w:p>
          <w:p w14:paraId="37E5FA4C" w14:textId="77777777" w:rsidR="00E73194" w:rsidRDefault="00E73194" w:rsidP="00E73194">
            <w:pPr>
              <w:jc w:val="center"/>
              <w:rPr>
                <w:sz w:val="26"/>
                <w:szCs w:val="26"/>
              </w:rPr>
            </w:pPr>
            <w:r>
              <w:rPr>
                <w:sz w:val="26"/>
                <w:szCs w:val="26"/>
              </w:rPr>
              <w:t>October 2018</w:t>
            </w:r>
          </w:p>
          <w:p w14:paraId="0CC01838" w14:textId="77777777" w:rsidR="00824FC6" w:rsidRDefault="00824FC6" w:rsidP="00E73194">
            <w:pPr>
              <w:jc w:val="center"/>
              <w:rPr>
                <w:sz w:val="26"/>
                <w:szCs w:val="26"/>
              </w:rPr>
            </w:pPr>
          </w:p>
          <w:p w14:paraId="343E5F1B" w14:textId="77777777" w:rsidR="00C87C71" w:rsidRDefault="00C87C71" w:rsidP="00E73194">
            <w:pPr>
              <w:jc w:val="center"/>
              <w:rPr>
                <w:sz w:val="26"/>
                <w:szCs w:val="26"/>
              </w:rPr>
            </w:pPr>
          </w:p>
          <w:p w14:paraId="49A2BF50" w14:textId="406DD151" w:rsidR="00824FC6" w:rsidRDefault="00824FC6" w:rsidP="00E73194">
            <w:pPr>
              <w:jc w:val="center"/>
              <w:rPr>
                <w:sz w:val="26"/>
                <w:szCs w:val="26"/>
              </w:rPr>
            </w:pPr>
            <w:r>
              <w:rPr>
                <w:sz w:val="26"/>
                <w:szCs w:val="26"/>
              </w:rPr>
              <w:t>December 2018</w:t>
            </w:r>
          </w:p>
        </w:tc>
      </w:tr>
      <w:tr w:rsidR="00E73194" w:rsidRPr="00014170" w14:paraId="0D2A015C" w14:textId="77777777" w:rsidTr="00AD062F">
        <w:tc>
          <w:tcPr>
            <w:tcW w:w="4689" w:type="dxa"/>
          </w:tcPr>
          <w:p w14:paraId="4BEA615F" w14:textId="77777777" w:rsidR="00C87C71" w:rsidRDefault="00C87C71" w:rsidP="00E73194">
            <w:pPr>
              <w:rPr>
                <w:sz w:val="26"/>
                <w:szCs w:val="26"/>
              </w:rPr>
            </w:pPr>
          </w:p>
          <w:p w14:paraId="2918E520" w14:textId="6445BB45" w:rsidR="00E73194" w:rsidRPr="00014170" w:rsidRDefault="00E73194" w:rsidP="00E73194">
            <w:pPr>
              <w:rPr>
                <w:sz w:val="26"/>
                <w:szCs w:val="26"/>
              </w:rPr>
            </w:pPr>
            <w:r w:rsidRPr="00014170">
              <w:rPr>
                <w:sz w:val="26"/>
                <w:szCs w:val="26"/>
              </w:rPr>
              <w:t xml:space="preserve">Commission issues </w:t>
            </w:r>
            <w:r w:rsidR="00C87C71">
              <w:rPr>
                <w:sz w:val="26"/>
                <w:szCs w:val="26"/>
              </w:rPr>
              <w:t xml:space="preserve">Final </w:t>
            </w:r>
            <w:r w:rsidRPr="00014170">
              <w:rPr>
                <w:sz w:val="26"/>
                <w:szCs w:val="26"/>
              </w:rPr>
              <w:t>Environmental Assessment</w:t>
            </w:r>
          </w:p>
        </w:tc>
        <w:tc>
          <w:tcPr>
            <w:tcW w:w="4671" w:type="dxa"/>
          </w:tcPr>
          <w:p w14:paraId="57D367E6" w14:textId="77777777" w:rsidR="00C87C71" w:rsidRDefault="00C87C71" w:rsidP="00824FC6">
            <w:pPr>
              <w:jc w:val="center"/>
              <w:rPr>
                <w:sz w:val="26"/>
                <w:szCs w:val="26"/>
              </w:rPr>
            </w:pPr>
          </w:p>
          <w:p w14:paraId="3B1AC5FB" w14:textId="4AAC125C" w:rsidR="00E73194" w:rsidRDefault="00824FC6" w:rsidP="00824FC6">
            <w:pPr>
              <w:jc w:val="center"/>
              <w:rPr>
                <w:sz w:val="26"/>
                <w:szCs w:val="26"/>
              </w:rPr>
            </w:pPr>
            <w:r>
              <w:rPr>
                <w:sz w:val="26"/>
                <w:szCs w:val="26"/>
              </w:rPr>
              <w:t>March</w:t>
            </w:r>
            <w:r w:rsidR="00E73194">
              <w:rPr>
                <w:sz w:val="26"/>
                <w:szCs w:val="26"/>
              </w:rPr>
              <w:t xml:space="preserve"> 2019</w:t>
            </w:r>
          </w:p>
        </w:tc>
      </w:tr>
    </w:tbl>
    <w:p w14:paraId="27AEA812" w14:textId="77777777" w:rsidR="00D924DB" w:rsidRPr="00014170" w:rsidRDefault="00D924DB" w:rsidP="00932FDB">
      <w:pPr>
        <w:widowControl/>
        <w:rPr>
          <w:sz w:val="26"/>
          <w:szCs w:val="26"/>
        </w:rPr>
      </w:pPr>
    </w:p>
    <w:p w14:paraId="787BC05E" w14:textId="35E55A81" w:rsidR="007C21BA" w:rsidRPr="00014170" w:rsidRDefault="00024551" w:rsidP="00932FDB">
      <w:pPr>
        <w:widowControl/>
        <w:ind w:firstLine="720"/>
        <w:rPr>
          <w:sz w:val="26"/>
          <w:szCs w:val="26"/>
        </w:rPr>
      </w:pPr>
      <w:r w:rsidRPr="00014170">
        <w:rPr>
          <w:sz w:val="26"/>
          <w:szCs w:val="26"/>
        </w:rPr>
        <w:t xml:space="preserve">Final amendments to the application must be filed with the Commission no later </w:t>
      </w:r>
      <w:r w:rsidR="00E73194" w:rsidRPr="00E73194">
        <w:rPr>
          <w:sz w:val="26"/>
          <w:szCs w:val="26"/>
        </w:rPr>
        <w:t xml:space="preserve">than the comment period listed in item </w:t>
      </w:r>
      <w:r w:rsidR="00E73194">
        <w:rPr>
          <w:sz w:val="26"/>
          <w:szCs w:val="26"/>
        </w:rPr>
        <w:t xml:space="preserve">j </w:t>
      </w:r>
      <w:r w:rsidR="00E73194" w:rsidRPr="00E73194">
        <w:rPr>
          <w:sz w:val="26"/>
          <w:szCs w:val="26"/>
        </w:rPr>
        <w:t>above</w:t>
      </w:r>
      <w:r w:rsidRPr="00014170">
        <w:rPr>
          <w:sz w:val="26"/>
          <w:szCs w:val="26"/>
        </w:rPr>
        <w:t>.</w:t>
      </w:r>
    </w:p>
    <w:p w14:paraId="25DB3EB6" w14:textId="77777777" w:rsidR="00024551" w:rsidRPr="00E12761" w:rsidRDefault="00024551" w:rsidP="00932FDB">
      <w:pPr>
        <w:widowControl/>
        <w:ind w:firstLine="720"/>
        <w:rPr>
          <w:sz w:val="26"/>
          <w:szCs w:val="26"/>
        </w:rPr>
      </w:pPr>
    </w:p>
    <w:p w14:paraId="787BC05F" w14:textId="14F71517" w:rsidR="00024EFB" w:rsidRPr="00E12761" w:rsidRDefault="00024551" w:rsidP="00024EFB">
      <w:pPr>
        <w:widowControl/>
        <w:rPr>
          <w:sz w:val="26"/>
          <w:szCs w:val="26"/>
        </w:rPr>
      </w:pPr>
      <w:r>
        <w:rPr>
          <w:sz w:val="26"/>
          <w:szCs w:val="26"/>
        </w:rPr>
        <w:t>p</w:t>
      </w:r>
      <w:r w:rsidR="00024EFB" w:rsidRPr="00E12761">
        <w:rPr>
          <w:sz w:val="26"/>
          <w:szCs w:val="26"/>
        </w:rPr>
        <w:t xml:space="preserve">.  </w:t>
      </w:r>
      <w:r w:rsidR="00E8498A">
        <w:rPr>
          <w:sz w:val="26"/>
          <w:szCs w:val="26"/>
        </w:rPr>
        <w:tab/>
      </w:r>
      <w:r w:rsidR="00024EFB" w:rsidRPr="00E12761">
        <w:rPr>
          <w:sz w:val="26"/>
          <w:szCs w:val="26"/>
        </w:rPr>
        <w:t>A license applicant must file no later than 60 days following the date of issuance of this notice</w:t>
      </w:r>
      <w:proofErr w:type="gramStart"/>
      <w:r w:rsidR="00024EFB" w:rsidRPr="00E12761">
        <w:rPr>
          <w:sz w:val="26"/>
          <w:szCs w:val="26"/>
        </w:rPr>
        <w:t>:  (</w:t>
      </w:r>
      <w:proofErr w:type="gramEnd"/>
      <w:r w:rsidR="00024EFB" w:rsidRPr="00E12761">
        <w:rPr>
          <w:sz w:val="26"/>
          <w:szCs w:val="26"/>
        </w:rPr>
        <w:t xml:space="preserve">1) a copy of the water quality certification; (2) a copy of the request for certification, including proof of the date on which the certifying agency received the request; or (3) evidence of waiver of water quality certification. </w:t>
      </w:r>
    </w:p>
    <w:p w14:paraId="11AE840C" w14:textId="59E05DC3" w:rsidR="00413E8E" w:rsidRDefault="00413E8E">
      <w:pPr>
        <w:widowControl/>
        <w:rPr>
          <w:sz w:val="26"/>
          <w:szCs w:val="26"/>
        </w:rPr>
      </w:pPr>
    </w:p>
    <w:p w14:paraId="0F79EC17" w14:textId="61E11267" w:rsidR="00C43E9E" w:rsidRDefault="00C43E9E">
      <w:pPr>
        <w:widowControl/>
        <w:rPr>
          <w:sz w:val="26"/>
          <w:szCs w:val="26"/>
        </w:rPr>
      </w:pPr>
    </w:p>
    <w:p w14:paraId="128BE791" w14:textId="2522D2D7" w:rsidR="00C43E9E" w:rsidRDefault="00C43E9E">
      <w:pPr>
        <w:widowControl/>
        <w:rPr>
          <w:sz w:val="26"/>
          <w:szCs w:val="26"/>
        </w:rPr>
      </w:pPr>
    </w:p>
    <w:p w14:paraId="43FF5294" w14:textId="6ED720BC" w:rsidR="00C43E9E" w:rsidRDefault="00C43E9E">
      <w:pPr>
        <w:widowControl/>
        <w:rPr>
          <w:sz w:val="26"/>
          <w:szCs w:val="26"/>
        </w:rPr>
      </w:pPr>
    </w:p>
    <w:p w14:paraId="4E0FCF92" w14:textId="37D640EB" w:rsidR="00C43E9E" w:rsidRPr="00C43E9E" w:rsidRDefault="00C43E9E" w:rsidP="00C43E9E">
      <w:pPr>
        <w:widowControl/>
        <w:ind w:firstLine="2174"/>
        <w:jc w:val="center"/>
        <w:rPr>
          <w:sz w:val="26"/>
        </w:rPr>
      </w:pPr>
      <w:r w:rsidRPr="00C43E9E">
        <w:rPr>
          <w:sz w:val="26"/>
        </w:rPr>
        <w:t>Kimberly D. Bose,</w:t>
      </w:r>
    </w:p>
    <w:p w14:paraId="65F6F5F1" w14:textId="29A4C4FC" w:rsidR="00C43E9E" w:rsidRPr="00E12761" w:rsidRDefault="00C43E9E" w:rsidP="00C43E9E">
      <w:pPr>
        <w:widowControl/>
        <w:ind w:firstLine="2174"/>
        <w:jc w:val="center"/>
        <w:rPr>
          <w:sz w:val="26"/>
          <w:szCs w:val="26"/>
        </w:rPr>
      </w:pPr>
      <w:r w:rsidRPr="00C43E9E">
        <w:rPr>
          <w:sz w:val="26"/>
        </w:rPr>
        <w:t>Secretary.</w:t>
      </w:r>
      <w:r w:rsidRPr="00E12761">
        <w:rPr>
          <w:sz w:val="26"/>
          <w:szCs w:val="26"/>
        </w:rPr>
        <w:t xml:space="preserve"> </w:t>
      </w:r>
    </w:p>
    <w:sectPr w:rsidR="00C43E9E" w:rsidRPr="00E12761" w:rsidSect="00C43E9E">
      <w:headerReference w:type="even" r:id="rId18"/>
      <w:headerReference w:type="default" r:id="rId19"/>
      <w:type w:val="continuous"/>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3A2DE" w14:textId="77777777" w:rsidR="00710662" w:rsidRDefault="00710662">
      <w:r>
        <w:separator/>
      </w:r>
    </w:p>
  </w:endnote>
  <w:endnote w:type="continuationSeparator" w:id="0">
    <w:p w14:paraId="17157018" w14:textId="77777777" w:rsidR="00710662" w:rsidRDefault="0071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13571" w14:textId="77777777" w:rsidR="00710662" w:rsidRDefault="00710662">
      <w:r>
        <w:separator/>
      </w:r>
    </w:p>
  </w:footnote>
  <w:footnote w:type="continuationSeparator" w:id="0">
    <w:p w14:paraId="6A1698D6" w14:textId="77777777" w:rsidR="00710662" w:rsidRDefault="00710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BC06C" w14:textId="77777777" w:rsidR="00E242AA" w:rsidRDefault="00E242AA" w:rsidP="00AB4D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01B5">
      <w:rPr>
        <w:rStyle w:val="PageNumber"/>
        <w:noProof/>
      </w:rPr>
      <w:t>4</w:t>
    </w:r>
    <w:r>
      <w:rPr>
        <w:rStyle w:val="PageNumber"/>
      </w:rPr>
      <w:fldChar w:fldCharType="end"/>
    </w:r>
  </w:p>
  <w:p w14:paraId="787BC06D" w14:textId="77777777" w:rsidR="00E242AA" w:rsidRDefault="00E24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BC06E" w14:textId="7536D5BE" w:rsidR="00E242AA" w:rsidRPr="00E12761" w:rsidRDefault="00E242AA" w:rsidP="00AB4D2A">
    <w:pPr>
      <w:pStyle w:val="Header"/>
      <w:framePr w:wrap="around" w:vAnchor="text" w:hAnchor="margin" w:xAlign="center" w:y="1"/>
      <w:rPr>
        <w:rStyle w:val="PageNumber"/>
        <w:sz w:val="26"/>
        <w:szCs w:val="26"/>
      </w:rPr>
    </w:pPr>
    <w:r w:rsidRPr="00E12761">
      <w:rPr>
        <w:rStyle w:val="PageNumber"/>
        <w:sz w:val="26"/>
        <w:szCs w:val="26"/>
      </w:rPr>
      <w:fldChar w:fldCharType="begin"/>
    </w:r>
    <w:r w:rsidRPr="00E12761">
      <w:rPr>
        <w:rStyle w:val="PageNumber"/>
        <w:sz w:val="26"/>
        <w:szCs w:val="26"/>
      </w:rPr>
      <w:instrText xml:space="preserve">PAGE  </w:instrText>
    </w:r>
    <w:r w:rsidRPr="00E12761">
      <w:rPr>
        <w:rStyle w:val="PageNumber"/>
        <w:sz w:val="26"/>
        <w:szCs w:val="26"/>
      </w:rPr>
      <w:fldChar w:fldCharType="separate"/>
    </w:r>
    <w:r w:rsidR="00486B4D">
      <w:rPr>
        <w:rStyle w:val="PageNumber"/>
        <w:noProof/>
        <w:sz w:val="26"/>
        <w:szCs w:val="26"/>
      </w:rPr>
      <w:t>5</w:t>
    </w:r>
    <w:r w:rsidRPr="00E12761">
      <w:rPr>
        <w:rStyle w:val="PageNumber"/>
        <w:sz w:val="26"/>
        <w:szCs w:val="26"/>
      </w:rPr>
      <w:fldChar w:fldCharType="end"/>
    </w:r>
  </w:p>
  <w:p w14:paraId="787BC06F" w14:textId="70E38F82" w:rsidR="00E242AA" w:rsidRPr="00E12761" w:rsidRDefault="00E242AA">
    <w:pPr>
      <w:pStyle w:val="Header"/>
      <w:rPr>
        <w:sz w:val="26"/>
        <w:szCs w:val="26"/>
      </w:rPr>
    </w:pPr>
    <w:r w:rsidRPr="00E12761">
      <w:rPr>
        <w:sz w:val="26"/>
        <w:szCs w:val="26"/>
      </w:rPr>
      <w:t>Project No. 2</w:t>
    </w:r>
    <w:r w:rsidR="008A1D52">
      <w:rPr>
        <w:sz w:val="26"/>
        <w:szCs w:val="26"/>
      </w:rPr>
      <w:t>727</w:t>
    </w:r>
    <w:r>
      <w:rPr>
        <w:sz w:val="26"/>
        <w:szCs w:val="26"/>
      </w:rPr>
      <w:t>-0</w:t>
    </w:r>
    <w:r w:rsidR="008A1D52">
      <w:rPr>
        <w:sz w:val="26"/>
        <w:szCs w:val="26"/>
      </w:rPr>
      <w:t>92</w:t>
    </w:r>
  </w:p>
  <w:p w14:paraId="787BC070" w14:textId="77777777" w:rsidR="00E242AA" w:rsidRDefault="00E24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222EB"/>
    <w:multiLevelType w:val="hybridMultilevel"/>
    <w:tmpl w:val="27C635D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1BA"/>
    <w:rsid w:val="00006366"/>
    <w:rsid w:val="00014170"/>
    <w:rsid w:val="00024551"/>
    <w:rsid w:val="00024EFB"/>
    <w:rsid w:val="00052031"/>
    <w:rsid w:val="00080B02"/>
    <w:rsid w:val="000A722A"/>
    <w:rsid w:val="000D2DC0"/>
    <w:rsid w:val="000D706E"/>
    <w:rsid w:val="00114518"/>
    <w:rsid w:val="00133E55"/>
    <w:rsid w:val="00147376"/>
    <w:rsid w:val="0018137C"/>
    <w:rsid w:val="0018210E"/>
    <w:rsid w:val="00196B5A"/>
    <w:rsid w:val="001D2A6D"/>
    <w:rsid w:val="00297F11"/>
    <w:rsid w:val="00301EA8"/>
    <w:rsid w:val="0030556C"/>
    <w:rsid w:val="00315D57"/>
    <w:rsid w:val="003438A5"/>
    <w:rsid w:val="003956B3"/>
    <w:rsid w:val="003A325C"/>
    <w:rsid w:val="003A722F"/>
    <w:rsid w:val="003C20DB"/>
    <w:rsid w:val="003C27EE"/>
    <w:rsid w:val="003C71E4"/>
    <w:rsid w:val="003E6A8F"/>
    <w:rsid w:val="0040158E"/>
    <w:rsid w:val="00403286"/>
    <w:rsid w:val="00413A8B"/>
    <w:rsid w:val="00413E8E"/>
    <w:rsid w:val="00425C58"/>
    <w:rsid w:val="00441557"/>
    <w:rsid w:val="00447157"/>
    <w:rsid w:val="0045138F"/>
    <w:rsid w:val="00457494"/>
    <w:rsid w:val="00486B4D"/>
    <w:rsid w:val="00487434"/>
    <w:rsid w:val="00491F97"/>
    <w:rsid w:val="004A491E"/>
    <w:rsid w:val="004B6603"/>
    <w:rsid w:val="004D2949"/>
    <w:rsid w:val="00526216"/>
    <w:rsid w:val="00531CA4"/>
    <w:rsid w:val="00532275"/>
    <w:rsid w:val="00552169"/>
    <w:rsid w:val="00594CD7"/>
    <w:rsid w:val="0059747B"/>
    <w:rsid w:val="005C65FD"/>
    <w:rsid w:val="005D4BE3"/>
    <w:rsid w:val="005E301F"/>
    <w:rsid w:val="005E45F5"/>
    <w:rsid w:val="00615717"/>
    <w:rsid w:val="0062281B"/>
    <w:rsid w:val="0062371D"/>
    <w:rsid w:val="00624A40"/>
    <w:rsid w:val="006443BC"/>
    <w:rsid w:val="006827F8"/>
    <w:rsid w:val="006A669C"/>
    <w:rsid w:val="006A713B"/>
    <w:rsid w:val="006C26A9"/>
    <w:rsid w:val="006D7E97"/>
    <w:rsid w:val="006E0313"/>
    <w:rsid w:val="00706740"/>
    <w:rsid w:val="00710662"/>
    <w:rsid w:val="0071171D"/>
    <w:rsid w:val="00740BC7"/>
    <w:rsid w:val="00757FD9"/>
    <w:rsid w:val="007766D6"/>
    <w:rsid w:val="007912F8"/>
    <w:rsid w:val="007C21BA"/>
    <w:rsid w:val="007D3E66"/>
    <w:rsid w:val="007D4D13"/>
    <w:rsid w:val="007F4CB0"/>
    <w:rsid w:val="00802CA0"/>
    <w:rsid w:val="00807C83"/>
    <w:rsid w:val="008214D6"/>
    <w:rsid w:val="00824FC6"/>
    <w:rsid w:val="008254B6"/>
    <w:rsid w:val="00830B54"/>
    <w:rsid w:val="0083721D"/>
    <w:rsid w:val="00837C2F"/>
    <w:rsid w:val="00850726"/>
    <w:rsid w:val="00870DAD"/>
    <w:rsid w:val="00872478"/>
    <w:rsid w:val="008A1D52"/>
    <w:rsid w:val="008C3F7A"/>
    <w:rsid w:val="008C74A7"/>
    <w:rsid w:val="008F0E45"/>
    <w:rsid w:val="00932FDB"/>
    <w:rsid w:val="00975FD4"/>
    <w:rsid w:val="009801B5"/>
    <w:rsid w:val="009A712D"/>
    <w:rsid w:val="00A06699"/>
    <w:rsid w:val="00A45A70"/>
    <w:rsid w:val="00A52DE9"/>
    <w:rsid w:val="00A80BC3"/>
    <w:rsid w:val="00A87D5E"/>
    <w:rsid w:val="00A94E8C"/>
    <w:rsid w:val="00AA40B4"/>
    <w:rsid w:val="00AB2757"/>
    <w:rsid w:val="00AB4D2A"/>
    <w:rsid w:val="00AC0687"/>
    <w:rsid w:val="00AC18F5"/>
    <w:rsid w:val="00AD2E85"/>
    <w:rsid w:val="00B1140E"/>
    <w:rsid w:val="00B14755"/>
    <w:rsid w:val="00B15DE8"/>
    <w:rsid w:val="00B239C1"/>
    <w:rsid w:val="00B35DCA"/>
    <w:rsid w:val="00B4148B"/>
    <w:rsid w:val="00B47E63"/>
    <w:rsid w:val="00B64397"/>
    <w:rsid w:val="00B663D0"/>
    <w:rsid w:val="00B87FE7"/>
    <w:rsid w:val="00BA2785"/>
    <w:rsid w:val="00BB527D"/>
    <w:rsid w:val="00BC56A4"/>
    <w:rsid w:val="00BD7895"/>
    <w:rsid w:val="00BE1B92"/>
    <w:rsid w:val="00BE7B44"/>
    <w:rsid w:val="00BF5266"/>
    <w:rsid w:val="00C164EE"/>
    <w:rsid w:val="00C2325B"/>
    <w:rsid w:val="00C25818"/>
    <w:rsid w:val="00C26CAA"/>
    <w:rsid w:val="00C30B24"/>
    <w:rsid w:val="00C36BEB"/>
    <w:rsid w:val="00C43E9E"/>
    <w:rsid w:val="00C61C6D"/>
    <w:rsid w:val="00C642D6"/>
    <w:rsid w:val="00C77E24"/>
    <w:rsid w:val="00C77EF6"/>
    <w:rsid w:val="00C82DA7"/>
    <w:rsid w:val="00C87C71"/>
    <w:rsid w:val="00C96690"/>
    <w:rsid w:val="00CA48A7"/>
    <w:rsid w:val="00CC2031"/>
    <w:rsid w:val="00CC69DB"/>
    <w:rsid w:val="00CD17AB"/>
    <w:rsid w:val="00CE54F8"/>
    <w:rsid w:val="00D15999"/>
    <w:rsid w:val="00D72B3F"/>
    <w:rsid w:val="00D924DB"/>
    <w:rsid w:val="00DB0B28"/>
    <w:rsid w:val="00DB37C4"/>
    <w:rsid w:val="00DC5564"/>
    <w:rsid w:val="00DD2DEA"/>
    <w:rsid w:val="00DD3477"/>
    <w:rsid w:val="00DE6AD3"/>
    <w:rsid w:val="00DF1ED6"/>
    <w:rsid w:val="00DF5ECA"/>
    <w:rsid w:val="00E04EF8"/>
    <w:rsid w:val="00E06863"/>
    <w:rsid w:val="00E12761"/>
    <w:rsid w:val="00E242AA"/>
    <w:rsid w:val="00E33F11"/>
    <w:rsid w:val="00E56318"/>
    <w:rsid w:val="00E73194"/>
    <w:rsid w:val="00E76CA1"/>
    <w:rsid w:val="00E8498A"/>
    <w:rsid w:val="00E85C20"/>
    <w:rsid w:val="00E86B7B"/>
    <w:rsid w:val="00EB07DB"/>
    <w:rsid w:val="00EC6B4F"/>
    <w:rsid w:val="00ED1ED2"/>
    <w:rsid w:val="00EF1788"/>
    <w:rsid w:val="00EF5275"/>
    <w:rsid w:val="00F10BAB"/>
    <w:rsid w:val="00F12659"/>
    <w:rsid w:val="00F268AF"/>
    <w:rsid w:val="00F353CB"/>
    <w:rsid w:val="00F47BE2"/>
    <w:rsid w:val="00F55EFB"/>
    <w:rsid w:val="00F611B1"/>
    <w:rsid w:val="00F703C0"/>
    <w:rsid w:val="00F83C58"/>
    <w:rsid w:val="00FA6AAF"/>
    <w:rsid w:val="00FC2C91"/>
    <w:rsid w:val="00FC5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7BC02C"/>
  <w15:chartTrackingRefBased/>
  <w15:docId w15:val="{28EC2059-FAC4-4DE9-B893-F5EE6FE7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315D57"/>
    <w:rPr>
      <w:color w:val="0000FF"/>
      <w:u w:val="single"/>
    </w:rPr>
  </w:style>
  <w:style w:type="paragraph" w:styleId="Header">
    <w:name w:val="header"/>
    <w:basedOn w:val="Normal"/>
    <w:rsid w:val="00AB4D2A"/>
    <w:pPr>
      <w:tabs>
        <w:tab w:val="center" w:pos="4320"/>
        <w:tab w:val="right" w:pos="8640"/>
      </w:tabs>
    </w:pPr>
  </w:style>
  <w:style w:type="character" w:styleId="PageNumber">
    <w:name w:val="page number"/>
    <w:basedOn w:val="DefaultParagraphFont"/>
    <w:rsid w:val="00AB4D2A"/>
  </w:style>
  <w:style w:type="paragraph" w:styleId="Footer">
    <w:name w:val="footer"/>
    <w:basedOn w:val="Normal"/>
    <w:rsid w:val="00AB4D2A"/>
    <w:pPr>
      <w:tabs>
        <w:tab w:val="center" w:pos="4320"/>
        <w:tab w:val="right" w:pos="8640"/>
      </w:tabs>
    </w:pPr>
  </w:style>
  <w:style w:type="paragraph" w:styleId="BalloonText">
    <w:name w:val="Balloon Text"/>
    <w:basedOn w:val="Normal"/>
    <w:link w:val="BalloonTextChar"/>
    <w:rsid w:val="00E86B7B"/>
    <w:rPr>
      <w:rFonts w:ascii="Segoe UI" w:hAnsi="Segoe UI" w:cs="Segoe UI"/>
      <w:sz w:val="18"/>
      <w:szCs w:val="18"/>
    </w:rPr>
  </w:style>
  <w:style w:type="character" w:customStyle="1" w:styleId="BalloonTextChar">
    <w:name w:val="Balloon Text Char"/>
    <w:link w:val="BalloonText"/>
    <w:rsid w:val="00E86B7B"/>
    <w:rPr>
      <w:rFonts w:ascii="Segoe UI" w:hAnsi="Segoe UI" w:cs="Segoe UI"/>
      <w:sz w:val="18"/>
      <w:szCs w:val="18"/>
    </w:rPr>
  </w:style>
  <w:style w:type="character" w:styleId="CommentReference">
    <w:name w:val="annotation reference"/>
    <w:basedOn w:val="DefaultParagraphFont"/>
    <w:rsid w:val="00E242AA"/>
    <w:rPr>
      <w:sz w:val="16"/>
      <w:szCs w:val="16"/>
    </w:rPr>
  </w:style>
  <w:style w:type="paragraph" w:styleId="CommentText">
    <w:name w:val="annotation text"/>
    <w:basedOn w:val="Normal"/>
    <w:link w:val="CommentTextChar"/>
    <w:rsid w:val="00E242AA"/>
    <w:rPr>
      <w:sz w:val="20"/>
      <w:szCs w:val="20"/>
    </w:rPr>
  </w:style>
  <w:style w:type="character" w:customStyle="1" w:styleId="CommentTextChar">
    <w:name w:val="Comment Text Char"/>
    <w:basedOn w:val="DefaultParagraphFont"/>
    <w:link w:val="CommentText"/>
    <w:rsid w:val="00E242AA"/>
  </w:style>
  <w:style w:type="paragraph" w:styleId="CommentSubject">
    <w:name w:val="annotation subject"/>
    <w:basedOn w:val="CommentText"/>
    <w:next w:val="CommentText"/>
    <w:link w:val="CommentSubjectChar"/>
    <w:rsid w:val="00E242AA"/>
    <w:rPr>
      <w:b/>
      <w:bCs/>
    </w:rPr>
  </w:style>
  <w:style w:type="character" w:customStyle="1" w:styleId="CommentSubjectChar">
    <w:name w:val="Comment Subject Char"/>
    <w:basedOn w:val="CommentTextChar"/>
    <w:link w:val="CommentSubject"/>
    <w:rsid w:val="00E242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232935">
      <w:bodyDiv w:val="1"/>
      <w:marLeft w:val="0"/>
      <w:marRight w:val="0"/>
      <w:marTop w:val="0"/>
      <w:marBottom w:val="0"/>
      <w:divBdr>
        <w:top w:val="none" w:sz="0" w:space="0" w:color="auto"/>
        <w:left w:val="none" w:sz="0" w:space="0" w:color="auto"/>
        <w:bottom w:val="none" w:sz="0" w:space="0" w:color="auto"/>
        <w:right w:val="none" w:sz="0" w:space="0" w:color="auto"/>
      </w:divBdr>
    </w:div>
    <w:div w:id="115260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docs-filing/efiling.as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nicholas.palso@ferc.gov" TargetMode="External"/><Relationship Id="rId17" Type="http://schemas.openxmlformats.org/officeDocument/2006/relationships/hyperlink" Target="http://www.ferc.gov/docs-filing/esubscription.asp" TargetMode="External"/><Relationship Id="rId2" Type="http://schemas.openxmlformats.org/officeDocument/2006/relationships/customXml" Target="../customXml/item2.xml"/><Relationship Id="rId16" Type="http://schemas.openxmlformats.org/officeDocument/2006/relationships/hyperlink" Target="http://www.ferc.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ERCOnlineSupport@ferc.gov"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erc.gov/docs-filing/ecommen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5FF3A-9F18-4AC7-89CF-D1A4F14D94C5}">
  <ds:schemaRefs>
    <ds:schemaRef ds:uri="Microsoft.SharePoint.Taxonomy.ContentTypeSync"/>
  </ds:schemaRefs>
</ds:datastoreItem>
</file>

<file path=customXml/itemProps2.xml><?xml version="1.0" encoding="utf-8"?>
<ds:datastoreItem xmlns:ds="http://schemas.openxmlformats.org/officeDocument/2006/customXml" ds:itemID="{500A9234-7450-43F0-B524-6FB8905B5FC4}">
  <ds:schemaRef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5e8733a2-e908-454b-85cf-c9d17e1d0943"/>
    <ds:schemaRef ds:uri="http://schemas.microsoft.com/office/2006/metadata/properties"/>
  </ds:schemaRefs>
</ds:datastoreItem>
</file>

<file path=customXml/itemProps3.xml><?xml version="1.0" encoding="utf-8"?>
<ds:datastoreItem xmlns:ds="http://schemas.openxmlformats.org/officeDocument/2006/customXml" ds:itemID="{5D0476EE-3BF5-4253-B4D6-F497218BC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EA01AB-57FB-45D4-94D5-DC89021D0D61}">
  <ds:schemaRefs>
    <ds:schemaRef ds:uri="http://schemas.microsoft.com/sharepoint/v3/contenttype/forms"/>
  </ds:schemaRefs>
</ds:datastoreItem>
</file>

<file path=customXml/itemProps5.xml><?xml version="1.0" encoding="utf-8"?>
<ds:datastoreItem xmlns:ds="http://schemas.openxmlformats.org/officeDocument/2006/customXml" ds:itemID="{389F4927-8292-4066-8E2D-048FEB2C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1576</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11292</CharactersWithSpaces>
  <SharedDoc>false</SharedDoc>
  <HyperlinkBase/>
  <HLinks>
    <vt:vector size="36" baseType="variant">
      <vt:variant>
        <vt:i4>5963789</vt:i4>
      </vt:variant>
      <vt:variant>
        <vt:i4>15</vt:i4>
      </vt:variant>
      <vt:variant>
        <vt:i4>0</vt:i4>
      </vt:variant>
      <vt:variant>
        <vt:i4>5</vt:i4>
      </vt:variant>
      <vt:variant>
        <vt:lpwstr>http://www.ferc.gov/docs-filing/esubscription.asp</vt:lpwstr>
      </vt:variant>
      <vt:variant>
        <vt:lpwstr/>
      </vt:variant>
      <vt:variant>
        <vt:i4>5308487</vt:i4>
      </vt:variant>
      <vt:variant>
        <vt:i4>12</vt:i4>
      </vt:variant>
      <vt:variant>
        <vt:i4>0</vt:i4>
      </vt:variant>
      <vt:variant>
        <vt:i4>5</vt:i4>
      </vt:variant>
      <vt:variant>
        <vt:lpwstr>http://www.ferc.gov/</vt:lpwstr>
      </vt:variant>
      <vt:variant>
        <vt:lpwstr/>
      </vt:variant>
      <vt:variant>
        <vt:i4>5636216</vt:i4>
      </vt:variant>
      <vt:variant>
        <vt:i4>9</vt:i4>
      </vt:variant>
      <vt:variant>
        <vt:i4>0</vt:i4>
      </vt:variant>
      <vt:variant>
        <vt:i4>5</vt:i4>
      </vt:variant>
      <vt:variant>
        <vt:lpwstr>mailto:FERCOnlineSupport@ferc.gov</vt:lpwstr>
      </vt:variant>
      <vt:variant>
        <vt:lpwstr/>
      </vt:variant>
      <vt:variant>
        <vt:i4>524382</vt:i4>
      </vt:variant>
      <vt:variant>
        <vt:i4>6</vt:i4>
      </vt:variant>
      <vt:variant>
        <vt:i4>0</vt:i4>
      </vt:variant>
      <vt:variant>
        <vt:i4>5</vt:i4>
      </vt:variant>
      <vt:variant>
        <vt:lpwstr>http://www.ferc.gov/docs-filing/ecomment.asp</vt:lpwstr>
      </vt:variant>
      <vt:variant>
        <vt:lpwstr/>
      </vt:variant>
      <vt:variant>
        <vt:i4>4128873</vt:i4>
      </vt:variant>
      <vt:variant>
        <vt:i4>3</vt:i4>
      </vt:variant>
      <vt:variant>
        <vt:i4>0</vt:i4>
      </vt:variant>
      <vt:variant>
        <vt:i4>5</vt:i4>
      </vt:variant>
      <vt:variant>
        <vt:lpwstr>http://www.ferc.gov/docs-filing/efiling.asp</vt:lpwstr>
      </vt:variant>
      <vt:variant>
        <vt:lpwstr/>
      </vt:variant>
      <vt:variant>
        <vt:i4>7340054</vt:i4>
      </vt:variant>
      <vt:variant>
        <vt:i4>0</vt:i4>
      </vt:variant>
      <vt:variant>
        <vt:i4>0</vt:i4>
      </vt:variant>
      <vt:variant>
        <vt:i4>5</vt:i4>
      </vt:variant>
      <vt:variant>
        <vt:lpwstr>mailto:john.baummer@ferc.gov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Howatt, Kathy</dc:creator>
  <cp:keywords/>
  <dc:description/>
  <cp:lastModifiedBy>Howatt, Kathy</cp:lastModifiedBy>
  <cp:revision>2</cp:revision>
  <cp:lastPrinted>2018-02-12T13:22:00Z</cp:lastPrinted>
  <dcterms:created xsi:type="dcterms:W3CDTF">2018-02-12T13:24:00Z</dcterms:created>
  <dcterms:modified xsi:type="dcterms:W3CDTF">2018-02-12T13:24:00Z</dcterms:modified>
  <cp:category/>
  <dc:identifier/>
  <cp:contentStatus/>
  <cp:version/>
</cp:coreProperties>
</file>