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C3B5" w14:textId="77777777" w:rsidR="005C3D9A" w:rsidRPr="006173A1" w:rsidRDefault="005C3D9A" w:rsidP="005C3D9A">
      <w:pPr>
        <w:tabs>
          <w:tab w:val="left" w:pos="10440"/>
        </w:tabs>
        <w:ind w:right="360"/>
        <w:jc w:val="right"/>
        <w:rPr>
          <w:rFonts w:ascii="Times New Roman" w:hAnsi="Times New Roman"/>
          <w:sz w:val="18"/>
          <w:szCs w:val="18"/>
        </w:rPr>
      </w:pPr>
      <w:r w:rsidRPr="006173A1">
        <w:rPr>
          <w:rFonts w:ascii="Times New Roman" w:hAnsi="Times New Roman"/>
          <w:b/>
          <w:sz w:val="18"/>
          <w:szCs w:val="18"/>
        </w:rPr>
        <w:t>MAPA-3</w:t>
      </w:r>
      <w:r w:rsidRPr="006173A1">
        <w:rPr>
          <w:rFonts w:ascii="Times New Roman" w:hAnsi="Times New Roman"/>
          <w:sz w:val="18"/>
          <w:szCs w:val="18"/>
        </w:rPr>
        <w:t xml:space="preserve"> revised </w:t>
      </w:r>
      <w:r w:rsidR="001201B9">
        <w:rPr>
          <w:rFonts w:ascii="Times New Roman" w:hAnsi="Times New Roman"/>
          <w:sz w:val="18"/>
          <w:szCs w:val="18"/>
        </w:rPr>
        <w:t>8-2019</w:t>
      </w:r>
    </w:p>
    <w:p w14:paraId="1D18B8D8" w14:textId="77777777" w:rsidR="005C3D9A" w:rsidRPr="006173A1" w:rsidRDefault="00194290" w:rsidP="005C3D9A">
      <w:pPr>
        <w:tabs>
          <w:tab w:val="center" w:pos="4680"/>
          <w:tab w:val="left" w:pos="10440"/>
        </w:tabs>
        <w:ind w:right="360"/>
        <w:rPr>
          <w:rFonts w:ascii="Times New Roman" w:hAnsi="Times New Roman"/>
          <w:b/>
          <w:sz w:val="33"/>
          <w:szCs w:val="33"/>
        </w:rPr>
      </w:pPr>
      <w:r>
        <w:rPr>
          <w:rFonts w:ascii="Times New Roman" w:hAnsi="Times New Roman"/>
          <w:b/>
          <w:sz w:val="33"/>
          <w:szCs w:val="33"/>
        </w:rPr>
        <w:t>Notice of Agency Rule</w:t>
      </w:r>
      <w:r w:rsidR="005C3D9A" w:rsidRPr="006173A1">
        <w:rPr>
          <w:rFonts w:ascii="Times New Roman" w:hAnsi="Times New Roman"/>
          <w:b/>
          <w:sz w:val="33"/>
          <w:szCs w:val="33"/>
        </w:rPr>
        <w:t>making Proposal</w:t>
      </w:r>
    </w:p>
    <w:p w14:paraId="5877F1E3" w14:textId="77777777" w:rsidR="005C3D9A" w:rsidRDefault="005C3D9A" w:rsidP="005C3D9A">
      <w:pPr>
        <w:tabs>
          <w:tab w:val="center" w:pos="4680"/>
          <w:tab w:val="left" w:pos="10440"/>
        </w:tabs>
        <w:ind w:right="360"/>
        <w:rPr>
          <w:rFonts w:ascii="Times New Roman" w:hAnsi="Times New Roman"/>
          <w:b/>
          <w:sz w:val="22"/>
          <w:szCs w:val="22"/>
        </w:rPr>
      </w:pPr>
    </w:p>
    <w:p w14:paraId="0C876CE1" w14:textId="77777777" w:rsidR="005C3D9A" w:rsidRDefault="005C3D9A" w:rsidP="005C3D9A">
      <w:pPr>
        <w:tabs>
          <w:tab w:val="center" w:pos="4680"/>
          <w:tab w:val="left" w:pos="10440"/>
        </w:tabs>
        <w:ind w:right="360"/>
        <w:rPr>
          <w:rFonts w:ascii="Times New Roman" w:hAnsi="Times New Roman"/>
          <w:b/>
          <w:sz w:val="22"/>
          <w:szCs w:val="22"/>
        </w:rPr>
      </w:pPr>
    </w:p>
    <w:p w14:paraId="4268BE4B" w14:textId="0EFBDF8D" w:rsidR="005C3D9A" w:rsidRDefault="005C3D9A" w:rsidP="005C3D9A">
      <w:pPr>
        <w:tabs>
          <w:tab w:val="left" w:pos="-1440"/>
          <w:tab w:val="left" w:pos="-720"/>
          <w:tab w:val="left" w:pos="4320"/>
          <w:tab w:val="left" w:pos="10440"/>
        </w:tabs>
        <w:ind w:right="360"/>
        <w:rPr>
          <w:rFonts w:ascii="Times New Roman" w:hAnsi="Times New Roman"/>
          <w:sz w:val="22"/>
          <w:szCs w:val="22"/>
        </w:rPr>
      </w:pPr>
      <w:r w:rsidRPr="006173A1">
        <w:rPr>
          <w:rFonts w:ascii="Times New Roman" w:hAnsi="Times New Roman"/>
          <w:sz w:val="22"/>
          <w:szCs w:val="22"/>
        </w:rPr>
        <w:t>AGENCY:</w:t>
      </w:r>
      <w:r w:rsidR="004B3E84">
        <w:rPr>
          <w:rFonts w:ascii="Times New Roman" w:hAnsi="Times New Roman"/>
          <w:sz w:val="22"/>
          <w:szCs w:val="22"/>
        </w:rPr>
        <w:t xml:space="preserve"> 19-100 Department of Economic and Community Development </w:t>
      </w:r>
    </w:p>
    <w:p w14:paraId="475912D2"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4873534B" w14:textId="1ADC5C23" w:rsidR="005C3D9A" w:rsidRPr="006173A1" w:rsidRDefault="005C3D9A" w:rsidP="59295BFA">
      <w:pPr>
        <w:tabs>
          <w:tab w:val="left" w:pos="540"/>
          <w:tab w:val="left" w:pos="10440"/>
        </w:tabs>
        <w:ind w:left="540" w:right="360" w:hanging="540"/>
        <w:rPr>
          <w:rFonts w:ascii="Times New Roman" w:hAnsi="Times New Roman"/>
          <w:sz w:val="22"/>
          <w:szCs w:val="22"/>
        </w:rPr>
      </w:pPr>
      <w:r w:rsidRPr="59295BFA">
        <w:rPr>
          <w:rFonts w:ascii="Times New Roman" w:hAnsi="Times New Roman"/>
          <w:sz w:val="22"/>
          <w:szCs w:val="22"/>
        </w:rPr>
        <w:t>CHAPTER NUMBER AND TITLE:</w:t>
      </w:r>
      <w:r w:rsidR="004B3E84" w:rsidRPr="59295BFA">
        <w:rPr>
          <w:rFonts w:ascii="Times New Roman" w:hAnsi="Times New Roman"/>
          <w:sz w:val="22"/>
          <w:szCs w:val="22"/>
        </w:rPr>
        <w:t xml:space="preserve"> Chapter 5, </w:t>
      </w:r>
      <w:r w:rsidR="505EFEE1" w:rsidRPr="59295BFA">
        <w:rPr>
          <w:rFonts w:ascii="Times New Roman" w:hAnsi="Times New Roman"/>
          <w:sz w:val="22"/>
          <w:szCs w:val="22"/>
        </w:rPr>
        <w:t xml:space="preserve">Housing Opportunity Program: </w:t>
      </w:r>
      <w:r w:rsidR="004B3E84" w:rsidRPr="59295BFA">
        <w:rPr>
          <w:rFonts w:ascii="Times New Roman" w:hAnsi="Times New Roman"/>
          <w:sz w:val="22"/>
          <w:szCs w:val="22"/>
        </w:rPr>
        <w:t xml:space="preserve">Municipal Land Use and Zoning </w:t>
      </w:r>
    </w:p>
    <w:p w14:paraId="3F33D862" w14:textId="43F1B55A" w:rsidR="005C3D9A" w:rsidRPr="006173A1" w:rsidRDefault="004B3E84" w:rsidP="59295BFA">
      <w:pPr>
        <w:tabs>
          <w:tab w:val="left" w:pos="540"/>
          <w:tab w:val="left" w:pos="10440"/>
        </w:tabs>
        <w:ind w:left="540" w:right="360" w:hanging="540"/>
        <w:rPr>
          <w:rFonts w:ascii="Times New Roman" w:hAnsi="Times New Roman"/>
          <w:sz w:val="22"/>
          <w:szCs w:val="22"/>
        </w:rPr>
      </w:pPr>
      <w:r w:rsidRPr="59295BFA">
        <w:rPr>
          <w:rFonts w:ascii="Times New Roman" w:hAnsi="Times New Roman"/>
          <w:sz w:val="22"/>
          <w:szCs w:val="22"/>
        </w:rPr>
        <w:t>Ordinance Rule</w:t>
      </w:r>
    </w:p>
    <w:p w14:paraId="16EF1141" w14:textId="2C480819" w:rsidR="00B13DDD" w:rsidRDefault="00B13DDD" w:rsidP="5917BD18">
      <w:pPr>
        <w:tabs>
          <w:tab w:val="left" w:pos="540"/>
          <w:tab w:val="left" w:pos="10440"/>
        </w:tabs>
        <w:ind w:left="540" w:right="360" w:hanging="540"/>
        <w:rPr>
          <w:sz w:val="22"/>
          <w:szCs w:val="22"/>
        </w:rPr>
      </w:pPr>
    </w:p>
    <w:p w14:paraId="6C75A61B" w14:textId="00A2D1FB" w:rsidR="00B13DDD" w:rsidRPr="00B13DDD" w:rsidRDefault="00430AE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r>
        <w:rPr>
          <w:rFonts w:ascii="Times New Roman" w:hAnsi="Times New Roman"/>
          <w:sz w:val="22"/>
          <w:szCs w:val="22"/>
        </w:rPr>
        <w:t xml:space="preserve">TYPE OF RULE </w:t>
      </w:r>
      <w:r w:rsidR="00B13DDD" w:rsidRPr="00B13DDD">
        <w:rPr>
          <w:rFonts w:ascii="Times New Roman" w:hAnsi="Times New Roman"/>
          <w:i/>
          <w:sz w:val="22"/>
          <w:szCs w:val="22"/>
        </w:rPr>
        <w:t>(check one)</w:t>
      </w:r>
      <w:r w:rsidR="00B13DDD">
        <w:rPr>
          <w:rFonts w:ascii="Times New Roman" w:hAnsi="Times New Roman"/>
          <w:sz w:val="22"/>
          <w:szCs w:val="22"/>
        </w:rPr>
        <w:t>:</w:t>
      </w:r>
      <w:r w:rsidR="00B13DDD">
        <w:rPr>
          <w:rFonts w:ascii="Times New Roman" w:hAnsi="Times New Roman"/>
          <w:sz w:val="22"/>
          <w:szCs w:val="22"/>
        </w:rPr>
        <w:tab/>
      </w:r>
      <w:r w:rsidR="004B3E84">
        <w:rPr>
          <w:rFonts w:ascii="Wingdings" w:eastAsia="Wingdings" w:hAnsi="Wingdings" w:cs="Wingdings"/>
          <w:sz w:val="22"/>
          <w:szCs w:val="22"/>
        </w:rPr>
        <w:t>x</w:t>
      </w:r>
      <w:r w:rsidR="00B13DDD" w:rsidRPr="00B13DDD">
        <w:rPr>
          <w:rFonts w:ascii="Times New Roman" w:hAnsi="Times New Roman"/>
          <w:sz w:val="22"/>
          <w:szCs w:val="22"/>
        </w:rPr>
        <w:tab/>
      </w:r>
      <w:r w:rsidR="00B13DDD">
        <w:rPr>
          <w:rFonts w:ascii="Times New Roman" w:hAnsi="Times New Roman"/>
          <w:sz w:val="22"/>
          <w:szCs w:val="22"/>
        </w:rPr>
        <w:t>Routine Technical</w:t>
      </w:r>
      <w:r w:rsidR="00B13DDD" w:rsidRPr="00B13DDD">
        <w:rPr>
          <w:rFonts w:ascii="Times New Roman" w:hAnsi="Times New Roman"/>
          <w:sz w:val="22"/>
          <w:szCs w:val="22"/>
        </w:rPr>
        <w:tab/>
      </w:r>
      <w:r w:rsidR="00B13DDD" w:rsidRPr="00B13DDD">
        <w:rPr>
          <w:rFonts w:ascii="Wingdings" w:hAnsi="Wingdings"/>
          <w:sz w:val="22"/>
          <w:szCs w:val="22"/>
        </w:rPr>
        <w:t></w:t>
      </w:r>
      <w:r w:rsidR="00B13DDD" w:rsidRPr="00B13DDD">
        <w:rPr>
          <w:rFonts w:ascii="Times New Roman" w:hAnsi="Times New Roman"/>
          <w:sz w:val="22"/>
          <w:szCs w:val="22"/>
        </w:rPr>
        <w:tab/>
      </w:r>
      <w:r w:rsidR="00B13DDD">
        <w:rPr>
          <w:rFonts w:ascii="Times New Roman" w:hAnsi="Times New Roman"/>
          <w:sz w:val="22"/>
          <w:szCs w:val="22"/>
        </w:rPr>
        <w:t>Major Substantive</w:t>
      </w:r>
    </w:p>
    <w:p w14:paraId="78723C30" w14:textId="77777777" w:rsidR="00430AED" w:rsidRPr="00430AED" w:rsidRDefault="00430AED" w:rsidP="005C3D9A">
      <w:pPr>
        <w:tabs>
          <w:tab w:val="left" w:pos="-1440"/>
          <w:tab w:val="left" w:pos="-720"/>
          <w:tab w:val="left" w:pos="540"/>
          <w:tab w:val="left" w:pos="10440"/>
        </w:tabs>
        <w:ind w:left="540" w:right="360" w:hanging="540"/>
        <w:rPr>
          <w:rFonts w:ascii="Times New Roman" w:hAnsi="Times New Roman"/>
          <w:sz w:val="22"/>
          <w:szCs w:val="22"/>
        </w:rPr>
      </w:pPr>
    </w:p>
    <w:p w14:paraId="517BEA4F" w14:textId="015E3605"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PROPOSED RULE NUMBER:</w:t>
      </w:r>
    </w:p>
    <w:p w14:paraId="19D8AFB2"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p>
    <w:p w14:paraId="28D8EEB9"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r w:rsidRPr="006173A1">
        <w:rPr>
          <w:rFonts w:ascii="Times New Roman" w:hAnsi="Times New Roman"/>
          <w:sz w:val="22"/>
          <w:szCs w:val="22"/>
        </w:rPr>
        <w:t>BRIEF SUMMARY:</w:t>
      </w:r>
    </w:p>
    <w:p w14:paraId="454EA097" w14:textId="38EA1DF8" w:rsidR="005C3D9A"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698D23DB" w14:textId="35B883D0" w:rsidR="15E1443C" w:rsidRDefault="15E1443C" w:rsidP="5917BD18">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This new proposed rule sets forth provisions which require municipalities to create or amend local ordinances in</w:t>
      </w:r>
    </w:p>
    <w:p w14:paraId="0E5739E3" w14:textId="08A29351" w:rsidR="15E1443C" w:rsidRDefault="15E1443C" w:rsidP="5917BD18">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 xml:space="preserve">accordance with P.L. 2021, </w:t>
      </w:r>
      <w:proofErr w:type="spellStart"/>
      <w:r w:rsidRPr="5917BD18">
        <w:rPr>
          <w:rFonts w:ascii="Times New Roman" w:hAnsi="Times New Roman"/>
          <w:color w:val="000000" w:themeColor="text1"/>
          <w:sz w:val="22"/>
          <w:szCs w:val="22"/>
        </w:rPr>
        <w:t>ch.</w:t>
      </w:r>
      <w:proofErr w:type="spellEnd"/>
      <w:r w:rsidRPr="5917BD18">
        <w:rPr>
          <w:rFonts w:ascii="Times New Roman" w:hAnsi="Times New Roman"/>
          <w:color w:val="000000" w:themeColor="text1"/>
          <w:sz w:val="22"/>
          <w:szCs w:val="22"/>
        </w:rPr>
        <w:t xml:space="preserve"> 672. P.L. 2021, </w:t>
      </w:r>
      <w:proofErr w:type="spellStart"/>
      <w:r w:rsidRPr="5917BD18">
        <w:rPr>
          <w:rFonts w:ascii="Times New Roman" w:hAnsi="Times New Roman"/>
          <w:color w:val="000000" w:themeColor="text1"/>
          <w:sz w:val="22"/>
          <w:szCs w:val="22"/>
        </w:rPr>
        <w:t>ch.</w:t>
      </w:r>
      <w:proofErr w:type="spellEnd"/>
      <w:r w:rsidRPr="5917BD18">
        <w:rPr>
          <w:rFonts w:ascii="Times New Roman" w:hAnsi="Times New Roman"/>
          <w:color w:val="000000" w:themeColor="text1"/>
          <w:sz w:val="22"/>
          <w:szCs w:val="22"/>
        </w:rPr>
        <w:t xml:space="preserve"> 672 require</w:t>
      </w:r>
      <w:r w:rsidR="00CD595A">
        <w:rPr>
          <w:rFonts w:ascii="Times New Roman" w:hAnsi="Times New Roman"/>
          <w:color w:val="000000" w:themeColor="text1"/>
          <w:sz w:val="22"/>
          <w:szCs w:val="22"/>
        </w:rPr>
        <w:t>s</w:t>
      </w:r>
      <w:r w:rsidRPr="5917BD18">
        <w:rPr>
          <w:rFonts w:ascii="Times New Roman" w:hAnsi="Times New Roman"/>
          <w:color w:val="000000" w:themeColor="text1"/>
          <w:sz w:val="22"/>
          <w:szCs w:val="22"/>
        </w:rPr>
        <w:t xml:space="preserve"> municipalities to create or amend local ordinances to </w:t>
      </w:r>
    </w:p>
    <w:p w14:paraId="4B98481D" w14:textId="6A908035" w:rsidR="15E1443C" w:rsidRDefault="15E1443C" w:rsidP="5917BD18">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 xml:space="preserve">allow for (1) additional density for affordable housing developments in certain areas; (2) multiple dwelling units on </w:t>
      </w:r>
    </w:p>
    <w:p w14:paraId="7A41BED6" w14:textId="464BC34F" w:rsidR="15E1443C" w:rsidRDefault="15E1443C" w:rsidP="5917BD18">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 xml:space="preserve">lots designated for housing; and (3) one accessory dwelling unit located on the same lot as a single-family dwelling </w:t>
      </w:r>
    </w:p>
    <w:p w14:paraId="44388D98" w14:textId="77777777" w:rsidR="00412780" w:rsidRDefault="15E1443C" w:rsidP="00412780">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unit in any area where housing is permitted. P.L. 2021 also direct</w:t>
      </w:r>
      <w:r w:rsidR="00CD595A">
        <w:rPr>
          <w:rFonts w:ascii="Times New Roman" w:hAnsi="Times New Roman"/>
          <w:color w:val="000000" w:themeColor="text1"/>
          <w:sz w:val="22"/>
          <w:szCs w:val="22"/>
        </w:rPr>
        <w:t>s</w:t>
      </w:r>
      <w:r w:rsidRPr="5917BD18">
        <w:rPr>
          <w:rFonts w:ascii="Times New Roman" w:hAnsi="Times New Roman"/>
          <w:color w:val="000000" w:themeColor="text1"/>
          <w:sz w:val="22"/>
          <w:szCs w:val="22"/>
        </w:rPr>
        <w:t xml:space="preserve"> the Department to adopt rules to administer certain </w:t>
      </w:r>
    </w:p>
    <w:p w14:paraId="28BCFF04" w14:textId="4016C2B6" w:rsidR="15E1443C" w:rsidRDefault="15E1443C" w:rsidP="00412780">
      <w:pPr>
        <w:tabs>
          <w:tab w:val="left" w:pos="540"/>
          <w:tab w:val="left" w:pos="10440"/>
        </w:tabs>
        <w:ind w:left="540" w:right="360" w:hanging="540"/>
        <w:rPr>
          <w:rFonts w:ascii="Times New Roman" w:hAnsi="Times New Roman"/>
          <w:color w:val="000000" w:themeColor="text1"/>
          <w:sz w:val="22"/>
          <w:szCs w:val="22"/>
        </w:rPr>
      </w:pPr>
      <w:r w:rsidRPr="5917BD18">
        <w:rPr>
          <w:rFonts w:ascii="Times New Roman" w:hAnsi="Times New Roman"/>
          <w:color w:val="000000" w:themeColor="text1"/>
          <w:sz w:val="22"/>
          <w:szCs w:val="22"/>
        </w:rPr>
        <w:t>sections of the law.</w:t>
      </w:r>
    </w:p>
    <w:p w14:paraId="127BBDA7" w14:textId="77777777" w:rsidR="005C3D9A" w:rsidRPr="006173A1" w:rsidRDefault="005C3D9A" w:rsidP="00321650">
      <w:pPr>
        <w:tabs>
          <w:tab w:val="left" w:pos="-1440"/>
          <w:tab w:val="left" w:pos="-720"/>
          <w:tab w:val="left" w:pos="540"/>
          <w:tab w:val="left" w:pos="10440"/>
        </w:tabs>
        <w:ind w:right="360"/>
        <w:rPr>
          <w:rFonts w:ascii="Times New Roman" w:hAnsi="Times New Roman"/>
          <w:sz w:val="22"/>
          <w:szCs w:val="22"/>
        </w:rPr>
      </w:pPr>
    </w:p>
    <w:p w14:paraId="7C7B343C" w14:textId="77777777" w:rsidR="002427A4" w:rsidRPr="003A0F65" w:rsidRDefault="005C3D9A" w:rsidP="5917BD18">
      <w:pPr>
        <w:tabs>
          <w:tab w:val="left" w:pos="540"/>
          <w:tab w:val="left" w:pos="10440"/>
        </w:tabs>
        <w:ind w:left="540" w:right="360" w:hanging="540"/>
        <w:rPr>
          <w:rFonts w:ascii="Times New Roman" w:hAnsi="Times New Roman"/>
          <w:sz w:val="22"/>
          <w:szCs w:val="22"/>
        </w:rPr>
      </w:pPr>
      <w:r w:rsidRPr="003A0F65">
        <w:rPr>
          <w:rFonts w:ascii="Times New Roman" w:hAnsi="Times New Roman"/>
          <w:sz w:val="22"/>
          <w:szCs w:val="22"/>
        </w:rPr>
        <w:t xml:space="preserve">Date, </w:t>
      </w:r>
      <w:proofErr w:type="gramStart"/>
      <w:r w:rsidRPr="003A0F65">
        <w:rPr>
          <w:rFonts w:ascii="Times New Roman" w:hAnsi="Times New Roman"/>
          <w:sz w:val="22"/>
          <w:szCs w:val="22"/>
        </w:rPr>
        <w:t>time</w:t>
      </w:r>
      <w:proofErr w:type="gramEnd"/>
      <w:r w:rsidRPr="003A0F65">
        <w:rPr>
          <w:rFonts w:ascii="Times New Roman" w:hAnsi="Times New Roman"/>
          <w:sz w:val="22"/>
          <w:szCs w:val="22"/>
        </w:rPr>
        <w:t xml:space="preserve"> and location of PUBLIC HEARING </w:t>
      </w:r>
      <w:r w:rsidRPr="003A0F65">
        <w:rPr>
          <w:rFonts w:ascii="Times New Roman" w:hAnsi="Times New Roman"/>
          <w:i/>
          <w:iCs/>
          <w:sz w:val="22"/>
          <w:szCs w:val="22"/>
        </w:rPr>
        <w:t>(if any)</w:t>
      </w:r>
      <w:r w:rsidRPr="003A0F65">
        <w:rPr>
          <w:rFonts w:ascii="Times New Roman" w:hAnsi="Times New Roman"/>
          <w:sz w:val="22"/>
          <w:szCs w:val="22"/>
        </w:rPr>
        <w:t>:</w:t>
      </w:r>
      <w:r w:rsidR="004B3E84" w:rsidRPr="003A0F65">
        <w:rPr>
          <w:rFonts w:ascii="Times New Roman" w:hAnsi="Times New Roman"/>
          <w:sz w:val="22"/>
          <w:szCs w:val="22"/>
        </w:rPr>
        <w:t xml:space="preserve"> </w:t>
      </w:r>
      <w:r w:rsidR="002427A4" w:rsidRPr="003A0F65">
        <w:rPr>
          <w:rFonts w:ascii="Times New Roman" w:hAnsi="Times New Roman"/>
          <w:sz w:val="22"/>
          <w:szCs w:val="22"/>
        </w:rPr>
        <w:t xml:space="preserve">Wednesday, March 1, 2023, at 1pm. This public hearing will </w:t>
      </w:r>
    </w:p>
    <w:p w14:paraId="1122A5D1" w14:textId="77777777" w:rsidR="00C1117E" w:rsidRDefault="002427A4" w:rsidP="5917BD18">
      <w:pPr>
        <w:tabs>
          <w:tab w:val="left" w:pos="540"/>
          <w:tab w:val="left" w:pos="10440"/>
        </w:tabs>
        <w:ind w:left="540" w:right="360" w:hanging="540"/>
        <w:rPr>
          <w:rFonts w:ascii="Times New Roman" w:hAnsi="Times New Roman"/>
          <w:sz w:val="22"/>
          <w:szCs w:val="22"/>
        </w:rPr>
      </w:pPr>
      <w:r w:rsidRPr="003A0F65">
        <w:rPr>
          <w:rFonts w:ascii="Times New Roman" w:hAnsi="Times New Roman"/>
          <w:sz w:val="22"/>
          <w:szCs w:val="22"/>
        </w:rPr>
        <w:t>be held by Zoom</w:t>
      </w:r>
      <w:r w:rsidR="002004A3" w:rsidRPr="003A0F65">
        <w:rPr>
          <w:rFonts w:ascii="Times New Roman" w:hAnsi="Times New Roman"/>
          <w:sz w:val="22"/>
          <w:szCs w:val="22"/>
        </w:rPr>
        <w:t>.</w:t>
      </w:r>
      <w:r w:rsidRPr="003A0F65">
        <w:rPr>
          <w:rFonts w:ascii="Times New Roman" w:hAnsi="Times New Roman"/>
          <w:sz w:val="22"/>
          <w:szCs w:val="22"/>
        </w:rPr>
        <w:t xml:space="preserve"> </w:t>
      </w:r>
      <w:r w:rsidR="002004A3" w:rsidRPr="003A0F65">
        <w:rPr>
          <w:rFonts w:ascii="Times New Roman" w:hAnsi="Times New Roman"/>
          <w:sz w:val="22"/>
          <w:szCs w:val="22"/>
        </w:rPr>
        <w:t>T</w:t>
      </w:r>
      <w:r w:rsidRPr="003A0F65">
        <w:rPr>
          <w:rFonts w:ascii="Times New Roman" w:hAnsi="Times New Roman"/>
          <w:sz w:val="22"/>
          <w:szCs w:val="22"/>
        </w:rPr>
        <w:t>o register</w:t>
      </w:r>
      <w:r w:rsidR="003A0F65" w:rsidRPr="003A0F65">
        <w:rPr>
          <w:rFonts w:ascii="Times New Roman" w:hAnsi="Times New Roman"/>
          <w:sz w:val="22"/>
          <w:szCs w:val="22"/>
        </w:rPr>
        <w:t xml:space="preserve"> and receive the Zoom link, please </w:t>
      </w:r>
      <w:r w:rsidR="004F3B17">
        <w:rPr>
          <w:rFonts w:ascii="Times New Roman" w:hAnsi="Times New Roman"/>
          <w:sz w:val="22"/>
          <w:szCs w:val="22"/>
        </w:rPr>
        <w:t xml:space="preserve">use this </w:t>
      </w:r>
    </w:p>
    <w:p w14:paraId="40194A32" w14:textId="34573896" w:rsidR="004B3E84" w:rsidRPr="003A0F65" w:rsidRDefault="004F3B17" w:rsidP="5917BD18">
      <w:pPr>
        <w:tabs>
          <w:tab w:val="left" w:pos="540"/>
          <w:tab w:val="left" w:pos="10440"/>
        </w:tabs>
        <w:ind w:left="540" w:right="360" w:hanging="540"/>
        <w:rPr>
          <w:rFonts w:ascii="Times New Roman" w:hAnsi="Times New Roman"/>
          <w:sz w:val="22"/>
          <w:szCs w:val="22"/>
        </w:rPr>
      </w:pPr>
      <w:r>
        <w:rPr>
          <w:rFonts w:ascii="Times New Roman" w:hAnsi="Times New Roman"/>
          <w:sz w:val="22"/>
          <w:szCs w:val="22"/>
        </w:rPr>
        <w:t>link:</w:t>
      </w:r>
      <w:hyperlink r:id="rId7" w:history="1">
        <w:r w:rsidR="00C1117E" w:rsidRPr="00113B5C">
          <w:rPr>
            <w:rStyle w:val="Hyperlink"/>
            <w:rFonts w:ascii="Helvetica" w:hAnsi="Helvetica"/>
            <w:spacing w:val="6"/>
            <w:sz w:val="21"/>
            <w:szCs w:val="21"/>
            <w:shd w:val="clear" w:color="auto" w:fill="FFFFFF"/>
          </w:rPr>
          <w:t>https://mainestate.zoom.us/meeting/register/tZEqf-2srjMqEtCNTOPsCq4_Buoc7dRGTvVK</w:t>
        </w:r>
      </w:hyperlink>
      <w:r w:rsidR="00BD3AA5" w:rsidRPr="003A0F65">
        <w:rPr>
          <w:rFonts w:ascii="Times New Roman" w:hAnsi="Times New Roman"/>
          <w:sz w:val="22"/>
          <w:szCs w:val="22"/>
        </w:rPr>
        <w:t xml:space="preserve"> </w:t>
      </w:r>
      <w:r w:rsidR="00FF6339" w:rsidRPr="003A0F65">
        <w:rPr>
          <w:rFonts w:ascii="Times New Roman" w:hAnsi="Times New Roman"/>
          <w:sz w:val="22"/>
          <w:szCs w:val="22"/>
        </w:rPr>
        <w:t xml:space="preserve"> </w:t>
      </w:r>
    </w:p>
    <w:p w14:paraId="2BEF6379" w14:textId="2E8CA282" w:rsidR="004B3E84" w:rsidRPr="00BD3AA5" w:rsidRDefault="004B3E84" w:rsidP="5917BD18">
      <w:pPr>
        <w:tabs>
          <w:tab w:val="left" w:pos="540"/>
          <w:tab w:val="left" w:pos="10440"/>
        </w:tabs>
        <w:ind w:left="540" w:right="360" w:hanging="540"/>
        <w:rPr>
          <w:rFonts w:ascii="Times New Roman" w:hAnsi="Times New Roman"/>
          <w:sz w:val="22"/>
          <w:szCs w:val="22"/>
          <w:highlight w:val="yellow"/>
        </w:rPr>
      </w:pPr>
    </w:p>
    <w:p w14:paraId="7E4E4D34" w14:textId="00D5D09A" w:rsidR="004B3E84" w:rsidRPr="004B3E84" w:rsidRDefault="005C3D9A" w:rsidP="5917BD18">
      <w:pPr>
        <w:tabs>
          <w:tab w:val="left" w:pos="540"/>
          <w:tab w:val="left" w:pos="10440"/>
        </w:tabs>
        <w:ind w:left="540" w:right="360" w:hanging="540"/>
        <w:rPr>
          <w:rFonts w:ascii="Times New Roman" w:hAnsi="Times New Roman"/>
          <w:sz w:val="22"/>
          <w:szCs w:val="22"/>
        </w:rPr>
      </w:pPr>
      <w:r w:rsidRPr="002427A4">
        <w:rPr>
          <w:rFonts w:ascii="Times New Roman" w:hAnsi="Times New Roman"/>
          <w:sz w:val="22"/>
          <w:szCs w:val="22"/>
        </w:rPr>
        <w:t>COMMENT DEADLINE:</w:t>
      </w:r>
      <w:r w:rsidR="004B3E84" w:rsidRPr="002427A4">
        <w:rPr>
          <w:rFonts w:ascii="Times New Roman" w:hAnsi="Times New Roman"/>
          <w:sz w:val="22"/>
          <w:szCs w:val="22"/>
        </w:rPr>
        <w:t xml:space="preserve"> </w:t>
      </w:r>
      <w:r w:rsidR="00BD3AA5" w:rsidRPr="002427A4">
        <w:rPr>
          <w:rFonts w:ascii="Times New Roman" w:hAnsi="Times New Roman"/>
          <w:sz w:val="22"/>
          <w:szCs w:val="22"/>
        </w:rPr>
        <w:t xml:space="preserve">Monday, March </w:t>
      </w:r>
      <w:r w:rsidR="002153DF" w:rsidRPr="002427A4">
        <w:rPr>
          <w:rFonts w:ascii="Times New Roman" w:hAnsi="Times New Roman"/>
          <w:sz w:val="22"/>
          <w:szCs w:val="22"/>
        </w:rPr>
        <w:t>13</w:t>
      </w:r>
      <w:r w:rsidR="00BD3AA5" w:rsidRPr="002427A4">
        <w:rPr>
          <w:rFonts w:ascii="Times New Roman" w:hAnsi="Times New Roman"/>
          <w:sz w:val="22"/>
          <w:szCs w:val="22"/>
        </w:rPr>
        <w:t>, 2023, 5pm</w:t>
      </w:r>
    </w:p>
    <w:p w14:paraId="1CF4AD51"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71A9C5C7" w14:textId="6F1118D7" w:rsidR="005C3D9A" w:rsidRDefault="005C3D9A" w:rsidP="005C3D9A">
      <w:pPr>
        <w:tabs>
          <w:tab w:val="left" w:pos="-1440"/>
          <w:tab w:val="left" w:pos="-720"/>
          <w:tab w:val="left" w:pos="540"/>
          <w:tab w:val="left" w:pos="10440"/>
        </w:tabs>
        <w:rPr>
          <w:rFonts w:ascii="Times New Roman" w:hAnsi="Times New Roman"/>
          <w:sz w:val="22"/>
          <w:szCs w:val="22"/>
        </w:rPr>
      </w:pPr>
      <w:r w:rsidRPr="006173A1">
        <w:rPr>
          <w:rFonts w:ascii="Times New Roman" w:hAnsi="Times New Roman"/>
          <w:sz w:val="22"/>
          <w:szCs w:val="22"/>
        </w:rPr>
        <w:t xml:space="preserve">CONTACT PERSON FOR THIS FILING </w:t>
      </w:r>
      <w:r w:rsidRPr="000F3DFF">
        <w:rPr>
          <w:rFonts w:ascii="Times New Roman" w:hAnsi="Times New Roman"/>
          <w:i/>
          <w:sz w:val="22"/>
          <w:szCs w:val="22"/>
        </w:rPr>
        <w:t>(include</w:t>
      </w:r>
      <w:r>
        <w:rPr>
          <w:rFonts w:ascii="Times New Roman" w:hAnsi="Times New Roman"/>
          <w:i/>
          <w:sz w:val="22"/>
          <w:szCs w:val="22"/>
        </w:rPr>
        <w:t xml:space="preserve"> n</w:t>
      </w:r>
      <w:r w:rsidRPr="000F3DFF">
        <w:rPr>
          <w:rFonts w:ascii="Times New Roman" w:hAnsi="Times New Roman"/>
          <w:i/>
          <w:sz w:val="22"/>
          <w:szCs w:val="22"/>
        </w:rPr>
        <w:t xml:space="preserve">ame, </w:t>
      </w:r>
      <w:r>
        <w:rPr>
          <w:rFonts w:ascii="Times New Roman" w:hAnsi="Times New Roman"/>
          <w:i/>
          <w:sz w:val="22"/>
          <w:szCs w:val="22"/>
        </w:rPr>
        <w:t>m</w:t>
      </w:r>
      <w:r w:rsidRPr="000F3DFF">
        <w:rPr>
          <w:rFonts w:ascii="Times New Roman" w:hAnsi="Times New Roman"/>
          <w:i/>
          <w:sz w:val="22"/>
          <w:szCs w:val="22"/>
        </w:rPr>
        <w:t xml:space="preserve">ailing address, </w:t>
      </w:r>
      <w:r>
        <w:rPr>
          <w:rFonts w:ascii="Times New Roman" w:hAnsi="Times New Roman"/>
          <w:i/>
          <w:sz w:val="22"/>
          <w:szCs w:val="22"/>
        </w:rPr>
        <w:t>telep</w:t>
      </w:r>
      <w:r w:rsidRPr="000F3DFF">
        <w:rPr>
          <w:rFonts w:ascii="Times New Roman" w:hAnsi="Times New Roman"/>
          <w:i/>
          <w:sz w:val="22"/>
          <w:szCs w:val="22"/>
        </w:rPr>
        <w:t>hone</w:t>
      </w:r>
      <w:r>
        <w:rPr>
          <w:rFonts w:ascii="Times New Roman" w:hAnsi="Times New Roman"/>
          <w:i/>
          <w:sz w:val="22"/>
          <w:szCs w:val="22"/>
        </w:rPr>
        <w:t>, f</w:t>
      </w:r>
      <w:r w:rsidRPr="000F3DFF">
        <w:rPr>
          <w:rFonts w:ascii="Times New Roman" w:hAnsi="Times New Roman"/>
          <w:i/>
          <w:sz w:val="22"/>
          <w:szCs w:val="22"/>
        </w:rPr>
        <w:t xml:space="preserve">ax, TTY, </w:t>
      </w:r>
      <w:r>
        <w:rPr>
          <w:rFonts w:ascii="Times New Roman" w:hAnsi="Times New Roman"/>
          <w:i/>
          <w:sz w:val="22"/>
          <w:szCs w:val="22"/>
        </w:rPr>
        <w:t>e</w:t>
      </w:r>
      <w:r w:rsidRPr="000F3DFF">
        <w:rPr>
          <w:rFonts w:ascii="Times New Roman" w:hAnsi="Times New Roman"/>
          <w:i/>
          <w:sz w:val="22"/>
          <w:szCs w:val="22"/>
        </w:rPr>
        <w:t>mail)</w:t>
      </w:r>
      <w:r w:rsidRPr="006173A1">
        <w:rPr>
          <w:rFonts w:ascii="Times New Roman" w:hAnsi="Times New Roman"/>
          <w:sz w:val="22"/>
          <w:szCs w:val="22"/>
        </w:rPr>
        <w:t>:</w:t>
      </w:r>
    </w:p>
    <w:p w14:paraId="7DF2D57B" w14:textId="67F4C6BE" w:rsidR="004B3E84" w:rsidRDefault="004B3E84" w:rsidP="005C3D9A">
      <w:pPr>
        <w:tabs>
          <w:tab w:val="left" w:pos="-1440"/>
          <w:tab w:val="left" w:pos="-720"/>
          <w:tab w:val="left" w:pos="540"/>
          <w:tab w:val="left" w:pos="10440"/>
        </w:tabs>
        <w:rPr>
          <w:rFonts w:ascii="Times New Roman" w:hAnsi="Times New Roman"/>
          <w:sz w:val="22"/>
          <w:szCs w:val="22"/>
        </w:rPr>
      </w:pPr>
    </w:p>
    <w:p w14:paraId="08E8A3FE" w14:textId="31830A1A" w:rsidR="17A16A66" w:rsidRDefault="17A16A66" w:rsidP="5917BD18">
      <w:pPr>
        <w:tabs>
          <w:tab w:val="left" w:pos="540"/>
          <w:tab w:val="left" w:pos="10440"/>
        </w:tabs>
        <w:spacing w:line="259" w:lineRule="auto"/>
        <w:rPr>
          <w:sz w:val="22"/>
          <w:szCs w:val="22"/>
        </w:rPr>
      </w:pPr>
      <w:r w:rsidRPr="5917BD18">
        <w:rPr>
          <w:rFonts w:ascii="Times New Roman" w:hAnsi="Times New Roman"/>
          <w:sz w:val="22"/>
          <w:szCs w:val="22"/>
        </w:rPr>
        <w:t>Benjamin Averill</w:t>
      </w:r>
    </w:p>
    <w:p w14:paraId="3F866369" w14:textId="59ECAF7F" w:rsidR="004B3E84" w:rsidRPr="002D0F35" w:rsidRDefault="004B3E84" w:rsidP="5917BD18">
      <w:pPr>
        <w:tabs>
          <w:tab w:val="left" w:pos="540"/>
          <w:tab w:val="left" w:pos="10440"/>
        </w:tabs>
        <w:rPr>
          <w:rFonts w:ascii="Times New Roman" w:hAnsi="Times New Roman"/>
          <w:sz w:val="22"/>
          <w:szCs w:val="22"/>
        </w:rPr>
      </w:pPr>
      <w:r w:rsidRPr="5917BD18">
        <w:rPr>
          <w:rFonts w:ascii="Times New Roman" w:hAnsi="Times New Roman"/>
          <w:sz w:val="22"/>
          <w:szCs w:val="22"/>
        </w:rPr>
        <w:t>Housing Opportunity Program Coordinator</w:t>
      </w:r>
    </w:p>
    <w:p w14:paraId="681579D8" w14:textId="713958A9" w:rsidR="004B3E84" w:rsidRPr="002D0F35" w:rsidRDefault="004B3E84" w:rsidP="5917BD18">
      <w:pPr>
        <w:tabs>
          <w:tab w:val="left" w:pos="540"/>
          <w:tab w:val="left" w:pos="10440"/>
        </w:tabs>
        <w:rPr>
          <w:rFonts w:ascii="Times New Roman" w:hAnsi="Times New Roman"/>
          <w:sz w:val="22"/>
          <w:szCs w:val="22"/>
        </w:rPr>
      </w:pPr>
      <w:r w:rsidRPr="5917BD18">
        <w:rPr>
          <w:rFonts w:ascii="Times New Roman" w:hAnsi="Times New Roman"/>
          <w:sz w:val="22"/>
          <w:szCs w:val="22"/>
        </w:rPr>
        <w:t>Dept. of Economic and Community Development</w:t>
      </w:r>
    </w:p>
    <w:p w14:paraId="400B3C3D" w14:textId="6FDDEAD0" w:rsidR="004B3E84" w:rsidRPr="002D0F35" w:rsidRDefault="004B3E84" w:rsidP="5917BD18">
      <w:pPr>
        <w:tabs>
          <w:tab w:val="left" w:pos="540"/>
          <w:tab w:val="left" w:pos="10440"/>
        </w:tabs>
        <w:rPr>
          <w:rFonts w:ascii="Times New Roman" w:hAnsi="Times New Roman"/>
          <w:sz w:val="22"/>
          <w:szCs w:val="22"/>
        </w:rPr>
      </w:pPr>
      <w:r w:rsidRPr="5917BD18">
        <w:rPr>
          <w:rFonts w:ascii="Times New Roman" w:hAnsi="Times New Roman"/>
          <w:sz w:val="22"/>
          <w:szCs w:val="22"/>
        </w:rPr>
        <w:t>111 Sewall Street, 3</w:t>
      </w:r>
      <w:r w:rsidRPr="5917BD18">
        <w:rPr>
          <w:rFonts w:ascii="Times New Roman" w:hAnsi="Times New Roman"/>
          <w:sz w:val="22"/>
          <w:szCs w:val="22"/>
          <w:vertAlign w:val="superscript"/>
        </w:rPr>
        <w:t xml:space="preserve">rd </w:t>
      </w:r>
      <w:r w:rsidRPr="5917BD18">
        <w:rPr>
          <w:rFonts w:ascii="Times New Roman" w:hAnsi="Times New Roman"/>
          <w:sz w:val="22"/>
          <w:szCs w:val="22"/>
        </w:rPr>
        <w:t>Floor</w:t>
      </w:r>
    </w:p>
    <w:p w14:paraId="2F862D17" w14:textId="1C79B590" w:rsidR="004B3E84" w:rsidRPr="002D0F35" w:rsidRDefault="004B3E84" w:rsidP="5917BD18">
      <w:pPr>
        <w:tabs>
          <w:tab w:val="left" w:pos="540"/>
          <w:tab w:val="left" w:pos="10440"/>
        </w:tabs>
        <w:rPr>
          <w:rFonts w:ascii="Times New Roman" w:hAnsi="Times New Roman"/>
          <w:sz w:val="22"/>
          <w:szCs w:val="22"/>
        </w:rPr>
      </w:pPr>
      <w:r w:rsidRPr="5917BD18">
        <w:rPr>
          <w:rFonts w:ascii="Times New Roman" w:hAnsi="Times New Roman"/>
          <w:sz w:val="22"/>
          <w:szCs w:val="22"/>
        </w:rPr>
        <w:t xml:space="preserve">59 State House Station </w:t>
      </w:r>
    </w:p>
    <w:p w14:paraId="04370BA4" w14:textId="1D75601C" w:rsidR="004B3E84" w:rsidRPr="002D0F35" w:rsidRDefault="004B3E84" w:rsidP="5917BD18">
      <w:pPr>
        <w:tabs>
          <w:tab w:val="left" w:pos="540"/>
          <w:tab w:val="left" w:pos="10440"/>
        </w:tabs>
        <w:rPr>
          <w:rFonts w:ascii="Times New Roman" w:hAnsi="Times New Roman"/>
          <w:sz w:val="22"/>
          <w:szCs w:val="22"/>
        </w:rPr>
      </w:pPr>
      <w:r w:rsidRPr="5917BD18">
        <w:rPr>
          <w:rFonts w:ascii="Times New Roman" w:hAnsi="Times New Roman"/>
          <w:sz w:val="22"/>
          <w:szCs w:val="22"/>
        </w:rPr>
        <w:t>Augusta, ME 04330</w:t>
      </w:r>
    </w:p>
    <w:p w14:paraId="3AF4C1D4" w14:textId="3135C96D" w:rsidR="002D0F35" w:rsidRPr="002D0F35" w:rsidRDefault="002D0F35" w:rsidP="5917BD18">
      <w:pPr>
        <w:tabs>
          <w:tab w:val="left" w:pos="540"/>
          <w:tab w:val="left" w:pos="10440"/>
        </w:tabs>
        <w:rPr>
          <w:rFonts w:ascii="Times New Roman" w:hAnsi="Times New Roman"/>
          <w:sz w:val="22"/>
          <w:szCs w:val="22"/>
        </w:rPr>
      </w:pPr>
      <w:r w:rsidRPr="5917BD18">
        <w:rPr>
          <w:rFonts w:ascii="Times New Roman" w:hAnsi="Times New Roman"/>
          <w:sz w:val="22"/>
          <w:szCs w:val="22"/>
        </w:rPr>
        <w:t>207-441-9</w:t>
      </w:r>
      <w:r w:rsidR="1DCA359A" w:rsidRPr="5917BD18">
        <w:rPr>
          <w:rFonts w:ascii="Times New Roman" w:hAnsi="Times New Roman"/>
          <w:sz w:val="22"/>
          <w:szCs w:val="22"/>
        </w:rPr>
        <w:t>831</w:t>
      </w:r>
    </w:p>
    <w:p w14:paraId="0A82A272" w14:textId="13975CF3" w:rsidR="002D0F35" w:rsidRPr="002D0F35" w:rsidRDefault="002D0F35" w:rsidP="5917BD18">
      <w:pPr>
        <w:tabs>
          <w:tab w:val="left" w:pos="540"/>
          <w:tab w:val="left" w:pos="10440"/>
        </w:tabs>
        <w:rPr>
          <w:rFonts w:ascii="Times New Roman" w:hAnsi="Times New Roman"/>
          <w:sz w:val="22"/>
          <w:szCs w:val="22"/>
        </w:rPr>
      </w:pPr>
      <w:r w:rsidRPr="5917BD18">
        <w:rPr>
          <w:rFonts w:ascii="Times New Roman" w:hAnsi="Times New Roman"/>
          <w:sz w:val="22"/>
          <w:szCs w:val="22"/>
        </w:rPr>
        <w:t>TTY:1-800-437-1220</w:t>
      </w:r>
    </w:p>
    <w:p w14:paraId="396C3A71" w14:textId="5CBD5DD2" w:rsidR="04813E12" w:rsidRDefault="018BEBBC" w:rsidP="5917BD18">
      <w:pPr>
        <w:tabs>
          <w:tab w:val="left" w:pos="540"/>
          <w:tab w:val="left" w:pos="10440"/>
        </w:tabs>
        <w:spacing w:line="259" w:lineRule="auto"/>
        <w:rPr>
          <w:sz w:val="22"/>
          <w:szCs w:val="22"/>
        </w:rPr>
      </w:pPr>
      <w:r w:rsidRPr="5917BD18">
        <w:rPr>
          <w:rFonts w:ascii="Times New Roman" w:hAnsi="Times New Roman"/>
          <w:sz w:val="22"/>
          <w:szCs w:val="22"/>
        </w:rPr>
        <w:t>h</w:t>
      </w:r>
      <w:r w:rsidR="04813E12" w:rsidRPr="5917BD18">
        <w:rPr>
          <w:rFonts w:ascii="Times New Roman" w:hAnsi="Times New Roman"/>
          <w:sz w:val="22"/>
          <w:szCs w:val="22"/>
        </w:rPr>
        <w:t>ousing.decd@maine.gov</w:t>
      </w:r>
    </w:p>
    <w:p w14:paraId="19155CD4" w14:textId="77777777" w:rsidR="00593DE3" w:rsidRDefault="00593DE3" w:rsidP="005C3D9A">
      <w:pPr>
        <w:tabs>
          <w:tab w:val="left" w:pos="-1440"/>
          <w:tab w:val="left" w:pos="-720"/>
          <w:tab w:val="left" w:pos="540"/>
          <w:tab w:val="left" w:pos="10440"/>
        </w:tabs>
        <w:rPr>
          <w:rFonts w:ascii="Times New Roman" w:hAnsi="Times New Roman"/>
          <w:sz w:val="22"/>
          <w:szCs w:val="22"/>
        </w:rPr>
      </w:pPr>
    </w:p>
    <w:p w14:paraId="32605E10" w14:textId="1BCE4D52" w:rsidR="005C3D9A" w:rsidRDefault="005C3D9A" w:rsidP="5917BD18">
      <w:pPr>
        <w:tabs>
          <w:tab w:val="left" w:pos="540"/>
          <w:tab w:val="left" w:pos="10440"/>
        </w:tabs>
        <w:ind w:right="360"/>
        <w:rPr>
          <w:rFonts w:ascii="Times New Roman" w:hAnsi="Times New Roman"/>
          <w:sz w:val="22"/>
          <w:szCs w:val="22"/>
        </w:rPr>
      </w:pPr>
      <w:r w:rsidRPr="5917BD18">
        <w:rPr>
          <w:rFonts w:ascii="Times New Roman" w:hAnsi="Times New Roman"/>
          <w:sz w:val="22"/>
          <w:szCs w:val="22"/>
        </w:rPr>
        <w:t xml:space="preserve">CONTACT PERSON FOR SMALL BUSINESS IMPACT STATEMENT </w:t>
      </w:r>
      <w:r w:rsidRPr="5917BD18">
        <w:rPr>
          <w:rFonts w:ascii="Times New Roman" w:hAnsi="Times New Roman"/>
          <w:i/>
          <w:iCs/>
          <w:sz w:val="22"/>
          <w:szCs w:val="22"/>
        </w:rPr>
        <w:t>(if different)</w:t>
      </w:r>
      <w:r w:rsidRPr="5917BD18">
        <w:rPr>
          <w:rFonts w:ascii="Times New Roman" w:hAnsi="Times New Roman"/>
          <w:sz w:val="22"/>
          <w:szCs w:val="22"/>
        </w:rPr>
        <w:t>:</w:t>
      </w:r>
      <w:r w:rsidR="002D0F35" w:rsidRPr="5917BD18">
        <w:rPr>
          <w:rFonts w:ascii="Times New Roman" w:hAnsi="Times New Roman"/>
          <w:sz w:val="22"/>
          <w:szCs w:val="22"/>
        </w:rPr>
        <w:t xml:space="preserve"> </w:t>
      </w:r>
      <w:r w:rsidR="7492E59E" w:rsidRPr="5917BD18">
        <w:rPr>
          <w:rFonts w:ascii="Times New Roman" w:hAnsi="Times New Roman"/>
          <w:sz w:val="22"/>
          <w:szCs w:val="22"/>
        </w:rPr>
        <w:t>NA</w:t>
      </w:r>
    </w:p>
    <w:p w14:paraId="360556D1"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05E062F3" w14:textId="5818C68E" w:rsidR="005C3D9A" w:rsidRDefault="005C3D9A" w:rsidP="5917BD18">
      <w:pPr>
        <w:tabs>
          <w:tab w:val="left" w:pos="540"/>
          <w:tab w:val="left" w:pos="10440"/>
        </w:tabs>
        <w:ind w:right="972"/>
        <w:rPr>
          <w:rStyle w:val="apple-converted-space"/>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FINANCIAL </w:t>
      </w:r>
      <w:r w:rsidRPr="000F3DFF">
        <w:rPr>
          <w:rFonts w:ascii="Times New Roman" w:hAnsi="Times New Roman"/>
          <w:color w:val="000000"/>
          <w:sz w:val="22"/>
          <w:szCs w:val="22"/>
          <w:shd w:val="clear" w:color="auto" w:fill="FFFFFF"/>
        </w:rPr>
        <w:t>IMPACT ON MUNICIPALITIES OR COUNTIES</w:t>
      </w:r>
      <w:r>
        <w:rPr>
          <w:rFonts w:ascii="Times New Roman" w:hAnsi="Times New Roman"/>
          <w:color w:val="000000"/>
          <w:sz w:val="22"/>
          <w:szCs w:val="22"/>
          <w:shd w:val="clear" w:color="auto" w:fill="FFFFFF"/>
        </w:rPr>
        <w:t xml:space="preserve"> </w:t>
      </w:r>
      <w:r w:rsidRPr="5917BD18">
        <w:rPr>
          <w:rFonts w:ascii="Times New Roman" w:hAnsi="Times New Roman"/>
          <w:i/>
          <w:iCs/>
          <w:color w:val="000000"/>
          <w:sz w:val="22"/>
          <w:szCs w:val="22"/>
          <w:shd w:val="clear" w:color="auto" w:fill="FFFFFF"/>
        </w:rPr>
        <w:t>(if any)</w:t>
      </w:r>
      <w:r w:rsidRPr="000F3DFF">
        <w:rPr>
          <w:rFonts w:ascii="Times New Roman" w:hAnsi="Times New Roman"/>
          <w:color w:val="000000"/>
          <w:sz w:val="22"/>
          <w:szCs w:val="22"/>
          <w:shd w:val="clear" w:color="auto" w:fill="FFFFFF"/>
        </w:rPr>
        <w:t>:</w:t>
      </w:r>
      <w:r w:rsidRPr="000F3DFF">
        <w:rPr>
          <w:rStyle w:val="apple-converted-space"/>
          <w:rFonts w:ascii="Times New Roman" w:hAnsi="Times New Roman"/>
          <w:color w:val="000000"/>
          <w:sz w:val="22"/>
          <w:szCs w:val="22"/>
          <w:shd w:val="clear" w:color="auto" w:fill="FFFFFF"/>
        </w:rPr>
        <w:t> </w:t>
      </w:r>
      <w:r w:rsidR="002D0F35">
        <w:rPr>
          <w:rStyle w:val="apple-converted-space"/>
          <w:rFonts w:ascii="Times New Roman" w:hAnsi="Times New Roman"/>
          <w:color w:val="000000"/>
          <w:sz w:val="22"/>
          <w:szCs w:val="22"/>
          <w:shd w:val="clear" w:color="auto" w:fill="FFFFFF"/>
        </w:rPr>
        <w:t xml:space="preserve"> This rule requires municipalities to update land use and zoning ordinances in accordance with P.L. 2021, </w:t>
      </w:r>
      <w:proofErr w:type="spellStart"/>
      <w:r w:rsidR="002D0F35">
        <w:rPr>
          <w:rStyle w:val="apple-converted-space"/>
          <w:rFonts w:ascii="Times New Roman" w:hAnsi="Times New Roman"/>
          <w:color w:val="000000"/>
          <w:sz w:val="22"/>
          <w:szCs w:val="22"/>
          <w:shd w:val="clear" w:color="auto" w:fill="FFFFFF"/>
        </w:rPr>
        <w:t>ch.</w:t>
      </w:r>
      <w:proofErr w:type="spellEnd"/>
      <w:r w:rsidR="002D0F35">
        <w:rPr>
          <w:rStyle w:val="apple-converted-space"/>
          <w:rFonts w:ascii="Times New Roman" w:hAnsi="Times New Roman"/>
          <w:color w:val="000000"/>
          <w:sz w:val="22"/>
          <w:szCs w:val="22"/>
          <w:shd w:val="clear" w:color="auto" w:fill="FFFFFF"/>
        </w:rPr>
        <w:t xml:space="preserve"> 672. </w:t>
      </w:r>
      <w:r w:rsidR="00BF1EFB">
        <w:rPr>
          <w:rStyle w:val="apple-converted-space"/>
          <w:rFonts w:ascii="Times New Roman" w:hAnsi="Times New Roman"/>
          <w:color w:val="000000"/>
          <w:sz w:val="22"/>
          <w:szCs w:val="22"/>
          <w:shd w:val="clear" w:color="auto" w:fill="FFFFFF"/>
        </w:rPr>
        <w:t>The</w:t>
      </w:r>
      <w:r w:rsidR="002D0F35">
        <w:rPr>
          <w:rStyle w:val="apple-converted-space"/>
          <w:rFonts w:ascii="Times New Roman" w:hAnsi="Times New Roman"/>
          <w:color w:val="000000"/>
          <w:sz w:val="22"/>
          <w:szCs w:val="22"/>
          <w:shd w:val="clear" w:color="auto" w:fill="FFFFFF"/>
        </w:rPr>
        <w:t xml:space="preserve"> </w:t>
      </w:r>
      <w:r w:rsidR="00BF1EFB">
        <w:rPr>
          <w:rStyle w:val="apple-converted-space"/>
          <w:rFonts w:ascii="Times New Roman" w:hAnsi="Times New Roman"/>
          <w:color w:val="000000"/>
          <w:sz w:val="22"/>
          <w:szCs w:val="22"/>
          <w:shd w:val="clear" w:color="auto" w:fill="FFFFFF"/>
        </w:rPr>
        <w:t>Department was</w:t>
      </w:r>
      <w:r w:rsidR="002D0F35">
        <w:rPr>
          <w:rStyle w:val="apple-converted-space"/>
          <w:rFonts w:ascii="Times New Roman" w:hAnsi="Times New Roman"/>
          <w:color w:val="000000"/>
          <w:sz w:val="22"/>
          <w:szCs w:val="22"/>
          <w:shd w:val="clear" w:color="auto" w:fill="FFFFFF"/>
        </w:rPr>
        <w:t xml:space="preserve"> allocated</w:t>
      </w:r>
      <w:r w:rsidR="54CE9E7A">
        <w:rPr>
          <w:rStyle w:val="apple-converted-space"/>
          <w:rFonts w:ascii="Times New Roman" w:hAnsi="Times New Roman"/>
          <w:color w:val="000000"/>
          <w:sz w:val="22"/>
          <w:szCs w:val="22"/>
          <w:shd w:val="clear" w:color="auto" w:fill="FFFFFF"/>
        </w:rPr>
        <w:t xml:space="preserve"> funding </w:t>
      </w:r>
      <w:r w:rsidR="002D0F35">
        <w:rPr>
          <w:rStyle w:val="apple-converted-space"/>
          <w:rFonts w:ascii="Times New Roman" w:hAnsi="Times New Roman"/>
          <w:color w:val="000000"/>
          <w:sz w:val="22"/>
          <w:szCs w:val="22"/>
          <w:shd w:val="clear" w:color="auto" w:fill="FFFFFF"/>
        </w:rPr>
        <w:t>to award</w:t>
      </w:r>
      <w:r w:rsidR="7A0474C2">
        <w:rPr>
          <w:rStyle w:val="apple-converted-space"/>
          <w:rFonts w:ascii="Times New Roman" w:hAnsi="Times New Roman"/>
          <w:color w:val="000000"/>
          <w:sz w:val="22"/>
          <w:szCs w:val="22"/>
          <w:shd w:val="clear" w:color="auto" w:fill="FFFFFF"/>
        </w:rPr>
        <w:t xml:space="preserve"> </w:t>
      </w:r>
      <w:r w:rsidR="002D0F35">
        <w:rPr>
          <w:rStyle w:val="apple-converted-space"/>
          <w:rFonts w:ascii="Times New Roman" w:hAnsi="Times New Roman"/>
          <w:color w:val="000000"/>
          <w:sz w:val="22"/>
          <w:szCs w:val="22"/>
          <w:shd w:val="clear" w:color="auto" w:fill="FFFFFF"/>
        </w:rPr>
        <w:t xml:space="preserve">grants </w:t>
      </w:r>
      <w:r w:rsidR="002427A4">
        <w:rPr>
          <w:rStyle w:val="apple-converted-space"/>
          <w:rFonts w:ascii="Times New Roman" w:hAnsi="Times New Roman"/>
          <w:color w:val="000000"/>
          <w:sz w:val="22"/>
          <w:szCs w:val="22"/>
          <w:shd w:val="clear" w:color="auto" w:fill="FFFFFF"/>
        </w:rPr>
        <w:t>to</w:t>
      </w:r>
      <w:r w:rsidR="00816831">
        <w:rPr>
          <w:rStyle w:val="apple-converted-space"/>
          <w:rFonts w:ascii="Times New Roman" w:hAnsi="Times New Roman"/>
          <w:color w:val="000000"/>
          <w:sz w:val="22"/>
          <w:szCs w:val="22"/>
          <w:shd w:val="clear" w:color="auto" w:fill="FFFFFF"/>
        </w:rPr>
        <w:t xml:space="preserve"> service providers</w:t>
      </w:r>
      <w:r w:rsidR="002D0F35">
        <w:rPr>
          <w:rStyle w:val="apple-converted-space"/>
          <w:rFonts w:ascii="Times New Roman" w:hAnsi="Times New Roman"/>
          <w:color w:val="000000"/>
          <w:sz w:val="22"/>
          <w:szCs w:val="22"/>
          <w:shd w:val="clear" w:color="auto" w:fill="FFFFFF"/>
        </w:rPr>
        <w:t xml:space="preserve"> for municipal ordinance development</w:t>
      </w:r>
      <w:r w:rsidR="00BF1EFB">
        <w:rPr>
          <w:rStyle w:val="apple-converted-space"/>
          <w:rFonts w:ascii="Times New Roman" w:hAnsi="Times New Roman"/>
          <w:color w:val="000000"/>
          <w:sz w:val="22"/>
          <w:szCs w:val="22"/>
          <w:shd w:val="clear" w:color="auto" w:fill="FFFFFF"/>
        </w:rPr>
        <w:t xml:space="preserve"> to comply with P.L. 2021, </w:t>
      </w:r>
      <w:proofErr w:type="spellStart"/>
      <w:r w:rsidR="00BF1EFB">
        <w:rPr>
          <w:rStyle w:val="apple-converted-space"/>
          <w:rFonts w:ascii="Times New Roman" w:hAnsi="Times New Roman"/>
          <w:color w:val="000000"/>
          <w:sz w:val="22"/>
          <w:szCs w:val="22"/>
          <w:shd w:val="clear" w:color="auto" w:fill="FFFFFF"/>
        </w:rPr>
        <w:t>ch.</w:t>
      </w:r>
      <w:proofErr w:type="spellEnd"/>
      <w:r w:rsidR="00BF1EFB">
        <w:rPr>
          <w:rStyle w:val="apple-converted-space"/>
          <w:rFonts w:ascii="Times New Roman" w:hAnsi="Times New Roman"/>
          <w:color w:val="000000"/>
          <w:sz w:val="22"/>
          <w:szCs w:val="22"/>
          <w:shd w:val="clear" w:color="auto" w:fill="FFFFFF"/>
        </w:rPr>
        <w:t xml:space="preserve"> 672</w:t>
      </w:r>
      <w:r w:rsidR="002D0F35">
        <w:rPr>
          <w:rStyle w:val="apple-converted-space"/>
          <w:rFonts w:ascii="Times New Roman" w:hAnsi="Times New Roman"/>
          <w:color w:val="000000"/>
          <w:sz w:val="22"/>
          <w:szCs w:val="22"/>
          <w:shd w:val="clear" w:color="auto" w:fill="FFFFFF"/>
        </w:rPr>
        <w:t xml:space="preserve">. </w:t>
      </w:r>
    </w:p>
    <w:p w14:paraId="0C40C1A6" w14:textId="77777777" w:rsidR="005C3D9A" w:rsidRPr="000F3DFF" w:rsidRDefault="005C3D9A" w:rsidP="005C3D9A">
      <w:pPr>
        <w:tabs>
          <w:tab w:val="left" w:pos="-1440"/>
          <w:tab w:val="left" w:pos="-720"/>
          <w:tab w:val="left" w:pos="540"/>
          <w:tab w:val="left" w:pos="10440"/>
        </w:tabs>
        <w:ind w:right="972"/>
        <w:rPr>
          <w:rFonts w:ascii="Times New Roman" w:hAnsi="Times New Roman"/>
          <w:sz w:val="22"/>
          <w:szCs w:val="22"/>
        </w:rPr>
      </w:pPr>
    </w:p>
    <w:p w14:paraId="2B51A7B7" w14:textId="6287CD18"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STATUTORY AUTHORITY FOR THIS RULE:</w:t>
      </w:r>
      <w:r w:rsidR="002D0F35">
        <w:rPr>
          <w:rFonts w:ascii="Times New Roman" w:hAnsi="Times New Roman"/>
          <w:sz w:val="22"/>
          <w:szCs w:val="22"/>
        </w:rPr>
        <w:t xml:space="preserve"> P.L. 2021, </w:t>
      </w:r>
      <w:proofErr w:type="spellStart"/>
      <w:r w:rsidR="002D0F35">
        <w:rPr>
          <w:rFonts w:ascii="Times New Roman" w:hAnsi="Times New Roman"/>
          <w:sz w:val="22"/>
          <w:szCs w:val="22"/>
        </w:rPr>
        <w:t>ch.</w:t>
      </w:r>
      <w:proofErr w:type="spellEnd"/>
      <w:r w:rsidR="002D0F35">
        <w:rPr>
          <w:rFonts w:ascii="Times New Roman" w:hAnsi="Times New Roman"/>
          <w:sz w:val="22"/>
          <w:szCs w:val="22"/>
        </w:rPr>
        <w:t xml:space="preserve"> 672</w:t>
      </w:r>
      <w:r w:rsidR="00734888">
        <w:rPr>
          <w:rFonts w:ascii="Times New Roman" w:hAnsi="Times New Roman"/>
          <w:sz w:val="22"/>
          <w:szCs w:val="22"/>
        </w:rPr>
        <w:t xml:space="preserve"> codified at </w:t>
      </w:r>
      <w:r w:rsidR="00BD3AA5">
        <w:rPr>
          <w:rFonts w:ascii="Times New Roman" w:hAnsi="Times New Roman"/>
          <w:sz w:val="22"/>
          <w:szCs w:val="22"/>
        </w:rPr>
        <w:t>30-A M.R.S. §§ 4364, 4364-A, 4364-B</w:t>
      </w:r>
    </w:p>
    <w:p w14:paraId="769BE9F9"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566BF522"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 xml:space="preserve">SUBSTANTIVE STATE OR FEDERAL LAW BEING IMPLEMENTED </w:t>
      </w:r>
      <w:r w:rsidRPr="000F3DFF">
        <w:rPr>
          <w:rFonts w:ascii="Times New Roman" w:hAnsi="Times New Roman"/>
          <w:i/>
          <w:sz w:val="22"/>
          <w:szCs w:val="22"/>
        </w:rPr>
        <w:t>(if different)</w:t>
      </w:r>
      <w:r w:rsidRPr="006173A1">
        <w:rPr>
          <w:rFonts w:ascii="Times New Roman" w:hAnsi="Times New Roman"/>
          <w:sz w:val="22"/>
          <w:szCs w:val="22"/>
        </w:rPr>
        <w:t>:</w:t>
      </w:r>
    </w:p>
    <w:p w14:paraId="06A806FA"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77204E54" w14:textId="500AE351"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AGENCY WEBSITE:</w:t>
      </w:r>
      <w:r w:rsidR="002D0F35">
        <w:rPr>
          <w:rFonts w:ascii="Times New Roman" w:hAnsi="Times New Roman"/>
          <w:sz w:val="22"/>
          <w:szCs w:val="22"/>
        </w:rPr>
        <w:t xml:space="preserve"> </w:t>
      </w:r>
      <w:hyperlink r:id="rId8" w:history="1">
        <w:r w:rsidR="002D0F35" w:rsidRPr="00CD14CC">
          <w:rPr>
            <w:rStyle w:val="Hyperlink"/>
            <w:rFonts w:ascii="Arial" w:hAnsi="Arial" w:cs="Arial"/>
            <w:color w:val="auto"/>
            <w:shd w:val="clear" w:color="auto" w:fill="FFFFFF"/>
          </w:rPr>
          <w:t>www.maine.gov/decd</w:t>
        </w:r>
      </w:hyperlink>
      <w:r w:rsidR="002D0F35" w:rsidRPr="00CD14CC">
        <w:rPr>
          <w:rFonts w:ascii="Arial" w:hAnsi="Arial" w:cs="Arial"/>
          <w:shd w:val="clear" w:color="auto" w:fill="FFFFFF"/>
        </w:rPr>
        <w:t>.</w:t>
      </w:r>
    </w:p>
    <w:p w14:paraId="2D69DE7C"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5188F929" w14:textId="784A7F6C" w:rsidR="005C3D9A" w:rsidRDefault="00B13DDD" w:rsidP="005C3D9A">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EMAIL FOR OVERALL AGENCY RULE</w:t>
      </w:r>
      <w:r w:rsidR="005C3D9A" w:rsidRPr="006173A1">
        <w:rPr>
          <w:rFonts w:ascii="Times New Roman" w:hAnsi="Times New Roman"/>
          <w:sz w:val="22"/>
          <w:szCs w:val="22"/>
        </w:rPr>
        <w:t>MAKING LIAISON:</w:t>
      </w:r>
      <w:r w:rsidR="002D0F35" w:rsidRPr="002D0F35">
        <w:t xml:space="preserve"> </w:t>
      </w:r>
      <w:hyperlink r:id="rId9" w:history="1">
        <w:r w:rsidR="004015DF" w:rsidRPr="00336754">
          <w:rPr>
            <w:rStyle w:val="Hyperlink"/>
            <w:rFonts w:ascii="Times New Roman" w:hAnsi="Times New Roman"/>
            <w:sz w:val="22"/>
            <w:szCs w:val="22"/>
          </w:rPr>
          <w:t>denise.garland@maine.gov</w:t>
        </w:r>
      </w:hyperlink>
    </w:p>
    <w:p w14:paraId="0E8E6716" w14:textId="68A78B9B" w:rsidR="004015DF" w:rsidRDefault="004015DF" w:rsidP="005C3D9A">
      <w:pPr>
        <w:tabs>
          <w:tab w:val="left" w:pos="-1440"/>
          <w:tab w:val="left" w:pos="-720"/>
          <w:tab w:val="left" w:pos="540"/>
          <w:tab w:val="left" w:pos="10440"/>
        </w:tabs>
        <w:ind w:right="360"/>
        <w:rPr>
          <w:rFonts w:ascii="Times New Roman" w:hAnsi="Times New Roman"/>
          <w:sz w:val="22"/>
          <w:szCs w:val="22"/>
        </w:rPr>
      </w:pPr>
    </w:p>
    <w:p w14:paraId="68BEBC7E" w14:textId="77777777" w:rsidR="00F9684F" w:rsidRDefault="00F9684F" w:rsidP="00F9684F">
      <w:pPr>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5539809C">
        <w:rPr>
          <w:rFonts w:ascii="Times New Roman" w:hAnsi="Times New Roman"/>
          <w:b/>
          <w:bCs/>
          <w:sz w:val="22"/>
          <w:szCs w:val="22"/>
        </w:rPr>
        <w:lastRenderedPageBreak/>
        <w:t>19-100</w:t>
      </w:r>
      <w:r>
        <w:tab/>
      </w:r>
      <w:r>
        <w:tab/>
      </w:r>
      <w:r w:rsidRPr="5539809C">
        <w:rPr>
          <w:rFonts w:ascii="Times New Roman" w:hAnsi="Times New Roman"/>
          <w:b/>
          <w:bCs/>
          <w:sz w:val="22"/>
          <w:szCs w:val="22"/>
        </w:rPr>
        <w:t>DEPARTMENT OF ECONOMIC AND COMMUNITY DEVELOPMENT</w:t>
      </w:r>
    </w:p>
    <w:p w14:paraId="78522ECC"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03DA4013" w14:textId="77777777" w:rsidR="00F9684F" w:rsidRDefault="00F9684F" w:rsidP="00F9684F">
      <w:pPr>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5539809C">
        <w:rPr>
          <w:rFonts w:ascii="Times New Roman" w:hAnsi="Times New Roman"/>
          <w:b/>
          <w:bCs/>
          <w:sz w:val="22"/>
          <w:szCs w:val="22"/>
        </w:rPr>
        <w:t>Chapter 5:</w:t>
      </w:r>
      <w:r>
        <w:tab/>
      </w:r>
      <w:r w:rsidRPr="5539809C">
        <w:rPr>
          <w:rFonts w:ascii="Times New Roman" w:hAnsi="Times New Roman"/>
          <w:b/>
          <w:bCs/>
          <w:sz w:val="22"/>
          <w:szCs w:val="22"/>
        </w:rPr>
        <w:t>HOUSING OPPORTUNITY PROGRAM: MUNICIPAL LAND USE AND ZONING ORDINANCE RULE</w:t>
      </w:r>
    </w:p>
    <w:p w14:paraId="66D8C508" w14:textId="77777777" w:rsidR="00F9684F" w:rsidRDefault="00F9684F" w:rsidP="00F9684F">
      <w:pPr>
        <w:tabs>
          <w:tab w:val="left" w:pos="720"/>
          <w:tab w:val="left" w:pos="1440"/>
          <w:tab w:val="left" w:pos="2160"/>
          <w:tab w:val="left" w:pos="2880"/>
          <w:tab w:val="left" w:pos="3600"/>
          <w:tab w:val="left" w:pos="4320"/>
        </w:tabs>
        <w:ind w:left="1440" w:hanging="1440"/>
        <w:rPr>
          <w:szCs w:val="24"/>
          <w:highlight w:val="yellow"/>
        </w:rPr>
      </w:pPr>
    </w:p>
    <w:p w14:paraId="250BC396" w14:textId="77777777" w:rsidR="00F9684F" w:rsidRDefault="00F9684F" w:rsidP="00F9684F">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5539809C">
        <w:rPr>
          <w:rFonts w:ascii="Times New Roman" w:hAnsi="Times New Roman"/>
          <w:sz w:val="22"/>
          <w:szCs w:val="22"/>
        </w:rPr>
        <w:t>____________________________________________________________________________________</w:t>
      </w:r>
    </w:p>
    <w:p w14:paraId="4F5B18C0" w14:textId="77777777" w:rsidR="00F9684F" w:rsidRDefault="00F9684F" w:rsidP="00F9684F">
      <w:pPr>
        <w:tabs>
          <w:tab w:val="left" w:pos="720"/>
          <w:tab w:val="left" w:pos="1440"/>
          <w:tab w:val="left" w:pos="2160"/>
          <w:tab w:val="left" w:pos="2880"/>
          <w:tab w:val="left" w:pos="3600"/>
          <w:tab w:val="left" w:pos="4320"/>
        </w:tabs>
        <w:ind w:left="1440" w:hanging="1440"/>
        <w:rPr>
          <w:szCs w:val="24"/>
        </w:rPr>
      </w:pPr>
    </w:p>
    <w:p w14:paraId="74D14D9F"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sz w:val="22"/>
          <w:szCs w:val="22"/>
        </w:rPr>
      </w:pPr>
      <w:r w:rsidRPr="002F793C">
        <w:rPr>
          <w:rFonts w:ascii="Times New Roman" w:hAnsi="Times New Roman"/>
          <w:b/>
          <w:bCs/>
          <w:sz w:val="22"/>
          <w:szCs w:val="22"/>
        </w:rPr>
        <w:t>Summary:</w:t>
      </w:r>
      <w:r w:rsidRPr="5539809C">
        <w:rPr>
          <w:rFonts w:ascii="Times New Roman" w:hAnsi="Times New Roman"/>
          <w:sz w:val="22"/>
          <w:szCs w:val="22"/>
        </w:rPr>
        <w:t xml:space="preserve">  This Chapter sets forth the provisions which require municipalities to create or amend local ordinances to allow for (1) additional density for affordable housing developments in certain areas; (2) multiple dwelling units on lots designated for housing; and (3) one accessory dwelling unit located on the same lot as a single-family dwelling unit in any area where housing is permitted.</w:t>
      </w:r>
    </w:p>
    <w:p w14:paraId="1C9BBEBB"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sz w:val="22"/>
          <w:szCs w:val="22"/>
        </w:rPr>
      </w:pPr>
    </w:p>
    <w:p w14:paraId="1DF0CA0D" w14:textId="77777777" w:rsidR="00F9684F" w:rsidRPr="002F793C" w:rsidRDefault="00F9684F" w:rsidP="00F9684F">
      <w:pPr>
        <w:tabs>
          <w:tab w:val="left" w:pos="720"/>
          <w:tab w:val="left" w:pos="1440"/>
          <w:tab w:val="left" w:pos="2160"/>
          <w:tab w:val="left" w:pos="2880"/>
          <w:tab w:val="left" w:pos="3600"/>
          <w:tab w:val="left" w:pos="4320"/>
        </w:tabs>
        <w:rPr>
          <w:szCs w:val="24"/>
        </w:rPr>
      </w:pPr>
      <w:r w:rsidRPr="002F793C">
        <w:rPr>
          <w:rFonts w:ascii="Times New Roman" w:hAnsi="Times New Roman"/>
          <w:b/>
          <w:bCs/>
          <w:sz w:val="22"/>
          <w:szCs w:val="22"/>
        </w:rPr>
        <w:t>Note:</w:t>
      </w:r>
      <w:r w:rsidRPr="002F793C">
        <w:rPr>
          <w:rFonts w:ascii="Times New Roman" w:hAnsi="Times New Roman"/>
          <w:sz w:val="22"/>
          <w:szCs w:val="22"/>
        </w:rPr>
        <w:t xml:space="preserve"> This Chapter incorporates by reference certain material. The Appendix lists the material that is incorporated by reference, the date for each reference, and </w:t>
      </w:r>
      <w:r>
        <w:rPr>
          <w:rFonts w:ascii="Times New Roman" w:hAnsi="Times New Roman"/>
          <w:sz w:val="22"/>
          <w:szCs w:val="22"/>
        </w:rPr>
        <w:t xml:space="preserve">the organization </w:t>
      </w:r>
      <w:r w:rsidRPr="002F793C">
        <w:rPr>
          <w:rFonts w:ascii="Times New Roman" w:hAnsi="Times New Roman"/>
          <w:sz w:val="22"/>
          <w:szCs w:val="22"/>
        </w:rPr>
        <w:t xml:space="preserve">where copies of the material are available. </w:t>
      </w:r>
    </w:p>
    <w:p w14:paraId="39841E74"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sz w:val="22"/>
          <w:szCs w:val="22"/>
        </w:rPr>
      </w:pPr>
      <w:r w:rsidRPr="002F793C">
        <w:rPr>
          <w:rFonts w:ascii="Times New Roman" w:hAnsi="Times New Roman"/>
          <w:sz w:val="22"/>
          <w:szCs w:val="22"/>
        </w:rPr>
        <w:t>_____________________________________________________________________________________</w:t>
      </w:r>
    </w:p>
    <w:p w14:paraId="1C9117CB"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054A7D73"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5539809C">
        <w:rPr>
          <w:rFonts w:ascii="Times New Roman" w:hAnsi="Times New Roman"/>
          <w:b/>
          <w:bCs/>
          <w:sz w:val="22"/>
          <w:szCs w:val="22"/>
        </w:rPr>
        <w:t>SECTION 1. PURPOSE AND DEFINITIONS</w:t>
      </w:r>
    </w:p>
    <w:p w14:paraId="15BB48D2"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4CE561ED" w14:textId="77777777" w:rsidR="00F9684F" w:rsidRPr="00BF0ADB" w:rsidRDefault="00F9684F" w:rsidP="00F9684F">
      <w:pPr>
        <w:pStyle w:val="ListParagraph"/>
        <w:widowControl/>
        <w:numPr>
          <w:ilvl w:val="0"/>
          <w:numId w:val="4"/>
        </w:num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BF0ADB">
        <w:rPr>
          <w:rFonts w:ascii="Times New Roman" w:hAnsi="Times New Roman"/>
          <w:b/>
          <w:bCs/>
          <w:sz w:val="22"/>
          <w:szCs w:val="22"/>
        </w:rPr>
        <w:t>PURPOSE</w:t>
      </w:r>
    </w:p>
    <w:p w14:paraId="16EA9F6F"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41F3331A" w14:textId="77777777" w:rsidR="00F9684F" w:rsidRDefault="00F9684F" w:rsidP="00F9684F">
      <w:pPr>
        <w:pStyle w:val="ListParagraph"/>
        <w:widowControl/>
        <w:numPr>
          <w:ilvl w:val="0"/>
          <w:numId w:val="8"/>
        </w:numPr>
        <w:tabs>
          <w:tab w:val="left" w:pos="720"/>
          <w:tab w:val="left" w:pos="1440"/>
          <w:tab w:val="left" w:pos="2160"/>
          <w:tab w:val="left" w:pos="2880"/>
          <w:tab w:val="left" w:pos="3600"/>
          <w:tab w:val="left" w:pos="4320"/>
        </w:tabs>
        <w:ind w:left="1080"/>
        <w:rPr>
          <w:rFonts w:ascii="Times New Roman" w:hAnsi="Times New Roman"/>
          <w:sz w:val="22"/>
          <w:szCs w:val="22"/>
        </w:rPr>
      </w:pPr>
      <w:r w:rsidRPr="75F40C3D">
        <w:rPr>
          <w:rFonts w:ascii="Times New Roman" w:hAnsi="Times New Roman"/>
          <w:sz w:val="22"/>
          <w:szCs w:val="22"/>
        </w:rPr>
        <w:t xml:space="preserve">This Chapter sets forth the provisions which require municipalities to create or amend local ordinances to allow for (1) additional density for affordable housing developments in certain areas; (2) multiple dwelling units on lots designated for housing; and (3) one accessory dwelling unit located on the same lot as a single-family dwelling unit in any area where housing is permitted. Municipalities must adopt ordinances that are consistent with and no more restrictive than the requirements of P.L. 2021, </w:t>
      </w:r>
      <w:proofErr w:type="spellStart"/>
      <w:r w:rsidRPr="75F40C3D">
        <w:rPr>
          <w:rFonts w:ascii="Times New Roman" w:hAnsi="Times New Roman"/>
          <w:sz w:val="22"/>
          <w:szCs w:val="22"/>
        </w:rPr>
        <w:t>ch.</w:t>
      </w:r>
      <w:proofErr w:type="spellEnd"/>
      <w:r w:rsidRPr="75F40C3D">
        <w:rPr>
          <w:rFonts w:ascii="Times New Roman" w:hAnsi="Times New Roman"/>
          <w:sz w:val="22"/>
          <w:szCs w:val="22"/>
        </w:rPr>
        <w:t xml:space="preserve"> 672</w:t>
      </w:r>
      <w:r>
        <w:rPr>
          <w:rFonts w:ascii="Times New Roman" w:hAnsi="Times New Roman"/>
          <w:sz w:val="22"/>
          <w:szCs w:val="22"/>
        </w:rPr>
        <w:t>, codified at 30-A M.R.S. §§ 4364, 4364-A, 4364-B,</w:t>
      </w:r>
      <w:r w:rsidRPr="75F40C3D">
        <w:rPr>
          <w:rFonts w:ascii="Times New Roman" w:hAnsi="Times New Roman"/>
          <w:sz w:val="22"/>
          <w:szCs w:val="22"/>
        </w:rPr>
        <w:t xml:space="preserve"> and this Chapter. </w:t>
      </w:r>
    </w:p>
    <w:p w14:paraId="29FC34C1" w14:textId="77777777" w:rsidR="00F9684F" w:rsidRDefault="00F9684F" w:rsidP="00F9684F">
      <w:pPr>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4B808E74" w14:textId="77777777" w:rsidR="00F9684F" w:rsidRPr="006E2DD9" w:rsidRDefault="00F9684F" w:rsidP="00F9684F">
      <w:pPr>
        <w:pStyle w:val="ListParagraph"/>
        <w:widowControl/>
        <w:numPr>
          <w:ilvl w:val="0"/>
          <w:numId w:val="8"/>
        </w:numPr>
        <w:tabs>
          <w:tab w:val="left" w:pos="720"/>
          <w:tab w:val="left" w:pos="1440"/>
          <w:tab w:val="left" w:pos="2160"/>
          <w:tab w:val="left" w:pos="2880"/>
          <w:tab w:val="left" w:pos="3600"/>
          <w:tab w:val="left" w:pos="4320"/>
        </w:tabs>
        <w:suppressAutoHyphens/>
        <w:ind w:left="1080"/>
        <w:rPr>
          <w:rFonts w:ascii="Times New Roman" w:hAnsi="Times New Roman"/>
          <w:sz w:val="22"/>
          <w:szCs w:val="22"/>
        </w:rPr>
      </w:pPr>
      <w:r w:rsidRPr="75F40C3D">
        <w:rPr>
          <w:rFonts w:ascii="Times New Roman" w:hAnsi="Times New Roman"/>
          <w:sz w:val="22"/>
          <w:szCs w:val="22"/>
        </w:rPr>
        <w:t>These rules do not:</w:t>
      </w:r>
    </w:p>
    <w:p w14:paraId="1DE5D6C7"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156D5395" w14:textId="77777777" w:rsidR="00F9684F" w:rsidRDefault="00F9684F" w:rsidP="00F9684F">
      <w:pPr>
        <w:pStyle w:val="ListParagraph"/>
        <w:widowControl/>
        <w:numPr>
          <w:ilvl w:val="0"/>
          <w:numId w:val="9"/>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006E2DD9">
        <w:rPr>
          <w:rFonts w:ascii="Times New Roman" w:hAnsi="Times New Roman"/>
          <w:sz w:val="22"/>
          <w:szCs w:val="22"/>
        </w:rPr>
        <w:t xml:space="preserve">Abrogate or annul the validity or enforceability of any valid and enforceable easement, covenant, deed restriction or other agreement or instrument between private parties that imposes greater restrictions than those provided in this rule, as long as the agreement does not abrogate rights pursuant to the United States Constitution or the Constitution of </w:t>
      </w:r>
      <w:proofErr w:type="gramStart"/>
      <w:r w:rsidRPr="006E2DD9">
        <w:rPr>
          <w:rFonts w:ascii="Times New Roman" w:hAnsi="Times New Roman"/>
          <w:sz w:val="22"/>
          <w:szCs w:val="22"/>
        </w:rPr>
        <w:t>Maine;</w:t>
      </w:r>
      <w:proofErr w:type="gramEnd"/>
      <w:r w:rsidRPr="006E2DD9">
        <w:rPr>
          <w:rFonts w:ascii="Times New Roman" w:hAnsi="Times New Roman"/>
          <w:sz w:val="22"/>
          <w:szCs w:val="22"/>
        </w:rPr>
        <w:t xml:space="preserve"> </w:t>
      </w:r>
    </w:p>
    <w:p w14:paraId="1E2C32F4"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20AB7A7B" w14:textId="77777777" w:rsidR="00F9684F" w:rsidRPr="0049211B" w:rsidRDefault="00F9684F" w:rsidP="00F9684F">
      <w:pPr>
        <w:pStyle w:val="ListParagraph"/>
        <w:widowControl/>
        <w:numPr>
          <w:ilvl w:val="0"/>
          <w:numId w:val="9"/>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75F40C3D">
        <w:rPr>
          <w:rFonts w:ascii="Times New Roman" w:hAnsi="Times New Roman"/>
          <w:sz w:val="22"/>
          <w:szCs w:val="22"/>
        </w:rPr>
        <w:t xml:space="preserve">Exempt a subdivider from the requirements in Title 30-A, Chapter 187, subchapter </w:t>
      </w:r>
      <w:proofErr w:type="gramStart"/>
      <w:r w:rsidRPr="75F40C3D">
        <w:rPr>
          <w:rFonts w:ascii="Times New Roman" w:hAnsi="Times New Roman"/>
          <w:sz w:val="22"/>
          <w:szCs w:val="22"/>
        </w:rPr>
        <w:t>4;</w:t>
      </w:r>
      <w:proofErr w:type="gramEnd"/>
      <w:r w:rsidRPr="75F40C3D">
        <w:rPr>
          <w:rFonts w:ascii="Times New Roman" w:hAnsi="Times New Roman"/>
          <w:sz w:val="22"/>
          <w:szCs w:val="22"/>
        </w:rPr>
        <w:t xml:space="preserve"> </w:t>
      </w:r>
    </w:p>
    <w:p w14:paraId="6D86913B" w14:textId="77777777" w:rsidR="00F9684F" w:rsidRPr="0049211B"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5E7E6863" w14:textId="77777777" w:rsidR="00F9684F" w:rsidRPr="006E2DD9" w:rsidRDefault="00F9684F" w:rsidP="00F9684F">
      <w:pPr>
        <w:pStyle w:val="ListParagraph"/>
        <w:widowControl/>
        <w:numPr>
          <w:ilvl w:val="0"/>
          <w:numId w:val="9"/>
        </w:numPr>
        <w:tabs>
          <w:tab w:val="left" w:pos="720"/>
          <w:tab w:val="left" w:pos="1440"/>
          <w:tab w:val="left" w:pos="2160"/>
          <w:tab w:val="left" w:pos="2880"/>
          <w:tab w:val="left" w:pos="3600"/>
          <w:tab w:val="left" w:pos="4320"/>
        </w:tabs>
        <w:spacing w:line="259" w:lineRule="auto"/>
        <w:ind w:left="1800"/>
        <w:rPr>
          <w:rFonts w:ascii="Times New Roman" w:hAnsi="Times New Roman"/>
          <w:sz w:val="22"/>
          <w:szCs w:val="22"/>
        </w:rPr>
      </w:pPr>
      <w:r w:rsidRPr="691F9A97">
        <w:rPr>
          <w:rFonts w:ascii="Times New Roman" w:hAnsi="Times New Roman"/>
          <w:sz w:val="22"/>
          <w:szCs w:val="22"/>
        </w:rPr>
        <w:t xml:space="preserve">Exempt an affordable housing development, a </w:t>
      </w:r>
      <w:r>
        <w:rPr>
          <w:rFonts w:ascii="Times New Roman" w:hAnsi="Times New Roman"/>
          <w:sz w:val="22"/>
          <w:szCs w:val="22"/>
        </w:rPr>
        <w:t>dwelling unit</w:t>
      </w:r>
      <w:r w:rsidRPr="691F9A97">
        <w:rPr>
          <w:rFonts w:ascii="Times New Roman" w:hAnsi="Times New Roman"/>
          <w:sz w:val="22"/>
          <w:szCs w:val="22"/>
        </w:rPr>
        <w:t>, or accessory dwelling unit from the shoreland zoning requirements established by the Department of Environmental Protection pursuant to Title 38, Chapter 3 and municipal shoreland zoning ordinances; or</w:t>
      </w:r>
    </w:p>
    <w:p w14:paraId="327783CB" w14:textId="77777777" w:rsidR="00F9684F" w:rsidRDefault="00F9684F" w:rsidP="00F9684F">
      <w:pPr>
        <w:tabs>
          <w:tab w:val="left" w:pos="720"/>
          <w:tab w:val="left" w:pos="1440"/>
          <w:tab w:val="left" w:pos="2160"/>
          <w:tab w:val="left" w:pos="2880"/>
          <w:tab w:val="left" w:pos="3600"/>
          <w:tab w:val="left" w:pos="4320"/>
        </w:tabs>
        <w:spacing w:line="259" w:lineRule="auto"/>
        <w:ind w:left="1080"/>
        <w:rPr>
          <w:szCs w:val="24"/>
        </w:rPr>
      </w:pPr>
    </w:p>
    <w:p w14:paraId="2E07D6D1" w14:textId="77777777" w:rsidR="00F9684F" w:rsidRDefault="00F9684F" w:rsidP="00F9684F">
      <w:pPr>
        <w:pStyle w:val="ListParagraph"/>
        <w:widowControl/>
        <w:numPr>
          <w:ilvl w:val="0"/>
          <w:numId w:val="9"/>
        </w:numPr>
        <w:tabs>
          <w:tab w:val="left" w:pos="720"/>
          <w:tab w:val="left" w:pos="1440"/>
          <w:tab w:val="left" w:pos="2160"/>
          <w:tab w:val="left" w:pos="2880"/>
          <w:tab w:val="left" w:pos="3600"/>
          <w:tab w:val="left" w:pos="4320"/>
        </w:tabs>
        <w:spacing w:line="259" w:lineRule="auto"/>
        <w:ind w:left="1800"/>
        <w:rPr>
          <w:rFonts w:ascii="Times New Roman" w:hAnsi="Times New Roman"/>
          <w:sz w:val="22"/>
          <w:szCs w:val="22"/>
        </w:rPr>
      </w:pPr>
      <w:r w:rsidRPr="691F9A97">
        <w:rPr>
          <w:rFonts w:ascii="Times New Roman" w:hAnsi="Times New Roman"/>
          <w:sz w:val="22"/>
          <w:szCs w:val="22"/>
        </w:rPr>
        <w:t>Abrogate or annul minimum lot size requirements under Title 12, Chapter 423-A</w:t>
      </w:r>
      <w:r>
        <w:rPr>
          <w:rFonts w:ascii="Times New Roman" w:hAnsi="Times New Roman"/>
          <w:sz w:val="22"/>
          <w:szCs w:val="22"/>
        </w:rPr>
        <w:t>.</w:t>
      </w:r>
    </w:p>
    <w:p w14:paraId="7DC8E21E" w14:textId="77777777" w:rsidR="00F9684F" w:rsidRPr="00EA0C0B" w:rsidRDefault="00F9684F" w:rsidP="00F9684F">
      <w:pPr>
        <w:ind w:left="2160"/>
        <w:rPr>
          <w:szCs w:val="24"/>
        </w:rPr>
      </w:pPr>
    </w:p>
    <w:p w14:paraId="1E97A312" w14:textId="77777777" w:rsidR="00F9684F" w:rsidRDefault="00F9684F" w:rsidP="00F9684F">
      <w:pPr>
        <w:pStyle w:val="ListParagraph"/>
        <w:widowControl/>
        <w:numPr>
          <w:ilvl w:val="0"/>
          <w:numId w:val="4"/>
        </w:num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5539809C">
        <w:rPr>
          <w:rFonts w:ascii="Times New Roman" w:hAnsi="Times New Roman"/>
          <w:b/>
          <w:bCs/>
          <w:sz w:val="22"/>
          <w:szCs w:val="22"/>
        </w:rPr>
        <w:t>DEFINITIONS</w:t>
      </w:r>
    </w:p>
    <w:p w14:paraId="3A579AEB"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4DDEF7BF"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sz w:val="22"/>
          <w:szCs w:val="22"/>
        </w:rPr>
      </w:pPr>
      <w:r w:rsidRPr="75F40C3D">
        <w:rPr>
          <w:rFonts w:ascii="Times New Roman" w:hAnsi="Times New Roman"/>
          <w:sz w:val="22"/>
          <w:szCs w:val="22"/>
        </w:rPr>
        <w:t>All terms used but not defined in this Chapter shall have the meanings ascribed to those terms in Chapter 187 of Title 30-A of the Maine Revised Statutes, as amended. Municipalities must adopt definitions that are consistent with and no more restrictive, than the definitions outlined below. The following terms shall have the definitions hereinafter set forth:</w:t>
      </w:r>
    </w:p>
    <w:p w14:paraId="7DD33413" w14:textId="77777777" w:rsidR="00F9684F" w:rsidRDefault="00F9684F" w:rsidP="00F9684F">
      <w:p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2A81A701"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b/>
          <w:bCs/>
          <w:color w:val="000000" w:themeColor="text1"/>
          <w:sz w:val="22"/>
          <w:szCs w:val="22"/>
        </w:rPr>
      </w:pPr>
      <w:r w:rsidRPr="1DFF4487">
        <w:rPr>
          <w:rFonts w:ascii="Times New Roman" w:hAnsi="Times New Roman"/>
          <w:b/>
          <w:bCs/>
          <w:color w:val="000000" w:themeColor="text1"/>
          <w:sz w:val="22"/>
          <w:szCs w:val="22"/>
        </w:rPr>
        <w:t>Accessory dwelling unit</w:t>
      </w:r>
      <w:r w:rsidRPr="1DFF4487">
        <w:rPr>
          <w:rFonts w:ascii="Times New Roman" w:hAnsi="Times New Roman"/>
          <w:color w:val="000000" w:themeColor="text1"/>
          <w:sz w:val="22"/>
          <w:szCs w:val="22"/>
        </w:rPr>
        <w:t xml:space="preserve">. "Accessory dwelling unit" means a self-contained dwelling unit located within, attached </w:t>
      </w:r>
      <w:proofErr w:type="gramStart"/>
      <w:r w:rsidRPr="1DFF4487">
        <w:rPr>
          <w:rFonts w:ascii="Times New Roman" w:hAnsi="Times New Roman"/>
          <w:color w:val="000000" w:themeColor="text1"/>
          <w:sz w:val="22"/>
          <w:szCs w:val="22"/>
        </w:rPr>
        <w:t>to</w:t>
      </w:r>
      <w:proofErr w:type="gramEnd"/>
      <w:r w:rsidRPr="1DFF4487">
        <w:rPr>
          <w:rFonts w:ascii="Times New Roman" w:hAnsi="Times New Roman"/>
          <w:color w:val="000000" w:themeColor="text1"/>
          <w:sz w:val="22"/>
          <w:szCs w:val="22"/>
        </w:rPr>
        <w:t xml:space="preserve"> or detached from a single-family dwelling unit located on the same parcel of land. An accessory dwelling unit must be a minimum of 190 square feet</w:t>
      </w:r>
      <w:r>
        <w:rPr>
          <w:rFonts w:ascii="Times New Roman" w:hAnsi="Times New Roman"/>
          <w:color w:val="000000" w:themeColor="text1"/>
          <w:sz w:val="22"/>
          <w:szCs w:val="22"/>
        </w:rPr>
        <w:t xml:space="preserve"> and </w:t>
      </w:r>
      <w:r w:rsidRPr="1DFF4487">
        <w:rPr>
          <w:rFonts w:ascii="Times New Roman" w:hAnsi="Times New Roman"/>
          <w:color w:val="000000" w:themeColor="text1"/>
          <w:sz w:val="22"/>
          <w:szCs w:val="22"/>
        </w:rPr>
        <w:t xml:space="preserve">municipalities may impose a maximum size.  </w:t>
      </w:r>
    </w:p>
    <w:p w14:paraId="4AF08CA2" w14:textId="77777777" w:rsidR="00F9684F" w:rsidRDefault="00F9684F" w:rsidP="00F9684F">
      <w:pPr>
        <w:tabs>
          <w:tab w:val="left" w:pos="720"/>
          <w:tab w:val="left" w:pos="1440"/>
          <w:tab w:val="left" w:pos="2160"/>
          <w:tab w:val="left" w:pos="2880"/>
          <w:tab w:val="left" w:pos="3600"/>
          <w:tab w:val="left" w:pos="4320"/>
        </w:tabs>
        <w:suppressAutoHyphens/>
        <w:rPr>
          <w:color w:val="000000" w:themeColor="text1"/>
        </w:rPr>
      </w:pPr>
    </w:p>
    <w:p w14:paraId="094FF055"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sz w:val="22"/>
          <w:szCs w:val="22"/>
        </w:rPr>
      </w:pPr>
      <w:r w:rsidRPr="5539809C">
        <w:rPr>
          <w:rFonts w:ascii="Times New Roman" w:hAnsi="Times New Roman"/>
          <w:b/>
          <w:bCs/>
          <w:sz w:val="22"/>
          <w:szCs w:val="22"/>
        </w:rPr>
        <w:t>Affordable housing development</w:t>
      </w:r>
      <w:r w:rsidRPr="5539809C">
        <w:rPr>
          <w:rFonts w:ascii="Times New Roman" w:hAnsi="Times New Roman"/>
          <w:sz w:val="22"/>
          <w:szCs w:val="22"/>
        </w:rPr>
        <w:t xml:space="preserve">. “Affordable housing development” means </w:t>
      </w:r>
    </w:p>
    <w:p w14:paraId="5AC3994F"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1CDD60E4" w14:textId="77777777" w:rsidR="00F9684F" w:rsidRPr="00376827" w:rsidRDefault="00F9684F" w:rsidP="00F9684F">
      <w:pPr>
        <w:pStyle w:val="ListParagraph"/>
        <w:widowControl/>
        <w:numPr>
          <w:ilvl w:val="0"/>
          <w:numId w:val="10"/>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376827">
        <w:rPr>
          <w:rFonts w:ascii="Times New Roman" w:hAnsi="Times New Roman"/>
          <w:sz w:val="22"/>
          <w:szCs w:val="22"/>
        </w:rPr>
        <w:lastRenderedPageBreak/>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proofErr w:type="gramStart"/>
      <w:r w:rsidRPr="00376827">
        <w:rPr>
          <w:rFonts w:ascii="Times New Roman" w:hAnsi="Times New Roman"/>
          <w:sz w:val="22"/>
          <w:szCs w:val="22"/>
        </w:rPr>
        <w:t>a majority of</w:t>
      </w:r>
      <w:proofErr w:type="gramEnd"/>
      <w:r w:rsidRPr="00376827">
        <w:rPr>
          <w:rFonts w:ascii="Times New Roman" w:hAnsi="Times New Roman"/>
          <w:sz w:val="22"/>
          <w:szCs w:val="22"/>
        </w:rPr>
        <w:t xml:space="preserve"> the units that the developer designates as affordable without spending more than 30% of the household's monthly income on housing costs; and </w:t>
      </w:r>
    </w:p>
    <w:p w14:paraId="73DAC199"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2A420252" w14:textId="77777777" w:rsidR="00F9684F" w:rsidRPr="00FA0C59" w:rsidRDefault="00F9684F" w:rsidP="00F9684F">
      <w:pPr>
        <w:pStyle w:val="ListParagraph"/>
        <w:widowControl/>
        <w:numPr>
          <w:ilvl w:val="0"/>
          <w:numId w:val="10"/>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75F40C3D">
        <w:rPr>
          <w:rFonts w:ascii="Times New Roman" w:hAnsi="Times New Roman"/>
          <w:sz w:val="22"/>
          <w:szCs w:val="22"/>
        </w:rP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w:t>
      </w:r>
      <w:proofErr w:type="gramStart"/>
      <w:r w:rsidRPr="75F40C3D">
        <w:rPr>
          <w:rFonts w:ascii="Times New Roman" w:hAnsi="Times New Roman"/>
          <w:sz w:val="22"/>
          <w:szCs w:val="22"/>
        </w:rPr>
        <w:t>a majority of</w:t>
      </w:r>
      <w:proofErr w:type="gramEnd"/>
      <w:r w:rsidRPr="75F40C3D">
        <w:rPr>
          <w:rFonts w:ascii="Times New Roman" w:hAnsi="Times New Roman"/>
          <w:sz w:val="22"/>
          <w:szCs w:val="22"/>
        </w:rPr>
        <w:t xml:space="preserve"> the units that the developer designates as affordable without spending more than 30% of the household's monthly income on housing costs. </w:t>
      </w:r>
    </w:p>
    <w:p w14:paraId="415FC175" w14:textId="77777777" w:rsidR="00F9684F" w:rsidRPr="00FA0C59"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118D6BCA" w14:textId="77777777" w:rsidR="00F9684F" w:rsidRPr="00FA0C59" w:rsidRDefault="00F9684F" w:rsidP="00F9684F">
      <w:pPr>
        <w:pStyle w:val="ListParagraph"/>
        <w:widowControl/>
        <w:numPr>
          <w:ilvl w:val="0"/>
          <w:numId w:val="10"/>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376827">
        <w:rPr>
          <w:rFonts w:ascii="Times New Roman" w:hAnsi="Times New Roman"/>
          <w:sz w:val="22"/>
          <w:szCs w:val="22"/>
        </w:rPr>
        <w:t xml:space="preserve">For purposes of this definition, “majority” means more than half. </w:t>
      </w:r>
    </w:p>
    <w:p w14:paraId="796CE664" w14:textId="77777777" w:rsidR="00F9684F" w:rsidRPr="00FA0C59"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1CF8B81" w14:textId="77777777" w:rsidR="00F9684F" w:rsidRPr="00376827" w:rsidRDefault="00F9684F" w:rsidP="00F9684F">
      <w:pPr>
        <w:pStyle w:val="ListParagraph"/>
        <w:widowControl/>
        <w:numPr>
          <w:ilvl w:val="0"/>
          <w:numId w:val="10"/>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376827">
        <w:rPr>
          <w:rFonts w:ascii="Times New Roman" w:hAnsi="Times New Roman"/>
          <w:sz w:val="22"/>
          <w:szCs w:val="22"/>
        </w:rPr>
        <w:t xml:space="preserve">For purposes of this definition, “housing costs” means: </w:t>
      </w:r>
    </w:p>
    <w:p w14:paraId="7227B365"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781A1A3B" w14:textId="77777777" w:rsidR="00F9684F" w:rsidRPr="00FA0C59" w:rsidRDefault="00F9684F" w:rsidP="00F9684F">
      <w:pPr>
        <w:pStyle w:val="ListParagraph"/>
        <w:widowControl/>
        <w:numPr>
          <w:ilvl w:val="0"/>
          <w:numId w:val="11"/>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691F9A97">
        <w:rPr>
          <w:rFonts w:ascii="Times New Roman" w:hAnsi="Times New Roman"/>
          <w:sz w:val="22"/>
          <w:szCs w:val="22"/>
        </w:rPr>
        <w:t>For a rental unit, the cost of rent and any utilities (electric, heat, water, sewer, and/or trash) that the household pays separately from the rent; and</w:t>
      </w:r>
    </w:p>
    <w:p w14:paraId="1C6D430B"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26B1CF58" w14:textId="77777777" w:rsidR="00F9684F" w:rsidRPr="00FA0C59" w:rsidRDefault="00F9684F" w:rsidP="00F9684F">
      <w:pPr>
        <w:pStyle w:val="ListParagraph"/>
        <w:widowControl/>
        <w:numPr>
          <w:ilvl w:val="0"/>
          <w:numId w:val="11"/>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75F40C3D">
        <w:rPr>
          <w:rFonts w:ascii="Times New Roman" w:hAnsi="Times New Roman"/>
          <w:sz w:val="22"/>
          <w:szCs w:val="22"/>
        </w:rPr>
        <w:t>For an ownership unit, the cost of mortgage principal and interest, real estate taxes (including assessments), private mortgage insurance, homeowner’s insurance, condominium fees, and homeowners’ association fees.</w:t>
      </w:r>
    </w:p>
    <w:p w14:paraId="0E6C2E5A" w14:textId="77777777" w:rsidR="00F9684F" w:rsidRDefault="00F9684F" w:rsidP="00F9684F">
      <w:pPr>
        <w:tabs>
          <w:tab w:val="left" w:pos="720"/>
          <w:tab w:val="left" w:pos="1440"/>
          <w:tab w:val="left" w:pos="2160"/>
          <w:tab w:val="left" w:pos="2880"/>
          <w:tab w:val="left" w:pos="3600"/>
          <w:tab w:val="left" w:pos="4320"/>
        </w:tabs>
        <w:spacing w:line="259" w:lineRule="auto"/>
        <w:ind w:left="1440" w:firstLine="720"/>
        <w:rPr>
          <w:szCs w:val="24"/>
        </w:rPr>
      </w:pPr>
    </w:p>
    <w:p w14:paraId="673ADBD4"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5539809C">
        <w:rPr>
          <w:rFonts w:ascii="Times New Roman" w:hAnsi="Times New Roman"/>
          <w:b/>
          <w:bCs/>
          <w:sz w:val="22"/>
          <w:szCs w:val="22"/>
        </w:rPr>
        <w:t>Area median income.</w:t>
      </w:r>
      <w:r w:rsidRPr="5539809C">
        <w:rPr>
          <w:rFonts w:ascii="Times New Roman" w:hAnsi="Times New Roman"/>
          <w:sz w:val="22"/>
          <w:szCs w:val="22"/>
        </w:rPr>
        <w:t xml:space="preserve"> “Area median income” means the midpoint of a region’s income distribution calculated on an annual basis by the U.S. Department of Housing &amp; Urban Development. </w:t>
      </w:r>
    </w:p>
    <w:p w14:paraId="58104981" w14:textId="77777777" w:rsidR="00F9684F" w:rsidRDefault="00F9684F" w:rsidP="00F9684F">
      <w:pPr>
        <w:tabs>
          <w:tab w:val="left" w:pos="720"/>
          <w:tab w:val="left" w:pos="1440"/>
          <w:tab w:val="left" w:pos="2160"/>
          <w:tab w:val="left" w:pos="2880"/>
          <w:tab w:val="left" w:pos="3600"/>
          <w:tab w:val="left" w:pos="4320"/>
        </w:tabs>
        <w:spacing w:line="259" w:lineRule="auto"/>
        <w:ind w:left="720" w:firstLine="720"/>
        <w:rPr>
          <w:rFonts w:ascii="Times New Roman" w:hAnsi="Times New Roman"/>
          <w:sz w:val="22"/>
          <w:szCs w:val="22"/>
          <w:highlight w:val="yellow"/>
        </w:rPr>
      </w:pPr>
      <w:r w:rsidRPr="5539809C">
        <w:rPr>
          <w:rFonts w:ascii="Times New Roman" w:hAnsi="Times New Roman"/>
          <w:sz w:val="22"/>
          <w:szCs w:val="22"/>
        </w:rPr>
        <w:t xml:space="preserve"> </w:t>
      </w:r>
      <w:r>
        <w:tab/>
      </w:r>
    </w:p>
    <w:p w14:paraId="03E0AC83"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75F40C3D">
        <w:rPr>
          <w:rFonts w:ascii="Times New Roman" w:hAnsi="Times New Roman"/>
          <w:b/>
          <w:bCs/>
          <w:sz w:val="22"/>
          <w:szCs w:val="22"/>
        </w:rPr>
        <w:t>Attached</w:t>
      </w:r>
      <w:r w:rsidRPr="75F40C3D">
        <w:rPr>
          <w:rFonts w:ascii="Times New Roman" w:hAnsi="Times New Roman"/>
          <w:sz w:val="22"/>
          <w:szCs w:val="22"/>
        </w:rPr>
        <w:t xml:space="preserve">. “Attached” means connected by a shared wall to the principal structure. </w:t>
      </w:r>
    </w:p>
    <w:p w14:paraId="5D46DE7A"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02D1D3B4"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691F9A97">
        <w:rPr>
          <w:rFonts w:ascii="Times New Roman" w:hAnsi="Times New Roman"/>
          <w:b/>
          <w:bCs/>
          <w:sz w:val="22"/>
          <w:szCs w:val="22"/>
        </w:rPr>
        <w:t>Base density</w:t>
      </w:r>
      <w:r w:rsidRPr="691F9A97">
        <w:rPr>
          <w:rFonts w:ascii="Times New Roman" w:hAnsi="Times New Roman"/>
          <w:sz w:val="22"/>
          <w:szCs w:val="22"/>
        </w:rPr>
        <w:t>. “Base density” means the maximum number of units allowed on a lot not used for affordable housing based on dimensional requirements in a local land use or zoning ordinance</w:t>
      </w:r>
      <w:r>
        <w:rPr>
          <w:rFonts w:ascii="Times New Roman" w:hAnsi="Times New Roman"/>
          <w:sz w:val="22"/>
          <w:szCs w:val="22"/>
        </w:rPr>
        <w:t>.</w:t>
      </w:r>
    </w:p>
    <w:p w14:paraId="46B34AA6" w14:textId="77777777" w:rsidR="00F9684F" w:rsidRDefault="00F9684F" w:rsidP="00F9684F">
      <w:pPr>
        <w:tabs>
          <w:tab w:val="left" w:pos="720"/>
          <w:tab w:val="left" w:pos="1440"/>
          <w:tab w:val="left" w:pos="2160"/>
          <w:tab w:val="left" w:pos="2880"/>
          <w:tab w:val="left" w:pos="3600"/>
          <w:tab w:val="left" w:pos="4320"/>
        </w:tabs>
        <w:ind w:left="720"/>
      </w:pPr>
    </w:p>
    <w:p w14:paraId="6743AD3A"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691F9A97">
        <w:rPr>
          <w:rFonts w:ascii="Times New Roman" w:hAnsi="Times New Roman"/>
          <w:b/>
          <w:bCs/>
          <w:sz w:val="22"/>
          <w:szCs w:val="22"/>
        </w:rPr>
        <w:t>Certificate of occupancy.</w:t>
      </w:r>
      <w:r w:rsidRPr="691F9A97">
        <w:rPr>
          <w:rFonts w:ascii="Times New Roman" w:hAnsi="Times New Roman"/>
          <w:sz w:val="22"/>
          <w:szCs w:val="22"/>
        </w:rPr>
        <w:t xml:space="preserve"> “Certificate of occupancy” means the municipal approval for occupancy granted pursuant to 25 M.R.S. § 2357-A or the Maine Uniform Building and Energy Code adopted pursuant to Title 10, chapter 1103. Certificate of occupancy may also be referred to as issuance of certificate of occupancy</w:t>
      </w:r>
      <w:r>
        <w:rPr>
          <w:rFonts w:ascii="Times New Roman" w:hAnsi="Times New Roman"/>
          <w:sz w:val="22"/>
          <w:szCs w:val="22"/>
        </w:rPr>
        <w:t xml:space="preserve"> or other terms with a similar intent. </w:t>
      </w:r>
    </w:p>
    <w:p w14:paraId="2A5982A2" w14:textId="77777777" w:rsidR="00F9684F" w:rsidRDefault="00F9684F" w:rsidP="00F9684F">
      <w:pPr>
        <w:tabs>
          <w:tab w:val="left" w:pos="720"/>
          <w:tab w:val="left" w:pos="1440"/>
          <w:tab w:val="left" w:pos="2160"/>
          <w:tab w:val="left" w:pos="2880"/>
          <w:tab w:val="left" w:pos="3600"/>
          <w:tab w:val="left" w:pos="4320"/>
        </w:tabs>
        <w:spacing w:line="259" w:lineRule="auto"/>
        <w:ind w:left="720"/>
        <w:rPr>
          <w:szCs w:val="24"/>
        </w:rPr>
      </w:pPr>
    </w:p>
    <w:p w14:paraId="46F53E4B"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color w:val="000000" w:themeColor="text1"/>
          <w:sz w:val="22"/>
          <w:szCs w:val="22"/>
        </w:rPr>
      </w:pPr>
      <w:r w:rsidRPr="75F40C3D">
        <w:rPr>
          <w:rFonts w:ascii="Times New Roman" w:hAnsi="Times New Roman"/>
          <w:b/>
          <w:bCs/>
          <w:color w:val="000000" w:themeColor="text1"/>
          <w:sz w:val="22"/>
          <w:szCs w:val="22"/>
        </w:rPr>
        <w:t>Comprehensive plan.</w:t>
      </w:r>
      <w:r w:rsidRPr="75F40C3D">
        <w:rPr>
          <w:rFonts w:ascii="Times New Roman" w:hAnsi="Times New Roman"/>
          <w:color w:val="000000" w:themeColor="text1"/>
          <w:sz w:val="22"/>
          <w:szCs w:val="22"/>
        </w:rPr>
        <w:t xml:space="preserve"> "Comprehensive plan" means a document or interrelated documents consistent with 30-A M.R.S. </w:t>
      </w:r>
      <w:r w:rsidRPr="75F40C3D">
        <w:rPr>
          <w:rFonts w:ascii="Times New Roman" w:hAnsi="Times New Roman"/>
          <w:sz w:val="22"/>
          <w:szCs w:val="22"/>
        </w:rPr>
        <w:t>§ 4326(1)-(4)</w:t>
      </w:r>
      <w:r w:rsidRPr="75F40C3D">
        <w:rPr>
          <w:rFonts w:ascii="Times New Roman" w:hAnsi="Times New Roman"/>
          <w:color w:val="000000" w:themeColor="text1"/>
          <w:sz w:val="22"/>
          <w:szCs w:val="22"/>
        </w:rPr>
        <w:t xml:space="preserve">, including the strategies for an implementation program which are consistent with the goals and guidelines established pursuant to Title 30-A, Chapter 187, Subchapter II.   </w:t>
      </w:r>
    </w:p>
    <w:p w14:paraId="49639AFD"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sz w:val="22"/>
          <w:szCs w:val="22"/>
        </w:rPr>
      </w:pPr>
    </w:p>
    <w:p w14:paraId="0D3DAA4A" w14:textId="77777777" w:rsidR="00F9684F" w:rsidRDefault="00F9684F" w:rsidP="00F9684F">
      <w:pPr>
        <w:tabs>
          <w:tab w:val="left" w:pos="720"/>
          <w:tab w:val="left" w:pos="1440"/>
          <w:tab w:val="left" w:pos="2160"/>
          <w:tab w:val="left" w:pos="2880"/>
          <w:tab w:val="left" w:pos="3600"/>
          <w:tab w:val="left" w:pos="4320"/>
        </w:tabs>
        <w:suppressAutoHyphens/>
        <w:ind w:left="720"/>
        <w:rPr>
          <w:rFonts w:ascii="Times New Roman" w:hAnsi="Times New Roman"/>
          <w:color w:val="000000" w:themeColor="text1"/>
          <w:sz w:val="22"/>
          <w:szCs w:val="22"/>
        </w:rPr>
      </w:pPr>
      <w:r w:rsidRPr="691F9A97">
        <w:rPr>
          <w:rFonts w:ascii="Times New Roman" w:hAnsi="Times New Roman"/>
          <w:b/>
          <w:bCs/>
          <w:sz w:val="22"/>
          <w:szCs w:val="22"/>
        </w:rPr>
        <w:t xml:space="preserve">Density requirements. </w:t>
      </w:r>
      <w:r w:rsidRPr="691F9A97">
        <w:rPr>
          <w:rFonts w:ascii="Times New Roman" w:hAnsi="Times New Roman"/>
          <w:sz w:val="22"/>
          <w:szCs w:val="22"/>
        </w:rPr>
        <w:t>“Density requirements” mean t</w:t>
      </w:r>
      <w:r w:rsidRPr="691F9A97">
        <w:rPr>
          <w:rFonts w:ascii="Times New Roman" w:hAnsi="Times New Roman"/>
          <w:color w:val="000000" w:themeColor="text1"/>
          <w:sz w:val="22"/>
          <w:szCs w:val="22"/>
        </w:rPr>
        <w:t>he maximum number of dwelling units allowed on a lot, subject to dimensional requirements.</w:t>
      </w:r>
    </w:p>
    <w:p w14:paraId="11BA8C36" w14:textId="77777777" w:rsidR="00F9684F" w:rsidRDefault="00F9684F" w:rsidP="00F9684F">
      <w:pPr>
        <w:tabs>
          <w:tab w:val="left" w:pos="720"/>
          <w:tab w:val="left" w:pos="1440"/>
          <w:tab w:val="left" w:pos="2160"/>
          <w:tab w:val="left" w:pos="2880"/>
          <w:tab w:val="left" w:pos="3600"/>
          <w:tab w:val="left" w:pos="4320"/>
        </w:tabs>
        <w:suppressAutoHyphens/>
        <w:ind w:left="720"/>
        <w:rPr>
          <w:color w:val="000000" w:themeColor="text1"/>
        </w:rPr>
      </w:pPr>
    </w:p>
    <w:p w14:paraId="3CA1B75A" w14:textId="77777777" w:rsidR="00F9684F" w:rsidRDefault="00F9684F" w:rsidP="00F9684F">
      <w:pPr>
        <w:tabs>
          <w:tab w:val="left" w:pos="720"/>
          <w:tab w:val="left" w:pos="1440"/>
          <w:tab w:val="left" w:pos="2160"/>
          <w:tab w:val="left" w:pos="2880"/>
          <w:tab w:val="left" w:pos="3600"/>
          <w:tab w:val="left" w:pos="4320"/>
        </w:tabs>
        <w:ind w:left="720"/>
        <w:rPr>
          <w:color w:val="000000" w:themeColor="text1"/>
          <w:szCs w:val="24"/>
        </w:rPr>
      </w:pPr>
      <w:r w:rsidRPr="75F40C3D">
        <w:rPr>
          <w:rFonts w:ascii="Times New Roman" w:hAnsi="Times New Roman"/>
          <w:b/>
          <w:bCs/>
          <w:sz w:val="22"/>
          <w:szCs w:val="22"/>
        </w:rPr>
        <w:t xml:space="preserve">Designated </w:t>
      </w:r>
      <w:r>
        <w:rPr>
          <w:rFonts w:ascii="Times New Roman" w:hAnsi="Times New Roman"/>
          <w:b/>
          <w:bCs/>
          <w:sz w:val="22"/>
          <w:szCs w:val="22"/>
        </w:rPr>
        <w:t>g</w:t>
      </w:r>
      <w:r w:rsidRPr="75F40C3D">
        <w:rPr>
          <w:rFonts w:ascii="Times New Roman" w:hAnsi="Times New Roman"/>
          <w:b/>
          <w:bCs/>
          <w:sz w:val="22"/>
          <w:szCs w:val="22"/>
        </w:rPr>
        <w:t>rowth area.</w:t>
      </w:r>
      <w:r w:rsidRPr="75F40C3D">
        <w:rPr>
          <w:rFonts w:ascii="Times New Roman" w:hAnsi="Times New Roman"/>
          <w:sz w:val="22"/>
          <w:szCs w:val="22"/>
        </w:rPr>
        <w:t xml:space="preserve"> “Designated </w:t>
      </w:r>
      <w:r>
        <w:rPr>
          <w:rFonts w:ascii="Times New Roman" w:hAnsi="Times New Roman"/>
          <w:sz w:val="22"/>
          <w:szCs w:val="22"/>
        </w:rPr>
        <w:t>g</w:t>
      </w:r>
      <w:r w:rsidRPr="75F40C3D">
        <w:rPr>
          <w:rFonts w:ascii="Times New Roman" w:hAnsi="Times New Roman"/>
          <w:sz w:val="22"/>
          <w:szCs w:val="22"/>
        </w:rPr>
        <w:t xml:space="preserve">rowth area” </w:t>
      </w:r>
      <w:r w:rsidRPr="75F40C3D">
        <w:rPr>
          <w:rFonts w:ascii="Times New Roman" w:hAnsi="Times New Roman"/>
          <w:color w:val="000000" w:themeColor="text1"/>
          <w:sz w:val="22"/>
          <w:szCs w:val="22"/>
        </w:rPr>
        <w:t xml:space="preserve">means an area that is designated in a municipality's or </w:t>
      </w:r>
      <w:proofErr w:type="spellStart"/>
      <w:r w:rsidRPr="75F40C3D">
        <w:rPr>
          <w:rFonts w:ascii="Times New Roman" w:hAnsi="Times New Roman"/>
          <w:color w:val="000000" w:themeColor="text1"/>
          <w:sz w:val="22"/>
          <w:szCs w:val="22"/>
        </w:rPr>
        <w:t>multimunicipal</w:t>
      </w:r>
      <w:proofErr w:type="spellEnd"/>
      <w:r w:rsidRPr="75F40C3D">
        <w:rPr>
          <w:rFonts w:ascii="Times New Roman" w:hAnsi="Times New Roman"/>
          <w:color w:val="000000" w:themeColor="text1"/>
          <w:sz w:val="22"/>
          <w:szCs w:val="22"/>
        </w:rPr>
        <w:t xml:space="preserve"> region's comprehensive plan as suitable for orderly residential, commercial</w:t>
      </w:r>
      <w:r>
        <w:rPr>
          <w:rFonts w:ascii="Times New Roman" w:hAnsi="Times New Roman"/>
          <w:color w:val="000000" w:themeColor="text1"/>
          <w:sz w:val="22"/>
          <w:szCs w:val="22"/>
        </w:rPr>
        <w:t>,</w:t>
      </w:r>
      <w:r w:rsidRPr="75F40C3D">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w:t>
      </w:r>
      <w:r>
        <w:rPr>
          <w:rFonts w:ascii="Times New Roman" w:hAnsi="Times New Roman"/>
          <w:color w:val="000000" w:themeColor="text1"/>
          <w:sz w:val="22"/>
          <w:szCs w:val="22"/>
        </w:rPr>
        <w:t>Designated g</w:t>
      </w:r>
      <w:r w:rsidRPr="75F40C3D">
        <w:rPr>
          <w:rFonts w:ascii="Times New Roman" w:hAnsi="Times New Roman"/>
          <w:color w:val="000000" w:themeColor="text1"/>
          <w:sz w:val="22"/>
          <w:szCs w:val="22"/>
        </w:rPr>
        <w:t xml:space="preserve">rowth areas may also be referred to as priority development zones or other </w:t>
      </w:r>
      <w:r>
        <w:rPr>
          <w:rFonts w:ascii="Times New Roman" w:hAnsi="Times New Roman"/>
          <w:color w:val="000000" w:themeColor="text1"/>
          <w:sz w:val="22"/>
          <w:szCs w:val="22"/>
        </w:rPr>
        <w:t>terms with a similar intent</w:t>
      </w:r>
      <w:r w:rsidRPr="75F40C3D">
        <w:rPr>
          <w:rFonts w:ascii="Times New Roman" w:hAnsi="Times New Roman"/>
          <w:color w:val="000000" w:themeColor="text1"/>
          <w:sz w:val="22"/>
          <w:szCs w:val="22"/>
        </w:rPr>
        <w:t>.</w:t>
      </w:r>
    </w:p>
    <w:p w14:paraId="2303D954" w14:textId="77777777" w:rsidR="00F9684F" w:rsidRDefault="00F9684F" w:rsidP="00F9684F">
      <w:pPr>
        <w:tabs>
          <w:tab w:val="left" w:pos="720"/>
          <w:tab w:val="left" w:pos="1440"/>
          <w:tab w:val="left" w:pos="2160"/>
          <w:tab w:val="left" w:pos="2880"/>
          <w:tab w:val="left" w:pos="3600"/>
          <w:tab w:val="left" w:pos="4320"/>
        </w:tabs>
        <w:rPr>
          <w:szCs w:val="24"/>
        </w:rPr>
      </w:pPr>
    </w:p>
    <w:p w14:paraId="65B538FD"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691F9A97">
        <w:rPr>
          <w:rFonts w:ascii="Times New Roman" w:hAnsi="Times New Roman"/>
          <w:b/>
          <w:bCs/>
          <w:sz w:val="22"/>
          <w:szCs w:val="22"/>
        </w:rPr>
        <w:t xml:space="preserve">Dimensional requirements. </w:t>
      </w:r>
      <w:r w:rsidRPr="691F9A97">
        <w:rPr>
          <w:rFonts w:ascii="Times New Roman" w:hAnsi="Times New Roman"/>
          <w:sz w:val="22"/>
          <w:szCs w:val="22"/>
        </w:rPr>
        <w:t>“Dimensional requirements” mean requirements which govern the size and placement of structures including, but limited not to, the following requirements:</w:t>
      </w:r>
      <w:r>
        <w:rPr>
          <w:rFonts w:ascii="Times New Roman" w:hAnsi="Times New Roman"/>
          <w:sz w:val="22"/>
          <w:szCs w:val="22"/>
        </w:rPr>
        <w:t xml:space="preserve"> </w:t>
      </w:r>
      <w:r w:rsidRPr="691F9A97">
        <w:rPr>
          <w:rFonts w:ascii="Times New Roman" w:hAnsi="Times New Roman"/>
          <w:sz w:val="22"/>
          <w:szCs w:val="22"/>
        </w:rPr>
        <w:t xml:space="preserve">building height, lot area, minimum </w:t>
      </w:r>
      <w:proofErr w:type="gramStart"/>
      <w:r w:rsidRPr="691F9A97">
        <w:rPr>
          <w:rFonts w:ascii="Times New Roman" w:hAnsi="Times New Roman"/>
          <w:sz w:val="22"/>
          <w:szCs w:val="22"/>
        </w:rPr>
        <w:t>frontage</w:t>
      </w:r>
      <w:proofErr w:type="gramEnd"/>
      <w:r w:rsidRPr="691F9A97">
        <w:rPr>
          <w:rFonts w:ascii="Times New Roman" w:hAnsi="Times New Roman"/>
          <w:sz w:val="22"/>
          <w:szCs w:val="22"/>
        </w:rPr>
        <w:t xml:space="preserve"> and lot depth. </w:t>
      </w:r>
    </w:p>
    <w:p w14:paraId="74583B11"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77DEF05C"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color w:val="000000" w:themeColor="text1"/>
          <w:sz w:val="22"/>
          <w:szCs w:val="22"/>
        </w:rPr>
      </w:pPr>
      <w:r w:rsidRPr="691F9A97">
        <w:rPr>
          <w:rFonts w:ascii="Times New Roman" w:hAnsi="Times New Roman"/>
          <w:b/>
          <w:bCs/>
          <w:sz w:val="22"/>
          <w:szCs w:val="22"/>
        </w:rPr>
        <w:t>Dwelling unit.</w:t>
      </w:r>
      <w:r w:rsidRPr="691F9A97">
        <w:rPr>
          <w:rFonts w:ascii="Times New Roman" w:hAnsi="Times New Roman"/>
          <w:sz w:val="22"/>
          <w:szCs w:val="22"/>
        </w:rPr>
        <w:t xml:space="preserve"> “Dwelling unit” means </w:t>
      </w:r>
      <w:r w:rsidRPr="691F9A97">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3EB7FCEC" w14:textId="77777777" w:rsidR="00F9684F" w:rsidRPr="00C75C5B" w:rsidRDefault="00F9684F" w:rsidP="00F9684F">
      <w:pPr>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336EBB2F"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color w:val="000000" w:themeColor="text1"/>
          <w:sz w:val="22"/>
          <w:szCs w:val="22"/>
        </w:rPr>
      </w:pPr>
      <w:r w:rsidRPr="691F9A97">
        <w:rPr>
          <w:rFonts w:ascii="Times New Roman" w:hAnsi="Times New Roman"/>
          <w:b/>
          <w:bCs/>
          <w:color w:val="000000" w:themeColor="text1"/>
          <w:sz w:val="22"/>
          <w:szCs w:val="22"/>
        </w:rPr>
        <w:lastRenderedPageBreak/>
        <w:t>Land use ordinance.</w:t>
      </w:r>
      <w:r w:rsidRPr="691F9A97">
        <w:rPr>
          <w:rFonts w:ascii="Times New Roman" w:hAnsi="Times New Roman"/>
          <w:color w:val="000000" w:themeColor="text1"/>
          <w:sz w:val="22"/>
          <w:szCs w:val="22"/>
        </w:rPr>
        <w:t xml:space="preserve"> "Land use ordinance" means an ordinance or regulation of general application adopted by the municipal legislative body which controls, directs</w:t>
      </w:r>
      <w:r>
        <w:rPr>
          <w:rFonts w:ascii="Times New Roman" w:hAnsi="Times New Roman"/>
          <w:color w:val="000000" w:themeColor="text1"/>
          <w:sz w:val="22"/>
          <w:szCs w:val="22"/>
        </w:rPr>
        <w:t>,</w:t>
      </w:r>
      <w:r w:rsidRPr="691F9A97">
        <w:rPr>
          <w:rFonts w:ascii="Times New Roman" w:hAnsi="Times New Roman"/>
          <w:color w:val="000000" w:themeColor="text1"/>
          <w:sz w:val="22"/>
          <w:szCs w:val="22"/>
        </w:rPr>
        <w:t xml:space="preserve"> or delineates allowable uses of land and the standards for those uses. </w:t>
      </w:r>
    </w:p>
    <w:p w14:paraId="3A0FBE8F" w14:textId="77777777" w:rsidR="00F9684F" w:rsidRDefault="00F9684F" w:rsidP="00F9684F">
      <w:pPr>
        <w:tabs>
          <w:tab w:val="left" w:pos="720"/>
          <w:tab w:val="left" w:pos="1440"/>
          <w:tab w:val="left" w:pos="2160"/>
          <w:tab w:val="left" w:pos="2880"/>
          <w:tab w:val="left" w:pos="3600"/>
          <w:tab w:val="left" w:pos="4320"/>
        </w:tabs>
        <w:ind w:left="720"/>
        <w:rPr>
          <w:color w:val="000000" w:themeColor="text1"/>
          <w:szCs w:val="24"/>
        </w:rPr>
      </w:pPr>
    </w:p>
    <w:p w14:paraId="090E4E8B"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color w:val="000000" w:themeColor="text1"/>
          <w:sz w:val="22"/>
          <w:szCs w:val="22"/>
        </w:rPr>
      </w:pPr>
      <w:r w:rsidRPr="0013196F">
        <w:rPr>
          <w:rFonts w:ascii="Times New Roman" w:hAnsi="Times New Roman"/>
          <w:b/>
          <w:bCs/>
          <w:color w:val="000000" w:themeColor="text1"/>
          <w:sz w:val="22"/>
          <w:szCs w:val="22"/>
        </w:rPr>
        <w:t>Lot.</w:t>
      </w:r>
      <w:r w:rsidRPr="691F9A97">
        <w:rPr>
          <w:rFonts w:ascii="Times New Roman" w:hAnsi="Times New Roman"/>
          <w:color w:val="000000" w:themeColor="text1"/>
          <w:sz w:val="22"/>
          <w:szCs w:val="22"/>
        </w:rPr>
        <w:t xml:space="preserve"> “Lot” means a single parcel of developed or undeveloped land described in a deed or other legal instrument. </w:t>
      </w:r>
    </w:p>
    <w:p w14:paraId="04E7CEC4"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4BF3E562"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75F40C3D">
        <w:rPr>
          <w:rFonts w:ascii="Times New Roman" w:hAnsi="Times New Roman"/>
          <w:b/>
          <w:bCs/>
          <w:sz w:val="22"/>
          <w:szCs w:val="22"/>
        </w:rPr>
        <w:t xml:space="preserve">Multifamily dwelling. </w:t>
      </w:r>
      <w:r w:rsidRPr="75F40C3D">
        <w:rPr>
          <w:rFonts w:ascii="Times New Roman" w:hAnsi="Times New Roman"/>
          <w:sz w:val="22"/>
          <w:szCs w:val="22"/>
        </w:rPr>
        <w:t xml:space="preserve">“Multifamily dwelling” means a building containing three (3) or more dwelling units. </w:t>
      </w:r>
    </w:p>
    <w:p w14:paraId="66B3B292"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16D6804E"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color w:val="000000" w:themeColor="text1"/>
          <w:sz w:val="22"/>
          <w:szCs w:val="22"/>
        </w:rPr>
      </w:pPr>
      <w:r w:rsidRPr="5539809C">
        <w:rPr>
          <w:rFonts w:ascii="Times New Roman" w:hAnsi="Times New Roman"/>
          <w:b/>
          <w:bCs/>
          <w:sz w:val="22"/>
          <w:szCs w:val="22"/>
        </w:rPr>
        <w:t>Potable.</w:t>
      </w:r>
      <w:r w:rsidRPr="5539809C">
        <w:rPr>
          <w:rFonts w:ascii="Times New Roman" w:hAnsi="Times New Roman"/>
          <w:sz w:val="22"/>
          <w:szCs w:val="22"/>
        </w:rPr>
        <w:t xml:space="preserve"> “Potable” means safe for drinking as defined by the </w:t>
      </w:r>
      <w:r w:rsidRPr="00CA0763">
        <w:rPr>
          <w:rFonts w:ascii="Times New Roman" w:hAnsi="Times New Roman"/>
          <w:sz w:val="22"/>
          <w:szCs w:val="22"/>
        </w:rPr>
        <w:t>U.S. Environmental Protection Agency’s (EPA) Drinking Water Standards and Health Advisories Table</w:t>
      </w:r>
      <w:r w:rsidRPr="5539809C">
        <w:rPr>
          <w:rFonts w:ascii="Times New Roman" w:hAnsi="Times New Roman"/>
          <w:sz w:val="22"/>
          <w:szCs w:val="22"/>
        </w:rPr>
        <w:t>.</w:t>
      </w:r>
    </w:p>
    <w:p w14:paraId="3E04EE14"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5E2E4284"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color w:val="000000" w:themeColor="text1"/>
          <w:sz w:val="22"/>
          <w:szCs w:val="22"/>
        </w:rPr>
      </w:pPr>
      <w:r w:rsidRPr="5539809C">
        <w:rPr>
          <w:rFonts w:ascii="Times New Roman" w:hAnsi="Times New Roman"/>
          <w:b/>
          <w:bCs/>
          <w:sz w:val="22"/>
          <w:szCs w:val="22"/>
        </w:rPr>
        <w:t>Principal structure.</w:t>
      </w:r>
      <w:r w:rsidRPr="5539809C">
        <w:rPr>
          <w:rFonts w:ascii="Times New Roman" w:hAnsi="Times New Roman"/>
          <w:sz w:val="22"/>
          <w:szCs w:val="22"/>
        </w:rPr>
        <w:t xml:space="preserve"> "Principal structure" means a building or structure in which the main or primary use of the structure is conducted. </w:t>
      </w:r>
    </w:p>
    <w:p w14:paraId="2FBAA635"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26871A72"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691F9A97">
        <w:rPr>
          <w:rFonts w:ascii="Times New Roman" w:hAnsi="Times New Roman"/>
          <w:b/>
          <w:bCs/>
          <w:sz w:val="22"/>
          <w:szCs w:val="22"/>
        </w:rPr>
        <w:t>Restrictive covenant</w:t>
      </w:r>
      <w:r w:rsidRPr="691F9A97">
        <w:rPr>
          <w:rFonts w:ascii="Times New Roman" w:hAnsi="Times New Roman"/>
          <w:sz w:val="22"/>
          <w:szCs w:val="22"/>
        </w:rPr>
        <w:t>. “Restrictive covenant” means a provision in a deed restricting the use of the land.</w:t>
      </w:r>
    </w:p>
    <w:p w14:paraId="280E3D11" w14:textId="77777777" w:rsidR="00F9684F" w:rsidRDefault="00F9684F" w:rsidP="00F9684F">
      <w:pPr>
        <w:tabs>
          <w:tab w:val="left" w:pos="720"/>
          <w:tab w:val="left" w:pos="1440"/>
          <w:tab w:val="left" w:pos="2160"/>
          <w:tab w:val="left" w:pos="2880"/>
          <w:tab w:val="left" w:pos="3600"/>
          <w:tab w:val="left" w:pos="4320"/>
        </w:tabs>
        <w:spacing w:line="259" w:lineRule="auto"/>
        <w:ind w:left="720"/>
        <w:rPr>
          <w:szCs w:val="24"/>
        </w:rPr>
      </w:pPr>
    </w:p>
    <w:p w14:paraId="45496AC0"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00BF0ADB">
        <w:rPr>
          <w:rFonts w:ascii="Times New Roman" w:hAnsi="Times New Roman"/>
          <w:b/>
          <w:bCs/>
          <w:sz w:val="22"/>
          <w:szCs w:val="22"/>
        </w:rPr>
        <w:t>Setback requirements</w:t>
      </w:r>
      <w:r w:rsidRPr="691F9A97">
        <w:rPr>
          <w:rFonts w:ascii="Times New Roman" w:hAnsi="Times New Roman"/>
          <w:sz w:val="22"/>
          <w:szCs w:val="22"/>
        </w:rPr>
        <w:t xml:space="preserve">. “Setback requirements” mean the minimum horizontal distance from a lot line, shoreline, or road to the nearest part of a structure. </w:t>
      </w:r>
    </w:p>
    <w:p w14:paraId="2C911CB8" w14:textId="77777777" w:rsidR="00F9684F" w:rsidRDefault="00F9684F" w:rsidP="00F9684F">
      <w:pPr>
        <w:tabs>
          <w:tab w:val="left" w:pos="720"/>
          <w:tab w:val="left" w:pos="1440"/>
          <w:tab w:val="left" w:pos="2160"/>
          <w:tab w:val="left" w:pos="2880"/>
          <w:tab w:val="left" w:pos="3600"/>
          <w:tab w:val="left" w:pos="4320"/>
        </w:tabs>
        <w:spacing w:line="259" w:lineRule="auto"/>
        <w:ind w:left="720"/>
        <w:rPr>
          <w:szCs w:val="24"/>
        </w:rPr>
      </w:pPr>
    </w:p>
    <w:p w14:paraId="560797EF"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00BF0ADB">
        <w:rPr>
          <w:rFonts w:ascii="Times New Roman" w:hAnsi="Times New Roman"/>
          <w:b/>
          <w:bCs/>
          <w:sz w:val="22"/>
          <w:szCs w:val="22"/>
        </w:rPr>
        <w:t>Single-</w:t>
      </w:r>
      <w:r>
        <w:rPr>
          <w:rFonts w:ascii="Times New Roman" w:hAnsi="Times New Roman"/>
          <w:b/>
          <w:bCs/>
          <w:sz w:val="22"/>
          <w:szCs w:val="22"/>
        </w:rPr>
        <w:t>f</w:t>
      </w:r>
      <w:r w:rsidRPr="00BF0ADB">
        <w:rPr>
          <w:rFonts w:ascii="Times New Roman" w:hAnsi="Times New Roman"/>
          <w:b/>
          <w:bCs/>
          <w:sz w:val="22"/>
          <w:szCs w:val="22"/>
        </w:rPr>
        <w:t xml:space="preserve">amily </w:t>
      </w:r>
      <w:r>
        <w:rPr>
          <w:rFonts w:ascii="Times New Roman" w:hAnsi="Times New Roman"/>
          <w:b/>
          <w:bCs/>
          <w:sz w:val="22"/>
          <w:szCs w:val="22"/>
        </w:rPr>
        <w:t>d</w:t>
      </w:r>
      <w:r w:rsidRPr="00BF0ADB">
        <w:rPr>
          <w:rFonts w:ascii="Times New Roman" w:hAnsi="Times New Roman"/>
          <w:b/>
          <w:bCs/>
          <w:sz w:val="22"/>
          <w:szCs w:val="22"/>
        </w:rPr>
        <w:t>welling</w:t>
      </w:r>
      <w:r w:rsidRPr="75F40C3D">
        <w:rPr>
          <w:rFonts w:ascii="Times New Roman" w:hAnsi="Times New Roman"/>
          <w:b/>
          <w:bCs/>
          <w:sz w:val="22"/>
          <w:szCs w:val="22"/>
        </w:rPr>
        <w:t xml:space="preserve"> </w:t>
      </w:r>
      <w:r>
        <w:rPr>
          <w:rFonts w:ascii="Times New Roman" w:hAnsi="Times New Roman"/>
          <w:b/>
          <w:bCs/>
          <w:sz w:val="22"/>
          <w:szCs w:val="22"/>
        </w:rPr>
        <w:t>u</w:t>
      </w:r>
      <w:r w:rsidRPr="75F40C3D">
        <w:rPr>
          <w:rFonts w:ascii="Times New Roman" w:hAnsi="Times New Roman"/>
          <w:b/>
          <w:bCs/>
          <w:sz w:val="22"/>
          <w:szCs w:val="22"/>
        </w:rPr>
        <w:t>nit</w:t>
      </w:r>
      <w:r w:rsidRPr="75F40C3D">
        <w:rPr>
          <w:rFonts w:ascii="Times New Roman" w:hAnsi="Times New Roman"/>
          <w:sz w:val="22"/>
          <w:szCs w:val="22"/>
        </w:rPr>
        <w:t>. “Single-</w:t>
      </w:r>
      <w:r>
        <w:rPr>
          <w:rFonts w:ascii="Times New Roman" w:hAnsi="Times New Roman"/>
          <w:sz w:val="22"/>
          <w:szCs w:val="22"/>
        </w:rPr>
        <w:t>f</w:t>
      </w:r>
      <w:r w:rsidRPr="75F40C3D">
        <w:rPr>
          <w:rFonts w:ascii="Times New Roman" w:hAnsi="Times New Roman"/>
          <w:sz w:val="22"/>
          <w:szCs w:val="22"/>
        </w:rPr>
        <w:t xml:space="preserve">amily </w:t>
      </w:r>
      <w:r>
        <w:rPr>
          <w:rFonts w:ascii="Times New Roman" w:hAnsi="Times New Roman"/>
          <w:sz w:val="22"/>
          <w:szCs w:val="22"/>
        </w:rPr>
        <w:t>d</w:t>
      </w:r>
      <w:r w:rsidRPr="75F40C3D">
        <w:rPr>
          <w:rFonts w:ascii="Times New Roman" w:hAnsi="Times New Roman"/>
          <w:sz w:val="22"/>
          <w:szCs w:val="22"/>
        </w:rPr>
        <w:t xml:space="preserve">welling </w:t>
      </w:r>
      <w:r>
        <w:rPr>
          <w:rFonts w:ascii="Times New Roman" w:hAnsi="Times New Roman"/>
          <w:sz w:val="22"/>
          <w:szCs w:val="22"/>
        </w:rPr>
        <w:t>u</w:t>
      </w:r>
      <w:r w:rsidRPr="75F40C3D">
        <w:rPr>
          <w:rFonts w:ascii="Times New Roman" w:hAnsi="Times New Roman"/>
          <w:sz w:val="22"/>
          <w:szCs w:val="22"/>
        </w:rPr>
        <w:t>nit” means a building containing one (1) dwelling unit.</w:t>
      </w:r>
    </w:p>
    <w:p w14:paraId="7C5C8489"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04557E60" w14:textId="77777777" w:rsidR="00F9684F" w:rsidRDefault="00F9684F" w:rsidP="00F9684F">
      <w:pPr>
        <w:tabs>
          <w:tab w:val="left" w:pos="720"/>
          <w:tab w:val="left" w:pos="1440"/>
          <w:tab w:val="left" w:pos="2160"/>
          <w:tab w:val="left" w:pos="2880"/>
          <w:tab w:val="left" w:pos="3600"/>
          <w:tab w:val="left" w:pos="4320"/>
        </w:tabs>
        <w:spacing w:line="259" w:lineRule="auto"/>
        <w:ind w:left="720"/>
        <w:rPr>
          <w:color w:val="000000" w:themeColor="text1"/>
        </w:rPr>
      </w:pPr>
      <w:r w:rsidRPr="75F40C3D">
        <w:rPr>
          <w:rFonts w:ascii="Times New Roman" w:hAnsi="Times New Roman"/>
          <w:b/>
          <w:bCs/>
          <w:sz w:val="22"/>
          <w:szCs w:val="22"/>
        </w:rPr>
        <w:t>Structure.</w:t>
      </w:r>
      <w:r w:rsidRPr="75F40C3D">
        <w:rPr>
          <w:rFonts w:ascii="Times New Roman" w:hAnsi="Times New Roman"/>
          <w:sz w:val="22"/>
          <w:szCs w:val="22"/>
        </w:rPr>
        <w:t xml:space="preserve"> “Structure” </w:t>
      </w:r>
      <w:r w:rsidRPr="75F40C3D">
        <w:rPr>
          <w:rFonts w:ascii="Times New Roman" w:hAnsi="Times New Roman"/>
          <w:color w:val="000000" w:themeColor="text1"/>
          <w:sz w:val="22"/>
          <w:szCs w:val="22"/>
        </w:rPr>
        <w:t xml:space="preserve">means anything temporarily or permanently located, built, constructed or erected for the support, shelter or enclosure of persons as defined in 38 M.R.S. </w:t>
      </w:r>
      <w:r w:rsidRPr="75F40C3D">
        <w:rPr>
          <w:rFonts w:ascii="Times New Roman" w:hAnsi="Times New Roman"/>
          <w:sz w:val="22"/>
          <w:szCs w:val="22"/>
        </w:rPr>
        <w:t>§</w:t>
      </w:r>
      <w:r w:rsidRPr="75F40C3D">
        <w:rPr>
          <w:rFonts w:ascii="Times New Roman" w:hAnsi="Times New Roman"/>
          <w:color w:val="000000" w:themeColor="text1"/>
          <w:sz w:val="22"/>
          <w:szCs w:val="22"/>
        </w:rPr>
        <w:t xml:space="preserve"> 436-</w:t>
      </w:r>
      <w:proofErr w:type="gramStart"/>
      <w:r w:rsidRPr="75F40C3D">
        <w:rPr>
          <w:rFonts w:ascii="Times New Roman" w:hAnsi="Times New Roman"/>
          <w:color w:val="000000" w:themeColor="text1"/>
          <w:sz w:val="22"/>
          <w:szCs w:val="22"/>
        </w:rPr>
        <w:t>A(</w:t>
      </w:r>
      <w:proofErr w:type="gramEnd"/>
      <w:r w:rsidRPr="75F40C3D">
        <w:rPr>
          <w:rFonts w:ascii="Times New Roman" w:hAnsi="Times New Roman"/>
          <w:color w:val="000000" w:themeColor="text1"/>
          <w:sz w:val="22"/>
          <w:szCs w:val="22"/>
        </w:rPr>
        <w:t>12).</w:t>
      </w:r>
    </w:p>
    <w:p w14:paraId="5EDDCD10"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7E10D4BF"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color w:val="000000" w:themeColor="text1"/>
          <w:sz w:val="22"/>
          <w:szCs w:val="22"/>
        </w:rPr>
      </w:pPr>
      <w:r w:rsidRPr="5539809C">
        <w:rPr>
          <w:rFonts w:ascii="Times New Roman" w:hAnsi="Times New Roman"/>
          <w:b/>
          <w:bCs/>
          <w:color w:val="000000" w:themeColor="text1"/>
          <w:sz w:val="22"/>
          <w:szCs w:val="22"/>
        </w:rPr>
        <w:t>Zoning ordinance.</w:t>
      </w:r>
      <w:r w:rsidRPr="5539809C">
        <w:rPr>
          <w:rFonts w:ascii="Times New Roman" w:hAnsi="Times New Roman"/>
          <w:color w:val="000000" w:themeColor="text1"/>
          <w:sz w:val="22"/>
          <w:szCs w:val="22"/>
        </w:rPr>
        <w:t xml:space="preserve"> "Zoning ordinance" means a type of land use ordinance that divides a municipality into districts and that prescribes and reasonably applies different regulations in each district.  </w:t>
      </w:r>
    </w:p>
    <w:p w14:paraId="66BE9FD7"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3A06F012"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5539809C">
        <w:rPr>
          <w:rFonts w:ascii="Times New Roman" w:hAnsi="Times New Roman"/>
          <w:b/>
          <w:bCs/>
          <w:sz w:val="22"/>
          <w:szCs w:val="22"/>
        </w:rPr>
        <w:t>SECTION 2. AFFORDABLE HOUSING DENSITY</w:t>
      </w:r>
    </w:p>
    <w:p w14:paraId="3734AAC5" w14:textId="77777777" w:rsidR="00F9684F" w:rsidRDefault="00F9684F" w:rsidP="00F9684F">
      <w:pPr>
        <w:tabs>
          <w:tab w:val="left" w:pos="720"/>
          <w:tab w:val="left" w:pos="1440"/>
          <w:tab w:val="left" w:pos="2160"/>
          <w:tab w:val="left" w:pos="2880"/>
          <w:tab w:val="left" w:pos="3600"/>
          <w:tab w:val="left" w:pos="4320"/>
        </w:tabs>
        <w:suppressAutoHyphens/>
        <w:rPr>
          <w:rFonts w:ascii="Times New Roman" w:hAnsi="Times New Roman"/>
          <w:sz w:val="22"/>
          <w:szCs w:val="22"/>
        </w:rPr>
      </w:pPr>
    </w:p>
    <w:p w14:paraId="7A88254C" w14:textId="77777777" w:rsidR="00F9684F" w:rsidRPr="007659E8" w:rsidRDefault="00F9684F" w:rsidP="00F9684F">
      <w:pPr>
        <w:pStyle w:val="ListParagraph"/>
        <w:widowControl/>
        <w:numPr>
          <w:ilvl w:val="0"/>
          <w:numId w:val="5"/>
        </w:num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7659E8">
        <w:rPr>
          <w:rFonts w:ascii="Times New Roman" w:hAnsi="Times New Roman"/>
          <w:b/>
          <w:bCs/>
          <w:sz w:val="22"/>
          <w:szCs w:val="22"/>
        </w:rPr>
        <w:t>GENERAL</w:t>
      </w:r>
    </w:p>
    <w:p w14:paraId="540BDDBA" w14:textId="77777777" w:rsidR="00F9684F" w:rsidRDefault="00F9684F" w:rsidP="00F9684F">
      <w:pPr>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664611FE"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75F40C3D">
        <w:rPr>
          <w:rFonts w:ascii="Times New Roman" w:hAnsi="Times New Roman"/>
          <w:sz w:val="22"/>
          <w:szCs w:val="22"/>
        </w:rPr>
        <w:t xml:space="preserve">This Section requires municipalities to allow an automatic density bonus for certain affordable housing developments approved on or after July 1, 2023, as outlined below. If a municipality has not adopted density requirements, this section applies only if the development meets the requirements listed in Section 2(B)(1)(a)-(e). </w:t>
      </w:r>
    </w:p>
    <w:p w14:paraId="292D2CEB" w14:textId="77777777" w:rsidR="00F9684F" w:rsidRDefault="00F9684F" w:rsidP="00F9684F">
      <w:pPr>
        <w:tabs>
          <w:tab w:val="left" w:pos="720"/>
          <w:tab w:val="left" w:pos="1440"/>
          <w:tab w:val="left" w:pos="2160"/>
          <w:tab w:val="left" w:pos="2880"/>
          <w:tab w:val="left" w:pos="3600"/>
          <w:tab w:val="left" w:pos="4320"/>
        </w:tabs>
        <w:spacing w:line="259" w:lineRule="auto"/>
        <w:ind w:left="1440"/>
      </w:pPr>
    </w:p>
    <w:p w14:paraId="4520FF93" w14:textId="77777777" w:rsidR="00F9684F" w:rsidRPr="007659E8" w:rsidRDefault="00F9684F" w:rsidP="00F9684F">
      <w:pPr>
        <w:pStyle w:val="ListParagraph"/>
        <w:widowControl/>
        <w:numPr>
          <w:ilvl w:val="0"/>
          <w:numId w:val="5"/>
        </w:num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5539809C">
        <w:rPr>
          <w:rFonts w:ascii="Times New Roman" w:hAnsi="Times New Roman"/>
          <w:b/>
          <w:bCs/>
          <w:sz w:val="22"/>
          <w:szCs w:val="22"/>
        </w:rPr>
        <w:t>ELIGIBILITY FOR DENSITY BONUS</w:t>
      </w:r>
    </w:p>
    <w:p w14:paraId="1DF979D4" w14:textId="77777777" w:rsidR="00F9684F" w:rsidRDefault="00F9684F" w:rsidP="00F9684F">
      <w:pPr>
        <w:tabs>
          <w:tab w:val="left" w:pos="720"/>
          <w:tab w:val="left" w:pos="1440"/>
          <w:tab w:val="left" w:pos="2160"/>
          <w:tab w:val="left" w:pos="2880"/>
          <w:tab w:val="left" w:pos="3600"/>
          <w:tab w:val="left" w:pos="4320"/>
        </w:tabs>
        <w:ind w:left="1440" w:hanging="720"/>
        <w:rPr>
          <w:b/>
          <w:bCs/>
          <w:szCs w:val="24"/>
        </w:rPr>
      </w:pPr>
    </w:p>
    <w:p w14:paraId="06C3822D" w14:textId="77777777" w:rsidR="00F9684F" w:rsidRDefault="00F9684F" w:rsidP="00F9684F">
      <w:pPr>
        <w:pStyle w:val="ListParagraph"/>
        <w:widowControl/>
        <w:numPr>
          <w:ilvl w:val="0"/>
          <w:numId w:val="1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75F40C3D">
        <w:rPr>
          <w:rFonts w:ascii="Times New Roman" w:hAnsi="Times New Roman"/>
          <w:sz w:val="22"/>
          <w:szCs w:val="22"/>
        </w:rPr>
        <w:t xml:space="preserve">For purposes of this section, a municipality shall verify that the development:  </w:t>
      </w:r>
    </w:p>
    <w:p w14:paraId="1565A8C1" w14:textId="77777777" w:rsidR="00F9684F" w:rsidRPr="00FF5C5E"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7807B4A0" w14:textId="77777777" w:rsidR="00F9684F" w:rsidRDefault="00F9684F" w:rsidP="00F9684F">
      <w:pPr>
        <w:pStyle w:val="ListParagraph"/>
        <w:widowControl/>
        <w:numPr>
          <w:ilvl w:val="0"/>
          <w:numId w:val="13"/>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5D9E8995">
        <w:rPr>
          <w:rFonts w:ascii="Times New Roman" w:hAnsi="Times New Roman"/>
          <w:sz w:val="22"/>
          <w:szCs w:val="22"/>
        </w:rPr>
        <w:t xml:space="preserve">Is an affordable housing development as defined in this Chapter, which includes the requirement that a majority of the units </w:t>
      </w:r>
      <w:proofErr w:type="gramStart"/>
      <w:r w:rsidRPr="5D9E8995">
        <w:rPr>
          <w:rFonts w:ascii="Times New Roman" w:hAnsi="Times New Roman"/>
          <w:sz w:val="22"/>
          <w:szCs w:val="22"/>
        </w:rPr>
        <w:t>are affordable;</w:t>
      </w:r>
      <w:proofErr w:type="gramEnd"/>
    </w:p>
    <w:p w14:paraId="5AA94706" w14:textId="77777777" w:rsidR="00F9684F" w:rsidRPr="00DD7791" w:rsidRDefault="00F9684F" w:rsidP="00F9684F">
      <w:p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2B169669" w14:textId="77777777" w:rsidR="00F9684F" w:rsidRDefault="00F9684F" w:rsidP="00F9684F">
      <w:pPr>
        <w:pStyle w:val="ListParagraph"/>
        <w:widowControl/>
        <w:numPr>
          <w:ilvl w:val="0"/>
          <w:numId w:val="13"/>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75F40C3D">
        <w:rPr>
          <w:rFonts w:ascii="Times New Roman" w:hAnsi="Times New Roman"/>
          <w:sz w:val="22"/>
          <w:szCs w:val="22"/>
        </w:rPr>
        <w:t xml:space="preserve">Is in a designated growth area pursuant to 30-A M.R.S. § 4349-A(1)(A) or (B) or served by a public, special district or other centrally managed water system and a public, special district or other comparable sewer </w:t>
      </w:r>
      <w:proofErr w:type="gramStart"/>
      <w:r w:rsidRPr="75F40C3D">
        <w:rPr>
          <w:rFonts w:ascii="Times New Roman" w:hAnsi="Times New Roman"/>
          <w:sz w:val="22"/>
          <w:szCs w:val="22"/>
        </w:rPr>
        <w:t>system;</w:t>
      </w:r>
      <w:proofErr w:type="gramEnd"/>
      <w:r w:rsidRPr="75F40C3D">
        <w:rPr>
          <w:rFonts w:ascii="Times New Roman" w:hAnsi="Times New Roman"/>
          <w:sz w:val="22"/>
          <w:szCs w:val="22"/>
        </w:rPr>
        <w:t xml:space="preserve"> </w:t>
      </w:r>
    </w:p>
    <w:p w14:paraId="1C94FCD5"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1AB4442F" w14:textId="77777777" w:rsidR="00F9684F" w:rsidRDefault="00F9684F" w:rsidP="00F9684F">
      <w:pPr>
        <w:pStyle w:val="ListParagraph"/>
        <w:widowControl/>
        <w:numPr>
          <w:ilvl w:val="0"/>
          <w:numId w:val="13"/>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691F9A97">
        <w:rPr>
          <w:rFonts w:ascii="Times New Roman" w:hAnsi="Times New Roman"/>
          <w:sz w:val="22"/>
          <w:szCs w:val="22"/>
        </w:rPr>
        <w:t xml:space="preserve">Is located in an area in which multifamily dwellings are allowed as of July 1, </w:t>
      </w:r>
      <w:proofErr w:type="gramStart"/>
      <w:r w:rsidRPr="691F9A97">
        <w:rPr>
          <w:rFonts w:ascii="Times New Roman" w:hAnsi="Times New Roman"/>
          <w:sz w:val="22"/>
          <w:szCs w:val="22"/>
        </w:rPr>
        <w:t>2023;</w:t>
      </w:r>
      <w:proofErr w:type="gramEnd"/>
      <w:r w:rsidRPr="691F9A97">
        <w:rPr>
          <w:rFonts w:ascii="Times New Roman" w:hAnsi="Times New Roman"/>
          <w:sz w:val="22"/>
          <w:szCs w:val="22"/>
        </w:rPr>
        <w:t xml:space="preserve"> </w:t>
      </w:r>
    </w:p>
    <w:p w14:paraId="10A87986"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2A4AB0DE" w14:textId="77777777" w:rsidR="00F9684F" w:rsidRDefault="00F9684F" w:rsidP="00F9684F">
      <w:pPr>
        <w:pStyle w:val="ListParagraph"/>
        <w:widowControl/>
        <w:numPr>
          <w:ilvl w:val="0"/>
          <w:numId w:val="13"/>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5539809C">
        <w:rPr>
          <w:rFonts w:ascii="Times New Roman" w:hAnsi="Times New Roman"/>
          <w:sz w:val="22"/>
          <w:szCs w:val="22"/>
        </w:rPr>
        <w:t xml:space="preserve">Complies with minimum lot size requirements in accordance with Title 12, chapter 423-A; and </w:t>
      </w:r>
    </w:p>
    <w:p w14:paraId="0E700E6A" w14:textId="77777777" w:rsidR="00F9684F" w:rsidRPr="00DD7791"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BE5C335" w14:textId="77777777" w:rsidR="00F9684F" w:rsidRDefault="00F9684F" w:rsidP="00F9684F">
      <w:pPr>
        <w:pStyle w:val="ListParagraph"/>
        <w:widowControl/>
        <w:numPr>
          <w:ilvl w:val="0"/>
          <w:numId w:val="13"/>
        </w:numPr>
        <w:tabs>
          <w:tab w:val="left" w:pos="720"/>
          <w:tab w:val="left" w:pos="1440"/>
          <w:tab w:val="left" w:pos="2160"/>
          <w:tab w:val="left" w:pos="2880"/>
          <w:tab w:val="left" w:pos="3600"/>
          <w:tab w:val="left" w:pos="4320"/>
        </w:tabs>
        <w:suppressAutoHyphens/>
        <w:ind w:left="1800"/>
        <w:rPr>
          <w:rFonts w:ascii="Times New Roman" w:hAnsi="Times New Roman"/>
          <w:sz w:val="22"/>
          <w:szCs w:val="22"/>
        </w:rPr>
      </w:pPr>
      <w:r w:rsidRPr="691F9A97">
        <w:rPr>
          <w:rFonts w:ascii="Times New Roman" w:hAnsi="Times New Roman"/>
          <w:sz w:val="22"/>
          <w:szCs w:val="22"/>
        </w:rPr>
        <w:t xml:space="preserve">Owner provides written verification that each unit of the housing development is connected to adequate water and wastewater services prior to certification of the development for occupancy or similar type of approval process. Written verification must include the following: </w:t>
      </w:r>
    </w:p>
    <w:p w14:paraId="387ECC21"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720"/>
        <w:rPr>
          <w:rFonts w:ascii="Times New Roman" w:hAnsi="Times New Roman"/>
          <w:sz w:val="22"/>
          <w:szCs w:val="22"/>
        </w:rPr>
      </w:pPr>
    </w:p>
    <w:p w14:paraId="7369DBD6" w14:textId="77777777" w:rsidR="00F9684F" w:rsidRPr="0049211B" w:rsidRDefault="00F9684F" w:rsidP="00F9684F">
      <w:pPr>
        <w:pStyle w:val="ListParagraph"/>
        <w:widowControl/>
        <w:numPr>
          <w:ilvl w:val="2"/>
          <w:numId w:val="14"/>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0049211B">
        <w:rPr>
          <w:rFonts w:ascii="Times New Roman" w:hAnsi="Times New Roman"/>
          <w:sz w:val="22"/>
          <w:szCs w:val="22"/>
        </w:rPr>
        <w:lastRenderedPageBreak/>
        <w:t xml:space="preserve">If a housing unit is connected to a public, special district or other comparable sewer system, proof of adequate service to support any additional flow created by the unit and proof of payment for the connection to the sewer </w:t>
      </w:r>
      <w:proofErr w:type="gramStart"/>
      <w:r w:rsidRPr="0049211B">
        <w:rPr>
          <w:rFonts w:ascii="Times New Roman" w:hAnsi="Times New Roman"/>
          <w:sz w:val="22"/>
          <w:szCs w:val="22"/>
        </w:rPr>
        <w:t>system;</w:t>
      </w:r>
      <w:proofErr w:type="gramEnd"/>
    </w:p>
    <w:p w14:paraId="3F239661" w14:textId="77777777" w:rsidR="00F9684F" w:rsidRDefault="00F9684F" w:rsidP="00F9684F">
      <w:pPr>
        <w:tabs>
          <w:tab w:val="left" w:pos="720"/>
          <w:tab w:val="left" w:pos="1440"/>
          <w:tab w:val="left" w:pos="2160"/>
          <w:tab w:val="left" w:pos="2880"/>
          <w:tab w:val="left" w:pos="3600"/>
          <w:tab w:val="left" w:pos="4320"/>
        </w:tabs>
        <w:spacing w:line="259" w:lineRule="auto"/>
        <w:ind w:hanging="720"/>
        <w:rPr>
          <w:rFonts w:ascii="Times New Roman" w:hAnsi="Times New Roman"/>
          <w:sz w:val="22"/>
          <w:szCs w:val="22"/>
        </w:rPr>
      </w:pPr>
    </w:p>
    <w:p w14:paraId="534CE7F8" w14:textId="77777777" w:rsidR="00F9684F" w:rsidRDefault="00F9684F" w:rsidP="00F9684F">
      <w:pPr>
        <w:pStyle w:val="ListParagraph"/>
        <w:widowControl/>
        <w:numPr>
          <w:ilvl w:val="2"/>
          <w:numId w:val="14"/>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0049211B">
        <w:rPr>
          <w:rFonts w:ascii="Times New Roman" w:hAnsi="Times New Roman"/>
          <w:sz w:val="22"/>
          <w:szCs w:val="22"/>
        </w:rPr>
        <w:t>If a housing unit is connected to a septic system, proof of adequate sewage disposal for subsurface wastewater. The septic system must be verified as adequate by a local plumbing inspector pursuant to 30-A M.R.S. §</w:t>
      </w:r>
      <w:r w:rsidRPr="0049211B">
        <w:rPr>
          <w:rFonts w:ascii="Calibri" w:eastAsia="Calibri" w:hAnsi="Calibri" w:cs="Calibri"/>
          <w:sz w:val="22"/>
          <w:szCs w:val="22"/>
        </w:rPr>
        <w:t xml:space="preserve"> </w:t>
      </w:r>
      <w:r w:rsidRPr="0049211B">
        <w:rPr>
          <w:rFonts w:ascii="Times New Roman" w:hAnsi="Times New Roman"/>
          <w:sz w:val="22"/>
          <w:szCs w:val="22"/>
        </w:rPr>
        <w:t xml:space="preserve">4221. Plans for a subsurface wastewater disposal must be prepared by a licensed site evaluator in accordance with 10-144 C.M.R. </w:t>
      </w:r>
      <w:proofErr w:type="spellStart"/>
      <w:r w:rsidRPr="0049211B">
        <w:rPr>
          <w:rFonts w:ascii="Times New Roman" w:hAnsi="Times New Roman"/>
          <w:sz w:val="22"/>
          <w:szCs w:val="22"/>
        </w:rPr>
        <w:t>ch.</w:t>
      </w:r>
      <w:proofErr w:type="spellEnd"/>
      <w:r w:rsidRPr="0049211B">
        <w:rPr>
          <w:rFonts w:ascii="Times New Roman" w:hAnsi="Times New Roman"/>
          <w:sz w:val="22"/>
          <w:szCs w:val="22"/>
        </w:rPr>
        <w:t xml:space="preserve"> 241, Subsurface Wastewater Disposal Rules. </w:t>
      </w:r>
    </w:p>
    <w:p w14:paraId="486C020A" w14:textId="77777777" w:rsidR="00F9684F" w:rsidRPr="00FC3EB0"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72971784" w14:textId="77777777" w:rsidR="00F9684F" w:rsidRPr="0049211B" w:rsidRDefault="00F9684F" w:rsidP="00F9684F">
      <w:pPr>
        <w:pStyle w:val="ListParagraph"/>
        <w:widowControl/>
        <w:numPr>
          <w:ilvl w:val="2"/>
          <w:numId w:val="14"/>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0049211B">
        <w:rPr>
          <w:rFonts w:ascii="Times New Roman" w:hAnsi="Times New Roman"/>
          <w:sz w:val="22"/>
          <w:szCs w:val="22"/>
        </w:rP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 </w:t>
      </w:r>
    </w:p>
    <w:p w14:paraId="296E13A6" w14:textId="77777777" w:rsidR="00F9684F" w:rsidRDefault="00F9684F" w:rsidP="00F9684F">
      <w:pPr>
        <w:tabs>
          <w:tab w:val="left" w:pos="720"/>
          <w:tab w:val="left" w:pos="1440"/>
          <w:tab w:val="left" w:pos="2160"/>
          <w:tab w:val="left" w:pos="2880"/>
          <w:tab w:val="left" w:pos="3600"/>
          <w:tab w:val="left" w:pos="4320"/>
        </w:tabs>
        <w:spacing w:line="259" w:lineRule="auto"/>
        <w:ind w:hanging="720"/>
        <w:rPr>
          <w:rFonts w:ascii="Times New Roman" w:hAnsi="Times New Roman"/>
          <w:sz w:val="22"/>
          <w:szCs w:val="22"/>
        </w:rPr>
      </w:pPr>
    </w:p>
    <w:p w14:paraId="7EF481F8" w14:textId="77777777" w:rsidR="00F9684F" w:rsidRPr="00BF0ADB" w:rsidRDefault="00F9684F" w:rsidP="00F9684F">
      <w:pPr>
        <w:pStyle w:val="ListParagraph"/>
        <w:widowControl/>
        <w:numPr>
          <w:ilvl w:val="2"/>
          <w:numId w:val="14"/>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00BF0ADB">
        <w:rPr>
          <w:rFonts w:ascii="Times New Roman" w:hAnsi="Times New Roman"/>
          <w:sz w:val="22"/>
          <w:szCs w:val="22"/>
        </w:rPr>
        <w:t xml:space="preserve">If a housing unit is connected to a well, proof of access to potable water, including the standards outlined in 01-672 C.M.R. </w:t>
      </w:r>
      <w:proofErr w:type="spellStart"/>
      <w:r w:rsidRPr="00BF0ADB">
        <w:rPr>
          <w:rFonts w:ascii="Times New Roman" w:hAnsi="Times New Roman"/>
          <w:sz w:val="22"/>
          <w:szCs w:val="22"/>
        </w:rPr>
        <w:t>ch.</w:t>
      </w:r>
      <w:proofErr w:type="spellEnd"/>
      <w:r w:rsidRPr="00BF0ADB">
        <w:rPr>
          <w:rFonts w:ascii="Times New Roman" w:hAnsi="Times New Roman"/>
          <w:sz w:val="22"/>
          <w:szCs w:val="22"/>
        </w:rPr>
        <w:t xml:space="preserve"> 10, section 10.25(J), Land Use Districts and Standards. Any test of an existing well or proposed well must indicate that the water supply is potable and acceptable for domestic use. </w:t>
      </w:r>
    </w:p>
    <w:p w14:paraId="052B0FEB" w14:textId="77777777" w:rsidR="00F9684F" w:rsidRPr="00FC3EB0" w:rsidRDefault="00F9684F" w:rsidP="00F9684F">
      <w:pPr>
        <w:pStyle w:val="ListParagraph"/>
        <w:widowControl/>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600E518F" w14:textId="77777777" w:rsidR="00F9684F" w:rsidRDefault="00F9684F" w:rsidP="00F9684F">
      <w:pPr>
        <w:pStyle w:val="ListParagraph"/>
        <w:widowControl/>
        <w:numPr>
          <w:ilvl w:val="0"/>
          <w:numId w:val="1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Long-Term Affordability </w:t>
      </w:r>
    </w:p>
    <w:p w14:paraId="205BB4B7"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79309B2E"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r w:rsidRPr="691F9A97">
        <w:rPr>
          <w:rFonts w:ascii="Times New Roman" w:hAnsi="Times New Roman"/>
          <w:sz w:val="22"/>
          <w:szCs w:val="22"/>
        </w:rPr>
        <w:t>Prior to granting a certificate of occupancy or other final approval of an affordable housing development, a municipality must require that the owner of the affordable housing development</w:t>
      </w:r>
      <w:r>
        <w:rPr>
          <w:rFonts w:ascii="Times New Roman" w:hAnsi="Times New Roman"/>
          <w:sz w:val="22"/>
          <w:szCs w:val="22"/>
        </w:rPr>
        <w:t xml:space="preserve"> </w:t>
      </w:r>
      <w:r w:rsidRPr="691F9A97">
        <w:rPr>
          <w:rFonts w:ascii="Times New Roman" w:hAnsi="Times New Roman"/>
          <w:sz w:val="22"/>
          <w:szCs w:val="22"/>
        </w:rPr>
        <w:t>(1) execute a restrictive covenant that is enforceable by a party acceptable to the municipality; and (2) record the restrictive covenant in the appropriate registry of deeds to ensure that for at least thirty (30) years after completion of construction:</w:t>
      </w:r>
    </w:p>
    <w:p w14:paraId="58BE3795"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720"/>
        <w:rPr>
          <w:rFonts w:ascii="Times New Roman" w:hAnsi="Times New Roman"/>
          <w:sz w:val="22"/>
          <w:szCs w:val="22"/>
        </w:rPr>
      </w:pPr>
    </w:p>
    <w:p w14:paraId="14674358" w14:textId="77777777" w:rsidR="00F9684F" w:rsidRDefault="00F9684F" w:rsidP="00F9684F">
      <w:pPr>
        <w:pStyle w:val="ListParagraph"/>
        <w:widowControl/>
        <w:numPr>
          <w:ilvl w:val="0"/>
          <w:numId w:val="15"/>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For rental housing, occupancy of all the units designated affordable in the development will remain limited to households at or below 80% of the local area median income at the time of initial occupancy; and </w:t>
      </w:r>
    </w:p>
    <w:p w14:paraId="588F563E"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0DEC691C" w14:textId="77777777" w:rsidR="00F9684F" w:rsidRDefault="00F9684F" w:rsidP="00F9684F">
      <w:pPr>
        <w:pStyle w:val="ListParagraph"/>
        <w:widowControl/>
        <w:numPr>
          <w:ilvl w:val="0"/>
          <w:numId w:val="15"/>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For owned housing, occupancy of all the units designated affordable in the development will remain limited to households at or below 120% of the local area median income at the time of initial occupancy. </w:t>
      </w:r>
    </w:p>
    <w:p w14:paraId="41890FD1" w14:textId="77777777" w:rsidR="00F9684F" w:rsidRPr="00C87CDB" w:rsidRDefault="00F9684F" w:rsidP="00F9684F">
      <w:pPr>
        <w:tabs>
          <w:tab w:val="left" w:pos="720"/>
          <w:tab w:val="left" w:pos="1440"/>
          <w:tab w:val="left" w:pos="2160"/>
          <w:tab w:val="left" w:pos="2880"/>
          <w:tab w:val="left" w:pos="3600"/>
          <w:tab w:val="left" w:pos="4320"/>
        </w:tabs>
        <w:spacing w:line="259" w:lineRule="auto"/>
        <w:ind w:left="2160"/>
        <w:rPr>
          <w:rFonts w:ascii="Times New Roman" w:hAnsi="Times New Roman"/>
          <w:sz w:val="22"/>
          <w:szCs w:val="22"/>
        </w:rPr>
      </w:pPr>
    </w:p>
    <w:p w14:paraId="4230AB0E" w14:textId="77777777" w:rsidR="00F9684F" w:rsidRDefault="00F9684F" w:rsidP="00F9684F">
      <w:pPr>
        <w:pStyle w:val="ListParagraph"/>
        <w:widowControl/>
        <w:numPr>
          <w:ilvl w:val="0"/>
          <w:numId w:val="5"/>
        </w:numPr>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5D9E8995">
        <w:rPr>
          <w:rFonts w:ascii="Times New Roman" w:hAnsi="Times New Roman"/>
          <w:b/>
          <w:bCs/>
          <w:sz w:val="22"/>
          <w:szCs w:val="22"/>
        </w:rPr>
        <w:t xml:space="preserve">DENSITY BONUS </w:t>
      </w:r>
    </w:p>
    <w:p w14:paraId="601F01AA"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208FBED6"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5539809C">
        <w:rPr>
          <w:rFonts w:ascii="Times New Roman" w:hAnsi="Times New Roman"/>
          <w:sz w:val="22"/>
          <w:szCs w:val="22"/>
        </w:rPr>
        <w:t xml:space="preserve">If the requirements in Section 2(B)(1) and (2) are met, a municipality must: </w:t>
      </w:r>
    </w:p>
    <w:p w14:paraId="4598D6AF"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1370C13B" w14:textId="77777777" w:rsidR="00F9684F" w:rsidRDefault="00F9684F" w:rsidP="00F9684F">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D9E8995">
        <w:rPr>
          <w:rFonts w:ascii="Times New Roman" w:hAnsi="Times New Roman"/>
          <w:sz w:val="22"/>
          <w:szCs w:val="22"/>
        </w:rPr>
        <w:t>Allow an affordable housing development to have a dwelling unit density of at least 2.5 times the base density that is otherwise allowed in that location;</w:t>
      </w:r>
      <w:r>
        <w:rPr>
          <w:rFonts w:ascii="Times New Roman" w:hAnsi="Times New Roman"/>
          <w:sz w:val="22"/>
          <w:szCs w:val="22"/>
        </w:rPr>
        <w:t xml:space="preserve"> </w:t>
      </w:r>
      <w:r w:rsidRPr="5D9E8995">
        <w:rPr>
          <w:rFonts w:ascii="Times New Roman" w:hAnsi="Times New Roman"/>
          <w:sz w:val="22"/>
          <w:szCs w:val="22"/>
        </w:rPr>
        <w:t xml:space="preserve">and </w:t>
      </w:r>
      <w:r>
        <w:tab/>
      </w:r>
    </w:p>
    <w:p w14:paraId="67B1BD1D"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28B0E2B8" w14:textId="77777777" w:rsidR="00F9684F" w:rsidRDefault="00F9684F" w:rsidP="00F9684F">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75F40C3D">
        <w:rPr>
          <w:rFonts w:ascii="Times New Roman" w:hAnsi="Times New Roman"/>
          <w:sz w:val="22"/>
          <w:szCs w:val="22"/>
        </w:rPr>
        <w:t>Require no more than two (2) off-street parking motor vehicle spaces for every three (3) dwelling units of an affordable housing development.</w:t>
      </w:r>
    </w:p>
    <w:p w14:paraId="24F676E0" w14:textId="77777777" w:rsidR="00F9684F" w:rsidRDefault="00F9684F" w:rsidP="00F9684F">
      <w:pPr>
        <w:tabs>
          <w:tab w:val="left" w:pos="720"/>
          <w:tab w:val="left" w:pos="1440"/>
          <w:tab w:val="left" w:pos="2160"/>
          <w:tab w:val="left" w:pos="2880"/>
          <w:tab w:val="left" w:pos="3600"/>
          <w:tab w:val="left" w:pos="4320"/>
        </w:tabs>
        <w:rPr>
          <w:szCs w:val="24"/>
        </w:rPr>
      </w:pPr>
    </w:p>
    <w:p w14:paraId="1E3B3489" w14:textId="77777777" w:rsidR="00F9684F" w:rsidRPr="00317989"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r w:rsidRPr="75F40C3D">
        <w:rPr>
          <w:rFonts w:ascii="Times New Roman" w:hAnsi="Times New Roman"/>
          <w:sz w:val="22"/>
          <w:szCs w:val="22"/>
        </w:rPr>
        <w:t xml:space="preserve">If fractional results occur when calculating the density bonus in this subsection, the number of units is rounded down to the nearest whole number. The number of motor vehicle parking spaces may be rounded up or down to the nearest whole number. </w:t>
      </w:r>
    </w:p>
    <w:p w14:paraId="605B3858"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268D7A3C" w14:textId="77777777" w:rsidR="00F9684F" w:rsidRDefault="00F9684F" w:rsidP="00F9684F">
      <w:pPr>
        <w:tabs>
          <w:tab w:val="left" w:pos="720"/>
          <w:tab w:val="left" w:pos="1440"/>
          <w:tab w:val="left" w:pos="2160"/>
          <w:tab w:val="left" w:pos="2880"/>
          <w:tab w:val="left" w:pos="3600"/>
          <w:tab w:val="left" w:pos="4320"/>
        </w:tabs>
        <w:suppressAutoHyphens/>
        <w:spacing w:line="259" w:lineRule="auto"/>
        <w:ind w:left="720" w:hanging="720"/>
        <w:rPr>
          <w:rFonts w:ascii="Times New Roman" w:hAnsi="Times New Roman"/>
          <w:b/>
          <w:bCs/>
          <w:sz w:val="22"/>
          <w:szCs w:val="22"/>
        </w:rPr>
      </w:pPr>
      <w:r w:rsidRPr="5539809C">
        <w:rPr>
          <w:rFonts w:ascii="Times New Roman" w:hAnsi="Times New Roman"/>
          <w:b/>
          <w:bCs/>
          <w:sz w:val="22"/>
          <w:szCs w:val="22"/>
        </w:rPr>
        <w:t>SECTION 3. DWELLING UNIT ALLOWANCE</w:t>
      </w:r>
    </w:p>
    <w:p w14:paraId="1C9729B7" w14:textId="77777777" w:rsidR="00F9684F" w:rsidRDefault="00F9684F" w:rsidP="00F9684F">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E2803C1" w14:textId="77777777" w:rsidR="00F9684F" w:rsidRPr="007659E8" w:rsidRDefault="00F9684F" w:rsidP="00F9684F">
      <w:pPr>
        <w:pStyle w:val="ListParagraph"/>
        <w:widowControl/>
        <w:numPr>
          <w:ilvl w:val="0"/>
          <w:numId w:val="6"/>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007659E8">
        <w:rPr>
          <w:rFonts w:ascii="Times New Roman" w:hAnsi="Times New Roman"/>
          <w:b/>
          <w:bCs/>
          <w:sz w:val="22"/>
          <w:szCs w:val="22"/>
        </w:rPr>
        <w:t>GENERAL</w:t>
      </w:r>
    </w:p>
    <w:p w14:paraId="1024FEC0"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1440"/>
        <w:rPr>
          <w:rFonts w:ascii="Times New Roman" w:hAnsi="Times New Roman"/>
          <w:sz w:val="22"/>
          <w:szCs w:val="22"/>
        </w:rPr>
      </w:pPr>
    </w:p>
    <w:p w14:paraId="764DB422"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691F9A97">
        <w:rPr>
          <w:rFonts w:ascii="Times New Roman" w:hAnsi="Times New Roman"/>
          <w:sz w:val="22"/>
          <w:szCs w:val="22"/>
        </w:rPr>
        <w:lastRenderedPageBreak/>
        <w:t xml:space="preserve">This section requires municipalities to allow multiple dwelling units on lots where housing is allowed beginning on July 1, 2023, subject to the requirements below. </w:t>
      </w:r>
    </w:p>
    <w:p w14:paraId="1E0478E3" w14:textId="77777777" w:rsidR="00F9684F" w:rsidRDefault="00F9684F" w:rsidP="00F9684F">
      <w:pPr>
        <w:tabs>
          <w:tab w:val="left" w:pos="720"/>
          <w:tab w:val="left" w:pos="1440"/>
          <w:tab w:val="left" w:pos="2160"/>
          <w:tab w:val="left" w:pos="2880"/>
          <w:tab w:val="left" w:pos="3600"/>
          <w:tab w:val="left" w:pos="4320"/>
        </w:tabs>
        <w:spacing w:line="259" w:lineRule="auto"/>
        <w:ind w:left="1800" w:hanging="1440"/>
        <w:rPr>
          <w:rFonts w:ascii="Times New Roman" w:hAnsi="Times New Roman"/>
          <w:sz w:val="22"/>
          <w:szCs w:val="22"/>
        </w:rPr>
      </w:pPr>
    </w:p>
    <w:p w14:paraId="2C9E4BBF" w14:textId="77777777" w:rsidR="00F9684F" w:rsidRDefault="00F9684F" w:rsidP="00F9684F">
      <w:pPr>
        <w:pStyle w:val="ListParagraph"/>
        <w:widowControl/>
        <w:numPr>
          <w:ilvl w:val="0"/>
          <w:numId w:val="6"/>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5539809C">
        <w:rPr>
          <w:rFonts w:ascii="Times New Roman" w:hAnsi="Times New Roman"/>
          <w:b/>
          <w:bCs/>
          <w:sz w:val="22"/>
          <w:szCs w:val="22"/>
        </w:rPr>
        <w:t xml:space="preserve">REQUIREMENTS </w:t>
      </w:r>
    </w:p>
    <w:p w14:paraId="4FCCA977" w14:textId="77777777" w:rsidR="00F9684F" w:rsidRPr="00E544B5" w:rsidRDefault="00F9684F" w:rsidP="00F9684F">
      <w:pPr>
        <w:pStyle w:val="ListParagraph"/>
        <w:widowControl/>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798E1437" w14:textId="77777777" w:rsidR="00F9684F" w:rsidRDefault="00F9684F" w:rsidP="00F9684F">
      <w:pPr>
        <w:pStyle w:val="ListParagraph"/>
        <w:widowControl/>
        <w:numPr>
          <w:ilvl w:val="0"/>
          <w:numId w:val="1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Dwelling Unit Allowance</w:t>
      </w:r>
      <w:r w:rsidRPr="00E544B5">
        <w:rPr>
          <w:rFonts w:ascii="Times New Roman" w:hAnsi="Times New Roman"/>
          <w:sz w:val="22"/>
          <w:szCs w:val="22"/>
        </w:rPr>
        <w:tab/>
      </w:r>
    </w:p>
    <w:p w14:paraId="5AAA87F3"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5B2E6CC9" w14:textId="77777777" w:rsidR="00F9684F" w:rsidRPr="00FF5C5E" w:rsidRDefault="00F9684F" w:rsidP="00F9684F">
      <w:pPr>
        <w:pStyle w:val="ListParagraph"/>
        <w:widowControl/>
        <w:numPr>
          <w:ilvl w:val="0"/>
          <w:numId w:val="1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75F40C3D">
        <w:rPr>
          <w:rFonts w:ascii="Times New Roman" w:hAnsi="Times New Roman"/>
          <w:sz w:val="22"/>
          <w:szCs w:val="22"/>
        </w:rPr>
        <w:t xml:space="preserve">If a lot does not contain an existing dwelling unit, municipalities must allow up to four (4) dwelling units per lot if the lot </w:t>
      </w:r>
      <w:proofErr w:type="gramStart"/>
      <w:r w:rsidRPr="75F40C3D">
        <w:rPr>
          <w:rFonts w:ascii="Times New Roman" w:hAnsi="Times New Roman"/>
          <w:sz w:val="22"/>
          <w:szCs w:val="22"/>
        </w:rPr>
        <w:t>is located in</w:t>
      </w:r>
      <w:proofErr w:type="gramEnd"/>
      <w:r w:rsidRPr="75F40C3D">
        <w:rPr>
          <w:rFonts w:ascii="Times New Roman" w:hAnsi="Times New Roman"/>
          <w:sz w:val="22"/>
          <w:szCs w:val="22"/>
        </w:rPr>
        <w:t xml:space="preserve"> an area in which housing is allowed, meets </w:t>
      </w:r>
      <w:r>
        <w:rPr>
          <w:rFonts w:ascii="Times New Roman" w:hAnsi="Times New Roman"/>
          <w:sz w:val="22"/>
          <w:szCs w:val="22"/>
        </w:rPr>
        <w:t xml:space="preserve">the requirements in </w:t>
      </w:r>
      <w:r w:rsidRPr="75F40C3D">
        <w:rPr>
          <w:rFonts w:ascii="Times New Roman" w:hAnsi="Times New Roman"/>
          <w:sz w:val="22"/>
          <w:szCs w:val="22"/>
        </w:rPr>
        <w:t xml:space="preserve">12 M.R.S. </w:t>
      </w:r>
      <w:proofErr w:type="spellStart"/>
      <w:r w:rsidRPr="75F40C3D">
        <w:rPr>
          <w:rFonts w:ascii="Times New Roman" w:hAnsi="Times New Roman"/>
          <w:sz w:val="22"/>
          <w:szCs w:val="22"/>
        </w:rPr>
        <w:t>ch.</w:t>
      </w:r>
      <w:proofErr w:type="spellEnd"/>
      <w:r w:rsidRPr="75F40C3D">
        <w:rPr>
          <w:rFonts w:ascii="Times New Roman" w:hAnsi="Times New Roman"/>
          <w:sz w:val="22"/>
          <w:szCs w:val="22"/>
        </w:rPr>
        <w:t xml:space="preserve"> 423-A, and is:</w:t>
      </w:r>
    </w:p>
    <w:p w14:paraId="1F10505C"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1440"/>
        <w:rPr>
          <w:rFonts w:ascii="Times New Roman" w:hAnsi="Times New Roman"/>
          <w:sz w:val="22"/>
          <w:szCs w:val="22"/>
        </w:rPr>
      </w:pPr>
    </w:p>
    <w:p w14:paraId="4FE79E21" w14:textId="77777777" w:rsidR="00F9684F" w:rsidRDefault="00F9684F" w:rsidP="00F9684F">
      <w:pPr>
        <w:pStyle w:val="ListParagraph"/>
        <w:widowControl/>
        <w:numPr>
          <w:ilvl w:val="0"/>
          <w:numId w:val="19"/>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5539809C">
        <w:rPr>
          <w:rFonts w:ascii="Times New Roman" w:hAnsi="Times New Roman"/>
          <w:sz w:val="22"/>
          <w:szCs w:val="22"/>
        </w:rPr>
        <w:t>Located within a designated growth area consistent with 30-A M.R.S. § 4349</w:t>
      </w:r>
      <w:r>
        <w:rPr>
          <w:rFonts w:ascii="Times New Roman" w:hAnsi="Times New Roman"/>
          <w:sz w:val="22"/>
          <w:szCs w:val="22"/>
        </w:rPr>
        <w:t xml:space="preserve"> </w:t>
      </w:r>
      <w:r w:rsidRPr="5539809C">
        <w:rPr>
          <w:rFonts w:ascii="Times New Roman" w:hAnsi="Times New Roman"/>
          <w:sz w:val="22"/>
          <w:szCs w:val="22"/>
        </w:rPr>
        <w:t xml:space="preserve">A(1)(A)-(B); or </w:t>
      </w:r>
    </w:p>
    <w:p w14:paraId="03AA477C" w14:textId="77777777" w:rsidR="00F9684F" w:rsidRDefault="00F9684F" w:rsidP="00F9684F">
      <w:pPr>
        <w:pStyle w:val="ListParagraph"/>
        <w:widowControl/>
        <w:tabs>
          <w:tab w:val="left" w:pos="720"/>
          <w:tab w:val="left" w:pos="1440"/>
          <w:tab w:val="left" w:pos="2160"/>
          <w:tab w:val="left" w:pos="2880"/>
          <w:tab w:val="left" w:pos="3600"/>
          <w:tab w:val="left" w:pos="4320"/>
        </w:tabs>
        <w:spacing w:line="259" w:lineRule="auto"/>
        <w:ind w:left="2340"/>
        <w:rPr>
          <w:rFonts w:ascii="Times New Roman" w:hAnsi="Times New Roman"/>
          <w:sz w:val="22"/>
          <w:szCs w:val="22"/>
        </w:rPr>
      </w:pPr>
    </w:p>
    <w:p w14:paraId="36851E50" w14:textId="77777777" w:rsidR="00F9684F" w:rsidRPr="00CB555B" w:rsidRDefault="00F9684F" w:rsidP="00F9684F">
      <w:pPr>
        <w:pStyle w:val="ListParagraph"/>
        <w:widowControl/>
        <w:numPr>
          <w:ilvl w:val="0"/>
          <w:numId w:val="19"/>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00D20E35">
        <w:rPr>
          <w:rFonts w:ascii="Times New Roman" w:hAnsi="Times New Roman"/>
          <w:sz w:val="22"/>
          <w:szCs w:val="22"/>
        </w:rPr>
        <w:t>Served by a public, special district or other centrally managed water system and a</w:t>
      </w:r>
      <w:r>
        <w:rPr>
          <w:rFonts w:ascii="Times New Roman" w:hAnsi="Times New Roman"/>
          <w:sz w:val="22"/>
          <w:szCs w:val="22"/>
        </w:rPr>
        <w:t xml:space="preserve">   </w:t>
      </w:r>
      <w:r w:rsidRPr="00CB555B">
        <w:rPr>
          <w:rFonts w:ascii="Times New Roman" w:hAnsi="Times New Roman"/>
          <w:sz w:val="22"/>
          <w:szCs w:val="22"/>
        </w:rPr>
        <w:t xml:space="preserve">public, special district or other comparable sewer system in a municipality without a comprehensive plan. </w:t>
      </w:r>
    </w:p>
    <w:p w14:paraId="2BE8BABB" w14:textId="77777777" w:rsidR="00F9684F" w:rsidRDefault="00F9684F" w:rsidP="00F9684F">
      <w:pPr>
        <w:tabs>
          <w:tab w:val="left" w:pos="720"/>
          <w:tab w:val="left" w:pos="1440"/>
          <w:tab w:val="left" w:pos="2160"/>
          <w:tab w:val="left" w:pos="2880"/>
          <w:tab w:val="left" w:pos="3600"/>
          <w:tab w:val="left" w:pos="4320"/>
        </w:tabs>
        <w:spacing w:line="259" w:lineRule="auto"/>
        <w:ind w:left="1440"/>
        <w:rPr>
          <w:szCs w:val="24"/>
        </w:rPr>
      </w:pPr>
    </w:p>
    <w:p w14:paraId="1A505F58" w14:textId="77777777" w:rsidR="00F9684F" w:rsidRDefault="00F9684F" w:rsidP="00F9684F">
      <w:pPr>
        <w:pStyle w:val="ListParagraph"/>
        <w:widowControl/>
        <w:numPr>
          <w:ilvl w:val="0"/>
          <w:numId w:val="18"/>
        </w:numPr>
        <w:tabs>
          <w:tab w:val="left" w:pos="720"/>
          <w:tab w:val="left" w:pos="1440"/>
          <w:tab w:val="left" w:pos="2160"/>
          <w:tab w:val="left" w:pos="2880"/>
          <w:tab w:val="left" w:pos="3600"/>
          <w:tab w:val="left" w:pos="4320"/>
        </w:tabs>
        <w:spacing w:line="259" w:lineRule="auto"/>
        <w:rPr>
          <w:rFonts w:ascii="Times New Roman" w:hAnsi="Times New Roman"/>
          <w:sz w:val="22"/>
          <w:szCs w:val="22"/>
        </w:rPr>
      </w:pPr>
      <w:r w:rsidRPr="75F40C3D">
        <w:rPr>
          <w:rFonts w:ascii="Times New Roman" w:hAnsi="Times New Roman"/>
          <w:sz w:val="22"/>
          <w:szCs w:val="22"/>
        </w:rPr>
        <w:t xml:space="preserve">If a lot does not contain an existing dwelling unit and does not meet </w:t>
      </w:r>
      <w:proofErr w:type="spellStart"/>
      <w:r w:rsidRPr="75F40C3D">
        <w:rPr>
          <w:rFonts w:ascii="Times New Roman" w:hAnsi="Times New Roman"/>
          <w:sz w:val="22"/>
          <w:szCs w:val="22"/>
        </w:rPr>
        <w:t>i</w:t>
      </w:r>
      <w:proofErr w:type="spellEnd"/>
      <w:r w:rsidRPr="75F40C3D">
        <w:rPr>
          <w:rFonts w:ascii="Times New Roman" w:hAnsi="Times New Roman"/>
          <w:sz w:val="22"/>
          <w:szCs w:val="22"/>
        </w:rPr>
        <w:t xml:space="preserve">. or ii. above, a municipality must allow up to two (2) dwelling units per lot located in an area in which housing is allowed, provided that the requirements in 12 M.R.S. </w:t>
      </w:r>
      <w:proofErr w:type="spellStart"/>
      <w:r w:rsidRPr="75F40C3D">
        <w:rPr>
          <w:rFonts w:ascii="Times New Roman" w:hAnsi="Times New Roman"/>
          <w:sz w:val="22"/>
          <w:szCs w:val="22"/>
        </w:rPr>
        <w:t>ch.</w:t>
      </w:r>
      <w:proofErr w:type="spellEnd"/>
      <w:r w:rsidRPr="75F40C3D">
        <w:rPr>
          <w:rFonts w:ascii="Times New Roman" w:hAnsi="Times New Roman"/>
          <w:sz w:val="22"/>
          <w:szCs w:val="22"/>
        </w:rPr>
        <w:t xml:space="preserve"> 4230-A are met. The two (2) dwelling units may be (1) within one </w:t>
      </w:r>
      <w:proofErr w:type="gramStart"/>
      <w:r w:rsidRPr="75F40C3D">
        <w:rPr>
          <w:rFonts w:ascii="Times New Roman" w:hAnsi="Times New Roman"/>
          <w:sz w:val="22"/>
          <w:szCs w:val="22"/>
        </w:rPr>
        <w:t>structure;</w:t>
      </w:r>
      <w:proofErr w:type="gramEnd"/>
      <w:r w:rsidRPr="75F40C3D">
        <w:rPr>
          <w:rFonts w:ascii="Times New Roman" w:hAnsi="Times New Roman"/>
          <w:sz w:val="22"/>
          <w:szCs w:val="22"/>
        </w:rPr>
        <w:t xml:space="preserve"> or (2) separate structures. </w:t>
      </w:r>
    </w:p>
    <w:p w14:paraId="18666A6B"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2C0D4E3C" w14:textId="77777777" w:rsidR="00F9684F" w:rsidRDefault="00F9684F" w:rsidP="00F9684F">
      <w:pPr>
        <w:pStyle w:val="ListParagraph"/>
        <w:widowControl/>
        <w:numPr>
          <w:ilvl w:val="0"/>
          <w:numId w:val="1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If a lot contains one existing dwelling unit, a municipality must allow the addition of up to two (2) additional dwelling units. The additional dwelling unit(s) may be:</w:t>
      </w:r>
    </w:p>
    <w:p w14:paraId="157F1297" w14:textId="77777777" w:rsidR="00F9684F" w:rsidRPr="00C82491" w:rsidRDefault="00F9684F" w:rsidP="00F9684F">
      <w:pPr>
        <w:pStyle w:val="ListParagraph"/>
        <w:rPr>
          <w:rFonts w:ascii="Times New Roman" w:hAnsi="Times New Roman"/>
          <w:sz w:val="22"/>
          <w:szCs w:val="22"/>
        </w:rPr>
      </w:pPr>
    </w:p>
    <w:p w14:paraId="46F8E693" w14:textId="77777777" w:rsidR="00F9684F" w:rsidRPr="00C82491" w:rsidRDefault="00F9684F" w:rsidP="00F9684F">
      <w:pPr>
        <w:pStyle w:val="ListParagraph"/>
        <w:widowControl/>
        <w:numPr>
          <w:ilvl w:val="0"/>
          <w:numId w:val="20"/>
        </w:numPr>
        <w:tabs>
          <w:tab w:val="left" w:pos="720"/>
          <w:tab w:val="left" w:pos="1440"/>
          <w:tab w:val="left" w:pos="2160"/>
          <w:tab w:val="left" w:pos="2880"/>
          <w:tab w:val="left" w:pos="3600"/>
          <w:tab w:val="left" w:pos="4320"/>
        </w:tabs>
        <w:spacing w:line="480" w:lineRule="auto"/>
        <w:rPr>
          <w:rFonts w:ascii="Times New Roman" w:hAnsi="Times New Roman"/>
          <w:sz w:val="22"/>
          <w:szCs w:val="22"/>
        </w:rPr>
      </w:pPr>
      <w:r w:rsidRPr="5539809C">
        <w:rPr>
          <w:rFonts w:ascii="Times New Roman" w:hAnsi="Times New Roman"/>
          <w:sz w:val="22"/>
          <w:szCs w:val="22"/>
        </w:rPr>
        <w:t xml:space="preserve">Within the existing structure or attached to the existing </w:t>
      </w:r>
      <w:proofErr w:type="gramStart"/>
      <w:r w:rsidRPr="5539809C">
        <w:rPr>
          <w:rFonts w:ascii="Times New Roman" w:hAnsi="Times New Roman"/>
          <w:sz w:val="22"/>
          <w:szCs w:val="22"/>
        </w:rPr>
        <w:t>structure;</w:t>
      </w:r>
      <w:proofErr w:type="gramEnd"/>
      <w:r w:rsidRPr="5539809C">
        <w:rPr>
          <w:rFonts w:ascii="Times New Roman" w:hAnsi="Times New Roman"/>
          <w:sz w:val="22"/>
          <w:szCs w:val="22"/>
        </w:rPr>
        <w:t xml:space="preserve"> </w:t>
      </w:r>
    </w:p>
    <w:p w14:paraId="55B26653" w14:textId="77777777" w:rsidR="00F9684F" w:rsidRDefault="00F9684F" w:rsidP="00F9684F">
      <w:pPr>
        <w:pStyle w:val="ListParagraph"/>
        <w:widowControl/>
        <w:numPr>
          <w:ilvl w:val="0"/>
          <w:numId w:val="20"/>
        </w:numPr>
        <w:tabs>
          <w:tab w:val="left" w:pos="720"/>
          <w:tab w:val="left" w:pos="1440"/>
          <w:tab w:val="left" w:pos="2160"/>
          <w:tab w:val="left" w:pos="2880"/>
          <w:tab w:val="left" w:pos="3600"/>
          <w:tab w:val="left" w:pos="4320"/>
        </w:tabs>
        <w:spacing w:line="480" w:lineRule="auto"/>
        <w:rPr>
          <w:rFonts w:ascii="Times New Roman" w:hAnsi="Times New Roman"/>
          <w:sz w:val="22"/>
          <w:szCs w:val="22"/>
        </w:rPr>
      </w:pPr>
      <w:r w:rsidRPr="5539809C">
        <w:rPr>
          <w:rFonts w:ascii="Times New Roman" w:hAnsi="Times New Roman"/>
          <w:sz w:val="22"/>
          <w:szCs w:val="22"/>
        </w:rPr>
        <w:t>Detached from the existing structure; or</w:t>
      </w:r>
    </w:p>
    <w:p w14:paraId="380C5E96" w14:textId="77777777" w:rsidR="00F9684F" w:rsidRPr="00C82491" w:rsidRDefault="00F9684F" w:rsidP="00F9684F">
      <w:pPr>
        <w:pStyle w:val="ListParagraph"/>
        <w:widowControl/>
        <w:numPr>
          <w:ilvl w:val="0"/>
          <w:numId w:val="20"/>
        </w:numPr>
        <w:tabs>
          <w:tab w:val="left" w:pos="720"/>
          <w:tab w:val="left" w:pos="1440"/>
          <w:tab w:val="left" w:pos="2160"/>
          <w:tab w:val="left" w:pos="2880"/>
          <w:tab w:val="left" w:pos="3600"/>
          <w:tab w:val="left" w:pos="4320"/>
        </w:tabs>
        <w:spacing w:line="480" w:lineRule="auto"/>
        <w:rPr>
          <w:rFonts w:ascii="Times New Roman" w:hAnsi="Times New Roman"/>
          <w:sz w:val="22"/>
          <w:szCs w:val="22"/>
        </w:rPr>
      </w:pPr>
      <w:r w:rsidRPr="691F9A97">
        <w:rPr>
          <w:rFonts w:ascii="Times New Roman" w:hAnsi="Times New Roman"/>
          <w:sz w:val="22"/>
          <w:szCs w:val="22"/>
        </w:rPr>
        <w:t>One of each.</w:t>
      </w:r>
    </w:p>
    <w:p w14:paraId="4D957190" w14:textId="77777777" w:rsidR="00F9684F" w:rsidRDefault="00F9684F" w:rsidP="00F9684F">
      <w:pPr>
        <w:pStyle w:val="ListParagraph"/>
        <w:widowControl/>
        <w:numPr>
          <w:ilvl w:val="0"/>
          <w:numId w:val="1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C82491">
        <w:rPr>
          <w:rFonts w:ascii="Times New Roman" w:hAnsi="Times New Roman"/>
          <w:sz w:val="22"/>
          <w:szCs w:val="22"/>
        </w:rPr>
        <w:t xml:space="preserve">If a lot contains two existing dwelling units, no additional dwelling units may be built on the lot unless allowed under local municipal ordinance. </w:t>
      </w:r>
    </w:p>
    <w:p w14:paraId="79328FAE"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23BEF568" w14:textId="77777777" w:rsidR="00F9684F" w:rsidRPr="00C82491" w:rsidRDefault="00F9684F" w:rsidP="00F9684F">
      <w:pPr>
        <w:pStyle w:val="ListParagraph"/>
        <w:widowControl/>
        <w:numPr>
          <w:ilvl w:val="0"/>
          <w:numId w:val="1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C82491">
        <w:rPr>
          <w:rFonts w:ascii="Times New Roman" w:hAnsi="Times New Roman"/>
          <w:sz w:val="22"/>
          <w:szCs w:val="22"/>
        </w:rPr>
        <w:t xml:space="preserve">A municipality may allow more units than the minimum number of units required to be allowed on all lots that allow housing. </w:t>
      </w:r>
    </w:p>
    <w:p w14:paraId="6FD95F89"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1440"/>
        <w:rPr>
          <w:szCs w:val="24"/>
        </w:rPr>
      </w:pPr>
    </w:p>
    <w:p w14:paraId="0132F2ED" w14:textId="77777777" w:rsidR="00F9684F" w:rsidRDefault="00F9684F" w:rsidP="00F9684F">
      <w:pPr>
        <w:pStyle w:val="ListParagraph"/>
        <w:widowControl/>
        <w:numPr>
          <w:ilvl w:val="0"/>
          <w:numId w:val="1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Zoning </w:t>
      </w:r>
      <w:r w:rsidRPr="00E544B5">
        <w:rPr>
          <w:rFonts w:ascii="Times New Roman" w:hAnsi="Times New Roman"/>
          <w:sz w:val="22"/>
          <w:szCs w:val="22"/>
        </w:rPr>
        <w:tab/>
      </w:r>
    </w:p>
    <w:p w14:paraId="1A9E0DCC" w14:textId="77777777" w:rsidR="00F9684F" w:rsidRDefault="00F9684F" w:rsidP="00F9684F">
      <w:pPr>
        <w:tabs>
          <w:tab w:val="left" w:pos="720"/>
          <w:tab w:val="left" w:pos="1440"/>
          <w:tab w:val="left" w:pos="2160"/>
          <w:tab w:val="left" w:pos="2880"/>
          <w:tab w:val="left" w:pos="3600"/>
          <w:tab w:val="left" w:pos="4320"/>
        </w:tabs>
        <w:ind w:left="1440"/>
        <w:rPr>
          <w:rFonts w:ascii="Times New Roman" w:hAnsi="Times New Roman"/>
          <w:sz w:val="22"/>
          <w:szCs w:val="22"/>
        </w:rPr>
      </w:pPr>
    </w:p>
    <w:p w14:paraId="3C83F838" w14:textId="77777777" w:rsidR="00F9684F" w:rsidRDefault="00F9684F" w:rsidP="00F9684F">
      <w:pPr>
        <w:tabs>
          <w:tab w:val="left" w:pos="720"/>
          <w:tab w:val="left" w:pos="1440"/>
          <w:tab w:val="left" w:pos="2160"/>
          <w:tab w:val="left" w:pos="2880"/>
          <w:tab w:val="left" w:pos="3600"/>
          <w:tab w:val="left" w:pos="4320"/>
        </w:tabs>
        <w:ind w:left="1080"/>
        <w:rPr>
          <w:rFonts w:ascii="Times New Roman" w:hAnsi="Times New Roman"/>
          <w:sz w:val="22"/>
          <w:szCs w:val="22"/>
        </w:rPr>
      </w:pPr>
      <w:r w:rsidRPr="5539809C">
        <w:rPr>
          <w:rFonts w:ascii="Times New Roman" w:hAnsi="Times New Roman"/>
          <w:sz w:val="22"/>
          <w:szCs w:val="22"/>
        </w:rPr>
        <w:t xml:space="preserve">With respect to dwelling units allowed under this Section, municipal zoning ordinances must comply with the following: </w:t>
      </w:r>
    </w:p>
    <w:p w14:paraId="2DD648A9"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10AE4221" w14:textId="77777777" w:rsidR="00F9684F" w:rsidRDefault="00F9684F" w:rsidP="00F9684F">
      <w:pPr>
        <w:pStyle w:val="ListParagraph"/>
        <w:widowControl/>
        <w:numPr>
          <w:ilvl w:val="0"/>
          <w:numId w:val="2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If more than one dwelling unit has been constructed on a lot </w:t>
      </w:r>
      <w:proofErr w:type="gramStart"/>
      <w:r w:rsidRPr="5539809C">
        <w:rPr>
          <w:rFonts w:ascii="Times New Roman" w:hAnsi="Times New Roman"/>
          <w:sz w:val="22"/>
          <w:szCs w:val="22"/>
        </w:rPr>
        <w:t>as a result of</w:t>
      </w:r>
      <w:proofErr w:type="gramEnd"/>
      <w:r w:rsidRPr="5539809C">
        <w:rPr>
          <w:rFonts w:ascii="Times New Roman" w:hAnsi="Times New Roman"/>
          <w:sz w:val="22"/>
          <w:szCs w:val="22"/>
        </w:rPr>
        <w:t xml:space="preserve"> the allowance pursuant to this Section or Section 4, the lot is not eligible for any additional increases in density requirements except as allowed by the municipality. </w:t>
      </w:r>
    </w:p>
    <w:p w14:paraId="082BB173"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0F434ADE" w14:textId="77777777" w:rsidR="00F9684F" w:rsidRDefault="00F9684F" w:rsidP="00F9684F">
      <w:pPr>
        <w:pStyle w:val="ListParagraph"/>
        <w:widowControl/>
        <w:numPr>
          <w:ilvl w:val="0"/>
          <w:numId w:val="2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Municipalities may establish a prohibition or an allowance for lots where a dwelling unit in existence after July 1, 2023, is torn down and an empty </w:t>
      </w:r>
      <w:proofErr w:type="gramStart"/>
      <w:r w:rsidRPr="5539809C">
        <w:rPr>
          <w:rFonts w:ascii="Times New Roman" w:hAnsi="Times New Roman"/>
          <w:sz w:val="22"/>
          <w:szCs w:val="22"/>
        </w:rPr>
        <w:t>lot</w:t>
      </w:r>
      <w:proofErr w:type="gramEnd"/>
      <w:r w:rsidRPr="5539809C">
        <w:rPr>
          <w:rFonts w:ascii="Times New Roman" w:hAnsi="Times New Roman"/>
          <w:sz w:val="22"/>
          <w:szCs w:val="22"/>
        </w:rPr>
        <w:t xml:space="preserve"> results. </w:t>
      </w:r>
    </w:p>
    <w:p w14:paraId="239BE212"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2E3C8197" w14:textId="77777777" w:rsidR="00F9684F" w:rsidRPr="00E544B5" w:rsidRDefault="00F9684F" w:rsidP="00F9684F">
      <w:pPr>
        <w:pStyle w:val="ListParagraph"/>
        <w:widowControl/>
        <w:numPr>
          <w:ilvl w:val="0"/>
          <w:numId w:val="1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Dimensional and Setback Requirements</w:t>
      </w:r>
    </w:p>
    <w:p w14:paraId="62444868"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709AB3B7" w14:textId="77777777" w:rsidR="00F9684F" w:rsidRDefault="00F9684F" w:rsidP="00F9684F">
      <w:pPr>
        <w:pStyle w:val="ListParagraph"/>
        <w:widowControl/>
        <w:numPr>
          <w:ilvl w:val="0"/>
          <w:numId w:val="2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 xml:space="preserve">A municipal ordinance may not establish dimensional requirements or setback requirements for dwelling units allowed pursuant to this Section that are more restrictive than the dimensional requirements or setback requirements for single-family housing units. </w:t>
      </w:r>
    </w:p>
    <w:p w14:paraId="79ED6FEF"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24EC18CA" w14:textId="77777777" w:rsidR="00F9684F" w:rsidRDefault="00F9684F" w:rsidP="00F9684F">
      <w:pPr>
        <w:pStyle w:val="ListParagraph"/>
        <w:widowControl/>
        <w:numPr>
          <w:ilvl w:val="0"/>
          <w:numId w:val="2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lastRenderedPageBreak/>
        <w:t xml:space="preserve">A municipality may establish requirements for a </w:t>
      </w:r>
      <w:proofErr w:type="gramStart"/>
      <w:r w:rsidRPr="691F9A97">
        <w:rPr>
          <w:rFonts w:ascii="Times New Roman" w:hAnsi="Times New Roman"/>
          <w:sz w:val="22"/>
          <w:szCs w:val="22"/>
        </w:rPr>
        <w:t>lot</w:t>
      </w:r>
      <w:proofErr w:type="gramEnd"/>
      <w:r w:rsidRPr="691F9A97">
        <w:rPr>
          <w:rFonts w:ascii="Times New Roman" w:hAnsi="Times New Roman"/>
          <w:sz w:val="22"/>
          <w:szCs w:val="22"/>
        </w:rPr>
        <w:t xml:space="preserve"> area per dwelling unit as long as the additional dwelling units do not require more land area per unit than the first unit.  </w:t>
      </w:r>
    </w:p>
    <w:p w14:paraId="107FC5B1"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10CFD5A5" w14:textId="77777777" w:rsidR="00F9684F" w:rsidRDefault="00F9684F" w:rsidP="00F9684F">
      <w:pPr>
        <w:pStyle w:val="ListParagraph"/>
        <w:widowControl/>
        <w:numPr>
          <w:ilvl w:val="0"/>
          <w:numId w:val="1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Water and Wastewater</w:t>
      </w:r>
    </w:p>
    <w:p w14:paraId="1043D337"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highlight w:val="yellow"/>
        </w:rPr>
      </w:pPr>
    </w:p>
    <w:p w14:paraId="150AA845" w14:textId="77777777" w:rsidR="00F9684F" w:rsidRDefault="00F9684F" w:rsidP="00F9684F">
      <w:pPr>
        <w:pStyle w:val="ListParagraph"/>
        <w:widowControl/>
        <w:numPr>
          <w:ilvl w:val="0"/>
          <w:numId w:val="23"/>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 xml:space="preserve">The municipality must require an owner of a housing structure to provide written verification that each structure is connected to adequate water and wastewater services prior to certification of the development for occupancy or similar type of approval process. Written verification must include the following: </w:t>
      </w:r>
    </w:p>
    <w:p w14:paraId="54E616E3"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1A08E8AB" w14:textId="77777777" w:rsidR="00F9684F" w:rsidRDefault="00F9684F" w:rsidP="00F9684F">
      <w:pPr>
        <w:pStyle w:val="ListParagraph"/>
        <w:widowControl/>
        <w:numPr>
          <w:ilvl w:val="0"/>
          <w:numId w:val="24"/>
        </w:numPr>
        <w:tabs>
          <w:tab w:val="left" w:pos="720"/>
          <w:tab w:val="left" w:pos="1440"/>
          <w:tab w:val="left" w:pos="2880"/>
          <w:tab w:val="left" w:pos="3600"/>
          <w:tab w:val="left" w:pos="4320"/>
        </w:tabs>
        <w:spacing w:line="259" w:lineRule="auto"/>
        <w:rPr>
          <w:rFonts w:ascii="Times New Roman" w:hAnsi="Times New Roman"/>
          <w:sz w:val="22"/>
          <w:szCs w:val="22"/>
        </w:rPr>
      </w:pPr>
      <w:r w:rsidRPr="5539809C">
        <w:rPr>
          <w:rFonts w:ascii="Times New Roman" w:hAnsi="Times New Roman"/>
          <w:sz w:val="22"/>
          <w:szCs w:val="22"/>
        </w:rPr>
        <w:t xml:space="preserve">If a housing structure is connected to a public, special district or other comparable sewer system, proof of adequate service to support any additional flow created by the unit and proof of payment for the connection to the sewer </w:t>
      </w:r>
      <w:proofErr w:type="gramStart"/>
      <w:r w:rsidRPr="5539809C">
        <w:rPr>
          <w:rFonts w:ascii="Times New Roman" w:hAnsi="Times New Roman"/>
          <w:sz w:val="22"/>
          <w:szCs w:val="22"/>
        </w:rPr>
        <w:t>system;</w:t>
      </w:r>
      <w:proofErr w:type="gramEnd"/>
    </w:p>
    <w:p w14:paraId="62D2B8AB" w14:textId="77777777" w:rsidR="00F9684F" w:rsidRDefault="00F9684F" w:rsidP="00F9684F">
      <w:pPr>
        <w:pStyle w:val="ListParagraph"/>
        <w:widowControl/>
        <w:tabs>
          <w:tab w:val="left" w:pos="720"/>
          <w:tab w:val="left" w:pos="1440"/>
          <w:tab w:val="left" w:pos="2160"/>
          <w:tab w:val="left" w:pos="2880"/>
          <w:tab w:val="left" w:pos="3600"/>
          <w:tab w:val="left" w:pos="4320"/>
        </w:tabs>
        <w:spacing w:line="259" w:lineRule="auto"/>
        <w:ind w:left="2160"/>
        <w:rPr>
          <w:rFonts w:ascii="Times New Roman" w:hAnsi="Times New Roman"/>
          <w:sz w:val="22"/>
          <w:szCs w:val="22"/>
        </w:rPr>
      </w:pPr>
    </w:p>
    <w:p w14:paraId="49035C13" w14:textId="77777777" w:rsidR="00F9684F" w:rsidRDefault="00F9684F" w:rsidP="00F9684F">
      <w:pPr>
        <w:pStyle w:val="ListParagraph"/>
        <w:widowControl/>
        <w:numPr>
          <w:ilvl w:val="0"/>
          <w:numId w:val="24"/>
        </w:numPr>
        <w:tabs>
          <w:tab w:val="left" w:pos="720"/>
          <w:tab w:val="left" w:pos="1440"/>
          <w:tab w:val="left" w:pos="2880"/>
          <w:tab w:val="left" w:pos="3600"/>
          <w:tab w:val="left" w:pos="4320"/>
        </w:tabs>
        <w:spacing w:line="259" w:lineRule="auto"/>
        <w:rPr>
          <w:rFonts w:ascii="Times New Roman" w:hAnsi="Times New Roman"/>
          <w:sz w:val="22"/>
          <w:szCs w:val="22"/>
        </w:rPr>
      </w:pPr>
      <w:r w:rsidRPr="5539809C">
        <w:rPr>
          <w:rFonts w:ascii="Times New Roman" w:hAnsi="Times New Roman"/>
          <w:sz w:val="22"/>
          <w:szCs w:val="22"/>
        </w:rPr>
        <w:t xml:space="preserve">If a housing structure is connected to a septic system, proof of adequate sewage disposal for subsurface wastewater. The septic system must be verified as adequate by a local plumbing inspector pursuant to 30-A M.R.S. § 4221. Plans for a subsurface wastewater disposal must be prepared by a licensed site evaluator in accordance with 10-144 C.M.R. </w:t>
      </w:r>
      <w:proofErr w:type="spellStart"/>
      <w:r w:rsidRPr="5539809C">
        <w:rPr>
          <w:rFonts w:ascii="Times New Roman" w:hAnsi="Times New Roman"/>
          <w:sz w:val="22"/>
          <w:szCs w:val="22"/>
        </w:rPr>
        <w:t>ch.</w:t>
      </w:r>
      <w:proofErr w:type="spellEnd"/>
      <w:r w:rsidRPr="5539809C">
        <w:rPr>
          <w:rFonts w:ascii="Times New Roman" w:hAnsi="Times New Roman"/>
          <w:sz w:val="22"/>
          <w:szCs w:val="22"/>
        </w:rPr>
        <w:t xml:space="preserve"> 241, Subsurface Wastewater Disposal Rules. </w:t>
      </w:r>
    </w:p>
    <w:p w14:paraId="20F02A95" w14:textId="77777777" w:rsidR="00F9684F" w:rsidRDefault="00F9684F" w:rsidP="00F9684F">
      <w:pPr>
        <w:pStyle w:val="ListParagraph"/>
        <w:widowControl/>
        <w:tabs>
          <w:tab w:val="left" w:pos="720"/>
          <w:tab w:val="left" w:pos="1440"/>
          <w:tab w:val="left" w:pos="2880"/>
          <w:tab w:val="left" w:pos="3600"/>
          <w:tab w:val="left" w:pos="4320"/>
        </w:tabs>
        <w:spacing w:line="259" w:lineRule="auto"/>
        <w:ind w:left="2340"/>
        <w:rPr>
          <w:rFonts w:ascii="Times New Roman" w:hAnsi="Times New Roman"/>
          <w:sz w:val="22"/>
          <w:szCs w:val="22"/>
        </w:rPr>
      </w:pPr>
    </w:p>
    <w:p w14:paraId="389E5C43" w14:textId="77777777" w:rsidR="00F9684F" w:rsidRDefault="00F9684F" w:rsidP="00F9684F">
      <w:pPr>
        <w:pStyle w:val="ListParagraph"/>
        <w:widowControl/>
        <w:numPr>
          <w:ilvl w:val="0"/>
          <w:numId w:val="24"/>
        </w:numPr>
        <w:tabs>
          <w:tab w:val="left" w:pos="720"/>
          <w:tab w:val="left" w:pos="1440"/>
          <w:tab w:val="left" w:pos="2880"/>
          <w:tab w:val="left" w:pos="3600"/>
          <w:tab w:val="left" w:pos="4320"/>
        </w:tabs>
        <w:spacing w:line="259" w:lineRule="auto"/>
        <w:rPr>
          <w:rFonts w:ascii="Times New Roman" w:hAnsi="Times New Roman"/>
          <w:sz w:val="22"/>
          <w:szCs w:val="22"/>
        </w:rPr>
      </w:pPr>
      <w:r w:rsidRPr="5539809C">
        <w:rPr>
          <w:rFonts w:ascii="Times New Roman" w:hAnsi="Times New Roman"/>
          <w:sz w:val="22"/>
          <w:szCs w:val="22"/>
        </w:rPr>
        <w:t xml:space="preserve">If a housing structure is connected to a public, special district or other centrally managed water system, proof of adequate service to support any additional flow created by the unit, proof of payment for the connection and the volume and supply of water required for the unit; and </w:t>
      </w:r>
    </w:p>
    <w:p w14:paraId="2E4650C8"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5A95C559" w14:textId="77777777" w:rsidR="00F9684F" w:rsidRPr="00BF0ADB" w:rsidRDefault="00F9684F" w:rsidP="00F9684F">
      <w:pPr>
        <w:pStyle w:val="ListParagraph"/>
        <w:widowControl/>
        <w:numPr>
          <w:ilvl w:val="0"/>
          <w:numId w:val="24"/>
        </w:numPr>
        <w:tabs>
          <w:tab w:val="left" w:pos="720"/>
          <w:tab w:val="left" w:pos="1440"/>
          <w:tab w:val="left" w:pos="2880"/>
          <w:tab w:val="left" w:pos="3600"/>
          <w:tab w:val="left" w:pos="4320"/>
        </w:tabs>
        <w:spacing w:line="259" w:lineRule="auto"/>
        <w:rPr>
          <w:rFonts w:ascii="Times New Roman" w:hAnsi="Times New Roman"/>
          <w:sz w:val="22"/>
          <w:szCs w:val="22"/>
        </w:rPr>
      </w:pPr>
      <w:r w:rsidRPr="00BF0ADB">
        <w:rPr>
          <w:rFonts w:ascii="Times New Roman" w:hAnsi="Times New Roman"/>
          <w:sz w:val="22"/>
          <w:szCs w:val="22"/>
        </w:rPr>
        <w:t xml:space="preserve">If a housing structure is connected to a well, proof of access to potable water, including the standards outlined in 01-672 C.M.R. </w:t>
      </w:r>
      <w:proofErr w:type="spellStart"/>
      <w:r w:rsidRPr="00BF0ADB">
        <w:rPr>
          <w:rFonts w:ascii="Times New Roman" w:hAnsi="Times New Roman"/>
          <w:sz w:val="22"/>
          <w:szCs w:val="22"/>
        </w:rPr>
        <w:t>ch.</w:t>
      </w:r>
      <w:proofErr w:type="spellEnd"/>
      <w:r w:rsidRPr="00BF0ADB">
        <w:rPr>
          <w:rFonts w:ascii="Times New Roman" w:hAnsi="Times New Roman"/>
          <w:sz w:val="22"/>
          <w:szCs w:val="22"/>
        </w:rPr>
        <w:t xml:space="preserve"> 10, section 10.25(J), Land Use Districts and Standards.  Any test of an existing well or proposed well must indicate that the water supply is potable and acceptable for domestic use.</w:t>
      </w:r>
    </w:p>
    <w:p w14:paraId="3EC0C61E" w14:textId="77777777" w:rsidR="00F9684F" w:rsidRDefault="00F9684F" w:rsidP="00F9684F">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47D3E20" w14:textId="77777777" w:rsidR="00F9684F" w:rsidRDefault="00F9684F" w:rsidP="00F9684F">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53C50134" w14:textId="77777777" w:rsidR="00F9684F" w:rsidRDefault="00F9684F" w:rsidP="00F9684F">
      <w:pPr>
        <w:pStyle w:val="ListParagraph"/>
        <w:widowControl/>
        <w:numPr>
          <w:ilvl w:val="0"/>
          <w:numId w:val="6"/>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5539809C">
        <w:rPr>
          <w:rFonts w:ascii="Times New Roman" w:hAnsi="Times New Roman"/>
          <w:b/>
          <w:bCs/>
          <w:sz w:val="22"/>
          <w:szCs w:val="22"/>
        </w:rPr>
        <w:t xml:space="preserve">MUNICIPAL IMPLEMENTATION </w:t>
      </w:r>
    </w:p>
    <w:p w14:paraId="47CC0ED8" w14:textId="77777777" w:rsidR="00F9684F" w:rsidRDefault="00F9684F" w:rsidP="00F9684F">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A623DF8" w14:textId="77777777" w:rsidR="00F9684F" w:rsidRDefault="00F9684F" w:rsidP="00F9684F">
      <w:pPr>
        <w:tabs>
          <w:tab w:val="left" w:pos="720"/>
          <w:tab w:val="left" w:pos="1440"/>
          <w:tab w:val="left" w:pos="2160"/>
          <w:tab w:val="left" w:pos="2880"/>
          <w:tab w:val="left" w:pos="3600"/>
          <w:tab w:val="left" w:pos="4320"/>
        </w:tabs>
        <w:ind w:left="720"/>
        <w:rPr>
          <w:szCs w:val="24"/>
        </w:rPr>
      </w:pPr>
      <w:r w:rsidRPr="5539809C">
        <w:rPr>
          <w:rFonts w:ascii="Times New Roman" w:hAnsi="Times New Roman"/>
          <w:sz w:val="22"/>
          <w:szCs w:val="22"/>
        </w:rPr>
        <w:t xml:space="preserve">In adopting an ordinance, a municipality may: </w:t>
      </w:r>
    </w:p>
    <w:p w14:paraId="25F05A91" w14:textId="77777777" w:rsidR="00F9684F" w:rsidRDefault="00F9684F" w:rsidP="00F9684F">
      <w:pPr>
        <w:tabs>
          <w:tab w:val="left" w:pos="720"/>
          <w:tab w:val="left" w:pos="1440"/>
          <w:tab w:val="left" w:pos="2160"/>
          <w:tab w:val="left" w:pos="2880"/>
          <w:tab w:val="left" w:pos="3600"/>
          <w:tab w:val="left" w:pos="4320"/>
        </w:tabs>
        <w:ind w:left="720"/>
        <w:rPr>
          <w:rFonts w:ascii="Times New Roman" w:hAnsi="Times New Roman"/>
          <w:sz w:val="22"/>
          <w:szCs w:val="22"/>
        </w:rPr>
      </w:pPr>
    </w:p>
    <w:p w14:paraId="10CF2FBD" w14:textId="77777777" w:rsidR="00F9684F" w:rsidRPr="005505F7" w:rsidRDefault="00F9684F" w:rsidP="00F9684F">
      <w:pPr>
        <w:pStyle w:val="ListParagraph"/>
        <w:widowControl/>
        <w:numPr>
          <w:ilvl w:val="0"/>
          <w:numId w:val="25"/>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691F9A97">
        <w:rPr>
          <w:rFonts w:ascii="Times New Roman" w:hAnsi="Times New Roman"/>
          <w:sz w:val="22"/>
          <w:szCs w:val="22"/>
        </w:rPr>
        <w:t xml:space="preserve">Establish an application and permitting process for dwelling </w:t>
      </w:r>
      <w:proofErr w:type="gramStart"/>
      <w:r w:rsidRPr="691F9A97">
        <w:rPr>
          <w:rFonts w:ascii="Times New Roman" w:hAnsi="Times New Roman"/>
          <w:sz w:val="22"/>
          <w:szCs w:val="22"/>
        </w:rPr>
        <w:t>units;</w:t>
      </w:r>
      <w:proofErr w:type="gramEnd"/>
      <w:r w:rsidRPr="691F9A97">
        <w:rPr>
          <w:rFonts w:ascii="Times New Roman" w:hAnsi="Times New Roman"/>
          <w:sz w:val="22"/>
          <w:szCs w:val="22"/>
        </w:rPr>
        <w:t xml:space="preserve"> </w:t>
      </w:r>
    </w:p>
    <w:p w14:paraId="77672EF0" w14:textId="77777777" w:rsidR="00F9684F" w:rsidRPr="005505F7"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4C809FC1" w14:textId="77777777" w:rsidR="00F9684F" w:rsidRDefault="00F9684F" w:rsidP="00F9684F">
      <w:pPr>
        <w:pStyle w:val="ListParagraph"/>
        <w:widowControl/>
        <w:numPr>
          <w:ilvl w:val="0"/>
          <w:numId w:val="25"/>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691F9A97">
        <w:rPr>
          <w:rFonts w:ascii="Times New Roman" w:hAnsi="Times New Roman"/>
          <w:sz w:val="22"/>
          <w:szCs w:val="22"/>
        </w:rPr>
        <w:t xml:space="preserve">Impose fines for violations of building, site plan, zoning, and utility requirements for dwelling units; and </w:t>
      </w:r>
    </w:p>
    <w:p w14:paraId="7D7D7E9C"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26F1C29" w14:textId="77777777" w:rsidR="00F9684F" w:rsidRPr="009A5027" w:rsidRDefault="00F9684F" w:rsidP="00F9684F">
      <w:pPr>
        <w:pStyle w:val="ListParagraph"/>
        <w:widowControl/>
        <w:numPr>
          <w:ilvl w:val="0"/>
          <w:numId w:val="25"/>
        </w:num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9A5027">
        <w:rPr>
          <w:rFonts w:ascii="Times New Roman" w:hAnsi="Times New Roman"/>
          <w:sz w:val="22"/>
          <w:szCs w:val="22"/>
        </w:rPr>
        <w:t>Establish alternative criteria that are less restrictive than the requirements of Section 3(B)(4) for the approval of a dwelling units only in circumstances in which the municipality would be able to provide a variance pursuant to 30-A M.R.S. § 4353(4</w:t>
      </w:r>
      <w:r>
        <w:rPr>
          <w:rFonts w:ascii="Times New Roman" w:hAnsi="Times New Roman"/>
          <w:sz w:val="22"/>
          <w:szCs w:val="22"/>
        </w:rPr>
        <w:t>)(A</w:t>
      </w:r>
      <w:r w:rsidRPr="009A5027">
        <w:rPr>
          <w:rFonts w:ascii="Times New Roman" w:hAnsi="Times New Roman"/>
          <w:sz w:val="22"/>
          <w:szCs w:val="22"/>
        </w:rPr>
        <w:t>)</w:t>
      </w:r>
      <w:r>
        <w:rPr>
          <w:rFonts w:ascii="Times New Roman" w:hAnsi="Times New Roman"/>
          <w:sz w:val="22"/>
          <w:szCs w:val="22"/>
        </w:rPr>
        <w:t xml:space="preserve">, (B), or </w:t>
      </w:r>
      <w:r w:rsidRPr="009A5027">
        <w:rPr>
          <w:rFonts w:ascii="Times New Roman" w:hAnsi="Times New Roman"/>
          <w:sz w:val="22"/>
          <w:szCs w:val="22"/>
        </w:rPr>
        <w:t xml:space="preserve">(C).  </w:t>
      </w:r>
    </w:p>
    <w:p w14:paraId="0B98238B"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p>
    <w:p w14:paraId="66984C62"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5D9E8995">
        <w:rPr>
          <w:rFonts w:ascii="Times New Roman" w:hAnsi="Times New Roman"/>
          <w:b/>
          <w:bCs/>
          <w:sz w:val="22"/>
          <w:szCs w:val="22"/>
        </w:rPr>
        <w:t>SECTION 4. ACCESSORY DWELLING UNITS</w:t>
      </w:r>
    </w:p>
    <w:p w14:paraId="7BB730FA"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p>
    <w:p w14:paraId="3DDEDDCF" w14:textId="77777777" w:rsidR="00F9684F" w:rsidRPr="007659E8" w:rsidRDefault="00F9684F" w:rsidP="00F9684F">
      <w:pPr>
        <w:pStyle w:val="ListParagraph"/>
        <w:widowControl/>
        <w:numPr>
          <w:ilvl w:val="0"/>
          <w:numId w:val="7"/>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007659E8">
        <w:rPr>
          <w:rFonts w:ascii="Times New Roman" w:hAnsi="Times New Roman"/>
          <w:b/>
          <w:bCs/>
          <w:sz w:val="22"/>
          <w:szCs w:val="22"/>
        </w:rPr>
        <w:t>GENERAL</w:t>
      </w:r>
    </w:p>
    <w:p w14:paraId="29F012C3"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7A0C7E08"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75F40C3D">
        <w:rPr>
          <w:rFonts w:ascii="Times New Roman" w:hAnsi="Times New Roman"/>
          <w:sz w:val="22"/>
          <w:szCs w:val="22"/>
        </w:rPr>
        <w:t xml:space="preserve">A municipality must allow, effective July 1, 2023, one accessory dwelling unit to be located on the same lot as a single-family dwelling unit in any area in which housing is allowed, subject to the requirements outlined below. </w:t>
      </w:r>
    </w:p>
    <w:p w14:paraId="4C4BE5C7"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16BADA4A" w14:textId="77777777" w:rsidR="00F9684F" w:rsidRDefault="00F9684F" w:rsidP="00F9684F">
      <w:pPr>
        <w:pStyle w:val="ListParagraph"/>
        <w:widowControl/>
        <w:numPr>
          <w:ilvl w:val="0"/>
          <w:numId w:val="7"/>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5539809C">
        <w:rPr>
          <w:rFonts w:ascii="Times New Roman" w:hAnsi="Times New Roman"/>
          <w:b/>
          <w:bCs/>
          <w:sz w:val="22"/>
          <w:szCs w:val="22"/>
        </w:rPr>
        <w:t>REQUIREMENTS</w:t>
      </w:r>
    </w:p>
    <w:p w14:paraId="1954F7F1"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p>
    <w:p w14:paraId="6BB88EB9" w14:textId="77777777" w:rsidR="00F9684F" w:rsidRDefault="00F9684F" w:rsidP="00F9684F">
      <w:pPr>
        <w:pStyle w:val="ListParagraph"/>
        <w:widowControl/>
        <w:numPr>
          <w:ilvl w:val="0"/>
          <w:numId w:val="2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Accessory Dwelling Unit Allowance </w:t>
      </w:r>
    </w:p>
    <w:p w14:paraId="22483590" w14:textId="77777777" w:rsidR="00F9684F" w:rsidRDefault="00F9684F" w:rsidP="00F9684F">
      <w:pPr>
        <w:tabs>
          <w:tab w:val="left" w:pos="720"/>
          <w:tab w:val="left" w:pos="1440"/>
          <w:tab w:val="left" w:pos="2160"/>
          <w:tab w:val="left" w:pos="2880"/>
          <w:tab w:val="left" w:pos="3600"/>
          <w:tab w:val="left" w:pos="4320"/>
        </w:tabs>
        <w:spacing w:line="259" w:lineRule="auto"/>
        <w:ind w:left="1440" w:firstLine="720"/>
        <w:rPr>
          <w:rFonts w:ascii="Times New Roman" w:hAnsi="Times New Roman"/>
          <w:sz w:val="22"/>
          <w:szCs w:val="22"/>
        </w:rPr>
      </w:pPr>
    </w:p>
    <w:p w14:paraId="473B8D95" w14:textId="77777777" w:rsidR="00F9684F" w:rsidRDefault="00F9684F" w:rsidP="00F9684F">
      <w:pPr>
        <w:tabs>
          <w:tab w:val="left" w:pos="720"/>
          <w:tab w:val="left" w:pos="1440"/>
          <w:tab w:val="left" w:pos="2160"/>
          <w:tab w:val="left" w:pos="2880"/>
          <w:tab w:val="left" w:pos="3600"/>
          <w:tab w:val="left" w:pos="4320"/>
        </w:tabs>
        <w:spacing w:line="259" w:lineRule="auto"/>
        <w:ind w:left="720" w:firstLine="720"/>
        <w:rPr>
          <w:rFonts w:ascii="Times New Roman" w:hAnsi="Times New Roman"/>
          <w:sz w:val="22"/>
          <w:szCs w:val="22"/>
        </w:rPr>
      </w:pPr>
      <w:r w:rsidRPr="5539809C">
        <w:rPr>
          <w:rFonts w:ascii="Times New Roman" w:hAnsi="Times New Roman"/>
          <w:sz w:val="22"/>
          <w:szCs w:val="22"/>
        </w:rPr>
        <w:t xml:space="preserve">An accessory dwelling unit may be constructed only: </w:t>
      </w:r>
    </w:p>
    <w:p w14:paraId="52B376C7"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49E08E7A" w14:textId="77777777" w:rsidR="00F9684F" w:rsidRDefault="00F9684F" w:rsidP="00F9684F">
      <w:pPr>
        <w:pStyle w:val="ListParagraph"/>
        <w:widowControl/>
        <w:numPr>
          <w:ilvl w:val="0"/>
          <w:numId w:val="2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Within an existing dwelling unit on the </w:t>
      </w:r>
      <w:proofErr w:type="gramStart"/>
      <w:r w:rsidRPr="5539809C">
        <w:rPr>
          <w:rFonts w:ascii="Times New Roman" w:hAnsi="Times New Roman"/>
          <w:sz w:val="22"/>
          <w:szCs w:val="22"/>
        </w:rPr>
        <w:t>lot;</w:t>
      </w:r>
      <w:proofErr w:type="gramEnd"/>
      <w:r w:rsidRPr="5539809C">
        <w:rPr>
          <w:rFonts w:ascii="Times New Roman" w:hAnsi="Times New Roman"/>
          <w:sz w:val="22"/>
          <w:szCs w:val="22"/>
        </w:rPr>
        <w:t xml:space="preserve"> </w:t>
      </w:r>
    </w:p>
    <w:p w14:paraId="46C6C486"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26E193A" w14:textId="77777777" w:rsidR="00F9684F" w:rsidRDefault="00F9684F" w:rsidP="00F9684F">
      <w:pPr>
        <w:pStyle w:val="ListParagraph"/>
        <w:widowControl/>
        <w:numPr>
          <w:ilvl w:val="0"/>
          <w:numId w:val="2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Attached to or sharing a wall with a single-family dwelling unit; or </w:t>
      </w:r>
    </w:p>
    <w:p w14:paraId="64CAAA06"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4DE98DDB" w14:textId="77777777" w:rsidR="00F9684F" w:rsidRDefault="00F9684F" w:rsidP="00F9684F">
      <w:pPr>
        <w:pStyle w:val="ListParagraph"/>
        <w:widowControl/>
        <w:numPr>
          <w:ilvl w:val="0"/>
          <w:numId w:val="27"/>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As a new structure on the lot for the primary purpose of creating an accessory dwelling unit. </w:t>
      </w:r>
    </w:p>
    <w:p w14:paraId="13F3F70F" w14:textId="77777777" w:rsidR="00F9684F" w:rsidRDefault="00F9684F" w:rsidP="00F9684F">
      <w:pPr>
        <w:tabs>
          <w:tab w:val="left" w:pos="720"/>
          <w:tab w:val="left" w:pos="1440"/>
          <w:tab w:val="left" w:pos="2160"/>
          <w:tab w:val="left" w:pos="2880"/>
          <w:tab w:val="left" w:pos="3600"/>
          <w:tab w:val="left" w:pos="4320"/>
        </w:tabs>
        <w:spacing w:line="259" w:lineRule="auto"/>
        <w:rPr>
          <w:szCs w:val="24"/>
        </w:rPr>
      </w:pPr>
    </w:p>
    <w:p w14:paraId="1159AE87" w14:textId="77777777" w:rsidR="00F9684F" w:rsidRPr="005505F7" w:rsidRDefault="00F9684F" w:rsidP="00F9684F">
      <w:pPr>
        <w:pStyle w:val="ListParagraph"/>
        <w:widowControl/>
        <w:numPr>
          <w:ilvl w:val="0"/>
          <w:numId w:val="2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Zoning </w:t>
      </w:r>
    </w:p>
    <w:p w14:paraId="38892DBC" w14:textId="77777777" w:rsidR="00F9684F" w:rsidRDefault="00F9684F" w:rsidP="00F9684F">
      <w:pPr>
        <w:tabs>
          <w:tab w:val="left" w:pos="720"/>
          <w:tab w:val="left" w:pos="1440"/>
          <w:tab w:val="left" w:pos="2160"/>
          <w:tab w:val="left" w:pos="2880"/>
          <w:tab w:val="left" w:pos="3600"/>
          <w:tab w:val="left" w:pos="4320"/>
        </w:tabs>
        <w:spacing w:line="259" w:lineRule="auto"/>
        <w:ind w:left="1440"/>
        <w:rPr>
          <w:szCs w:val="24"/>
        </w:rPr>
      </w:pPr>
    </w:p>
    <w:p w14:paraId="01AC6416" w14:textId="77777777" w:rsidR="00F9684F" w:rsidRDefault="00F9684F" w:rsidP="00F9684F">
      <w:p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8E0503">
        <w:rPr>
          <w:rFonts w:ascii="Times New Roman" w:hAnsi="Times New Roman"/>
          <w:sz w:val="22"/>
          <w:szCs w:val="22"/>
        </w:rPr>
        <w:t>With respect to accessory dwelling units, municipalities with zoning ordinances and municipalities without zoning must comply with the following conditions</w:t>
      </w:r>
      <w:r>
        <w:rPr>
          <w:rFonts w:ascii="Times New Roman" w:hAnsi="Times New Roman"/>
          <w:sz w:val="22"/>
          <w:szCs w:val="22"/>
        </w:rPr>
        <w:t>:</w:t>
      </w:r>
    </w:p>
    <w:p w14:paraId="4D884ADA" w14:textId="77777777" w:rsidR="00F9684F" w:rsidRDefault="00F9684F" w:rsidP="00F9684F">
      <w:pPr>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0AC6325" w14:textId="77777777" w:rsidR="00F9684F" w:rsidRDefault="00F9684F" w:rsidP="00F9684F">
      <w:pPr>
        <w:pStyle w:val="ListParagraph"/>
        <w:widowControl/>
        <w:numPr>
          <w:ilvl w:val="0"/>
          <w:numId w:val="33"/>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8E0503">
        <w:rPr>
          <w:rFonts w:ascii="Times New Roman" w:hAnsi="Times New Roman"/>
          <w:sz w:val="22"/>
          <w:szCs w:val="22"/>
        </w:rPr>
        <w:t xml:space="preserve">At least one accessory dwelling unit must be allowed on any lot where a single-family dwelling unit is the principal </w:t>
      </w:r>
      <w:proofErr w:type="gramStart"/>
      <w:r w:rsidRPr="008E0503">
        <w:rPr>
          <w:rFonts w:ascii="Times New Roman" w:hAnsi="Times New Roman"/>
          <w:sz w:val="22"/>
          <w:szCs w:val="22"/>
        </w:rPr>
        <w:t>structure;</w:t>
      </w:r>
      <w:proofErr w:type="gramEnd"/>
      <w:r w:rsidRPr="008E0503">
        <w:rPr>
          <w:rFonts w:ascii="Times New Roman" w:hAnsi="Times New Roman"/>
          <w:sz w:val="22"/>
          <w:szCs w:val="22"/>
        </w:rPr>
        <w:t xml:space="preserve"> and </w:t>
      </w:r>
    </w:p>
    <w:p w14:paraId="706433AB"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4F1F0DEC" w14:textId="77777777" w:rsidR="00F9684F" w:rsidRPr="008E0503" w:rsidRDefault="00F9684F" w:rsidP="00F9684F">
      <w:pPr>
        <w:pStyle w:val="ListParagraph"/>
        <w:widowControl/>
        <w:numPr>
          <w:ilvl w:val="0"/>
          <w:numId w:val="33"/>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8E0503">
        <w:rPr>
          <w:rFonts w:ascii="Times New Roman" w:hAnsi="Times New Roman"/>
          <w:sz w:val="22"/>
          <w:szCs w:val="22"/>
        </w:rPr>
        <w:t xml:space="preserve">If more than one accessory dwelling unit has been constructed on a lot </w:t>
      </w:r>
      <w:proofErr w:type="gramStart"/>
      <w:r w:rsidRPr="008E0503">
        <w:rPr>
          <w:rFonts w:ascii="Times New Roman" w:hAnsi="Times New Roman"/>
          <w:sz w:val="22"/>
          <w:szCs w:val="22"/>
        </w:rPr>
        <w:t>as a result of</w:t>
      </w:r>
      <w:proofErr w:type="gramEnd"/>
      <w:r w:rsidRPr="008E0503">
        <w:rPr>
          <w:rFonts w:ascii="Times New Roman" w:hAnsi="Times New Roman"/>
          <w:sz w:val="22"/>
          <w:szCs w:val="22"/>
        </w:rPr>
        <w:t xml:space="preserve"> the allowance pursuant to this Section or Section 3, the lot is not eligible for any additional increases in density, except as allowed by the municipality. </w:t>
      </w:r>
    </w:p>
    <w:p w14:paraId="75660434" w14:textId="77777777" w:rsidR="00F9684F" w:rsidRDefault="00F9684F" w:rsidP="00F9684F">
      <w:pPr>
        <w:spacing w:line="259" w:lineRule="auto"/>
        <w:rPr>
          <w:szCs w:val="24"/>
        </w:rPr>
      </w:pPr>
    </w:p>
    <w:p w14:paraId="65BC2730" w14:textId="77777777" w:rsidR="00F9684F" w:rsidRDefault="00F9684F" w:rsidP="00F9684F">
      <w:pPr>
        <w:pStyle w:val="ListParagraph"/>
        <w:widowControl/>
        <w:numPr>
          <w:ilvl w:val="0"/>
          <w:numId w:val="2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Other </w:t>
      </w:r>
      <w:r w:rsidRPr="005505F7">
        <w:rPr>
          <w:rFonts w:ascii="Times New Roman" w:hAnsi="Times New Roman"/>
          <w:sz w:val="22"/>
          <w:szCs w:val="22"/>
        </w:rPr>
        <w:tab/>
      </w:r>
    </w:p>
    <w:p w14:paraId="7E3856A4"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5260DB98"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r w:rsidRPr="5539809C">
        <w:rPr>
          <w:rFonts w:ascii="Times New Roman" w:hAnsi="Times New Roman"/>
          <w:sz w:val="22"/>
          <w:szCs w:val="22"/>
        </w:rPr>
        <w:t>With respect to accessory dwelling units, municipalities must comply with the following conditions:</w:t>
      </w:r>
    </w:p>
    <w:p w14:paraId="68D54689"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58FFDA52" w14:textId="77777777" w:rsidR="00F9684F" w:rsidRPr="00AF2FE4" w:rsidRDefault="00F9684F" w:rsidP="00F9684F">
      <w:pPr>
        <w:pStyle w:val="ListParagraph"/>
        <w:widowControl/>
        <w:numPr>
          <w:ilvl w:val="0"/>
          <w:numId w:val="2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AF2FE4">
        <w:rPr>
          <w:rFonts w:ascii="Times New Roman" w:hAnsi="Times New Roman"/>
          <w:sz w:val="22"/>
          <w:szCs w:val="22"/>
        </w:rPr>
        <w:t xml:space="preserve">A municipality must exempt an accessory dwelling unit from any density requirements or lot area requirements related to the area in which the accessory dwelling unit is </w:t>
      </w:r>
      <w:proofErr w:type="gramStart"/>
      <w:r w:rsidRPr="00AF2FE4">
        <w:rPr>
          <w:rFonts w:ascii="Times New Roman" w:hAnsi="Times New Roman"/>
          <w:sz w:val="22"/>
          <w:szCs w:val="22"/>
        </w:rPr>
        <w:t>constructed;</w:t>
      </w:r>
      <w:proofErr w:type="gramEnd"/>
    </w:p>
    <w:p w14:paraId="6A6772D9" w14:textId="77777777" w:rsidR="00F9684F" w:rsidRPr="009B0FEA"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1DADE0BA" w14:textId="77777777" w:rsidR="00F9684F" w:rsidRDefault="00F9684F" w:rsidP="00F9684F">
      <w:pPr>
        <w:pStyle w:val="ListParagraph"/>
        <w:widowControl/>
        <w:numPr>
          <w:ilvl w:val="0"/>
          <w:numId w:val="2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 xml:space="preserve">For an accessory dwelling unit located within the same structure as a single-family dwelling unit or attached to or sharing a wall with a single-family dwelling unit, the dimensional requirements and setback requirements must be the same as the dimensional requirements and setback requirements of the single-family dwelling </w:t>
      </w:r>
      <w:proofErr w:type="gramStart"/>
      <w:r w:rsidRPr="691F9A97">
        <w:rPr>
          <w:rFonts w:ascii="Times New Roman" w:hAnsi="Times New Roman"/>
          <w:sz w:val="22"/>
          <w:szCs w:val="22"/>
        </w:rPr>
        <w:t>unit;</w:t>
      </w:r>
      <w:proofErr w:type="gramEnd"/>
    </w:p>
    <w:p w14:paraId="3292F6A5" w14:textId="77777777" w:rsidR="00F9684F" w:rsidRDefault="00F9684F" w:rsidP="00F9684F">
      <w:pPr>
        <w:tabs>
          <w:tab w:val="left" w:pos="720"/>
          <w:tab w:val="left" w:pos="1440"/>
          <w:tab w:val="left" w:pos="2160"/>
          <w:tab w:val="left" w:pos="2880"/>
          <w:tab w:val="left" w:pos="3600"/>
          <w:tab w:val="left" w:pos="4320"/>
        </w:tabs>
        <w:spacing w:line="259" w:lineRule="auto"/>
        <w:ind w:left="1440"/>
        <w:rPr>
          <w:szCs w:val="24"/>
        </w:rPr>
      </w:pPr>
    </w:p>
    <w:p w14:paraId="4B0CDED3" w14:textId="77777777" w:rsidR="00F9684F" w:rsidRDefault="00F9684F" w:rsidP="00F9684F">
      <w:pPr>
        <w:pStyle w:val="ListParagraph"/>
        <w:widowControl/>
        <w:numPr>
          <w:ilvl w:val="0"/>
          <w:numId w:val="29"/>
        </w:numPr>
        <w:tabs>
          <w:tab w:val="left" w:pos="720"/>
          <w:tab w:val="left" w:pos="1440"/>
          <w:tab w:val="left" w:pos="2880"/>
          <w:tab w:val="left" w:pos="3600"/>
          <w:tab w:val="left" w:pos="4320"/>
        </w:tabs>
        <w:spacing w:line="259" w:lineRule="auto"/>
        <w:rPr>
          <w:rFonts w:ascii="Times New Roman" w:hAnsi="Times New Roman"/>
          <w:sz w:val="22"/>
          <w:szCs w:val="22"/>
        </w:rPr>
      </w:pPr>
      <w:r w:rsidRPr="75F40C3D">
        <w:rPr>
          <w:rFonts w:ascii="Times New Roman" w:hAnsi="Times New Roman"/>
          <w:sz w:val="22"/>
          <w:szCs w:val="22"/>
        </w:rPr>
        <w:t xml:space="preserve">For an accessory dwelling unit permitted in an existing accessory building or secondary building or garage as of July 1, 2023, the required setback requirements apply. </w:t>
      </w:r>
    </w:p>
    <w:p w14:paraId="47CD180C" w14:textId="77777777" w:rsidR="00F9684F" w:rsidRDefault="00F9684F" w:rsidP="00F9684F">
      <w:pPr>
        <w:tabs>
          <w:tab w:val="left" w:pos="720"/>
          <w:tab w:val="left" w:pos="1440"/>
          <w:tab w:val="left" w:pos="2160"/>
          <w:tab w:val="left" w:pos="2880"/>
          <w:tab w:val="left" w:pos="3600"/>
          <w:tab w:val="left" w:pos="4320"/>
        </w:tabs>
        <w:spacing w:line="259" w:lineRule="auto"/>
        <w:ind w:left="1440"/>
        <w:rPr>
          <w:szCs w:val="24"/>
        </w:rPr>
      </w:pPr>
    </w:p>
    <w:p w14:paraId="22206492" w14:textId="77777777" w:rsidR="00F9684F" w:rsidRDefault="00F9684F" w:rsidP="00F9684F">
      <w:pPr>
        <w:pStyle w:val="ListParagraph"/>
        <w:widowControl/>
        <w:numPr>
          <w:ilvl w:val="0"/>
          <w:numId w:val="2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 xml:space="preserve">A municipality may establish more permissive dimensional requirements for an accessory dwelling unit. </w:t>
      </w:r>
    </w:p>
    <w:p w14:paraId="4FBEF135" w14:textId="77777777" w:rsidR="00F9684F" w:rsidRDefault="00F9684F" w:rsidP="00F9684F">
      <w:pPr>
        <w:tabs>
          <w:tab w:val="left" w:pos="720"/>
          <w:tab w:val="left" w:pos="1440"/>
          <w:tab w:val="left" w:pos="2160"/>
          <w:tab w:val="left" w:pos="2880"/>
          <w:tab w:val="left" w:pos="3600"/>
          <w:tab w:val="left" w:pos="4320"/>
        </w:tabs>
        <w:ind w:left="720"/>
        <w:rPr>
          <w:szCs w:val="24"/>
        </w:rPr>
      </w:pPr>
    </w:p>
    <w:p w14:paraId="6B38529F" w14:textId="77777777" w:rsidR="00F9684F" w:rsidRDefault="00F9684F" w:rsidP="00F9684F">
      <w:pPr>
        <w:pStyle w:val="ListParagraph"/>
        <w:widowControl/>
        <w:numPr>
          <w:ilvl w:val="0"/>
          <w:numId w:val="28"/>
        </w:numPr>
        <w:tabs>
          <w:tab w:val="left" w:pos="720"/>
          <w:tab w:val="left" w:pos="1440"/>
          <w:tab w:val="left" w:pos="2160"/>
          <w:tab w:val="left" w:pos="2880"/>
          <w:tab w:val="left" w:pos="3600"/>
          <w:tab w:val="left" w:pos="4320"/>
        </w:tabs>
        <w:rPr>
          <w:rFonts w:ascii="Times New Roman" w:hAnsi="Times New Roman"/>
          <w:szCs w:val="24"/>
        </w:rPr>
      </w:pPr>
      <w:r w:rsidRPr="691F9A97">
        <w:rPr>
          <w:rStyle w:val="normaltextrun"/>
          <w:rFonts w:ascii="Times New Roman" w:hAnsi="Times New Roman"/>
          <w:sz w:val="22"/>
          <w:szCs w:val="22"/>
        </w:rPr>
        <w:t>An accessory dwelling unit must be allowed on a lot regardless of whether the lot conforms to existing dimensional requirements of the municipality. Any new structure constructed on the lot to be an accessory dwelling unit must meet the existing dimensional requirements as required by the municipality for an accessory structure.   </w:t>
      </w:r>
    </w:p>
    <w:p w14:paraId="6AC68BD4" w14:textId="77777777" w:rsidR="00F9684F" w:rsidRPr="009B0FEA"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EF3DC6" w14:textId="77777777" w:rsidR="00F9684F" w:rsidRPr="009B0FEA" w:rsidRDefault="00F9684F" w:rsidP="00F9684F">
      <w:pPr>
        <w:pStyle w:val="ListParagraph"/>
        <w:widowControl/>
        <w:numPr>
          <w:ilvl w:val="0"/>
          <w:numId w:val="28"/>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75F40C3D">
        <w:rPr>
          <w:rFonts w:ascii="Times New Roman" w:hAnsi="Times New Roman"/>
          <w:sz w:val="22"/>
          <w:szCs w:val="22"/>
        </w:rPr>
        <w:t>An accessory dwelling unit may not be subject to any additional motor vehicle parking requirements beyond the parking requirements of the single-family dwelling unit on the lot where the accessory dwelling unit is located.</w:t>
      </w:r>
    </w:p>
    <w:p w14:paraId="3E21B537"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rPr>
      </w:pPr>
    </w:p>
    <w:p w14:paraId="2E31C21E" w14:textId="77777777" w:rsidR="00F9684F" w:rsidRDefault="00F9684F" w:rsidP="00F9684F">
      <w:pPr>
        <w:pStyle w:val="ListParagraph"/>
        <w:widowControl/>
        <w:numPr>
          <w:ilvl w:val="0"/>
          <w:numId w:val="2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Size </w:t>
      </w:r>
    </w:p>
    <w:p w14:paraId="45F0C926"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41617EE3" w14:textId="77777777" w:rsidR="00F9684F" w:rsidRDefault="00F9684F" w:rsidP="00F9684F">
      <w:pPr>
        <w:pStyle w:val="ListParagraph"/>
        <w:widowControl/>
        <w:numPr>
          <w:ilvl w:val="0"/>
          <w:numId w:val="30"/>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D9E8995">
        <w:rPr>
          <w:rFonts w:ascii="Times New Roman" w:hAnsi="Times New Roman"/>
          <w:sz w:val="22"/>
          <w:szCs w:val="22"/>
        </w:rPr>
        <w:t xml:space="preserve">An accessory dwelling unit must be at least 190 square feet in size, unless the Technical Building Code and Standards Board, pursuant to 10 M.R.S. § 9722, adopts a different minimum standard; if so, that standard applies. </w:t>
      </w:r>
    </w:p>
    <w:p w14:paraId="544D9A43"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4023E756" w14:textId="77777777" w:rsidR="00F9684F" w:rsidRDefault="00F9684F" w:rsidP="00F9684F">
      <w:pPr>
        <w:pStyle w:val="ListParagraph"/>
        <w:widowControl/>
        <w:numPr>
          <w:ilvl w:val="0"/>
          <w:numId w:val="30"/>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D9E8995">
        <w:rPr>
          <w:rFonts w:ascii="Times New Roman" w:hAnsi="Times New Roman"/>
          <w:sz w:val="22"/>
          <w:szCs w:val="22"/>
        </w:rPr>
        <w:t xml:space="preserve">Municipalities may set a maximum size for accessory dwelling units in local ordinances, </w:t>
      </w:r>
      <w:proofErr w:type="gramStart"/>
      <w:r w:rsidRPr="5D9E8995">
        <w:rPr>
          <w:rFonts w:ascii="Times New Roman" w:hAnsi="Times New Roman"/>
          <w:sz w:val="22"/>
          <w:szCs w:val="22"/>
        </w:rPr>
        <w:t>as long as</w:t>
      </w:r>
      <w:proofErr w:type="gramEnd"/>
      <w:r w:rsidRPr="5D9E8995">
        <w:rPr>
          <w:rFonts w:ascii="Times New Roman" w:hAnsi="Times New Roman"/>
          <w:sz w:val="22"/>
          <w:szCs w:val="22"/>
        </w:rPr>
        <w:t xml:space="preserve"> accessory dwelling units are not less than 190 square feet. </w:t>
      </w:r>
    </w:p>
    <w:p w14:paraId="3C6EB6C5"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p>
    <w:p w14:paraId="7E6665F3" w14:textId="77777777" w:rsidR="00F9684F" w:rsidRDefault="00F9684F" w:rsidP="00F9684F">
      <w:pPr>
        <w:pStyle w:val="ListParagraph"/>
        <w:widowControl/>
        <w:numPr>
          <w:ilvl w:val="0"/>
          <w:numId w:val="2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Water and Wastewater</w:t>
      </w:r>
    </w:p>
    <w:p w14:paraId="396218EF" w14:textId="77777777" w:rsidR="00F9684F" w:rsidRDefault="00F9684F" w:rsidP="00F9684F">
      <w:pPr>
        <w:tabs>
          <w:tab w:val="left" w:pos="720"/>
          <w:tab w:val="left" w:pos="1440"/>
          <w:tab w:val="left" w:pos="2160"/>
          <w:tab w:val="left" w:pos="2880"/>
          <w:tab w:val="left" w:pos="3600"/>
          <w:tab w:val="left" w:pos="4320"/>
        </w:tabs>
        <w:spacing w:line="259" w:lineRule="auto"/>
        <w:rPr>
          <w:szCs w:val="24"/>
        </w:rPr>
      </w:pPr>
    </w:p>
    <w:p w14:paraId="036353D5" w14:textId="77777777" w:rsidR="00F9684F" w:rsidRDefault="00F9684F" w:rsidP="00F9684F">
      <w:pPr>
        <w:tabs>
          <w:tab w:val="left" w:pos="720"/>
          <w:tab w:val="left" w:pos="1440"/>
          <w:tab w:val="left" w:pos="2160"/>
          <w:tab w:val="left" w:pos="2880"/>
          <w:tab w:val="left" w:pos="3600"/>
          <w:tab w:val="left" w:pos="4320"/>
        </w:tabs>
        <w:spacing w:line="259" w:lineRule="auto"/>
        <w:ind w:left="1440"/>
        <w:rPr>
          <w:rFonts w:ascii="Times New Roman" w:hAnsi="Times New Roman"/>
          <w:sz w:val="22"/>
          <w:szCs w:val="22"/>
        </w:rPr>
      </w:pPr>
      <w:r w:rsidRPr="691F9A97">
        <w:rPr>
          <w:rFonts w:ascii="Times New Roman" w:hAnsi="Times New Roman"/>
          <w:sz w:val="22"/>
          <w:szCs w:val="22"/>
        </w:rPr>
        <w:t xml:space="preserve">A municipality must require an owner of an accessory dwelling unit to provide written verification that each unit of the accessory dwelling unit is connected to adequate water and wastewater services prior to certification of the accessory dwelling unit for occupancy or similar type of approval process. Written verification must include the following: </w:t>
      </w:r>
    </w:p>
    <w:p w14:paraId="1493BF0A" w14:textId="77777777" w:rsidR="00F9684F" w:rsidRDefault="00F9684F" w:rsidP="00F9684F">
      <w:pPr>
        <w:tabs>
          <w:tab w:val="left" w:pos="720"/>
          <w:tab w:val="left" w:pos="1440"/>
          <w:tab w:val="left" w:pos="2160"/>
          <w:tab w:val="left" w:pos="2880"/>
          <w:tab w:val="left" w:pos="3600"/>
          <w:tab w:val="left" w:pos="4320"/>
        </w:tabs>
        <w:spacing w:line="259" w:lineRule="auto"/>
        <w:ind w:left="1440" w:hanging="720"/>
        <w:rPr>
          <w:rFonts w:ascii="Times New Roman" w:hAnsi="Times New Roman"/>
          <w:sz w:val="22"/>
          <w:szCs w:val="22"/>
        </w:rPr>
      </w:pPr>
    </w:p>
    <w:p w14:paraId="0314A001" w14:textId="77777777" w:rsidR="00F9684F" w:rsidRDefault="00F9684F" w:rsidP="00F9684F">
      <w:pPr>
        <w:pStyle w:val="ListParagraph"/>
        <w:widowControl/>
        <w:numPr>
          <w:ilvl w:val="0"/>
          <w:numId w:val="3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If an accessory dwelling unit is connected to a public, special district or other comparable sewer system, proof of adequate service to support any additional flow created by the unit and proof of payment for the connection to the sewer</w:t>
      </w:r>
      <w:r w:rsidRPr="00063EFA">
        <w:rPr>
          <w:rFonts w:ascii="Times New Roman" w:hAnsi="Times New Roman"/>
          <w:sz w:val="22"/>
          <w:szCs w:val="22"/>
        </w:rPr>
        <w:t xml:space="preserve"> </w:t>
      </w:r>
      <w:proofErr w:type="gramStart"/>
      <w:r w:rsidRPr="5539809C">
        <w:rPr>
          <w:rFonts w:ascii="Times New Roman" w:hAnsi="Times New Roman"/>
          <w:sz w:val="22"/>
          <w:szCs w:val="22"/>
        </w:rPr>
        <w:t>system;</w:t>
      </w:r>
      <w:proofErr w:type="gramEnd"/>
    </w:p>
    <w:p w14:paraId="494AF0C6"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B03AE6D" w14:textId="77777777" w:rsidR="00F9684F" w:rsidRDefault="00F9684F" w:rsidP="00F9684F">
      <w:pPr>
        <w:pStyle w:val="ListParagraph"/>
        <w:widowControl/>
        <w:numPr>
          <w:ilvl w:val="0"/>
          <w:numId w:val="3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691F9A97">
        <w:rPr>
          <w:rFonts w:ascii="Times New Roman" w:hAnsi="Times New Roman"/>
          <w:sz w:val="22"/>
          <w:szCs w:val="22"/>
        </w:rPr>
        <w:t xml:space="preserve">If an accessory dwelling unit is connected to a septic system, proof of adequate sewage disposal for subsurface wastewater. The septic system must be verified as adequate by a local plumbing inspector pursuant to 30-A M.R.S. § 4221. Plans for a subsurface wastewater disposal must be prepared by a licensed site evaluator in accordance with 10-144 C.M.R. </w:t>
      </w:r>
      <w:proofErr w:type="spellStart"/>
      <w:r w:rsidRPr="691F9A97">
        <w:rPr>
          <w:rFonts w:ascii="Times New Roman" w:hAnsi="Times New Roman"/>
          <w:sz w:val="22"/>
          <w:szCs w:val="22"/>
        </w:rPr>
        <w:t>ch.</w:t>
      </w:r>
      <w:proofErr w:type="spellEnd"/>
      <w:r w:rsidRPr="691F9A97">
        <w:rPr>
          <w:rFonts w:ascii="Times New Roman" w:hAnsi="Times New Roman"/>
          <w:sz w:val="22"/>
          <w:szCs w:val="22"/>
        </w:rPr>
        <w:t xml:space="preserve"> 241, Subsurface Wastewater Disposal </w:t>
      </w:r>
      <w:proofErr w:type="gramStart"/>
      <w:r w:rsidRPr="691F9A97">
        <w:rPr>
          <w:rFonts w:ascii="Times New Roman" w:hAnsi="Times New Roman"/>
          <w:sz w:val="22"/>
          <w:szCs w:val="22"/>
        </w:rPr>
        <w:t>Rules;</w:t>
      </w:r>
      <w:proofErr w:type="gramEnd"/>
    </w:p>
    <w:p w14:paraId="37477BEB"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4C69A490" w14:textId="77777777" w:rsidR="00F9684F" w:rsidRPr="002E23DD" w:rsidRDefault="00F9684F" w:rsidP="00F9684F">
      <w:pPr>
        <w:pStyle w:val="ListParagraph"/>
        <w:widowControl/>
        <w:numPr>
          <w:ilvl w:val="0"/>
          <w:numId w:val="3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If an accessory dwelling unit is connected to a public, special district or other centrally managed water system, proof of adequate service to support any additional flow created by the unit, proof of payment for the connection and the volume and supply of water required for the unit; and </w:t>
      </w:r>
    </w:p>
    <w:p w14:paraId="0BDAF904" w14:textId="77777777" w:rsidR="00F9684F" w:rsidRDefault="00F9684F" w:rsidP="00F9684F">
      <w:pPr>
        <w:tabs>
          <w:tab w:val="left" w:pos="720"/>
          <w:tab w:val="left" w:pos="1440"/>
          <w:tab w:val="left" w:pos="2160"/>
          <w:tab w:val="left" w:pos="2880"/>
          <w:tab w:val="left" w:pos="3600"/>
          <w:tab w:val="left" w:pos="4320"/>
        </w:tabs>
        <w:spacing w:line="259" w:lineRule="auto"/>
        <w:ind w:hanging="720"/>
        <w:rPr>
          <w:rFonts w:ascii="Times New Roman" w:hAnsi="Times New Roman"/>
          <w:sz w:val="22"/>
          <w:szCs w:val="22"/>
        </w:rPr>
      </w:pPr>
    </w:p>
    <w:p w14:paraId="6A8FB39E" w14:textId="77777777" w:rsidR="00F9684F" w:rsidRPr="002E23DD" w:rsidRDefault="00F9684F" w:rsidP="00F9684F">
      <w:pPr>
        <w:pStyle w:val="ListParagraph"/>
        <w:widowControl/>
        <w:numPr>
          <w:ilvl w:val="0"/>
          <w:numId w:val="31"/>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75F40C3D">
        <w:rPr>
          <w:rFonts w:ascii="Times New Roman" w:hAnsi="Times New Roman"/>
          <w:sz w:val="22"/>
          <w:szCs w:val="22"/>
        </w:rPr>
        <w:t xml:space="preserve">If an accessory dwelling unit is connected to a well, proof of access to potable water, including the standards outlined in 01-672 C.M.R. </w:t>
      </w:r>
      <w:proofErr w:type="spellStart"/>
      <w:r w:rsidRPr="75F40C3D">
        <w:rPr>
          <w:rFonts w:ascii="Times New Roman" w:hAnsi="Times New Roman"/>
          <w:sz w:val="22"/>
          <w:szCs w:val="22"/>
        </w:rPr>
        <w:t>ch.</w:t>
      </w:r>
      <w:proofErr w:type="spellEnd"/>
      <w:r w:rsidRPr="75F40C3D">
        <w:rPr>
          <w:rFonts w:ascii="Times New Roman" w:hAnsi="Times New Roman"/>
          <w:sz w:val="22"/>
          <w:szCs w:val="22"/>
        </w:rPr>
        <w:t xml:space="preserve"> 10, section 10.25(J), Land Use Districts and Standards</w:t>
      </w:r>
      <w:r>
        <w:rPr>
          <w:rFonts w:ascii="Times New Roman" w:hAnsi="Times New Roman"/>
          <w:sz w:val="22"/>
          <w:szCs w:val="22"/>
        </w:rPr>
        <w:t xml:space="preserve">. </w:t>
      </w:r>
      <w:r w:rsidRPr="75F40C3D">
        <w:rPr>
          <w:rFonts w:ascii="Times New Roman" w:hAnsi="Times New Roman"/>
          <w:sz w:val="22"/>
          <w:szCs w:val="22"/>
        </w:rPr>
        <w:t>Any test of an existing well or proposed well must indicate that the water supply is potable and acceptable for domestic use.</w:t>
      </w:r>
    </w:p>
    <w:p w14:paraId="25EA91D6"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p>
    <w:p w14:paraId="32E985A0" w14:textId="77777777" w:rsidR="00F9684F" w:rsidRDefault="00F9684F" w:rsidP="00F9684F">
      <w:pPr>
        <w:pStyle w:val="ListParagraph"/>
        <w:widowControl/>
        <w:numPr>
          <w:ilvl w:val="0"/>
          <w:numId w:val="7"/>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691F9A97">
        <w:rPr>
          <w:rFonts w:ascii="Times New Roman" w:hAnsi="Times New Roman"/>
          <w:b/>
          <w:bCs/>
          <w:sz w:val="22"/>
          <w:szCs w:val="22"/>
        </w:rPr>
        <w:t>MUNICIPAL IMPLEMENTATION</w:t>
      </w:r>
    </w:p>
    <w:p w14:paraId="43B81E85" w14:textId="77777777" w:rsidR="00F9684F" w:rsidRDefault="00F9684F" w:rsidP="00F9684F">
      <w:pPr>
        <w:tabs>
          <w:tab w:val="left" w:pos="720"/>
          <w:tab w:val="left" w:pos="1440"/>
          <w:tab w:val="left" w:pos="2160"/>
          <w:tab w:val="left" w:pos="2880"/>
          <w:tab w:val="left" w:pos="3600"/>
          <w:tab w:val="left" w:pos="4320"/>
        </w:tabs>
        <w:spacing w:line="259" w:lineRule="auto"/>
        <w:rPr>
          <w:rFonts w:ascii="Times New Roman" w:hAnsi="Times New Roman"/>
          <w:sz w:val="22"/>
          <w:szCs w:val="22"/>
        </w:rPr>
      </w:pPr>
    </w:p>
    <w:p w14:paraId="0977B487"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5539809C">
        <w:rPr>
          <w:rFonts w:ascii="Times New Roman" w:hAnsi="Times New Roman"/>
          <w:sz w:val="22"/>
          <w:szCs w:val="22"/>
        </w:rPr>
        <w:t xml:space="preserve">In adopting an ordinance under this Section, a municipality may: </w:t>
      </w:r>
    </w:p>
    <w:p w14:paraId="50555B36"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7598FAFC" w14:textId="77777777" w:rsidR="00F9684F" w:rsidRDefault="00F9684F" w:rsidP="00F9684F">
      <w:pPr>
        <w:pStyle w:val="ListParagraph"/>
        <w:widowControl/>
        <w:numPr>
          <w:ilvl w:val="0"/>
          <w:numId w:val="3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Establish an application and permitting process for accessory dwelling </w:t>
      </w:r>
      <w:proofErr w:type="gramStart"/>
      <w:r w:rsidRPr="5539809C">
        <w:rPr>
          <w:rFonts w:ascii="Times New Roman" w:hAnsi="Times New Roman"/>
          <w:sz w:val="22"/>
          <w:szCs w:val="22"/>
        </w:rPr>
        <w:t>units;</w:t>
      </w:r>
      <w:proofErr w:type="gramEnd"/>
      <w:r w:rsidRPr="5539809C">
        <w:rPr>
          <w:rFonts w:ascii="Times New Roman" w:hAnsi="Times New Roman"/>
          <w:sz w:val="22"/>
          <w:szCs w:val="22"/>
        </w:rPr>
        <w:t xml:space="preserve"> </w:t>
      </w:r>
    </w:p>
    <w:p w14:paraId="08E1839F" w14:textId="77777777" w:rsidR="00F9684F" w:rsidRPr="00063EFA"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4E8317CB" w14:textId="77777777" w:rsidR="00F9684F" w:rsidRDefault="00F9684F" w:rsidP="00F9684F">
      <w:pPr>
        <w:pStyle w:val="ListParagraph"/>
        <w:widowControl/>
        <w:numPr>
          <w:ilvl w:val="0"/>
          <w:numId w:val="3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5539809C">
        <w:rPr>
          <w:rFonts w:ascii="Times New Roman" w:hAnsi="Times New Roman"/>
          <w:sz w:val="22"/>
          <w:szCs w:val="22"/>
        </w:rPr>
        <w:t xml:space="preserve">Impose fines for violations of building, </w:t>
      </w:r>
      <w:proofErr w:type="gramStart"/>
      <w:r w:rsidRPr="5539809C">
        <w:rPr>
          <w:rFonts w:ascii="Times New Roman" w:hAnsi="Times New Roman"/>
          <w:sz w:val="22"/>
          <w:szCs w:val="22"/>
        </w:rPr>
        <w:t>zoning</w:t>
      </w:r>
      <w:proofErr w:type="gramEnd"/>
      <w:r w:rsidRPr="5539809C">
        <w:rPr>
          <w:rFonts w:ascii="Times New Roman" w:hAnsi="Times New Roman"/>
          <w:sz w:val="22"/>
          <w:szCs w:val="22"/>
        </w:rPr>
        <w:t xml:space="preserve"> and utility requirements for accessory dwelling units; and </w:t>
      </w:r>
    </w:p>
    <w:p w14:paraId="1634A6F5" w14:textId="77777777" w:rsidR="00F9684F" w:rsidRPr="005072BC" w:rsidRDefault="00F9684F" w:rsidP="00F9684F">
      <w:pPr>
        <w:pStyle w:val="ListParagraph"/>
        <w:rPr>
          <w:rFonts w:ascii="Times New Roman" w:hAnsi="Times New Roman"/>
          <w:sz w:val="22"/>
          <w:szCs w:val="22"/>
        </w:rPr>
      </w:pPr>
    </w:p>
    <w:p w14:paraId="7CF5C12B" w14:textId="77777777" w:rsidR="00F9684F" w:rsidRPr="005072BC" w:rsidRDefault="00F9684F" w:rsidP="00F9684F">
      <w:pPr>
        <w:pStyle w:val="ListParagraph"/>
        <w:widowControl/>
        <w:numPr>
          <w:ilvl w:val="0"/>
          <w:numId w:val="32"/>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5072BC">
        <w:rPr>
          <w:rFonts w:ascii="Times New Roman" w:hAnsi="Times New Roman"/>
          <w:sz w:val="22"/>
          <w:szCs w:val="22"/>
        </w:rPr>
        <w:t xml:space="preserve">Establish alternative criteria that are less restrictive than the above criteria in Section 4 for the approval of an accessory dwelling unit only in circumstances in which the municipality would be able to provide a variance pursuant to 30-A M.R.S. § 4353(4)(A), (B), or (C).  </w:t>
      </w:r>
    </w:p>
    <w:p w14:paraId="7B00895A"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EA22FEA" w14:textId="77777777" w:rsidR="00F9684F" w:rsidRDefault="00F9684F" w:rsidP="00F9684F">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0F150558" w14:textId="77777777" w:rsidR="00F9684F" w:rsidRDefault="00F9684F" w:rsidP="00F9684F">
      <w:pPr>
        <w:pStyle w:val="ListParagraph"/>
        <w:widowControl/>
        <w:numPr>
          <w:ilvl w:val="0"/>
          <w:numId w:val="7"/>
        </w:numPr>
        <w:tabs>
          <w:tab w:val="left" w:pos="720"/>
          <w:tab w:val="left" w:pos="1440"/>
          <w:tab w:val="left" w:pos="2160"/>
          <w:tab w:val="left" w:pos="2880"/>
          <w:tab w:val="left" w:pos="3600"/>
          <w:tab w:val="left" w:pos="4320"/>
        </w:tabs>
        <w:spacing w:line="259" w:lineRule="auto"/>
        <w:rPr>
          <w:rFonts w:ascii="Times New Roman" w:hAnsi="Times New Roman"/>
          <w:b/>
          <w:bCs/>
          <w:sz w:val="22"/>
          <w:szCs w:val="22"/>
        </w:rPr>
      </w:pPr>
      <w:r w:rsidRPr="5539809C">
        <w:rPr>
          <w:rFonts w:ascii="Times New Roman" w:hAnsi="Times New Roman"/>
          <w:b/>
          <w:bCs/>
          <w:sz w:val="22"/>
          <w:szCs w:val="22"/>
        </w:rPr>
        <w:t>RATE OF GROWTH ORDINANCE</w:t>
      </w:r>
    </w:p>
    <w:p w14:paraId="347AB293" w14:textId="77777777" w:rsidR="00F9684F" w:rsidRDefault="00F9684F" w:rsidP="00F9684F">
      <w:pPr>
        <w:tabs>
          <w:tab w:val="left" w:pos="720"/>
          <w:tab w:val="left" w:pos="1440"/>
          <w:tab w:val="left" w:pos="2160"/>
          <w:tab w:val="left" w:pos="2880"/>
          <w:tab w:val="left" w:pos="3600"/>
          <w:tab w:val="left" w:pos="4320"/>
        </w:tabs>
        <w:spacing w:line="259" w:lineRule="auto"/>
      </w:pPr>
    </w:p>
    <w:p w14:paraId="62216E51" w14:textId="77777777" w:rsidR="00F9684F" w:rsidRDefault="00F9684F" w:rsidP="00F9684F">
      <w:pPr>
        <w:tabs>
          <w:tab w:val="left" w:pos="720"/>
          <w:tab w:val="left" w:pos="1440"/>
          <w:tab w:val="left" w:pos="2160"/>
          <w:tab w:val="left" w:pos="2880"/>
          <w:tab w:val="left" w:pos="3600"/>
          <w:tab w:val="left" w:pos="4320"/>
        </w:tabs>
        <w:spacing w:line="259" w:lineRule="auto"/>
        <w:ind w:left="720"/>
        <w:rPr>
          <w:rFonts w:ascii="Times New Roman" w:hAnsi="Times New Roman"/>
          <w:sz w:val="22"/>
          <w:szCs w:val="22"/>
        </w:rPr>
      </w:pPr>
      <w:r w:rsidRPr="1DFF4487">
        <w:rPr>
          <w:rFonts w:ascii="Times New Roman" w:hAnsi="Times New Roman"/>
          <w:sz w:val="22"/>
          <w:szCs w:val="22"/>
        </w:rPr>
        <w:t xml:space="preserve">A permit issued by a municipality for an accessory dwelling unit does not count as a permit issued toward a municipality’s rate of growth ordinance pursuant to 30-A M.R.S. § 4360. </w:t>
      </w:r>
    </w:p>
    <w:p w14:paraId="37920D1E" w14:textId="77777777" w:rsidR="00F9684F" w:rsidRDefault="00F9684F" w:rsidP="00F9684F">
      <w:pPr>
        <w:tabs>
          <w:tab w:val="left" w:pos="720"/>
          <w:tab w:val="left" w:pos="1440"/>
          <w:tab w:val="left" w:pos="2160"/>
          <w:tab w:val="left" w:pos="2880"/>
          <w:tab w:val="left" w:pos="3600"/>
          <w:tab w:val="left" w:pos="4320"/>
        </w:tabs>
        <w:ind w:left="1440" w:hanging="720"/>
        <w:rPr>
          <w:szCs w:val="24"/>
        </w:rPr>
      </w:pPr>
    </w:p>
    <w:p w14:paraId="790DFCC1"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sz w:val="22"/>
          <w:szCs w:val="22"/>
        </w:rPr>
      </w:pPr>
      <w:r w:rsidRPr="5539809C">
        <w:rPr>
          <w:rFonts w:ascii="Times New Roman" w:hAnsi="Times New Roman"/>
          <w:b/>
          <w:bCs/>
          <w:sz w:val="22"/>
          <w:szCs w:val="22"/>
        </w:rPr>
        <w:t>STATUTORY AUTHORITY</w:t>
      </w:r>
      <w:r w:rsidRPr="5539809C">
        <w:rPr>
          <w:rFonts w:ascii="Times New Roman" w:hAnsi="Times New Roman"/>
          <w:sz w:val="22"/>
          <w:szCs w:val="22"/>
        </w:rPr>
        <w:t xml:space="preserve">: P.L. 2021, </w:t>
      </w:r>
      <w:proofErr w:type="spellStart"/>
      <w:r w:rsidRPr="5539809C">
        <w:rPr>
          <w:rFonts w:ascii="Times New Roman" w:hAnsi="Times New Roman"/>
          <w:sz w:val="22"/>
          <w:szCs w:val="22"/>
        </w:rPr>
        <w:t>ch.</w:t>
      </w:r>
      <w:proofErr w:type="spellEnd"/>
      <w:r w:rsidRPr="5539809C">
        <w:rPr>
          <w:rFonts w:ascii="Times New Roman" w:hAnsi="Times New Roman"/>
          <w:sz w:val="22"/>
          <w:szCs w:val="22"/>
        </w:rPr>
        <w:t xml:space="preserve"> 672</w:t>
      </w:r>
      <w:r>
        <w:rPr>
          <w:rFonts w:ascii="Times New Roman" w:hAnsi="Times New Roman"/>
          <w:sz w:val="22"/>
          <w:szCs w:val="22"/>
        </w:rPr>
        <w:t xml:space="preserve"> codified at 30-A M.R.S. §§ 4364, 4364-A, 4364-B. </w:t>
      </w:r>
    </w:p>
    <w:p w14:paraId="28A6758C"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14F83209"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r w:rsidRPr="0094504A">
        <w:rPr>
          <w:rFonts w:ascii="Times New Roman" w:hAnsi="Times New Roman"/>
          <w:b/>
          <w:bCs/>
          <w:sz w:val="22"/>
          <w:szCs w:val="22"/>
        </w:rPr>
        <w:t xml:space="preserve">EFFECTIVE DATE: </w:t>
      </w:r>
    </w:p>
    <w:p w14:paraId="10A44343"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08B51977"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269E9F95"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2E5CD732"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3AB85841"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4D1E8D34"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281BEAB2"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52076A3B"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24AA471B" w14:textId="77777777" w:rsidR="00F9684F" w:rsidRDefault="00F9684F" w:rsidP="00F9684F">
      <w:pPr>
        <w:tabs>
          <w:tab w:val="left" w:pos="720"/>
          <w:tab w:val="left" w:pos="1440"/>
          <w:tab w:val="left" w:pos="2160"/>
          <w:tab w:val="left" w:pos="2880"/>
          <w:tab w:val="left" w:pos="3600"/>
          <w:tab w:val="left" w:pos="4320"/>
        </w:tabs>
        <w:rPr>
          <w:rFonts w:ascii="Times New Roman" w:hAnsi="Times New Roman"/>
          <w:b/>
          <w:bCs/>
          <w:sz w:val="22"/>
          <w:szCs w:val="22"/>
        </w:rPr>
      </w:pPr>
    </w:p>
    <w:p w14:paraId="3376A45C" w14:textId="77777777" w:rsidR="00F9684F" w:rsidRPr="00616039" w:rsidRDefault="00F9684F" w:rsidP="00F9684F">
      <w:pPr>
        <w:tabs>
          <w:tab w:val="left" w:pos="720"/>
          <w:tab w:val="left" w:pos="1440"/>
          <w:tab w:val="left" w:pos="2160"/>
          <w:tab w:val="left" w:pos="2880"/>
          <w:tab w:val="left" w:pos="3600"/>
          <w:tab w:val="left" w:pos="4320"/>
        </w:tabs>
        <w:jc w:val="center"/>
        <w:rPr>
          <w:rFonts w:ascii="Times New Roman" w:hAnsi="Times New Roman"/>
          <w:b/>
          <w:bCs/>
          <w:sz w:val="22"/>
          <w:szCs w:val="22"/>
        </w:rPr>
      </w:pPr>
      <w:r w:rsidRPr="00616039">
        <w:rPr>
          <w:rFonts w:ascii="Times New Roman" w:hAnsi="Times New Roman"/>
          <w:b/>
          <w:bCs/>
          <w:sz w:val="22"/>
          <w:szCs w:val="22"/>
        </w:rPr>
        <w:lastRenderedPageBreak/>
        <w:t>A</w:t>
      </w:r>
      <w:r>
        <w:rPr>
          <w:rFonts w:ascii="Times New Roman" w:hAnsi="Times New Roman"/>
          <w:b/>
          <w:bCs/>
          <w:sz w:val="22"/>
          <w:szCs w:val="22"/>
        </w:rPr>
        <w:t>PPENDIX</w:t>
      </w:r>
    </w:p>
    <w:p w14:paraId="698C372F" w14:textId="77777777" w:rsidR="00F9684F" w:rsidRPr="00721E34" w:rsidRDefault="00F9684F" w:rsidP="00F9684F">
      <w:pPr>
        <w:tabs>
          <w:tab w:val="left" w:pos="720"/>
          <w:tab w:val="left" w:pos="1440"/>
          <w:tab w:val="left" w:pos="2160"/>
          <w:tab w:val="left" w:pos="2880"/>
          <w:tab w:val="left" w:pos="3600"/>
          <w:tab w:val="left" w:pos="4320"/>
        </w:tabs>
        <w:jc w:val="center"/>
        <w:rPr>
          <w:rFonts w:ascii="Times New Roman" w:hAnsi="Times New Roman"/>
          <w:sz w:val="22"/>
          <w:szCs w:val="22"/>
        </w:rPr>
      </w:pPr>
    </w:p>
    <w:p w14:paraId="432DF724" w14:textId="77777777" w:rsidR="00F9684F" w:rsidRDefault="00F9684F" w:rsidP="00F9684F">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List of Reference Material</w:t>
      </w:r>
    </w:p>
    <w:p w14:paraId="556EFD96" w14:textId="77777777" w:rsidR="00F9684F" w:rsidRDefault="00F9684F" w:rsidP="00F9684F">
      <w:pPr>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9350" w:type="dxa"/>
        <w:tblInd w:w="720" w:type="dxa"/>
        <w:tblLook w:val="04A0" w:firstRow="1" w:lastRow="0" w:firstColumn="1" w:lastColumn="0" w:noHBand="0" w:noVBand="1"/>
      </w:tblPr>
      <w:tblGrid>
        <w:gridCol w:w="4671"/>
        <w:gridCol w:w="4679"/>
      </w:tblGrid>
      <w:tr w:rsidR="00F9684F" w14:paraId="56E40F20" w14:textId="77777777" w:rsidTr="00734CC6">
        <w:tc>
          <w:tcPr>
            <w:tcW w:w="4671" w:type="dxa"/>
          </w:tcPr>
          <w:p w14:paraId="1E0357B5"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Reference Material</w:t>
            </w:r>
          </w:p>
        </w:tc>
        <w:tc>
          <w:tcPr>
            <w:tcW w:w="4679" w:type="dxa"/>
          </w:tcPr>
          <w:p w14:paraId="01488A08"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Location to Obtain Document</w:t>
            </w:r>
          </w:p>
        </w:tc>
      </w:tr>
      <w:tr w:rsidR="00F9684F" w14:paraId="1D3DBF40" w14:textId="77777777" w:rsidTr="00734CC6">
        <w:tc>
          <w:tcPr>
            <w:tcW w:w="4671" w:type="dxa"/>
          </w:tcPr>
          <w:p w14:paraId="06251DA4"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sidRPr="00D33FEB">
              <w:rPr>
                <w:rFonts w:ascii="Times New Roman" w:hAnsi="Times New Roman"/>
                <w:sz w:val="22"/>
                <w:szCs w:val="22"/>
              </w:rPr>
              <w:t>U.S. Environmental Protection Agency’s (EPA) Drinking Water Standards and Health Advisories Table</w:t>
            </w:r>
            <w:r>
              <w:rPr>
                <w:rFonts w:ascii="Times New Roman" w:hAnsi="Times New Roman"/>
                <w:sz w:val="22"/>
                <w:szCs w:val="22"/>
              </w:rPr>
              <w:t>, March 2018</w:t>
            </w:r>
            <w:r w:rsidRPr="5539809C">
              <w:rPr>
                <w:rFonts w:ascii="Times New Roman" w:hAnsi="Times New Roman"/>
                <w:sz w:val="22"/>
                <w:szCs w:val="22"/>
              </w:rPr>
              <w:t>.</w:t>
            </w:r>
          </w:p>
        </w:tc>
        <w:tc>
          <w:tcPr>
            <w:tcW w:w="4679" w:type="dxa"/>
          </w:tcPr>
          <w:p w14:paraId="58EEC171"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U.S. Environmental Protection Agency</w:t>
            </w:r>
          </w:p>
          <w:p w14:paraId="5A7FF3FA" w14:textId="77777777" w:rsidR="00F9684F" w:rsidRPr="003F2317"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sidRPr="003F2317">
              <w:rPr>
                <w:rFonts w:ascii="Times New Roman" w:hAnsi="Times New Roman"/>
                <w:sz w:val="22"/>
                <w:szCs w:val="22"/>
              </w:rPr>
              <w:t>Office of Water</w:t>
            </w:r>
          </w:p>
          <w:p w14:paraId="79BF952F" w14:textId="77777777" w:rsidR="00F9684F" w:rsidRPr="003F2317"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sidRPr="003F2317">
              <w:rPr>
                <w:rFonts w:ascii="Times New Roman" w:hAnsi="Times New Roman"/>
                <w:sz w:val="22"/>
                <w:szCs w:val="22"/>
              </w:rPr>
              <w:t>Drinking Water Hotline</w:t>
            </w:r>
          </w:p>
          <w:p w14:paraId="45CB2456"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sidRPr="003F2317">
              <w:rPr>
                <w:rFonts w:ascii="Times New Roman" w:hAnsi="Times New Roman"/>
                <w:sz w:val="22"/>
                <w:szCs w:val="22"/>
              </w:rPr>
              <w:t>1-800-426-4791</w:t>
            </w:r>
            <w:r>
              <w:t xml:space="preserve"> </w:t>
            </w:r>
          </w:p>
        </w:tc>
      </w:tr>
      <w:tr w:rsidR="00F9684F" w14:paraId="06967EE6" w14:textId="77777777" w:rsidTr="00734CC6">
        <w:trPr>
          <w:trHeight w:val="1556"/>
        </w:trPr>
        <w:tc>
          <w:tcPr>
            <w:tcW w:w="4671" w:type="dxa"/>
          </w:tcPr>
          <w:p w14:paraId="64DEC314"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sidRPr="00BF0ADB">
              <w:rPr>
                <w:rFonts w:ascii="Times New Roman" w:hAnsi="Times New Roman"/>
                <w:sz w:val="22"/>
                <w:szCs w:val="22"/>
              </w:rPr>
              <w:t xml:space="preserve">01-672 C.M.R. </w:t>
            </w:r>
            <w:proofErr w:type="spellStart"/>
            <w:r w:rsidRPr="00BF0ADB">
              <w:rPr>
                <w:rFonts w:ascii="Times New Roman" w:hAnsi="Times New Roman"/>
                <w:sz w:val="22"/>
                <w:szCs w:val="22"/>
              </w:rPr>
              <w:t>ch.</w:t>
            </w:r>
            <w:proofErr w:type="spellEnd"/>
            <w:r w:rsidRPr="00BF0ADB">
              <w:rPr>
                <w:rFonts w:ascii="Times New Roman" w:hAnsi="Times New Roman"/>
                <w:sz w:val="22"/>
                <w:szCs w:val="22"/>
              </w:rPr>
              <w:t xml:space="preserve"> 10, Land Use Districts and Standards</w:t>
            </w:r>
            <w:r>
              <w:rPr>
                <w:rFonts w:ascii="Times New Roman" w:hAnsi="Times New Roman"/>
                <w:sz w:val="22"/>
                <w:szCs w:val="22"/>
              </w:rPr>
              <w:t>, December 30, 2022</w:t>
            </w:r>
          </w:p>
        </w:tc>
        <w:tc>
          <w:tcPr>
            <w:tcW w:w="4679" w:type="dxa"/>
          </w:tcPr>
          <w:p w14:paraId="50EEC562"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Maine Department of Agriculture, Conservation &amp; Forestry</w:t>
            </w:r>
          </w:p>
          <w:p w14:paraId="731728C0"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Bureau of Resource Information and Land Use Planning</w:t>
            </w:r>
          </w:p>
          <w:p w14:paraId="5A833A05"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Land Use Planning Commission</w:t>
            </w:r>
          </w:p>
          <w:p w14:paraId="7755BDC9"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 xml:space="preserve">22 State House Station </w:t>
            </w:r>
          </w:p>
          <w:p w14:paraId="2F5EBE68"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Augusta, Maine 04333</w:t>
            </w:r>
          </w:p>
          <w:p w14:paraId="60BB7552"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207-287-2631</w:t>
            </w:r>
          </w:p>
          <w:p w14:paraId="1290A6F4" w14:textId="77777777" w:rsidR="00F9684F" w:rsidRDefault="00F9684F" w:rsidP="0010355A">
            <w:pPr>
              <w:tabs>
                <w:tab w:val="left" w:pos="720"/>
                <w:tab w:val="left" w:pos="1440"/>
                <w:tab w:val="left" w:pos="2160"/>
                <w:tab w:val="left" w:pos="2880"/>
                <w:tab w:val="left" w:pos="3600"/>
                <w:tab w:val="left" w:pos="4320"/>
              </w:tabs>
              <w:rPr>
                <w:rFonts w:ascii="Times New Roman" w:hAnsi="Times New Roman"/>
                <w:sz w:val="22"/>
                <w:szCs w:val="22"/>
              </w:rPr>
            </w:pPr>
          </w:p>
          <w:p w14:paraId="5261A226" w14:textId="77777777" w:rsidR="00F9684F" w:rsidRDefault="00F9684F" w:rsidP="0010355A">
            <w:pPr>
              <w:tabs>
                <w:tab w:val="left" w:pos="720"/>
                <w:tab w:val="left" w:pos="1440"/>
                <w:tab w:val="left" w:pos="2160"/>
                <w:tab w:val="left" w:pos="2880"/>
                <w:tab w:val="left" w:pos="3600"/>
                <w:tab w:val="left" w:pos="4320"/>
              </w:tabs>
              <w:rPr>
                <w:rFonts w:ascii="Times New Roman" w:hAnsi="Times New Roman"/>
                <w:sz w:val="22"/>
                <w:szCs w:val="22"/>
              </w:rPr>
            </w:pPr>
          </w:p>
        </w:tc>
      </w:tr>
      <w:tr w:rsidR="00F9684F" w14:paraId="5C0B6B10" w14:textId="77777777" w:rsidTr="00734CC6">
        <w:trPr>
          <w:trHeight w:val="1556"/>
        </w:trPr>
        <w:tc>
          <w:tcPr>
            <w:tcW w:w="4671" w:type="dxa"/>
          </w:tcPr>
          <w:p w14:paraId="568EF108" w14:textId="77777777" w:rsidR="00F9684F" w:rsidRPr="00C52A9D" w:rsidRDefault="00F9684F" w:rsidP="0010355A">
            <w:pPr>
              <w:tabs>
                <w:tab w:val="left" w:pos="720"/>
                <w:tab w:val="left" w:pos="1440"/>
                <w:tab w:val="left" w:pos="2160"/>
                <w:tab w:val="left" w:pos="2880"/>
                <w:tab w:val="left" w:pos="3600"/>
                <w:tab w:val="left" w:pos="4320"/>
              </w:tabs>
              <w:spacing w:line="259" w:lineRule="auto"/>
              <w:jc w:val="center"/>
              <w:rPr>
                <w:rFonts w:ascii="Times New Roman" w:hAnsi="Times New Roman"/>
                <w:sz w:val="22"/>
                <w:szCs w:val="22"/>
              </w:rPr>
            </w:pPr>
            <w:r w:rsidRPr="00C52A9D">
              <w:rPr>
                <w:rFonts w:ascii="Times New Roman" w:hAnsi="Times New Roman"/>
                <w:sz w:val="22"/>
                <w:szCs w:val="22"/>
              </w:rPr>
              <w:t xml:space="preserve">10-144 C.M.R. </w:t>
            </w:r>
            <w:proofErr w:type="spellStart"/>
            <w:r w:rsidRPr="00C52A9D">
              <w:rPr>
                <w:rFonts w:ascii="Times New Roman" w:hAnsi="Times New Roman"/>
                <w:sz w:val="22"/>
                <w:szCs w:val="22"/>
              </w:rPr>
              <w:t>ch.</w:t>
            </w:r>
            <w:proofErr w:type="spellEnd"/>
            <w:r w:rsidRPr="00C52A9D">
              <w:rPr>
                <w:rFonts w:ascii="Times New Roman" w:hAnsi="Times New Roman"/>
                <w:sz w:val="22"/>
                <w:szCs w:val="22"/>
              </w:rPr>
              <w:t xml:space="preserve"> 241, Subsurface Wastewater Disposal Rules</w:t>
            </w:r>
            <w:r>
              <w:rPr>
                <w:rFonts w:ascii="Times New Roman" w:hAnsi="Times New Roman"/>
                <w:sz w:val="22"/>
                <w:szCs w:val="22"/>
              </w:rPr>
              <w:t xml:space="preserve">, </w:t>
            </w:r>
            <w:r w:rsidRPr="00CA0763">
              <w:rPr>
                <w:rFonts w:ascii="Times New Roman" w:hAnsi="Times New Roman"/>
                <w:sz w:val="22"/>
                <w:szCs w:val="22"/>
              </w:rPr>
              <w:t>August 3, 2015</w:t>
            </w:r>
          </w:p>
          <w:p w14:paraId="44C19194" w14:textId="77777777" w:rsidR="00F9684F" w:rsidRPr="00BF0ADB"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4679" w:type="dxa"/>
          </w:tcPr>
          <w:p w14:paraId="50FAB428"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Maine Department of Health &amp; Human Services</w:t>
            </w:r>
          </w:p>
          <w:p w14:paraId="3CDE30C2"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 xml:space="preserve">Maine Center for Disease Control &amp; Prevention </w:t>
            </w:r>
          </w:p>
          <w:p w14:paraId="33014E3B"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11 State House Station</w:t>
            </w:r>
          </w:p>
          <w:p w14:paraId="5422F969"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Augusta, Maine 04333</w:t>
            </w:r>
          </w:p>
          <w:p w14:paraId="5CC71206" w14:textId="77777777" w:rsidR="00F9684F" w:rsidRDefault="00F9684F" w:rsidP="0010355A">
            <w:pPr>
              <w:tabs>
                <w:tab w:val="left" w:pos="720"/>
                <w:tab w:val="left" w:pos="1440"/>
                <w:tab w:val="left" w:pos="2160"/>
                <w:tab w:val="left" w:pos="2880"/>
                <w:tab w:val="left" w:pos="3600"/>
                <w:tab w:val="left" w:pos="4320"/>
              </w:tabs>
              <w:jc w:val="center"/>
              <w:rPr>
                <w:rFonts w:ascii="Times New Roman" w:hAnsi="Times New Roman"/>
                <w:sz w:val="22"/>
                <w:szCs w:val="22"/>
              </w:rPr>
            </w:pPr>
            <w:r>
              <w:rPr>
                <w:rFonts w:ascii="Times New Roman" w:hAnsi="Times New Roman"/>
                <w:sz w:val="22"/>
                <w:szCs w:val="22"/>
              </w:rPr>
              <w:t>207-287-8016</w:t>
            </w:r>
          </w:p>
        </w:tc>
      </w:tr>
    </w:tbl>
    <w:p w14:paraId="3D171A75" w14:textId="77777777" w:rsidR="00F9684F" w:rsidRPr="00721E34" w:rsidRDefault="00F9684F" w:rsidP="00F9684F">
      <w:pPr>
        <w:tabs>
          <w:tab w:val="left" w:pos="720"/>
          <w:tab w:val="left" w:pos="1440"/>
          <w:tab w:val="left" w:pos="2160"/>
          <w:tab w:val="left" w:pos="2880"/>
          <w:tab w:val="left" w:pos="3600"/>
          <w:tab w:val="left" w:pos="4320"/>
        </w:tabs>
        <w:jc w:val="center"/>
        <w:rPr>
          <w:rFonts w:ascii="Times New Roman" w:hAnsi="Times New Roman"/>
          <w:sz w:val="22"/>
          <w:szCs w:val="22"/>
        </w:rPr>
      </w:pPr>
    </w:p>
    <w:p w14:paraId="7EA3A9D9" w14:textId="77777777" w:rsidR="004015DF" w:rsidRPr="00412780" w:rsidRDefault="004015DF" w:rsidP="005C3D9A">
      <w:pPr>
        <w:tabs>
          <w:tab w:val="left" w:pos="-1440"/>
          <w:tab w:val="left" w:pos="-720"/>
          <w:tab w:val="left" w:pos="540"/>
          <w:tab w:val="left" w:pos="10440"/>
        </w:tabs>
        <w:ind w:right="360"/>
        <w:rPr>
          <w:rFonts w:ascii="Times New Roman" w:hAnsi="Times New Roman"/>
          <w:sz w:val="22"/>
          <w:szCs w:val="22"/>
        </w:rPr>
      </w:pPr>
    </w:p>
    <w:p w14:paraId="0ECB89FE"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31797E8F" w14:textId="77777777" w:rsidR="005C3D9A" w:rsidRPr="006173A1" w:rsidRDefault="005C3D9A" w:rsidP="005C3D9A">
      <w:pPr>
        <w:tabs>
          <w:tab w:val="right" w:pos="9360"/>
          <w:tab w:val="left" w:pos="10440"/>
        </w:tabs>
        <w:ind w:right="360"/>
        <w:jc w:val="center"/>
        <w:rPr>
          <w:rFonts w:ascii="Times New Roman" w:hAnsi="Times New Roman"/>
          <w:i/>
          <w:sz w:val="16"/>
          <w:szCs w:val="16"/>
        </w:rPr>
      </w:pPr>
    </w:p>
    <w:sectPr w:rsidR="005C3D9A" w:rsidRPr="006173A1" w:rsidSect="00B14FD4">
      <w:headerReference w:type="default" r:id="rId10"/>
      <w:footerReference w:type="default" r:id="rId11"/>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3F95" w14:textId="77777777" w:rsidR="00441AFD" w:rsidRDefault="00441AFD">
      <w:r>
        <w:separator/>
      </w:r>
    </w:p>
  </w:endnote>
  <w:endnote w:type="continuationSeparator" w:id="0">
    <w:p w14:paraId="66601EF7" w14:textId="77777777" w:rsidR="00441AFD" w:rsidRDefault="004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AB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AAF3" w14:textId="77777777" w:rsidR="00441AFD" w:rsidRDefault="00441AFD">
      <w:r>
        <w:rPr>
          <w:sz w:val="24"/>
        </w:rPr>
        <w:separator/>
      </w:r>
    </w:p>
  </w:footnote>
  <w:footnote w:type="continuationSeparator" w:id="0">
    <w:p w14:paraId="4AE6C3F2" w14:textId="77777777" w:rsidR="00441AFD" w:rsidRDefault="004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BBD"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3C0C5D"/>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1116816"/>
    <w:multiLevelType w:val="multilevel"/>
    <w:tmpl w:val="A61CF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316103"/>
    <w:multiLevelType w:val="multilevel"/>
    <w:tmpl w:val="F244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7FF2389"/>
    <w:multiLevelType w:val="multilevel"/>
    <w:tmpl w:val="FE3C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365DBD"/>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1" w15:restartNumberingAfterBreak="0">
    <w:nsid w:val="7DFC0F23"/>
    <w:multiLevelType w:val="hybridMultilevel"/>
    <w:tmpl w:val="FB4AE1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19"/>
  </w:num>
  <w:num w:numId="2">
    <w:abstractNumId w:val="15"/>
  </w:num>
  <w:num w:numId="3">
    <w:abstractNumId w:val="14"/>
  </w:num>
  <w:num w:numId="4">
    <w:abstractNumId w:val="22"/>
  </w:num>
  <w:num w:numId="5">
    <w:abstractNumId w:val="23"/>
  </w:num>
  <w:num w:numId="6">
    <w:abstractNumId w:val="4"/>
  </w:num>
  <w:num w:numId="7">
    <w:abstractNumId w:val="31"/>
  </w:num>
  <w:num w:numId="8">
    <w:abstractNumId w:val="0"/>
  </w:num>
  <w:num w:numId="9">
    <w:abstractNumId w:val="13"/>
  </w:num>
  <w:num w:numId="10">
    <w:abstractNumId w:val="29"/>
  </w:num>
  <w:num w:numId="11">
    <w:abstractNumId w:val="3"/>
  </w:num>
  <w:num w:numId="12">
    <w:abstractNumId w:val="27"/>
  </w:num>
  <w:num w:numId="13">
    <w:abstractNumId w:val="7"/>
  </w:num>
  <w:num w:numId="14">
    <w:abstractNumId w:val="28"/>
  </w:num>
  <w:num w:numId="15">
    <w:abstractNumId w:val="11"/>
  </w:num>
  <w:num w:numId="16">
    <w:abstractNumId w:val="12"/>
  </w:num>
  <w:num w:numId="17">
    <w:abstractNumId w:val="24"/>
  </w:num>
  <w:num w:numId="18">
    <w:abstractNumId w:val="8"/>
  </w:num>
  <w:num w:numId="19">
    <w:abstractNumId w:val="18"/>
  </w:num>
  <w:num w:numId="20">
    <w:abstractNumId w:val="30"/>
  </w:num>
  <w:num w:numId="21">
    <w:abstractNumId w:val="25"/>
  </w:num>
  <w:num w:numId="22">
    <w:abstractNumId w:val="20"/>
  </w:num>
  <w:num w:numId="23">
    <w:abstractNumId w:val="10"/>
  </w:num>
  <w:num w:numId="24">
    <w:abstractNumId w:val="6"/>
  </w:num>
  <w:num w:numId="25">
    <w:abstractNumId w:val="9"/>
  </w:num>
  <w:num w:numId="26">
    <w:abstractNumId w:val="21"/>
  </w:num>
  <w:num w:numId="27">
    <w:abstractNumId w:val="16"/>
  </w:num>
  <w:num w:numId="28">
    <w:abstractNumId w:val="1"/>
  </w:num>
  <w:num w:numId="29">
    <w:abstractNumId w:val="5"/>
  </w:num>
  <w:num w:numId="30">
    <w:abstractNumId w:val="2"/>
  </w:num>
  <w:num w:numId="31">
    <w:abstractNumId w:val="32"/>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91EBD"/>
    <w:rsid w:val="001030D2"/>
    <w:rsid w:val="001201B9"/>
    <w:rsid w:val="00194290"/>
    <w:rsid w:val="001B1CC7"/>
    <w:rsid w:val="002004A3"/>
    <w:rsid w:val="002153DF"/>
    <w:rsid w:val="00236A05"/>
    <w:rsid w:val="002427A4"/>
    <w:rsid w:val="002736BC"/>
    <w:rsid w:val="00275E91"/>
    <w:rsid w:val="002D0F35"/>
    <w:rsid w:val="00321650"/>
    <w:rsid w:val="00362682"/>
    <w:rsid w:val="003755FD"/>
    <w:rsid w:val="00396F82"/>
    <w:rsid w:val="003A0F65"/>
    <w:rsid w:val="004015DF"/>
    <w:rsid w:val="00412780"/>
    <w:rsid w:val="004148BC"/>
    <w:rsid w:val="00430AED"/>
    <w:rsid w:val="00435191"/>
    <w:rsid w:val="00441AFD"/>
    <w:rsid w:val="004800B7"/>
    <w:rsid w:val="004B3E84"/>
    <w:rsid w:val="004F3B17"/>
    <w:rsid w:val="00501942"/>
    <w:rsid w:val="00503D45"/>
    <w:rsid w:val="0051348D"/>
    <w:rsid w:val="0055216E"/>
    <w:rsid w:val="00593DE3"/>
    <w:rsid w:val="005A7318"/>
    <w:rsid w:val="005C3D9A"/>
    <w:rsid w:val="005E0AE6"/>
    <w:rsid w:val="006241B0"/>
    <w:rsid w:val="006410FD"/>
    <w:rsid w:val="00706902"/>
    <w:rsid w:val="00734888"/>
    <w:rsid w:val="00734CC6"/>
    <w:rsid w:val="00767AB4"/>
    <w:rsid w:val="00775029"/>
    <w:rsid w:val="00777527"/>
    <w:rsid w:val="007A532B"/>
    <w:rsid w:val="007C614E"/>
    <w:rsid w:val="007F3A60"/>
    <w:rsid w:val="00806106"/>
    <w:rsid w:val="00816831"/>
    <w:rsid w:val="008276B5"/>
    <w:rsid w:val="00846999"/>
    <w:rsid w:val="00867988"/>
    <w:rsid w:val="008938D9"/>
    <w:rsid w:val="008B3CF0"/>
    <w:rsid w:val="00942C6E"/>
    <w:rsid w:val="0095400A"/>
    <w:rsid w:val="00957AEE"/>
    <w:rsid w:val="009D7594"/>
    <w:rsid w:val="00A516C1"/>
    <w:rsid w:val="00A51FF9"/>
    <w:rsid w:val="00A667CE"/>
    <w:rsid w:val="00A731B5"/>
    <w:rsid w:val="00B13DDD"/>
    <w:rsid w:val="00B14FD4"/>
    <w:rsid w:val="00B3206B"/>
    <w:rsid w:val="00B3323E"/>
    <w:rsid w:val="00B73C48"/>
    <w:rsid w:val="00BA13A3"/>
    <w:rsid w:val="00BB5654"/>
    <w:rsid w:val="00BD3AA5"/>
    <w:rsid w:val="00BF1EFB"/>
    <w:rsid w:val="00C1117E"/>
    <w:rsid w:val="00CC49BD"/>
    <w:rsid w:val="00CD14CC"/>
    <w:rsid w:val="00CD595A"/>
    <w:rsid w:val="00D260E2"/>
    <w:rsid w:val="00D96AC6"/>
    <w:rsid w:val="00E832E0"/>
    <w:rsid w:val="00E97346"/>
    <w:rsid w:val="00EB0297"/>
    <w:rsid w:val="00F748D8"/>
    <w:rsid w:val="00F91365"/>
    <w:rsid w:val="00F9684F"/>
    <w:rsid w:val="00FF110C"/>
    <w:rsid w:val="00FF6339"/>
    <w:rsid w:val="00FF7839"/>
    <w:rsid w:val="018BEBBC"/>
    <w:rsid w:val="04813E12"/>
    <w:rsid w:val="15E1443C"/>
    <w:rsid w:val="17A16A66"/>
    <w:rsid w:val="1DCA359A"/>
    <w:rsid w:val="3262FF80"/>
    <w:rsid w:val="505EFEE1"/>
    <w:rsid w:val="54CE9E7A"/>
    <w:rsid w:val="55051DA7"/>
    <w:rsid w:val="5917BD18"/>
    <w:rsid w:val="59295BFA"/>
    <w:rsid w:val="6B124B23"/>
    <w:rsid w:val="7492E59E"/>
    <w:rsid w:val="7A0474C2"/>
    <w:rsid w:val="7BDB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135B9"/>
  <w15:docId w15:val="{89CF2723-7ABD-40EF-8265-8FE52557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character" w:styleId="Emphasis">
    <w:name w:val="Emphasis"/>
    <w:uiPriority w:val="20"/>
    <w:qFormat/>
    <w:rsid w:val="004B3E84"/>
    <w:rPr>
      <w:i/>
      <w:iCs/>
    </w:rPr>
  </w:style>
  <w:style w:type="character" w:styleId="Hyperlink">
    <w:name w:val="Hyperlink"/>
    <w:uiPriority w:val="99"/>
    <w:unhideWhenUsed/>
    <w:rsid w:val="004B3E84"/>
    <w:rPr>
      <w:color w:val="0000FF"/>
      <w:u w:val="single"/>
    </w:rPr>
  </w:style>
  <w:style w:type="paragraph" w:customStyle="1" w:styleId="paragraph">
    <w:name w:val="paragraph"/>
    <w:basedOn w:val="Normal"/>
    <w:rsid w:val="0077502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775029"/>
  </w:style>
  <w:style w:type="character" w:customStyle="1" w:styleId="eop">
    <w:name w:val="eop"/>
    <w:basedOn w:val="DefaultParagraphFont"/>
    <w:rsid w:val="00775029"/>
  </w:style>
  <w:style w:type="character" w:customStyle="1" w:styleId="spellingerror">
    <w:name w:val="spellingerror"/>
    <w:basedOn w:val="DefaultParagraphFont"/>
    <w:rsid w:val="00775029"/>
  </w:style>
  <w:style w:type="character" w:styleId="UnresolvedMention">
    <w:name w:val="Unresolved Mention"/>
    <w:basedOn w:val="DefaultParagraphFont"/>
    <w:uiPriority w:val="99"/>
    <w:semiHidden/>
    <w:unhideWhenUsed/>
    <w:rsid w:val="00C1117E"/>
    <w:rPr>
      <w:color w:val="605E5C"/>
      <w:shd w:val="clear" w:color="auto" w:fill="E1DFDD"/>
    </w:rPr>
  </w:style>
  <w:style w:type="paragraph" w:styleId="ListParagraph">
    <w:name w:val="List Paragraph"/>
    <w:basedOn w:val="Normal"/>
    <w:uiPriority w:val="34"/>
    <w:qFormat/>
    <w:rsid w:val="00F9684F"/>
    <w:pPr>
      <w:widowControl w:val="0"/>
      <w:overflowPunct/>
      <w:autoSpaceDE/>
      <w:autoSpaceDN/>
      <w:adjustRightInd/>
      <w:ind w:left="720"/>
      <w:contextualSpacing/>
      <w:textAlignment w:val="auto"/>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22002">
      <w:bodyDiv w:val="1"/>
      <w:marLeft w:val="0"/>
      <w:marRight w:val="0"/>
      <w:marTop w:val="0"/>
      <w:marBottom w:val="0"/>
      <w:divBdr>
        <w:top w:val="none" w:sz="0" w:space="0" w:color="auto"/>
        <w:left w:val="none" w:sz="0" w:space="0" w:color="auto"/>
        <w:bottom w:val="none" w:sz="0" w:space="0" w:color="auto"/>
        <w:right w:val="none" w:sz="0" w:space="0" w:color="auto"/>
      </w:divBdr>
      <w:divsChild>
        <w:div w:id="670332828">
          <w:marLeft w:val="0"/>
          <w:marRight w:val="0"/>
          <w:marTop w:val="0"/>
          <w:marBottom w:val="0"/>
          <w:divBdr>
            <w:top w:val="none" w:sz="0" w:space="0" w:color="auto"/>
            <w:left w:val="none" w:sz="0" w:space="0" w:color="auto"/>
            <w:bottom w:val="none" w:sz="0" w:space="0" w:color="auto"/>
            <w:right w:val="none" w:sz="0" w:space="0" w:color="auto"/>
          </w:divBdr>
          <w:divsChild>
            <w:div w:id="968046721">
              <w:marLeft w:val="0"/>
              <w:marRight w:val="0"/>
              <w:marTop w:val="0"/>
              <w:marBottom w:val="0"/>
              <w:divBdr>
                <w:top w:val="none" w:sz="0" w:space="0" w:color="auto"/>
                <w:left w:val="none" w:sz="0" w:space="0" w:color="auto"/>
                <w:bottom w:val="none" w:sz="0" w:space="0" w:color="auto"/>
                <w:right w:val="none" w:sz="0" w:space="0" w:color="auto"/>
              </w:divBdr>
            </w:div>
            <w:div w:id="1633904179">
              <w:marLeft w:val="0"/>
              <w:marRight w:val="0"/>
              <w:marTop w:val="0"/>
              <w:marBottom w:val="0"/>
              <w:divBdr>
                <w:top w:val="none" w:sz="0" w:space="0" w:color="auto"/>
                <w:left w:val="none" w:sz="0" w:space="0" w:color="auto"/>
                <w:bottom w:val="none" w:sz="0" w:space="0" w:color="auto"/>
                <w:right w:val="none" w:sz="0" w:space="0" w:color="auto"/>
              </w:divBdr>
            </w:div>
            <w:div w:id="330177842">
              <w:marLeft w:val="0"/>
              <w:marRight w:val="0"/>
              <w:marTop w:val="0"/>
              <w:marBottom w:val="0"/>
              <w:divBdr>
                <w:top w:val="none" w:sz="0" w:space="0" w:color="auto"/>
                <w:left w:val="none" w:sz="0" w:space="0" w:color="auto"/>
                <w:bottom w:val="none" w:sz="0" w:space="0" w:color="auto"/>
                <w:right w:val="none" w:sz="0" w:space="0" w:color="auto"/>
              </w:divBdr>
            </w:div>
          </w:divsChild>
        </w:div>
        <w:div w:id="1486555466">
          <w:marLeft w:val="0"/>
          <w:marRight w:val="0"/>
          <w:marTop w:val="0"/>
          <w:marBottom w:val="0"/>
          <w:divBdr>
            <w:top w:val="none" w:sz="0" w:space="0" w:color="auto"/>
            <w:left w:val="none" w:sz="0" w:space="0" w:color="auto"/>
            <w:bottom w:val="none" w:sz="0" w:space="0" w:color="auto"/>
            <w:right w:val="none" w:sz="0" w:space="0" w:color="auto"/>
          </w:divBdr>
          <w:divsChild>
            <w:div w:id="2174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nestate.zoom.us/meeting/register/tZEqf-2srjMqEtCNTOPsCq4_Buoc7dRGTvV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nise.garlan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3872</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Gove, Hilary</cp:lastModifiedBy>
  <cp:revision>5</cp:revision>
  <cp:lastPrinted>2019-08-14T14:23:00Z</cp:lastPrinted>
  <dcterms:created xsi:type="dcterms:W3CDTF">2023-01-30T19:19:00Z</dcterms:created>
  <dcterms:modified xsi:type="dcterms:W3CDTF">2023-01-31T14:10:00Z</dcterms:modified>
</cp:coreProperties>
</file>