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0C94" w14:textId="77777777" w:rsidR="005C3D9A" w:rsidRPr="006A710D" w:rsidRDefault="005C3D9A" w:rsidP="005C3D9A">
      <w:pPr>
        <w:tabs>
          <w:tab w:val="left" w:pos="10440"/>
        </w:tabs>
        <w:ind w:right="360"/>
        <w:jc w:val="right"/>
        <w:rPr>
          <w:rFonts w:ascii="Times New Roman" w:hAnsi="Times New Roman"/>
          <w:sz w:val="22"/>
          <w:szCs w:val="22"/>
        </w:rPr>
      </w:pPr>
      <w:r w:rsidRPr="006A710D">
        <w:rPr>
          <w:rFonts w:ascii="Times New Roman" w:hAnsi="Times New Roman"/>
          <w:b/>
          <w:sz w:val="22"/>
          <w:szCs w:val="22"/>
        </w:rPr>
        <w:t>MAPA-3</w:t>
      </w:r>
      <w:r w:rsidRPr="006A710D">
        <w:rPr>
          <w:rFonts w:ascii="Times New Roman" w:hAnsi="Times New Roman"/>
          <w:sz w:val="22"/>
          <w:szCs w:val="22"/>
        </w:rPr>
        <w:t xml:space="preserve"> revised </w:t>
      </w:r>
      <w:r w:rsidR="001201B9" w:rsidRPr="006A710D">
        <w:rPr>
          <w:rFonts w:ascii="Times New Roman" w:hAnsi="Times New Roman"/>
          <w:sz w:val="22"/>
          <w:szCs w:val="22"/>
        </w:rPr>
        <w:t>8-2019</w:t>
      </w:r>
    </w:p>
    <w:p w14:paraId="42EE2DA8" w14:textId="77777777" w:rsidR="005C3D9A" w:rsidRPr="006A710D" w:rsidRDefault="00194290" w:rsidP="005C3D9A">
      <w:pPr>
        <w:tabs>
          <w:tab w:val="center" w:pos="4680"/>
          <w:tab w:val="left" w:pos="10440"/>
        </w:tabs>
        <w:ind w:right="360"/>
        <w:rPr>
          <w:rFonts w:ascii="Times New Roman" w:hAnsi="Times New Roman"/>
          <w:b/>
          <w:sz w:val="22"/>
          <w:szCs w:val="22"/>
        </w:rPr>
      </w:pPr>
      <w:r w:rsidRPr="006A710D">
        <w:rPr>
          <w:rFonts w:ascii="Times New Roman" w:hAnsi="Times New Roman"/>
          <w:b/>
          <w:sz w:val="22"/>
          <w:szCs w:val="22"/>
        </w:rPr>
        <w:t>Notice of Agency Rule</w:t>
      </w:r>
      <w:r w:rsidR="005C3D9A" w:rsidRPr="006A710D">
        <w:rPr>
          <w:rFonts w:ascii="Times New Roman" w:hAnsi="Times New Roman"/>
          <w:b/>
          <w:sz w:val="22"/>
          <w:szCs w:val="22"/>
        </w:rPr>
        <w:t>making Proposal</w:t>
      </w:r>
    </w:p>
    <w:p w14:paraId="465A6019" w14:textId="77777777" w:rsidR="005C3D9A" w:rsidRPr="006A710D" w:rsidRDefault="005C3D9A" w:rsidP="005C3D9A">
      <w:pPr>
        <w:tabs>
          <w:tab w:val="center" w:pos="4680"/>
          <w:tab w:val="left" w:pos="10440"/>
        </w:tabs>
        <w:ind w:right="360"/>
        <w:rPr>
          <w:rFonts w:ascii="Times New Roman" w:hAnsi="Times New Roman"/>
          <w:b/>
          <w:sz w:val="22"/>
          <w:szCs w:val="22"/>
        </w:rPr>
      </w:pPr>
    </w:p>
    <w:p w14:paraId="14256CEF" w14:textId="77777777" w:rsidR="005C3D9A" w:rsidRPr="006A710D" w:rsidRDefault="005C3D9A" w:rsidP="005C3D9A">
      <w:pPr>
        <w:tabs>
          <w:tab w:val="center" w:pos="4680"/>
          <w:tab w:val="left" w:pos="10440"/>
        </w:tabs>
        <w:ind w:right="360"/>
        <w:rPr>
          <w:rFonts w:ascii="Times New Roman" w:hAnsi="Times New Roman"/>
          <w:b/>
          <w:sz w:val="22"/>
          <w:szCs w:val="22"/>
        </w:rPr>
      </w:pPr>
    </w:p>
    <w:p w14:paraId="7AD0DC18" w14:textId="3618D001" w:rsidR="005C3D9A" w:rsidRPr="006A710D" w:rsidRDefault="005C3D9A" w:rsidP="005C3D9A">
      <w:pPr>
        <w:tabs>
          <w:tab w:val="left" w:pos="-1440"/>
          <w:tab w:val="left" w:pos="-720"/>
          <w:tab w:val="left" w:pos="4320"/>
          <w:tab w:val="left" w:pos="10440"/>
        </w:tabs>
        <w:ind w:right="360"/>
        <w:rPr>
          <w:rFonts w:ascii="Times New Roman" w:hAnsi="Times New Roman"/>
          <w:sz w:val="22"/>
          <w:szCs w:val="22"/>
        </w:rPr>
      </w:pPr>
      <w:r w:rsidRPr="006A710D">
        <w:rPr>
          <w:rFonts w:ascii="Times New Roman" w:hAnsi="Times New Roman"/>
          <w:sz w:val="22"/>
          <w:szCs w:val="22"/>
        </w:rPr>
        <w:t>AGENCY:</w:t>
      </w:r>
      <w:r w:rsidR="002B0917" w:rsidRPr="006A710D">
        <w:rPr>
          <w:rFonts w:ascii="Times New Roman" w:hAnsi="Times New Roman"/>
          <w:sz w:val="22"/>
          <w:szCs w:val="22"/>
        </w:rPr>
        <w:t xml:space="preserve"> 19-100</w:t>
      </w:r>
      <w:r w:rsidR="00A5227E" w:rsidRPr="006A710D">
        <w:rPr>
          <w:rFonts w:ascii="Times New Roman" w:hAnsi="Times New Roman"/>
          <w:sz w:val="22"/>
          <w:szCs w:val="22"/>
        </w:rPr>
        <w:t>-</w:t>
      </w:r>
      <w:r w:rsidR="002B0917" w:rsidRPr="006A710D">
        <w:rPr>
          <w:rFonts w:ascii="Times New Roman" w:hAnsi="Times New Roman"/>
          <w:sz w:val="22"/>
          <w:szCs w:val="22"/>
        </w:rPr>
        <w:t>Department of Economic and Community Development</w:t>
      </w:r>
    </w:p>
    <w:p w14:paraId="39988BAA" w14:textId="77777777" w:rsidR="005C3D9A" w:rsidRPr="006A710D" w:rsidRDefault="005C3D9A" w:rsidP="005C3D9A">
      <w:pPr>
        <w:tabs>
          <w:tab w:val="left" w:pos="-1440"/>
          <w:tab w:val="left" w:pos="-720"/>
          <w:tab w:val="left" w:pos="4320"/>
          <w:tab w:val="left" w:pos="10440"/>
        </w:tabs>
        <w:ind w:right="360"/>
        <w:rPr>
          <w:rFonts w:ascii="Times New Roman" w:hAnsi="Times New Roman"/>
          <w:sz w:val="22"/>
          <w:szCs w:val="22"/>
        </w:rPr>
      </w:pPr>
    </w:p>
    <w:p w14:paraId="539ED059" w14:textId="49777F27" w:rsidR="00B13DDD" w:rsidRPr="006A710D" w:rsidRDefault="005C3D9A" w:rsidP="4C3684F1">
      <w:pPr>
        <w:tabs>
          <w:tab w:val="left" w:pos="540"/>
          <w:tab w:val="left" w:pos="10440"/>
        </w:tabs>
        <w:spacing w:line="259" w:lineRule="auto"/>
        <w:ind w:left="540" w:right="360" w:hanging="540"/>
        <w:rPr>
          <w:sz w:val="22"/>
          <w:szCs w:val="22"/>
        </w:rPr>
      </w:pPr>
      <w:r w:rsidRPr="4C3684F1">
        <w:rPr>
          <w:rFonts w:ascii="Times New Roman" w:hAnsi="Times New Roman"/>
          <w:sz w:val="22"/>
          <w:szCs w:val="22"/>
        </w:rPr>
        <w:t>CHAPTER NUMBER AND TITLE:</w:t>
      </w:r>
      <w:r w:rsidR="002B0917" w:rsidRPr="4C3684F1">
        <w:rPr>
          <w:rFonts w:ascii="Times New Roman" w:hAnsi="Times New Roman"/>
          <w:sz w:val="22"/>
          <w:szCs w:val="22"/>
        </w:rPr>
        <w:t xml:space="preserve"> Chapter 4: </w:t>
      </w:r>
      <w:r w:rsidR="598E62EF" w:rsidRPr="4C3684F1">
        <w:rPr>
          <w:rFonts w:ascii="Times New Roman" w:hAnsi="Times New Roman"/>
          <w:sz w:val="22"/>
          <w:szCs w:val="22"/>
        </w:rPr>
        <w:t xml:space="preserve">Rule Regarding </w:t>
      </w:r>
      <w:r w:rsidR="002B0917" w:rsidRPr="4C3684F1">
        <w:rPr>
          <w:rFonts w:ascii="Times New Roman" w:hAnsi="Times New Roman"/>
          <w:sz w:val="22"/>
          <w:szCs w:val="22"/>
        </w:rPr>
        <w:t xml:space="preserve">Housing Opportunity </w:t>
      </w:r>
      <w:r w:rsidR="70BD67DF" w:rsidRPr="4C3684F1">
        <w:rPr>
          <w:rFonts w:ascii="Times New Roman" w:hAnsi="Times New Roman"/>
          <w:sz w:val="22"/>
          <w:szCs w:val="22"/>
        </w:rPr>
        <w:t>Program Grant</w:t>
      </w:r>
      <w:r w:rsidR="7EE878C8" w:rsidRPr="4C3684F1">
        <w:rPr>
          <w:rFonts w:ascii="Times New Roman" w:hAnsi="Times New Roman"/>
          <w:sz w:val="22"/>
          <w:szCs w:val="22"/>
        </w:rPr>
        <w:t>s</w:t>
      </w:r>
    </w:p>
    <w:p w14:paraId="752AD176" w14:textId="34871D3C" w:rsidR="4C3684F1" w:rsidRDefault="4C3684F1" w:rsidP="4C3684F1">
      <w:pPr>
        <w:tabs>
          <w:tab w:val="left" w:pos="720"/>
          <w:tab w:val="left" w:pos="1440"/>
          <w:tab w:val="left" w:pos="1800"/>
          <w:tab w:val="left" w:pos="3060"/>
          <w:tab w:val="left" w:pos="3420"/>
          <w:tab w:val="left" w:pos="5400"/>
          <w:tab w:val="left" w:pos="5760"/>
        </w:tabs>
        <w:rPr>
          <w:rFonts w:ascii="Times New Roman" w:hAnsi="Times New Roman"/>
          <w:sz w:val="22"/>
          <w:szCs w:val="22"/>
        </w:rPr>
      </w:pPr>
    </w:p>
    <w:p w14:paraId="0EABCEC9" w14:textId="105AA65E" w:rsidR="00B13DDD" w:rsidRPr="006A710D" w:rsidRDefault="00430AE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r w:rsidRPr="006A710D">
        <w:rPr>
          <w:rFonts w:ascii="Times New Roman" w:hAnsi="Times New Roman"/>
          <w:sz w:val="22"/>
          <w:szCs w:val="22"/>
        </w:rPr>
        <w:t xml:space="preserve">TYPE OF RULE </w:t>
      </w:r>
      <w:r w:rsidR="00B13DDD" w:rsidRPr="006A710D">
        <w:rPr>
          <w:rFonts w:ascii="Times New Roman" w:hAnsi="Times New Roman"/>
          <w:i/>
          <w:sz w:val="22"/>
          <w:szCs w:val="22"/>
        </w:rPr>
        <w:t>(check one)</w:t>
      </w:r>
      <w:r w:rsidR="00B13DDD" w:rsidRPr="006A710D">
        <w:rPr>
          <w:rFonts w:ascii="Times New Roman" w:hAnsi="Times New Roman"/>
          <w:sz w:val="22"/>
          <w:szCs w:val="22"/>
        </w:rPr>
        <w:t>:</w:t>
      </w:r>
      <w:r w:rsidR="00B13DDD" w:rsidRPr="006A710D">
        <w:rPr>
          <w:rFonts w:ascii="Times New Roman" w:hAnsi="Times New Roman"/>
          <w:sz w:val="22"/>
          <w:szCs w:val="22"/>
        </w:rPr>
        <w:tab/>
      </w:r>
      <w:r w:rsidR="002B0917" w:rsidRPr="006A710D">
        <w:rPr>
          <w:rFonts w:ascii="Wingdings" w:eastAsia="Wingdings" w:hAnsi="Wingdings" w:cs="Wingdings"/>
          <w:sz w:val="22"/>
          <w:szCs w:val="22"/>
        </w:rPr>
        <w:t>x</w:t>
      </w:r>
      <w:r w:rsidR="00B13DDD" w:rsidRPr="006A710D">
        <w:rPr>
          <w:rFonts w:ascii="Times New Roman" w:hAnsi="Times New Roman"/>
          <w:sz w:val="22"/>
          <w:szCs w:val="22"/>
        </w:rPr>
        <w:tab/>
        <w:t>Routine Technical</w:t>
      </w:r>
      <w:r w:rsidR="00B13DDD" w:rsidRPr="006A710D">
        <w:rPr>
          <w:rFonts w:ascii="Times New Roman" w:hAnsi="Times New Roman"/>
          <w:sz w:val="22"/>
          <w:szCs w:val="22"/>
        </w:rPr>
        <w:tab/>
      </w:r>
      <w:r w:rsidR="00B13DDD" w:rsidRPr="006A710D">
        <w:rPr>
          <w:rFonts w:ascii="Times New Roman" w:hAnsi="Times New Roman"/>
          <w:sz w:val="22"/>
          <w:szCs w:val="22"/>
        </w:rPr>
        <w:t></w:t>
      </w:r>
      <w:r w:rsidR="00B13DDD" w:rsidRPr="006A710D">
        <w:rPr>
          <w:rFonts w:ascii="Times New Roman" w:hAnsi="Times New Roman"/>
          <w:sz w:val="22"/>
          <w:szCs w:val="22"/>
        </w:rPr>
        <w:tab/>
        <w:t>Major Substantive</w:t>
      </w:r>
    </w:p>
    <w:p w14:paraId="7028B06F" w14:textId="77777777" w:rsidR="00430AED" w:rsidRPr="006A710D" w:rsidRDefault="00430AED" w:rsidP="005C3D9A">
      <w:pPr>
        <w:tabs>
          <w:tab w:val="left" w:pos="-1440"/>
          <w:tab w:val="left" w:pos="-720"/>
          <w:tab w:val="left" w:pos="540"/>
          <w:tab w:val="left" w:pos="10440"/>
        </w:tabs>
        <w:ind w:left="540" w:right="360" w:hanging="540"/>
        <w:rPr>
          <w:rFonts w:ascii="Times New Roman" w:hAnsi="Times New Roman"/>
          <w:sz w:val="22"/>
          <w:szCs w:val="22"/>
        </w:rPr>
      </w:pPr>
    </w:p>
    <w:p w14:paraId="64059419" w14:textId="69114A3D"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r w:rsidRPr="006A710D">
        <w:rPr>
          <w:rFonts w:ascii="Times New Roman" w:hAnsi="Times New Roman"/>
          <w:sz w:val="22"/>
          <w:szCs w:val="22"/>
        </w:rPr>
        <w:t>PROPOSED RULE NUMBER</w:t>
      </w:r>
      <w:r w:rsidR="002B0917" w:rsidRPr="006A710D">
        <w:rPr>
          <w:rFonts w:ascii="Times New Roman" w:hAnsi="Times New Roman"/>
          <w:sz w:val="22"/>
          <w:szCs w:val="22"/>
        </w:rPr>
        <w:t xml:space="preserve">: </w:t>
      </w:r>
    </w:p>
    <w:p w14:paraId="450F7400" w14:textId="77777777"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p>
    <w:p w14:paraId="2E27B76E" w14:textId="28449394" w:rsidR="005C3D9A" w:rsidRDefault="005C3D9A" w:rsidP="759F6D2C">
      <w:pPr>
        <w:spacing w:beforeAutospacing="1" w:afterAutospacing="1"/>
        <w:rPr>
          <w:rFonts w:ascii="Times New Roman" w:hAnsi="Times New Roman"/>
          <w:color w:val="000000" w:themeColor="text1"/>
          <w:sz w:val="22"/>
          <w:szCs w:val="22"/>
        </w:rPr>
      </w:pPr>
      <w:r w:rsidRPr="759F6D2C">
        <w:rPr>
          <w:rFonts w:ascii="Times New Roman" w:hAnsi="Times New Roman"/>
          <w:sz w:val="22"/>
          <w:szCs w:val="22"/>
        </w:rPr>
        <w:t>BRIEF SUMMARY:</w:t>
      </w:r>
      <w:r w:rsidR="002B0917" w:rsidRPr="759F6D2C">
        <w:rPr>
          <w:rFonts w:ascii="Times New Roman" w:hAnsi="Times New Roman"/>
          <w:sz w:val="22"/>
          <w:szCs w:val="22"/>
        </w:rPr>
        <w:t xml:space="preserve"> </w:t>
      </w:r>
      <w:r w:rsidR="5DA05B9C" w:rsidRPr="759F6D2C">
        <w:rPr>
          <w:rStyle w:val="normaltextrun"/>
          <w:rFonts w:ascii="Times New Roman" w:hAnsi="Times New Roman"/>
          <w:color w:val="000000" w:themeColor="text1"/>
          <w:sz w:val="22"/>
          <w:szCs w:val="22"/>
        </w:rPr>
        <w:t>P.L. 2021, ch. 635</w:t>
      </w:r>
      <w:r w:rsidR="00214F6F">
        <w:rPr>
          <w:rStyle w:val="normaltextrun"/>
          <w:rFonts w:ascii="Times New Roman" w:hAnsi="Times New Roman"/>
          <w:color w:val="000000" w:themeColor="text1"/>
          <w:sz w:val="22"/>
          <w:szCs w:val="22"/>
        </w:rPr>
        <w:t>, Pt. U</w:t>
      </w:r>
      <w:r w:rsidR="5DA05B9C" w:rsidRPr="759F6D2C">
        <w:rPr>
          <w:rStyle w:val="normaltextrun"/>
          <w:rFonts w:ascii="Times New Roman" w:hAnsi="Times New Roman"/>
          <w:color w:val="000000" w:themeColor="text1"/>
          <w:sz w:val="22"/>
          <w:szCs w:val="22"/>
        </w:rPr>
        <w:t xml:space="preserve"> established the Housing Opportunity Program to encourage and support the development of additional housing units in the State, including housing units that are affordable for low-income and moderate-income individuals and housing units targeted to community workforce housing needs. The Housing</w:t>
      </w:r>
      <w:r w:rsidR="4AF2A4DB" w:rsidRPr="759F6D2C">
        <w:rPr>
          <w:rStyle w:val="normaltextrun"/>
          <w:rFonts w:ascii="Times New Roman" w:hAnsi="Times New Roman"/>
          <w:color w:val="000000" w:themeColor="text1"/>
          <w:sz w:val="22"/>
          <w:szCs w:val="22"/>
        </w:rPr>
        <w:t xml:space="preserve"> </w:t>
      </w:r>
      <w:r w:rsidR="5DA05B9C" w:rsidRPr="759F6D2C">
        <w:rPr>
          <w:rStyle w:val="normaltextrun"/>
          <w:rFonts w:ascii="Times New Roman" w:hAnsi="Times New Roman"/>
          <w:color w:val="000000" w:themeColor="text1"/>
          <w:sz w:val="22"/>
          <w:szCs w:val="22"/>
        </w:rPr>
        <w:t>Opportunity Program Grants are grants to service providers to support municipal ordinance development, planning services and policy amendments to support increased housing development. The purpose of the rule is to define the criteria and proposal process for applications for grant funding.  The Department will solicit applications for grants through a competitive application process.</w:t>
      </w:r>
    </w:p>
    <w:p w14:paraId="625422B1" w14:textId="3FE1108F" w:rsidR="2AB7A8C7" w:rsidRDefault="2AB7A8C7" w:rsidP="2AB7A8C7">
      <w:pPr>
        <w:tabs>
          <w:tab w:val="left" w:pos="540"/>
          <w:tab w:val="left" w:pos="10440"/>
        </w:tabs>
        <w:ind w:left="540" w:right="360" w:hanging="540"/>
        <w:rPr>
          <w:sz w:val="22"/>
          <w:szCs w:val="22"/>
        </w:rPr>
      </w:pPr>
    </w:p>
    <w:p w14:paraId="41D63FBC" w14:textId="5850B300" w:rsidR="005C3D9A" w:rsidRPr="006A710D" w:rsidRDefault="005C3D9A" w:rsidP="759F6D2C">
      <w:pPr>
        <w:tabs>
          <w:tab w:val="left" w:pos="540"/>
          <w:tab w:val="left" w:pos="10440"/>
        </w:tabs>
        <w:ind w:right="360"/>
        <w:rPr>
          <w:rFonts w:ascii="Times New Roman" w:hAnsi="Times New Roman"/>
          <w:sz w:val="22"/>
          <w:szCs w:val="22"/>
        </w:rPr>
      </w:pPr>
      <w:r w:rsidRPr="759F6D2C">
        <w:rPr>
          <w:rFonts w:ascii="Times New Roman" w:hAnsi="Times New Roman"/>
          <w:sz w:val="22"/>
          <w:szCs w:val="22"/>
        </w:rPr>
        <w:t xml:space="preserve">Date, time and location of PUBLIC HEARING </w:t>
      </w:r>
      <w:r w:rsidRPr="759F6D2C">
        <w:rPr>
          <w:rFonts w:ascii="Times New Roman" w:hAnsi="Times New Roman"/>
          <w:i/>
          <w:iCs/>
          <w:sz w:val="22"/>
          <w:szCs w:val="22"/>
        </w:rPr>
        <w:t>(if any)</w:t>
      </w:r>
      <w:r w:rsidRPr="759F6D2C">
        <w:rPr>
          <w:rFonts w:ascii="Times New Roman" w:hAnsi="Times New Roman"/>
          <w:sz w:val="22"/>
          <w:szCs w:val="22"/>
        </w:rPr>
        <w:t>:</w:t>
      </w:r>
      <w:r w:rsidR="002B0917" w:rsidRPr="759F6D2C">
        <w:rPr>
          <w:rFonts w:ascii="Times New Roman" w:hAnsi="Times New Roman"/>
          <w:sz w:val="22"/>
          <w:szCs w:val="22"/>
        </w:rPr>
        <w:t xml:space="preserve"> None</w:t>
      </w:r>
    </w:p>
    <w:p w14:paraId="5357DCC6" w14:textId="77777777" w:rsidR="005C3D9A" w:rsidRPr="006A710D"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6CBD6AB9" w14:textId="19957B91" w:rsidR="005C3D9A" w:rsidRPr="006A710D" w:rsidRDefault="005C3D9A" w:rsidP="005C3D9A">
      <w:pPr>
        <w:tabs>
          <w:tab w:val="left" w:pos="-1440"/>
          <w:tab w:val="left" w:pos="-720"/>
          <w:tab w:val="left" w:pos="540"/>
          <w:tab w:val="left" w:pos="10440"/>
        </w:tabs>
        <w:ind w:left="540" w:right="360" w:hanging="540"/>
        <w:rPr>
          <w:rFonts w:ascii="Times New Roman" w:hAnsi="Times New Roman"/>
          <w:sz w:val="22"/>
          <w:szCs w:val="22"/>
        </w:rPr>
      </w:pPr>
      <w:r w:rsidRPr="006A710D">
        <w:rPr>
          <w:rFonts w:ascii="Times New Roman" w:hAnsi="Times New Roman"/>
          <w:sz w:val="22"/>
          <w:szCs w:val="22"/>
        </w:rPr>
        <w:t>COMMENT DEADLINE:</w:t>
      </w:r>
      <w:r w:rsidR="002B0917" w:rsidRPr="006A710D">
        <w:rPr>
          <w:rFonts w:ascii="Times New Roman" w:hAnsi="Times New Roman"/>
          <w:sz w:val="22"/>
          <w:szCs w:val="22"/>
        </w:rPr>
        <w:t xml:space="preserve"> </w:t>
      </w:r>
      <w:r w:rsidR="002B1125">
        <w:rPr>
          <w:rFonts w:ascii="Times New Roman" w:hAnsi="Times New Roman"/>
          <w:sz w:val="22"/>
          <w:szCs w:val="22"/>
        </w:rPr>
        <w:t xml:space="preserve">Monday, March </w:t>
      </w:r>
      <w:r w:rsidR="00A83B7A">
        <w:rPr>
          <w:rFonts w:ascii="Times New Roman" w:hAnsi="Times New Roman"/>
          <w:sz w:val="22"/>
          <w:szCs w:val="22"/>
        </w:rPr>
        <w:t>13</w:t>
      </w:r>
      <w:r w:rsidR="002B1125">
        <w:rPr>
          <w:rFonts w:ascii="Times New Roman" w:hAnsi="Times New Roman"/>
          <w:sz w:val="22"/>
          <w:szCs w:val="22"/>
        </w:rPr>
        <w:t>, 2023, 5pm</w:t>
      </w:r>
    </w:p>
    <w:p w14:paraId="39B43065" w14:textId="77777777" w:rsidR="005C3D9A" w:rsidRPr="006A710D"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5A63910E" w14:textId="49FDD7E7" w:rsidR="005C3D9A" w:rsidRPr="006A710D" w:rsidRDefault="005C3D9A" w:rsidP="4C3684F1">
      <w:pPr>
        <w:rPr>
          <w:sz w:val="22"/>
          <w:szCs w:val="22"/>
        </w:rPr>
      </w:pPr>
      <w:r w:rsidRPr="759F6D2C">
        <w:rPr>
          <w:rFonts w:ascii="Times New Roman" w:hAnsi="Times New Roman"/>
          <w:sz w:val="22"/>
          <w:szCs w:val="22"/>
        </w:rPr>
        <w:t>CONTACT PERSON FOR THIS FILING</w:t>
      </w:r>
      <w:r w:rsidR="002B0917" w:rsidRPr="759F6D2C">
        <w:rPr>
          <w:rFonts w:ascii="Times New Roman" w:hAnsi="Times New Roman"/>
          <w:sz w:val="22"/>
          <w:szCs w:val="22"/>
        </w:rPr>
        <w:t>/SMALL BUSINESS IMPACT INFORMATION:</w:t>
      </w:r>
      <w:r w:rsidRPr="759F6D2C">
        <w:rPr>
          <w:rFonts w:ascii="Times New Roman" w:hAnsi="Times New Roman"/>
          <w:sz w:val="22"/>
          <w:szCs w:val="22"/>
        </w:rPr>
        <w:t xml:space="preserve"> </w:t>
      </w:r>
      <w:r w:rsidRPr="759F6D2C">
        <w:rPr>
          <w:rFonts w:ascii="Times New Roman" w:hAnsi="Times New Roman"/>
          <w:i/>
          <w:iCs/>
          <w:sz w:val="22"/>
          <w:szCs w:val="22"/>
        </w:rPr>
        <w:t>(include name, mailing address, telephone, fax, TTY, email)</w:t>
      </w:r>
      <w:r w:rsidRPr="759F6D2C">
        <w:rPr>
          <w:rFonts w:ascii="Times New Roman" w:hAnsi="Times New Roman"/>
          <w:sz w:val="22"/>
          <w:szCs w:val="22"/>
        </w:rPr>
        <w:t>:</w:t>
      </w:r>
      <w:r w:rsidR="002B0917" w:rsidRPr="759F6D2C">
        <w:rPr>
          <w:rFonts w:ascii="Times New Roman" w:hAnsi="Times New Roman"/>
          <w:sz w:val="22"/>
          <w:szCs w:val="22"/>
        </w:rPr>
        <w:t xml:space="preserve"> </w:t>
      </w:r>
    </w:p>
    <w:p w14:paraId="791B1592" w14:textId="417468BC" w:rsidR="759F6D2C" w:rsidRDefault="759F6D2C" w:rsidP="759F6D2C">
      <w:pPr>
        <w:rPr>
          <w:color w:val="000000" w:themeColor="text1"/>
          <w:sz w:val="22"/>
          <w:szCs w:val="22"/>
        </w:rPr>
      </w:pPr>
    </w:p>
    <w:p w14:paraId="08700D94" w14:textId="005666F1" w:rsidR="55C1A4FD" w:rsidRDefault="55C1A4FD"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 xml:space="preserve">Benjamin Averill </w:t>
      </w:r>
    </w:p>
    <w:p w14:paraId="5E15918D" w14:textId="73D06EFF"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Housing Opportunity Program Coordinator</w:t>
      </w:r>
    </w:p>
    <w:p w14:paraId="5BF90773" w14:textId="5B3D3658"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Dept. of Economic &amp; Community Development</w:t>
      </w:r>
    </w:p>
    <w:p w14:paraId="0C5A9700" w14:textId="240FFCA8"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111 Sewall Street, 3</w:t>
      </w:r>
      <w:r w:rsidRPr="759F6D2C">
        <w:rPr>
          <w:rFonts w:ascii="Times New Roman" w:hAnsi="Times New Roman"/>
          <w:color w:val="000000" w:themeColor="text1"/>
          <w:sz w:val="22"/>
          <w:szCs w:val="22"/>
          <w:vertAlign w:val="superscript"/>
        </w:rPr>
        <w:t>rd</w:t>
      </w:r>
      <w:r w:rsidRPr="759F6D2C">
        <w:rPr>
          <w:rFonts w:ascii="Times New Roman" w:hAnsi="Times New Roman"/>
          <w:color w:val="000000" w:themeColor="text1"/>
          <w:sz w:val="22"/>
          <w:szCs w:val="22"/>
        </w:rPr>
        <w:t xml:space="preserve"> Floor</w:t>
      </w:r>
    </w:p>
    <w:p w14:paraId="16061D7F" w14:textId="10293E25"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59 State House Station</w:t>
      </w:r>
    </w:p>
    <w:p w14:paraId="32086069" w14:textId="7C2DB87B"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Augusta, ME  04330</w:t>
      </w:r>
    </w:p>
    <w:p w14:paraId="4AD77529" w14:textId="7ED52527" w:rsidR="005C3D9A" w:rsidRPr="006A710D" w:rsidRDefault="217E071E" w:rsidP="759F6D2C">
      <w:pPr>
        <w:rPr>
          <w:rFonts w:ascii="Times New Roman" w:hAnsi="Times New Roman"/>
          <w:color w:val="000000" w:themeColor="text1"/>
          <w:sz w:val="22"/>
          <w:szCs w:val="22"/>
        </w:rPr>
      </w:pPr>
      <w:r w:rsidRPr="759F6D2C">
        <w:rPr>
          <w:rFonts w:ascii="Times New Roman" w:hAnsi="Times New Roman"/>
          <w:color w:val="000000" w:themeColor="text1"/>
          <w:sz w:val="22"/>
          <w:szCs w:val="22"/>
        </w:rPr>
        <w:t>Tel:  207-441-9</w:t>
      </w:r>
      <w:r w:rsidR="107E3A9B" w:rsidRPr="759F6D2C">
        <w:rPr>
          <w:rFonts w:ascii="Times New Roman" w:hAnsi="Times New Roman"/>
          <w:color w:val="000000" w:themeColor="text1"/>
          <w:sz w:val="22"/>
          <w:szCs w:val="22"/>
        </w:rPr>
        <w:t>8</w:t>
      </w:r>
      <w:r w:rsidR="2CABDC00" w:rsidRPr="759F6D2C">
        <w:rPr>
          <w:rFonts w:ascii="Times New Roman" w:hAnsi="Times New Roman"/>
          <w:color w:val="000000" w:themeColor="text1"/>
          <w:sz w:val="22"/>
          <w:szCs w:val="22"/>
        </w:rPr>
        <w:t>31</w:t>
      </w:r>
    </w:p>
    <w:p w14:paraId="1189DF68" w14:textId="475C29BA" w:rsidR="33D0E543" w:rsidRDefault="33D0E543" w:rsidP="759F6D2C">
      <w:pPr>
        <w:tabs>
          <w:tab w:val="left" w:pos="540"/>
          <w:tab w:val="left" w:pos="10440"/>
        </w:tabs>
        <w:spacing w:line="259" w:lineRule="auto"/>
        <w:rPr>
          <w:rFonts w:ascii="Times New Roman" w:hAnsi="Times New Roman"/>
          <w:sz w:val="22"/>
          <w:szCs w:val="22"/>
        </w:rPr>
      </w:pPr>
      <w:r w:rsidRPr="759F6D2C">
        <w:rPr>
          <w:rFonts w:ascii="Times New Roman" w:hAnsi="Times New Roman"/>
          <w:sz w:val="22"/>
          <w:szCs w:val="22"/>
        </w:rPr>
        <w:t>Housing.decd@maine.gov</w:t>
      </w:r>
    </w:p>
    <w:p w14:paraId="1C7DA5F8" w14:textId="77777777"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p>
    <w:p w14:paraId="1F910832" w14:textId="0B7CBF0E" w:rsidR="005C3D9A" w:rsidRDefault="005C3D9A" w:rsidP="005C3D9A">
      <w:pPr>
        <w:tabs>
          <w:tab w:val="left" w:pos="-1440"/>
          <w:tab w:val="left" w:pos="-720"/>
          <w:tab w:val="left" w:pos="540"/>
          <w:tab w:val="left" w:pos="10440"/>
        </w:tabs>
        <w:ind w:right="972"/>
        <w:rPr>
          <w:rStyle w:val="eop"/>
          <w:color w:val="000000"/>
          <w:sz w:val="22"/>
          <w:szCs w:val="22"/>
          <w:shd w:val="clear" w:color="auto" w:fill="FFFFFF"/>
        </w:rPr>
      </w:pPr>
      <w:r w:rsidRPr="006A710D">
        <w:rPr>
          <w:rFonts w:ascii="Times New Roman" w:hAnsi="Times New Roman"/>
          <w:color w:val="000000"/>
          <w:sz w:val="22"/>
          <w:szCs w:val="22"/>
          <w:shd w:val="clear" w:color="auto" w:fill="FFFFFF"/>
        </w:rPr>
        <w:t xml:space="preserve">FINANCIAL IMPACT ON MUNICIPALITIES OR COUNTIES </w:t>
      </w:r>
      <w:r w:rsidRPr="006A710D">
        <w:rPr>
          <w:rFonts w:ascii="Times New Roman" w:hAnsi="Times New Roman"/>
          <w:i/>
          <w:color w:val="000000"/>
          <w:sz w:val="22"/>
          <w:szCs w:val="22"/>
          <w:shd w:val="clear" w:color="auto" w:fill="FFFFFF"/>
        </w:rPr>
        <w:t>(if any)</w:t>
      </w:r>
      <w:r w:rsidRPr="006A710D">
        <w:rPr>
          <w:rFonts w:ascii="Times New Roman" w:hAnsi="Times New Roman"/>
          <w:color w:val="000000"/>
          <w:sz w:val="22"/>
          <w:szCs w:val="22"/>
          <w:shd w:val="clear" w:color="auto" w:fill="FFFFFF"/>
        </w:rPr>
        <w:t>:</w:t>
      </w:r>
      <w:r w:rsidRPr="006A710D">
        <w:rPr>
          <w:rStyle w:val="apple-converted-space"/>
          <w:rFonts w:ascii="Times New Roman" w:hAnsi="Times New Roman"/>
          <w:color w:val="000000"/>
          <w:sz w:val="22"/>
          <w:szCs w:val="22"/>
          <w:shd w:val="clear" w:color="auto" w:fill="FFFFFF"/>
        </w:rPr>
        <w:t> </w:t>
      </w:r>
      <w:r w:rsidR="00605A01" w:rsidRPr="00BF7716">
        <w:rPr>
          <w:rStyle w:val="normaltextrun"/>
          <w:rFonts w:ascii="Times New Roman" w:hAnsi="Times New Roman"/>
          <w:color w:val="000000"/>
          <w:sz w:val="22"/>
          <w:szCs w:val="22"/>
          <w:shd w:val="clear" w:color="auto" w:fill="FFFFFF"/>
        </w:rPr>
        <w:t xml:space="preserve">The Department </w:t>
      </w:r>
      <w:r w:rsidR="00605A01">
        <w:rPr>
          <w:rStyle w:val="normaltextrun"/>
          <w:rFonts w:ascii="Times New Roman" w:hAnsi="Times New Roman"/>
          <w:color w:val="000000"/>
          <w:sz w:val="22"/>
          <w:szCs w:val="22"/>
          <w:shd w:val="clear" w:color="auto" w:fill="FFFFFF"/>
        </w:rPr>
        <w:t>was allocated</w:t>
      </w:r>
      <w:r w:rsidR="00605A01" w:rsidRPr="00BF7716">
        <w:rPr>
          <w:rStyle w:val="normaltextrun"/>
          <w:rFonts w:ascii="Times New Roman" w:hAnsi="Times New Roman"/>
          <w:color w:val="000000"/>
          <w:sz w:val="22"/>
          <w:szCs w:val="22"/>
          <w:shd w:val="clear" w:color="auto" w:fill="FFFFFF"/>
        </w:rPr>
        <w:t xml:space="preserve"> </w:t>
      </w:r>
      <w:r w:rsidR="00070A18">
        <w:rPr>
          <w:rStyle w:val="normaltextrun"/>
          <w:rFonts w:ascii="Times New Roman" w:hAnsi="Times New Roman"/>
          <w:color w:val="000000"/>
          <w:sz w:val="22"/>
          <w:szCs w:val="22"/>
          <w:shd w:val="clear" w:color="auto" w:fill="FFFFFF"/>
        </w:rPr>
        <w:t>funds to</w:t>
      </w:r>
      <w:r w:rsidR="00605A01" w:rsidRPr="00BF7716">
        <w:rPr>
          <w:rStyle w:val="normaltextrun"/>
          <w:rFonts w:ascii="Times New Roman" w:hAnsi="Times New Roman"/>
          <w:color w:val="000000"/>
          <w:sz w:val="22"/>
          <w:szCs w:val="22"/>
          <w:shd w:val="clear" w:color="auto" w:fill="FFFFFF"/>
        </w:rPr>
        <w:t xml:space="preserve"> provide grant funding</w:t>
      </w:r>
      <w:r w:rsidR="00605A01">
        <w:rPr>
          <w:rStyle w:val="normaltextrun"/>
          <w:rFonts w:ascii="Times New Roman" w:hAnsi="Times New Roman"/>
          <w:color w:val="000000"/>
          <w:sz w:val="22"/>
          <w:szCs w:val="22"/>
          <w:shd w:val="clear" w:color="auto" w:fill="FFFFFF"/>
        </w:rPr>
        <w:t xml:space="preserve"> </w:t>
      </w:r>
      <w:r w:rsidR="00D5298E">
        <w:rPr>
          <w:rStyle w:val="normaltextrun"/>
          <w:rFonts w:ascii="Times New Roman" w:hAnsi="Times New Roman"/>
          <w:color w:val="000000"/>
          <w:sz w:val="22"/>
          <w:szCs w:val="22"/>
          <w:shd w:val="clear" w:color="auto" w:fill="FFFFFF"/>
        </w:rPr>
        <w:t>to</w:t>
      </w:r>
      <w:r w:rsidR="00605A01" w:rsidRPr="00BF7716">
        <w:rPr>
          <w:rStyle w:val="normaltextrun"/>
          <w:rFonts w:ascii="Times New Roman" w:hAnsi="Times New Roman"/>
          <w:color w:val="000000"/>
          <w:sz w:val="22"/>
          <w:szCs w:val="22"/>
          <w:shd w:val="clear" w:color="auto" w:fill="FFFFFF"/>
        </w:rPr>
        <w:t xml:space="preserve"> service providers to support </w:t>
      </w:r>
      <w:r w:rsidR="00A83B7A">
        <w:rPr>
          <w:rStyle w:val="normaltextrun"/>
          <w:rFonts w:ascii="Times New Roman" w:hAnsi="Times New Roman"/>
          <w:color w:val="000000"/>
          <w:sz w:val="22"/>
          <w:szCs w:val="22"/>
          <w:shd w:val="clear" w:color="auto" w:fill="FFFFFF"/>
        </w:rPr>
        <w:t xml:space="preserve">municipal </w:t>
      </w:r>
      <w:r w:rsidR="00605A01" w:rsidRPr="00BF7716">
        <w:rPr>
          <w:rStyle w:val="normaltextrun"/>
          <w:rFonts w:ascii="Times New Roman" w:hAnsi="Times New Roman"/>
          <w:color w:val="000000"/>
          <w:sz w:val="22"/>
          <w:szCs w:val="22"/>
          <w:shd w:val="clear" w:color="auto" w:fill="FFFFFF"/>
        </w:rPr>
        <w:t>ordinance development and community housing priorities.</w:t>
      </w:r>
      <w:r w:rsidR="00605A01">
        <w:rPr>
          <w:rStyle w:val="normaltextrun"/>
          <w:color w:val="000000"/>
          <w:sz w:val="22"/>
          <w:szCs w:val="22"/>
          <w:shd w:val="clear" w:color="auto" w:fill="FFFFFF"/>
        </w:rPr>
        <w:t xml:space="preserve"> </w:t>
      </w:r>
      <w:r w:rsidR="00605A01">
        <w:rPr>
          <w:rStyle w:val="eop"/>
          <w:color w:val="000000"/>
          <w:sz w:val="22"/>
          <w:szCs w:val="22"/>
          <w:shd w:val="clear" w:color="auto" w:fill="FFFFFF"/>
        </w:rPr>
        <w:t> </w:t>
      </w:r>
    </w:p>
    <w:p w14:paraId="396DF66B" w14:textId="77777777" w:rsidR="00605A01" w:rsidRPr="006A710D" w:rsidRDefault="00605A01" w:rsidP="005C3D9A">
      <w:pPr>
        <w:tabs>
          <w:tab w:val="left" w:pos="-1440"/>
          <w:tab w:val="left" w:pos="-720"/>
          <w:tab w:val="left" w:pos="540"/>
          <w:tab w:val="left" w:pos="10440"/>
        </w:tabs>
        <w:ind w:right="972"/>
        <w:rPr>
          <w:rFonts w:ascii="Times New Roman" w:hAnsi="Times New Roman"/>
          <w:sz w:val="22"/>
          <w:szCs w:val="22"/>
        </w:rPr>
      </w:pPr>
    </w:p>
    <w:p w14:paraId="47BE9543" w14:textId="4FE25E74"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r w:rsidRPr="006A710D">
        <w:rPr>
          <w:rFonts w:ascii="Times New Roman" w:hAnsi="Times New Roman"/>
          <w:sz w:val="22"/>
          <w:szCs w:val="22"/>
        </w:rPr>
        <w:t>STATUTORY AUTHORITY FOR THIS RULE:</w:t>
      </w:r>
      <w:r w:rsidR="002B0917" w:rsidRPr="006A710D">
        <w:rPr>
          <w:rFonts w:ascii="Times New Roman" w:hAnsi="Times New Roman"/>
          <w:sz w:val="22"/>
          <w:szCs w:val="22"/>
        </w:rPr>
        <w:t xml:space="preserve"> </w:t>
      </w:r>
      <w:r w:rsidR="00214F6F" w:rsidRPr="759F6D2C">
        <w:rPr>
          <w:rStyle w:val="normaltextrun"/>
          <w:rFonts w:ascii="Times New Roman" w:hAnsi="Times New Roman"/>
          <w:color w:val="000000" w:themeColor="text1"/>
          <w:sz w:val="22"/>
          <w:szCs w:val="22"/>
        </w:rPr>
        <w:t>P.L. 2021, ch. 635</w:t>
      </w:r>
      <w:r w:rsidR="00214F6F">
        <w:rPr>
          <w:rStyle w:val="normaltextrun"/>
          <w:rFonts w:ascii="Times New Roman" w:hAnsi="Times New Roman"/>
          <w:color w:val="000000" w:themeColor="text1"/>
          <w:sz w:val="22"/>
          <w:szCs w:val="22"/>
        </w:rPr>
        <w:t>, Pt. U</w:t>
      </w:r>
      <w:r w:rsidR="004A226B">
        <w:rPr>
          <w:rStyle w:val="normaltextrun"/>
          <w:rFonts w:ascii="Times New Roman" w:hAnsi="Times New Roman"/>
          <w:color w:val="000000" w:themeColor="text1"/>
          <w:sz w:val="22"/>
          <w:szCs w:val="22"/>
        </w:rPr>
        <w:t xml:space="preserve"> </w:t>
      </w:r>
      <w:r w:rsidR="00935D71">
        <w:rPr>
          <w:rStyle w:val="normaltextrun"/>
          <w:rFonts w:ascii="Times New Roman" w:hAnsi="Times New Roman"/>
          <w:color w:val="000000" w:themeColor="text1"/>
          <w:sz w:val="22"/>
          <w:szCs w:val="22"/>
        </w:rPr>
        <w:t xml:space="preserve">codified at 5 M.R.S. </w:t>
      </w:r>
      <w:r w:rsidR="00935D71">
        <w:rPr>
          <w:rFonts w:ascii="CG Times" w:hAnsi="CG Times"/>
          <w:sz w:val="22"/>
        </w:rPr>
        <w:t>§</w:t>
      </w:r>
      <w:r w:rsidR="00A62F96">
        <w:rPr>
          <w:rFonts w:ascii="CG Times" w:hAnsi="CG Times"/>
          <w:sz w:val="22"/>
        </w:rPr>
        <w:t xml:space="preserve"> </w:t>
      </w:r>
      <w:r w:rsidR="00935D71">
        <w:rPr>
          <w:rStyle w:val="normaltextrun"/>
          <w:rFonts w:ascii="Times New Roman" w:hAnsi="Times New Roman"/>
          <w:color w:val="000000" w:themeColor="text1"/>
          <w:sz w:val="22"/>
          <w:szCs w:val="22"/>
        </w:rPr>
        <w:t>13056-J(4)</w:t>
      </w:r>
    </w:p>
    <w:p w14:paraId="43747103" w14:textId="77777777" w:rsidR="00214F6F" w:rsidRDefault="00214F6F" w:rsidP="005C3D9A">
      <w:pPr>
        <w:tabs>
          <w:tab w:val="left" w:pos="-1440"/>
          <w:tab w:val="left" w:pos="-720"/>
          <w:tab w:val="left" w:pos="540"/>
          <w:tab w:val="left" w:pos="10440"/>
        </w:tabs>
        <w:ind w:right="360"/>
        <w:rPr>
          <w:rFonts w:ascii="Times New Roman" w:hAnsi="Times New Roman"/>
          <w:sz w:val="22"/>
          <w:szCs w:val="22"/>
        </w:rPr>
      </w:pPr>
    </w:p>
    <w:p w14:paraId="75710F5E" w14:textId="26184645"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r w:rsidRPr="006A710D">
        <w:rPr>
          <w:rFonts w:ascii="Times New Roman" w:hAnsi="Times New Roman"/>
          <w:sz w:val="22"/>
          <w:szCs w:val="22"/>
        </w:rPr>
        <w:t xml:space="preserve">SUBSTANTIVE STATE OR FEDERAL LAW BEING IMPLEMENTED </w:t>
      </w:r>
      <w:r w:rsidRPr="006A710D">
        <w:rPr>
          <w:rFonts w:ascii="Times New Roman" w:hAnsi="Times New Roman"/>
          <w:i/>
          <w:sz w:val="22"/>
          <w:szCs w:val="22"/>
        </w:rPr>
        <w:t>(if different)</w:t>
      </w:r>
      <w:r w:rsidRPr="006A710D">
        <w:rPr>
          <w:rFonts w:ascii="Times New Roman" w:hAnsi="Times New Roman"/>
          <w:sz w:val="22"/>
          <w:szCs w:val="22"/>
        </w:rPr>
        <w:t>:</w:t>
      </w:r>
      <w:r w:rsidR="00214F6F">
        <w:rPr>
          <w:rFonts w:ascii="Times New Roman" w:hAnsi="Times New Roman"/>
          <w:sz w:val="22"/>
          <w:szCs w:val="22"/>
        </w:rPr>
        <w:t>NA</w:t>
      </w:r>
    </w:p>
    <w:p w14:paraId="0D6775CC" w14:textId="77777777"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p>
    <w:p w14:paraId="551ED545" w14:textId="238339B8" w:rsidR="005C3D9A" w:rsidRPr="002B1125" w:rsidRDefault="005C3D9A" w:rsidP="005C3D9A">
      <w:pPr>
        <w:tabs>
          <w:tab w:val="left" w:pos="-1440"/>
          <w:tab w:val="left" w:pos="-720"/>
          <w:tab w:val="left" w:pos="540"/>
          <w:tab w:val="left" w:pos="10440"/>
        </w:tabs>
        <w:ind w:right="360"/>
        <w:rPr>
          <w:rFonts w:ascii="Times New Roman" w:hAnsi="Times New Roman"/>
          <w:sz w:val="22"/>
          <w:szCs w:val="22"/>
        </w:rPr>
      </w:pPr>
      <w:r w:rsidRPr="006A710D">
        <w:rPr>
          <w:rFonts w:ascii="Times New Roman" w:hAnsi="Times New Roman"/>
          <w:sz w:val="22"/>
          <w:szCs w:val="22"/>
        </w:rPr>
        <w:t>AGENCY WEBSITE:</w:t>
      </w:r>
      <w:r w:rsidR="002B0917" w:rsidRPr="006A710D">
        <w:rPr>
          <w:rFonts w:ascii="Times New Roman" w:hAnsi="Times New Roman"/>
          <w:sz w:val="22"/>
          <w:szCs w:val="22"/>
        </w:rPr>
        <w:t xml:space="preserve"> </w:t>
      </w:r>
      <w:hyperlink r:id="rId7" w:history="1">
        <w:r w:rsidR="002B0917" w:rsidRPr="002B1125">
          <w:rPr>
            <w:rStyle w:val="Hyperlink"/>
            <w:rFonts w:ascii="Times New Roman" w:hAnsi="Times New Roman"/>
            <w:color w:val="auto"/>
            <w:sz w:val="22"/>
            <w:szCs w:val="22"/>
            <w:shd w:val="clear" w:color="auto" w:fill="FFFFFF"/>
          </w:rPr>
          <w:t>www.maine.gov/decd</w:t>
        </w:r>
      </w:hyperlink>
      <w:r w:rsidR="002B0917" w:rsidRPr="002B1125">
        <w:rPr>
          <w:rFonts w:ascii="Times New Roman" w:hAnsi="Times New Roman"/>
          <w:sz w:val="22"/>
          <w:szCs w:val="22"/>
          <w:shd w:val="clear" w:color="auto" w:fill="FFFFFF"/>
        </w:rPr>
        <w:t>.</w:t>
      </w:r>
    </w:p>
    <w:p w14:paraId="1AE8A0D2" w14:textId="77777777" w:rsidR="005C3D9A" w:rsidRPr="006A710D" w:rsidRDefault="005C3D9A" w:rsidP="005C3D9A">
      <w:pPr>
        <w:tabs>
          <w:tab w:val="left" w:pos="-1440"/>
          <w:tab w:val="left" w:pos="-720"/>
          <w:tab w:val="left" w:pos="540"/>
          <w:tab w:val="left" w:pos="10440"/>
        </w:tabs>
        <w:ind w:right="360"/>
        <w:rPr>
          <w:rFonts w:ascii="Times New Roman" w:hAnsi="Times New Roman"/>
          <w:sz w:val="22"/>
          <w:szCs w:val="22"/>
        </w:rPr>
      </w:pPr>
    </w:p>
    <w:p w14:paraId="7FABCCF2" w14:textId="41D5F92F" w:rsidR="005C3D9A" w:rsidRPr="006A710D" w:rsidRDefault="00B13DDD" w:rsidP="759F6D2C">
      <w:pPr>
        <w:tabs>
          <w:tab w:val="left" w:pos="540"/>
          <w:tab w:val="left" w:pos="10440"/>
        </w:tabs>
        <w:spacing w:line="259" w:lineRule="auto"/>
        <w:ind w:right="360"/>
        <w:rPr>
          <w:color w:val="CC0000"/>
          <w:sz w:val="22"/>
          <w:szCs w:val="22"/>
          <w:highlight w:val="yellow"/>
        </w:rPr>
      </w:pPr>
      <w:r w:rsidRPr="006A710D">
        <w:rPr>
          <w:rFonts w:ascii="Times New Roman" w:hAnsi="Times New Roman"/>
          <w:sz w:val="22"/>
          <w:szCs w:val="22"/>
        </w:rPr>
        <w:t>EMAIL FOR OVERALL AGENCY RULE</w:t>
      </w:r>
      <w:r w:rsidR="005C3D9A" w:rsidRPr="006A710D">
        <w:rPr>
          <w:rFonts w:ascii="Times New Roman" w:hAnsi="Times New Roman"/>
          <w:sz w:val="22"/>
          <w:szCs w:val="22"/>
        </w:rPr>
        <w:t>MAKING LIAISON:</w:t>
      </w:r>
      <w:r w:rsidR="002B0917" w:rsidRPr="006A710D">
        <w:rPr>
          <w:rFonts w:ascii="Times New Roman" w:hAnsi="Times New Roman"/>
          <w:sz w:val="22"/>
          <w:szCs w:val="22"/>
        </w:rPr>
        <w:t xml:space="preserve"> </w:t>
      </w:r>
      <w:r w:rsidR="001E58BC">
        <w:rPr>
          <w:rFonts w:ascii="Times New Roman" w:hAnsi="Times New Roman"/>
          <w:sz w:val="22"/>
          <w:szCs w:val="22"/>
        </w:rPr>
        <w:t>d</w:t>
      </w:r>
      <w:r w:rsidR="303A328E" w:rsidRPr="759F6D2C">
        <w:rPr>
          <w:rFonts w:ascii="Times New Roman" w:hAnsi="Times New Roman"/>
          <w:sz w:val="22"/>
          <w:szCs w:val="22"/>
        </w:rPr>
        <w:t>enise.</w:t>
      </w:r>
      <w:r w:rsidR="001E58BC">
        <w:rPr>
          <w:rFonts w:ascii="Times New Roman" w:hAnsi="Times New Roman"/>
          <w:sz w:val="22"/>
          <w:szCs w:val="22"/>
        </w:rPr>
        <w:t>g</w:t>
      </w:r>
      <w:r w:rsidR="303A328E" w:rsidRPr="759F6D2C">
        <w:rPr>
          <w:rFonts w:ascii="Times New Roman" w:hAnsi="Times New Roman"/>
          <w:sz w:val="22"/>
          <w:szCs w:val="22"/>
        </w:rPr>
        <w:t>arland@</w:t>
      </w:r>
      <w:r w:rsidR="001E58BC">
        <w:rPr>
          <w:rFonts w:ascii="Times New Roman" w:hAnsi="Times New Roman"/>
          <w:sz w:val="22"/>
          <w:szCs w:val="22"/>
        </w:rPr>
        <w:t>m</w:t>
      </w:r>
      <w:r w:rsidR="303A328E" w:rsidRPr="759F6D2C">
        <w:rPr>
          <w:rFonts w:ascii="Times New Roman" w:hAnsi="Times New Roman"/>
          <w:sz w:val="22"/>
          <w:szCs w:val="22"/>
        </w:rPr>
        <w:t>aine.gov</w:t>
      </w:r>
    </w:p>
    <w:p w14:paraId="46FBB446" w14:textId="42E41510" w:rsidR="005C3D9A" w:rsidRDefault="005C3D9A" w:rsidP="005C3D9A">
      <w:pPr>
        <w:tabs>
          <w:tab w:val="left" w:pos="-1440"/>
          <w:tab w:val="left" w:pos="-720"/>
          <w:tab w:val="left" w:pos="4320"/>
          <w:tab w:val="left" w:pos="10440"/>
        </w:tabs>
        <w:ind w:right="360"/>
        <w:rPr>
          <w:rFonts w:ascii="Times New Roman" w:hAnsi="Times New Roman"/>
          <w:sz w:val="16"/>
          <w:szCs w:val="16"/>
        </w:rPr>
      </w:pPr>
    </w:p>
    <w:p w14:paraId="4308D0EB" w14:textId="44439380"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6F7E5DF4" w14:textId="5DE74C48"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0D663CB4" w14:textId="26337100"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1E82DBE7" w14:textId="1D3AEAA9"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784922A4" w14:textId="28C2F832"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5AB87180" w14:textId="70E72572"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6E948078" w14:textId="521177C0"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032BD9D8" w14:textId="4450E5D2"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6E8D8587" w14:textId="46486D86"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639E93A8" w14:textId="55937609"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15242797" w14:textId="270F8A0C"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1A2FBF0F" w14:textId="34C16DFA" w:rsidR="00576B4D" w:rsidRDefault="00576B4D" w:rsidP="005C3D9A">
      <w:pPr>
        <w:tabs>
          <w:tab w:val="left" w:pos="-1440"/>
          <w:tab w:val="left" w:pos="-720"/>
          <w:tab w:val="left" w:pos="4320"/>
          <w:tab w:val="left" w:pos="10440"/>
        </w:tabs>
        <w:ind w:right="360"/>
        <w:rPr>
          <w:rFonts w:ascii="Times New Roman" w:hAnsi="Times New Roman"/>
          <w:sz w:val="16"/>
          <w:szCs w:val="16"/>
        </w:rPr>
      </w:pPr>
    </w:p>
    <w:p w14:paraId="2D2A0AF3" w14:textId="77777777" w:rsidR="00CB32FF" w:rsidRDefault="00CB32FF" w:rsidP="00CB32FF">
      <w:pPr>
        <w:pStyle w:val="Default"/>
        <w:rPr>
          <w:sz w:val="22"/>
          <w:szCs w:val="22"/>
        </w:rPr>
      </w:pPr>
    </w:p>
    <w:p w14:paraId="40F2E6A4" w14:textId="77777777" w:rsidR="00CB32FF" w:rsidRDefault="00CB32FF" w:rsidP="00CB32FF">
      <w:pPr>
        <w:pStyle w:val="Default"/>
        <w:rPr>
          <w:sz w:val="22"/>
          <w:szCs w:val="22"/>
        </w:rPr>
      </w:pPr>
      <w:r w:rsidRPr="5AD37941">
        <w:rPr>
          <w:sz w:val="22"/>
          <w:szCs w:val="22"/>
        </w:rPr>
        <w:t xml:space="preserve"> </w:t>
      </w:r>
      <w:r w:rsidRPr="5AD37941">
        <w:rPr>
          <w:b/>
          <w:bCs/>
          <w:sz w:val="22"/>
          <w:szCs w:val="22"/>
        </w:rPr>
        <w:t>19-100</w:t>
      </w:r>
      <w:r>
        <w:tab/>
      </w:r>
      <w:r>
        <w:tab/>
      </w:r>
      <w:r w:rsidRPr="5AD37941">
        <w:rPr>
          <w:b/>
          <w:bCs/>
          <w:sz w:val="22"/>
          <w:szCs w:val="22"/>
        </w:rPr>
        <w:t xml:space="preserve">DEPARTMENT OF ECONOMIC AND COMMUNITY DEVELOPMENT </w:t>
      </w:r>
    </w:p>
    <w:p w14:paraId="4186FDAA" w14:textId="77777777" w:rsidR="00CB32FF" w:rsidRDefault="00CB32FF" w:rsidP="00CB32FF">
      <w:pPr>
        <w:pStyle w:val="Default"/>
        <w:rPr>
          <w:b/>
          <w:bCs/>
          <w:sz w:val="22"/>
          <w:szCs w:val="22"/>
        </w:rPr>
      </w:pPr>
    </w:p>
    <w:p w14:paraId="72BE45A9" w14:textId="77777777" w:rsidR="00CB32FF" w:rsidRDefault="00CB32FF" w:rsidP="00CB32FF">
      <w:pPr>
        <w:pStyle w:val="Default"/>
        <w:ind w:left="1440" w:hanging="1440"/>
        <w:rPr>
          <w:b/>
          <w:bCs/>
          <w:sz w:val="22"/>
          <w:szCs w:val="22"/>
        </w:rPr>
      </w:pPr>
      <w:r w:rsidRPr="5AD37941">
        <w:rPr>
          <w:b/>
          <w:bCs/>
          <w:sz w:val="22"/>
          <w:szCs w:val="22"/>
        </w:rPr>
        <w:t xml:space="preserve">Chapter 4: </w:t>
      </w:r>
      <w:r>
        <w:tab/>
      </w:r>
      <w:r w:rsidRPr="5AD37941">
        <w:rPr>
          <w:b/>
          <w:bCs/>
          <w:sz w:val="22"/>
          <w:szCs w:val="22"/>
        </w:rPr>
        <w:t xml:space="preserve">RULE REGARDING HOUSING OPPORTUNITY PROGRAM GRANTS </w:t>
      </w:r>
    </w:p>
    <w:p w14:paraId="08835B9C" w14:textId="77777777" w:rsidR="00CB32FF" w:rsidRPr="00C415DD" w:rsidRDefault="00CB32FF" w:rsidP="00CB32FF">
      <w:pPr>
        <w:pStyle w:val="Default"/>
        <w:ind w:left="1440" w:hanging="1440"/>
        <w:rPr>
          <w:b/>
          <w:bCs/>
          <w:sz w:val="22"/>
          <w:szCs w:val="22"/>
        </w:rPr>
      </w:pPr>
      <w:r>
        <w:rPr>
          <w:b/>
          <w:bCs/>
          <w:sz w:val="22"/>
          <w:szCs w:val="22"/>
        </w:rPr>
        <w:t>___________________________________________________________________________________________</w:t>
      </w:r>
    </w:p>
    <w:p w14:paraId="325E22D9" w14:textId="77777777" w:rsidR="00CB32FF" w:rsidRDefault="00CB32FF" w:rsidP="00CB32FF">
      <w:pPr>
        <w:pStyle w:val="Default"/>
        <w:rPr>
          <w:b/>
          <w:bCs/>
          <w:sz w:val="22"/>
          <w:szCs w:val="22"/>
        </w:rPr>
      </w:pPr>
    </w:p>
    <w:p w14:paraId="606BBAFE" w14:textId="77777777" w:rsidR="00CB32FF" w:rsidRDefault="00CB32FF" w:rsidP="00CB32FF">
      <w:pPr>
        <w:pStyle w:val="Default"/>
        <w:rPr>
          <w:sz w:val="22"/>
          <w:szCs w:val="22"/>
        </w:rPr>
      </w:pPr>
      <w:r w:rsidRPr="5AD37941">
        <w:rPr>
          <w:b/>
          <w:bCs/>
          <w:sz w:val="22"/>
          <w:szCs w:val="22"/>
        </w:rPr>
        <w:t xml:space="preserve">Summary: </w:t>
      </w:r>
      <w:r w:rsidRPr="5AD37941">
        <w:rPr>
          <w:sz w:val="22"/>
          <w:szCs w:val="22"/>
        </w:rPr>
        <w:t xml:space="preserve">This chapter outlines the procedures, criteria and program review requirements governing the Housing Opportunity Program Grants. </w:t>
      </w:r>
    </w:p>
    <w:p w14:paraId="1FF18C26" w14:textId="77777777" w:rsidR="00CB32FF" w:rsidRDefault="00CB32FF" w:rsidP="00CB32FF">
      <w:pPr>
        <w:pStyle w:val="Default"/>
        <w:rPr>
          <w:sz w:val="22"/>
          <w:szCs w:val="22"/>
        </w:rPr>
      </w:pPr>
    </w:p>
    <w:p w14:paraId="109A5A89" w14:textId="77777777" w:rsidR="00CB32FF" w:rsidRPr="00235D41" w:rsidRDefault="00CB32FF" w:rsidP="00CB32FF">
      <w:pPr>
        <w:pStyle w:val="Default"/>
        <w:rPr>
          <w:b/>
          <w:bCs/>
          <w:sz w:val="22"/>
          <w:szCs w:val="22"/>
        </w:rPr>
      </w:pPr>
      <w:r w:rsidRPr="00235D41">
        <w:rPr>
          <w:b/>
          <w:bCs/>
          <w:sz w:val="22"/>
          <w:szCs w:val="22"/>
        </w:rPr>
        <w:t xml:space="preserve">Note: </w:t>
      </w:r>
      <w:r w:rsidRPr="00125BAB">
        <w:rPr>
          <w:sz w:val="22"/>
          <w:szCs w:val="22"/>
        </w:rPr>
        <w:t xml:space="preserve">This Chapter incorporates by reference </w:t>
      </w:r>
      <w:r>
        <w:rPr>
          <w:sz w:val="22"/>
          <w:szCs w:val="22"/>
        </w:rPr>
        <w:t>a Maine Department of Administrative and Financial Services rule</w:t>
      </w:r>
      <w:r w:rsidRPr="00125BAB">
        <w:rPr>
          <w:sz w:val="22"/>
          <w:szCs w:val="22"/>
        </w:rPr>
        <w:t xml:space="preserve">. A copy of this rule </w:t>
      </w:r>
      <w:r>
        <w:rPr>
          <w:sz w:val="22"/>
          <w:szCs w:val="22"/>
        </w:rPr>
        <w:t>may</w:t>
      </w:r>
      <w:r w:rsidRPr="00125BAB">
        <w:rPr>
          <w:sz w:val="22"/>
          <w:szCs w:val="22"/>
        </w:rPr>
        <w:t xml:space="preserve"> be obtained by contacting the Department of Administrative and Financial Services, Division of Procurement Services, 9 State House Station, Augusta, Maine 04333</w:t>
      </w:r>
      <w:r>
        <w:rPr>
          <w:sz w:val="22"/>
          <w:szCs w:val="22"/>
        </w:rPr>
        <w:t>, (207) 624-7340</w:t>
      </w:r>
      <w:r w:rsidRPr="00125BAB">
        <w:rPr>
          <w:sz w:val="22"/>
          <w:szCs w:val="22"/>
        </w:rPr>
        <w:t>.</w:t>
      </w:r>
      <w:r>
        <w:rPr>
          <w:b/>
          <w:bCs/>
          <w:sz w:val="22"/>
          <w:szCs w:val="22"/>
        </w:rPr>
        <w:t xml:space="preserve"> </w:t>
      </w:r>
    </w:p>
    <w:p w14:paraId="0C8FED40" w14:textId="77777777" w:rsidR="00CB32FF" w:rsidRDefault="00CB32FF" w:rsidP="00CB32FF">
      <w:pPr>
        <w:pStyle w:val="Default"/>
        <w:rPr>
          <w:b/>
          <w:bCs/>
          <w:sz w:val="22"/>
          <w:szCs w:val="22"/>
        </w:rPr>
      </w:pPr>
      <w:r>
        <w:rPr>
          <w:b/>
          <w:bCs/>
          <w:sz w:val="22"/>
          <w:szCs w:val="22"/>
        </w:rPr>
        <w:t>___________________________________________________________________________________________</w:t>
      </w:r>
    </w:p>
    <w:p w14:paraId="088D5B90" w14:textId="77777777" w:rsidR="00CB32FF" w:rsidRDefault="00CB32FF" w:rsidP="00CB32FF">
      <w:pPr>
        <w:pStyle w:val="Default"/>
        <w:rPr>
          <w:rFonts w:eastAsia="Calibri"/>
          <w:b/>
          <w:bCs/>
          <w:color w:val="000000" w:themeColor="text1"/>
        </w:rPr>
      </w:pPr>
    </w:p>
    <w:p w14:paraId="31FE5657" w14:textId="77777777" w:rsidR="00CB32FF" w:rsidRDefault="00CB32FF" w:rsidP="00CB32FF">
      <w:pPr>
        <w:pStyle w:val="Default"/>
        <w:rPr>
          <w:sz w:val="22"/>
          <w:szCs w:val="22"/>
        </w:rPr>
      </w:pPr>
      <w:r>
        <w:rPr>
          <w:b/>
          <w:bCs/>
          <w:sz w:val="22"/>
          <w:szCs w:val="22"/>
        </w:rPr>
        <w:t xml:space="preserve">SECTION 1. PURPOSE AND DEFINITIONS </w:t>
      </w:r>
    </w:p>
    <w:p w14:paraId="054315D6" w14:textId="77777777" w:rsidR="00CB32FF" w:rsidRDefault="00CB32FF" w:rsidP="00CB32FF">
      <w:pPr>
        <w:pStyle w:val="Default"/>
        <w:rPr>
          <w:sz w:val="22"/>
          <w:szCs w:val="22"/>
        </w:rPr>
      </w:pPr>
    </w:p>
    <w:p w14:paraId="79A95821" w14:textId="77777777" w:rsidR="00CB32FF" w:rsidRPr="000F3E07" w:rsidRDefault="00CB32FF" w:rsidP="00CB32FF">
      <w:pPr>
        <w:pStyle w:val="Default"/>
        <w:numPr>
          <w:ilvl w:val="0"/>
          <w:numId w:val="1"/>
        </w:numPr>
        <w:ind w:left="1080"/>
        <w:rPr>
          <w:b/>
          <w:bCs/>
          <w:sz w:val="22"/>
          <w:szCs w:val="22"/>
        </w:rPr>
      </w:pPr>
      <w:r w:rsidRPr="000F3E07">
        <w:rPr>
          <w:b/>
          <w:bCs/>
          <w:sz w:val="22"/>
          <w:szCs w:val="22"/>
        </w:rPr>
        <w:t xml:space="preserve">Purpose </w:t>
      </w:r>
    </w:p>
    <w:p w14:paraId="70A6DC54" w14:textId="77777777" w:rsidR="00CB32FF" w:rsidRDefault="00CB32FF" w:rsidP="00CB32FF">
      <w:pPr>
        <w:pStyle w:val="Default"/>
        <w:ind w:left="720"/>
        <w:rPr>
          <w:sz w:val="22"/>
          <w:szCs w:val="22"/>
        </w:rPr>
      </w:pPr>
    </w:p>
    <w:p w14:paraId="4C5F638C" w14:textId="77777777" w:rsidR="00CB32FF" w:rsidRDefault="00CB32FF" w:rsidP="00CB32FF">
      <w:pPr>
        <w:pStyle w:val="Default"/>
        <w:ind w:left="720"/>
        <w:rPr>
          <w:sz w:val="22"/>
          <w:szCs w:val="22"/>
        </w:rPr>
      </w:pPr>
      <w:r w:rsidRPr="005E2F8B">
        <w:rPr>
          <w:sz w:val="22"/>
          <w:szCs w:val="22"/>
        </w:rPr>
        <w:t xml:space="preserve">The Housing Opportunity Program provides grants to service providers </w:t>
      </w:r>
      <w:r w:rsidRPr="5AD37941">
        <w:rPr>
          <w:sz w:val="22"/>
          <w:szCs w:val="22"/>
        </w:rPr>
        <w:t xml:space="preserve">to encourage and support the development of additional housing units in Maine, including housing units that are affordable for low-income and moderate-income individuals and housing targeted to community workforce housing needs. The purpose of the rule is to define the criteria and proposal process for applications for grant funding. </w:t>
      </w:r>
    </w:p>
    <w:p w14:paraId="027AD465" w14:textId="77777777" w:rsidR="00CB32FF" w:rsidRDefault="00CB32FF" w:rsidP="00CB32FF">
      <w:pPr>
        <w:pStyle w:val="Default"/>
        <w:rPr>
          <w:sz w:val="22"/>
          <w:szCs w:val="22"/>
        </w:rPr>
      </w:pPr>
    </w:p>
    <w:p w14:paraId="3D32D4B3" w14:textId="77777777" w:rsidR="00CB32FF" w:rsidRPr="000F3E07" w:rsidRDefault="00CB32FF" w:rsidP="00CB32FF">
      <w:pPr>
        <w:pStyle w:val="Default"/>
        <w:numPr>
          <w:ilvl w:val="0"/>
          <w:numId w:val="1"/>
        </w:numPr>
        <w:ind w:left="1080"/>
        <w:rPr>
          <w:b/>
          <w:bCs/>
          <w:sz w:val="22"/>
          <w:szCs w:val="22"/>
        </w:rPr>
      </w:pPr>
      <w:r w:rsidRPr="000F3E07">
        <w:rPr>
          <w:b/>
          <w:bCs/>
          <w:sz w:val="22"/>
          <w:szCs w:val="22"/>
        </w:rPr>
        <w:t xml:space="preserve">Definitions </w:t>
      </w:r>
    </w:p>
    <w:p w14:paraId="62169EBC" w14:textId="77777777" w:rsidR="00CB32FF" w:rsidRDefault="00CB32FF" w:rsidP="00CB32FF">
      <w:pPr>
        <w:pStyle w:val="Default"/>
        <w:rPr>
          <w:b/>
          <w:bCs/>
          <w:sz w:val="22"/>
          <w:szCs w:val="22"/>
        </w:rPr>
      </w:pPr>
    </w:p>
    <w:p w14:paraId="18D47C9F" w14:textId="77777777" w:rsidR="00CB32FF" w:rsidRDefault="00CB32FF" w:rsidP="00CB32FF">
      <w:pPr>
        <w:pStyle w:val="Default"/>
        <w:ind w:left="720"/>
        <w:rPr>
          <w:sz w:val="22"/>
          <w:szCs w:val="22"/>
        </w:rPr>
      </w:pPr>
      <w:r w:rsidRPr="5AD37941">
        <w:rPr>
          <w:b/>
          <w:bCs/>
          <w:sz w:val="22"/>
          <w:szCs w:val="22"/>
        </w:rPr>
        <w:t xml:space="preserve">Department. </w:t>
      </w:r>
      <w:r w:rsidRPr="5AD37941">
        <w:rPr>
          <w:sz w:val="22"/>
          <w:szCs w:val="22"/>
        </w:rPr>
        <w:t xml:space="preserve">“Department” means the Department of Economic and Community Development. </w:t>
      </w:r>
    </w:p>
    <w:p w14:paraId="2ABDAFF0" w14:textId="77777777" w:rsidR="00CB32FF" w:rsidRDefault="00CB32FF" w:rsidP="00CB32FF">
      <w:pPr>
        <w:pStyle w:val="Default"/>
        <w:ind w:firstLine="720"/>
        <w:rPr>
          <w:b/>
          <w:bCs/>
          <w:sz w:val="22"/>
          <w:szCs w:val="22"/>
        </w:rPr>
      </w:pPr>
    </w:p>
    <w:p w14:paraId="4A134B4D" w14:textId="77777777" w:rsidR="00CB32FF" w:rsidRDefault="00CB32FF" w:rsidP="00CB32FF">
      <w:pPr>
        <w:pStyle w:val="Default"/>
        <w:ind w:firstLine="720"/>
        <w:rPr>
          <w:sz w:val="22"/>
          <w:szCs w:val="22"/>
        </w:rPr>
      </w:pPr>
      <w:r w:rsidRPr="5AD37941">
        <w:rPr>
          <w:b/>
          <w:bCs/>
          <w:sz w:val="22"/>
          <w:szCs w:val="22"/>
        </w:rPr>
        <w:t xml:space="preserve">Program. </w:t>
      </w:r>
      <w:r w:rsidRPr="5AD37941">
        <w:rPr>
          <w:sz w:val="22"/>
          <w:szCs w:val="22"/>
        </w:rPr>
        <w:t>“Program” means the Housing Opportunity Program.</w:t>
      </w:r>
    </w:p>
    <w:p w14:paraId="613C9CE4" w14:textId="77777777" w:rsidR="00CB32FF" w:rsidRDefault="00CB32FF" w:rsidP="00CB32FF">
      <w:pPr>
        <w:pStyle w:val="Default"/>
        <w:ind w:firstLine="720"/>
        <w:rPr>
          <w:sz w:val="22"/>
          <w:szCs w:val="22"/>
        </w:rPr>
      </w:pPr>
    </w:p>
    <w:p w14:paraId="6D5BC173" w14:textId="77777777" w:rsidR="00CB32FF" w:rsidRDefault="00CB32FF" w:rsidP="00CB32FF">
      <w:pPr>
        <w:pStyle w:val="Default"/>
        <w:ind w:left="720"/>
        <w:rPr>
          <w:sz w:val="22"/>
          <w:szCs w:val="22"/>
        </w:rPr>
      </w:pPr>
      <w:r>
        <w:rPr>
          <w:b/>
          <w:bCs/>
          <w:sz w:val="22"/>
          <w:szCs w:val="22"/>
        </w:rPr>
        <w:t>S</w:t>
      </w:r>
      <w:r w:rsidRPr="5AD37941">
        <w:rPr>
          <w:b/>
          <w:bCs/>
          <w:sz w:val="22"/>
          <w:szCs w:val="22"/>
        </w:rPr>
        <w:t xml:space="preserve">ervice </w:t>
      </w:r>
      <w:r>
        <w:rPr>
          <w:b/>
          <w:bCs/>
          <w:sz w:val="22"/>
          <w:szCs w:val="22"/>
        </w:rPr>
        <w:t>p</w:t>
      </w:r>
      <w:r w:rsidRPr="5AD37941">
        <w:rPr>
          <w:b/>
          <w:bCs/>
          <w:sz w:val="22"/>
          <w:szCs w:val="22"/>
        </w:rPr>
        <w:t>rovider.</w:t>
      </w:r>
      <w:r w:rsidRPr="5AD37941">
        <w:rPr>
          <w:sz w:val="22"/>
          <w:szCs w:val="22"/>
        </w:rPr>
        <w:t xml:space="preserve"> “</w:t>
      </w:r>
      <w:r>
        <w:rPr>
          <w:sz w:val="22"/>
          <w:szCs w:val="22"/>
        </w:rPr>
        <w:t>S</w:t>
      </w:r>
      <w:r w:rsidRPr="5AD37941">
        <w:rPr>
          <w:sz w:val="22"/>
          <w:szCs w:val="22"/>
        </w:rPr>
        <w:t xml:space="preserve">ervice provider” means regional planning organizations (councils of governments, regional </w:t>
      </w:r>
      <w:r>
        <w:rPr>
          <w:sz w:val="22"/>
          <w:szCs w:val="22"/>
        </w:rPr>
        <w:t xml:space="preserve">planning </w:t>
      </w:r>
      <w:r w:rsidRPr="00455E1B">
        <w:rPr>
          <w:sz w:val="22"/>
          <w:szCs w:val="22"/>
        </w:rPr>
        <w:t>commissions</w:t>
      </w:r>
      <w:r>
        <w:rPr>
          <w:sz w:val="22"/>
          <w:szCs w:val="22"/>
        </w:rPr>
        <w:t>),</w:t>
      </w:r>
      <w:r w:rsidRPr="5AD37941">
        <w:rPr>
          <w:sz w:val="22"/>
          <w:szCs w:val="22"/>
        </w:rPr>
        <w:t xml:space="preserve"> regional economic development organizations, county governments, non-profit organizations, academic institutions and cooperative extension programs, for-profit enterprises and other organizations focused on providing a regional approach. </w:t>
      </w:r>
      <w:r w:rsidRPr="00E742A0">
        <w:rPr>
          <w:sz w:val="22"/>
          <w:szCs w:val="22"/>
        </w:rPr>
        <w:t>Municipalities are also eligible to apply as a service provider and will need to demonstrate experience and capacity.</w:t>
      </w:r>
    </w:p>
    <w:p w14:paraId="741944D2" w14:textId="77777777" w:rsidR="00CB32FF" w:rsidRDefault="00CB32FF" w:rsidP="00CB32FF">
      <w:pPr>
        <w:pStyle w:val="Default"/>
        <w:ind w:firstLine="720"/>
        <w:rPr>
          <w:rFonts w:eastAsia="Calibri"/>
          <w:color w:val="000000" w:themeColor="text1"/>
          <w:sz w:val="22"/>
          <w:szCs w:val="22"/>
        </w:rPr>
      </w:pPr>
    </w:p>
    <w:p w14:paraId="087229CC" w14:textId="77777777" w:rsidR="00CB32FF" w:rsidRDefault="00CB32FF" w:rsidP="00CB32FF">
      <w:pPr>
        <w:pStyle w:val="Default"/>
        <w:rPr>
          <w:rFonts w:eastAsia="Calibri"/>
          <w:color w:val="000000" w:themeColor="text1"/>
          <w:sz w:val="22"/>
          <w:szCs w:val="22"/>
        </w:rPr>
      </w:pPr>
    </w:p>
    <w:p w14:paraId="1EBA342E" w14:textId="77777777" w:rsidR="00CB32FF" w:rsidRDefault="00CB32FF" w:rsidP="00CB32FF">
      <w:pPr>
        <w:pStyle w:val="Default"/>
        <w:rPr>
          <w:b/>
          <w:bCs/>
          <w:color w:val="auto"/>
          <w:sz w:val="22"/>
          <w:szCs w:val="22"/>
        </w:rPr>
      </w:pPr>
      <w:r w:rsidRPr="5AD37941">
        <w:rPr>
          <w:b/>
          <w:bCs/>
          <w:color w:val="auto"/>
          <w:sz w:val="22"/>
          <w:szCs w:val="22"/>
        </w:rPr>
        <w:t>SECTION 2.</w:t>
      </w:r>
      <w:r>
        <w:t xml:space="preserve"> </w:t>
      </w:r>
      <w:r w:rsidRPr="5AD37941">
        <w:rPr>
          <w:b/>
          <w:bCs/>
          <w:color w:val="auto"/>
          <w:sz w:val="22"/>
          <w:szCs w:val="22"/>
        </w:rPr>
        <w:t>ELIGIBILITY</w:t>
      </w:r>
    </w:p>
    <w:p w14:paraId="68707D9C" w14:textId="77777777" w:rsidR="00CB32FF" w:rsidRDefault="00CB32FF" w:rsidP="00CB32FF">
      <w:pPr>
        <w:pStyle w:val="Default"/>
        <w:rPr>
          <w:rFonts w:eastAsia="Calibri"/>
          <w:b/>
          <w:bCs/>
          <w:color w:val="000000" w:themeColor="text1"/>
          <w:sz w:val="22"/>
          <w:szCs w:val="22"/>
        </w:rPr>
      </w:pPr>
    </w:p>
    <w:p w14:paraId="3E8FACA7" w14:textId="77777777" w:rsidR="00CB32FF" w:rsidRPr="00050227" w:rsidRDefault="00CB32FF" w:rsidP="00CB32FF">
      <w:pPr>
        <w:pStyle w:val="Default"/>
        <w:ind w:left="720"/>
        <w:rPr>
          <w:sz w:val="22"/>
          <w:szCs w:val="22"/>
        </w:rPr>
      </w:pPr>
      <w:r>
        <w:rPr>
          <w:sz w:val="22"/>
          <w:szCs w:val="22"/>
        </w:rPr>
        <w:t>S</w:t>
      </w:r>
      <w:r w:rsidRPr="00050227">
        <w:rPr>
          <w:sz w:val="22"/>
          <w:szCs w:val="22"/>
        </w:rPr>
        <w:t>ervice providers are eligible to apply for grant funds to support municipal ordinance development</w:t>
      </w:r>
      <w:r>
        <w:rPr>
          <w:sz w:val="22"/>
          <w:szCs w:val="22"/>
        </w:rPr>
        <w:t xml:space="preserve"> and community housing planning services</w:t>
      </w:r>
      <w:r w:rsidRPr="00050227">
        <w:rPr>
          <w:sz w:val="22"/>
          <w:szCs w:val="22"/>
        </w:rPr>
        <w:t>, provide technical assistance, and encourage public participation and community engagement in the</w:t>
      </w:r>
      <w:r>
        <w:rPr>
          <w:sz w:val="22"/>
          <w:szCs w:val="22"/>
        </w:rPr>
        <w:t>ir efforts</w:t>
      </w:r>
      <w:r w:rsidRPr="00050227">
        <w:rPr>
          <w:sz w:val="22"/>
          <w:szCs w:val="22"/>
        </w:rPr>
        <w:t xml:space="preserve"> to increase housing opportunities. </w:t>
      </w:r>
    </w:p>
    <w:p w14:paraId="28DF5A7C" w14:textId="77777777" w:rsidR="00CB32FF" w:rsidRDefault="00CB32FF" w:rsidP="00CB32FF">
      <w:pPr>
        <w:pStyle w:val="Default"/>
        <w:rPr>
          <w:rFonts w:eastAsia="Calibri"/>
          <w:color w:val="000000" w:themeColor="text1"/>
          <w:sz w:val="22"/>
          <w:szCs w:val="22"/>
        </w:rPr>
      </w:pPr>
    </w:p>
    <w:p w14:paraId="1B9F1C65" w14:textId="77777777" w:rsidR="00CB32FF" w:rsidRDefault="00CB32FF" w:rsidP="00CB32FF">
      <w:pPr>
        <w:pStyle w:val="Default"/>
        <w:rPr>
          <w:color w:val="auto"/>
          <w:sz w:val="22"/>
          <w:szCs w:val="22"/>
        </w:rPr>
      </w:pPr>
      <w:r w:rsidRPr="5AD37941">
        <w:rPr>
          <w:rFonts w:eastAsia="Calibri"/>
          <w:b/>
          <w:bCs/>
          <w:color w:val="auto"/>
          <w:sz w:val="22"/>
          <w:szCs w:val="22"/>
        </w:rPr>
        <w:t xml:space="preserve">SECTION 3. </w:t>
      </w:r>
      <w:r w:rsidRPr="5AD37941">
        <w:rPr>
          <w:b/>
          <w:bCs/>
          <w:color w:val="auto"/>
          <w:sz w:val="22"/>
          <w:szCs w:val="22"/>
        </w:rPr>
        <w:t xml:space="preserve">APPLICATION PROCESS </w:t>
      </w:r>
    </w:p>
    <w:p w14:paraId="4210FDE5" w14:textId="77777777" w:rsidR="00CB32FF" w:rsidRDefault="00CB32FF" w:rsidP="00CB32FF">
      <w:pPr>
        <w:pStyle w:val="Default"/>
        <w:ind w:firstLine="720"/>
        <w:rPr>
          <w:color w:val="auto"/>
          <w:sz w:val="22"/>
          <w:szCs w:val="22"/>
        </w:rPr>
      </w:pPr>
    </w:p>
    <w:p w14:paraId="20E924AB" w14:textId="77777777" w:rsidR="00CB32FF" w:rsidRPr="00050227" w:rsidRDefault="00CB32FF" w:rsidP="00CB32FF">
      <w:pPr>
        <w:pStyle w:val="Default"/>
        <w:numPr>
          <w:ilvl w:val="0"/>
          <w:numId w:val="3"/>
        </w:numPr>
        <w:ind w:left="1080"/>
        <w:rPr>
          <w:sz w:val="22"/>
          <w:szCs w:val="22"/>
        </w:rPr>
      </w:pPr>
      <w:r w:rsidRPr="5781EB2F">
        <w:rPr>
          <w:sz w:val="22"/>
          <w:szCs w:val="22"/>
        </w:rPr>
        <w:t>The Department shall issue requests for proposals for grant applications from service providers. All proposals will be reviewed by a grant selection committee and amounts, if any, will be awarded on the quality of the applicant’s application. Criteria for the grant selection committee’s evaluation of proposals consistent with this rule will be set forth in the request for applications. Award decisions may be appealed to the Director of the Bureau of General Services pursuant to 18-544 C.M.R. ch. 120, Rules for Appeal of Contract and Grant Awards</w:t>
      </w:r>
      <w:r>
        <w:rPr>
          <w:sz w:val="22"/>
          <w:szCs w:val="22"/>
        </w:rPr>
        <w:t xml:space="preserve"> (May 1, 1996)</w:t>
      </w:r>
      <w:r w:rsidRPr="5781EB2F">
        <w:rPr>
          <w:sz w:val="22"/>
          <w:szCs w:val="22"/>
        </w:rPr>
        <w:t xml:space="preserve">. </w:t>
      </w:r>
    </w:p>
    <w:p w14:paraId="2B306BDF" w14:textId="77777777" w:rsidR="00CB32FF" w:rsidRPr="00050227" w:rsidRDefault="00CB32FF" w:rsidP="00CB32FF">
      <w:pPr>
        <w:pStyle w:val="Default"/>
        <w:ind w:left="720"/>
        <w:rPr>
          <w:sz w:val="22"/>
          <w:szCs w:val="22"/>
        </w:rPr>
      </w:pPr>
    </w:p>
    <w:p w14:paraId="7BA702E1" w14:textId="77777777" w:rsidR="00CB32FF" w:rsidRPr="00310556" w:rsidRDefault="00CB32FF" w:rsidP="00CB32FF">
      <w:pPr>
        <w:pStyle w:val="Default"/>
        <w:numPr>
          <w:ilvl w:val="0"/>
          <w:numId w:val="3"/>
        </w:numPr>
        <w:ind w:left="1080"/>
        <w:rPr>
          <w:sz w:val="22"/>
          <w:szCs w:val="22"/>
        </w:rPr>
      </w:pPr>
      <w:r w:rsidRPr="5781EB2F">
        <w:rPr>
          <w:sz w:val="22"/>
          <w:szCs w:val="22"/>
        </w:rPr>
        <w:t xml:space="preserve">Proposals must detail plans describing the tactics that will be used to support municipal ordinance development and planning services to increase housing opportunities.  The Department </w:t>
      </w:r>
      <w:r w:rsidRPr="00E07296">
        <w:rPr>
          <w:sz w:val="22"/>
          <w:szCs w:val="22"/>
        </w:rPr>
        <w:t>may</w:t>
      </w:r>
      <w:r w:rsidRPr="5781EB2F">
        <w:rPr>
          <w:sz w:val="22"/>
          <w:szCs w:val="22"/>
        </w:rPr>
        <w:t xml:space="preserve"> require proposals to include the following:</w:t>
      </w:r>
    </w:p>
    <w:p w14:paraId="51266CC5" w14:textId="77777777" w:rsidR="00CB32FF" w:rsidRPr="00050227" w:rsidRDefault="00CB32FF" w:rsidP="00CB32FF">
      <w:pPr>
        <w:pStyle w:val="Default"/>
        <w:ind w:left="720"/>
        <w:rPr>
          <w:sz w:val="22"/>
          <w:szCs w:val="22"/>
        </w:rPr>
      </w:pPr>
    </w:p>
    <w:p w14:paraId="4A27A54C" w14:textId="77777777" w:rsidR="00CB32FF" w:rsidRDefault="00CB32FF" w:rsidP="00CB32FF">
      <w:pPr>
        <w:pStyle w:val="Default"/>
        <w:numPr>
          <w:ilvl w:val="0"/>
          <w:numId w:val="2"/>
        </w:numPr>
        <w:ind w:left="1440"/>
        <w:rPr>
          <w:color w:val="auto"/>
          <w:sz w:val="22"/>
          <w:szCs w:val="22"/>
        </w:rPr>
      </w:pPr>
      <w:r w:rsidRPr="5781EB2F">
        <w:rPr>
          <w:color w:val="auto"/>
          <w:sz w:val="22"/>
          <w:szCs w:val="22"/>
        </w:rPr>
        <w:lastRenderedPageBreak/>
        <w:t xml:space="preserve">Evidence of experience and technical expertise to perform the proposed work, or process and criteria to be used to obtain these services; </w:t>
      </w:r>
    </w:p>
    <w:p w14:paraId="6DFD2561" w14:textId="77777777" w:rsidR="00CB32FF" w:rsidRDefault="00CB32FF" w:rsidP="00CB32FF">
      <w:pPr>
        <w:pStyle w:val="Default"/>
        <w:ind w:left="1440"/>
        <w:rPr>
          <w:color w:val="000000" w:themeColor="text1"/>
          <w:sz w:val="22"/>
          <w:szCs w:val="22"/>
        </w:rPr>
      </w:pPr>
    </w:p>
    <w:p w14:paraId="238FF31A" w14:textId="77777777" w:rsidR="00CB32FF" w:rsidRPr="001914B1" w:rsidRDefault="00CB32FF" w:rsidP="00CB32FF">
      <w:pPr>
        <w:pStyle w:val="Default"/>
        <w:numPr>
          <w:ilvl w:val="0"/>
          <w:numId w:val="2"/>
        </w:numPr>
        <w:ind w:left="1440"/>
        <w:rPr>
          <w:color w:val="auto"/>
          <w:sz w:val="22"/>
          <w:szCs w:val="22"/>
        </w:rPr>
      </w:pPr>
      <w:r w:rsidRPr="5781EB2F">
        <w:rPr>
          <w:color w:val="auto"/>
          <w:sz w:val="22"/>
          <w:szCs w:val="22"/>
        </w:rPr>
        <w:t>A detailed scope of work identifying measurable outcomes that will be achieved as a result of receiving funds;</w:t>
      </w:r>
    </w:p>
    <w:p w14:paraId="646DDF78" w14:textId="77777777" w:rsidR="00CB32FF" w:rsidRPr="001914B1" w:rsidRDefault="00CB32FF" w:rsidP="00CB32FF">
      <w:pPr>
        <w:pStyle w:val="Default"/>
        <w:ind w:left="360" w:firstLine="720"/>
        <w:rPr>
          <w:rFonts w:eastAsia="Calibri"/>
          <w:color w:val="000000" w:themeColor="text1"/>
        </w:rPr>
      </w:pPr>
    </w:p>
    <w:p w14:paraId="6622F32E" w14:textId="77777777" w:rsidR="00CB32FF" w:rsidRPr="001914B1" w:rsidRDefault="00CB32FF" w:rsidP="00CB32FF">
      <w:pPr>
        <w:pStyle w:val="Default"/>
        <w:numPr>
          <w:ilvl w:val="0"/>
          <w:numId w:val="2"/>
        </w:numPr>
        <w:ind w:left="1440"/>
        <w:rPr>
          <w:color w:val="auto"/>
          <w:sz w:val="22"/>
          <w:szCs w:val="22"/>
        </w:rPr>
      </w:pPr>
      <w:r w:rsidRPr="5781EB2F">
        <w:rPr>
          <w:color w:val="auto"/>
          <w:sz w:val="22"/>
          <w:szCs w:val="22"/>
        </w:rPr>
        <w:t>Identification of target metrics describing how the applicant will measure performance</w:t>
      </w:r>
      <w:r>
        <w:rPr>
          <w:color w:val="auto"/>
          <w:sz w:val="22"/>
          <w:szCs w:val="22"/>
        </w:rPr>
        <w:t>;</w:t>
      </w:r>
      <w:r w:rsidRPr="5781EB2F">
        <w:rPr>
          <w:color w:val="auto"/>
          <w:sz w:val="22"/>
          <w:szCs w:val="22"/>
        </w:rPr>
        <w:t xml:space="preserve"> </w:t>
      </w:r>
    </w:p>
    <w:p w14:paraId="65D81DD3" w14:textId="77777777" w:rsidR="00CB32FF" w:rsidRPr="001914B1" w:rsidRDefault="00CB32FF" w:rsidP="00CB32FF">
      <w:pPr>
        <w:pStyle w:val="Default"/>
        <w:rPr>
          <w:color w:val="auto"/>
          <w:sz w:val="22"/>
          <w:szCs w:val="22"/>
        </w:rPr>
      </w:pPr>
    </w:p>
    <w:p w14:paraId="2EFD19FF" w14:textId="77777777" w:rsidR="00CB32FF" w:rsidRPr="001914B1" w:rsidRDefault="00CB32FF" w:rsidP="00CB32FF">
      <w:pPr>
        <w:pStyle w:val="Default"/>
        <w:numPr>
          <w:ilvl w:val="0"/>
          <w:numId w:val="2"/>
        </w:numPr>
        <w:ind w:left="1440"/>
        <w:rPr>
          <w:color w:val="auto"/>
          <w:sz w:val="22"/>
          <w:szCs w:val="22"/>
        </w:rPr>
      </w:pPr>
      <w:r w:rsidRPr="5781EB2F">
        <w:rPr>
          <w:color w:val="auto"/>
          <w:sz w:val="22"/>
          <w:szCs w:val="22"/>
        </w:rPr>
        <w:t xml:space="preserve">Evidence of adequate and committed sources of operating capital, such as </w:t>
      </w:r>
      <w:r>
        <w:rPr>
          <w:color w:val="auto"/>
          <w:sz w:val="22"/>
          <w:szCs w:val="22"/>
        </w:rPr>
        <w:t xml:space="preserve">previous </w:t>
      </w:r>
      <w:r w:rsidRPr="5781EB2F">
        <w:rPr>
          <w:color w:val="auto"/>
          <w:sz w:val="22"/>
          <w:szCs w:val="22"/>
        </w:rPr>
        <w:t xml:space="preserve">fiscal year budget and expenses; </w:t>
      </w:r>
    </w:p>
    <w:p w14:paraId="3EDB0628" w14:textId="77777777" w:rsidR="00CB32FF" w:rsidRPr="001914B1" w:rsidRDefault="00CB32FF" w:rsidP="00CB32FF">
      <w:pPr>
        <w:pStyle w:val="Default"/>
        <w:ind w:left="1080"/>
        <w:rPr>
          <w:color w:val="auto"/>
          <w:sz w:val="22"/>
          <w:szCs w:val="22"/>
        </w:rPr>
      </w:pPr>
    </w:p>
    <w:p w14:paraId="7388010C" w14:textId="77777777" w:rsidR="00CB32FF" w:rsidRPr="001914B1" w:rsidRDefault="00CB32FF" w:rsidP="00CB32FF">
      <w:pPr>
        <w:pStyle w:val="Default"/>
        <w:numPr>
          <w:ilvl w:val="0"/>
          <w:numId w:val="2"/>
        </w:numPr>
        <w:ind w:left="1440"/>
        <w:rPr>
          <w:color w:val="auto"/>
          <w:sz w:val="22"/>
          <w:szCs w:val="22"/>
        </w:rPr>
      </w:pPr>
      <w:r w:rsidRPr="5781EB2F">
        <w:rPr>
          <w:color w:val="auto"/>
          <w:sz w:val="22"/>
          <w:szCs w:val="22"/>
        </w:rPr>
        <w:t xml:space="preserve">A proposed budget for the funds and budget narrative outlining the use of funds; </w:t>
      </w:r>
    </w:p>
    <w:p w14:paraId="439D255E" w14:textId="77777777" w:rsidR="00CB32FF" w:rsidRPr="001914B1" w:rsidRDefault="00CB32FF" w:rsidP="00CB32FF">
      <w:pPr>
        <w:pStyle w:val="Default"/>
        <w:ind w:left="1080"/>
        <w:rPr>
          <w:color w:val="auto"/>
          <w:sz w:val="22"/>
          <w:szCs w:val="22"/>
        </w:rPr>
      </w:pPr>
    </w:p>
    <w:p w14:paraId="7EAF524C" w14:textId="77777777" w:rsidR="00CB32FF" w:rsidRDefault="00CB32FF" w:rsidP="00CB32FF">
      <w:pPr>
        <w:pStyle w:val="Default"/>
        <w:numPr>
          <w:ilvl w:val="0"/>
          <w:numId w:val="2"/>
        </w:numPr>
        <w:ind w:left="1440"/>
        <w:rPr>
          <w:color w:val="auto"/>
          <w:sz w:val="22"/>
          <w:szCs w:val="22"/>
        </w:rPr>
      </w:pPr>
      <w:r w:rsidRPr="5781EB2F">
        <w:rPr>
          <w:color w:val="auto"/>
          <w:sz w:val="22"/>
          <w:szCs w:val="22"/>
        </w:rPr>
        <w:t>Evidence of</w:t>
      </w:r>
      <w:r>
        <w:rPr>
          <w:color w:val="auto"/>
          <w:sz w:val="22"/>
          <w:szCs w:val="22"/>
        </w:rPr>
        <w:t xml:space="preserve"> sources and access to matching funds;</w:t>
      </w:r>
      <w:r w:rsidRPr="5781EB2F">
        <w:rPr>
          <w:color w:val="auto"/>
          <w:sz w:val="22"/>
          <w:szCs w:val="22"/>
        </w:rPr>
        <w:t xml:space="preserve"> </w:t>
      </w:r>
      <w:r>
        <w:rPr>
          <w:color w:val="auto"/>
          <w:sz w:val="22"/>
          <w:szCs w:val="22"/>
        </w:rPr>
        <w:t>and</w:t>
      </w:r>
    </w:p>
    <w:p w14:paraId="26F534EF" w14:textId="77777777" w:rsidR="00CB32FF" w:rsidRPr="00310556" w:rsidRDefault="00CB32FF" w:rsidP="00CB32FF">
      <w:pPr>
        <w:pStyle w:val="Default"/>
        <w:rPr>
          <w:color w:val="auto"/>
          <w:sz w:val="22"/>
          <w:szCs w:val="22"/>
        </w:rPr>
      </w:pPr>
    </w:p>
    <w:p w14:paraId="27FC6A1A" w14:textId="77777777" w:rsidR="00CB32FF" w:rsidRPr="00310556" w:rsidRDefault="00CB32FF" w:rsidP="00CB32FF">
      <w:pPr>
        <w:pStyle w:val="Default"/>
        <w:numPr>
          <w:ilvl w:val="0"/>
          <w:numId w:val="2"/>
        </w:numPr>
        <w:ind w:left="1440"/>
        <w:rPr>
          <w:color w:val="auto"/>
          <w:sz w:val="22"/>
          <w:szCs w:val="22"/>
        </w:rPr>
      </w:pPr>
      <w:r w:rsidRPr="00310556">
        <w:rPr>
          <w:color w:val="auto"/>
          <w:sz w:val="22"/>
          <w:szCs w:val="22"/>
        </w:rPr>
        <w:t>If using in-kind match, a description of the activity, including identity of personnel assigned to work on the in-kind project specific to this grant and the value of match</w:t>
      </w:r>
      <w:r>
        <w:rPr>
          <w:color w:val="auto"/>
          <w:sz w:val="22"/>
          <w:szCs w:val="22"/>
        </w:rPr>
        <w:t xml:space="preserve">. </w:t>
      </w:r>
    </w:p>
    <w:p w14:paraId="197F208B" w14:textId="77777777" w:rsidR="00CB32FF" w:rsidRDefault="00CB32FF" w:rsidP="00CB32FF">
      <w:pPr>
        <w:pStyle w:val="Default"/>
        <w:rPr>
          <w:rFonts w:eastAsia="Calibri"/>
          <w:color w:val="000000" w:themeColor="text1"/>
        </w:rPr>
      </w:pPr>
    </w:p>
    <w:p w14:paraId="3D1037B5" w14:textId="77777777" w:rsidR="00CB32FF" w:rsidRDefault="00CB32FF" w:rsidP="00CB32FF">
      <w:pPr>
        <w:pStyle w:val="Default"/>
        <w:rPr>
          <w:color w:val="auto"/>
          <w:sz w:val="22"/>
          <w:szCs w:val="22"/>
        </w:rPr>
      </w:pPr>
      <w:r>
        <w:rPr>
          <w:b/>
          <w:bCs/>
          <w:color w:val="auto"/>
          <w:sz w:val="22"/>
          <w:szCs w:val="22"/>
        </w:rPr>
        <w:t xml:space="preserve">SECTION 4. PROGRAM REVIEW </w:t>
      </w:r>
    </w:p>
    <w:p w14:paraId="3235F1F9" w14:textId="77777777" w:rsidR="00CB32FF" w:rsidRDefault="00CB32FF" w:rsidP="00CB32FF">
      <w:pPr>
        <w:pStyle w:val="Default"/>
        <w:rPr>
          <w:color w:val="auto"/>
          <w:sz w:val="22"/>
          <w:szCs w:val="22"/>
        </w:rPr>
      </w:pPr>
    </w:p>
    <w:p w14:paraId="5A90A16A" w14:textId="77777777" w:rsidR="00CB32FF" w:rsidRDefault="00CB32FF" w:rsidP="00CB32FF">
      <w:pPr>
        <w:pStyle w:val="Default"/>
        <w:numPr>
          <w:ilvl w:val="0"/>
          <w:numId w:val="4"/>
        </w:numPr>
        <w:rPr>
          <w:b/>
          <w:bCs/>
          <w:color w:val="auto"/>
          <w:sz w:val="22"/>
          <w:szCs w:val="22"/>
        </w:rPr>
      </w:pPr>
      <w:r w:rsidRPr="00C07931">
        <w:rPr>
          <w:b/>
          <w:bCs/>
          <w:color w:val="auto"/>
          <w:sz w:val="22"/>
          <w:szCs w:val="22"/>
        </w:rPr>
        <w:t xml:space="preserve">Department Responsibilities </w:t>
      </w:r>
    </w:p>
    <w:p w14:paraId="798D560B" w14:textId="77777777" w:rsidR="00CB32FF" w:rsidRDefault="00CB32FF" w:rsidP="00CB32FF">
      <w:pPr>
        <w:pStyle w:val="Default"/>
        <w:rPr>
          <w:b/>
          <w:bCs/>
          <w:color w:val="auto"/>
          <w:sz w:val="22"/>
          <w:szCs w:val="22"/>
        </w:rPr>
      </w:pPr>
    </w:p>
    <w:p w14:paraId="3E2ACB79" w14:textId="77777777" w:rsidR="00CB32FF" w:rsidRDefault="00CB32FF" w:rsidP="00CB32FF">
      <w:pPr>
        <w:pStyle w:val="Default"/>
        <w:ind w:left="1080"/>
        <w:rPr>
          <w:color w:val="auto"/>
          <w:sz w:val="22"/>
          <w:szCs w:val="22"/>
        </w:rPr>
      </w:pPr>
      <w:r w:rsidRPr="5781EB2F">
        <w:rPr>
          <w:color w:val="auto"/>
          <w:sz w:val="22"/>
          <w:szCs w:val="22"/>
        </w:rPr>
        <w:t xml:space="preserve">By January 15, 2024, the Department shall submit a report to the joint standing committee of the Legislature having jurisdiction over economic development and housing matters. The report must include the following: </w:t>
      </w:r>
    </w:p>
    <w:p w14:paraId="0ACCB4F5" w14:textId="77777777" w:rsidR="00CB32FF" w:rsidRDefault="00CB32FF" w:rsidP="00CB32FF">
      <w:pPr>
        <w:pStyle w:val="Default"/>
        <w:ind w:left="1080"/>
        <w:rPr>
          <w:color w:val="auto"/>
          <w:sz w:val="22"/>
          <w:szCs w:val="22"/>
        </w:rPr>
      </w:pPr>
    </w:p>
    <w:p w14:paraId="6A46BFDE" w14:textId="77777777" w:rsidR="00CB32FF" w:rsidRDefault="00CB32FF" w:rsidP="00CB32FF">
      <w:pPr>
        <w:pStyle w:val="Default"/>
        <w:ind w:left="1440" w:hanging="360"/>
        <w:rPr>
          <w:color w:val="auto"/>
          <w:sz w:val="22"/>
          <w:szCs w:val="22"/>
        </w:rPr>
      </w:pPr>
      <w:r>
        <w:rPr>
          <w:color w:val="auto"/>
          <w:sz w:val="22"/>
          <w:szCs w:val="22"/>
        </w:rPr>
        <w:t>1.</w:t>
      </w:r>
      <w:r>
        <w:rPr>
          <w:color w:val="auto"/>
          <w:sz w:val="22"/>
          <w:szCs w:val="22"/>
        </w:rPr>
        <w:tab/>
      </w:r>
      <w:r w:rsidRPr="5AD37941">
        <w:rPr>
          <w:color w:val="auto"/>
          <w:sz w:val="22"/>
          <w:szCs w:val="22"/>
        </w:rPr>
        <w:t>Recommendations for changes in the statutes to improve the program and its delivery of services to municipalities;</w:t>
      </w:r>
    </w:p>
    <w:p w14:paraId="373B8F93" w14:textId="77777777" w:rsidR="00CB32FF" w:rsidRDefault="00CB32FF" w:rsidP="00CB32FF">
      <w:pPr>
        <w:pStyle w:val="Default"/>
        <w:ind w:left="1440" w:hanging="360"/>
        <w:rPr>
          <w:color w:val="auto"/>
          <w:sz w:val="22"/>
          <w:szCs w:val="22"/>
        </w:rPr>
      </w:pPr>
    </w:p>
    <w:p w14:paraId="02FFD1C6" w14:textId="77777777" w:rsidR="00CB32FF" w:rsidRDefault="00CB32FF" w:rsidP="00CB32FF">
      <w:pPr>
        <w:pStyle w:val="Default"/>
        <w:ind w:left="1440" w:hanging="360"/>
        <w:rPr>
          <w:color w:val="auto"/>
          <w:sz w:val="22"/>
          <w:szCs w:val="22"/>
        </w:rPr>
      </w:pPr>
      <w:r>
        <w:rPr>
          <w:color w:val="auto"/>
          <w:sz w:val="22"/>
          <w:szCs w:val="22"/>
        </w:rPr>
        <w:t>2.</w:t>
      </w:r>
      <w:r>
        <w:rPr>
          <w:color w:val="auto"/>
          <w:sz w:val="22"/>
          <w:szCs w:val="22"/>
        </w:rPr>
        <w:tab/>
      </w:r>
      <w:r w:rsidRPr="5AD37941">
        <w:rPr>
          <w:color w:val="auto"/>
          <w:sz w:val="22"/>
          <w:szCs w:val="22"/>
        </w:rPr>
        <w:t>An accounting of the use of all program funds received and expended since the</w:t>
      </w:r>
      <w:r>
        <w:rPr>
          <w:color w:val="auto"/>
          <w:sz w:val="22"/>
          <w:szCs w:val="22"/>
        </w:rPr>
        <w:t xml:space="preserve"> </w:t>
      </w:r>
      <w:r w:rsidRPr="5AD37941">
        <w:rPr>
          <w:color w:val="auto"/>
          <w:sz w:val="22"/>
          <w:szCs w:val="22"/>
        </w:rPr>
        <w:t xml:space="preserve">program’s inception; </w:t>
      </w:r>
    </w:p>
    <w:p w14:paraId="2B1F4477" w14:textId="77777777" w:rsidR="00CB32FF" w:rsidRDefault="00CB32FF" w:rsidP="00CB32FF">
      <w:pPr>
        <w:pStyle w:val="Default"/>
        <w:ind w:left="1440" w:hanging="360"/>
        <w:rPr>
          <w:color w:val="auto"/>
          <w:sz w:val="22"/>
          <w:szCs w:val="22"/>
        </w:rPr>
      </w:pPr>
    </w:p>
    <w:p w14:paraId="69925129" w14:textId="77777777" w:rsidR="00CB32FF" w:rsidRDefault="00CB32FF" w:rsidP="00CB32FF">
      <w:pPr>
        <w:pStyle w:val="Default"/>
        <w:ind w:left="1440" w:hanging="360"/>
        <w:rPr>
          <w:color w:val="auto"/>
          <w:sz w:val="22"/>
          <w:szCs w:val="22"/>
        </w:rPr>
      </w:pPr>
      <w:r>
        <w:rPr>
          <w:color w:val="auto"/>
          <w:sz w:val="22"/>
          <w:szCs w:val="22"/>
        </w:rPr>
        <w:t>3.</w:t>
      </w:r>
      <w:r>
        <w:rPr>
          <w:color w:val="auto"/>
          <w:sz w:val="22"/>
          <w:szCs w:val="22"/>
        </w:rPr>
        <w:tab/>
      </w:r>
      <w:r w:rsidRPr="5AD37941">
        <w:rPr>
          <w:color w:val="auto"/>
          <w:sz w:val="22"/>
          <w:szCs w:val="22"/>
        </w:rPr>
        <w:t xml:space="preserve">A summary of the status of any approved projects; and </w:t>
      </w:r>
    </w:p>
    <w:p w14:paraId="2D409120" w14:textId="77777777" w:rsidR="00CB32FF" w:rsidRDefault="00CB32FF" w:rsidP="00CB32FF">
      <w:pPr>
        <w:pStyle w:val="Default"/>
        <w:ind w:left="1440" w:hanging="360"/>
        <w:rPr>
          <w:color w:val="auto"/>
          <w:sz w:val="22"/>
          <w:szCs w:val="22"/>
        </w:rPr>
      </w:pPr>
    </w:p>
    <w:p w14:paraId="210C3C70" w14:textId="77777777" w:rsidR="00CB32FF" w:rsidRDefault="00CB32FF" w:rsidP="00CB32FF">
      <w:pPr>
        <w:pStyle w:val="Default"/>
        <w:ind w:left="1440" w:hanging="360"/>
        <w:rPr>
          <w:color w:val="auto"/>
          <w:sz w:val="22"/>
          <w:szCs w:val="22"/>
        </w:rPr>
      </w:pPr>
      <w:r>
        <w:rPr>
          <w:color w:val="auto"/>
          <w:sz w:val="22"/>
          <w:szCs w:val="22"/>
        </w:rPr>
        <w:t>4.</w:t>
      </w:r>
      <w:r>
        <w:rPr>
          <w:color w:val="auto"/>
          <w:sz w:val="22"/>
          <w:szCs w:val="22"/>
        </w:rPr>
        <w:tab/>
      </w:r>
      <w:r w:rsidRPr="5AD37941">
        <w:rPr>
          <w:color w:val="auto"/>
          <w:sz w:val="22"/>
          <w:szCs w:val="22"/>
        </w:rPr>
        <w:t>A summary of the results of any completed projects</w:t>
      </w:r>
      <w:r>
        <w:rPr>
          <w:color w:val="auto"/>
          <w:sz w:val="22"/>
          <w:szCs w:val="22"/>
        </w:rPr>
        <w:t>.</w:t>
      </w:r>
    </w:p>
    <w:p w14:paraId="6D7756EC" w14:textId="77777777" w:rsidR="00CB32FF" w:rsidRDefault="00CB32FF" w:rsidP="00CB32FF">
      <w:pPr>
        <w:pStyle w:val="Default"/>
        <w:ind w:left="1080"/>
        <w:rPr>
          <w:b/>
          <w:bCs/>
          <w:color w:val="auto"/>
          <w:sz w:val="22"/>
          <w:szCs w:val="22"/>
        </w:rPr>
      </w:pPr>
    </w:p>
    <w:p w14:paraId="164E8B75" w14:textId="77777777" w:rsidR="00CB32FF" w:rsidRDefault="00CB32FF" w:rsidP="00CB32FF">
      <w:pPr>
        <w:pStyle w:val="Default"/>
        <w:numPr>
          <w:ilvl w:val="0"/>
          <w:numId w:val="4"/>
        </w:numPr>
        <w:rPr>
          <w:b/>
          <w:bCs/>
          <w:color w:val="auto"/>
          <w:sz w:val="22"/>
          <w:szCs w:val="22"/>
        </w:rPr>
      </w:pPr>
      <w:r>
        <w:rPr>
          <w:b/>
          <w:bCs/>
          <w:color w:val="auto"/>
          <w:sz w:val="22"/>
          <w:szCs w:val="22"/>
        </w:rPr>
        <w:t>Grantee Responsibilities</w:t>
      </w:r>
    </w:p>
    <w:p w14:paraId="5E48B462" w14:textId="77777777" w:rsidR="00CB32FF" w:rsidRDefault="00CB32FF" w:rsidP="00CB32FF">
      <w:pPr>
        <w:pStyle w:val="Default"/>
        <w:ind w:left="1080"/>
        <w:rPr>
          <w:b/>
          <w:bCs/>
          <w:color w:val="auto"/>
          <w:sz w:val="22"/>
          <w:szCs w:val="22"/>
        </w:rPr>
      </w:pPr>
    </w:p>
    <w:p w14:paraId="263D0C3D" w14:textId="77777777" w:rsidR="00CB32FF" w:rsidRDefault="00CB32FF" w:rsidP="00CB32FF">
      <w:pPr>
        <w:pStyle w:val="Default"/>
        <w:ind w:left="1080"/>
        <w:rPr>
          <w:color w:val="auto"/>
          <w:sz w:val="22"/>
          <w:szCs w:val="22"/>
        </w:rPr>
      </w:pPr>
      <w:r w:rsidRPr="0028705E">
        <w:rPr>
          <w:color w:val="auto"/>
          <w:sz w:val="22"/>
          <w:szCs w:val="22"/>
        </w:rPr>
        <w:t xml:space="preserve">Grantees receiving grants under this program shall report to the Department with biannual reports. In reporting to the Department, grant recipients must include the following organizational performance and outcome measures for their programs: </w:t>
      </w:r>
    </w:p>
    <w:p w14:paraId="0F0B4493" w14:textId="77777777" w:rsidR="00CB32FF" w:rsidRDefault="00CB32FF" w:rsidP="00CB32FF">
      <w:pPr>
        <w:pStyle w:val="Default"/>
        <w:ind w:left="1080"/>
        <w:rPr>
          <w:color w:val="auto"/>
          <w:sz w:val="22"/>
          <w:szCs w:val="22"/>
        </w:rPr>
      </w:pPr>
    </w:p>
    <w:p w14:paraId="3E5268A9" w14:textId="77777777" w:rsidR="00CB32FF" w:rsidRPr="001914B1" w:rsidRDefault="00CB32FF" w:rsidP="00CB32FF">
      <w:pPr>
        <w:pStyle w:val="Default"/>
        <w:numPr>
          <w:ilvl w:val="0"/>
          <w:numId w:val="5"/>
        </w:numPr>
        <w:rPr>
          <w:color w:val="auto"/>
          <w:sz w:val="22"/>
          <w:szCs w:val="22"/>
        </w:rPr>
      </w:pPr>
      <w:r w:rsidRPr="5AD37941">
        <w:rPr>
          <w:color w:val="auto"/>
          <w:sz w:val="22"/>
          <w:szCs w:val="22"/>
        </w:rPr>
        <w:t xml:space="preserve">An accounting of the use of all program funds received and expended; </w:t>
      </w:r>
    </w:p>
    <w:p w14:paraId="7A85EA24" w14:textId="77777777" w:rsidR="00CB32FF" w:rsidRDefault="00CB32FF" w:rsidP="00CB32FF">
      <w:pPr>
        <w:pStyle w:val="Default"/>
        <w:rPr>
          <w:color w:val="auto"/>
          <w:sz w:val="22"/>
          <w:szCs w:val="22"/>
        </w:rPr>
      </w:pPr>
    </w:p>
    <w:p w14:paraId="7E74639B" w14:textId="77777777" w:rsidR="00CB32FF" w:rsidRDefault="00CB32FF" w:rsidP="00CB32FF">
      <w:pPr>
        <w:pStyle w:val="Default"/>
        <w:ind w:left="1440" w:hanging="360"/>
        <w:rPr>
          <w:color w:val="auto"/>
          <w:sz w:val="22"/>
          <w:szCs w:val="22"/>
        </w:rPr>
      </w:pPr>
      <w:r>
        <w:rPr>
          <w:color w:val="auto"/>
          <w:sz w:val="22"/>
          <w:szCs w:val="22"/>
        </w:rPr>
        <w:t>2.</w:t>
      </w:r>
      <w:r>
        <w:rPr>
          <w:color w:val="auto"/>
          <w:sz w:val="22"/>
          <w:szCs w:val="22"/>
        </w:rPr>
        <w:tab/>
        <w:t>Summary of activity;</w:t>
      </w:r>
      <w:r w:rsidRPr="5AD37941">
        <w:rPr>
          <w:color w:val="auto"/>
          <w:sz w:val="22"/>
          <w:szCs w:val="22"/>
        </w:rPr>
        <w:t xml:space="preserve"> </w:t>
      </w:r>
    </w:p>
    <w:p w14:paraId="521E2D50" w14:textId="77777777" w:rsidR="00CB32FF" w:rsidRDefault="00CB32FF" w:rsidP="00CB32FF">
      <w:pPr>
        <w:pStyle w:val="Default"/>
        <w:ind w:left="1440" w:hanging="360"/>
        <w:rPr>
          <w:color w:val="auto"/>
          <w:sz w:val="22"/>
          <w:szCs w:val="22"/>
        </w:rPr>
      </w:pPr>
    </w:p>
    <w:p w14:paraId="6ABD4794" w14:textId="77777777" w:rsidR="00CB32FF" w:rsidRDefault="00CB32FF" w:rsidP="00CB32FF">
      <w:pPr>
        <w:pStyle w:val="Default"/>
        <w:ind w:left="1440" w:hanging="360"/>
        <w:rPr>
          <w:color w:val="auto"/>
          <w:sz w:val="22"/>
          <w:szCs w:val="22"/>
        </w:rPr>
      </w:pPr>
      <w:r>
        <w:rPr>
          <w:color w:val="auto"/>
          <w:sz w:val="22"/>
          <w:szCs w:val="22"/>
        </w:rPr>
        <w:t>3.</w:t>
      </w:r>
      <w:r>
        <w:rPr>
          <w:color w:val="auto"/>
          <w:sz w:val="22"/>
          <w:szCs w:val="22"/>
        </w:rPr>
        <w:tab/>
        <w:t xml:space="preserve">Summary of expenses; </w:t>
      </w:r>
      <w:r w:rsidRPr="5AD37941">
        <w:rPr>
          <w:color w:val="auto"/>
          <w:sz w:val="22"/>
          <w:szCs w:val="22"/>
        </w:rPr>
        <w:t xml:space="preserve"> </w:t>
      </w:r>
    </w:p>
    <w:p w14:paraId="7A6FD9B8" w14:textId="77777777" w:rsidR="00CB32FF" w:rsidRDefault="00CB32FF" w:rsidP="00CB32FF">
      <w:pPr>
        <w:pStyle w:val="Default"/>
        <w:ind w:left="1440" w:hanging="360"/>
        <w:rPr>
          <w:color w:val="auto"/>
          <w:sz w:val="22"/>
          <w:szCs w:val="22"/>
        </w:rPr>
      </w:pPr>
    </w:p>
    <w:p w14:paraId="300069B2" w14:textId="77777777" w:rsidR="00CB32FF" w:rsidRDefault="00CB32FF" w:rsidP="00CB32FF">
      <w:pPr>
        <w:pStyle w:val="Default"/>
        <w:ind w:left="1440" w:hanging="360"/>
        <w:rPr>
          <w:color w:val="auto"/>
          <w:sz w:val="22"/>
          <w:szCs w:val="22"/>
        </w:rPr>
      </w:pPr>
      <w:r>
        <w:rPr>
          <w:color w:val="auto"/>
          <w:sz w:val="22"/>
          <w:szCs w:val="22"/>
        </w:rPr>
        <w:t>4.</w:t>
      </w:r>
      <w:r>
        <w:rPr>
          <w:color w:val="auto"/>
          <w:sz w:val="22"/>
          <w:szCs w:val="22"/>
        </w:rPr>
        <w:tab/>
        <w:t>Budget breakdown;</w:t>
      </w:r>
    </w:p>
    <w:p w14:paraId="1AE3A343" w14:textId="77777777" w:rsidR="00CB32FF" w:rsidRDefault="00CB32FF" w:rsidP="00CB32FF">
      <w:pPr>
        <w:pStyle w:val="Default"/>
        <w:ind w:left="1440" w:hanging="360"/>
        <w:rPr>
          <w:color w:val="auto"/>
          <w:sz w:val="22"/>
          <w:szCs w:val="22"/>
        </w:rPr>
      </w:pPr>
    </w:p>
    <w:p w14:paraId="29FB13C3" w14:textId="77777777" w:rsidR="00CB32FF" w:rsidRDefault="00CB32FF" w:rsidP="00CB32FF">
      <w:pPr>
        <w:pStyle w:val="Default"/>
        <w:ind w:left="1440" w:hanging="360"/>
        <w:rPr>
          <w:color w:val="auto"/>
          <w:sz w:val="22"/>
          <w:szCs w:val="22"/>
        </w:rPr>
      </w:pPr>
      <w:r>
        <w:rPr>
          <w:color w:val="auto"/>
          <w:sz w:val="22"/>
          <w:szCs w:val="22"/>
        </w:rPr>
        <w:t>5.</w:t>
      </w:r>
      <w:r>
        <w:rPr>
          <w:color w:val="auto"/>
          <w:sz w:val="22"/>
          <w:szCs w:val="22"/>
        </w:rPr>
        <w:tab/>
        <w:t>Changes to original application/intended use of funds; and</w:t>
      </w:r>
    </w:p>
    <w:p w14:paraId="2031F230" w14:textId="77777777" w:rsidR="00CB32FF" w:rsidRDefault="00CB32FF" w:rsidP="00CB32FF">
      <w:pPr>
        <w:pStyle w:val="Default"/>
        <w:ind w:left="1440" w:hanging="360"/>
        <w:rPr>
          <w:color w:val="auto"/>
          <w:sz w:val="22"/>
          <w:szCs w:val="22"/>
        </w:rPr>
      </w:pPr>
    </w:p>
    <w:p w14:paraId="3724E6D1" w14:textId="77777777" w:rsidR="00CB32FF" w:rsidRDefault="00CB32FF" w:rsidP="00CB32FF">
      <w:pPr>
        <w:pStyle w:val="Default"/>
        <w:ind w:left="1440" w:hanging="360"/>
        <w:rPr>
          <w:color w:val="auto"/>
          <w:sz w:val="22"/>
          <w:szCs w:val="22"/>
        </w:rPr>
      </w:pPr>
      <w:r>
        <w:rPr>
          <w:color w:val="auto"/>
          <w:sz w:val="22"/>
          <w:szCs w:val="22"/>
        </w:rPr>
        <w:t>6.</w:t>
      </w:r>
      <w:r>
        <w:rPr>
          <w:color w:val="auto"/>
          <w:sz w:val="22"/>
          <w:szCs w:val="22"/>
        </w:rPr>
        <w:tab/>
        <w:t xml:space="preserve">Update on target metrics. </w:t>
      </w:r>
    </w:p>
    <w:p w14:paraId="1DB7AF6D" w14:textId="77777777" w:rsidR="00CB32FF" w:rsidRDefault="00CB32FF" w:rsidP="00CB32FF">
      <w:pPr>
        <w:pStyle w:val="Default"/>
        <w:rPr>
          <w:color w:val="auto"/>
          <w:sz w:val="22"/>
          <w:szCs w:val="22"/>
        </w:rPr>
      </w:pPr>
    </w:p>
    <w:p w14:paraId="2AD1B7B9" w14:textId="77777777" w:rsidR="00CB32FF" w:rsidRPr="006A710D" w:rsidRDefault="00CB32FF" w:rsidP="00CB32FF">
      <w:pPr>
        <w:tabs>
          <w:tab w:val="left" w:pos="-1440"/>
          <w:tab w:val="left" w:pos="-720"/>
          <w:tab w:val="left" w:pos="540"/>
          <w:tab w:val="left" w:pos="10440"/>
        </w:tabs>
        <w:ind w:right="360"/>
        <w:rPr>
          <w:rFonts w:ascii="Times New Roman" w:hAnsi="Times New Roman"/>
        </w:rPr>
      </w:pPr>
      <w:r w:rsidRPr="00625117">
        <w:rPr>
          <w:rFonts w:ascii="Times New Roman" w:hAnsi="Times New Roman"/>
          <w:b/>
          <w:bCs/>
        </w:rPr>
        <w:t>STATUTORY AUTHORITY:</w:t>
      </w:r>
      <w:r>
        <w:rPr>
          <w:rFonts w:ascii="Times New Roman" w:hAnsi="Times New Roman"/>
          <w:b/>
          <w:bCs/>
        </w:rPr>
        <w:t xml:space="preserve"> </w:t>
      </w:r>
      <w:r w:rsidRPr="759F6D2C">
        <w:rPr>
          <w:rStyle w:val="normaltextrun"/>
          <w:rFonts w:ascii="Times New Roman" w:hAnsi="Times New Roman"/>
          <w:color w:val="000000" w:themeColor="text1"/>
        </w:rPr>
        <w:t>P.L. 2021, ch. 635</w:t>
      </w:r>
      <w:r>
        <w:rPr>
          <w:rStyle w:val="normaltextrun"/>
          <w:rFonts w:ascii="Times New Roman" w:hAnsi="Times New Roman"/>
          <w:color w:val="000000" w:themeColor="text1"/>
        </w:rPr>
        <w:t xml:space="preserve">, Pt. U codified at 5 M.R.S. </w:t>
      </w:r>
      <w:r>
        <w:rPr>
          <w:rFonts w:ascii="CG Times" w:hAnsi="CG Times"/>
        </w:rPr>
        <w:t xml:space="preserve">§ </w:t>
      </w:r>
      <w:r>
        <w:rPr>
          <w:rStyle w:val="normaltextrun"/>
          <w:rFonts w:ascii="Times New Roman" w:hAnsi="Times New Roman"/>
          <w:color w:val="000000" w:themeColor="text1"/>
        </w:rPr>
        <w:t>13056-J(4)</w:t>
      </w:r>
    </w:p>
    <w:p w14:paraId="4A8206DA" w14:textId="77777777" w:rsidR="00CB32FF" w:rsidRPr="00625117" w:rsidRDefault="00CB32FF" w:rsidP="00CB32FF">
      <w:pPr>
        <w:rPr>
          <w:rFonts w:ascii="Times New Roman" w:hAnsi="Times New Roman"/>
          <w:b/>
          <w:bCs/>
        </w:rPr>
      </w:pPr>
      <w:r w:rsidRPr="00625117">
        <w:rPr>
          <w:rFonts w:ascii="Times New Roman" w:hAnsi="Times New Roman"/>
          <w:b/>
          <w:bCs/>
        </w:rPr>
        <w:t>EFFECTIVE DATE:</w:t>
      </w:r>
    </w:p>
    <w:p w14:paraId="7BA4ED41" w14:textId="77777777" w:rsidR="00576B4D" w:rsidRPr="006173A1" w:rsidRDefault="00576B4D" w:rsidP="005C3D9A">
      <w:pPr>
        <w:tabs>
          <w:tab w:val="left" w:pos="-1440"/>
          <w:tab w:val="left" w:pos="-720"/>
          <w:tab w:val="left" w:pos="4320"/>
          <w:tab w:val="left" w:pos="10440"/>
        </w:tabs>
        <w:ind w:right="360"/>
        <w:rPr>
          <w:rFonts w:ascii="Times New Roman" w:hAnsi="Times New Roman"/>
          <w:sz w:val="16"/>
          <w:szCs w:val="16"/>
        </w:rPr>
      </w:pPr>
    </w:p>
    <w:sectPr w:rsidR="00576B4D" w:rsidRPr="006173A1" w:rsidSect="00B14FD4">
      <w:headerReference w:type="default" r:id="rId8"/>
      <w:footerReference w:type="default" r:id="rId9"/>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8DC8" w14:textId="77777777" w:rsidR="00AB509F" w:rsidRDefault="00AB509F">
      <w:r>
        <w:separator/>
      </w:r>
    </w:p>
  </w:endnote>
  <w:endnote w:type="continuationSeparator" w:id="0">
    <w:p w14:paraId="5545EC86" w14:textId="77777777" w:rsidR="00AB509F" w:rsidRDefault="00AB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45A"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789" w14:textId="77777777" w:rsidR="00AB509F" w:rsidRDefault="00AB509F">
      <w:r>
        <w:rPr>
          <w:sz w:val="24"/>
        </w:rPr>
        <w:separator/>
      </w:r>
    </w:p>
  </w:footnote>
  <w:footnote w:type="continuationSeparator" w:id="0">
    <w:p w14:paraId="7BA3822F" w14:textId="77777777" w:rsidR="00AB509F" w:rsidRDefault="00AB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ADF7"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E1"/>
    <w:multiLevelType w:val="hybridMultilevel"/>
    <w:tmpl w:val="574EA72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A5A2F"/>
    <w:multiLevelType w:val="hybridMultilevel"/>
    <w:tmpl w:val="9AD0C6FC"/>
    <w:lvl w:ilvl="0" w:tplc="EC74B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E85A8F"/>
    <w:multiLevelType w:val="hybridMultilevel"/>
    <w:tmpl w:val="0122B15C"/>
    <w:lvl w:ilvl="0" w:tplc="9AC04434">
      <w:start w:val="1"/>
      <w:numFmt w:val="upp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416924F3"/>
    <w:multiLevelType w:val="hybridMultilevel"/>
    <w:tmpl w:val="591C1B44"/>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59EE36E3"/>
    <w:multiLevelType w:val="hybridMultilevel"/>
    <w:tmpl w:val="D5048EB6"/>
    <w:lvl w:ilvl="0" w:tplc="63B0CD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44141"/>
    <w:rsid w:val="00070A18"/>
    <w:rsid w:val="001030D2"/>
    <w:rsid w:val="001201B9"/>
    <w:rsid w:val="0018192E"/>
    <w:rsid w:val="00194290"/>
    <w:rsid w:val="001B1CC7"/>
    <w:rsid w:val="001C1643"/>
    <w:rsid w:val="001E58BC"/>
    <w:rsid w:val="002133CB"/>
    <w:rsid w:val="00214F6F"/>
    <w:rsid w:val="00236A05"/>
    <w:rsid w:val="00260177"/>
    <w:rsid w:val="002736BC"/>
    <w:rsid w:val="00275E91"/>
    <w:rsid w:val="002B0917"/>
    <w:rsid w:val="002B1125"/>
    <w:rsid w:val="00362682"/>
    <w:rsid w:val="003755FD"/>
    <w:rsid w:val="00396F82"/>
    <w:rsid w:val="00430AED"/>
    <w:rsid w:val="00435191"/>
    <w:rsid w:val="004A226B"/>
    <w:rsid w:val="004D4930"/>
    <w:rsid w:val="00503D45"/>
    <w:rsid w:val="00512362"/>
    <w:rsid w:val="0051348D"/>
    <w:rsid w:val="0055216E"/>
    <w:rsid w:val="00576B4D"/>
    <w:rsid w:val="00593DE3"/>
    <w:rsid w:val="005C3D9A"/>
    <w:rsid w:val="005E0AE6"/>
    <w:rsid w:val="005E235F"/>
    <w:rsid w:val="00605A01"/>
    <w:rsid w:val="00694D06"/>
    <w:rsid w:val="006A1FAE"/>
    <w:rsid w:val="006A710D"/>
    <w:rsid w:val="0070514F"/>
    <w:rsid w:val="00706902"/>
    <w:rsid w:val="00750C06"/>
    <w:rsid w:val="00777527"/>
    <w:rsid w:val="007A532B"/>
    <w:rsid w:val="007F3A60"/>
    <w:rsid w:val="008276B5"/>
    <w:rsid w:val="00846999"/>
    <w:rsid w:val="00867988"/>
    <w:rsid w:val="008938D9"/>
    <w:rsid w:val="008B3CF0"/>
    <w:rsid w:val="00935D71"/>
    <w:rsid w:val="0095400A"/>
    <w:rsid w:val="0095642B"/>
    <w:rsid w:val="00A516C1"/>
    <w:rsid w:val="00A51FF9"/>
    <w:rsid w:val="00A5227E"/>
    <w:rsid w:val="00A62F96"/>
    <w:rsid w:val="00A731B5"/>
    <w:rsid w:val="00A83B7A"/>
    <w:rsid w:val="00AB509F"/>
    <w:rsid w:val="00B13DDD"/>
    <w:rsid w:val="00B14FD4"/>
    <w:rsid w:val="00B3206B"/>
    <w:rsid w:val="00B3323E"/>
    <w:rsid w:val="00B632FB"/>
    <w:rsid w:val="00B73C48"/>
    <w:rsid w:val="00BA13A3"/>
    <w:rsid w:val="00CB32FF"/>
    <w:rsid w:val="00D234FA"/>
    <w:rsid w:val="00D260E2"/>
    <w:rsid w:val="00D410B7"/>
    <w:rsid w:val="00D5298E"/>
    <w:rsid w:val="00D74290"/>
    <w:rsid w:val="00D96AC6"/>
    <w:rsid w:val="00E832E0"/>
    <w:rsid w:val="00E97346"/>
    <w:rsid w:val="00EB0297"/>
    <w:rsid w:val="00ED0C40"/>
    <w:rsid w:val="00F62594"/>
    <w:rsid w:val="00F748D8"/>
    <w:rsid w:val="00F91365"/>
    <w:rsid w:val="00FF7839"/>
    <w:rsid w:val="03F27E04"/>
    <w:rsid w:val="05C84019"/>
    <w:rsid w:val="107E3A9B"/>
    <w:rsid w:val="14B8A568"/>
    <w:rsid w:val="217E071E"/>
    <w:rsid w:val="2AB7A8C7"/>
    <w:rsid w:val="2CABDC00"/>
    <w:rsid w:val="303A328E"/>
    <w:rsid w:val="33D0E543"/>
    <w:rsid w:val="4AF2A4DB"/>
    <w:rsid w:val="4C3684F1"/>
    <w:rsid w:val="4F49E825"/>
    <w:rsid w:val="51B60AFC"/>
    <w:rsid w:val="55C1A4FD"/>
    <w:rsid w:val="598E62EF"/>
    <w:rsid w:val="5AF992AD"/>
    <w:rsid w:val="5DA05B9C"/>
    <w:rsid w:val="678162FA"/>
    <w:rsid w:val="69225420"/>
    <w:rsid w:val="70BD67DF"/>
    <w:rsid w:val="759F6D2C"/>
    <w:rsid w:val="75E3CB6A"/>
    <w:rsid w:val="7EE8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D715"/>
  <w15:docId w15:val="{7A527C82-E653-40B3-A02A-C6908FD6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character" w:styleId="Hyperlink">
    <w:name w:val="Hyperlink"/>
    <w:uiPriority w:val="99"/>
    <w:semiHidden/>
    <w:unhideWhenUsed/>
    <w:rsid w:val="002B0917"/>
    <w:rPr>
      <w:color w:val="0000FF"/>
      <w:u w:val="single"/>
    </w:rPr>
  </w:style>
  <w:style w:type="character" w:customStyle="1" w:styleId="normaltextrun">
    <w:name w:val="normaltextrun"/>
    <w:basedOn w:val="DefaultParagraphFont"/>
    <w:rsid w:val="2AB7A8C7"/>
  </w:style>
  <w:style w:type="character" w:customStyle="1" w:styleId="eop">
    <w:name w:val="eop"/>
    <w:basedOn w:val="DefaultParagraphFont"/>
    <w:rsid w:val="2AB7A8C7"/>
  </w:style>
  <w:style w:type="paragraph" w:customStyle="1" w:styleId="Default">
    <w:name w:val="Default"/>
    <w:rsid w:val="00CB32F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de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5983</Characters>
  <Application>Microsoft Office Word</Application>
  <DocSecurity>0</DocSecurity>
  <Lines>49</Lines>
  <Paragraphs>14</Paragraphs>
  <ScaleCrop>false</ScaleCrop>
  <Company>Secretary of State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Gove, Hilary</cp:lastModifiedBy>
  <cp:revision>5</cp:revision>
  <cp:lastPrinted>2019-08-14T14:23:00Z</cp:lastPrinted>
  <dcterms:created xsi:type="dcterms:W3CDTF">2023-01-26T15:50:00Z</dcterms:created>
  <dcterms:modified xsi:type="dcterms:W3CDTF">2023-02-06T15:46:00Z</dcterms:modified>
</cp:coreProperties>
</file>