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he process used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14A8060B"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$25,000</w:t>
      </w:r>
      <w:r w:rsidR="000F2E9C">
        <w:rPr>
          <w:iCs/>
          <w:color w:val="548DD4" w:themeColor="text2" w:themeTint="99"/>
          <w:spacing w:val="10"/>
        </w:rPr>
        <w:t>,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14:paraId="2421AED2" w14:textId="5C94E576" w:rsidR="008B7362"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13017959" w:history="1">
            <w:r w:rsidR="008B7362" w:rsidRPr="007136AD">
              <w:rPr>
                <w:rStyle w:val="Hyperlink"/>
                <w:rFonts w:ascii="Arial Narrow" w:hAnsi="Arial Narrow"/>
                <w:b/>
                <w:bCs/>
                <w:noProof/>
              </w:rPr>
              <w:t>ARTICLE 1   COMPENSATION AND PAYMENTS</w:t>
            </w:r>
            <w:r w:rsidR="008B7362">
              <w:rPr>
                <w:noProof/>
                <w:webHidden/>
              </w:rPr>
              <w:tab/>
            </w:r>
            <w:r w:rsidR="008B7362">
              <w:rPr>
                <w:noProof/>
                <w:webHidden/>
              </w:rPr>
              <w:fldChar w:fldCharType="begin"/>
            </w:r>
            <w:r w:rsidR="008B7362">
              <w:rPr>
                <w:noProof/>
                <w:webHidden/>
              </w:rPr>
              <w:instrText xml:space="preserve"> PAGEREF _Toc113017959 \h </w:instrText>
            </w:r>
            <w:r w:rsidR="008B7362">
              <w:rPr>
                <w:noProof/>
                <w:webHidden/>
              </w:rPr>
            </w:r>
            <w:r w:rsidR="008B7362">
              <w:rPr>
                <w:noProof/>
                <w:webHidden/>
              </w:rPr>
              <w:fldChar w:fldCharType="separate"/>
            </w:r>
            <w:r w:rsidR="008B7362">
              <w:rPr>
                <w:noProof/>
                <w:webHidden/>
              </w:rPr>
              <w:t>3</w:t>
            </w:r>
            <w:r w:rsidR="008B7362">
              <w:rPr>
                <w:noProof/>
                <w:webHidden/>
              </w:rPr>
              <w:fldChar w:fldCharType="end"/>
            </w:r>
          </w:hyperlink>
        </w:p>
        <w:p w14:paraId="3B3C7B17" w14:textId="12FBD0AD"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0" w:history="1">
            <w:r w:rsidRPr="007136AD">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_Toc113017960 \h </w:instrText>
            </w:r>
            <w:r>
              <w:rPr>
                <w:noProof/>
                <w:webHidden/>
              </w:rPr>
            </w:r>
            <w:r>
              <w:rPr>
                <w:noProof/>
                <w:webHidden/>
              </w:rPr>
              <w:fldChar w:fldCharType="separate"/>
            </w:r>
            <w:r>
              <w:rPr>
                <w:noProof/>
                <w:webHidden/>
              </w:rPr>
              <w:t>5</w:t>
            </w:r>
            <w:r>
              <w:rPr>
                <w:noProof/>
                <w:webHidden/>
              </w:rPr>
              <w:fldChar w:fldCharType="end"/>
            </w:r>
          </w:hyperlink>
        </w:p>
        <w:p w14:paraId="1A4B022A" w14:textId="5266515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1" w:history="1">
            <w:r w:rsidRPr="007136AD">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_Toc113017961 \h </w:instrText>
            </w:r>
            <w:r>
              <w:rPr>
                <w:noProof/>
                <w:webHidden/>
              </w:rPr>
            </w:r>
            <w:r>
              <w:rPr>
                <w:noProof/>
                <w:webHidden/>
              </w:rPr>
              <w:fldChar w:fldCharType="separate"/>
            </w:r>
            <w:r>
              <w:rPr>
                <w:noProof/>
                <w:webHidden/>
              </w:rPr>
              <w:t>5</w:t>
            </w:r>
            <w:r>
              <w:rPr>
                <w:noProof/>
                <w:webHidden/>
              </w:rPr>
              <w:fldChar w:fldCharType="end"/>
            </w:r>
          </w:hyperlink>
        </w:p>
        <w:p w14:paraId="4A9ED2CF" w14:textId="4DEED9D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2" w:history="1">
            <w:r w:rsidRPr="007136AD">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_Toc113017962 \h </w:instrText>
            </w:r>
            <w:r>
              <w:rPr>
                <w:noProof/>
                <w:webHidden/>
              </w:rPr>
            </w:r>
            <w:r>
              <w:rPr>
                <w:noProof/>
                <w:webHidden/>
              </w:rPr>
              <w:fldChar w:fldCharType="separate"/>
            </w:r>
            <w:r>
              <w:rPr>
                <w:noProof/>
                <w:webHidden/>
              </w:rPr>
              <w:t>5</w:t>
            </w:r>
            <w:r>
              <w:rPr>
                <w:noProof/>
                <w:webHidden/>
              </w:rPr>
              <w:fldChar w:fldCharType="end"/>
            </w:r>
          </w:hyperlink>
        </w:p>
        <w:p w14:paraId="4A0A28F7" w14:textId="4CBFDAC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3" w:history="1">
            <w:r w:rsidRPr="007136AD">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_Toc113017963 \h </w:instrText>
            </w:r>
            <w:r>
              <w:rPr>
                <w:noProof/>
                <w:webHidden/>
              </w:rPr>
            </w:r>
            <w:r>
              <w:rPr>
                <w:noProof/>
                <w:webHidden/>
              </w:rPr>
              <w:fldChar w:fldCharType="separate"/>
            </w:r>
            <w:r>
              <w:rPr>
                <w:noProof/>
                <w:webHidden/>
              </w:rPr>
              <w:t>12</w:t>
            </w:r>
            <w:r>
              <w:rPr>
                <w:noProof/>
                <w:webHidden/>
              </w:rPr>
              <w:fldChar w:fldCharType="end"/>
            </w:r>
          </w:hyperlink>
        </w:p>
        <w:p w14:paraId="02D25670" w14:textId="30AE1A48"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4" w:history="1">
            <w:r w:rsidRPr="007136AD">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_Toc113017964 \h </w:instrText>
            </w:r>
            <w:r>
              <w:rPr>
                <w:noProof/>
                <w:webHidden/>
              </w:rPr>
            </w:r>
            <w:r>
              <w:rPr>
                <w:noProof/>
                <w:webHidden/>
              </w:rPr>
              <w:fldChar w:fldCharType="separate"/>
            </w:r>
            <w:r>
              <w:rPr>
                <w:noProof/>
                <w:webHidden/>
              </w:rPr>
              <w:t>13</w:t>
            </w:r>
            <w:r>
              <w:rPr>
                <w:noProof/>
                <w:webHidden/>
              </w:rPr>
              <w:fldChar w:fldCharType="end"/>
            </w:r>
          </w:hyperlink>
        </w:p>
        <w:p w14:paraId="5A4ABDD5" w14:textId="1B1D0942"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5" w:history="1">
            <w:r w:rsidRPr="007136AD">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_Toc113017965 \h </w:instrText>
            </w:r>
            <w:r>
              <w:rPr>
                <w:noProof/>
                <w:webHidden/>
              </w:rPr>
            </w:r>
            <w:r>
              <w:rPr>
                <w:noProof/>
                <w:webHidden/>
              </w:rPr>
              <w:fldChar w:fldCharType="separate"/>
            </w:r>
            <w:r>
              <w:rPr>
                <w:noProof/>
                <w:webHidden/>
              </w:rPr>
              <w:t>14</w:t>
            </w:r>
            <w:r>
              <w:rPr>
                <w:noProof/>
                <w:webHidden/>
              </w:rPr>
              <w:fldChar w:fldCharType="end"/>
            </w:r>
          </w:hyperlink>
        </w:p>
        <w:p w14:paraId="00618899" w14:textId="4E112EB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6" w:history="1">
            <w:r w:rsidRPr="007136AD">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_Toc113017966 \h </w:instrText>
            </w:r>
            <w:r>
              <w:rPr>
                <w:noProof/>
                <w:webHidden/>
              </w:rPr>
            </w:r>
            <w:r>
              <w:rPr>
                <w:noProof/>
                <w:webHidden/>
              </w:rPr>
              <w:fldChar w:fldCharType="separate"/>
            </w:r>
            <w:r>
              <w:rPr>
                <w:noProof/>
                <w:webHidden/>
              </w:rPr>
              <w:t>14</w:t>
            </w:r>
            <w:r>
              <w:rPr>
                <w:noProof/>
                <w:webHidden/>
              </w:rPr>
              <w:fldChar w:fldCharType="end"/>
            </w:r>
          </w:hyperlink>
        </w:p>
        <w:p w14:paraId="38C2157F" w14:textId="75AC4E8F"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7" w:history="1">
            <w:r w:rsidRPr="007136AD">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_Toc113017967 \h </w:instrText>
            </w:r>
            <w:r>
              <w:rPr>
                <w:noProof/>
                <w:webHidden/>
              </w:rPr>
            </w:r>
            <w:r>
              <w:rPr>
                <w:noProof/>
                <w:webHidden/>
              </w:rPr>
              <w:fldChar w:fldCharType="separate"/>
            </w:r>
            <w:r>
              <w:rPr>
                <w:noProof/>
                <w:webHidden/>
              </w:rPr>
              <w:t>15</w:t>
            </w:r>
            <w:r>
              <w:rPr>
                <w:noProof/>
                <w:webHidden/>
              </w:rPr>
              <w:fldChar w:fldCharType="end"/>
            </w:r>
          </w:hyperlink>
        </w:p>
        <w:p w14:paraId="08BF80A8" w14:textId="309D55B1"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8" w:history="1">
            <w:r w:rsidRPr="007136AD">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_Toc113017968 \h </w:instrText>
            </w:r>
            <w:r>
              <w:rPr>
                <w:noProof/>
                <w:webHidden/>
              </w:rPr>
            </w:r>
            <w:r>
              <w:rPr>
                <w:noProof/>
                <w:webHidden/>
              </w:rPr>
              <w:fldChar w:fldCharType="separate"/>
            </w:r>
            <w:r>
              <w:rPr>
                <w:noProof/>
                <w:webHidden/>
              </w:rPr>
              <w:t>16</w:t>
            </w:r>
            <w:r>
              <w:rPr>
                <w:noProof/>
                <w:webHidden/>
              </w:rPr>
              <w:fldChar w:fldCharType="end"/>
            </w:r>
          </w:hyperlink>
        </w:p>
        <w:p w14:paraId="35B774E3" w14:textId="1E41E4A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9" w:history="1">
            <w:r w:rsidRPr="007136AD">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_Toc113017969 \h </w:instrText>
            </w:r>
            <w:r>
              <w:rPr>
                <w:noProof/>
                <w:webHidden/>
              </w:rPr>
            </w:r>
            <w:r>
              <w:rPr>
                <w:noProof/>
                <w:webHidden/>
              </w:rPr>
              <w:fldChar w:fldCharType="separate"/>
            </w:r>
            <w:r>
              <w:rPr>
                <w:noProof/>
                <w:webHidden/>
              </w:rPr>
              <w:t>16</w:t>
            </w:r>
            <w:r>
              <w:rPr>
                <w:noProof/>
                <w:webHidden/>
              </w:rPr>
              <w:fldChar w:fldCharType="end"/>
            </w:r>
          </w:hyperlink>
        </w:p>
        <w:p w14:paraId="5A0C09B8" w14:textId="7A92C08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0" w:history="1">
            <w:r w:rsidRPr="007136AD">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_Toc113017970 \h </w:instrText>
            </w:r>
            <w:r>
              <w:rPr>
                <w:noProof/>
                <w:webHidden/>
              </w:rPr>
            </w:r>
            <w:r>
              <w:rPr>
                <w:noProof/>
                <w:webHidden/>
              </w:rPr>
              <w:fldChar w:fldCharType="separate"/>
            </w:r>
            <w:r>
              <w:rPr>
                <w:noProof/>
                <w:webHidden/>
              </w:rPr>
              <w:t>17</w:t>
            </w:r>
            <w:r>
              <w:rPr>
                <w:noProof/>
                <w:webHidden/>
              </w:rPr>
              <w:fldChar w:fldCharType="end"/>
            </w:r>
          </w:hyperlink>
        </w:p>
        <w:p w14:paraId="1ADDCF35" w14:textId="32CAF56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1" w:history="1">
            <w:r w:rsidRPr="007136AD">
              <w:rPr>
                <w:rStyle w:val="Hyperlink"/>
                <w:rFonts w:ascii="Arial Narrow" w:hAnsi="Arial Narrow"/>
                <w:b/>
                <w:bCs/>
                <w:noProof/>
              </w:rPr>
              <w:t>ARTICLE 13   ATTACHMENTS</w:t>
            </w:r>
            <w:r>
              <w:rPr>
                <w:noProof/>
                <w:webHidden/>
              </w:rPr>
              <w:tab/>
            </w:r>
            <w:r>
              <w:rPr>
                <w:noProof/>
                <w:webHidden/>
              </w:rPr>
              <w:fldChar w:fldCharType="begin"/>
            </w:r>
            <w:r>
              <w:rPr>
                <w:noProof/>
                <w:webHidden/>
              </w:rPr>
              <w:instrText xml:space="preserve"> PAGEREF _Toc113017971 \h </w:instrText>
            </w:r>
            <w:r>
              <w:rPr>
                <w:noProof/>
                <w:webHidden/>
              </w:rPr>
            </w:r>
            <w:r>
              <w:rPr>
                <w:noProof/>
                <w:webHidden/>
              </w:rPr>
              <w:fldChar w:fldCharType="separate"/>
            </w:r>
            <w:r>
              <w:rPr>
                <w:noProof/>
                <w:webHidden/>
              </w:rPr>
              <w:t>17</w:t>
            </w:r>
            <w:r>
              <w:rPr>
                <w:noProof/>
                <w:webHidden/>
              </w:rPr>
              <w:fldChar w:fldCharType="end"/>
            </w:r>
          </w:hyperlink>
        </w:p>
        <w:p w14:paraId="4A62E54B" w14:textId="5527201C"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2" w:history="1">
            <w:r w:rsidRPr="007136AD">
              <w:rPr>
                <w:rStyle w:val="Hyperlink"/>
                <w:noProof/>
              </w:rPr>
              <w:t>Signature Sheet</w:t>
            </w:r>
            <w:r>
              <w:rPr>
                <w:noProof/>
                <w:webHidden/>
              </w:rPr>
              <w:tab/>
            </w:r>
            <w:r>
              <w:rPr>
                <w:noProof/>
                <w:webHidden/>
              </w:rPr>
              <w:fldChar w:fldCharType="begin"/>
            </w:r>
            <w:r>
              <w:rPr>
                <w:noProof/>
                <w:webHidden/>
              </w:rPr>
              <w:instrText xml:space="preserve"> PAGEREF _Toc113017972 \h </w:instrText>
            </w:r>
            <w:r>
              <w:rPr>
                <w:noProof/>
                <w:webHidden/>
              </w:rPr>
            </w:r>
            <w:r>
              <w:rPr>
                <w:noProof/>
                <w:webHidden/>
              </w:rPr>
              <w:fldChar w:fldCharType="separate"/>
            </w:r>
            <w:r>
              <w:rPr>
                <w:noProof/>
                <w:webHidden/>
              </w:rPr>
              <w:t>19</w:t>
            </w:r>
            <w:r>
              <w:rPr>
                <w:noProof/>
                <w:webHidden/>
              </w:rPr>
              <w:fldChar w:fldCharType="end"/>
            </w:r>
          </w:hyperlink>
        </w:p>
        <w:p w14:paraId="4EFDDA48" w14:textId="4F033B32"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11301795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EC433D" w:rsidRPr="004569BA">
        <w:rPr>
          <w:b/>
          <w:i/>
          <w:sz w:val="24"/>
          <w:szCs w:val="24"/>
          <w:u w:val="single"/>
        </w:rPr>
      </w:r>
      <w:r w:rsidR="00EC433D" w:rsidRPr="004569BA">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Pr="00444760">
        <w:rPr>
          <w:b/>
          <w:iCs/>
          <w:sz w:val="24"/>
          <w:szCs w:val="24"/>
        </w:rPr>
      </w:r>
      <w:r w:rsidRPr="00444760">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457877">
        <w:rPr>
          <w:b/>
          <w:i/>
          <w:sz w:val="24"/>
          <w:szCs w:val="24"/>
          <w:u w:val="single"/>
        </w:rPr>
      </w:r>
      <w:r w:rsidR="00457877">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Pr="008E6850">
        <w:rPr>
          <w:bCs/>
          <w:iCs/>
          <w:sz w:val="24"/>
          <w:szCs w:val="24"/>
        </w:rPr>
      </w:r>
      <w:r w:rsidRPr="008E6850">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shd w:val="clear" w:color="auto" w:fill="auto"/>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shd w:val="clear" w:color="auto" w:fill="auto"/>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shd w:val="clear" w:color="auto" w:fill="auto"/>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shd w:val="clear" w:color="auto" w:fill="auto"/>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shd w:val="clear" w:color="auto" w:fill="auto"/>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861C4A" w:rsidRPr="004569BA">
        <w:rPr>
          <w:b/>
          <w:i/>
          <w:sz w:val="24"/>
          <w:szCs w:val="24"/>
          <w:u w:val="single"/>
        </w:rPr>
      </w:r>
      <w:r w:rsidR="00861C4A" w:rsidRPr="004569BA">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shd w:val="clear" w:color="auto" w:fill="auto"/>
          </w:tcPr>
          <w:p w14:paraId="729C6F45" w14:textId="77777777" w:rsidR="005B1525" w:rsidRPr="00A95B98" w:rsidRDefault="005B1525" w:rsidP="00300465">
            <w:pPr>
              <w:keepNext/>
            </w:pPr>
            <w:r w:rsidRPr="00A95B98">
              <w:rPr>
                <w:rStyle w:val="AIAParagraphNumber"/>
                <w:sz w:val="24"/>
              </w:rPr>
              <w:t>.1</w:t>
            </w:r>
          </w:p>
        </w:tc>
        <w:tc>
          <w:tcPr>
            <w:tcW w:w="6670" w:type="dxa"/>
            <w:shd w:val="clear" w:color="auto" w:fill="auto"/>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shd w:val="clear" w:color="auto" w:fill="auto"/>
          </w:tcPr>
          <w:p w14:paraId="59508E62" w14:textId="77777777" w:rsidR="005B1525" w:rsidRPr="00A95B98" w:rsidRDefault="005B1525" w:rsidP="00300465">
            <w:pPr>
              <w:keepNext/>
            </w:pPr>
            <w:r w:rsidRPr="00A95B98">
              <w:rPr>
                <w:rStyle w:val="AIAParagraphNumber"/>
                <w:sz w:val="24"/>
              </w:rPr>
              <w:t>.2</w:t>
            </w:r>
          </w:p>
        </w:tc>
        <w:tc>
          <w:tcPr>
            <w:tcW w:w="6670" w:type="dxa"/>
            <w:shd w:val="clear" w:color="auto" w:fill="auto"/>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shd w:val="clear" w:color="auto" w:fill="auto"/>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shd w:val="clear" w:color="auto" w:fill="auto"/>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shd w:val="clear" w:color="auto" w:fill="auto"/>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shd w:val="clear" w:color="auto" w:fill="auto"/>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shd w:val="clear" w:color="auto" w:fill="auto"/>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shd w:val="clear" w:color="auto" w:fill="auto"/>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shd w:val="clear" w:color="auto" w:fill="auto"/>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shd w:val="clear" w:color="auto" w:fill="auto"/>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shd w:val="clear" w:color="auto" w:fill="auto"/>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shd w:val="clear" w:color="auto" w:fill="auto"/>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shd w:val="clear" w:color="auto" w:fill="auto"/>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shd w:val="clear" w:color="auto" w:fill="auto"/>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shd w:val="clear" w:color="auto" w:fill="auto"/>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11301796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11301796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shd w:val="clear" w:color="auto" w:fill="auto"/>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shd w:val="clear" w:color="auto" w:fill="auto"/>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shd w:val="clear" w:color="auto" w:fill="auto"/>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shd w:val="clear" w:color="auto" w:fill="auto"/>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shd w:val="clear" w:color="auto" w:fill="auto"/>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shd w:val="clear" w:color="auto" w:fill="auto"/>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shd w:val="clear" w:color="auto" w:fill="auto"/>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shd w:val="clear" w:color="auto" w:fill="auto"/>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shd w:val="clear" w:color="auto" w:fill="auto"/>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shd w:val="clear" w:color="auto" w:fill="auto"/>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shd w:val="clear" w:color="auto" w:fill="auto"/>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shd w:val="clear" w:color="auto" w:fill="auto"/>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shd w:val="clear" w:color="auto" w:fill="auto"/>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shd w:val="clear" w:color="auto" w:fill="auto"/>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shd w:val="clear" w:color="auto" w:fill="auto"/>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shd w:val="clear" w:color="auto" w:fill="auto"/>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shd w:val="clear" w:color="auto" w:fill="auto"/>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shd w:val="clear" w:color="auto" w:fill="auto"/>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11301796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lastRenderedPageBreak/>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11301796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r w:rsidR="00A867B0">
        <w:rPr>
          <w:sz w:val="24"/>
          <w:szCs w:val="24"/>
        </w:rPr>
        <w:t>covers</w:t>
      </w:r>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11301796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11301796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11301796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11301796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11301796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11301796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11301797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11301797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77777777" w:rsidR="00861F19" w:rsidRPr="00BD273C" w:rsidRDefault="00861F19" w:rsidP="00861F19">
      <w:pPr>
        <w:pStyle w:val="Heading1"/>
        <w:rPr>
          <w:sz w:val="24"/>
          <w:szCs w:val="24"/>
        </w:rPr>
      </w:pPr>
      <w:bookmarkStart w:id="65" w:name="_Toc444167185"/>
      <w:bookmarkStart w:id="66" w:name="_Toc113017972"/>
      <w:r w:rsidRPr="00BD273C">
        <w:rPr>
          <w:sz w:val="24"/>
          <w:szCs w:val="24"/>
        </w:rPr>
        <w:lastRenderedPageBreak/>
        <w:t>Signature Sheet</w:t>
      </w:r>
      <w:bookmarkEnd w:id="65"/>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56D00FCF" w:rsidR="00CD66F3" w:rsidRPr="00D264C2" w:rsidRDefault="004A1586" w:rsidP="004C0287">
            <w:pPr>
              <w:pStyle w:val="AIAItalics"/>
              <w:keepNext/>
              <w:keepLines/>
              <w:tabs>
                <w:tab w:val="left" w:pos="2870"/>
              </w:tabs>
              <w:rPr>
                <w:sz w:val="24"/>
                <w:szCs w:val="24"/>
              </w:rPr>
            </w:pPr>
            <w:r>
              <w:rPr>
                <w:sz w:val="24"/>
                <w:szCs w:val="24"/>
              </w:rPr>
              <w:t>John Kenney</w:t>
            </w:r>
            <w:r w:rsidR="00A27964">
              <w:rPr>
                <w:sz w:val="24"/>
                <w:szCs w:val="24"/>
              </w:rPr>
              <w:t>, P.E.</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24AF377B" w:rsidR="00CD66F3" w:rsidRPr="00D264C2" w:rsidRDefault="004A1586" w:rsidP="004A1586">
            <w:pPr>
              <w:pStyle w:val="AIAItalics"/>
              <w:keepNext/>
              <w:keepLines/>
              <w:tabs>
                <w:tab w:val="left" w:pos="2870"/>
              </w:tabs>
              <w:rPr>
                <w:sz w:val="24"/>
                <w:szCs w:val="24"/>
              </w:rPr>
            </w:pPr>
            <w:r w:rsidRPr="004A1586">
              <w:rPr>
                <w:sz w:val="24"/>
                <w:szCs w:val="24"/>
              </w:rPr>
              <w:t>Director, Planning Design and Construction Division (PDCD)</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D08" w14:textId="6848F212"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06E32">
      <w:rPr>
        <w:rFonts w:ascii="Arial" w:hAnsi="Arial" w:cs="Arial"/>
        <w:noProof/>
        <w:sz w:val="16"/>
        <w:szCs w:val="16"/>
      </w:rPr>
      <w:t xml:space="preserve">BGS Architect Engineer Agreement - Design Consulting Services </w:t>
    </w:r>
    <w:r w:rsidR="00B052D7">
      <w:rPr>
        <w:rFonts w:ascii="Arial" w:hAnsi="Arial" w:cs="Arial"/>
        <w:noProof/>
        <w:sz w:val="16"/>
        <w:szCs w:val="16"/>
      </w:rPr>
      <w:t>1</w:t>
    </w:r>
    <w:r w:rsidR="005D4C0C">
      <w:rPr>
        <w:rFonts w:ascii="Arial" w:hAnsi="Arial" w:cs="Arial"/>
        <w:noProof/>
        <w:sz w:val="16"/>
        <w:szCs w:val="16"/>
      </w:rPr>
      <w:t>6 Dec</w:t>
    </w:r>
    <w:r w:rsidR="00CA11A4">
      <w:rPr>
        <w:rFonts w:ascii="Arial" w:hAnsi="Arial" w:cs="Arial"/>
        <w:noProof/>
        <w:sz w:val="16"/>
        <w:szCs w:val="16"/>
      </w:rPr>
      <w:t>em</w:t>
    </w:r>
    <w:r w:rsidR="00D54435">
      <w:rPr>
        <w:rFonts w:ascii="Arial" w:hAnsi="Arial" w:cs="Arial"/>
        <w:noProof/>
        <w:sz w:val="16"/>
        <w:szCs w:val="16"/>
      </w:rPr>
      <w:t>ber</w:t>
    </w:r>
    <w:r w:rsidR="00906E32">
      <w:rPr>
        <w:rFonts w:ascii="Arial" w:hAnsi="Arial" w:cs="Arial"/>
        <w:noProof/>
        <w:sz w:val="16"/>
        <w:szCs w:val="16"/>
      </w:rPr>
      <w:t xml:space="preserve"> 2024.docx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73E" w14:textId="5361678E"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B052D7">
      <w:rPr>
        <w:rFonts w:ascii="Arial" w:hAnsi="Arial" w:cs="Arial"/>
        <w:noProof/>
        <w:sz w:val="16"/>
        <w:szCs w:val="16"/>
      </w:rPr>
      <w:t>1</w:t>
    </w:r>
    <w:r w:rsidR="005D4C0C">
      <w:rPr>
        <w:rFonts w:ascii="Arial" w:hAnsi="Arial" w:cs="Arial"/>
        <w:noProof/>
        <w:sz w:val="16"/>
        <w:szCs w:val="16"/>
      </w:rPr>
      <w:t>6</w:t>
    </w:r>
    <w:r w:rsidR="00CA11A4">
      <w:rPr>
        <w:rFonts w:ascii="Arial" w:hAnsi="Arial" w:cs="Arial"/>
        <w:noProof/>
        <w:sz w:val="16"/>
        <w:szCs w:val="16"/>
      </w:rPr>
      <w:t xml:space="preserve"> </w:t>
    </w:r>
    <w:r w:rsidR="005D4C0C">
      <w:rPr>
        <w:rFonts w:ascii="Arial" w:hAnsi="Arial" w:cs="Arial"/>
        <w:noProof/>
        <w:sz w:val="16"/>
        <w:szCs w:val="16"/>
      </w:rPr>
      <w:t>Dec</w:t>
    </w:r>
    <w:r w:rsidR="00CA11A4">
      <w:rPr>
        <w:rFonts w:ascii="Arial" w:hAnsi="Arial" w:cs="Arial"/>
        <w:noProof/>
        <w:sz w:val="16"/>
        <w:szCs w:val="16"/>
      </w:rPr>
      <w:t>ember</w:t>
    </w:r>
    <w:r w:rsidR="00D37496">
      <w:rPr>
        <w:rFonts w:ascii="Arial" w:hAnsi="Arial" w:cs="Arial"/>
        <w:noProof/>
        <w:sz w:val="16"/>
        <w:szCs w:val="16"/>
      </w:rPr>
      <w:t xml:space="preserve"> 202</w:t>
    </w:r>
    <w:r w:rsidR="00611E66">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GXemfMhjzCOlnvp1Oq2I7q73VRiFAI6RU+og80h1JEsb/HldN/CJGaS/979KVUojjtvys++Z5766q+SUKeCQ==" w:salt="s/YmCZG+QI/R6zxjdVLFDg=="/>
  <w:defaultTabStop w:val="720"/>
  <w:characterSpacingControl w:val="doNotCompress"/>
  <w:hdrShapeDefaults>
    <o:shapedefaults v:ext="edit" spidmax="187393">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BF9"/>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67DB"/>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A03"/>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02D0"/>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1ACB"/>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586"/>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BC8"/>
    <w:rsid w:val="00520C9F"/>
    <w:rsid w:val="005219A4"/>
    <w:rsid w:val="00522E82"/>
    <w:rsid w:val="00525417"/>
    <w:rsid w:val="005266CC"/>
    <w:rsid w:val="005266F8"/>
    <w:rsid w:val="00526C10"/>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4C0C"/>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0770"/>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1568"/>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0DDB"/>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399"/>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64"/>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7A1"/>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2D7"/>
    <w:rsid w:val="00B0553B"/>
    <w:rsid w:val="00B05C2B"/>
    <w:rsid w:val="00B079D9"/>
    <w:rsid w:val="00B106F8"/>
    <w:rsid w:val="00B10B68"/>
    <w:rsid w:val="00B10ECF"/>
    <w:rsid w:val="00B1106E"/>
    <w:rsid w:val="00B12182"/>
    <w:rsid w:val="00B121A5"/>
    <w:rsid w:val="00B122DA"/>
    <w:rsid w:val="00B12FA9"/>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1A4"/>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203A"/>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0D9F"/>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7674</Words>
  <Characters>43748</Characters>
  <Application>Microsoft Office Word</Application>
  <DocSecurity>4</DocSecurity>
  <Lines>364</Lines>
  <Paragraphs>102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2016-06-20T12:16:00Z</cp:lastPrinted>
  <dcterms:created xsi:type="dcterms:W3CDTF">2024-12-13T13:59:00Z</dcterms:created>
  <dcterms:modified xsi:type="dcterms:W3CDTF">2024-12-13T13:59:00Z</dcterms:modified>
</cp:coreProperties>
</file>