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95F57D2" w:rsidR="00ED0523" w:rsidRPr="00C97934" w:rsidRDefault="00A336D4"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619788EC" w:rsidR="00ED0523" w:rsidRPr="00A336D4" w:rsidRDefault="00A336D4"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45D713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C55E6">
        <w:rPr>
          <w:rStyle w:val="InitialStyle"/>
          <w:rFonts w:ascii="Arial" w:hAnsi="Arial" w:cs="Arial"/>
          <w:b/>
          <w:bCs/>
          <w:sz w:val="32"/>
          <w:szCs w:val="32"/>
        </w:rPr>
        <w:t xml:space="preserve"> 202404093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2DC265E" w:rsidR="00ED0523" w:rsidRPr="00A336D4" w:rsidRDefault="00A336D4"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Consulting Services – </w:t>
      </w:r>
      <w:r w:rsidR="00384846">
        <w:rPr>
          <w:rStyle w:val="InitialStyle"/>
          <w:rFonts w:ascii="Arial" w:hAnsi="Arial" w:cs="Arial"/>
          <w:b/>
          <w:bCs/>
          <w:sz w:val="32"/>
          <w:szCs w:val="32"/>
        </w:rPr>
        <w:t>Future Use of Natural Gas in Maine</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36FE957" w:rsidR="00ED0523" w:rsidRPr="00FF03CB"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00FF03CB">
              <w:rPr>
                <w:rFonts w:ascii="Arial" w:eastAsia="Calibri" w:hAnsi="Arial" w:cs="Arial"/>
                <w:b/>
                <w:sz w:val="24"/>
                <w:szCs w:val="24"/>
                <w:u w:val="single"/>
              </w:rPr>
              <w:t xml:space="preserve">: </w:t>
            </w:r>
            <w:r w:rsidR="00FF03CB">
              <w:rPr>
                <w:rFonts w:ascii="Arial" w:eastAsia="Calibri" w:hAnsi="Arial" w:cs="Arial"/>
                <w:b/>
                <w:sz w:val="24"/>
                <w:szCs w:val="24"/>
              </w:rPr>
              <w:t xml:space="preserve"> </w:t>
            </w:r>
            <w:r w:rsidR="00FF03CB" w:rsidRPr="00FF03CB">
              <w:rPr>
                <w:rFonts w:ascii="Arial" w:eastAsia="Calibri" w:hAnsi="Arial" w:cs="Arial"/>
                <w:bCs/>
                <w:sz w:val="24"/>
                <w:szCs w:val="24"/>
              </w:rPr>
              <w:t>Kristina R. Winther</w:t>
            </w:r>
            <w:r w:rsidRPr="00FF03CB">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F03CB">
              <w:rPr>
                <w:rFonts w:ascii="Arial" w:eastAsia="Calibri" w:hAnsi="Arial" w:cs="Arial"/>
                <w:sz w:val="24"/>
                <w:szCs w:val="24"/>
              </w:rPr>
              <w:t>Senior Counsel</w:t>
            </w:r>
          </w:p>
          <w:p w14:paraId="300D1A4B" w14:textId="73C0335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6C55E6" w:rsidRPr="00272E0F">
                <w:rPr>
                  <w:rStyle w:val="Hyperlink"/>
                  <w:rFonts w:ascii="Arial" w:eastAsia="Calibri" w:hAnsi="Arial" w:cs="Arial"/>
                  <w:sz w:val="24"/>
                  <w:szCs w:val="24"/>
                </w:rPr>
                <w:t>Kristina.r.winther@maine.gov</w:t>
              </w:r>
            </w:hyperlink>
            <w:r w:rsidR="006C55E6">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77E83B6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53BEB">
              <w:rPr>
                <w:rFonts w:ascii="Arial" w:eastAsia="Calibri" w:hAnsi="Arial" w:cs="Arial"/>
                <w:sz w:val="24"/>
                <w:szCs w:val="24"/>
              </w:rPr>
              <w:t xml:space="preserve">May </w:t>
            </w:r>
            <w:r w:rsidR="00B11F80">
              <w:rPr>
                <w:rFonts w:ascii="Arial" w:eastAsia="Calibri" w:hAnsi="Arial" w:cs="Arial"/>
                <w:sz w:val="24"/>
                <w:szCs w:val="24"/>
              </w:rPr>
              <w:t>8</w:t>
            </w:r>
            <w:r w:rsidR="00453BEB">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7D94F89C"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453BEB">
              <w:rPr>
                <w:rFonts w:ascii="Arial" w:eastAsia="Calibri" w:hAnsi="Arial" w:cs="Arial"/>
                <w:sz w:val="24"/>
                <w:szCs w:val="24"/>
              </w:rPr>
              <w:t xml:space="preserve">May </w:t>
            </w:r>
            <w:r w:rsidR="00B11F80">
              <w:rPr>
                <w:rFonts w:ascii="Arial" w:eastAsia="Calibri" w:hAnsi="Arial" w:cs="Arial"/>
                <w:sz w:val="24"/>
                <w:szCs w:val="24"/>
              </w:rPr>
              <w:t>20</w:t>
            </w:r>
            <w:r w:rsidR="00453BEB">
              <w:rPr>
                <w:rFonts w:ascii="Arial" w:eastAsia="Calibri" w:hAnsi="Arial" w:cs="Arial"/>
                <w:sz w:val="24"/>
                <w:szCs w:val="24"/>
              </w:rPr>
              <w:t>, 2024</w:t>
            </w:r>
            <w:r w:rsidR="00547AC8">
              <w:rPr>
                <w:rFonts w:ascii="Arial" w:eastAsia="Calibri" w:hAnsi="Arial" w:cs="Arial"/>
                <w:sz w:val="24"/>
                <w:szCs w:val="24"/>
              </w:rPr>
              <w:t>,</w:t>
            </w:r>
            <w:r w:rsidRPr="00453BEB">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813A0F">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813A0F">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813A0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DB36EE1" w:rsidR="003652A0" w:rsidRPr="00C97934" w:rsidRDefault="00FF03C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813A0F">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813A0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7B17DC3" w:rsidR="003652A0" w:rsidRPr="00C97934" w:rsidRDefault="00FF03C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813A0F">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813A0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F327B61" w:rsidR="003652A0" w:rsidRPr="00C97934" w:rsidRDefault="00FF03C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813A0F">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813A0F">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813A0F">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813A0F">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813A0F">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813A0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85310DB" w:rsidR="003652A0" w:rsidRPr="00C97934" w:rsidRDefault="005271C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813A0F">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813A0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DDBC312" w:rsidR="003652A0" w:rsidRPr="00C97934" w:rsidRDefault="00B94181"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813A0F">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813A0F">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813A0F">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813A0F">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813A0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AA75510" w:rsidR="003652A0" w:rsidRPr="00C97934" w:rsidRDefault="00073B28"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813A0F">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813A0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8E3AD64" w:rsidR="003652A0" w:rsidRPr="00C97934" w:rsidRDefault="00073B28"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813A0F">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813A0F">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813A0F">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813A0F">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813A0F">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813A0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63DFF43" w:rsidR="003652A0" w:rsidRPr="00C97934" w:rsidRDefault="00073B28"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813A0F">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813A0F">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813A0F">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813A0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37D94C8" w:rsidR="003652A0" w:rsidRPr="00C97934" w:rsidRDefault="00073B28"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813A0F">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813A0F">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813A0F">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813A0F">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813A0F">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813A0F">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813A0F">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813A0F">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ABB1552"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05622C5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6C55E6">
        <w:rPr>
          <w:rStyle w:val="InitialStyle"/>
          <w:rFonts w:ascii="Arial" w:hAnsi="Arial" w:cs="Arial"/>
          <w:b/>
          <w:bCs/>
        </w:rPr>
        <w:t xml:space="preserve"> 202404093</w:t>
      </w:r>
    </w:p>
    <w:p w14:paraId="2B76A760" w14:textId="76497A25"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 xml:space="preserve">Consulting Services – </w:t>
      </w:r>
      <w:r w:rsidR="00384846">
        <w:rPr>
          <w:rStyle w:val="InitialStyle"/>
          <w:rFonts w:ascii="Arial" w:hAnsi="Arial" w:cs="Arial"/>
          <w:b/>
          <w:bCs/>
        </w:rPr>
        <w:t>Future Use of Natural Gas in Maine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3C9CAC7" w:rsidR="00CF7F9C" w:rsidRPr="00FF03CB"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FF03CB">
        <w:rPr>
          <w:rStyle w:val="InitialStyle"/>
          <w:rFonts w:ascii="Arial" w:hAnsi="Arial" w:cs="Arial"/>
          <w:bCs/>
        </w:rPr>
        <w:t xml:space="preserve">consultant services to assist </w:t>
      </w:r>
      <w:proofErr w:type="gramStart"/>
      <w:r w:rsidR="00FF03CB">
        <w:rPr>
          <w:rStyle w:val="InitialStyle"/>
          <w:rFonts w:ascii="Arial" w:hAnsi="Arial" w:cs="Arial"/>
          <w:bCs/>
        </w:rPr>
        <w:t>Office</w:t>
      </w:r>
      <w:proofErr w:type="gramEnd"/>
      <w:r w:rsidR="00FF03CB">
        <w:rPr>
          <w:rStyle w:val="InitialStyle"/>
          <w:rFonts w:ascii="Arial" w:hAnsi="Arial" w:cs="Arial"/>
          <w:bCs/>
        </w:rPr>
        <w:t xml:space="preserve"> of the Public Advocate (OPA</w:t>
      </w:r>
      <w:r w:rsidR="00FF03CB" w:rsidRPr="0062166E">
        <w:rPr>
          <w:rStyle w:val="InitialStyle"/>
          <w:rFonts w:ascii="Arial" w:hAnsi="Arial" w:cs="Arial"/>
          <w:bCs/>
        </w:rPr>
        <w:t xml:space="preserve">) </w:t>
      </w:r>
      <w:r w:rsidR="005333C3">
        <w:rPr>
          <w:rStyle w:val="InitialStyle"/>
          <w:rFonts w:ascii="Arial" w:hAnsi="Arial" w:cs="Arial"/>
          <w:bCs/>
        </w:rPr>
        <w:t>in</w:t>
      </w:r>
      <w:r w:rsidR="00C44ACC" w:rsidRPr="00C44ACC">
        <w:rPr>
          <w:rStyle w:val="InitialStyle"/>
          <w:rFonts w:ascii="Arial" w:hAnsi="Arial" w:cs="Arial"/>
          <w:bCs/>
        </w:rPr>
        <w:t xml:space="preserve"> addressing the future use of natural gas in the </w:t>
      </w:r>
      <w:r w:rsidR="00C44ACC" w:rsidRPr="0062166E">
        <w:rPr>
          <w:rStyle w:val="InitialStyle"/>
          <w:rFonts w:ascii="Arial" w:hAnsi="Arial" w:cs="Arial"/>
          <w:bCs/>
        </w:rPr>
        <w:t>State of Maine.</w:t>
      </w:r>
      <w:r w:rsidR="005333C3">
        <w:rPr>
          <w:rStyle w:val="InitialStyle"/>
          <w:rFonts w:ascii="Arial" w:hAnsi="Arial" w:cs="Arial"/>
          <w:bCs/>
        </w:rPr>
        <w:t xml:space="preserve">  </w:t>
      </w:r>
      <w:r w:rsidR="00FD34C1">
        <w:rPr>
          <w:rStyle w:val="InitialStyle"/>
          <w:rFonts w:ascii="Arial" w:hAnsi="Arial" w:cs="Arial"/>
          <w:bCs/>
        </w:rPr>
        <w:t>Services</w:t>
      </w:r>
      <w:r w:rsidR="005333C3">
        <w:rPr>
          <w:rStyle w:val="InitialStyle"/>
          <w:rFonts w:ascii="Arial" w:hAnsi="Arial" w:cs="Arial"/>
          <w:bCs/>
        </w:rPr>
        <w:t xml:space="preserve"> include researching how the State’s regulatory system for natural gas utilities can help achieve the statutory requirement to “reduce greenhouse gas emissions to levels set forth in </w:t>
      </w:r>
      <w:hyperlink r:id="rId14" w:history="1">
        <w:r w:rsidR="005333C3" w:rsidRPr="00F14E78">
          <w:rPr>
            <w:rStyle w:val="Hyperlink"/>
            <w:rFonts w:ascii="Arial" w:hAnsi="Arial" w:cs="Arial"/>
            <w:bCs/>
          </w:rPr>
          <w:t>Title 38, section 576-A</w:t>
        </w:r>
      </w:hyperlink>
      <w:r w:rsidR="005333C3">
        <w:rPr>
          <w:rStyle w:val="InitialStyle"/>
          <w:rFonts w:ascii="Arial" w:hAnsi="Arial" w:cs="Arial"/>
          <w:bCs/>
        </w:rPr>
        <w:t xml:space="preserve">,” as required in Title </w:t>
      </w:r>
      <w:hyperlink r:id="rId15" w:history="1">
        <w:r w:rsidR="005333C3" w:rsidRPr="00372CBA">
          <w:rPr>
            <w:rStyle w:val="Hyperlink"/>
            <w:rFonts w:ascii="Arial" w:hAnsi="Arial" w:cs="Arial"/>
            <w:bCs/>
          </w:rPr>
          <w:t>35-A M.R.S. Sections 101</w:t>
        </w:r>
      </w:hyperlink>
      <w:r w:rsidR="005333C3">
        <w:rPr>
          <w:rStyle w:val="InitialStyle"/>
          <w:rFonts w:ascii="Arial" w:hAnsi="Arial" w:cs="Arial"/>
          <w:bCs/>
        </w:rPr>
        <w:t xml:space="preserve"> and </w:t>
      </w:r>
      <w:hyperlink r:id="rId16" w:history="1">
        <w:r w:rsidR="005333C3" w:rsidRPr="00372CBA">
          <w:rPr>
            <w:rStyle w:val="Hyperlink"/>
            <w:rFonts w:ascii="Arial" w:hAnsi="Arial" w:cs="Arial"/>
            <w:bCs/>
          </w:rPr>
          <w:t>103-A</w:t>
        </w:r>
      </w:hyperlink>
      <w:r w:rsidR="005333C3">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7"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3DD8F5F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8"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53BEB">
        <w:rPr>
          <w:rStyle w:val="InitialStyle"/>
          <w:rFonts w:ascii="Arial" w:hAnsi="Arial" w:cs="Arial"/>
          <w:bCs/>
        </w:rPr>
        <w:t xml:space="preserve">May </w:t>
      </w:r>
      <w:r w:rsidR="00D15B6C">
        <w:rPr>
          <w:rStyle w:val="InitialStyle"/>
          <w:rFonts w:ascii="Arial" w:hAnsi="Arial" w:cs="Arial"/>
          <w:bCs/>
        </w:rPr>
        <w:t>20</w:t>
      </w:r>
      <w:r w:rsidR="00453BEB">
        <w:rPr>
          <w:rStyle w:val="InitialStyle"/>
          <w:rFonts w:ascii="Arial" w:hAnsi="Arial" w:cs="Arial"/>
          <w:bCs/>
        </w:rPr>
        <w:t>,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5A6458C" w:rsidR="00B51518" w:rsidRPr="00C97934" w:rsidRDefault="00FF03CB" w:rsidP="00B51518">
            <w:pPr>
              <w:pStyle w:val="DefaultText"/>
              <w:widowControl/>
              <w:rPr>
                <w:rStyle w:val="InitialStyle"/>
                <w:rFonts w:ascii="Arial" w:hAnsi="Arial" w:cs="Arial"/>
                <w:bCs/>
              </w:rPr>
            </w:pPr>
            <w:r>
              <w:rPr>
                <w:rStyle w:val="InitialStyle"/>
                <w:rFonts w:ascii="Arial" w:hAnsi="Arial" w:cs="Arial"/>
                <w:bCs/>
              </w:rPr>
              <w:t>Office of the Public Advoca</w:t>
            </w:r>
            <w:r w:rsidR="00020DBA">
              <w:rPr>
                <w:rStyle w:val="InitialStyle"/>
                <w:rFonts w:ascii="Arial" w:hAnsi="Arial" w:cs="Arial"/>
                <w:bCs/>
              </w:rPr>
              <w:t>t</w:t>
            </w:r>
            <w:r>
              <w:rPr>
                <w:rStyle w:val="InitialStyle"/>
                <w:rFonts w:ascii="Arial" w:hAnsi="Arial" w:cs="Arial"/>
                <w:bCs/>
              </w:rPr>
              <w:t>e</w:t>
            </w:r>
          </w:p>
        </w:tc>
      </w:tr>
      <w:tr w:rsidR="00B51518" w:rsidRPr="00C97934" w14:paraId="4B7AEA07" w14:textId="77777777" w:rsidTr="00BA4F52">
        <w:tc>
          <w:tcPr>
            <w:tcW w:w="2497" w:type="dxa"/>
            <w:shd w:val="clear" w:color="auto" w:fill="auto"/>
            <w:vAlign w:val="center"/>
          </w:tcPr>
          <w:p w14:paraId="6E1DBA4E" w14:textId="60944EDB" w:rsidR="00B51518" w:rsidRPr="00C97934" w:rsidRDefault="001E741B" w:rsidP="00E932B5">
            <w:pPr>
              <w:pStyle w:val="DefaultText"/>
              <w:widowControl/>
              <w:rPr>
                <w:rStyle w:val="InitialStyle"/>
                <w:rFonts w:ascii="Arial" w:hAnsi="Arial" w:cs="Arial"/>
                <w:b/>
                <w:bCs/>
              </w:rPr>
            </w:pPr>
            <w:r>
              <w:rPr>
                <w:rStyle w:val="InitialStyle"/>
                <w:rFonts w:ascii="Arial" w:hAnsi="Arial" w:cs="Arial"/>
                <w:b/>
                <w:bCs/>
              </w:rPr>
              <w:t>GHG</w:t>
            </w:r>
          </w:p>
        </w:tc>
        <w:tc>
          <w:tcPr>
            <w:tcW w:w="7645" w:type="dxa"/>
            <w:shd w:val="clear" w:color="auto" w:fill="auto"/>
            <w:vAlign w:val="center"/>
          </w:tcPr>
          <w:p w14:paraId="05814684" w14:textId="5281BD69" w:rsidR="00B51518" w:rsidRPr="00C97934" w:rsidRDefault="001E741B" w:rsidP="00E932B5">
            <w:pPr>
              <w:pStyle w:val="DefaultText"/>
              <w:widowControl/>
              <w:rPr>
                <w:rStyle w:val="InitialStyle"/>
                <w:rFonts w:ascii="Arial" w:hAnsi="Arial" w:cs="Arial"/>
                <w:bCs/>
              </w:rPr>
            </w:pPr>
            <w:r>
              <w:rPr>
                <w:rStyle w:val="InitialStyle"/>
                <w:rFonts w:ascii="Arial" w:hAnsi="Arial" w:cs="Arial"/>
                <w:bCs/>
              </w:rPr>
              <w:t>Greenhouse Gas</w:t>
            </w:r>
          </w:p>
        </w:tc>
      </w:tr>
      <w:tr w:rsidR="00B51518" w:rsidRPr="00C97934" w14:paraId="7DFE3C5E" w14:textId="77777777" w:rsidTr="00BA4F52">
        <w:tc>
          <w:tcPr>
            <w:tcW w:w="2497" w:type="dxa"/>
            <w:shd w:val="clear" w:color="auto" w:fill="auto"/>
            <w:vAlign w:val="center"/>
          </w:tcPr>
          <w:p w14:paraId="4570F199" w14:textId="27D95BC0" w:rsidR="00B51518" w:rsidRPr="00C97934" w:rsidRDefault="001E741B" w:rsidP="00E932B5">
            <w:pPr>
              <w:pStyle w:val="DefaultText"/>
              <w:widowControl/>
              <w:rPr>
                <w:rStyle w:val="InitialStyle"/>
                <w:rFonts w:ascii="Arial" w:hAnsi="Arial" w:cs="Arial"/>
                <w:b/>
                <w:bCs/>
              </w:rPr>
            </w:pPr>
            <w:r>
              <w:rPr>
                <w:rStyle w:val="InitialStyle"/>
                <w:rFonts w:ascii="Arial" w:hAnsi="Arial" w:cs="Arial"/>
                <w:b/>
                <w:bCs/>
              </w:rPr>
              <w:t>MPUC</w:t>
            </w:r>
          </w:p>
        </w:tc>
        <w:tc>
          <w:tcPr>
            <w:tcW w:w="7645" w:type="dxa"/>
            <w:shd w:val="clear" w:color="auto" w:fill="auto"/>
            <w:vAlign w:val="center"/>
          </w:tcPr>
          <w:p w14:paraId="18F1595E" w14:textId="0AA194AD" w:rsidR="00B51518" w:rsidRPr="00C97934" w:rsidRDefault="00FF03CB" w:rsidP="00E932B5">
            <w:pPr>
              <w:pStyle w:val="DefaultText"/>
              <w:widowControl/>
              <w:rPr>
                <w:rStyle w:val="InitialStyle"/>
                <w:rFonts w:ascii="Arial" w:hAnsi="Arial" w:cs="Arial"/>
                <w:bCs/>
              </w:rPr>
            </w:pPr>
            <w:r>
              <w:rPr>
                <w:rStyle w:val="InitialStyle"/>
                <w:rFonts w:ascii="Arial" w:hAnsi="Arial" w:cs="Arial"/>
                <w:bCs/>
              </w:rPr>
              <w:t>Maine Public Utilities Commission</w:t>
            </w:r>
          </w:p>
        </w:tc>
      </w:tr>
      <w:tr w:rsidR="0062166E" w:rsidRPr="00C97934" w14:paraId="0075BE71" w14:textId="77777777" w:rsidTr="00BA4F52">
        <w:tc>
          <w:tcPr>
            <w:tcW w:w="2497" w:type="dxa"/>
            <w:shd w:val="clear" w:color="auto" w:fill="auto"/>
            <w:vAlign w:val="center"/>
          </w:tcPr>
          <w:p w14:paraId="2147DA7F" w14:textId="2B87FDA2" w:rsidR="0062166E" w:rsidRPr="00C97934" w:rsidRDefault="0062166E" w:rsidP="0062166E">
            <w:pPr>
              <w:pStyle w:val="DefaultText"/>
              <w:widowControl/>
              <w:rPr>
                <w:rStyle w:val="InitialStyle"/>
                <w:rFonts w:ascii="Arial" w:hAnsi="Arial" w:cs="Arial"/>
                <w:b/>
                <w:bCs/>
              </w:rPr>
            </w:pPr>
            <w:r>
              <w:rPr>
                <w:rStyle w:val="InitialStyle"/>
                <w:rFonts w:ascii="Arial" w:hAnsi="Arial" w:cs="Arial"/>
                <w:b/>
                <w:bCs/>
              </w:rPr>
              <w:t>NG</w:t>
            </w:r>
          </w:p>
        </w:tc>
        <w:tc>
          <w:tcPr>
            <w:tcW w:w="7645" w:type="dxa"/>
            <w:shd w:val="clear" w:color="auto" w:fill="auto"/>
            <w:vAlign w:val="center"/>
          </w:tcPr>
          <w:p w14:paraId="5C95F8C6" w14:textId="1B1A074C" w:rsidR="0062166E" w:rsidRPr="00C97934" w:rsidRDefault="0062166E" w:rsidP="0062166E">
            <w:pPr>
              <w:pStyle w:val="DefaultText"/>
              <w:widowControl/>
              <w:rPr>
                <w:rStyle w:val="InitialStyle"/>
                <w:rFonts w:ascii="Arial" w:hAnsi="Arial" w:cs="Arial"/>
                <w:bCs/>
              </w:rPr>
            </w:pPr>
            <w:r>
              <w:rPr>
                <w:rStyle w:val="InitialStyle"/>
                <w:rFonts w:ascii="Arial" w:hAnsi="Arial" w:cs="Arial"/>
                <w:bCs/>
              </w:rPr>
              <w:t>Natural Gas</w:t>
            </w:r>
          </w:p>
        </w:tc>
      </w:tr>
      <w:tr w:rsidR="0062166E" w:rsidRPr="00C97934" w14:paraId="516CEFA0" w14:textId="77777777" w:rsidTr="00BA4F52">
        <w:tc>
          <w:tcPr>
            <w:tcW w:w="2497" w:type="dxa"/>
            <w:shd w:val="clear" w:color="auto" w:fill="auto"/>
            <w:vAlign w:val="center"/>
          </w:tcPr>
          <w:p w14:paraId="6CF391DB" w14:textId="01C5226B" w:rsidR="0062166E" w:rsidRPr="00C97934" w:rsidRDefault="0062166E" w:rsidP="0062166E">
            <w:pPr>
              <w:pStyle w:val="DefaultText"/>
              <w:widowControl/>
              <w:rPr>
                <w:rStyle w:val="InitialStyle"/>
                <w:rFonts w:ascii="Arial" w:hAnsi="Arial" w:cs="Arial"/>
                <w:b/>
                <w:bCs/>
              </w:rPr>
            </w:pPr>
            <w:r>
              <w:rPr>
                <w:rStyle w:val="InitialStyle"/>
                <w:rFonts w:ascii="Arial" w:hAnsi="Arial" w:cs="Arial"/>
                <w:b/>
                <w:bCs/>
              </w:rPr>
              <w:t>Office</w:t>
            </w:r>
          </w:p>
        </w:tc>
        <w:tc>
          <w:tcPr>
            <w:tcW w:w="7645" w:type="dxa"/>
            <w:shd w:val="clear" w:color="auto" w:fill="auto"/>
            <w:vAlign w:val="center"/>
          </w:tcPr>
          <w:p w14:paraId="572F6CC7" w14:textId="02C61C1F" w:rsidR="0062166E" w:rsidRPr="00C97934" w:rsidRDefault="0062166E" w:rsidP="0062166E">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62166E" w:rsidRPr="00C97934" w14:paraId="2140ECDE" w14:textId="77777777" w:rsidTr="00BA4F52">
        <w:tc>
          <w:tcPr>
            <w:tcW w:w="2497" w:type="dxa"/>
            <w:shd w:val="clear" w:color="auto" w:fill="auto"/>
            <w:vAlign w:val="center"/>
          </w:tcPr>
          <w:p w14:paraId="1F12DC52" w14:textId="05317C0D" w:rsidR="0062166E" w:rsidRPr="00C97934" w:rsidRDefault="0062166E" w:rsidP="0062166E">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319AF8A0" w14:textId="5670BE55" w:rsidR="0062166E" w:rsidRPr="00C97934" w:rsidRDefault="0062166E" w:rsidP="0062166E">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62166E" w:rsidRPr="00C97934" w14:paraId="6AB5F71F" w14:textId="77777777" w:rsidTr="00BA4F52">
        <w:tc>
          <w:tcPr>
            <w:tcW w:w="2497" w:type="dxa"/>
            <w:shd w:val="clear" w:color="auto" w:fill="auto"/>
            <w:vAlign w:val="center"/>
          </w:tcPr>
          <w:p w14:paraId="387DA88B" w14:textId="2C84315A" w:rsidR="0062166E" w:rsidRPr="00C97934" w:rsidRDefault="0062166E" w:rsidP="0062166E">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47B7A15B" w14:textId="66661419" w:rsidR="0062166E" w:rsidRPr="00C97934" w:rsidRDefault="0062166E" w:rsidP="0062166E">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9416F72"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10F386C1" w:rsidR="00477943" w:rsidRPr="00FF03CB" w:rsidRDefault="00FF03CB"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3F90F160"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020DBA">
        <w:rPr>
          <w:rStyle w:val="InitialStyle"/>
          <w:rFonts w:ascii="Arial" w:hAnsi="Arial" w:cs="Arial"/>
          <w:b/>
          <w:bCs/>
          <w:sz w:val="28"/>
          <w:szCs w:val="28"/>
        </w:rPr>
        <w:t xml:space="preserve"> 202404096</w:t>
      </w:r>
    </w:p>
    <w:p w14:paraId="3CAD6C9E" w14:textId="62BB63BA" w:rsidR="00FF03CB" w:rsidRPr="00FF03CB" w:rsidRDefault="00FF03CB" w:rsidP="00FF03CB">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 xml:space="preserve">Consulting Services – </w:t>
      </w:r>
      <w:r w:rsidR="009E151E" w:rsidRPr="002E0FD0">
        <w:rPr>
          <w:rStyle w:val="InitialStyle"/>
          <w:rFonts w:ascii="Arial" w:hAnsi="Arial" w:cs="Arial"/>
          <w:b/>
          <w:bCs/>
          <w:sz w:val="28"/>
          <w:szCs w:val="28"/>
        </w:rPr>
        <w:t>Future Use of Natural Gas in Maine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CD5F68D" w:rsidR="00095BA3" w:rsidRPr="00075AF6" w:rsidRDefault="0080313E" w:rsidP="0080313E">
      <w:pPr>
        <w:pStyle w:val="DefaultText"/>
        <w:widowControl/>
        <w:rPr>
          <w:rFonts w:ascii="Arial" w:hAnsi="Arial" w:cs="Arial"/>
        </w:rPr>
      </w:pPr>
      <w:r w:rsidRPr="00C97934">
        <w:rPr>
          <w:rStyle w:val="InitialStyle"/>
          <w:rFonts w:ascii="Arial" w:hAnsi="Arial" w:cs="Arial"/>
          <w:bCs/>
        </w:rPr>
        <w:t xml:space="preserve">The State of Maine is seeking proposals for </w:t>
      </w:r>
      <w:r>
        <w:rPr>
          <w:rStyle w:val="InitialStyle"/>
          <w:rFonts w:ascii="Arial" w:hAnsi="Arial" w:cs="Arial"/>
          <w:bCs/>
        </w:rPr>
        <w:t xml:space="preserve">consultant services to assist </w:t>
      </w:r>
      <w:proofErr w:type="gramStart"/>
      <w:r>
        <w:rPr>
          <w:rStyle w:val="InitialStyle"/>
          <w:rFonts w:ascii="Arial" w:hAnsi="Arial" w:cs="Arial"/>
          <w:bCs/>
        </w:rPr>
        <w:t>Office</w:t>
      </w:r>
      <w:proofErr w:type="gramEnd"/>
      <w:r>
        <w:rPr>
          <w:rStyle w:val="InitialStyle"/>
          <w:rFonts w:ascii="Arial" w:hAnsi="Arial" w:cs="Arial"/>
          <w:bCs/>
        </w:rPr>
        <w:t xml:space="preserve"> of the Public Advocate (OPA</w:t>
      </w:r>
      <w:r w:rsidRPr="0062166E">
        <w:rPr>
          <w:rStyle w:val="InitialStyle"/>
          <w:rFonts w:ascii="Arial" w:hAnsi="Arial" w:cs="Arial"/>
          <w:bCs/>
        </w:rPr>
        <w:t xml:space="preserve">) </w:t>
      </w:r>
      <w:r>
        <w:rPr>
          <w:rStyle w:val="InitialStyle"/>
          <w:rFonts w:ascii="Arial" w:hAnsi="Arial" w:cs="Arial"/>
          <w:bCs/>
        </w:rPr>
        <w:t>in</w:t>
      </w:r>
      <w:r w:rsidRPr="00C44ACC">
        <w:rPr>
          <w:rStyle w:val="InitialStyle"/>
          <w:rFonts w:ascii="Arial" w:hAnsi="Arial" w:cs="Arial"/>
          <w:bCs/>
        </w:rPr>
        <w:t xml:space="preserve"> addressing the future use of natural gas in the </w:t>
      </w:r>
      <w:r w:rsidRPr="0062166E">
        <w:rPr>
          <w:rStyle w:val="InitialStyle"/>
          <w:rFonts w:ascii="Arial" w:hAnsi="Arial" w:cs="Arial"/>
          <w:bCs/>
        </w:rPr>
        <w:t>State of Maine.</w:t>
      </w:r>
      <w:r>
        <w:rPr>
          <w:rStyle w:val="InitialStyle"/>
          <w:rFonts w:ascii="Arial" w:hAnsi="Arial" w:cs="Arial"/>
          <w:bCs/>
        </w:rPr>
        <w:t xml:space="preserve">  </w:t>
      </w:r>
      <w:r w:rsidR="00FD34C1">
        <w:rPr>
          <w:rStyle w:val="InitialStyle"/>
          <w:rFonts w:ascii="Arial" w:hAnsi="Arial" w:cs="Arial"/>
          <w:bCs/>
        </w:rPr>
        <w:t xml:space="preserve">Services </w:t>
      </w:r>
      <w:r>
        <w:rPr>
          <w:rStyle w:val="InitialStyle"/>
          <w:rFonts w:ascii="Arial" w:hAnsi="Arial" w:cs="Arial"/>
          <w:bCs/>
        </w:rPr>
        <w:t xml:space="preserve">include researching how the State’s regulatory system for natural gas utilities can help achieve the statutory requirement to “reduce greenhouse gas emissions to levels set forth in </w:t>
      </w:r>
      <w:hyperlink r:id="rId19" w:history="1">
        <w:r w:rsidRPr="00372CBA">
          <w:rPr>
            <w:rStyle w:val="Hyperlink"/>
            <w:rFonts w:ascii="Arial" w:hAnsi="Arial" w:cs="Arial"/>
            <w:bCs/>
          </w:rPr>
          <w:t>Title 38, section 576-A,</w:t>
        </w:r>
      </w:hyperlink>
      <w:r>
        <w:rPr>
          <w:rStyle w:val="InitialStyle"/>
          <w:rFonts w:ascii="Arial" w:hAnsi="Arial" w:cs="Arial"/>
          <w:bCs/>
        </w:rPr>
        <w:t xml:space="preserve">” as required in </w:t>
      </w:r>
      <w:hyperlink r:id="rId20" w:history="1">
        <w:r w:rsidRPr="00372CBA">
          <w:rPr>
            <w:rStyle w:val="Hyperlink"/>
            <w:rFonts w:ascii="Arial" w:hAnsi="Arial" w:cs="Arial"/>
            <w:bCs/>
          </w:rPr>
          <w:t>Title 35-A M.R.S. Sections 101</w:t>
        </w:r>
      </w:hyperlink>
      <w:r>
        <w:rPr>
          <w:rStyle w:val="InitialStyle"/>
          <w:rFonts w:ascii="Arial" w:hAnsi="Arial" w:cs="Arial"/>
          <w:bCs/>
        </w:rPr>
        <w:t xml:space="preserve"> and </w:t>
      </w:r>
      <w:hyperlink r:id="rId21" w:history="1">
        <w:r w:rsidRPr="00372CBA">
          <w:rPr>
            <w:rStyle w:val="Hyperlink"/>
            <w:rFonts w:ascii="Arial" w:hAnsi="Arial" w:cs="Arial"/>
            <w:bCs/>
          </w:rPr>
          <w:t>103-A</w:t>
        </w:r>
      </w:hyperlink>
      <w:r>
        <w:rPr>
          <w:rStyle w:val="InitialStyle"/>
          <w:rFonts w:ascii="Arial" w:hAnsi="Arial" w:cs="Arial"/>
          <w:bCs/>
        </w:rPr>
        <w:t xml:space="preserve"> and </w:t>
      </w:r>
      <w:r w:rsidR="00BD7F4C" w:rsidRPr="00075AF6">
        <w:rPr>
          <w:rFonts w:ascii="Arial" w:hAnsi="Arial" w:cs="Arial"/>
        </w:rPr>
        <w:t>as</w:t>
      </w:r>
      <w:r w:rsidR="00E82FB4" w:rsidRPr="00075AF6">
        <w:rPr>
          <w:rFonts w:ascii="Arial" w:hAnsi="Arial" w:cs="Arial"/>
        </w:rPr>
        <w:t xml:space="preserve"> </w:t>
      </w:r>
      <w:r w:rsidR="00095BA3" w:rsidRPr="00075AF6">
        <w:rPr>
          <w:rFonts w:ascii="Arial" w:hAnsi="Arial" w:cs="Arial"/>
        </w:rPr>
        <w:t>defined in this Request for Proposal (RFP)</w:t>
      </w:r>
      <w:r w:rsidR="00DB2372" w:rsidRPr="00075AF6">
        <w:rPr>
          <w:rFonts w:ascii="Arial" w:hAnsi="Arial" w:cs="Arial"/>
        </w:rPr>
        <w:t xml:space="preserve"> document</w:t>
      </w:r>
      <w:r w:rsidR="00095BA3" w:rsidRPr="00075AF6">
        <w:rPr>
          <w:rFonts w:ascii="Arial" w:hAnsi="Arial" w:cs="Arial"/>
        </w:rPr>
        <w:t xml:space="preserve">. </w:t>
      </w:r>
      <w:r w:rsidR="00735C0A" w:rsidRPr="00075AF6">
        <w:rPr>
          <w:rFonts w:ascii="Arial" w:hAnsi="Arial" w:cs="Arial"/>
        </w:rPr>
        <w:t xml:space="preserve"> </w:t>
      </w:r>
      <w:r w:rsidR="00E82FB4" w:rsidRPr="00075AF6">
        <w:rPr>
          <w:rFonts w:ascii="Arial" w:hAnsi="Arial" w:cs="Arial"/>
        </w:rPr>
        <w:t xml:space="preserve">This document </w:t>
      </w:r>
      <w:r w:rsidR="00BD7F4C" w:rsidRPr="00075AF6">
        <w:rPr>
          <w:rFonts w:ascii="Arial" w:hAnsi="Arial" w:cs="Arial"/>
        </w:rPr>
        <w:t xml:space="preserve">provides </w:t>
      </w:r>
      <w:r w:rsidR="00E82FB4" w:rsidRPr="00075AF6">
        <w:rPr>
          <w:rFonts w:ascii="Arial" w:hAnsi="Arial" w:cs="Arial"/>
        </w:rPr>
        <w:t>instructions for subm</w:t>
      </w:r>
      <w:r w:rsidR="00BD7F4C" w:rsidRPr="00075AF6">
        <w:rPr>
          <w:rFonts w:ascii="Arial" w:hAnsi="Arial" w:cs="Arial"/>
        </w:rPr>
        <w:t xml:space="preserve">itting proposals, the </w:t>
      </w:r>
      <w:proofErr w:type="gramStart"/>
      <w:r w:rsidR="00BD7F4C" w:rsidRPr="00075AF6">
        <w:rPr>
          <w:rFonts w:ascii="Arial" w:hAnsi="Arial" w:cs="Arial"/>
        </w:rPr>
        <w:t>procedure</w:t>
      </w:r>
      <w:proofErr w:type="gramEnd"/>
      <w:r w:rsidR="00BD7F4C" w:rsidRPr="00075AF6">
        <w:rPr>
          <w:rFonts w:ascii="Arial" w:hAnsi="Arial" w:cs="Arial"/>
        </w:rPr>
        <w:t xml:space="preserve"> and criteria by which the </w:t>
      </w:r>
      <w:r w:rsidR="001435F6" w:rsidRPr="00075AF6">
        <w:rPr>
          <w:rFonts w:ascii="Arial" w:hAnsi="Arial" w:cs="Arial"/>
        </w:rPr>
        <w:t>awarded Bidder</w:t>
      </w:r>
      <w:r w:rsidR="00BD7F4C" w:rsidRPr="00075AF6">
        <w:rPr>
          <w:rFonts w:ascii="Arial" w:hAnsi="Arial" w:cs="Arial"/>
        </w:rPr>
        <w:t xml:space="preserve"> will be selected</w:t>
      </w:r>
      <w:r w:rsidR="002B4FD5" w:rsidRPr="00075AF6">
        <w:rPr>
          <w:rFonts w:ascii="Arial" w:hAnsi="Arial" w:cs="Arial"/>
        </w:rPr>
        <w:t>,</w:t>
      </w:r>
      <w:r w:rsidR="00BD7F4C" w:rsidRPr="00075AF6">
        <w:rPr>
          <w:rFonts w:ascii="Arial" w:hAnsi="Arial" w:cs="Arial"/>
        </w:rPr>
        <w:t xml:space="preserve"> and the contractual terms which will govern the relationship between the State of Maine</w:t>
      </w:r>
      <w:r w:rsidR="00AD7C80" w:rsidRPr="00075AF6">
        <w:rPr>
          <w:rFonts w:ascii="Arial" w:hAnsi="Arial" w:cs="Arial"/>
        </w:rPr>
        <w:t xml:space="preserve"> (</w:t>
      </w:r>
      <w:r w:rsidR="00CB7768" w:rsidRPr="00075AF6">
        <w:rPr>
          <w:rFonts w:ascii="Arial" w:hAnsi="Arial" w:cs="Arial"/>
        </w:rPr>
        <w:t>State)</w:t>
      </w:r>
      <w:r w:rsidR="00BD7F4C" w:rsidRPr="00075AF6">
        <w:rPr>
          <w:rFonts w:ascii="Arial" w:hAnsi="Arial" w:cs="Arial"/>
        </w:rPr>
        <w:t xml:space="preserve"> and the awarded </w:t>
      </w:r>
      <w:r w:rsidR="00CB7768" w:rsidRPr="00075AF6">
        <w:rPr>
          <w:rFonts w:ascii="Arial" w:hAnsi="Arial" w:cs="Arial"/>
        </w:rPr>
        <w:t>Bidder</w:t>
      </w:r>
      <w:r w:rsidR="00433A19" w:rsidRPr="00075AF6">
        <w:rPr>
          <w:rFonts w:ascii="Arial" w:hAnsi="Arial" w:cs="Arial"/>
        </w:rPr>
        <w:t>.</w:t>
      </w:r>
      <w:bookmarkStart w:id="6" w:name="_Hlk71031929"/>
    </w:p>
    <w:p w14:paraId="68FE0759" w14:textId="746CC150" w:rsidR="00FF03CB" w:rsidRPr="00075AF6" w:rsidRDefault="00FF03CB" w:rsidP="00E33B75">
      <w:pPr>
        <w:rPr>
          <w:rFonts w:ascii="Arial" w:hAnsi="Arial" w:cs="Arial"/>
          <w:sz w:val="24"/>
          <w:szCs w:val="24"/>
        </w:rPr>
      </w:pPr>
    </w:p>
    <w:p w14:paraId="57BD6CF8" w14:textId="1E72E5BC" w:rsidR="00A8350B" w:rsidRPr="00331B44" w:rsidRDefault="005271CA" w:rsidP="00E33B75">
      <w:pPr>
        <w:rPr>
          <w:rFonts w:ascii="Arial" w:hAnsi="Arial" w:cs="Arial"/>
          <w:sz w:val="24"/>
          <w:szCs w:val="24"/>
        </w:rPr>
      </w:pPr>
      <w:r w:rsidRPr="00075AF6">
        <w:rPr>
          <w:rFonts w:ascii="Arial" w:hAnsi="Arial" w:cs="Arial"/>
          <w:sz w:val="24"/>
          <w:szCs w:val="24"/>
        </w:rPr>
        <w:t>The Public Advocate, by statute, represents the interests of Maine utility ratepayers, with special emphasis on the interests of low-income customers in proceedings before the Maine Public Utilities Commission (MPUC). Because the staff of the Office is composed primarily of attorneys, we rely on a consultant to provide expert advice, research</w:t>
      </w:r>
      <w:r w:rsidR="00922AA9" w:rsidRPr="00075AF6">
        <w:rPr>
          <w:rFonts w:ascii="Arial" w:hAnsi="Arial" w:cs="Arial"/>
          <w:sz w:val="24"/>
          <w:szCs w:val="24"/>
        </w:rPr>
        <w:t xml:space="preserve">, and </w:t>
      </w:r>
      <w:r w:rsidR="009D5216" w:rsidRPr="00075AF6">
        <w:rPr>
          <w:rFonts w:ascii="Arial" w:hAnsi="Arial" w:cs="Arial"/>
          <w:sz w:val="24"/>
          <w:szCs w:val="24"/>
        </w:rPr>
        <w:t xml:space="preserve">witness testimony in PUC proceedings </w:t>
      </w:r>
      <w:r w:rsidRPr="00075AF6">
        <w:rPr>
          <w:rFonts w:ascii="Arial" w:hAnsi="Arial" w:cs="Arial"/>
          <w:sz w:val="24"/>
          <w:szCs w:val="24"/>
        </w:rPr>
        <w:t>on the matters described herein. This research and recommendations are critical to allowing the Office to effectively represent ratepayer interests in proceedings before the MPUC.</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754D8E86" w:rsidR="00ED34DF"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3B619E98" w14:textId="77777777" w:rsidR="00ED34DF" w:rsidRDefault="00ED34DF">
      <w:pPr>
        <w:widowControl/>
        <w:autoSpaceDE/>
        <w:autoSpaceDN/>
        <w:rPr>
          <w:rFonts w:ascii="Arial" w:hAnsi="Arial" w:cs="Arial"/>
          <w:sz w:val="24"/>
          <w:szCs w:val="24"/>
        </w:rPr>
      </w:pPr>
      <w:r>
        <w:rPr>
          <w:rFonts w:ascii="Arial" w:hAnsi="Arial" w:cs="Arial"/>
          <w:sz w:val="24"/>
          <w:szCs w:val="24"/>
        </w:rPr>
        <w:br w:type="page"/>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Default="007A344B" w:rsidP="00ED34DF">
      <w:pPr>
        <w:pStyle w:val="ListParagraph"/>
        <w:numPr>
          <w:ilvl w:val="1"/>
          <w:numId w:val="11"/>
        </w:numPr>
        <w:rPr>
          <w:rFonts w:ascii="Arial" w:hAnsi="Arial" w:cs="Arial"/>
          <w:sz w:val="24"/>
          <w:szCs w:val="24"/>
        </w:rPr>
      </w:pPr>
      <w:r w:rsidRPr="00ED34DF">
        <w:rPr>
          <w:rFonts w:ascii="Arial" w:hAnsi="Arial" w:cs="Arial"/>
          <w:sz w:val="24"/>
          <w:szCs w:val="24"/>
        </w:rPr>
        <w:t xml:space="preserve">The RFP and the </w:t>
      </w:r>
      <w:r w:rsidR="001435F6" w:rsidRPr="00ED34DF">
        <w:rPr>
          <w:rFonts w:ascii="Arial" w:hAnsi="Arial" w:cs="Arial"/>
          <w:sz w:val="24"/>
          <w:szCs w:val="24"/>
        </w:rPr>
        <w:t>awarded</w:t>
      </w:r>
      <w:r w:rsidRPr="00ED34DF">
        <w:rPr>
          <w:rFonts w:ascii="Arial" w:hAnsi="Arial" w:cs="Arial"/>
          <w:sz w:val="24"/>
          <w:szCs w:val="24"/>
        </w:rPr>
        <w:t xml:space="preserve"> Bidder’s proposal, including all appendices or attachments, </w:t>
      </w:r>
      <w:r w:rsidR="00FF2A48" w:rsidRPr="00ED34DF">
        <w:rPr>
          <w:rFonts w:ascii="Arial" w:hAnsi="Arial" w:cs="Arial"/>
          <w:sz w:val="24"/>
          <w:szCs w:val="24"/>
        </w:rPr>
        <w:t xml:space="preserve">will </w:t>
      </w:r>
      <w:r w:rsidRPr="00ED34DF">
        <w:rPr>
          <w:rFonts w:ascii="Arial" w:hAnsi="Arial" w:cs="Arial"/>
          <w:sz w:val="24"/>
          <w:szCs w:val="24"/>
        </w:rPr>
        <w:t>be the basis for the final contract, as determined by the Department.</w:t>
      </w:r>
    </w:p>
    <w:p w14:paraId="0A6D07D7" w14:textId="0A39D480" w:rsidR="00E95D0F" w:rsidRPr="00ED34DF" w:rsidRDefault="00E95D0F" w:rsidP="00ED34DF">
      <w:pPr>
        <w:pStyle w:val="ListParagraph"/>
        <w:numPr>
          <w:ilvl w:val="1"/>
          <w:numId w:val="11"/>
        </w:numPr>
        <w:rPr>
          <w:rStyle w:val="InitialStyle"/>
          <w:rFonts w:ascii="Arial" w:hAnsi="Arial" w:cs="Arial"/>
          <w:sz w:val="24"/>
          <w:szCs w:val="24"/>
        </w:rPr>
      </w:pPr>
      <w:r w:rsidRPr="00ED34DF">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ED34DF">
          <w:rPr>
            <w:rStyle w:val="Hyperlink"/>
            <w:rFonts w:ascii="Arial" w:hAnsi="Arial" w:cs="Arial"/>
            <w:sz w:val="24"/>
            <w:szCs w:val="24"/>
          </w:rPr>
          <w:t>1 M.R.S. § 401</w:t>
        </w:r>
      </w:hyperlink>
      <w:r w:rsidRPr="00ED34DF">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AE7C62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D3507C">
        <w:rPr>
          <w:rFonts w:ascii="Arial" w:hAnsi="Arial" w:cs="Arial"/>
          <w:sz w:val="24"/>
          <w:szCs w:val="24"/>
        </w:rPr>
        <w:t xml:space="preserve">for </w:t>
      </w:r>
      <w:r w:rsidR="005333C3" w:rsidRPr="00D3507C">
        <w:rPr>
          <w:rFonts w:ascii="Arial" w:hAnsi="Arial" w:cs="Arial"/>
          <w:sz w:val="24"/>
          <w:szCs w:val="24"/>
        </w:rPr>
        <w:t>two</w:t>
      </w:r>
      <w:r w:rsidRPr="00D3507C">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7B591B3"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June 1</w:t>
            </w:r>
            <w:r w:rsidR="00D171F4">
              <w:rPr>
                <w:rFonts w:ascii="Arial" w:hAnsi="Arial" w:cs="Arial"/>
                <w:sz w:val="24"/>
                <w:szCs w:val="24"/>
              </w:rPr>
              <w:t>0</w:t>
            </w:r>
            <w:r w:rsidRPr="001571F5">
              <w:rPr>
                <w:rFonts w:ascii="Arial" w:hAnsi="Arial" w:cs="Arial"/>
                <w:sz w:val="24"/>
                <w:szCs w:val="24"/>
              </w:rPr>
              <w:t>, 2024</w:t>
            </w:r>
          </w:p>
        </w:tc>
        <w:tc>
          <w:tcPr>
            <w:tcW w:w="2520" w:type="dxa"/>
            <w:tcBorders>
              <w:top w:val="double" w:sz="4" w:space="0" w:color="auto"/>
            </w:tcBorders>
            <w:shd w:val="clear" w:color="auto" w:fill="auto"/>
          </w:tcPr>
          <w:p w14:paraId="6B06294F" w14:textId="08B69CD2"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May 31,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B30CE53"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June 1, 2026</w:t>
            </w:r>
          </w:p>
        </w:tc>
        <w:tc>
          <w:tcPr>
            <w:tcW w:w="2520" w:type="dxa"/>
            <w:shd w:val="clear" w:color="auto" w:fill="auto"/>
          </w:tcPr>
          <w:p w14:paraId="58F074BA" w14:textId="4E074575"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May 31,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45FA1CC"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June 1, 2028</w:t>
            </w:r>
          </w:p>
        </w:tc>
        <w:tc>
          <w:tcPr>
            <w:tcW w:w="2520" w:type="dxa"/>
            <w:shd w:val="clear" w:color="auto" w:fill="auto"/>
          </w:tcPr>
          <w:p w14:paraId="1E846468" w14:textId="32056785" w:rsidR="00F53B75" w:rsidRPr="001571F5" w:rsidRDefault="005333C3" w:rsidP="00583A7B">
            <w:pPr>
              <w:jc w:val="center"/>
              <w:rPr>
                <w:rFonts w:ascii="Arial" w:hAnsi="Arial" w:cs="Arial"/>
                <w:color w:val="FF0000"/>
                <w:sz w:val="24"/>
                <w:szCs w:val="24"/>
              </w:rPr>
            </w:pPr>
            <w:r w:rsidRPr="001571F5">
              <w:rPr>
                <w:rFonts w:ascii="Arial" w:hAnsi="Arial" w:cs="Arial"/>
                <w:sz w:val="24"/>
                <w:szCs w:val="24"/>
              </w:rPr>
              <w:t>May 31,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96239DF"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5271CA">
        <w:rPr>
          <w:rFonts w:ascii="Arial" w:hAnsi="Arial" w:cs="Arial"/>
          <w:sz w:val="24"/>
          <w:szCs w:val="24"/>
        </w:rPr>
        <w:t xml:space="preserve"> one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5333C3" w:rsidRDefault="00F53B75" w:rsidP="004F0520">
      <w:pPr>
        <w:rPr>
          <w:rFonts w:ascii="Arial" w:hAnsi="Arial" w:cs="Arial"/>
          <w:b/>
          <w:sz w:val="24"/>
          <w:szCs w:val="24"/>
        </w:rPr>
      </w:pPr>
      <w:bookmarkStart w:id="15" w:name="_Toc367174728"/>
      <w:bookmarkStart w:id="16" w:name="_Toc397069196"/>
      <w:r w:rsidRPr="006F3EE9">
        <w:rPr>
          <w:rFonts w:ascii="Arial" w:hAnsi="Arial" w:cs="Arial"/>
          <w:b/>
          <w:sz w:val="24"/>
          <w:szCs w:val="24"/>
        </w:rPr>
        <w:lastRenderedPageBreak/>
        <w:t>PART II</w:t>
      </w:r>
      <w:r w:rsidRPr="00C97934">
        <w:rPr>
          <w:rFonts w:ascii="Arial" w:hAnsi="Arial" w:cs="Arial"/>
          <w:b/>
          <w:sz w:val="24"/>
          <w:szCs w:val="24"/>
        </w:rPr>
        <w:tab/>
      </w:r>
      <w:r w:rsidR="00F40973" w:rsidRPr="005333C3">
        <w:rPr>
          <w:rFonts w:ascii="Arial" w:hAnsi="Arial" w:cs="Arial"/>
          <w:b/>
          <w:sz w:val="24"/>
          <w:szCs w:val="24"/>
        </w:rPr>
        <w:t>SCOPE OF SERVICES</w:t>
      </w:r>
      <w:bookmarkEnd w:id="15"/>
      <w:r w:rsidR="00B14DB7" w:rsidRPr="005333C3">
        <w:rPr>
          <w:rFonts w:ascii="Arial" w:hAnsi="Arial" w:cs="Arial"/>
          <w:b/>
          <w:sz w:val="24"/>
          <w:szCs w:val="24"/>
        </w:rPr>
        <w:t xml:space="preserve"> TO BE PROVIDED</w:t>
      </w:r>
      <w:bookmarkEnd w:id="16"/>
      <w:r w:rsidR="00E82FB4" w:rsidRPr="005333C3">
        <w:rPr>
          <w:rFonts w:ascii="Arial" w:hAnsi="Arial" w:cs="Arial"/>
          <w:b/>
          <w:sz w:val="24"/>
          <w:szCs w:val="24"/>
        </w:rPr>
        <w:tab/>
      </w:r>
    </w:p>
    <w:p w14:paraId="6197967E" w14:textId="0F75575D" w:rsidR="00511540" w:rsidRPr="005333C3" w:rsidRDefault="00511540" w:rsidP="004F0520">
      <w:pPr>
        <w:rPr>
          <w:rFonts w:ascii="Arial" w:hAnsi="Arial" w:cs="Arial"/>
          <w:color w:val="FF0000"/>
          <w:sz w:val="24"/>
          <w:szCs w:val="24"/>
        </w:rPr>
      </w:pPr>
    </w:p>
    <w:p w14:paraId="23A53A5E" w14:textId="52E88FD8" w:rsidR="00511540" w:rsidRPr="005333C3" w:rsidRDefault="005271CA" w:rsidP="00511540">
      <w:pPr>
        <w:pStyle w:val="ListParagraph"/>
        <w:numPr>
          <w:ilvl w:val="0"/>
          <w:numId w:val="25"/>
        </w:numPr>
        <w:rPr>
          <w:rFonts w:ascii="Arial" w:hAnsi="Arial" w:cs="Arial"/>
          <w:sz w:val="24"/>
          <w:szCs w:val="24"/>
        </w:rPr>
      </w:pPr>
      <w:r w:rsidRPr="005333C3">
        <w:rPr>
          <w:rFonts w:ascii="Arial" w:hAnsi="Arial" w:cs="Arial"/>
          <w:b/>
          <w:bCs/>
          <w:sz w:val="24"/>
          <w:szCs w:val="24"/>
        </w:rPr>
        <w:t>DUTIES</w:t>
      </w:r>
      <w:r w:rsidR="00511540" w:rsidRPr="005333C3">
        <w:rPr>
          <w:rFonts w:ascii="Arial" w:hAnsi="Arial" w:cs="Arial"/>
          <w:sz w:val="24"/>
          <w:szCs w:val="24"/>
        </w:rPr>
        <w:t xml:space="preserve"> </w:t>
      </w:r>
    </w:p>
    <w:p w14:paraId="4433E95A" w14:textId="025F53B0" w:rsidR="00511540" w:rsidRPr="005271CA" w:rsidRDefault="001128A0" w:rsidP="002E2AA0">
      <w:pPr>
        <w:pStyle w:val="ListParagraph"/>
        <w:numPr>
          <w:ilvl w:val="1"/>
          <w:numId w:val="25"/>
        </w:numPr>
        <w:rPr>
          <w:rFonts w:ascii="Arial" w:hAnsi="Arial" w:cs="Arial"/>
          <w:sz w:val="24"/>
          <w:szCs w:val="24"/>
        </w:rPr>
      </w:pPr>
      <w:r>
        <w:rPr>
          <w:rFonts w:ascii="Arial" w:hAnsi="Arial" w:cs="Arial"/>
          <w:sz w:val="24"/>
          <w:szCs w:val="24"/>
        </w:rPr>
        <w:t>R</w:t>
      </w:r>
      <w:r w:rsidRPr="001128A0">
        <w:rPr>
          <w:rFonts w:ascii="Arial" w:hAnsi="Arial" w:cs="Arial"/>
          <w:sz w:val="24"/>
          <w:szCs w:val="24"/>
        </w:rPr>
        <w:t>esearching</w:t>
      </w:r>
      <w:r w:rsidR="009018F7">
        <w:rPr>
          <w:rFonts w:ascii="Arial" w:hAnsi="Arial" w:cs="Arial"/>
          <w:sz w:val="24"/>
          <w:szCs w:val="24"/>
        </w:rPr>
        <w:t xml:space="preserve"> </w:t>
      </w:r>
      <w:r w:rsidRPr="001128A0">
        <w:rPr>
          <w:rFonts w:ascii="Arial" w:hAnsi="Arial" w:cs="Arial"/>
          <w:sz w:val="24"/>
          <w:szCs w:val="24"/>
        </w:rPr>
        <w:t>how the State’s regulatory system for natural gas utilities can help achieve the statutory requirement to reduce greenhouse gas</w:t>
      </w:r>
      <w:r w:rsidR="0080313E">
        <w:rPr>
          <w:rFonts w:ascii="Arial" w:hAnsi="Arial" w:cs="Arial"/>
          <w:sz w:val="24"/>
          <w:szCs w:val="24"/>
        </w:rPr>
        <w:t xml:space="preserve"> (GHG)</w:t>
      </w:r>
      <w:r w:rsidRPr="001128A0">
        <w:rPr>
          <w:rFonts w:ascii="Arial" w:hAnsi="Arial" w:cs="Arial"/>
          <w:sz w:val="24"/>
          <w:szCs w:val="24"/>
        </w:rPr>
        <w:t xml:space="preserve"> emissions to levels set forth in </w:t>
      </w:r>
      <w:hyperlink r:id="rId23" w:history="1">
        <w:r w:rsidRPr="00D3507C">
          <w:rPr>
            <w:rStyle w:val="Hyperlink"/>
            <w:rFonts w:ascii="Arial" w:hAnsi="Arial" w:cs="Arial"/>
            <w:sz w:val="24"/>
            <w:szCs w:val="24"/>
          </w:rPr>
          <w:t>Title 38</w:t>
        </w:r>
        <w:r w:rsidR="00A40B38" w:rsidRPr="00D3507C">
          <w:rPr>
            <w:rStyle w:val="Hyperlink"/>
            <w:rFonts w:ascii="Arial" w:hAnsi="Arial" w:cs="Arial"/>
            <w:sz w:val="24"/>
            <w:szCs w:val="24"/>
          </w:rPr>
          <w:t xml:space="preserve"> M.R.S.</w:t>
        </w:r>
        <w:r w:rsidRPr="00D3507C">
          <w:rPr>
            <w:rStyle w:val="Hyperlink"/>
            <w:rFonts w:ascii="Arial" w:hAnsi="Arial" w:cs="Arial"/>
            <w:sz w:val="24"/>
            <w:szCs w:val="24"/>
          </w:rPr>
          <w:t xml:space="preserve"> </w:t>
        </w:r>
        <w:r w:rsidR="00A40B38" w:rsidRPr="00D3507C">
          <w:rPr>
            <w:rStyle w:val="Hyperlink"/>
            <w:rFonts w:ascii="Arial" w:hAnsi="Arial" w:cs="Arial"/>
            <w:sz w:val="24"/>
            <w:szCs w:val="24"/>
          </w:rPr>
          <w:t>S</w:t>
        </w:r>
        <w:r w:rsidRPr="00D3507C">
          <w:rPr>
            <w:rStyle w:val="Hyperlink"/>
            <w:rFonts w:ascii="Arial" w:hAnsi="Arial" w:cs="Arial"/>
            <w:sz w:val="24"/>
            <w:szCs w:val="24"/>
          </w:rPr>
          <w:t>ection 576</w:t>
        </w:r>
        <w:r w:rsidR="00466619" w:rsidRPr="00D3507C">
          <w:rPr>
            <w:rStyle w:val="Hyperlink"/>
            <w:rFonts w:ascii="Arial" w:hAnsi="Arial" w:cs="Arial"/>
            <w:sz w:val="24"/>
            <w:szCs w:val="24"/>
          </w:rPr>
          <w:t>-</w:t>
        </w:r>
        <w:r w:rsidRPr="00D3507C">
          <w:rPr>
            <w:rStyle w:val="Hyperlink"/>
            <w:rFonts w:ascii="Arial" w:hAnsi="Arial" w:cs="Arial"/>
            <w:sz w:val="24"/>
            <w:szCs w:val="24"/>
          </w:rPr>
          <w:t>A</w:t>
        </w:r>
      </w:hyperlink>
      <w:r w:rsidRPr="001128A0">
        <w:rPr>
          <w:rFonts w:ascii="Arial" w:hAnsi="Arial" w:cs="Arial"/>
          <w:sz w:val="24"/>
          <w:szCs w:val="24"/>
        </w:rPr>
        <w:t>,</w:t>
      </w:r>
      <w:r w:rsidR="001F75FB">
        <w:rPr>
          <w:rFonts w:ascii="Arial" w:hAnsi="Arial" w:cs="Arial"/>
          <w:sz w:val="24"/>
          <w:szCs w:val="24"/>
        </w:rPr>
        <w:t xml:space="preserve"> </w:t>
      </w:r>
      <w:r w:rsidRPr="001128A0">
        <w:rPr>
          <w:rFonts w:ascii="Arial" w:hAnsi="Arial" w:cs="Arial"/>
          <w:sz w:val="24"/>
          <w:szCs w:val="24"/>
        </w:rPr>
        <w:t xml:space="preserve">as required in </w:t>
      </w:r>
      <w:hyperlink r:id="rId24" w:history="1">
        <w:r w:rsidRPr="00D3507C">
          <w:rPr>
            <w:rStyle w:val="Hyperlink"/>
            <w:rFonts w:ascii="Arial" w:hAnsi="Arial" w:cs="Arial"/>
            <w:sz w:val="24"/>
            <w:szCs w:val="24"/>
          </w:rPr>
          <w:t>Title 35-A M.R.S. Sections 101 and 103-A.</w:t>
        </w:r>
      </w:hyperlink>
      <w:r w:rsidRPr="001128A0">
        <w:rPr>
          <w:rFonts w:ascii="Arial" w:hAnsi="Arial" w:cs="Arial"/>
          <w:sz w:val="24"/>
          <w:szCs w:val="24"/>
        </w:rPr>
        <w:t xml:space="preserve"> </w:t>
      </w:r>
    </w:p>
    <w:p w14:paraId="20D695A6" w14:textId="0CA3E98B" w:rsidR="00511540" w:rsidRPr="00A40B38" w:rsidRDefault="00511540" w:rsidP="00A40B38">
      <w:pPr>
        <w:rPr>
          <w:rFonts w:ascii="Arial" w:hAnsi="Arial" w:cs="Arial"/>
          <w:sz w:val="24"/>
          <w:szCs w:val="24"/>
        </w:rPr>
      </w:pPr>
    </w:p>
    <w:p w14:paraId="1DC1A7B7" w14:textId="577A3D8F" w:rsidR="005271CA" w:rsidRDefault="0080313E" w:rsidP="00511540">
      <w:pPr>
        <w:pStyle w:val="ListParagraph"/>
        <w:numPr>
          <w:ilvl w:val="1"/>
          <w:numId w:val="25"/>
        </w:numPr>
        <w:rPr>
          <w:rFonts w:ascii="Arial" w:hAnsi="Arial" w:cs="Arial"/>
          <w:sz w:val="24"/>
          <w:szCs w:val="24"/>
        </w:rPr>
      </w:pPr>
      <w:r>
        <w:rPr>
          <w:rFonts w:ascii="Arial" w:hAnsi="Arial" w:cs="Arial"/>
          <w:sz w:val="24"/>
          <w:szCs w:val="24"/>
        </w:rPr>
        <w:t>Tasks</w:t>
      </w:r>
      <w:r w:rsidR="00A43743">
        <w:rPr>
          <w:rFonts w:ascii="Arial" w:hAnsi="Arial" w:cs="Arial"/>
          <w:sz w:val="24"/>
          <w:szCs w:val="24"/>
        </w:rPr>
        <w:t xml:space="preserve"> </w:t>
      </w:r>
      <w:r w:rsidR="00466619">
        <w:rPr>
          <w:rFonts w:ascii="Arial" w:hAnsi="Arial" w:cs="Arial"/>
          <w:sz w:val="24"/>
          <w:szCs w:val="24"/>
        </w:rPr>
        <w:t>include</w:t>
      </w:r>
      <w:r w:rsidR="005271CA">
        <w:rPr>
          <w:rFonts w:ascii="Arial" w:hAnsi="Arial" w:cs="Arial"/>
          <w:sz w:val="24"/>
          <w:szCs w:val="24"/>
        </w:rPr>
        <w:t>:</w:t>
      </w:r>
    </w:p>
    <w:p w14:paraId="41BB9FDA" w14:textId="7AF7B523" w:rsidR="007820E6" w:rsidRPr="007820E6" w:rsidRDefault="0080313E" w:rsidP="007820E6">
      <w:pPr>
        <w:pStyle w:val="ListParagraph"/>
        <w:numPr>
          <w:ilvl w:val="2"/>
          <w:numId w:val="25"/>
        </w:numPr>
        <w:rPr>
          <w:rFonts w:ascii="Arial" w:hAnsi="Arial" w:cs="Arial"/>
          <w:sz w:val="24"/>
          <w:szCs w:val="24"/>
        </w:rPr>
      </w:pPr>
      <w:r>
        <w:rPr>
          <w:rFonts w:ascii="Arial" w:hAnsi="Arial" w:cs="Arial"/>
          <w:sz w:val="24"/>
          <w:szCs w:val="24"/>
        </w:rPr>
        <w:t>S</w:t>
      </w:r>
      <w:r w:rsidR="007820E6" w:rsidRPr="007820E6">
        <w:rPr>
          <w:rFonts w:ascii="Arial" w:hAnsi="Arial" w:cs="Arial"/>
          <w:sz w:val="24"/>
          <w:szCs w:val="24"/>
        </w:rPr>
        <w:t xml:space="preserve">ummarizing the effect of natural gas releases and burning on </w:t>
      </w:r>
      <w:r w:rsidR="007820E6">
        <w:rPr>
          <w:rFonts w:ascii="Arial" w:hAnsi="Arial" w:cs="Arial"/>
          <w:sz w:val="24"/>
          <w:szCs w:val="24"/>
        </w:rPr>
        <w:t>GHG</w:t>
      </w:r>
      <w:r w:rsidR="007820E6" w:rsidRPr="007820E6">
        <w:rPr>
          <w:rFonts w:ascii="Arial" w:hAnsi="Arial" w:cs="Arial"/>
          <w:sz w:val="24"/>
          <w:szCs w:val="24"/>
        </w:rPr>
        <w:t xml:space="preserve"> emissions</w:t>
      </w:r>
      <w:r>
        <w:rPr>
          <w:rFonts w:ascii="Arial" w:hAnsi="Arial" w:cs="Arial"/>
          <w:sz w:val="24"/>
          <w:szCs w:val="24"/>
        </w:rPr>
        <w:t>.</w:t>
      </w:r>
    </w:p>
    <w:p w14:paraId="55F04B2E" w14:textId="2CAB75A7" w:rsidR="007820E6" w:rsidRPr="007820E6" w:rsidRDefault="0080313E" w:rsidP="007820E6">
      <w:pPr>
        <w:pStyle w:val="ListParagraph"/>
        <w:numPr>
          <w:ilvl w:val="2"/>
          <w:numId w:val="25"/>
        </w:numPr>
        <w:rPr>
          <w:rFonts w:ascii="Arial" w:hAnsi="Arial" w:cs="Arial"/>
          <w:sz w:val="24"/>
          <w:szCs w:val="24"/>
        </w:rPr>
      </w:pPr>
      <w:r>
        <w:rPr>
          <w:rFonts w:ascii="Arial" w:hAnsi="Arial" w:cs="Arial"/>
          <w:sz w:val="24"/>
          <w:szCs w:val="24"/>
        </w:rPr>
        <w:t>E</w:t>
      </w:r>
      <w:r w:rsidR="007820E6" w:rsidRPr="007820E6">
        <w:rPr>
          <w:rFonts w:ascii="Arial" w:hAnsi="Arial" w:cs="Arial"/>
          <w:sz w:val="24"/>
          <w:szCs w:val="24"/>
        </w:rPr>
        <w:t>valuating strategies for reducing GHS emissions and reaching GHG reduction goals</w:t>
      </w:r>
      <w:r w:rsidR="006F3EE9">
        <w:rPr>
          <w:rFonts w:ascii="Arial" w:hAnsi="Arial" w:cs="Arial"/>
          <w:sz w:val="24"/>
          <w:szCs w:val="24"/>
        </w:rPr>
        <w:t>.</w:t>
      </w:r>
    </w:p>
    <w:p w14:paraId="7E810D82" w14:textId="3B349158" w:rsidR="007820E6" w:rsidRPr="007820E6" w:rsidRDefault="006F3EE9" w:rsidP="007820E6">
      <w:pPr>
        <w:pStyle w:val="ListParagraph"/>
        <w:numPr>
          <w:ilvl w:val="2"/>
          <w:numId w:val="25"/>
        </w:numPr>
        <w:rPr>
          <w:rFonts w:ascii="Arial" w:hAnsi="Arial" w:cs="Arial"/>
          <w:sz w:val="24"/>
          <w:szCs w:val="24"/>
        </w:rPr>
      </w:pPr>
      <w:r>
        <w:rPr>
          <w:rFonts w:ascii="Arial" w:hAnsi="Arial" w:cs="Arial"/>
          <w:sz w:val="24"/>
          <w:szCs w:val="24"/>
        </w:rPr>
        <w:t>F</w:t>
      </w:r>
      <w:r w:rsidR="007820E6" w:rsidRPr="007820E6">
        <w:rPr>
          <w:rFonts w:ascii="Arial" w:hAnsi="Arial" w:cs="Arial"/>
          <w:sz w:val="24"/>
          <w:szCs w:val="24"/>
        </w:rPr>
        <w:t>orecasting natural gas utility demand</w:t>
      </w:r>
      <w:r>
        <w:rPr>
          <w:rFonts w:ascii="Arial" w:hAnsi="Arial" w:cs="Arial"/>
          <w:sz w:val="24"/>
          <w:szCs w:val="24"/>
        </w:rPr>
        <w:t>.</w:t>
      </w:r>
    </w:p>
    <w:p w14:paraId="37F02059" w14:textId="59FAC460" w:rsidR="007820E6" w:rsidRPr="007820E6" w:rsidRDefault="006F3EE9" w:rsidP="007820E6">
      <w:pPr>
        <w:pStyle w:val="ListParagraph"/>
        <w:numPr>
          <w:ilvl w:val="2"/>
          <w:numId w:val="25"/>
        </w:numPr>
        <w:rPr>
          <w:rFonts w:ascii="Arial" w:hAnsi="Arial" w:cs="Arial"/>
          <w:sz w:val="24"/>
          <w:szCs w:val="24"/>
        </w:rPr>
      </w:pPr>
      <w:r>
        <w:rPr>
          <w:rFonts w:ascii="Arial" w:hAnsi="Arial" w:cs="Arial"/>
          <w:sz w:val="24"/>
          <w:szCs w:val="24"/>
        </w:rPr>
        <w:t>E</w:t>
      </w:r>
      <w:r w:rsidR="007820E6" w:rsidRPr="007820E6">
        <w:rPr>
          <w:rFonts w:ascii="Arial" w:hAnsi="Arial" w:cs="Arial"/>
          <w:sz w:val="24"/>
          <w:szCs w:val="24"/>
        </w:rPr>
        <w:t>valuating the consequences of alternative gas infrastructure investments, impacts on customers and rates, and environmental and health effects</w:t>
      </w:r>
      <w:r>
        <w:rPr>
          <w:rFonts w:ascii="Arial" w:hAnsi="Arial" w:cs="Arial"/>
          <w:sz w:val="24"/>
          <w:szCs w:val="24"/>
        </w:rPr>
        <w:t>.</w:t>
      </w:r>
    </w:p>
    <w:p w14:paraId="1215D45F" w14:textId="22CA4A66" w:rsidR="007820E6" w:rsidRPr="007820E6" w:rsidRDefault="006F3EE9" w:rsidP="007820E6">
      <w:pPr>
        <w:pStyle w:val="ListParagraph"/>
        <w:numPr>
          <w:ilvl w:val="2"/>
          <w:numId w:val="25"/>
        </w:numPr>
        <w:rPr>
          <w:rFonts w:ascii="Arial" w:hAnsi="Arial" w:cs="Arial"/>
          <w:sz w:val="24"/>
          <w:szCs w:val="24"/>
        </w:rPr>
      </w:pPr>
      <w:r>
        <w:rPr>
          <w:rFonts w:ascii="Arial" w:hAnsi="Arial" w:cs="Arial"/>
          <w:sz w:val="24"/>
          <w:szCs w:val="24"/>
        </w:rPr>
        <w:t>R</w:t>
      </w:r>
      <w:r w:rsidR="007820E6" w:rsidRPr="007820E6">
        <w:rPr>
          <w:rFonts w:ascii="Arial" w:hAnsi="Arial" w:cs="Arial"/>
          <w:sz w:val="24"/>
          <w:szCs w:val="24"/>
        </w:rPr>
        <w:t>ecommend</w:t>
      </w:r>
      <w:r>
        <w:rPr>
          <w:rFonts w:ascii="Arial" w:hAnsi="Arial" w:cs="Arial"/>
          <w:sz w:val="24"/>
          <w:szCs w:val="24"/>
        </w:rPr>
        <w:t>ing</w:t>
      </w:r>
      <w:r w:rsidR="007820E6" w:rsidRPr="007820E6">
        <w:rPr>
          <w:rFonts w:ascii="Arial" w:hAnsi="Arial" w:cs="Arial"/>
          <w:sz w:val="24"/>
          <w:szCs w:val="24"/>
        </w:rPr>
        <w:t xml:space="preserve"> how to best evaluate and apply State emissions goals to natural gas utilities</w:t>
      </w:r>
      <w:r>
        <w:rPr>
          <w:rFonts w:ascii="Arial" w:hAnsi="Arial" w:cs="Arial"/>
          <w:sz w:val="24"/>
          <w:szCs w:val="24"/>
        </w:rPr>
        <w:t>.</w:t>
      </w:r>
    </w:p>
    <w:p w14:paraId="6A80F269" w14:textId="4594E3B3" w:rsidR="007820E6" w:rsidRPr="007820E6" w:rsidRDefault="006F3EE9" w:rsidP="007820E6">
      <w:pPr>
        <w:pStyle w:val="ListParagraph"/>
        <w:numPr>
          <w:ilvl w:val="2"/>
          <w:numId w:val="25"/>
        </w:numPr>
        <w:rPr>
          <w:rFonts w:ascii="Arial" w:hAnsi="Arial" w:cs="Arial"/>
          <w:sz w:val="24"/>
          <w:szCs w:val="24"/>
        </w:rPr>
      </w:pPr>
      <w:r>
        <w:rPr>
          <w:rFonts w:ascii="Arial" w:hAnsi="Arial" w:cs="Arial"/>
          <w:sz w:val="24"/>
          <w:szCs w:val="24"/>
        </w:rPr>
        <w:t>D</w:t>
      </w:r>
      <w:r w:rsidR="007820E6" w:rsidRPr="007820E6">
        <w:rPr>
          <w:rFonts w:ascii="Arial" w:hAnsi="Arial" w:cs="Arial"/>
          <w:sz w:val="24"/>
          <w:szCs w:val="24"/>
        </w:rPr>
        <w:t xml:space="preserve">eveloping best practices or a common methodology to </w:t>
      </w:r>
      <w:proofErr w:type="gramStart"/>
      <w:r w:rsidR="007820E6" w:rsidRPr="007820E6">
        <w:rPr>
          <w:rFonts w:ascii="Arial" w:hAnsi="Arial" w:cs="Arial"/>
          <w:sz w:val="24"/>
          <w:szCs w:val="24"/>
        </w:rPr>
        <w:t>evaluation</w:t>
      </w:r>
      <w:proofErr w:type="gramEnd"/>
      <w:r w:rsidR="007820E6" w:rsidRPr="007820E6">
        <w:rPr>
          <w:rFonts w:ascii="Arial" w:hAnsi="Arial" w:cs="Arial"/>
          <w:sz w:val="24"/>
          <w:szCs w:val="24"/>
        </w:rPr>
        <w:t xml:space="preserve"> the GHG impact of commitments in new or expanded NG contracts/agreements</w:t>
      </w:r>
      <w:r>
        <w:rPr>
          <w:rFonts w:ascii="Arial" w:hAnsi="Arial" w:cs="Arial"/>
          <w:sz w:val="24"/>
          <w:szCs w:val="24"/>
        </w:rPr>
        <w:t>.</w:t>
      </w:r>
    </w:p>
    <w:p w14:paraId="6FE0A54C" w14:textId="2D997266" w:rsidR="007820E6" w:rsidRPr="007820E6" w:rsidRDefault="006F3EE9" w:rsidP="007820E6">
      <w:pPr>
        <w:pStyle w:val="ListParagraph"/>
        <w:numPr>
          <w:ilvl w:val="2"/>
          <w:numId w:val="25"/>
        </w:numPr>
        <w:rPr>
          <w:rFonts w:ascii="Arial" w:hAnsi="Arial" w:cs="Arial"/>
          <w:sz w:val="24"/>
          <w:szCs w:val="24"/>
        </w:rPr>
      </w:pPr>
      <w:r>
        <w:rPr>
          <w:rFonts w:ascii="Arial" w:hAnsi="Arial" w:cs="Arial"/>
          <w:sz w:val="24"/>
          <w:szCs w:val="24"/>
        </w:rPr>
        <w:t>P</w:t>
      </w:r>
      <w:r w:rsidR="007820E6" w:rsidRPr="007820E6">
        <w:rPr>
          <w:rFonts w:ascii="Arial" w:hAnsi="Arial" w:cs="Arial"/>
          <w:sz w:val="24"/>
          <w:szCs w:val="24"/>
        </w:rPr>
        <w:t>reparing testimony in proceedings before the PUC in proceedings involving the LDCs</w:t>
      </w:r>
      <w:r>
        <w:rPr>
          <w:rFonts w:ascii="Arial" w:hAnsi="Arial" w:cs="Arial"/>
          <w:sz w:val="24"/>
          <w:szCs w:val="24"/>
        </w:rPr>
        <w:t>.</w:t>
      </w:r>
      <w:r w:rsidR="007820E6" w:rsidRPr="007820E6">
        <w:rPr>
          <w:rFonts w:ascii="Arial" w:hAnsi="Arial" w:cs="Arial"/>
          <w:sz w:val="24"/>
          <w:szCs w:val="24"/>
        </w:rPr>
        <w:t xml:space="preserve"> </w:t>
      </w:r>
    </w:p>
    <w:p w14:paraId="22B59B67" w14:textId="1C03AEAB" w:rsidR="00B94181" w:rsidRDefault="006F3EE9" w:rsidP="007820E6">
      <w:pPr>
        <w:pStyle w:val="ListParagraph"/>
        <w:numPr>
          <w:ilvl w:val="2"/>
          <w:numId w:val="25"/>
        </w:numPr>
        <w:rPr>
          <w:rFonts w:ascii="Arial" w:hAnsi="Arial" w:cs="Arial"/>
          <w:sz w:val="24"/>
          <w:szCs w:val="24"/>
        </w:rPr>
      </w:pPr>
      <w:r>
        <w:rPr>
          <w:rFonts w:ascii="Arial" w:hAnsi="Arial" w:cs="Arial"/>
          <w:sz w:val="24"/>
          <w:szCs w:val="24"/>
        </w:rPr>
        <w:t>P</w:t>
      </w:r>
      <w:r w:rsidR="007820E6" w:rsidRPr="007820E6">
        <w:rPr>
          <w:rFonts w:ascii="Arial" w:hAnsi="Arial" w:cs="Arial"/>
          <w:sz w:val="24"/>
          <w:szCs w:val="24"/>
        </w:rPr>
        <w:t>reparing and presenting a summary report</w:t>
      </w:r>
      <w:r>
        <w:rPr>
          <w:rFonts w:ascii="Arial" w:hAnsi="Arial" w:cs="Arial"/>
          <w:sz w:val="24"/>
          <w:szCs w:val="24"/>
        </w:rPr>
        <w:t>.</w:t>
      </w:r>
    </w:p>
    <w:p w14:paraId="44585F20" w14:textId="77777777" w:rsidR="00573E7B" w:rsidRDefault="00573E7B" w:rsidP="00573E7B">
      <w:pPr>
        <w:pStyle w:val="ListParagraph"/>
        <w:ind w:left="1080"/>
        <w:rPr>
          <w:rFonts w:ascii="Arial" w:hAnsi="Arial" w:cs="Arial"/>
          <w:sz w:val="24"/>
          <w:szCs w:val="24"/>
        </w:rPr>
      </w:pPr>
    </w:p>
    <w:p w14:paraId="12218606" w14:textId="07988014" w:rsidR="00573E7B" w:rsidRDefault="006F3EE9" w:rsidP="00573E7B">
      <w:pPr>
        <w:pStyle w:val="ListParagraph"/>
        <w:numPr>
          <w:ilvl w:val="1"/>
          <w:numId w:val="25"/>
        </w:numPr>
        <w:rPr>
          <w:rFonts w:ascii="Arial" w:hAnsi="Arial" w:cs="Arial"/>
          <w:sz w:val="24"/>
          <w:szCs w:val="24"/>
        </w:rPr>
      </w:pPr>
      <w:r>
        <w:rPr>
          <w:rFonts w:ascii="Arial" w:hAnsi="Arial" w:cs="Arial"/>
          <w:sz w:val="24"/>
          <w:szCs w:val="24"/>
        </w:rPr>
        <w:t>Tasks</w:t>
      </w:r>
      <w:r w:rsidR="00573E7B">
        <w:rPr>
          <w:rFonts w:ascii="Arial" w:hAnsi="Arial" w:cs="Arial"/>
          <w:sz w:val="24"/>
          <w:szCs w:val="24"/>
        </w:rPr>
        <w:t xml:space="preserve"> </w:t>
      </w:r>
      <w:r>
        <w:rPr>
          <w:rFonts w:ascii="Arial" w:hAnsi="Arial" w:cs="Arial"/>
          <w:sz w:val="24"/>
          <w:szCs w:val="24"/>
        </w:rPr>
        <w:t xml:space="preserve">also </w:t>
      </w:r>
      <w:r w:rsidR="00573E7B" w:rsidRPr="00573E7B">
        <w:rPr>
          <w:rFonts w:ascii="Arial" w:hAnsi="Arial" w:cs="Arial"/>
          <w:sz w:val="24"/>
          <w:szCs w:val="24"/>
        </w:rPr>
        <w:t>include review of the following practices</w:t>
      </w:r>
      <w:r w:rsidR="00573E7B">
        <w:rPr>
          <w:rFonts w:ascii="Arial" w:hAnsi="Arial" w:cs="Arial"/>
          <w:sz w:val="24"/>
          <w:szCs w:val="24"/>
        </w:rPr>
        <w:t>:</w:t>
      </w:r>
    </w:p>
    <w:p w14:paraId="2688F7CD" w14:textId="73FC8E30"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Promotional allowances</w:t>
      </w:r>
      <w:r w:rsidR="006F3EE9">
        <w:rPr>
          <w:rFonts w:ascii="Arial" w:hAnsi="Arial" w:cs="Arial"/>
          <w:sz w:val="24"/>
          <w:szCs w:val="24"/>
        </w:rPr>
        <w:t>.</w:t>
      </w:r>
    </w:p>
    <w:p w14:paraId="6F97496A" w14:textId="66BAC927"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Investing in new customer connections</w:t>
      </w:r>
      <w:r w:rsidR="006F3EE9">
        <w:rPr>
          <w:rFonts w:ascii="Arial" w:hAnsi="Arial" w:cs="Arial"/>
          <w:sz w:val="24"/>
          <w:szCs w:val="24"/>
        </w:rPr>
        <w:t>.</w:t>
      </w:r>
    </w:p>
    <w:p w14:paraId="19E84E76" w14:textId="6A2388A2"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 xml:space="preserve">Expanding </w:t>
      </w:r>
      <w:r w:rsidR="006F3EE9" w:rsidRPr="002F5DA4">
        <w:rPr>
          <w:rFonts w:ascii="Arial" w:hAnsi="Arial" w:cs="Arial"/>
          <w:sz w:val="24"/>
          <w:szCs w:val="24"/>
        </w:rPr>
        <w:t>services</w:t>
      </w:r>
      <w:r w:rsidRPr="002F5DA4">
        <w:rPr>
          <w:rFonts w:ascii="Arial" w:hAnsi="Arial" w:cs="Arial"/>
          <w:sz w:val="24"/>
          <w:szCs w:val="24"/>
        </w:rPr>
        <w:t xml:space="preserve"> into new municipalities</w:t>
      </w:r>
      <w:r w:rsidR="006F3EE9">
        <w:rPr>
          <w:rFonts w:ascii="Arial" w:hAnsi="Arial" w:cs="Arial"/>
          <w:sz w:val="24"/>
          <w:szCs w:val="24"/>
        </w:rPr>
        <w:t>.</w:t>
      </w:r>
    </w:p>
    <w:p w14:paraId="0016CE87" w14:textId="13B24101"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Special rate discounts for industrial users</w:t>
      </w:r>
      <w:r w:rsidR="006F3EE9">
        <w:rPr>
          <w:rFonts w:ascii="Arial" w:hAnsi="Arial" w:cs="Arial"/>
          <w:sz w:val="24"/>
          <w:szCs w:val="24"/>
        </w:rPr>
        <w:t>.</w:t>
      </w:r>
    </w:p>
    <w:p w14:paraId="05FDB35D" w14:textId="26C3D581"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Major investment in new gas infrastructure</w:t>
      </w:r>
      <w:r w:rsidR="006F3EE9">
        <w:rPr>
          <w:rFonts w:ascii="Arial" w:hAnsi="Arial" w:cs="Arial"/>
          <w:sz w:val="24"/>
          <w:szCs w:val="24"/>
        </w:rPr>
        <w:t>.</w:t>
      </w:r>
    </w:p>
    <w:p w14:paraId="70D6B19A" w14:textId="7AE238C6"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 xml:space="preserve">Major new </w:t>
      </w:r>
      <w:r w:rsidR="006F3EE9" w:rsidRPr="002F5DA4">
        <w:rPr>
          <w:rFonts w:ascii="Arial" w:hAnsi="Arial" w:cs="Arial"/>
          <w:sz w:val="24"/>
          <w:szCs w:val="24"/>
        </w:rPr>
        <w:t>long-term</w:t>
      </w:r>
      <w:r w:rsidRPr="002F5DA4">
        <w:rPr>
          <w:rFonts w:ascii="Arial" w:hAnsi="Arial" w:cs="Arial"/>
          <w:sz w:val="24"/>
          <w:szCs w:val="24"/>
        </w:rPr>
        <w:t xml:space="preserve"> supply contracts</w:t>
      </w:r>
      <w:r w:rsidR="006F3EE9">
        <w:rPr>
          <w:rFonts w:ascii="Arial" w:hAnsi="Arial" w:cs="Arial"/>
          <w:sz w:val="24"/>
          <w:szCs w:val="24"/>
        </w:rPr>
        <w:t>.</w:t>
      </w:r>
    </w:p>
    <w:p w14:paraId="77685EFE" w14:textId="2A0C10F2" w:rsidR="002F5DA4" w:rsidRP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Major new upstream pipeline reservation contracts</w:t>
      </w:r>
      <w:r w:rsidR="006F3EE9">
        <w:rPr>
          <w:rFonts w:ascii="Arial" w:hAnsi="Arial" w:cs="Arial"/>
          <w:sz w:val="24"/>
          <w:szCs w:val="24"/>
        </w:rPr>
        <w:t>.</w:t>
      </w:r>
    </w:p>
    <w:p w14:paraId="021500DD" w14:textId="0AEDE467" w:rsidR="002F5DA4" w:rsidRDefault="002F5DA4" w:rsidP="002F5DA4">
      <w:pPr>
        <w:pStyle w:val="ListParagraph"/>
        <w:numPr>
          <w:ilvl w:val="2"/>
          <w:numId w:val="25"/>
        </w:numPr>
        <w:rPr>
          <w:rFonts w:ascii="Arial" w:hAnsi="Arial" w:cs="Arial"/>
          <w:sz w:val="24"/>
          <w:szCs w:val="24"/>
        </w:rPr>
      </w:pPr>
      <w:r w:rsidRPr="002F5DA4">
        <w:rPr>
          <w:rFonts w:ascii="Arial" w:hAnsi="Arial" w:cs="Arial"/>
          <w:sz w:val="24"/>
          <w:szCs w:val="24"/>
        </w:rPr>
        <w:t xml:space="preserve">Depreciation rates </w:t>
      </w:r>
      <w:r w:rsidR="006F3EE9" w:rsidRPr="002F5DA4">
        <w:rPr>
          <w:rFonts w:ascii="Arial" w:hAnsi="Arial" w:cs="Arial"/>
          <w:sz w:val="24"/>
          <w:szCs w:val="24"/>
        </w:rPr>
        <w:t>are used</w:t>
      </w:r>
      <w:r w:rsidRPr="002F5DA4">
        <w:rPr>
          <w:rFonts w:ascii="Arial" w:hAnsi="Arial" w:cs="Arial"/>
          <w:sz w:val="24"/>
          <w:szCs w:val="24"/>
        </w:rPr>
        <w:t xml:space="preserve"> in LDC rate cases</w:t>
      </w:r>
      <w:r w:rsidR="006F3EE9">
        <w:rPr>
          <w:rFonts w:ascii="Arial" w:hAnsi="Arial" w:cs="Arial"/>
          <w:sz w:val="24"/>
          <w:szCs w:val="24"/>
        </w:rPr>
        <w:t>.</w:t>
      </w:r>
    </w:p>
    <w:p w14:paraId="2A99111A" w14:textId="77777777" w:rsidR="00B94181" w:rsidRPr="00F75CBC" w:rsidRDefault="00B94181" w:rsidP="00B94181">
      <w:pPr>
        <w:pStyle w:val="ListParagraph"/>
        <w:rPr>
          <w:rFonts w:ascii="Arial" w:hAnsi="Arial" w:cs="Arial"/>
          <w:sz w:val="24"/>
          <w:szCs w:val="24"/>
        </w:rPr>
      </w:pPr>
    </w:p>
    <w:p w14:paraId="52ABFDD2" w14:textId="4F07D57E" w:rsidR="00511540" w:rsidRPr="00F75CBC" w:rsidRDefault="00511540" w:rsidP="00511540">
      <w:pPr>
        <w:pStyle w:val="ListParagraph"/>
        <w:numPr>
          <w:ilvl w:val="0"/>
          <w:numId w:val="25"/>
        </w:numPr>
        <w:rPr>
          <w:rFonts w:ascii="Arial" w:hAnsi="Arial" w:cs="Arial"/>
          <w:sz w:val="24"/>
          <w:szCs w:val="24"/>
        </w:rPr>
      </w:pPr>
      <w:r w:rsidRPr="00F75CBC">
        <w:rPr>
          <w:rFonts w:ascii="Arial" w:hAnsi="Arial" w:cs="Arial"/>
          <w:sz w:val="24"/>
          <w:szCs w:val="24"/>
        </w:rPr>
        <w:t xml:space="preserve"> </w:t>
      </w:r>
      <w:r w:rsidR="00B94181">
        <w:rPr>
          <w:rFonts w:ascii="Arial" w:hAnsi="Arial" w:cs="Arial"/>
          <w:b/>
          <w:bCs/>
          <w:sz w:val="24"/>
          <w:szCs w:val="24"/>
        </w:rPr>
        <w:t>MANNER OF PERFORMANCE OF THE WORK</w:t>
      </w:r>
    </w:p>
    <w:p w14:paraId="1A94762E" w14:textId="1A107F67" w:rsidR="00511540" w:rsidRPr="00F75CBC" w:rsidRDefault="00B94181" w:rsidP="00511540">
      <w:pPr>
        <w:pStyle w:val="ListParagraph"/>
        <w:numPr>
          <w:ilvl w:val="1"/>
          <w:numId w:val="25"/>
        </w:numPr>
        <w:rPr>
          <w:rFonts w:ascii="Arial" w:hAnsi="Arial" w:cs="Arial"/>
          <w:sz w:val="24"/>
          <w:szCs w:val="24"/>
        </w:rPr>
      </w:pPr>
      <w:r>
        <w:rPr>
          <w:rFonts w:ascii="Arial" w:hAnsi="Arial" w:cs="Arial"/>
          <w:sz w:val="24"/>
          <w:szCs w:val="24"/>
        </w:rPr>
        <w:t>In performing</w:t>
      </w:r>
      <w:r w:rsidR="003D6E45">
        <w:rPr>
          <w:rFonts w:ascii="Arial" w:hAnsi="Arial" w:cs="Arial"/>
          <w:sz w:val="24"/>
          <w:szCs w:val="24"/>
        </w:rPr>
        <w:t xml:space="preserve"> Duties</w:t>
      </w:r>
      <w:r>
        <w:rPr>
          <w:rFonts w:ascii="Arial" w:hAnsi="Arial" w:cs="Arial"/>
          <w:sz w:val="24"/>
          <w:szCs w:val="24"/>
        </w:rPr>
        <w:t xml:space="preserve"> in Part II A. 1-</w:t>
      </w:r>
      <w:r w:rsidR="00DA3751">
        <w:rPr>
          <w:rFonts w:ascii="Arial" w:hAnsi="Arial" w:cs="Arial"/>
          <w:sz w:val="24"/>
          <w:szCs w:val="24"/>
        </w:rPr>
        <w:t>3</w:t>
      </w:r>
      <w:r>
        <w:rPr>
          <w:rFonts w:ascii="Arial" w:hAnsi="Arial" w:cs="Arial"/>
          <w:sz w:val="24"/>
          <w:szCs w:val="24"/>
        </w:rPr>
        <w:t xml:space="preserve"> above, the </w:t>
      </w:r>
      <w:r w:rsidR="00D3507C">
        <w:rPr>
          <w:rFonts w:ascii="Arial" w:hAnsi="Arial" w:cs="Arial"/>
          <w:sz w:val="24"/>
          <w:szCs w:val="24"/>
        </w:rPr>
        <w:t>consultant will</w:t>
      </w:r>
      <w:r>
        <w:rPr>
          <w:rFonts w:ascii="Arial" w:hAnsi="Arial" w:cs="Arial"/>
          <w:sz w:val="24"/>
          <w:szCs w:val="24"/>
        </w:rPr>
        <w:t xml:space="preserve"> be </w:t>
      </w:r>
      <w:r w:rsidR="00A01715">
        <w:rPr>
          <w:rFonts w:ascii="Arial" w:hAnsi="Arial" w:cs="Arial"/>
          <w:sz w:val="24"/>
          <w:szCs w:val="24"/>
        </w:rPr>
        <w:t>always expected</w:t>
      </w:r>
      <w:r>
        <w:rPr>
          <w:rFonts w:ascii="Arial" w:hAnsi="Arial" w:cs="Arial"/>
          <w:sz w:val="24"/>
          <w:szCs w:val="24"/>
        </w:rPr>
        <w:t xml:space="preserve"> to:</w:t>
      </w:r>
    </w:p>
    <w:p w14:paraId="1424A4D1" w14:textId="2E629886" w:rsidR="00511540" w:rsidRPr="00F75CBC"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Communicate with the Office on a schedule to be agreed on as to the progress of the work and the results of that work</w:t>
      </w:r>
      <w:r>
        <w:rPr>
          <w:rFonts w:ascii="Arial" w:hAnsi="Arial" w:cs="Arial"/>
          <w:sz w:val="24"/>
          <w:szCs w:val="24"/>
        </w:rPr>
        <w:t>.</w:t>
      </w:r>
      <w:r w:rsidR="00511540" w:rsidRPr="00F75CBC">
        <w:rPr>
          <w:rFonts w:ascii="Arial" w:hAnsi="Arial" w:cs="Arial"/>
          <w:sz w:val="24"/>
          <w:szCs w:val="24"/>
        </w:rPr>
        <w:t xml:space="preserve"> </w:t>
      </w:r>
    </w:p>
    <w:p w14:paraId="4BB6E235" w14:textId="2E6E0AA2" w:rsidR="00511540"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For the Office’s review, prepare drafts of all written materials to be employed sufficiently in advance of the time that they must be submitted to allow the Office to review the work and discuss issues or problems in greater detail</w:t>
      </w:r>
      <w:r>
        <w:rPr>
          <w:rFonts w:ascii="Arial" w:hAnsi="Arial" w:cs="Arial"/>
          <w:sz w:val="24"/>
          <w:szCs w:val="24"/>
        </w:rPr>
        <w:t>.</w:t>
      </w:r>
    </w:p>
    <w:p w14:paraId="1E5AD5F0" w14:textId="735D503A" w:rsidR="00B94181" w:rsidRPr="00F75CBC"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Complete all work in accordance with such timetables</w:t>
      </w:r>
      <w:r>
        <w:rPr>
          <w:rFonts w:ascii="Arial" w:hAnsi="Arial" w:cs="Arial"/>
          <w:sz w:val="24"/>
          <w:szCs w:val="24"/>
        </w:rPr>
        <w:t>.</w:t>
      </w:r>
    </w:p>
    <w:p w14:paraId="5F60D206" w14:textId="77777777" w:rsidR="00511540" w:rsidRPr="00F75CBC" w:rsidRDefault="00511540" w:rsidP="00D27930">
      <w:pPr>
        <w:pStyle w:val="ListParagraph"/>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7"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61EC47D"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B11C6F">
        <w:rPr>
          <w:rFonts w:ascii="Arial" w:hAnsi="Arial" w:cs="Arial"/>
          <w:b/>
          <w:sz w:val="24"/>
          <w:szCs w:val="24"/>
        </w:rPr>
        <w:t xml:space="preserve"> 202404093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077272C" w:rsidR="00AC25CE" w:rsidRPr="00C97934" w:rsidRDefault="00B51518" w:rsidP="00D15916">
      <w:pPr>
        <w:pStyle w:val="ListParagraph"/>
        <w:ind w:left="1440"/>
        <w:rPr>
          <w:rFonts w:ascii="Arial" w:hAnsi="Arial" w:cs="Arial"/>
          <w:sz w:val="24"/>
          <w:szCs w:val="24"/>
        </w:rPr>
      </w:pPr>
      <w:r w:rsidRPr="00073B28">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240E1F62" w:rsidR="00362031" w:rsidRPr="00073B28" w:rsidRDefault="0055472F" w:rsidP="00073B2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4F19B01A" w:rsidR="00362031" w:rsidRPr="00C97934" w:rsidRDefault="007D3784" w:rsidP="00073B2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3F2539" w:rsidRDefault="00897520" w:rsidP="00EA18AB">
      <w:pPr>
        <w:pStyle w:val="ListParagraph"/>
        <w:numPr>
          <w:ilvl w:val="1"/>
          <w:numId w:val="19"/>
        </w:numPr>
        <w:rPr>
          <w:rFonts w:ascii="Arial" w:hAnsi="Arial" w:cs="Arial"/>
          <w:b/>
          <w:sz w:val="24"/>
          <w:szCs w:val="24"/>
        </w:rPr>
      </w:pPr>
      <w:r w:rsidRPr="003F2539">
        <w:rPr>
          <w:rFonts w:ascii="Arial" w:hAnsi="Arial" w:cs="Arial"/>
          <w:b/>
          <w:sz w:val="24"/>
          <w:szCs w:val="24"/>
        </w:rPr>
        <w:t xml:space="preserve">Implementation - </w:t>
      </w:r>
      <w:r w:rsidR="000D56AE" w:rsidRPr="003F2539">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2B4CABE" w:rsidR="00B315FA" w:rsidRPr="003F2539"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3F2539">
        <w:rPr>
          <w:rFonts w:ascii="Arial" w:hAnsi="Arial" w:cs="Arial"/>
          <w:sz w:val="24"/>
          <w:szCs w:val="24"/>
        </w:rPr>
        <w:t xml:space="preserve">June 15, </w:t>
      </w:r>
      <w:proofErr w:type="gramStart"/>
      <w:r w:rsidR="003F2539">
        <w:rPr>
          <w:rFonts w:ascii="Arial" w:hAnsi="Arial" w:cs="Arial"/>
          <w:sz w:val="24"/>
          <w:szCs w:val="24"/>
        </w:rPr>
        <w:t>2024</w:t>
      </w:r>
      <w:proofErr w:type="gramEnd"/>
      <w:r w:rsidR="00942CF6" w:rsidRPr="003F2539">
        <w:rPr>
          <w:rFonts w:ascii="Arial" w:hAnsi="Arial" w:cs="Arial"/>
          <w:sz w:val="24"/>
          <w:szCs w:val="24"/>
        </w:rPr>
        <w:t xml:space="preserve"> </w:t>
      </w:r>
      <w:r w:rsidR="00942CF6" w:rsidRPr="00C97934">
        <w:rPr>
          <w:rFonts w:ascii="Arial" w:hAnsi="Arial" w:cs="Arial"/>
          <w:sz w:val="24"/>
          <w:szCs w:val="24"/>
        </w:rPr>
        <w:t xml:space="preserve">and ending on </w:t>
      </w:r>
      <w:r w:rsidR="003F2539">
        <w:rPr>
          <w:rFonts w:ascii="Arial" w:hAnsi="Arial" w:cs="Arial"/>
          <w:sz w:val="24"/>
          <w:szCs w:val="24"/>
        </w:rPr>
        <w:t>May 31, 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4DED0F34" w14:textId="74B05B61" w:rsidR="003F2539" w:rsidRDefault="00E82FB4" w:rsidP="003F2539">
      <w:pPr>
        <w:pStyle w:val="ListParagraph"/>
        <w:numPr>
          <w:ilvl w:val="2"/>
          <w:numId w:val="20"/>
        </w:numPr>
        <w:rPr>
          <w:rFonts w:ascii="Arial" w:hAnsi="Arial" w:cs="Arial"/>
          <w:sz w:val="24"/>
          <w:szCs w:val="24"/>
        </w:rPr>
        <w:sectPr w:rsidR="003F2539" w:rsidSect="003D0E36">
          <w:headerReference w:type="default" r:id="rId29"/>
          <w:footerReference w:type="default" r:id="rId30"/>
          <w:pgSz w:w="12240" w:h="15840" w:code="1"/>
          <w:pgMar w:top="720" w:right="900" w:bottom="990" w:left="1080" w:header="432" w:footer="288" w:gutter="0"/>
          <w:paperSrc w:first="15" w:other="15"/>
          <w:cols w:space="720"/>
          <w:docGrid w:linePitch="360"/>
        </w:sect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p>
    <w:p w14:paraId="1B14044D" w14:textId="77777777" w:rsidR="00B315FA" w:rsidRPr="00813A0F" w:rsidRDefault="00B315FA" w:rsidP="00813A0F">
      <w:pPr>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7A1CB7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24BEC06B"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336428">
        <w:rPr>
          <w:rFonts w:ascii="Arial" w:hAnsi="Arial" w:cs="Arial"/>
          <w:b/>
          <w:sz w:val="24"/>
          <w:szCs w:val="24"/>
        </w:rPr>
        <w:t xml:space="preserve">40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0CDE82B2"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336428" w:rsidRPr="00336428">
        <w:rPr>
          <w:rFonts w:ascii="Arial" w:hAnsi="Arial" w:cs="Arial"/>
          <w:b/>
          <w:sz w:val="24"/>
          <w:szCs w:val="24"/>
        </w:rPr>
        <w:t xml:space="preserve">35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45A19F8A"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336428">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3F2EB4A6"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FB6811">
        <w:rPr>
          <w:rFonts w:ascii="Arial" w:hAnsi="Arial" w:cs="Arial"/>
          <w:sz w:val="24"/>
          <w:szCs w:val="24"/>
          <w:u w:val="single"/>
        </w:rPr>
        <w:t>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BB1556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73B28">
        <w:rPr>
          <w:rFonts w:ascii="Arial" w:hAnsi="Arial" w:cs="Arial"/>
          <w:sz w:val="24"/>
          <w:szCs w:val="24"/>
        </w:rPr>
        <w:t>(</w:t>
      </w:r>
      <w:r w:rsidR="00FB6811">
        <w:rPr>
          <w:rFonts w:ascii="Arial" w:hAnsi="Arial" w:cs="Arial"/>
          <w:sz w:val="24"/>
          <w:szCs w:val="24"/>
        </w:rPr>
        <w:t>25</w:t>
      </w:r>
      <w:r w:rsidR="00351845" w:rsidRPr="00073B28">
        <w:rPr>
          <w:rFonts w:ascii="Arial" w:hAnsi="Arial" w:cs="Arial"/>
          <w:sz w:val="24"/>
          <w:szCs w:val="24"/>
        </w:rPr>
        <w:t>)</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44A181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073B2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1925BD07" w:rsidR="006C712B" w:rsidRPr="00C97934" w:rsidRDefault="00C11E87" w:rsidP="00FD20B5">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r w:rsidR="00FD20B5">
        <w:rPr>
          <w:rFonts w:ascii="Arial" w:hAnsi="Arial" w:cs="Arial"/>
          <w:sz w:val="24"/>
          <w:szCs w:val="24"/>
        </w:rPr>
        <w:t xml:space="preserve"> Vendor shall provide at least one month’s notification to the Public Advocate by email </w:t>
      </w:r>
      <w:r w:rsidR="00A01715">
        <w:rPr>
          <w:rFonts w:ascii="Arial" w:hAnsi="Arial" w:cs="Arial"/>
          <w:sz w:val="24"/>
          <w:szCs w:val="24"/>
        </w:rPr>
        <w:t>to the Program Administrator</w:t>
      </w:r>
      <w:r w:rsidR="00FD20B5">
        <w:rPr>
          <w:rFonts w:ascii="Arial" w:hAnsi="Arial" w:cs="Arial"/>
          <w:sz w:val="24"/>
          <w:szCs w:val="24"/>
        </w:rPr>
        <w:t xml:space="preserve"> when the balance remaining on</w:t>
      </w:r>
      <w:r w:rsidR="00A01715">
        <w:rPr>
          <w:rFonts w:ascii="Arial" w:hAnsi="Arial" w:cs="Arial"/>
          <w:sz w:val="24"/>
          <w:szCs w:val="24"/>
        </w:rPr>
        <w:t xml:space="preserve"> the awarded</w:t>
      </w:r>
      <w:r w:rsidR="00FD20B5">
        <w:rPr>
          <w:rFonts w:ascii="Arial" w:hAnsi="Arial" w:cs="Arial"/>
          <w:sz w:val="24"/>
          <w:szCs w:val="24"/>
        </w:rPr>
        <w:t xml:space="preserve"> contract goes below $5,000.</w:t>
      </w:r>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B8DC654"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5D41FB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A64467">
        <w:rPr>
          <w:rFonts w:ascii="Arial" w:hAnsi="Arial" w:cs="Arial"/>
          <w:b/>
          <w:sz w:val="28"/>
          <w:szCs w:val="28"/>
        </w:rPr>
        <w:t># 202404093</w:t>
      </w:r>
    </w:p>
    <w:p w14:paraId="5B81E3BF" w14:textId="77777777" w:rsidR="003F2539" w:rsidRPr="00A64467" w:rsidRDefault="003F2539" w:rsidP="003F2539">
      <w:pPr>
        <w:pStyle w:val="DefaultText"/>
        <w:widowControl/>
        <w:jc w:val="center"/>
        <w:rPr>
          <w:rStyle w:val="InitialStyle"/>
          <w:rFonts w:ascii="Arial" w:hAnsi="Arial" w:cs="Arial"/>
          <w:b/>
          <w:bCs/>
          <w:sz w:val="28"/>
          <w:szCs w:val="28"/>
          <w:u w:val="single"/>
        </w:rPr>
      </w:pPr>
      <w:r w:rsidRPr="00A64467">
        <w:rPr>
          <w:rStyle w:val="InitialStyle"/>
          <w:rFonts w:ascii="Arial" w:hAnsi="Arial" w:cs="Arial"/>
          <w:b/>
          <w:bCs/>
          <w:sz w:val="28"/>
          <w:szCs w:val="28"/>
          <w:u w:val="single"/>
        </w:rPr>
        <w:t>Consulting Services – Future Use of Natural Gas in Maine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3D0E3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3322658" w:rsidR="00A62F45" w:rsidRPr="00C97934" w:rsidRDefault="00FD20B5"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0E21328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A64467">
        <w:rPr>
          <w:rStyle w:val="InitialStyle"/>
          <w:rFonts w:ascii="Arial" w:hAnsi="Arial" w:cs="Arial"/>
          <w:b/>
          <w:sz w:val="28"/>
          <w:szCs w:val="28"/>
        </w:rPr>
        <w:t xml:space="preserve"> 202404093</w:t>
      </w:r>
    </w:p>
    <w:p w14:paraId="38F9ECB5" w14:textId="77777777" w:rsidR="003F2539" w:rsidRPr="00A64467" w:rsidRDefault="003F2539" w:rsidP="003F2539">
      <w:pPr>
        <w:pStyle w:val="DefaultText"/>
        <w:widowControl/>
        <w:jc w:val="center"/>
        <w:rPr>
          <w:rStyle w:val="InitialStyle"/>
          <w:rFonts w:ascii="Arial" w:hAnsi="Arial" w:cs="Arial"/>
          <w:b/>
          <w:bCs/>
          <w:sz w:val="28"/>
          <w:szCs w:val="28"/>
          <w:u w:val="single"/>
        </w:rPr>
      </w:pPr>
      <w:r w:rsidRPr="00A64467">
        <w:rPr>
          <w:rStyle w:val="InitialStyle"/>
          <w:rFonts w:ascii="Arial" w:hAnsi="Arial" w:cs="Arial"/>
          <w:b/>
          <w:bCs/>
          <w:sz w:val="28"/>
          <w:szCs w:val="28"/>
          <w:u w:val="single"/>
        </w:rPr>
        <w:t>Consulting Services – Future Use of Natural Gas in Maine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CE87690" w:rsidR="003D5C04" w:rsidRPr="00C97934" w:rsidRDefault="00FD20B5"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1C62189"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A64467">
        <w:rPr>
          <w:rStyle w:val="InitialStyle"/>
          <w:rFonts w:ascii="Arial" w:hAnsi="Arial" w:cs="Arial"/>
          <w:b/>
          <w:sz w:val="28"/>
          <w:szCs w:val="28"/>
        </w:rPr>
        <w:t xml:space="preserve"> 202404093</w:t>
      </w:r>
    </w:p>
    <w:p w14:paraId="0EA0681F" w14:textId="77777777" w:rsidR="003F2539" w:rsidRPr="00A64467" w:rsidRDefault="003F2539" w:rsidP="003F2539">
      <w:pPr>
        <w:pStyle w:val="DefaultText"/>
        <w:widowControl/>
        <w:jc w:val="center"/>
        <w:rPr>
          <w:rStyle w:val="InitialStyle"/>
          <w:rFonts w:ascii="Arial" w:hAnsi="Arial" w:cs="Arial"/>
          <w:b/>
          <w:bCs/>
          <w:sz w:val="28"/>
          <w:szCs w:val="28"/>
          <w:u w:val="single"/>
        </w:rPr>
      </w:pPr>
      <w:r w:rsidRPr="00A64467">
        <w:rPr>
          <w:rStyle w:val="InitialStyle"/>
          <w:rFonts w:ascii="Arial" w:hAnsi="Arial" w:cs="Arial"/>
          <w:b/>
          <w:bCs/>
          <w:sz w:val="28"/>
          <w:szCs w:val="28"/>
          <w:u w:val="single"/>
        </w:rPr>
        <w:t>Consulting Services – Future Use of Natural Gas in Maine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4733128"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3DDED0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A64467">
        <w:rPr>
          <w:rFonts w:ascii="Arial" w:hAnsi="Arial" w:cs="Arial"/>
          <w:b/>
          <w:sz w:val="28"/>
          <w:szCs w:val="28"/>
        </w:rPr>
        <w:t xml:space="preserve"> 202404093</w:t>
      </w:r>
    </w:p>
    <w:p w14:paraId="14A6CC3C" w14:textId="77777777" w:rsidR="003F2539" w:rsidRPr="00A64467" w:rsidRDefault="003F2539" w:rsidP="003F2539">
      <w:pPr>
        <w:pStyle w:val="DefaultText"/>
        <w:widowControl/>
        <w:jc w:val="center"/>
        <w:rPr>
          <w:rStyle w:val="InitialStyle"/>
          <w:rFonts w:ascii="Arial" w:hAnsi="Arial" w:cs="Arial"/>
          <w:b/>
          <w:bCs/>
          <w:sz w:val="28"/>
          <w:szCs w:val="28"/>
          <w:u w:val="single"/>
        </w:rPr>
      </w:pPr>
      <w:r w:rsidRPr="00A64467">
        <w:rPr>
          <w:rStyle w:val="InitialStyle"/>
          <w:rFonts w:ascii="Arial" w:hAnsi="Arial" w:cs="Arial"/>
          <w:b/>
          <w:bCs/>
          <w:sz w:val="28"/>
          <w:szCs w:val="28"/>
          <w:u w:val="single"/>
        </w:rPr>
        <w:t>Consulting Services – Future Use of Natural Gas in Maine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34327384"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4D3CC67" w14:textId="05BC5932" w:rsidR="00FD20B5" w:rsidRPr="001029FC" w:rsidRDefault="00FD20B5" w:rsidP="00FD20B5">
      <w:pPr>
        <w:widowControl/>
        <w:tabs>
          <w:tab w:val="left" w:pos="720"/>
        </w:tabs>
        <w:rPr>
          <w:rFonts w:ascii="Arial" w:hAnsi="Arial" w:cs="Arial"/>
          <w:sz w:val="24"/>
          <w:szCs w:val="24"/>
        </w:rPr>
      </w:pPr>
      <w:r>
        <w:rPr>
          <w:rFonts w:ascii="Arial" w:hAnsi="Arial" w:cs="Arial"/>
          <w:sz w:val="24"/>
          <w:szCs w:val="24"/>
        </w:rPr>
        <w:t>I</w:t>
      </w:r>
      <w:r w:rsidRPr="001029FC">
        <w:rPr>
          <w:rFonts w:ascii="Arial" w:hAnsi="Arial" w:cs="Arial"/>
          <w:sz w:val="24"/>
          <w:szCs w:val="24"/>
        </w:rPr>
        <w:t xml:space="preserve">nstructions: Bidders must provide a proposal for costs associated with performing the tasks described in this RFP. </w:t>
      </w:r>
      <w:r w:rsidRPr="001029FC">
        <w:rPr>
          <w:rFonts w:ascii="Arial" w:hAnsi="Arial" w:cs="Arial"/>
          <w:bCs/>
          <w:sz w:val="24"/>
          <w:szCs w:val="24"/>
        </w:rPr>
        <w:t>Bidders should estimate the number of hours per month to be performed and provide a total projected cost for those services for each month, then annualize those monthly personal services cost</w:t>
      </w:r>
      <w:r w:rsidR="00C8798B">
        <w:rPr>
          <w:rFonts w:ascii="Arial" w:hAnsi="Arial" w:cs="Arial"/>
          <w:bCs/>
          <w:sz w:val="24"/>
          <w:szCs w:val="24"/>
        </w:rPr>
        <w:t>s</w:t>
      </w:r>
      <w:r w:rsidRPr="001029FC">
        <w:rPr>
          <w:rFonts w:ascii="Arial" w:hAnsi="Arial" w:cs="Arial"/>
          <w:bCs/>
          <w:sz w:val="24"/>
          <w:szCs w:val="24"/>
        </w:rPr>
        <w:t xml:space="preserve">. Bidders must also provide a cost for any non-personal service items and any indirect costs that are expected on an annual basis. </w:t>
      </w:r>
      <w:r w:rsidRPr="001029FC">
        <w:rPr>
          <w:rFonts w:ascii="Arial" w:hAnsi="Arial" w:cs="Arial"/>
          <w:sz w:val="24"/>
          <w:szCs w:val="24"/>
        </w:rPr>
        <w:t xml:space="preserve">The Total Project Cost </w:t>
      </w:r>
      <w:r w:rsidR="0062369F">
        <w:rPr>
          <w:rFonts w:ascii="Arial" w:hAnsi="Arial" w:cs="Arial"/>
          <w:sz w:val="24"/>
          <w:szCs w:val="24"/>
        </w:rPr>
        <w:t>will cover the Initial Period of Performance as described in Part I, C and</w:t>
      </w:r>
      <w:r w:rsidRPr="001029FC">
        <w:rPr>
          <w:rFonts w:ascii="Arial" w:hAnsi="Arial" w:cs="Arial"/>
          <w:sz w:val="24"/>
          <w:szCs w:val="24"/>
        </w:rPr>
        <w:t xml:space="preserve"> will represent the “not to exceed” </w:t>
      </w:r>
      <w:proofErr w:type="gramStart"/>
      <w:r w:rsidRPr="001029FC">
        <w:rPr>
          <w:rFonts w:ascii="Arial" w:hAnsi="Arial" w:cs="Arial"/>
          <w:sz w:val="24"/>
          <w:szCs w:val="24"/>
        </w:rPr>
        <w:t xml:space="preserve">amount </w:t>
      </w:r>
      <w:r w:rsidR="007F67A3">
        <w:rPr>
          <w:rFonts w:ascii="Arial" w:hAnsi="Arial" w:cs="Arial"/>
          <w:sz w:val="24"/>
          <w:szCs w:val="24"/>
        </w:rPr>
        <w:t>o</w:t>
      </w:r>
      <w:r w:rsidRPr="001029FC">
        <w:rPr>
          <w:rFonts w:ascii="Arial" w:hAnsi="Arial" w:cs="Arial"/>
          <w:sz w:val="24"/>
          <w:szCs w:val="24"/>
        </w:rPr>
        <w:t>f</w:t>
      </w:r>
      <w:proofErr w:type="gramEnd"/>
      <w:r w:rsidRPr="001029FC">
        <w:rPr>
          <w:rFonts w:ascii="Arial" w:hAnsi="Arial" w:cs="Arial"/>
          <w:sz w:val="24"/>
          <w:szCs w:val="24"/>
        </w:rPr>
        <w:t xml:space="preserve"> awarded the contract.  </w:t>
      </w:r>
      <w:bookmarkStart w:id="50" w:name="_Hlk4502229"/>
      <w:r w:rsidRPr="001029FC">
        <w:rPr>
          <w:rFonts w:ascii="Arial" w:hAnsi="Arial" w:cs="Arial"/>
          <w:sz w:val="24"/>
          <w:szCs w:val="24"/>
        </w:rPr>
        <w:t>The Proposed Cost will be the amount used in the scoring cost formula detailed in Part V of this RFP.</w:t>
      </w:r>
      <w:bookmarkEnd w:id="50"/>
    </w:p>
    <w:p w14:paraId="23383EC8" w14:textId="77777777" w:rsidR="0062369F" w:rsidRPr="00C97934" w:rsidRDefault="0062369F" w:rsidP="0062369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62369F" w:rsidRPr="002C68C7" w14:paraId="7EFAAD6A" w14:textId="77777777" w:rsidTr="003E241D">
        <w:tc>
          <w:tcPr>
            <w:tcW w:w="6925" w:type="dxa"/>
            <w:shd w:val="clear" w:color="auto" w:fill="C6D9F1"/>
            <w:vAlign w:val="center"/>
          </w:tcPr>
          <w:p w14:paraId="3FCD3E92" w14:textId="77777777" w:rsidR="0062369F" w:rsidRPr="002C68C7" w:rsidRDefault="0062369F" w:rsidP="003E241D">
            <w:pPr>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3FE63E8E" w14:textId="77777777" w:rsidR="0062369F" w:rsidRPr="002C68C7" w:rsidRDefault="0062369F" w:rsidP="003E241D">
            <w:pPr>
              <w:jc w:val="center"/>
              <w:rPr>
                <w:rFonts w:ascii="Arial" w:hAnsi="Arial" w:cs="Arial"/>
                <w:sz w:val="24"/>
                <w:szCs w:val="24"/>
              </w:rPr>
            </w:pPr>
            <w:r w:rsidRPr="002C68C7">
              <w:rPr>
                <w:rFonts w:ascii="Arial" w:hAnsi="Arial" w:cs="Arial"/>
                <w:b/>
                <w:sz w:val="24"/>
                <w:szCs w:val="24"/>
              </w:rPr>
              <w:t>Projected Costs</w:t>
            </w:r>
          </w:p>
        </w:tc>
      </w:tr>
      <w:tr w:rsidR="0062369F" w:rsidRPr="002C68C7" w14:paraId="469578C4" w14:textId="77777777" w:rsidTr="003E241D">
        <w:tc>
          <w:tcPr>
            <w:tcW w:w="6925" w:type="dxa"/>
          </w:tcPr>
          <w:p w14:paraId="71DBC7EC" w14:textId="77777777" w:rsidR="0062369F" w:rsidRPr="00B4012A" w:rsidRDefault="0062369F" w:rsidP="003E241D">
            <w:pPr>
              <w:jc w:val="both"/>
              <w:rPr>
                <w:rFonts w:ascii="Arial" w:hAnsi="Arial" w:cs="Arial"/>
                <w:sz w:val="24"/>
                <w:szCs w:val="24"/>
              </w:rPr>
            </w:pPr>
          </w:p>
        </w:tc>
        <w:tc>
          <w:tcPr>
            <w:tcW w:w="3150" w:type="dxa"/>
          </w:tcPr>
          <w:p w14:paraId="179191DD" w14:textId="77777777" w:rsidR="0062369F" w:rsidRPr="002C68C7" w:rsidRDefault="0062369F" w:rsidP="003E241D">
            <w:pPr>
              <w:jc w:val="both"/>
              <w:rPr>
                <w:rFonts w:ascii="Arial" w:hAnsi="Arial" w:cs="Arial"/>
                <w:sz w:val="24"/>
                <w:szCs w:val="24"/>
              </w:rPr>
            </w:pPr>
          </w:p>
        </w:tc>
      </w:tr>
      <w:tr w:rsidR="0062369F" w:rsidRPr="002C68C7" w14:paraId="538A1D22" w14:textId="77777777" w:rsidTr="003E241D">
        <w:tc>
          <w:tcPr>
            <w:tcW w:w="6925" w:type="dxa"/>
          </w:tcPr>
          <w:p w14:paraId="5600D33F" w14:textId="77777777" w:rsidR="0062369F" w:rsidRPr="00B4012A" w:rsidRDefault="0062369F" w:rsidP="003E241D">
            <w:pPr>
              <w:jc w:val="both"/>
              <w:rPr>
                <w:rFonts w:ascii="Arial" w:hAnsi="Arial" w:cs="Arial"/>
                <w:sz w:val="24"/>
                <w:szCs w:val="24"/>
              </w:rPr>
            </w:pPr>
          </w:p>
        </w:tc>
        <w:tc>
          <w:tcPr>
            <w:tcW w:w="3150" w:type="dxa"/>
          </w:tcPr>
          <w:p w14:paraId="78B504E7" w14:textId="77777777" w:rsidR="0062369F" w:rsidRPr="002C68C7" w:rsidRDefault="0062369F" w:rsidP="003E241D">
            <w:pPr>
              <w:jc w:val="both"/>
              <w:rPr>
                <w:rFonts w:ascii="Arial" w:hAnsi="Arial" w:cs="Arial"/>
                <w:sz w:val="24"/>
                <w:szCs w:val="24"/>
              </w:rPr>
            </w:pPr>
          </w:p>
        </w:tc>
      </w:tr>
      <w:tr w:rsidR="0062369F" w:rsidRPr="002C68C7" w14:paraId="7AF3AFF1" w14:textId="77777777" w:rsidTr="003E241D">
        <w:tc>
          <w:tcPr>
            <w:tcW w:w="6925" w:type="dxa"/>
          </w:tcPr>
          <w:p w14:paraId="748C8E12"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Staff Costs</w:t>
            </w:r>
          </w:p>
        </w:tc>
        <w:tc>
          <w:tcPr>
            <w:tcW w:w="3150" w:type="dxa"/>
          </w:tcPr>
          <w:p w14:paraId="4F3337E2"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71B19E65" w14:textId="77777777" w:rsidR="0062369F" w:rsidRPr="002C68C7" w:rsidRDefault="0062369F" w:rsidP="0062369F">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62369F" w:rsidRPr="002C68C7" w14:paraId="50566958" w14:textId="77777777" w:rsidTr="003E241D">
        <w:tc>
          <w:tcPr>
            <w:tcW w:w="6925" w:type="dxa"/>
            <w:shd w:val="clear" w:color="auto" w:fill="C6D9F1"/>
          </w:tcPr>
          <w:p w14:paraId="46166D9F"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65783A03"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12A09270" w14:textId="77777777" w:rsidTr="003E241D">
        <w:tc>
          <w:tcPr>
            <w:tcW w:w="6925" w:type="dxa"/>
          </w:tcPr>
          <w:p w14:paraId="1E143029"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07884A8C"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7F4E02F4" w14:textId="77777777" w:rsidTr="003E241D">
        <w:tc>
          <w:tcPr>
            <w:tcW w:w="6925" w:type="dxa"/>
          </w:tcPr>
          <w:p w14:paraId="351E814B"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Other (Describe)</w:t>
            </w:r>
          </w:p>
        </w:tc>
        <w:tc>
          <w:tcPr>
            <w:tcW w:w="3150" w:type="dxa"/>
          </w:tcPr>
          <w:p w14:paraId="6E52F355"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6DBCE4E9" w14:textId="77777777" w:rsidTr="003E241D">
        <w:tc>
          <w:tcPr>
            <w:tcW w:w="6925" w:type="dxa"/>
          </w:tcPr>
          <w:p w14:paraId="6ED44D3D" w14:textId="77777777" w:rsidR="0062369F" w:rsidRPr="00B4012A" w:rsidRDefault="0062369F" w:rsidP="003E241D">
            <w:pPr>
              <w:jc w:val="both"/>
              <w:rPr>
                <w:rFonts w:ascii="Arial" w:hAnsi="Arial" w:cs="Arial"/>
                <w:bCs/>
                <w:sz w:val="24"/>
                <w:szCs w:val="24"/>
              </w:rPr>
            </w:pPr>
          </w:p>
        </w:tc>
        <w:tc>
          <w:tcPr>
            <w:tcW w:w="3150" w:type="dxa"/>
          </w:tcPr>
          <w:p w14:paraId="61A40E13" w14:textId="77777777" w:rsidR="0062369F" w:rsidRPr="002C68C7" w:rsidRDefault="0062369F" w:rsidP="003E241D">
            <w:pPr>
              <w:jc w:val="both"/>
              <w:rPr>
                <w:rFonts w:ascii="Arial" w:hAnsi="Arial" w:cs="Arial"/>
                <w:b/>
                <w:sz w:val="24"/>
                <w:szCs w:val="24"/>
              </w:rPr>
            </w:pPr>
          </w:p>
        </w:tc>
      </w:tr>
      <w:tr w:rsidR="0062369F" w:rsidRPr="002C68C7" w14:paraId="2C67234C" w14:textId="77777777" w:rsidTr="003E241D">
        <w:tc>
          <w:tcPr>
            <w:tcW w:w="6925" w:type="dxa"/>
            <w:tcBorders>
              <w:bottom w:val="single" w:sz="4" w:space="0" w:color="auto"/>
            </w:tcBorders>
          </w:tcPr>
          <w:p w14:paraId="02A6C213" w14:textId="77777777" w:rsidR="0062369F" w:rsidRPr="00B4012A" w:rsidRDefault="0062369F" w:rsidP="003E241D">
            <w:pPr>
              <w:jc w:val="both"/>
              <w:rPr>
                <w:rFonts w:ascii="Arial" w:hAnsi="Arial" w:cs="Arial"/>
                <w:bCs/>
                <w:sz w:val="24"/>
                <w:szCs w:val="24"/>
              </w:rPr>
            </w:pPr>
          </w:p>
        </w:tc>
        <w:tc>
          <w:tcPr>
            <w:tcW w:w="3150" w:type="dxa"/>
            <w:tcBorders>
              <w:bottom w:val="single" w:sz="4" w:space="0" w:color="auto"/>
            </w:tcBorders>
          </w:tcPr>
          <w:p w14:paraId="526FF718" w14:textId="77777777" w:rsidR="0062369F" w:rsidRPr="002C68C7" w:rsidRDefault="0062369F" w:rsidP="003E241D">
            <w:pPr>
              <w:jc w:val="both"/>
              <w:rPr>
                <w:rFonts w:ascii="Arial" w:hAnsi="Arial" w:cs="Arial"/>
                <w:b/>
                <w:sz w:val="24"/>
                <w:szCs w:val="24"/>
              </w:rPr>
            </w:pPr>
          </w:p>
        </w:tc>
      </w:tr>
      <w:tr w:rsidR="0062369F" w:rsidRPr="002C68C7" w14:paraId="0B3FE80D" w14:textId="77777777" w:rsidTr="003E241D">
        <w:tc>
          <w:tcPr>
            <w:tcW w:w="6925" w:type="dxa"/>
            <w:tcBorders>
              <w:bottom w:val="single" w:sz="4" w:space="0" w:color="auto"/>
            </w:tcBorders>
          </w:tcPr>
          <w:p w14:paraId="0BC1E158"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27EEB26E"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6ABD1253" w14:textId="77777777" w:rsidTr="003E241D">
        <w:trPr>
          <w:trHeight w:val="170"/>
        </w:trPr>
        <w:tc>
          <w:tcPr>
            <w:tcW w:w="6925" w:type="dxa"/>
            <w:tcBorders>
              <w:top w:val="single" w:sz="4" w:space="0" w:color="auto"/>
              <w:left w:val="nil"/>
              <w:bottom w:val="single" w:sz="4" w:space="0" w:color="auto"/>
              <w:right w:val="nil"/>
            </w:tcBorders>
          </w:tcPr>
          <w:p w14:paraId="2DB5F624" w14:textId="77777777" w:rsidR="0062369F" w:rsidRPr="002C68C7" w:rsidRDefault="0062369F" w:rsidP="003E241D">
            <w:pPr>
              <w:rPr>
                <w:rFonts w:ascii="Arial" w:hAnsi="Arial" w:cs="Arial"/>
                <w:b/>
                <w:sz w:val="24"/>
                <w:szCs w:val="24"/>
              </w:rPr>
            </w:pPr>
          </w:p>
        </w:tc>
        <w:tc>
          <w:tcPr>
            <w:tcW w:w="3150" w:type="dxa"/>
            <w:tcBorders>
              <w:top w:val="single" w:sz="4" w:space="0" w:color="auto"/>
              <w:left w:val="nil"/>
              <w:bottom w:val="single" w:sz="4" w:space="0" w:color="auto"/>
              <w:right w:val="nil"/>
            </w:tcBorders>
          </w:tcPr>
          <w:p w14:paraId="38B09E7E" w14:textId="77777777" w:rsidR="0062369F" w:rsidRPr="002C68C7" w:rsidRDefault="0062369F" w:rsidP="003E241D">
            <w:pPr>
              <w:jc w:val="both"/>
              <w:rPr>
                <w:rFonts w:ascii="Arial" w:hAnsi="Arial" w:cs="Arial"/>
                <w:b/>
                <w:sz w:val="24"/>
                <w:szCs w:val="24"/>
              </w:rPr>
            </w:pPr>
          </w:p>
        </w:tc>
      </w:tr>
      <w:tr w:rsidR="0062369F" w:rsidRPr="002C68C7" w14:paraId="1DB8A261" w14:textId="77777777" w:rsidTr="003E241D">
        <w:tc>
          <w:tcPr>
            <w:tcW w:w="6925" w:type="dxa"/>
            <w:tcBorders>
              <w:top w:val="single" w:sz="4" w:space="0" w:color="auto"/>
              <w:left w:val="single" w:sz="4" w:space="0" w:color="auto"/>
              <w:bottom w:val="single" w:sz="4" w:space="0" w:color="auto"/>
              <w:right w:val="single" w:sz="4" w:space="0" w:color="auto"/>
            </w:tcBorders>
            <w:shd w:val="clear" w:color="auto" w:fill="C6D9F1"/>
          </w:tcPr>
          <w:p w14:paraId="7274F016" w14:textId="77777777" w:rsidR="0062369F" w:rsidRPr="002C68C7" w:rsidRDefault="0062369F" w:rsidP="003E241D">
            <w:pPr>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w:t>
            </w:r>
            <w:proofErr w:type="gramStart"/>
            <w:r w:rsidRPr="002C68C7">
              <w:rPr>
                <w:rFonts w:ascii="Arial" w:hAnsi="Arial" w:cs="Arial"/>
                <w:b/>
                <w:sz w:val="24"/>
                <w:szCs w:val="24"/>
              </w:rPr>
              <w:t>Non-Employees</w:t>
            </w:r>
            <w:proofErr w:type="gramEnd"/>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0B2B7874" w14:textId="77777777" w:rsidR="0062369F" w:rsidRPr="002C68C7" w:rsidRDefault="0062369F" w:rsidP="003E241D">
            <w:pPr>
              <w:jc w:val="both"/>
              <w:rPr>
                <w:rFonts w:ascii="Arial" w:hAnsi="Arial" w:cs="Arial"/>
                <w:b/>
                <w:sz w:val="24"/>
                <w:szCs w:val="24"/>
              </w:rPr>
            </w:pPr>
            <w:r>
              <w:rPr>
                <w:rFonts w:ascii="Arial" w:hAnsi="Arial" w:cs="Arial"/>
                <w:b/>
                <w:sz w:val="24"/>
                <w:szCs w:val="24"/>
              </w:rPr>
              <w:t xml:space="preserve">          </w:t>
            </w:r>
            <w:r w:rsidRPr="002C68C7">
              <w:rPr>
                <w:rFonts w:ascii="Arial" w:hAnsi="Arial" w:cs="Arial"/>
                <w:b/>
                <w:sz w:val="24"/>
                <w:szCs w:val="24"/>
              </w:rPr>
              <w:t>Projected Costs</w:t>
            </w:r>
          </w:p>
        </w:tc>
      </w:tr>
      <w:tr w:rsidR="0062369F" w:rsidRPr="002C68C7" w14:paraId="44EF1145" w14:textId="77777777" w:rsidTr="003E241D">
        <w:tc>
          <w:tcPr>
            <w:tcW w:w="6925" w:type="dxa"/>
            <w:tcBorders>
              <w:top w:val="single" w:sz="4" w:space="0" w:color="auto"/>
              <w:left w:val="single" w:sz="4" w:space="0" w:color="auto"/>
              <w:bottom w:val="single" w:sz="4" w:space="0" w:color="auto"/>
              <w:right w:val="single" w:sz="4" w:space="0" w:color="auto"/>
            </w:tcBorders>
          </w:tcPr>
          <w:p w14:paraId="4F3A2B78"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05A27855" w14:textId="77777777" w:rsidR="0062369F" w:rsidRPr="002C68C7" w:rsidRDefault="0062369F" w:rsidP="003E241D">
            <w:pPr>
              <w:jc w:val="both"/>
              <w:rPr>
                <w:rFonts w:ascii="Arial" w:hAnsi="Arial" w:cs="Arial"/>
                <w:b/>
                <w:sz w:val="24"/>
                <w:szCs w:val="24"/>
              </w:rPr>
            </w:pPr>
            <w:r>
              <w:rPr>
                <w:rFonts w:ascii="Arial" w:hAnsi="Arial" w:cs="Arial"/>
                <w:b/>
                <w:sz w:val="24"/>
                <w:szCs w:val="24"/>
              </w:rPr>
              <w:t>%_______</w:t>
            </w:r>
          </w:p>
        </w:tc>
      </w:tr>
      <w:tr w:rsidR="0062369F" w:rsidRPr="002C68C7" w14:paraId="1CD9C582" w14:textId="77777777" w:rsidTr="003E241D">
        <w:tc>
          <w:tcPr>
            <w:tcW w:w="6925" w:type="dxa"/>
            <w:tcBorders>
              <w:top w:val="single" w:sz="4" w:space="0" w:color="auto"/>
              <w:left w:val="single" w:sz="4" w:space="0" w:color="auto"/>
              <w:bottom w:val="single" w:sz="4" w:space="0" w:color="auto"/>
              <w:right w:val="single" w:sz="4" w:space="0" w:color="auto"/>
            </w:tcBorders>
          </w:tcPr>
          <w:p w14:paraId="22766D58"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344D8450"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697ADAE6" w14:textId="77777777" w:rsidR="0062369F" w:rsidRPr="002C68C7" w:rsidRDefault="0062369F" w:rsidP="0062369F">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69E953B8" w14:textId="77777777" w:rsidTr="003E241D">
        <w:tc>
          <w:tcPr>
            <w:tcW w:w="6925" w:type="dxa"/>
            <w:shd w:val="clear" w:color="auto" w:fill="C6D9F1"/>
            <w:vAlign w:val="center"/>
          </w:tcPr>
          <w:p w14:paraId="292C9F1E"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2FE11B84"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438278E4" w14:textId="77777777" w:rsidTr="003E241D">
        <w:tc>
          <w:tcPr>
            <w:tcW w:w="6925" w:type="dxa"/>
          </w:tcPr>
          <w:p w14:paraId="373D9F99"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52207DAF"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0147C04B" w14:textId="77777777" w:rsidTr="003E241D">
        <w:tc>
          <w:tcPr>
            <w:tcW w:w="6925" w:type="dxa"/>
          </w:tcPr>
          <w:p w14:paraId="7F64A641"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Employee Travel</w:t>
            </w:r>
          </w:p>
        </w:tc>
        <w:tc>
          <w:tcPr>
            <w:tcW w:w="3145" w:type="dxa"/>
          </w:tcPr>
          <w:p w14:paraId="534B0D3D"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3A2CE96C" w14:textId="77777777" w:rsidTr="003E241D">
        <w:tc>
          <w:tcPr>
            <w:tcW w:w="6925" w:type="dxa"/>
          </w:tcPr>
          <w:p w14:paraId="1E21D3AB" w14:textId="77777777" w:rsidR="0062369F" w:rsidRPr="00B4012A" w:rsidRDefault="0062369F" w:rsidP="003E241D">
            <w:pPr>
              <w:jc w:val="both"/>
              <w:rPr>
                <w:rFonts w:ascii="Arial" w:hAnsi="Arial" w:cs="Arial"/>
                <w:bCs/>
                <w:sz w:val="24"/>
                <w:szCs w:val="24"/>
              </w:rPr>
            </w:pPr>
          </w:p>
        </w:tc>
        <w:tc>
          <w:tcPr>
            <w:tcW w:w="3145" w:type="dxa"/>
          </w:tcPr>
          <w:p w14:paraId="12C211AE" w14:textId="77777777" w:rsidR="0062369F" w:rsidRPr="002C68C7" w:rsidRDefault="0062369F" w:rsidP="003E241D">
            <w:pPr>
              <w:jc w:val="both"/>
              <w:rPr>
                <w:rFonts w:ascii="Arial" w:hAnsi="Arial" w:cs="Arial"/>
                <w:b/>
                <w:sz w:val="24"/>
                <w:szCs w:val="24"/>
              </w:rPr>
            </w:pPr>
          </w:p>
        </w:tc>
      </w:tr>
      <w:tr w:rsidR="0062369F" w:rsidRPr="002C68C7" w14:paraId="6DA89242" w14:textId="77777777" w:rsidTr="003E241D">
        <w:tc>
          <w:tcPr>
            <w:tcW w:w="6925" w:type="dxa"/>
          </w:tcPr>
          <w:p w14:paraId="6803AA53"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6FAA270A"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76FFCFE8" w14:textId="77777777" w:rsidR="0062369F" w:rsidRPr="002C68C7" w:rsidRDefault="0062369F" w:rsidP="0062369F">
      <w:pPr>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4D058A58" w14:textId="77777777" w:rsidTr="003E241D">
        <w:tc>
          <w:tcPr>
            <w:tcW w:w="6925" w:type="dxa"/>
            <w:shd w:val="clear" w:color="auto" w:fill="C6D9F1"/>
          </w:tcPr>
          <w:p w14:paraId="4ED7E0B4"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4AD4491C"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3484869D" w14:textId="77777777" w:rsidTr="003E241D">
        <w:tc>
          <w:tcPr>
            <w:tcW w:w="6925" w:type="dxa"/>
          </w:tcPr>
          <w:p w14:paraId="68991D45"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Indirect Costs (Rate____%)</w:t>
            </w:r>
          </w:p>
        </w:tc>
        <w:tc>
          <w:tcPr>
            <w:tcW w:w="3145" w:type="dxa"/>
          </w:tcPr>
          <w:p w14:paraId="5504CEF6"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5B2D074E" w14:textId="77777777" w:rsidR="0062369F" w:rsidRPr="002C68C7" w:rsidRDefault="0062369F" w:rsidP="0062369F">
      <w:pPr>
        <w:jc w:val="both"/>
        <w:rPr>
          <w:rFonts w:ascii="Arial" w:hAnsi="Arial" w:cs="Arial"/>
          <w:b/>
          <w:sz w:val="24"/>
          <w:szCs w:val="24"/>
        </w:rPr>
      </w:pP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2788D3CB" w14:textId="77777777" w:rsidTr="003E241D">
        <w:tc>
          <w:tcPr>
            <w:tcW w:w="10070" w:type="dxa"/>
            <w:gridSpan w:val="2"/>
            <w:shd w:val="clear" w:color="auto" w:fill="C6D9F1"/>
            <w:vAlign w:val="center"/>
          </w:tcPr>
          <w:p w14:paraId="697E261B"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Total Cost</w:t>
            </w:r>
          </w:p>
        </w:tc>
      </w:tr>
      <w:tr w:rsidR="0062369F" w:rsidRPr="002C68C7" w14:paraId="48E6D4D4" w14:textId="77777777" w:rsidTr="003E241D">
        <w:tc>
          <w:tcPr>
            <w:tcW w:w="6925" w:type="dxa"/>
          </w:tcPr>
          <w:p w14:paraId="4731E17F"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5FA49B4D"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6A5053DE" w14:textId="717EA977" w:rsidR="00FE4BEB" w:rsidRPr="00C97934" w:rsidRDefault="007D618A" w:rsidP="007D618A">
      <w:pPr>
        <w:pStyle w:val="DefaultText"/>
        <w:rPr>
          <w:rFonts w:ascii="Arial" w:hAnsi="Arial" w:cs="Arial"/>
          <w:b/>
        </w:rPr>
      </w:pPr>
      <w:r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779F2E5" w:rsidR="00FE4BEB" w:rsidRPr="00C97934" w:rsidRDefault="00FD20B5"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1AE7E1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88023B">
        <w:rPr>
          <w:rStyle w:val="InitialStyle"/>
          <w:rFonts w:ascii="Arial" w:hAnsi="Arial" w:cs="Arial"/>
          <w:b/>
          <w:sz w:val="28"/>
          <w:szCs w:val="28"/>
        </w:rPr>
        <w:t xml:space="preserve"> 202404093</w:t>
      </w:r>
    </w:p>
    <w:p w14:paraId="5687D4EE" w14:textId="77777777" w:rsidR="00576739" w:rsidRPr="0088023B" w:rsidRDefault="00576739" w:rsidP="00576739">
      <w:pPr>
        <w:pStyle w:val="DefaultText"/>
        <w:widowControl/>
        <w:jc w:val="center"/>
        <w:rPr>
          <w:rStyle w:val="InitialStyle"/>
          <w:rFonts w:ascii="Arial" w:hAnsi="Arial" w:cs="Arial"/>
          <w:b/>
          <w:bCs/>
          <w:sz w:val="28"/>
          <w:szCs w:val="28"/>
          <w:u w:val="single"/>
        </w:rPr>
      </w:pPr>
      <w:r w:rsidRPr="0088023B">
        <w:rPr>
          <w:rStyle w:val="InitialStyle"/>
          <w:rFonts w:ascii="Arial" w:hAnsi="Arial" w:cs="Arial"/>
          <w:b/>
          <w:bCs/>
          <w:sz w:val="28"/>
          <w:szCs w:val="28"/>
          <w:u w:val="single"/>
        </w:rPr>
        <w:t>Consulting Services – Future Use of Natural Gas in Maine</w:t>
      </w:r>
    </w:p>
    <w:p w14:paraId="5CC0908B" w14:textId="77777777" w:rsidR="00FD20B5" w:rsidRDefault="00FD20B5"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023595CD"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3D0E36">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CA54" w14:textId="77777777" w:rsidR="003D0E36" w:rsidRDefault="003D0E36">
      <w:r>
        <w:separator/>
      </w:r>
    </w:p>
  </w:endnote>
  <w:endnote w:type="continuationSeparator" w:id="0">
    <w:p w14:paraId="796E4259" w14:textId="77777777" w:rsidR="003D0E36" w:rsidRDefault="003D0E36">
      <w:r>
        <w:continuationSeparator/>
      </w:r>
    </w:p>
  </w:endnote>
  <w:endnote w:type="continuationNotice" w:id="1">
    <w:p w14:paraId="58C26984" w14:textId="77777777" w:rsidR="003D0E36" w:rsidRDefault="003D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22C1B7D"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6C55E6">
      <w:rPr>
        <w:rFonts w:ascii="Arial" w:hAnsi="Arial" w:cs="Arial"/>
      </w:rPr>
      <w:t># 202404093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8322" w14:textId="77777777" w:rsidR="003D0E36" w:rsidRDefault="003D0E36">
      <w:r>
        <w:separator/>
      </w:r>
    </w:p>
  </w:footnote>
  <w:footnote w:type="continuationSeparator" w:id="0">
    <w:p w14:paraId="5ECA1F36" w14:textId="77777777" w:rsidR="003D0E36" w:rsidRDefault="003D0E36">
      <w:r>
        <w:continuationSeparator/>
      </w:r>
    </w:p>
  </w:footnote>
  <w:footnote w:type="continuationNotice" w:id="1">
    <w:p w14:paraId="55E1297C" w14:textId="77777777" w:rsidR="003D0E36" w:rsidRDefault="003D0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0DBA"/>
    <w:rsid w:val="0002282C"/>
    <w:rsid w:val="00024C6F"/>
    <w:rsid w:val="0002598F"/>
    <w:rsid w:val="00025ECB"/>
    <w:rsid w:val="000270D3"/>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B28"/>
    <w:rsid w:val="00073CE4"/>
    <w:rsid w:val="00074816"/>
    <w:rsid w:val="00075AF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28A0"/>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1F5"/>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E741B"/>
    <w:rsid w:val="001F01B8"/>
    <w:rsid w:val="001F040E"/>
    <w:rsid w:val="001F07D2"/>
    <w:rsid w:val="001F16EA"/>
    <w:rsid w:val="001F26C4"/>
    <w:rsid w:val="001F3805"/>
    <w:rsid w:val="001F407C"/>
    <w:rsid w:val="001F44D6"/>
    <w:rsid w:val="001F75A5"/>
    <w:rsid w:val="001F75FB"/>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0FD0"/>
    <w:rsid w:val="002E2AA0"/>
    <w:rsid w:val="002E313E"/>
    <w:rsid w:val="002E6FFF"/>
    <w:rsid w:val="002F0869"/>
    <w:rsid w:val="002F0D03"/>
    <w:rsid w:val="002F1824"/>
    <w:rsid w:val="002F4182"/>
    <w:rsid w:val="002F5835"/>
    <w:rsid w:val="002F5DA4"/>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36428"/>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BA"/>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4846"/>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0E36"/>
    <w:rsid w:val="003D14AD"/>
    <w:rsid w:val="003D2EC2"/>
    <w:rsid w:val="003D41E8"/>
    <w:rsid w:val="003D49FD"/>
    <w:rsid w:val="003D4C86"/>
    <w:rsid w:val="003D5C04"/>
    <w:rsid w:val="003D6E45"/>
    <w:rsid w:val="003E1183"/>
    <w:rsid w:val="003E42F2"/>
    <w:rsid w:val="003E4F1A"/>
    <w:rsid w:val="003E53DA"/>
    <w:rsid w:val="003E5E39"/>
    <w:rsid w:val="003E5E78"/>
    <w:rsid w:val="003E7A67"/>
    <w:rsid w:val="003F05FA"/>
    <w:rsid w:val="003F0636"/>
    <w:rsid w:val="003F2539"/>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3BEB"/>
    <w:rsid w:val="0045518F"/>
    <w:rsid w:val="004552A5"/>
    <w:rsid w:val="00456896"/>
    <w:rsid w:val="00456EB8"/>
    <w:rsid w:val="004571D2"/>
    <w:rsid w:val="004610F6"/>
    <w:rsid w:val="0046186F"/>
    <w:rsid w:val="00464E51"/>
    <w:rsid w:val="00465DCC"/>
    <w:rsid w:val="00466619"/>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1CA"/>
    <w:rsid w:val="00527EF4"/>
    <w:rsid w:val="00530159"/>
    <w:rsid w:val="00532096"/>
    <w:rsid w:val="00532D62"/>
    <w:rsid w:val="005333C3"/>
    <w:rsid w:val="00534951"/>
    <w:rsid w:val="00534E91"/>
    <w:rsid w:val="005350D1"/>
    <w:rsid w:val="005350EC"/>
    <w:rsid w:val="00536424"/>
    <w:rsid w:val="00536B01"/>
    <w:rsid w:val="00541F43"/>
    <w:rsid w:val="0054249F"/>
    <w:rsid w:val="00542DDB"/>
    <w:rsid w:val="00543058"/>
    <w:rsid w:val="005446B4"/>
    <w:rsid w:val="00544B87"/>
    <w:rsid w:val="00545E47"/>
    <w:rsid w:val="00547AC8"/>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89C"/>
    <w:rsid w:val="00563B7C"/>
    <w:rsid w:val="00566018"/>
    <w:rsid w:val="005669D1"/>
    <w:rsid w:val="005677F4"/>
    <w:rsid w:val="00570116"/>
    <w:rsid w:val="005731D7"/>
    <w:rsid w:val="005734DA"/>
    <w:rsid w:val="00573E7B"/>
    <w:rsid w:val="00575794"/>
    <w:rsid w:val="00576739"/>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166E"/>
    <w:rsid w:val="0062369F"/>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5E6"/>
    <w:rsid w:val="006C58E4"/>
    <w:rsid w:val="006C5FD3"/>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3EE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0E6"/>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821"/>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760"/>
    <w:rsid w:val="007F2972"/>
    <w:rsid w:val="007F3BB3"/>
    <w:rsid w:val="007F48A1"/>
    <w:rsid w:val="007F5FC0"/>
    <w:rsid w:val="007F67A3"/>
    <w:rsid w:val="007F77E0"/>
    <w:rsid w:val="00800165"/>
    <w:rsid w:val="00800BD4"/>
    <w:rsid w:val="00800D30"/>
    <w:rsid w:val="00800ED8"/>
    <w:rsid w:val="0080313E"/>
    <w:rsid w:val="00804558"/>
    <w:rsid w:val="008045A6"/>
    <w:rsid w:val="0080521F"/>
    <w:rsid w:val="00805BFB"/>
    <w:rsid w:val="00806B17"/>
    <w:rsid w:val="00806E48"/>
    <w:rsid w:val="00807568"/>
    <w:rsid w:val="008112C8"/>
    <w:rsid w:val="0081250F"/>
    <w:rsid w:val="00812811"/>
    <w:rsid w:val="00813281"/>
    <w:rsid w:val="00813A0F"/>
    <w:rsid w:val="00813ABE"/>
    <w:rsid w:val="00813DAD"/>
    <w:rsid w:val="00813E0A"/>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10F3"/>
    <w:rsid w:val="00872363"/>
    <w:rsid w:val="008723C3"/>
    <w:rsid w:val="00874591"/>
    <w:rsid w:val="008757B0"/>
    <w:rsid w:val="00875C2B"/>
    <w:rsid w:val="008763E8"/>
    <w:rsid w:val="00876812"/>
    <w:rsid w:val="008801E5"/>
    <w:rsid w:val="0088023B"/>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305"/>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18F7"/>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2AA9"/>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216"/>
    <w:rsid w:val="009D5D74"/>
    <w:rsid w:val="009D6826"/>
    <w:rsid w:val="009D7652"/>
    <w:rsid w:val="009D7B97"/>
    <w:rsid w:val="009E07D1"/>
    <w:rsid w:val="009E0849"/>
    <w:rsid w:val="009E151E"/>
    <w:rsid w:val="009E1652"/>
    <w:rsid w:val="009E2C0E"/>
    <w:rsid w:val="009E346E"/>
    <w:rsid w:val="009E489B"/>
    <w:rsid w:val="009E4F11"/>
    <w:rsid w:val="009E5B01"/>
    <w:rsid w:val="009E6B35"/>
    <w:rsid w:val="009F2106"/>
    <w:rsid w:val="009F4F1B"/>
    <w:rsid w:val="009F5ADE"/>
    <w:rsid w:val="009F6F53"/>
    <w:rsid w:val="00A01495"/>
    <w:rsid w:val="00A0171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36D4"/>
    <w:rsid w:val="00A341A2"/>
    <w:rsid w:val="00A366E8"/>
    <w:rsid w:val="00A40B38"/>
    <w:rsid w:val="00A41ABA"/>
    <w:rsid w:val="00A42426"/>
    <w:rsid w:val="00A4353B"/>
    <w:rsid w:val="00A43743"/>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4467"/>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5371"/>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1C6F"/>
    <w:rsid w:val="00B11F80"/>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41DF"/>
    <w:rsid w:val="00B874D2"/>
    <w:rsid w:val="00B87525"/>
    <w:rsid w:val="00B87C4F"/>
    <w:rsid w:val="00B90357"/>
    <w:rsid w:val="00B90533"/>
    <w:rsid w:val="00B92EC1"/>
    <w:rsid w:val="00B93A0A"/>
    <w:rsid w:val="00B93C4C"/>
    <w:rsid w:val="00B94181"/>
    <w:rsid w:val="00B9558E"/>
    <w:rsid w:val="00B95B47"/>
    <w:rsid w:val="00B95B5B"/>
    <w:rsid w:val="00B969F6"/>
    <w:rsid w:val="00B976F9"/>
    <w:rsid w:val="00B97A79"/>
    <w:rsid w:val="00B97F3B"/>
    <w:rsid w:val="00BA1F81"/>
    <w:rsid w:val="00BA4F52"/>
    <w:rsid w:val="00BA6836"/>
    <w:rsid w:val="00BA7A4E"/>
    <w:rsid w:val="00BB034E"/>
    <w:rsid w:val="00BB0D67"/>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33F"/>
    <w:rsid w:val="00C41963"/>
    <w:rsid w:val="00C41F44"/>
    <w:rsid w:val="00C43A42"/>
    <w:rsid w:val="00C442EF"/>
    <w:rsid w:val="00C445EA"/>
    <w:rsid w:val="00C44ACC"/>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4DD"/>
    <w:rsid w:val="00C72B6B"/>
    <w:rsid w:val="00C73CE5"/>
    <w:rsid w:val="00C74729"/>
    <w:rsid w:val="00C763A7"/>
    <w:rsid w:val="00C76D26"/>
    <w:rsid w:val="00C80BBD"/>
    <w:rsid w:val="00C814B4"/>
    <w:rsid w:val="00C83DC9"/>
    <w:rsid w:val="00C85A9F"/>
    <w:rsid w:val="00C86525"/>
    <w:rsid w:val="00C8688F"/>
    <w:rsid w:val="00C8798B"/>
    <w:rsid w:val="00C91BAD"/>
    <w:rsid w:val="00C91C83"/>
    <w:rsid w:val="00C9321B"/>
    <w:rsid w:val="00C93269"/>
    <w:rsid w:val="00C96193"/>
    <w:rsid w:val="00C97934"/>
    <w:rsid w:val="00C97C8D"/>
    <w:rsid w:val="00C97D1B"/>
    <w:rsid w:val="00CA2911"/>
    <w:rsid w:val="00CA3393"/>
    <w:rsid w:val="00CA53FD"/>
    <w:rsid w:val="00CA5D70"/>
    <w:rsid w:val="00CA6577"/>
    <w:rsid w:val="00CA6A04"/>
    <w:rsid w:val="00CB098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1D4F"/>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5B6C"/>
    <w:rsid w:val="00D171F4"/>
    <w:rsid w:val="00D2091D"/>
    <w:rsid w:val="00D21A9E"/>
    <w:rsid w:val="00D220AE"/>
    <w:rsid w:val="00D2496D"/>
    <w:rsid w:val="00D26CA8"/>
    <w:rsid w:val="00D27930"/>
    <w:rsid w:val="00D33C3E"/>
    <w:rsid w:val="00D33FF6"/>
    <w:rsid w:val="00D3507C"/>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751"/>
    <w:rsid w:val="00DA3F2F"/>
    <w:rsid w:val="00DA6F97"/>
    <w:rsid w:val="00DB0AD9"/>
    <w:rsid w:val="00DB1D9D"/>
    <w:rsid w:val="00DB2372"/>
    <w:rsid w:val="00DB369A"/>
    <w:rsid w:val="00DB5093"/>
    <w:rsid w:val="00DB5147"/>
    <w:rsid w:val="00DC1836"/>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7B8"/>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4DF"/>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4E78"/>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25C"/>
    <w:rsid w:val="00FA1568"/>
    <w:rsid w:val="00FA2A8E"/>
    <w:rsid w:val="00FA7B14"/>
    <w:rsid w:val="00FB0BA3"/>
    <w:rsid w:val="00FB0C26"/>
    <w:rsid w:val="00FB1397"/>
    <w:rsid w:val="00FB5B77"/>
    <w:rsid w:val="00FB6121"/>
    <w:rsid w:val="00FB6811"/>
    <w:rsid w:val="00FB6976"/>
    <w:rsid w:val="00FB7533"/>
    <w:rsid w:val="00FC3AEA"/>
    <w:rsid w:val="00FC4373"/>
    <w:rsid w:val="00FC4764"/>
    <w:rsid w:val="00FD0C4A"/>
    <w:rsid w:val="00FD20B5"/>
    <w:rsid w:val="00FD34C1"/>
    <w:rsid w:val="00FD35B3"/>
    <w:rsid w:val="00FD3F5F"/>
    <w:rsid w:val="00FD4050"/>
    <w:rsid w:val="00FD51BF"/>
    <w:rsid w:val="00FD53A0"/>
    <w:rsid w:val="00FD5CC9"/>
    <w:rsid w:val="00FD7E43"/>
    <w:rsid w:val="00FE23E6"/>
    <w:rsid w:val="00FE4831"/>
    <w:rsid w:val="00FE4BEB"/>
    <w:rsid w:val="00FE5FB2"/>
    <w:rsid w:val="00FE6474"/>
    <w:rsid w:val="00FE7E70"/>
    <w:rsid w:val="00FF03CB"/>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mailto:Proposals@maine.gov" TargetMode="External"/><Relationship Id="rId26" Type="http://schemas.openxmlformats.org/officeDocument/2006/relationships/hyperlink" Target="https://www.maine.gov/dafs/bbm/procurementservices/vendors/rfps" TargetMode="External"/><Relationship Id="rId3" Type="http://schemas.openxmlformats.org/officeDocument/2006/relationships/customXml" Target="../customXml/item3.xml"/><Relationship Id="rId21" Type="http://schemas.openxmlformats.org/officeDocument/2006/relationships/hyperlink" Target="https://legislature.maine.gov/legis/statutes/35-A/title35-Asec103-A.html" TargetMode="External"/><Relationship Id="rId34"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hyperlink" Target="mailto:Kristina.r.winther@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vendors/rfps" TargetMode="External"/><Relationship Id="rId33"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s://legislature.maine.gov/legis/statutes/35-A/title35-Asec103-A.html" TargetMode="External"/><Relationship Id="rId20" Type="http://schemas.openxmlformats.org/officeDocument/2006/relationships/hyperlink" Target="https://legislature.maine.gov/legis/statutes/35-A/title35-Asec101.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statutes/35-A/title35-Ach1sec0.html"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ure.maine.gov/legis/statutes/35-A/title35-Asec101.html" TargetMode="External"/><Relationship Id="rId23" Type="http://schemas.openxmlformats.org/officeDocument/2006/relationships/hyperlink" Target="https://legislature.maine.gov/statutes/38/title38sec576-A.html" TargetMode="External"/><Relationship Id="rId28" Type="http://schemas.openxmlformats.org/officeDocument/2006/relationships/hyperlink" Target="mailto:proposals@maine.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ure.maine.gov/legis/statutes/38/title38sec576-A.html" TargetMode="External"/><Relationship Id="rId31" Type="http://schemas.openxmlformats.org/officeDocument/2006/relationships/hyperlink" Target="http://www.mainelegislature.org/legis/statutes/5/title5sec1825-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statutes/38/title38sec576-A.html"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mailto:Proposals@maine.gov" TargetMode="External"/><Relationship Id="rId30" Type="http://schemas.openxmlformats.org/officeDocument/2006/relationships/footer" Target="footer1.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www.w3.org/XML/1998/namespace"/>
    <ds:schemaRef ds:uri="c7067620-3c93-4237-9659-10f06bb4724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41de8388-7aee-41a0-8fb6-a645ed4fca16"/>
    <ds:schemaRef ds:uri="http://purl.org/dc/dcmitype/"/>
  </ds:schemaRefs>
</ds:datastoreItem>
</file>

<file path=customXml/itemProps4.xml><?xml version="1.0" encoding="utf-8"?>
<ds:datastoreItem xmlns:ds="http://schemas.openxmlformats.org/officeDocument/2006/customXml" ds:itemID="{05D50F1D-F679-40AC-8FBE-79AFA717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2024-04-30T13:17:00Z</cp:lastPrinted>
  <dcterms:created xsi:type="dcterms:W3CDTF">2024-04-30T16:11:00Z</dcterms:created>
  <dcterms:modified xsi:type="dcterms:W3CDTF">2024-04-30T16:11:00Z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