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7538602" w:rsidR="00ED0523" w:rsidRPr="00C97934" w:rsidRDefault="003801AC"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Executive </w:t>
      </w:r>
      <w:r w:rsidR="00ED0523" w:rsidRPr="00C97934">
        <w:rPr>
          <w:rStyle w:val="InitialStyle"/>
          <w:rFonts w:ascii="Arial" w:hAnsi="Arial" w:cs="Arial"/>
          <w:b/>
          <w:bCs/>
          <w:sz w:val="32"/>
          <w:szCs w:val="32"/>
        </w:rPr>
        <w:t xml:space="preserve">Department </w:t>
      </w:r>
    </w:p>
    <w:p w14:paraId="12751258" w14:textId="132148E0" w:rsidR="00ED0523" w:rsidRPr="003801AC" w:rsidRDefault="003801AC"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Office of the Public Advocate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710C978E"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361C45" w:rsidRPr="00361C45">
        <w:rPr>
          <w:rStyle w:val="InitialStyle"/>
          <w:rFonts w:ascii="Arial" w:hAnsi="Arial" w:cs="Arial"/>
          <w:b/>
          <w:bCs/>
          <w:sz w:val="32"/>
          <w:szCs w:val="32"/>
        </w:rPr>
        <w:t>202504057</w:t>
      </w:r>
    </w:p>
    <w:p w14:paraId="67C8E853" w14:textId="77777777" w:rsidR="00ED0523" w:rsidRPr="00C97934" w:rsidRDefault="00ED0523" w:rsidP="00ED0523">
      <w:pPr>
        <w:pStyle w:val="DefaultText"/>
        <w:widowControl/>
        <w:jc w:val="center"/>
        <w:rPr>
          <w:rStyle w:val="InitialStyle"/>
          <w:rFonts w:ascii="Arial" w:hAnsi="Arial" w:cs="Arial"/>
          <w:b/>
        </w:rPr>
      </w:pPr>
    </w:p>
    <w:p w14:paraId="7904BF8A" w14:textId="77777777" w:rsidR="003801AC" w:rsidRPr="003801AC" w:rsidRDefault="003801AC" w:rsidP="003801AC">
      <w:pPr>
        <w:pStyle w:val="DefaultText"/>
        <w:widowControl/>
        <w:jc w:val="center"/>
        <w:rPr>
          <w:rStyle w:val="InitialStyle"/>
          <w:rFonts w:ascii="Arial" w:hAnsi="Arial" w:cs="Arial"/>
          <w:b/>
          <w:bCs/>
          <w:sz w:val="32"/>
          <w:szCs w:val="32"/>
        </w:rPr>
      </w:pPr>
      <w:r w:rsidRPr="003801AC">
        <w:rPr>
          <w:rStyle w:val="InitialStyle"/>
          <w:rFonts w:ascii="Arial" w:hAnsi="Arial" w:cs="Arial"/>
          <w:b/>
          <w:bCs/>
          <w:sz w:val="32"/>
          <w:szCs w:val="32"/>
        </w:rPr>
        <w:t>Natural Gas Consultant for the Maine Public Advocate</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767272E1" w:rsidR="0025219A" w:rsidRPr="003801AC" w:rsidRDefault="003801AC" w:rsidP="00ED0523">
            <w:pPr>
              <w:widowControl/>
              <w:autoSpaceDE/>
              <w:rPr>
                <w:rFonts w:ascii="Arial" w:eastAsia="Calibri" w:hAnsi="Arial" w:cs="Arial"/>
                <w:sz w:val="24"/>
                <w:szCs w:val="24"/>
              </w:rPr>
            </w:pPr>
            <w:r w:rsidRPr="003801AC">
              <w:rPr>
                <w:rFonts w:ascii="Arial" w:eastAsia="Calibri" w:hAnsi="Arial" w:cs="Arial"/>
                <w:sz w:val="24"/>
                <w:szCs w:val="24"/>
              </w:rPr>
              <w:t>Kristina Winther</w:t>
            </w:r>
          </w:p>
          <w:p w14:paraId="300D1A4B" w14:textId="6E8F7715" w:rsidR="0025219A" w:rsidRPr="003801AC"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0B25B719" w:rsidR="0025219A" w:rsidRPr="003801AC" w:rsidRDefault="003801AC" w:rsidP="00ED0523">
            <w:pPr>
              <w:widowControl/>
              <w:autoSpaceDE/>
              <w:rPr>
                <w:rFonts w:ascii="Arial" w:eastAsia="Calibri" w:hAnsi="Arial" w:cs="Arial"/>
                <w:i/>
                <w:sz w:val="24"/>
                <w:szCs w:val="24"/>
              </w:rPr>
            </w:pPr>
            <w:r w:rsidRPr="003801AC">
              <w:rPr>
                <w:rFonts w:ascii="Arial" w:eastAsia="Calibri" w:hAnsi="Arial" w:cs="Arial"/>
                <w:sz w:val="24"/>
                <w:szCs w:val="24"/>
              </w:rPr>
              <w:t>Senior Counsel</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0C281087" w:rsidR="0025219A" w:rsidRPr="003801AC" w:rsidRDefault="003801AC" w:rsidP="00ED0523">
            <w:pPr>
              <w:widowControl/>
              <w:autoSpaceDE/>
              <w:rPr>
                <w:rFonts w:ascii="Arial" w:eastAsia="Calibri" w:hAnsi="Arial" w:cs="Arial"/>
                <w:i/>
                <w:sz w:val="24"/>
                <w:szCs w:val="24"/>
              </w:rPr>
            </w:pPr>
            <w:r>
              <w:rPr>
                <w:rFonts w:ascii="Arial" w:eastAsia="Calibri" w:hAnsi="Arial" w:cs="Arial"/>
                <w:sz w:val="24"/>
                <w:szCs w:val="24"/>
              </w:rPr>
              <w:t>k</w:t>
            </w:r>
            <w:r w:rsidRPr="003801AC">
              <w:rPr>
                <w:rFonts w:ascii="Arial" w:eastAsia="Calibri" w:hAnsi="Arial" w:cs="Arial"/>
                <w:sz w:val="24"/>
                <w:szCs w:val="24"/>
              </w:rPr>
              <w:t>ristina.r.winther@maine.gov</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6155AFD9">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39D4CDA" w:rsidR="00E943D1" w:rsidRPr="00C97934" w:rsidRDefault="7CDA6ED8" w:rsidP="00AE73CF">
            <w:pPr>
              <w:widowControl/>
              <w:autoSpaceDE/>
              <w:rPr>
                <w:rFonts w:ascii="Arial" w:eastAsia="Calibri" w:hAnsi="Arial" w:cs="Arial"/>
                <w:sz w:val="24"/>
                <w:szCs w:val="24"/>
              </w:rPr>
            </w:pPr>
            <w:r w:rsidRPr="6155AFD9">
              <w:rPr>
                <w:rFonts w:ascii="Arial" w:eastAsia="Calibri" w:hAnsi="Arial" w:cs="Arial"/>
                <w:sz w:val="24"/>
                <w:szCs w:val="24"/>
              </w:rPr>
              <w:t>May 1</w:t>
            </w:r>
            <w:r w:rsidR="166A70F1" w:rsidRPr="6155AFD9">
              <w:rPr>
                <w:rFonts w:ascii="Arial" w:eastAsia="Calibri" w:hAnsi="Arial" w:cs="Arial"/>
                <w:sz w:val="24"/>
                <w:szCs w:val="24"/>
              </w:rPr>
              <w:t>4</w:t>
            </w:r>
            <w:r w:rsidRPr="6155AFD9">
              <w:rPr>
                <w:rFonts w:ascii="Arial" w:eastAsia="Calibri" w:hAnsi="Arial" w:cs="Arial"/>
                <w:sz w:val="24"/>
                <w:szCs w:val="24"/>
              </w:rPr>
              <w:t>, 2025</w:t>
            </w:r>
            <w:r w:rsidR="00E943D1" w:rsidRPr="6155AFD9">
              <w:rPr>
                <w:rFonts w:ascii="Arial" w:eastAsia="Calibri" w:hAnsi="Arial" w:cs="Arial"/>
                <w:sz w:val="24"/>
                <w:szCs w:val="24"/>
              </w:rPr>
              <w:t>, no later than 11:59 p.m., local time</w:t>
            </w:r>
          </w:p>
        </w:tc>
      </w:tr>
      <w:tr w:rsidR="00E943D1" w:rsidRPr="00C97934" w14:paraId="4DDD0F61" w14:textId="77777777" w:rsidTr="6155AFD9">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6155AFD9">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115D6F5" w:rsidR="00E943D1" w:rsidRPr="00E943D1" w:rsidRDefault="47C1C799" w:rsidP="00E943D1">
            <w:pPr>
              <w:widowControl/>
              <w:autoSpaceDE/>
              <w:rPr>
                <w:rFonts w:ascii="Arial" w:eastAsia="Calibri" w:hAnsi="Arial" w:cs="Arial"/>
                <w:sz w:val="24"/>
                <w:szCs w:val="24"/>
              </w:rPr>
            </w:pPr>
            <w:r w:rsidRPr="00D91301">
              <w:rPr>
                <w:rFonts w:ascii="Arial" w:eastAsia="Calibri" w:hAnsi="Arial" w:cs="Arial"/>
                <w:sz w:val="24"/>
                <w:szCs w:val="24"/>
              </w:rPr>
              <w:t>May 2</w:t>
            </w:r>
            <w:r w:rsidR="3C1AD9A9" w:rsidRPr="6155AFD9">
              <w:rPr>
                <w:rFonts w:ascii="Arial" w:eastAsia="Calibri" w:hAnsi="Arial" w:cs="Arial"/>
                <w:sz w:val="24"/>
                <w:szCs w:val="24"/>
              </w:rPr>
              <w:t>8</w:t>
            </w:r>
            <w:r w:rsidRPr="00D91301">
              <w:rPr>
                <w:rFonts w:ascii="Arial" w:eastAsia="Calibri" w:hAnsi="Arial" w:cs="Arial"/>
                <w:sz w:val="24"/>
                <w:szCs w:val="24"/>
              </w:rPr>
              <w:t>, 2025</w:t>
            </w:r>
            <w:r w:rsidR="00E943D1" w:rsidRPr="6155AFD9">
              <w:rPr>
                <w:rFonts w:ascii="Arial" w:eastAsia="Calibri" w:hAnsi="Arial" w:cs="Arial"/>
                <w:sz w:val="24"/>
                <w:szCs w:val="24"/>
              </w:rPr>
              <w:t>, no later than 11:59 p.m., local time.</w:t>
            </w:r>
          </w:p>
        </w:tc>
      </w:tr>
      <w:tr w:rsidR="00E943D1" w:rsidRPr="00C97934" w14:paraId="40B79324" w14:textId="77777777" w:rsidTr="6155AFD9">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AE73CF" w:rsidRPr="00C97934" w14:paraId="7850FE89" w14:textId="77777777" w:rsidTr="6155AFD9">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1610"/>
      </w:tblGrid>
      <w:tr w:rsidR="003652A0" w:rsidRPr="00C97934" w14:paraId="04C45378" w14:textId="77777777" w:rsidTr="0061561E">
        <w:tc>
          <w:tcPr>
            <w:tcW w:w="8460" w:type="dxa"/>
          </w:tcPr>
          <w:p w14:paraId="5C3CDD6C" w14:textId="77777777" w:rsidR="003652A0" w:rsidRPr="00C97934" w:rsidRDefault="003652A0" w:rsidP="00933F50">
            <w:pPr>
              <w:rPr>
                <w:rFonts w:ascii="Arial" w:hAnsi="Arial" w:cs="Arial"/>
                <w:sz w:val="24"/>
                <w:szCs w:val="24"/>
              </w:rPr>
            </w:pPr>
          </w:p>
        </w:tc>
        <w:tc>
          <w:tcPr>
            <w:tcW w:w="161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61561E">
        <w:tc>
          <w:tcPr>
            <w:tcW w:w="8460" w:type="dxa"/>
          </w:tcPr>
          <w:p w14:paraId="0C4D4CDE" w14:textId="77777777" w:rsidR="0046186F" w:rsidRPr="00C97934" w:rsidRDefault="0046186F" w:rsidP="00933F50">
            <w:pPr>
              <w:rPr>
                <w:rFonts w:ascii="Arial" w:hAnsi="Arial" w:cs="Arial"/>
                <w:sz w:val="24"/>
                <w:szCs w:val="24"/>
              </w:rPr>
            </w:pPr>
          </w:p>
        </w:tc>
        <w:tc>
          <w:tcPr>
            <w:tcW w:w="161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61561E">
        <w:tc>
          <w:tcPr>
            <w:tcW w:w="846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610" w:type="dxa"/>
            <w:shd w:val="clear" w:color="auto" w:fill="D9D9D9" w:themeFill="background1" w:themeFillShade="D9"/>
          </w:tcPr>
          <w:p w14:paraId="2269E1E2" w14:textId="00F8E5A3" w:rsidR="003652A0" w:rsidRPr="00C97934" w:rsidRDefault="005E1B85"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61561E">
        <w:tc>
          <w:tcPr>
            <w:tcW w:w="8460" w:type="dxa"/>
          </w:tcPr>
          <w:p w14:paraId="7495CCA4" w14:textId="77777777" w:rsidR="003652A0" w:rsidRPr="00C97934" w:rsidRDefault="003652A0" w:rsidP="00933F50">
            <w:pPr>
              <w:rPr>
                <w:rFonts w:ascii="Arial" w:hAnsi="Arial" w:cs="Arial"/>
                <w:sz w:val="24"/>
                <w:szCs w:val="24"/>
              </w:rPr>
            </w:pPr>
          </w:p>
        </w:tc>
        <w:tc>
          <w:tcPr>
            <w:tcW w:w="161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61561E">
        <w:tc>
          <w:tcPr>
            <w:tcW w:w="846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610" w:type="dxa"/>
            <w:shd w:val="clear" w:color="auto" w:fill="D9D9D9" w:themeFill="background1" w:themeFillShade="D9"/>
          </w:tcPr>
          <w:p w14:paraId="3290938D" w14:textId="08256D15" w:rsidR="003652A0" w:rsidRPr="00C97934" w:rsidRDefault="006B1168"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61561E">
        <w:tc>
          <w:tcPr>
            <w:tcW w:w="8460" w:type="dxa"/>
          </w:tcPr>
          <w:p w14:paraId="1BE811B0" w14:textId="77777777" w:rsidR="003652A0" w:rsidRPr="00C97934" w:rsidRDefault="003652A0" w:rsidP="00933F50">
            <w:pPr>
              <w:rPr>
                <w:rFonts w:ascii="Arial" w:hAnsi="Arial" w:cs="Arial"/>
                <w:sz w:val="24"/>
                <w:szCs w:val="24"/>
              </w:rPr>
            </w:pPr>
          </w:p>
        </w:tc>
        <w:tc>
          <w:tcPr>
            <w:tcW w:w="161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61561E">
        <w:tc>
          <w:tcPr>
            <w:tcW w:w="846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610" w:type="dxa"/>
            <w:shd w:val="clear" w:color="auto" w:fill="D9D9D9" w:themeFill="background1" w:themeFillShade="D9"/>
          </w:tcPr>
          <w:p w14:paraId="0374BA52" w14:textId="1ED66572" w:rsidR="003652A0" w:rsidRPr="00C97934" w:rsidRDefault="006B1168"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61561E">
        <w:tc>
          <w:tcPr>
            <w:tcW w:w="846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61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61561E">
        <w:tc>
          <w:tcPr>
            <w:tcW w:w="846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61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61561E">
        <w:tc>
          <w:tcPr>
            <w:tcW w:w="846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61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61561E">
        <w:tc>
          <w:tcPr>
            <w:tcW w:w="846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61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61561E">
        <w:tc>
          <w:tcPr>
            <w:tcW w:w="846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61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61561E">
        <w:tc>
          <w:tcPr>
            <w:tcW w:w="8460" w:type="dxa"/>
          </w:tcPr>
          <w:p w14:paraId="3FA94340" w14:textId="77777777" w:rsidR="003652A0" w:rsidRPr="00C97934" w:rsidRDefault="003652A0" w:rsidP="00933F50">
            <w:pPr>
              <w:rPr>
                <w:rFonts w:ascii="Arial" w:hAnsi="Arial" w:cs="Arial"/>
                <w:sz w:val="24"/>
                <w:szCs w:val="24"/>
              </w:rPr>
            </w:pPr>
          </w:p>
        </w:tc>
        <w:tc>
          <w:tcPr>
            <w:tcW w:w="161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61561E">
        <w:tc>
          <w:tcPr>
            <w:tcW w:w="846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610" w:type="dxa"/>
            <w:shd w:val="clear" w:color="auto" w:fill="D9D9D9" w:themeFill="background1" w:themeFillShade="D9"/>
          </w:tcPr>
          <w:p w14:paraId="147432C3" w14:textId="711420DE" w:rsidR="003652A0" w:rsidRPr="00C97934" w:rsidRDefault="00AD2581"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61561E">
        <w:tc>
          <w:tcPr>
            <w:tcW w:w="8460" w:type="dxa"/>
          </w:tcPr>
          <w:p w14:paraId="5A865BD1" w14:textId="77777777" w:rsidR="003652A0" w:rsidRPr="00C97934" w:rsidRDefault="003652A0" w:rsidP="00933F50">
            <w:pPr>
              <w:rPr>
                <w:rFonts w:ascii="Arial" w:hAnsi="Arial" w:cs="Arial"/>
                <w:sz w:val="24"/>
                <w:szCs w:val="24"/>
              </w:rPr>
            </w:pPr>
          </w:p>
        </w:tc>
        <w:tc>
          <w:tcPr>
            <w:tcW w:w="161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61561E">
        <w:tc>
          <w:tcPr>
            <w:tcW w:w="846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610" w:type="dxa"/>
            <w:shd w:val="clear" w:color="auto" w:fill="D9D9D9" w:themeFill="background1" w:themeFillShade="D9"/>
          </w:tcPr>
          <w:p w14:paraId="46A52527" w14:textId="477BCE2C" w:rsidR="003652A0" w:rsidRPr="00C97934" w:rsidRDefault="00736013" w:rsidP="00933F50">
            <w:pPr>
              <w:jc w:val="center"/>
              <w:rPr>
                <w:rFonts w:ascii="Arial" w:hAnsi="Arial" w:cs="Arial"/>
                <w:b/>
                <w:sz w:val="24"/>
                <w:szCs w:val="24"/>
              </w:rPr>
            </w:pPr>
            <w:r>
              <w:rPr>
                <w:rFonts w:ascii="Arial" w:hAnsi="Arial" w:cs="Arial"/>
                <w:b/>
                <w:sz w:val="24"/>
                <w:szCs w:val="24"/>
              </w:rPr>
              <w:t>1</w:t>
            </w:r>
            <w:r w:rsidR="00B052ED">
              <w:rPr>
                <w:rFonts w:ascii="Arial" w:hAnsi="Arial" w:cs="Arial"/>
                <w:b/>
                <w:sz w:val="24"/>
                <w:szCs w:val="24"/>
              </w:rPr>
              <w:t>1</w:t>
            </w:r>
          </w:p>
        </w:tc>
      </w:tr>
      <w:tr w:rsidR="003652A0" w:rsidRPr="00C97934" w14:paraId="58CC17CD" w14:textId="77777777" w:rsidTr="0061561E">
        <w:tc>
          <w:tcPr>
            <w:tcW w:w="8460" w:type="dxa"/>
          </w:tcPr>
          <w:p w14:paraId="36169736" w14:textId="73AA69B2" w:rsidR="003652A0" w:rsidRPr="00C97934" w:rsidRDefault="00490FDA"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61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61561E">
        <w:tc>
          <w:tcPr>
            <w:tcW w:w="8460" w:type="dxa"/>
          </w:tcPr>
          <w:p w14:paraId="28B9EA2B" w14:textId="6093BDDB" w:rsidR="003652A0" w:rsidRPr="00C97934" w:rsidRDefault="00490FDA"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61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61561E">
        <w:tc>
          <w:tcPr>
            <w:tcW w:w="8460" w:type="dxa"/>
          </w:tcPr>
          <w:p w14:paraId="31A035B9" w14:textId="30B4BBC5" w:rsidR="003652A0" w:rsidRPr="00C97934" w:rsidRDefault="00490FDA"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61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61561E">
        <w:tc>
          <w:tcPr>
            <w:tcW w:w="8460" w:type="dxa"/>
          </w:tcPr>
          <w:p w14:paraId="0D43E8EE" w14:textId="77777777" w:rsidR="003652A0" w:rsidRPr="00C97934" w:rsidRDefault="003652A0" w:rsidP="00933F50">
            <w:pPr>
              <w:rPr>
                <w:rFonts w:ascii="Arial" w:hAnsi="Arial" w:cs="Arial"/>
                <w:sz w:val="24"/>
                <w:szCs w:val="24"/>
              </w:rPr>
            </w:pPr>
          </w:p>
        </w:tc>
        <w:tc>
          <w:tcPr>
            <w:tcW w:w="161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61561E">
        <w:tc>
          <w:tcPr>
            <w:tcW w:w="846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610" w:type="dxa"/>
            <w:shd w:val="clear" w:color="auto" w:fill="D9D9D9" w:themeFill="background1" w:themeFillShade="D9"/>
          </w:tcPr>
          <w:p w14:paraId="07AC0DA9" w14:textId="0FAE9FE9" w:rsidR="003652A0" w:rsidRPr="00C97934" w:rsidRDefault="00B052ED" w:rsidP="00933F50">
            <w:pPr>
              <w:jc w:val="center"/>
              <w:rPr>
                <w:rFonts w:ascii="Arial" w:hAnsi="Arial" w:cs="Arial"/>
                <w:b/>
                <w:sz w:val="24"/>
                <w:szCs w:val="24"/>
              </w:rPr>
            </w:pPr>
            <w:r>
              <w:rPr>
                <w:rFonts w:ascii="Arial" w:hAnsi="Arial" w:cs="Arial"/>
                <w:b/>
                <w:sz w:val="24"/>
                <w:szCs w:val="24"/>
              </w:rPr>
              <w:t>13</w:t>
            </w:r>
          </w:p>
        </w:tc>
      </w:tr>
      <w:tr w:rsidR="003652A0" w:rsidRPr="00C97934" w14:paraId="3DCEDC36" w14:textId="77777777" w:rsidTr="0061561E">
        <w:tc>
          <w:tcPr>
            <w:tcW w:w="8460" w:type="dxa"/>
          </w:tcPr>
          <w:p w14:paraId="70761800" w14:textId="77777777" w:rsidR="003652A0" w:rsidRPr="00C97934" w:rsidRDefault="003652A0" w:rsidP="00933F50">
            <w:pPr>
              <w:rPr>
                <w:rFonts w:ascii="Arial" w:hAnsi="Arial" w:cs="Arial"/>
                <w:sz w:val="24"/>
                <w:szCs w:val="24"/>
              </w:rPr>
            </w:pPr>
          </w:p>
        </w:tc>
        <w:tc>
          <w:tcPr>
            <w:tcW w:w="161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61561E">
        <w:tc>
          <w:tcPr>
            <w:tcW w:w="846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610" w:type="dxa"/>
            <w:shd w:val="clear" w:color="auto" w:fill="D9D9D9" w:themeFill="background1" w:themeFillShade="D9"/>
          </w:tcPr>
          <w:p w14:paraId="7195E054" w14:textId="1C0AADFA" w:rsidR="003652A0" w:rsidRPr="00C97934" w:rsidRDefault="0086437D" w:rsidP="00933F50">
            <w:pPr>
              <w:jc w:val="center"/>
              <w:rPr>
                <w:rFonts w:ascii="Arial" w:hAnsi="Arial" w:cs="Arial"/>
                <w:b/>
                <w:sz w:val="24"/>
                <w:szCs w:val="24"/>
              </w:rPr>
            </w:pPr>
            <w:r>
              <w:rPr>
                <w:rFonts w:ascii="Arial" w:hAnsi="Arial" w:cs="Arial"/>
                <w:b/>
                <w:sz w:val="24"/>
                <w:szCs w:val="24"/>
              </w:rPr>
              <w:t>1</w:t>
            </w:r>
            <w:r w:rsidR="0061561E">
              <w:rPr>
                <w:rFonts w:ascii="Arial" w:hAnsi="Arial" w:cs="Arial"/>
                <w:b/>
                <w:sz w:val="24"/>
                <w:szCs w:val="24"/>
              </w:rPr>
              <w:t>6</w:t>
            </w:r>
          </w:p>
        </w:tc>
      </w:tr>
      <w:tr w:rsidR="003652A0" w:rsidRPr="00C97934" w14:paraId="329B1028" w14:textId="77777777" w:rsidTr="0061561E">
        <w:tc>
          <w:tcPr>
            <w:tcW w:w="846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61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61561E">
        <w:tc>
          <w:tcPr>
            <w:tcW w:w="846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61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61561E">
        <w:tc>
          <w:tcPr>
            <w:tcW w:w="846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61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61561E">
        <w:tc>
          <w:tcPr>
            <w:tcW w:w="846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61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61561E">
        <w:tc>
          <w:tcPr>
            <w:tcW w:w="8460" w:type="dxa"/>
          </w:tcPr>
          <w:p w14:paraId="55D2DC34" w14:textId="77777777" w:rsidR="003652A0" w:rsidRPr="00C97934" w:rsidRDefault="003652A0" w:rsidP="00933F50">
            <w:pPr>
              <w:rPr>
                <w:rFonts w:ascii="Arial" w:hAnsi="Arial" w:cs="Arial"/>
                <w:sz w:val="24"/>
                <w:szCs w:val="24"/>
              </w:rPr>
            </w:pPr>
          </w:p>
        </w:tc>
        <w:tc>
          <w:tcPr>
            <w:tcW w:w="161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61561E">
        <w:tc>
          <w:tcPr>
            <w:tcW w:w="846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610" w:type="dxa"/>
            <w:shd w:val="clear" w:color="auto" w:fill="D9D9D9" w:themeFill="background1" w:themeFillShade="D9"/>
          </w:tcPr>
          <w:p w14:paraId="5B7BD577" w14:textId="1B6F5DE1" w:rsidR="003652A0" w:rsidRPr="00C97934" w:rsidRDefault="0086437D" w:rsidP="00933F50">
            <w:pPr>
              <w:jc w:val="center"/>
              <w:rPr>
                <w:rFonts w:ascii="Arial" w:hAnsi="Arial" w:cs="Arial"/>
                <w:b/>
                <w:sz w:val="24"/>
                <w:szCs w:val="24"/>
              </w:rPr>
            </w:pPr>
            <w:r>
              <w:rPr>
                <w:rFonts w:ascii="Arial" w:hAnsi="Arial" w:cs="Arial"/>
                <w:b/>
                <w:sz w:val="24"/>
                <w:szCs w:val="24"/>
              </w:rPr>
              <w:t>1</w:t>
            </w:r>
            <w:r w:rsidR="0061561E">
              <w:rPr>
                <w:rFonts w:ascii="Arial" w:hAnsi="Arial" w:cs="Arial"/>
                <w:b/>
                <w:sz w:val="24"/>
                <w:szCs w:val="24"/>
              </w:rPr>
              <w:t>8</w:t>
            </w:r>
          </w:p>
        </w:tc>
      </w:tr>
      <w:tr w:rsidR="003652A0" w:rsidRPr="00C97934" w14:paraId="5153674A" w14:textId="77777777" w:rsidTr="0061561E">
        <w:tc>
          <w:tcPr>
            <w:tcW w:w="846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61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61561E">
        <w:tc>
          <w:tcPr>
            <w:tcW w:w="846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61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61561E">
        <w:tc>
          <w:tcPr>
            <w:tcW w:w="8460" w:type="dxa"/>
          </w:tcPr>
          <w:p w14:paraId="4CF7D3DA" w14:textId="77777777" w:rsidR="003652A0" w:rsidRPr="00C97934" w:rsidRDefault="003652A0" w:rsidP="00933F50">
            <w:pPr>
              <w:rPr>
                <w:rFonts w:ascii="Arial" w:hAnsi="Arial" w:cs="Arial"/>
                <w:sz w:val="24"/>
                <w:szCs w:val="24"/>
              </w:rPr>
            </w:pPr>
          </w:p>
        </w:tc>
        <w:tc>
          <w:tcPr>
            <w:tcW w:w="161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61561E">
        <w:tc>
          <w:tcPr>
            <w:tcW w:w="846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610" w:type="dxa"/>
            <w:shd w:val="clear" w:color="auto" w:fill="D9D9D9" w:themeFill="background1" w:themeFillShade="D9"/>
          </w:tcPr>
          <w:p w14:paraId="2915FA94" w14:textId="5C8B79BF" w:rsidR="003652A0" w:rsidRPr="00C97934" w:rsidRDefault="0061561E" w:rsidP="00933F50">
            <w:pPr>
              <w:jc w:val="center"/>
              <w:rPr>
                <w:rFonts w:ascii="Arial" w:hAnsi="Arial" w:cs="Arial"/>
                <w:b/>
                <w:sz w:val="24"/>
                <w:szCs w:val="24"/>
              </w:rPr>
            </w:pPr>
            <w:r>
              <w:rPr>
                <w:rFonts w:ascii="Arial" w:hAnsi="Arial" w:cs="Arial"/>
                <w:b/>
                <w:sz w:val="24"/>
                <w:szCs w:val="24"/>
              </w:rPr>
              <w:t>20</w:t>
            </w:r>
          </w:p>
        </w:tc>
      </w:tr>
      <w:tr w:rsidR="003652A0" w:rsidRPr="00C97934" w14:paraId="7ADF74D7" w14:textId="77777777" w:rsidTr="0061561E">
        <w:tc>
          <w:tcPr>
            <w:tcW w:w="846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61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61561E">
        <w:tc>
          <w:tcPr>
            <w:tcW w:w="846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61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61561E">
        <w:tc>
          <w:tcPr>
            <w:tcW w:w="846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61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61561E">
        <w:tc>
          <w:tcPr>
            <w:tcW w:w="8460" w:type="dxa"/>
          </w:tcPr>
          <w:p w14:paraId="49A06846" w14:textId="6B43291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r w:rsidR="00017FAF">
              <w:rPr>
                <w:rFonts w:ascii="Arial" w:hAnsi="Arial" w:cs="Arial"/>
                <w:sz w:val="24"/>
                <w:szCs w:val="24"/>
              </w:rPr>
              <w:t>, GENERAL SERVICE AREA 1</w:t>
            </w:r>
          </w:p>
        </w:tc>
        <w:tc>
          <w:tcPr>
            <w:tcW w:w="161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61561E">
        <w:tc>
          <w:tcPr>
            <w:tcW w:w="8460" w:type="dxa"/>
          </w:tcPr>
          <w:p w14:paraId="27D3A822" w14:textId="530DF712"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w:t>
            </w:r>
            <w:r w:rsidR="00017FAF" w:rsidRPr="00C97934">
              <w:rPr>
                <w:rFonts w:ascii="Arial" w:hAnsi="Arial" w:cs="Arial"/>
                <w:sz w:val="24"/>
                <w:szCs w:val="24"/>
              </w:rPr>
              <w:t>– COST PROPOSAL FORM</w:t>
            </w:r>
            <w:r w:rsidR="00017FAF">
              <w:rPr>
                <w:rFonts w:ascii="Arial" w:hAnsi="Arial" w:cs="Arial"/>
                <w:sz w:val="24"/>
                <w:szCs w:val="24"/>
              </w:rPr>
              <w:t>, GENERAL SERVICE AREA 2</w:t>
            </w:r>
          </w:p>
        </w:tc>
        <w:tc>
          <w:tcPr>
            <w:tcW w:w="161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61561E">
        <w:tc>
          <w:tcPr>
            <w:tcW w:w="8460" w:type="dxa"/>
          </w:tcPr>
          <w:p w14:paraId="331856AD" w14:textId="297B5504" w:rsidR="003652A0" w:rsidRPr="00072261" w:rsidRDefault="00017FAF" w:rsidP="00933F50">
            <w:pPr>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xml:space="preserve">APPENDIX F </w:t>
            </w:r>
            <w:r w:rsidRPr="00C97934">
              <w:rPr>
                <w:rFonts w:ascii="Arial" w:hAnsi="Arial" w:cs="Arial"/>
                <w:sz w:val="24"/>
                <w:szCs w:val="24"/>
              </w:rPr>
              <w:t>– SUBMITTED QUESTIONS FORM</w:t>
            </w:r>
          </w:p>
        </w:tc>
        <w:tc>
          <w:tcPr>
            <w:tcW w:w="161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61561E">
        <w:tc>
          <w:tcPr>
            <w:tcW w:w="8460" w:type="dxa"/>
          </w:tcPr>
          <w:p w14:paraId="3B05759D" w14:textId="77777777" w:rsidR="003652A0" w:rsidRPr="00C97934" w:rsidRDefault="003652A0" w:rsidP="00933F50">
            <w:pPr>
              <w:rPr>
                <w:rFonts w:ascii="Arial" w:hAnsi="Arial" w:cs="Arial"/>
                <w:sz w:val="24"/>
                <w:szCs w:val="24"/>
              </w:rPr>
            </w:pPr>
          </w:p>
        </w:tc>
        <w:tc>
          <w:tcPr>
            <w:tcW w:w="161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61561E">
        <w:tc>
          <w:tcPr>
            <w:tcW w:w="8460" w:type="dxa"/>
          </w:tcPr>
          <w:p w14:paraId="37175F66" w14:textId="77777777" w:rsidR="003652A0" w:rsidRPr="00C97934" w:rsidRDefault="003652A0" w:rsidP="00933F50">
            <w:pPr>
              <w:rPr>
                <w:rFonts w:ascii="Arial" w:hAnsi="Arial" w:cs="Arial"/>
                <w:sz w:val="24"/>
                <w:szCs w:val="24"/>
              </w:rPr>
            </w:pPr>
          </w:p>
        </w:tc>
        <w:tc>
          <w:tcPr>
            <w:tcW w:w="161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B40839E" w:rsidR="004B1E57" w:rsidRPr="00C97934" w:rsidRDefault="005E1B85" w:rsidP="001627BB">
      <w:pPr>
        <w:pStyle w:val="DefaultText"/>
        <w:widowControl/>
        <w:jc w:val="center"/>
        <w:rPr>
          <w:rStyle w:val="InitialStyle"/>
          <w:rFonts w:ascii="Arial" w:hAnsi="Arial" w:cs="Arial"/>
          <w:b/>
          <w:bCs/>
          <w:color w:val="FF0000"/>
        </w:rPr>
      </w:pPr>
      <w:r>
        <w:rPr>
          <w:rStyle w:val="InitialStyle"/>
          <w:rFonts w:ascii="Arial" w:hAnsi="Arial" w:cs="Arial"/>
          <w:b/>
          <w:bCs/>
        </w:rPr>
        <w:t>Office of the Public Advocate</w:t>
      </w:r>
    </w:p>
    <w:p w14:paraId="7BEC188C" w14:textId="426CE93D"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361C45" w:rsidRPr="00361C45">
        <w:rPr>
          <w:rStyle w:val="InitialStyle"/>
          <w:rFonts w:ascii="Arial" w:hAnsi="Arial" w:cs="Arial"/>
          <w:b/>
          <w:bCs/>
        </w:rPr>
        <w:t>202504057</w:t>
      </w:r>
    </w:p>
    <w:p w14:paraId="2B76A760" w14:textId="51B546FD" w:rsidR="004B1E57" w:rsidRPr="005E1B85" w:rsidRDefault="005E1B85" w:rsidP="001627BB">
      <w:pPr>
        <w:pStyle w:val="DefaultText"/>
        <w:widowControl/>
        <w:jc w:val="center"/>
        <w:rPr>
          <w:rStyle w:val="InitialStyle"/>
          <w:rFonts w:ascii="Arial" w:hAnsi="Arial" w:cs="Arial"/>
          <w:b/>
          <w:bCs/>
        </w:rPr>
      </w:pPr>
      <w:r>
        <w:rPr>
          <w:rStyle w:val="InitialStyle"/>
          <w:rFonts w:ascii="Arial" w:hAnsi="Arial" w:cs="Arial"/>
          <w:b/>
          <w:bCs/>
        </w:rPr>
        <w:t>Natural Gas Consultant for the Maine Public Advocate</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E30DAC8" w14:textId="638DF530" w:rsidR="00C13A9F" w:rsidRPr="00A8193F" w:rsidRDefault="00C13A9F" w:rsidP="00C13A9F">
      <w:pPr>
        <w:pStyle w:val="DefaultText"/>
        <w:widowControl/>
        <w:rPr>
          <w:rStyle w:val="InitialStyle"/>
          <w:rFonts w:ascii="Arial" w:hAnsi="Arial" w:cs="Arial"/>
          <w:bCs/>
        </w:rPr>
      </w:pPr>
      <w:r w:rsidRPr="60A5DD87">
        <w:rPr>
          <w:rStyle w:val="InitialStyle"/>
          <w:rFonts w:ascii="Arial" w:hAnsi="Arial" w:cs="Arial"/>
        </w:rPr>
        <w:t xml:space="preserve">The State of Maine is seeking proposals for a consultant to assist the Office of the Public Advocate (Office) </w:t>
      </w:r>
      <w:r w:rsidR="00A828B4">
        <w:rPr>
          <w:rStyle w:val="InitialStyle"/>
          <w:rFonts w:ascii="Arial" w:hAnsi="Arial" w:cs="Arial"/>
        </w:rPr>
        <w:t xml:space="preserve">to </w:t>
      </w:r>
      <w:r w:rsidR="00A828B4" w:rsidRPr="00A828B4">
        <w:rPr>
          <w:rStyle w:val="InitialStyle"/>
          <w:rFonts w:ascii="Arial" w:hAnsi="Arial" w:cs="Arial"/>
        </w:rPr>
        <w:t>provide consulting services to assist with regulatory proceedings related to natural gas</w:t>
      </w:r>
      <w:r w:rsidR="00A828B4">
        <w:rPr>
          <w:rStyle w:val="InitialStyle"/>
          <w:rFonts w:ascii="Arial" w:hAnsi="Arial" w:cs="Arial"/>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3"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930664D" w:rsidR="00157242" w:rsidRPr="00C97934" w:rsidRDefault="592DBD6D" w:rsidP="6155AFD9">
      <w:pPr>
        <w:pStyle w:val="DefaultText"/>
        <w:widowControl/>
        <w:rPr>
          <w:rStyle w:val="InitialStyle"/>
          <w:rFonts w:ascii="Arial" w:hAnsi="Arial" w:cs="Arial"/>
        </w:rPr>
      </w:pPr>
      <w:r w:rsidRPr="6155AFD9">
        <w:rPr>
          <w:rStyle w:val="InitialStyle"/>
          <w:rFonts w:ascii="Arial" w:hAnsi="Arial" w:cs="Arial"/>
        </w:rPr>
        <w:t xml:space="preserve">Proposals must be submitted to the </w:t>
      </w:r>
      <w:r w:rsidR="186255CF" w:rsidRPr="6155AFD9">
        <w:rPr>
          <w:rStyle w:val="InitialStyle"/>
          <w:rFonts w:ascii="Arial" w:hAnsi="Arial" w:cs="Arial"/>
        </w:rPr>
        <w:t>Office of State Procurement Services</w:t>
      </w:r>
      <w:r w:rsidRPr="6155AFD9">
        <w:rPr>
          <w:rStyle w:val="InitialStyle"/>
          <w:rFonts w:ascii="Arial" w:hAnsi="Arial" w:cs="Arial"/>
        </w:rPr>
        <w:t xml:space="preserve">, via e-mail, </w:t>
      </w:r>
      <w:r w:rsidR="59EDD7AD" w:rsidRPr="6155AFD9">
        <w:rPr>
          <w:rStyle w:val="InitialStyle"/>
          <w:rFonts w:ascii="Arial" w:hAnsi="Arial" w:cs="Arial"/>
        </w:rPr>
        <w:t>at</w:t>
      </w:r>
      <w:r w:rsidRPr="6155AFD9">
        <w:rPr>
          <w:rStyle w:val="InitialStyle"/>
          <w:rFonts w:ascii="Arial" w:hAnsi="Arial" w:cs="Arial"/>
        </w:rPr>
        <w:t xml:space="preserve">: </w:t>
      </w:r>
      <w:hyperlink r:id="rId14">
        <w:r w:rsidRPr="6155AFD9">
          <w:rPr>
            <w:rStyle w:val="Hyperlink"/>
            <w:rFonts w:ascii="Arial" w:hAnsi="Arial" w:cs="Arial"/>
          </w:rPr>
          <w:t>Proposals@maine.gov</w:t>
        </w:r>
      </w:hyperlink>
      <w:r w:rsidRPr="6155AFD9">
        <w:rPr>
          <w:rFonts w:ascii="Arial" w:hAnsi="Arial" w:cs="Arial"/>
        </w:rPr>
        <w:t>.</w:t>
      </w:r>
      <w:r w:rsidRPr="6155AFD9">
        <w:rPr>
          <w:rStyle w:val="InitialStyle"/>
          <w:rFonts w:ascii="Arial" w:hAnsi="Arial" w:cs="Arial"/>
        </w:rPr>
        <w:t xml:space="preserve">  Propos</w:t>
      </w:r>
      <w:r w:rsidR="35390FE9" w:rsidRPr="6155AFD9">
        <w:rPr>
          <w:rStyle w:val="InitialStyle"/>
          <w:rFonts w:ascii="Arial" w:hAnsi="Arial" w:cs="Arial"/>
        </w:rPr>
        <w:t>al submissions must be received</w:t>
      </w:r>
      <w:r w:rsidRPr="6155AFD9">
        <w:rPr>
          <w:rStyle w:val="InitialStyle"/>
          <w:rFonts w:ascii="Arial" w:hAnsi="Arial" w:cs="Arial"/>
        </w:rPr>
        <w:t xml:space="preserve"> no later than </w:t>
      </w:r>
      <w:r w:rsidR="473C152C" w:rsidRPr="6155AFD9">
        <w:rPr>
          <w:rStyle w:val="InitialStyle"/>
          <w:rFonts w:ascii="Arial" w:hAnsi="Arial" w:cs="Arial"/>
        </w:rPr>
        <w:t>11:59</w:t>
      </w:r>
      <w:r w:rsidRPr="6155AFD9">
        <w:rPr>
          <w:rStyle w:val="InitialStyle"/>
          <w:rFonts w:ascii="Arial" w:hAnsi="Arial" w:cs="Arial"/>
        </w:rPr>
        <w:t xml:space="preserve"> p</w:t>
      </w:r>
      <w:r w:rsidR="67BAB62A" w:rsidRPr="6155AFD9">
        <w:rPr>
          <w:rStyle w:val="InitialStyle"/>
          <w:rFonts w:ascii="Arial" w:hAnsi="Arial" w:cs="Arial"/>
        </w:rPr>
        <w:t>.</w:t>
      </w:r>
      <w:r w:rsidRPr="6155AFD9">
        <w:rPr>
          <w:rStyle w:val="InitialStyle"/>
          <w:rFonts w:ascii="Arial" w:hAnsi="Arial" w:cs="Arial"/>
        </w:rPr>
        <w:t>m</w:t>
      </w:r>
      <w:r w:rsidR="67BAB62A" w:rsidRPr="6155AFD9">
        <w:rPr>
          <w:rStyle w:val="InitialStyle"/>
          <w:rFonts w:ascii="Arial" w:hAnsi="Arial" w:cs="Arial"/>
        </w:rPr>
        <w:t>.</w:t>
      </w:r>
      <w:r w:rsidRPr="6155AFD9">
        <w:rPr>
          <w:rStyle w:val="InitialStyle"/>
          <w:rFonts w:ascii="Arial" w:hAnsi="Arial" w:cs="Arial"/>
        </w:rPr>
        <w:t>, local time, on</w:t>
      </w:r>
      <w:r w:rsidRPr="6155AFD9">
        <w:rPr>
          <w:rStyle w:val="InitialStyle"/>
          <w:rFonts w:ascii="Arial" w:hAnsi="Arial" w:cs="Arial"/>
          <w:color w:val="FF0000"/>
        </w:rPr>
        <w:t xml:space="preserve"> </w:t>
      </w:r>
      <w:r w:rsidR="4E168C7E" w:rsidRPr="6155AFD9">
        <w:rPr>
          <w:rStyle w:val="InitialStyle"/>
          <w:rFonts w:ascii="Arial" w:hAnsi="Arial" w:cs="Arial"/>
        </w:rPr>
        <w:t>May 2</w:t>
      </w:r>
      <w:r w:rsidR="6DBFA669" w:rsidRPr="6155AFD9">
        <w:rPr>
          <w:rStyle w:val="InitialStyle"/>
          <w:rFonts w:ascii="Arial" w:hAnsi="Arial" w:cs="Arial"/>
        </w:rPr>
        <w:t>8</w:t>
      </w:r>
      <w:r w:rsidR="4E168C7E" w:rsidRPr="6155AFD9">
        <w:rPr>
          <w:rStyle w:val="InitialStyle"/>
          <w:rFonts w:ascii="Arial" w:hAnsi="Arial" w:cs="Arial"/>
        </w:rPr>
        <w:t>, 2025</w:t>
      </w:r>
      <w:r w:rsidRPr="6155AFD9">
        <w:rPr>
          <w:rStyle w:val="InitialStyle"/>
          <w:rFonts w:ascii="Arial" w:hAnsi="Arial" w:cs="Arial"/>
        </w:rPr>
        <w:t xml:space="preserve">.  Proposals will be opened </w:t>
      </w:r>
      <w:r w:rsidR="473C152C" w:rsidRPr="6155AFD9">
        <w:rPr>
          <w:rStyle w:val="InitialStyle"/>
          <w:rFonts w:ascii="Arial" w:hAnsi="Arial" w:cs="Arial"/>
        </w:rPr>
        <w:t>the following business day</w:t>
      </w:r>
      <w:r w:rsidRPr="6155AFD9">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D81FDF" w:rsidRPr="00C97934" w14:paraId="2F37A1E4" w14:textId="77777777" w:rsidTr="00BA4F52">
        <w:tc>
          <w:tcPr>
            <w:tcW w:w="2497" w:type="dxa"/>
            <w:shd w:val="clear" w:color="auto" w:fill="auto"/>
            <w:vAlign w:val="center"/>
          </w:tcPr>
          <w:p w14:paraId="1F1C7CAD" w14:textId="217C6B1C" w:rsidR="00D81FDF" w:rsidRPr="00043FBD" w:rsidRDefault="00D81FDF" w:rsidP="00C13A9F">
            <w:pPr>
              <w:pStyle w:val="DefaultText"/>
              <w:widowControl/>
              <w:rPr>
                <w:rStyle w:val="InitialStyle"/>
                <w:rFonts w:ascii="Arial" w:hAnsi="Arial" w:cs="Arial"/>
                <w:b/>
                <w:bCs/>
              </w:rPr>
            </w:pPr>
            <w:r>
              <w:rPr>
                <w:rStyle w:val="InitialStyle"/>
                <w:rFonts w:ascii="Arial" w:hAnsi="Arial" w:cs="Arial"/>
                <w:b/>
                <w:bCs/>
              </w:rPr>
              <w:t>COG</w:t>
            </w:r>
          </w:p>
        </w:tc>
        <w:tc>
          <w:tcPr>
            <w:tcW w:w="7645" w:type="dxa"/>
            <w:shd w:val="clear" w:color="auto" w:fill="auto"/>
            <w:vAlign w:val="center"/>
          </w:tcPr>
          <w:p w14:paraId="22E7BC83" w14:textId="3748FC04" w:rsidR="00D81FDF" w:rsidRPr="00043FBD" w:rsidRDefault="00D81FDF" w:rsidP="00C13A9F">
            <w:pPr>
              <w:pStyle w:val="DefaultText"/>
              <w:widowControl/>
              <w:rPr>
                <w:rStyle w:val="InitialStyle"/>
                <w:rFonts w:ascii="Arial" w:hAnsi="Arial" w:cs="Arial"/>
                <w:bCs/>
              </w:rPr>
            </w:pPr>
            <w:r>
              <w:rPr>
                <w:rStyle w:val="InitialStyle"/>
                <w:rFonts w:ascii="Arial" w:hAnsi="Arial" w:cs="Arial"/>
                <w:bCs/>
              </w:rPr>
              <w:t>Cost of Gas</w:t>
            </w:r>
          </w:p>
        </w:tc>
      </w:tr>
      <w:tr w:rsidR="00C13A9F" w:rsidRPr="00C97934" w14:paraId="4B7AEA07" w14:textId="77777777" w:rsidTr="00BA4F52">
        <w:tc>
          <w:tcPr>
            <w:tcW w:w="2497" w:type="dxa"/>
            <w:shd w:val="clear" w:color="auto" w:fill="auto"/>
            <w:vAlign w:val="center"/>
          </w:tcPr>
          <w:p w14:paraId="6E1DBA4E" w14:textId="64C21D45" w:rsidR="00C13A9F" w:rsidRPr="00C97934" w:rsidRDefault="00C13A9F" w:rsidP="00C13A9F">
            <w:pPr>
              <w:pStyle w:val="DefaultText"/>
              <w:widowControl/>
              <w:rPr>
                <w:rStyle w:val="InitialStyle"/>
                <w:rFonts w:ascii="Arial" w:hAnsi="Arial" w:cs="Arial"/>
                <w:b/>
                <w:bCs/>
              </w:rPr>
            </w:pPr>
            <w:r w:rsidRPr="00043FBD">
              <w:rPr>
                <w:rStyle w:val="InitialStyle"/>
                <w:rFonts w:ascii="Arial" w:hAnsi="Arial" w:cs="Arial"/>
                <w:b/>
                <w:bCs/>
              </w:rPr>
              <w:t>FERC</w:t>
            </w:r>
          </w:p>
        </w:tc>
        <w:tc>
          <w:tcPr>
            <w:tcW w:w="7645" w:type="dxa"/>
            <w:shd w:val="clear" w:color="auto" w:fill="auto"/>
            <w:vAlign w:val="center"/>
          </w:tcPr>
          <w:p w14:paraId="05814684" w14:textId="05E9DBC7" w:rsidR="00C13A9F" w:rsidRPr="00C97934" w:rsidRDefault="00C13A9F" w:rsidP="00C13A9F">
            <w:pPr>
              <w:pStyle w:val="DefaultText"/>
              <w:widowControl/>
              <w:rPr>
                <w:rStyle w:val="InitialStyle"/>
                <w:rFonts w:ascii="Arial" w:hAnsi="Arial" w:cs="Arial"/>
                <w:bCs/>
              </w:rPr>
            </w:pPr>
            <w:r w:rsidRPr="00043FBD">
              <w:rPr>
                <w:rStyle w:val="InitialStyle"/>
                <w:rFonts w:ascii="Arial" w:hAnsi="Arial" w:cs="Arial"/>
                <w:bCs/>
              </w:rPr>
              <w:t>Federal Energy Regulatory Commission</w:t>
            </w:r>
          </w:p>
        </w:tc>
      </w:tr>
      <w:tr w:rsidR="00C13A9F" w:rsidRPr="00C97934" w14:paraId="7DFE3C5E" w14:textId="77777777" w:rsidTr="00BA4F52">
        <w:tc>
          <w:tcPr>
            <w:tcW w:w="2497" w:type="dxa"/>
            <w:shd w:val="clear" w:color="auto" w:fill="auto"/>
            <w:vAlign w:val="center"/>
          </w:tcPr>
          <w:p w14:paraId="4570F199" w14:textId="77A1277F" w:rsidR="00C13A9F" w:rsidRPr="00C97934" w:rsidRDefault="00C13A9F" w:rsidP="00C13A9F">
            <w:pPr>
              <w:pStyle w:val="DefaultText"/>
              <w:widowControl/>
              <w:rPr>
                <w:rStyle w:val="InitialStyle"/>
                <w:rFonts w:ascii="Arial" w:hAnsi="Arial" w:cs="Arial"/>
                <w:b/>
                <w:bCs/>
              </w:rPr>
            </w:pPr>
            <w:r w:rsidRPr="00043FBD">
              <w:rPr>
                <w:rStyle w:val="InitialStyle"/>
                <w:rFonts w:ascii="Arial" w:hAnsi="Arial" w:cs="Arial"/>
                <w:b/>
                <w:bCs/>
              </w:rPr>
              <w:t>LDC</w:t>
            </w:r>
          </w:p>
        </w:tc>
        <w:tc>
          <w:tcPr>
            <w:tcW w:w="7645" w:type="dxa"/>
            <w:shd w:val="clear" w:color="auto" w:fill="auto"/>
            <w:vAlign w:val="center"/>
          </w:tcPr>
          <w:p w14:paraId="18F1595E" w14:textId="7C753AE7" w:rsidR="00C13A9F" w:rsidRPr="00C97934" w:rsidRDefault="00C13A9F" w:rsidP="00C13A9F">
            <w:pPr>
              <w:pStyle w:val="DefaultText"/>
              <w:widowControl/>
              <w:rPr>
                <w:rStyle w:val="InitialStyle"/>
                <w:rFonts w:ascii="Arial" w:hAnsi="Arial" w:cs="Arial"/>
                <w:bCs/>
              </w:rPr>
            </w:pPr>
            <w:r w:rsidRPr="00043FBD">
              <w:rPr>
                <w:rStyle w:val="InitialStyle"/>
                <w:rFonts w:ascii="Arial" w:hAnsi="Arial" w:cs="Arial"/>
                <w:bCs/>
              </w:rPr>
              <w:t>Natural Gas Local Distribution Company</w:t>
            </w:r>
          </w:p>
        </w:tc>
      </w:tr>
      <w:tr w:rsidR="00C13A9F" w:rsidRPr="00C97934" w14:paraId="516CEFA0" w14:textId="77777777" w:rsidTr="00BA4F52">
        <w:tc>
          <w:tcPr>
            <w:tcW w:w="2497" w:type="dxa"/>
            <w:shd w:val="clear" w:color="auto" w:fill="auto"/>
            <w:vAlign w:val="center"/>
          </w:tcPr>
          <w:p w14:paraId="6CF391DB" w14:textId="0666B8A7" w:rsidR="00C13A9F" w:rsidRPr="00C97934" w:rsidRDefault="00C13A9F" w:rsidP="00C13A9F">
            <w:pPr>
              <w:pStyle w:val="DefaultText"/>
              <w:widowControl/>
              <w:rPr>
                <w:rStyle w:val="InitialStyle"/>
                <w:rFonts w:ascii="Arial" w:hAnsi="Arial" w:cs="Arial"/>
                <w:b/>
                <w:bCs/>
              </w:rPr>
            </w:pPr>
            <w:r w:rsidRPr="00043FBD">
              <w:rPr>
                <w:rStyle w:val="InitialStyle"/>
                <w:rFonts w:ascii="Arial" w:hAnsi="Arial" w:cs="Arial"/>
                <w:b/>
                <w:bCs/>
              </w:rPr>
              <w:t>Office</w:t>
            </w:r>
          </w:p>
        </w:tc>
        <w:tc>
          <w:tcPr>
            <w:tcW w:w="7645" w:type="dxa"/>
            <w:shd w:val="clear" w:color="auto" w:fill="auto"/>
            <w:vAlign w:val="center"/>
          </w:tcPr>
          <w:p w14:paraId="572F6CC7" w14:textId="2DC69BE3" w:rsidR="00C13A9F" w:rsidRPr="00C97934" w:rsidRDefault="00C13A9F" w:rsidP="00C13A9F">
            <w:pPr>
              <w:pStyle w:val="DefaultText"/>
              <w:widowControl/>
              <w:rPr>
                <w:rStyle w:val="InitialStyle"/>
                <w:rFonts w:ascii="Arial" w:hAnsi="Arial" w:cs="Arial"/>
                <w:bCs/>
              </w:rPr>
            </w:pPr>
            <w:r w:rsidRPr="00043FBD">
              <w:rPr>
                <w:rStyle w:val="InitialStyle"/>
                <w:rFonts w:ascii="Arial" w:hAnsi="Arial" w:cs="Arial"/>
                <w:bCs/>
              </w:rPr>
              <w:t>Maine Office of the Public Advocate</w:t>
            </w:r>
          </w:p>
        </w:tc>
      </w:tr>
      <w:tr w:rsidR="00C13A9F" w:rsidRPr="00C97934" w14:paraId="2140ECDE" w14:textId="77777777" w:rsidTr="00BA4F52">
        <w:tc>
          <w:tcPr>
            <w:tcW w:w="2497" w:type="dxa"/>
            <w:shd w:val="clear" w:color="auto" w:fill="auto"/>
            <w:vAlign w:val="center"/>
          </w:tcPr>
          <w:p w14:paraId="1F12DC52" w14:textId="3757164D" w:rsidR="00C13A9F" w:rsidRPr="00C97934" w:rsidRDefault="00C13A9F" w:rsidP="00C13A9F">
            <w:pPr>
              <w:pStyle w:val="DefaultText"/>
              <w:widowControl/>
              <w:rPr>
                <w:rStyle w:val="InitialStyle"/>
                <w:rFonts w:ascii="Arial" w:hAnsi="Arial" w:cs="Arial"/>
                <w:b/>
                <w:bCs/>
              </w:rPr>
            </w:pPr>
            <w:r w:rsidRPr="00043FBD">
              <w:rPr>
                <w:rStyle w:val="InitialStyle"/>
                <w:rFonts w:ascii="Arial" w:hAnsi="Arial" w:cs="Arial"/>
                <w:b/>
                <w:bCs/>
              </w:rPr>
              <w:t>PUC</w:t>
            </w:r>
          </w:p>
        </w:tc>
        <w:tc>
          <w:tcPr>
            <w:tcW w:w="7645" w:type="dxa"/>
            <w:shd w:val="clear" w:color="auto" w:fill="auto"/>
            <w:vAlign w:val="center"/>
          </w:tcPr>
          <w:p w14:paraId="319AF8A0" w14:textId="22FF62B7" w:rsidR="00C13A9F" w:rsidRPr="00C97934" w:rsidRDefault="00C13A9F" w:rsidP="00C13A9F">
            <w:pPr>
              <w:pStyle w:val="DefaultText"/>
              <w:widowControl/>
              <w:rPr>
                <w:rStyle w:val="InitialStyle"/>
                <w:rFonts w:ascii="Arial" w:hAnsi="Arial" w:cs="Arial"/>
                <w:bCs/>
              </w:rPr>
            </w:pPr>
            <w:r w:rsidRPr="00043FBD">
              <w:rPr>
                <w:rStyle w:val="InitialStyle"/>
                <w:rFonts w:ascii="Arial" w:hAnsi="Arial" w:cs="Arial"/>
                <w:bCs/>
              </w:rPr>
              <w:t>Maine Public Utilities Commission</w:t>
            </w:r>
          </w:p>
        </w:tc>
      </w:tr>
      <w:tr w:rsidR="00CD40DB" w:rsidRPr="00C97934" w14:paraId="6BDBAFDF" w14:textId="77777777" w:rsidTr="00BA4F52">
        <w:tc>
          <w:tcPr>
            <w:tcW w:w="2497" w:type="dxa"/>
            <w:shd w:val="clear" w:color="auto" w:fill="auto"/>
            <w:vAlign w:val="center"/>
          </w:tcPr>
          <w:p w14:paraId="53795DCB" w14:textId="272E3BDE" w:rsidR="00CD40DB" w:rsidRPr="00043FBD" w:rsidRDefault="00CD40DB" w:rsidP="00CD40DB">
            <w:pPr>
              <w:pStyle w:val="DefaultText"/>
              <w:widowControl/>
              <w:rPr>
                <w:rStyle w:val="InitialStyle"/>
                <w:rFonts w:ascii="Arial" w:hAnsi="Arial" w:cs="Arial"/>
                <w:b/>
                <w:bCs/>
              </w:rPr>
            </w:pPr>
            <w:r w:rsidRPr="00043FBD">
              <w:rPr>
                <w:rStyle w:val="InitialStyle"/>
                <w:rFonts w:ascii="Arial" w:hAnsi="Arial" w:cs="Arial"/>
                <w:b/>
                <w:bCs/>
              </w:rPr>
              <w:t>RFP</w:t>
            </w:r>
          </w:p>
        </w:tc>
        <w:tc>
          <w:tcPr>
            <w:tcW w:w="7645" w:type="dxa"/>
            <w:shd w:val="clear" w:color="auto" w:fill="auto"/>
            <w:vAlign w:val="center"/>
          </w:tcPr>
          <w:p w14:paraId="721006A4" w14:textId="33BB76B6" w:rsidR="00CD40DB" w:rsidRPr="00043FBD" w:rsidRDefault="00CD40DB" w:rsidP="00CD40DB">
            <w:pPr>
              <w:pStyle w:val="DefaultText"/>
              <w:widowControl/>
              <w:rPr>
                <w:rStyle w:val="InitialStyle"/>
                <w:rFonts w:ascii="Arial" w:hAnsi="Arial" w:cs="Arial"/>
                <w:bCs/>
              </w:rPr>
            </w:pPr>
            <w:r w:rsidRPr="00043FBD">
              <w:rPr>
                <w:rStyle w:val="InitialStyle"/>
                <w:rFonts w:ascii="Arial" w:hAnsi="Arial" w:cs="Arial"/>
                <w:bCs/>
              </w:rPr>
              <w:t>Request for Proposal</w:t>
            </w:r>
          </w:p>
        </w:tc>
      </w:tr>
      <w:tr w:rsidR="00CD40DB" w:rsidRPr="00C97934" w14:paraId="6AB5F71F" w14:textId="77777777" w:rsidTr="00BA4F52">
        <w:tc>
          <w:tcPr>
            <w:tcW w:w="2497" w:type="dxa"/>
            <w:shd w:val="clear" w:color="auto" w:fill="auto"/>
            <w:vAlign w:val="center"/>
          </w:tcPr>
          <w:p w14:paraId="387DA88B" w14:textId="3A7AB8AF" w:rsidR="00CD40DB" w:rsidRPr="00C97934" w:rsidRDefault="00CD40DB" w:rsidP="00CD40DB">
            <w:pPr>
              <w:pStyle w:val="DefaultText"/>
              <w:widowControl/>
              <w:rPr>
                <w:rStyle w:val="InitialStyle"/>
                <w:rFonts w:ascii="Arial" w:hAnsi="Arial" w:cs="Arial"/>
                <w:b/>
                <w:bCs/>
              </w:rPr>
            </w:pPr>
            <w:r w:rsidRPr="00043FBD">
              <w:rPr>
                <w:rStyle w:val="InitialStyle"/>
                <w:rFonts w:ascii="Arial" w:hAnsi="Arial" w:cs="Arial"/>
                <w:b/>
                <w:bCs/>
              </w:rPr>
              <w:t>State</w:t>
            </w:r>
          </w:p>
        </w:tc>
        <w:tc>
          <w:tcPr>
            <w:tcW w:w="7645" w:type="dxa"/>
            <w:shd w:val="clear" w:color="auto" w:fill="auto"/>
            <w:vAlign w:val="center"/>
          </w:tcPr>
          <w:p w14:paraId="47B7A15B" w14:textId="110BDFE1" w:rsidR="00CD40DB" w:rsidRPr="00C97934" w:rsidRDefault="00CD40DB" w:rsidP="00CD40DB">
            <w:pPr>
              <w:pStyle w:val="DefaultText"/>
              <w:widowControl/>
              <w:rPr>
                <w:rStyle w:val="InitialStyle"/>
                <w:rFonts w:ascii="Arial" w:hAnsi="Arial" w:cs="Arial"/>
                <w:bCs/>
              </w:rPr>
            </w:pPr>
            <w:r w:rsidRPr="00043FBD">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158B8113" w:rsidR="00E82FB4" w:rsidRPr="00C97934" w:rsidRDefault="006B1168"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 xml:space="preserve">Executive </w:t>
      </w:r>
      <w:r w:rsidR="00E82FB4" w:rsidRPr="00C97934">
        <w:rPr>
          <w:rStyle w:val="InitialStyle"/>
          <w:rFonts w:ascii="Arial" w:hAnsi="Arial" w:cs="Arial"/>
          <w:b/>
          <w:bCs/>
          <w:sz w:val="28"/>
          <w:szCs w:val="28"/>
        </w:rPr>
        <w:t>Department</w:t>
      </w:r>
    </w:p>
    <w:p w14:paraId="2F4C1518" w14:textId="526D048D" w:rsidR="00477943" w:rsidRPr="006B1168" w:rsidRDefault="006B1168"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Office of the Public Advocate</w:t>
      </w:r>
    </w:p>
    <w:p w14:paraId="14D216B5" w14:textId="1CB623A1"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361C45" w:rsidRPr="00361C45">
        <w:rPr>
          <w:rStyle w:val="InitialStyle"/>
          <w:rFonts w:ascii="Arial" w:hAnsi="Arial" w:cs="Arial"/>
          <w:b/>
          <w:bCs/>
          <w:sz w:val="28"/>
          <w:szCs w:val="28"/>
        </w:rPr>
        <w:t>202504057</w:t>
      </w:r>
    </w:p>
    <w:p w14:paraId="79AD11A8" w14:textId="77777777" w:rsidR="006B1168" w:rsidRPr="006B1168" w:rsidRDefault="006B1168" w:rsidP="006B1168">
      <w:pPr>
        <w:pStyle w:val="DefaultText"/>
        <w:widowControl/>
        <w:jc w:val="center"/>
        <w:rPr>
          <w:rStyle w:val="InitialStyle"/>
          <w:rFonts w:ascii="Arial" w:hAnsi="Arial" w:cs="Arial"/>
          <w:b/>
          <w:bCs/>
          <w:sz w:val="28"/>
          <w:szCs w:val="28"/>
        </w:rPr>
      </w:pPr>
      <w:r w:rsidRPr="006B1168">
        <w:rPr>
          <w:rStyle w:val="InitialStyle"/>
          <w:rFonts w:ascii="Arial" w:hAnsi="Arial" w:cs="Arial"/>
          <w:b/>
          <w:bCs/>
          <w:sz w:val="28"/>
          <w:szCs w:val="28"/>
        </w:rPr>
        <w:t>Natural Gas Consultant for the Maine Public Advocate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6DA5A4FB" w14:textId="72B7FBFA" w:rsidR="00FF38D8" w:rsidRPr="001011C2" w:rsidRDefault="00E82FB4" w:rsidP="00FF38D8">
      <w:pPr>
        <w:rPr>
          <w:rFonts w:ascii="Arial" w:hAnsi="Arial" w:cs="Arial"/>
          <w:sz w:val="24"/>
          <w:szCs w:val="24"/>
        </w:rPr>
      </w:pPr>
      <w:r w:rsidRPr="00C97934">
        <w:rPr>
          <w:rFonts w:ascii="Arial" w:hAnsi="Arial" w:cs="Arial"/>
          <w:sz w:val="24"/>
          <w:szCs w:val="24"/>
        </w:rPr>
        <w:t xml:space="preserve">The </w:t>
      </w:r>
      <w:r w:rsidR="006B1168">
        <w:rPr>
          <w:rFonts w:ascii="Arial" w:hAnsi="Arial" w:cs="Arial"/>
          <w:sz w:val="24"/>
          <w:szCs w:val="24"/>
        </w:rPr>
        <w:t>Maine Office of the Public Advocate</w:t>
      </w:r>
      <w:r w:rsidR="00F360C7" w:rsidRPr="00C97934">
        <w:rPr>
          <w:rFonts w:ascii="Arial" w:hAnsi="Arial" w:cs="Arial"/>
          <w:sz w:val="24"/>
          <w:szCs w:val="24"/>
        </w:rPr>
        <w:t xml:space="preserve"> </w:t>
      </w:r>
      <w:r w:rsidR="00AD7C80" w:rsidRPr="00C97934">
        <w:rPr>
          <w:rFonts w:ascii="Arial" w:hAnsi="Arial" w:cs="Arial"/>
          <w:sz w:val="24"/>
          <w:szCs w:val="24"/>
        </w:rPr>
        <w:t>(</w:t>
      </w:r>
      <w:r w:rsidR="006818D7">
        <w:rPr>
          <w:rFonts w:ascii="Arial" w:hAnsi="Arial" w:cs="Arial"/>
          <w:sz w:val="24"/>
          <w:szCs w:val="24"/>
        </w:rPr>
        <w:t>Office</w:t>
      </w:r>
      <w:r w:rsidR="00A21745" w:rsidRPr="00C97934">
        <w:rPr>
          <w:rFonts w:ascii="Arial" w:hAnsi="Arial" w:cs="Arial"/>
          <w:sz w:val="24"/>
          <w:szCs w:val="24"/>
        </w:rPr>
        <w:t xml:space="preserve">) </w:t>
      </w:r>
      <w:r w:rsidRPr="00C97934">
        <w:rPr>
          <w:rFonts w:ascii="Arial" w:hAnsi="Arial" w:cs="Arial"/>
          <w:sz w:val="24"/>
          <w:szCs w:val="24"/>
        </w:rPr>
        <w:t>is seeking</w:t>
      </w:r>
      <w:r w:rsidR="006B1168">
        <w:rPr>
          <w:rFonts w:ascii="Arial" w:hAnsi="Arial" w:cs="Arial"/>
          <w:sz w:val="24"/>
          <w:szCs w:val="24"/>
        </w:rPr>
        <w:t xml:space="preserve"> proposals</w:t>
      </w:r>
      <w:r w:rsidRPr="00C97934">
        <w:rPr>
          <w:rFonts w:ascii="Arial" w:hAnsi="Arial" w:cs="Arial"/>
          <w:sz w:val="24"/>
          <w:szCs w:val="24"/>
        </w:rPr>
        <w:t xml:space="preserve"> </w:t>
      </w:r>
      <w:r w:rsidR="006B1168" w:rsidRPr="60A5DD87">
        <w:rPr>
          <w:rFonts w:ascii="Arial" w:hAnsi="Arial" w:cs="Arial"/>
          <w:sz w:val="24"/>
          <w:szCs w:val="24"/>
        </w:rPr>
        <w:t>to provide consulting services to assist with regulatory proceedings related to natural gas.</w:t>
      </w:r>
      <w:r w:rsidR="00FF38D8">
        <w:rPr>
          <w:rFonts w:ascii="Arial" w:hAnsi="Arial" w:cs="Arial"/>
          <w:sz w:val="24"/>
          <w:szCs w:val="24"/>
        </w:rPr>
        <w:t xml:space="preserve">  </w:t>
      </w:r>
      <w:r w:rsidR="00FF38D8" w:rsidRPr="001011C2">
        <w:rPr>
          <w:rFonts w:ascii="Arial" w:hAnsi="Arial" w:cs="Arial"/>
          <w:sz w:val="24"/>
          <w:szCs w:val="24"/>
        </w:rPr>
        <w:t>This document provides instructions for submitting proposals, the procedure and criteria by which the awarded Bidder</w:t>
      </w:r>
      <w:r w:rsidR="008F6FF4">
        <w:rPr>
          <w:rFonts w:ascii="Arial" w:hAnsi="Arial" w:cs="Arial"/>
          <w:sz w:val="24"/>
          <w:szCs w:val="24"/>
        </w:rPr>
        <w:t>(s)</w:t>
      </w:r>
      <w:r w:rsidR="00FF38D8" w:rsidRPr="001011C2">
        <w:rPr>
          <w:rFonts w:ascii="Arial" w:hAnsi="Arial" w:cs="Arial"/>
          <w:sz w:val="24"/>
          <w:szCs w:val="24"/>
        </w:rPr>
        <w:t xml:space="preserve"> will be selected, and the contractual terms which will govern the relationship between the State of Maine (State) and the awarded Bidder</w:t>
      </w:r>
      <w:r w:rsidR="008F6FF4">
        <w:rPr>
          <w:rFonts w:ascii="Arial" w:hAnsi="Arial" w:cs="Arial"/>
          <w:sz w:val="24"/>
          <w:szCs w:val="24"/>
        </w:rPr>
        <w:t>(s)</w:t>
      </w:r>
      <w:r w:rsidR="00FF38D8" w:rsidRPr="001011C2">
        <w:rPr>
          <w:rFonts w:ascii="Arial" w:hAnsi="Arial" w:cs="Arial"/>
          <w:sz w:val="24"/>
          <w:szCs w:val="24"/>
        </w:rPr>
        <w:t>.</w:t>
      </w:r>
    </w:p>
    <w:p w14:paraId="5A40D834" w14:textId="77777777" w:rsidR="00FF38D8" w:rsidRDefault="00FF38D8" w:rsidP="00C34055">
      <w:pPr>
        <w:rPr>
          <w:rFonts w:ascii="Arial" w:hAnsi="Arial" w:cs="Arial"/>
          <w:sz w:val="24"/>
          <w:szCs w:val="24"/>
        </w:rPr>
      </w:pPr>
    </w:p>
    <w:p w14:paraId="621F7D43" w14:textId="7400B586" w:rsidR="001B103E" w:rsidRDefault="006B1168" w:rsidP="00C34055">
      <w:pPr>
        <w:rPr>
          <w:rFonts w:ascii="Arial" w:hAnsi="Arial" w:cs="Arial"/>
          <w:sz w:val="24"/>
          <w:szCs w:val="24"/>
        </w:rPr>
      </w:pPr>
      <w:r w:rsidRPr="60A5DD87">
        <w:rPr>
          <w:rFonts w:ascii="Arial" w:hAnsi="Arial" w:cs="Arial"/>
          <w:sz w:val="24"/>
          <w:szCs w:val="24"/>
        </w:rPr>
        <w:t>The</w:t>
      </w:r>
      <w:r w:rsidRPr="60A5DD87">
        <w:rPr>
          <w:rFonts w:ascii="Arial" w:hAnsi="Arial" w:cs="Arial"/>
        </w:rPr>
        <w:t xml:space="preserve"> </w:t>
      </w:r>
      <w:r w:rsidRPr="60A5DD87">
        <w:rPr>
          <w:rFonts w:ascii="Arial" w:hAnsi="Arial" w:cs="Arial"/>
          <w:sz w:val="24"/>
          <w:szCs w:val="24"/>
        </w:rPr>
        <w:t xml:space="preserve">primary types of </w:t>
      </w:r>
      <w:r w:rsidR="00872890" w:rsidRPr="00872890">
        <w:rPr>
          <w:rFonts w:ascii="Arial" w:hAnsi="Arial" w:cs="Arial"/>
          <w:sz w:val="24"/>
          <w:szCs w:val="24"/>
        </w:rPr>
        <w:t xml:space="preserve">Maine Public Utilities Commission </w:t>
      </w:r>
      <w:r w:rsidR="00872890">
        <w:rPr>
          <w:rFonts w:ascii="Arial" w:hAnsi="Arial" w:cs="Arial"/>
          <w:sz w:val="24"/>
          <w:szCs w:val="24"/>
        </w:rPr>
        <w:t>(</w:t>
      </w:r>
      <w:r w:rsidRPr="60A5DD87">
        <w:rPr>
          <w:rFonts w:ascii="Arial" w:hAnsi="Arial" w:cs="Arial"/>
          <w:sz w:val="24"/>
          <w:szCs w:val="24"/>
        </w:rPr>
        <w:t>PUC</w:t>
      </w:r>
      <w:r w:rsidR="00872890">
        <w:rPr>
          <w:rFonts w:ascii="Arial" w:hAnsi="Arial" w:cs="Arial"/>
          <w:sz w:val="24"/>
          <w:szCs w:val="24"/>
        </w:rPr>
        <w:t>)</w:t>
      </w:r>
      <w:r w:rsidRPr="60A5DD87">
        <w:rPr>
          <w:rFonts w:ascii="Arial" w:hAnsi="Arial" w:cs="Arial"/>
          <w:sz w:val="24"/>
          <w:szCs w:val="24"/>
        </w:rPr>
        <w:t xml:space="preserve"> cases where the </w:t>
      </w:r>
      <w:r w:rsidR="006818D7">
        <w:rPr>
          <w:rFonts w:ascii="Arial" w:hAnsi="Arial" w:cs="Arial"/>
          <w:sz w:val="24"/>
          <w:szCs w:val="24"/>
        </w:rPr>
        <w:t>Office</w:t>
      </w:r>
      <w:r w:rsidRPr="60A5DD87">
        <w:rPr>
          <w:rFonts w:ascii="Arial" w:hAnsi="Arial" w:cs="Arial"/>
          <w:sz w:val="24"/>
          <w:szCs w:val="24"/>
        </w:rPr>
        <w:t xml:space="preserve"> seeks consulting support are:</w:t>
      </w:r>
    </w:p>
    <w:p w14:paraId="6A8FFCA9" w14:textId="77777777" w:rsidR="001B103E" w:rsidRDefault="001B103E" w:rsidP="00C34055">
      <w:pPr>
        <w:rPr>
          <w:rFonts w:ascii="Arial" w:hAnsi="Arial" w:cs="Arial"/>
          <w:sz w:val="24"/>
          <w:szCs w:val="24"/>
        </w:rPr>
      </w:pPr>
    </w:p>
    <w:p w14:paraId="4C7375C0" w14:textId="77777777" w:rsidR="001B103E" w:rsidRDefault="006B1168" w:rsidP="00C34055">
      <w:pPr>
        <w:pStyle w:val="ListParagraph"/>
        <w:numPr>
          <w:ilvl w:val="1"/>
          <w:numId w:val="11"/>
        </w:numPr>
        <w:rPr>
          <w:rFonts w:ascii="Arial" w:hAnsi="Arial" w:cs="Arial"/>
          <w:sz w:val="24"/>
          <w:szCs w:val="24"/>
        </w:rPr>
      </w:pPr>
      <w:r w:rsidRPr="001B103E">
        <w:rPr>
          <w:rFonts w:ascii="Arial" w:hAnsi="Arial" w:cs="Arial"/>
          <w:sz w:val="24"/>
          <w:szCs w:val="24"/>
        </w:rPr>
        <w:t>PUC approval of periodic “cost of gas adjustment” cases where the four Maine natural gas local distribution companies (LDCs) pass on their supply costs to those customers for whom they provide supply;</w:t>
      </w:r>
    </w:p>
    <w:p w14:paraId="02361F44" w14:textId="77777777" w:rsidR="00631D5E" w:rsidRDefault="00631D5E" w:rsidP="00631D5E">
      <w:pPr>
        <w:pStyle w:val="ListParagraph"/>
        <w:rPr>
          <w:rFonts w:ascii="Arial" w:hAnsi="Arial" w:cs="Arial"/>
          <w:sz w:val="24"/>
          <w:szCs w:val="24"/>
        </w:rPr>
      </w:pPr>
    </w:p>
    <w:p w14:paraId="311DC54E" w14:textId="30255135" w:rsidR="001B103E" w:rsidRDefault="001B103E" w:rsidP="00C34055">
      <w:pPr>
        <w:pStyle w:val="ListParagraph"/>
        <w:numPr>
          <w:ilvl w:val="1"/>
          <w:numId w:val="11"/>
        </w:numPr>
        <w:rPr>
          <w:rFonts w:ascii="Arial" w:hAnsi="Arial" w:cs="Arial"/>
          <w:sz w:val="24"/>
          <w:szCs w:val="24"/>
        </w:rPr>
      </w:pPr>
      <w:r w:rsidRPr="001B103E">
        <w:rPr>
          <w:rFonts w:ascii="Arial" w:hAnsi="Arial" w:cs="Arial"/>
          <w:sz w:val="24"/>
          <w:szCs w:val="24"/>
        </w:rPr>
        <w:t>R</w:t>
      </w:r>
      <w:r w:rsidR="006B1168" w:rsidRPr="001B103E">
        <w:rPr>
          <w:rFonts w:ascii="Arial" w:hAnsi="Arial" w:cs="Arial"/>
          <w:sz w:val="24"/>
          <w:szCs w:val="24"/>
        </w:rPr>
        <w:t>eve</w:t>
      </w:r>
      <w:r w:rsidR="00631D5E">
        <w:rPr>
          <w:rFonts w:ascii="Arial" w:hAnsi="Arial" w:cs="Arial"/>
          <w:sz w:val="24"/>
          <w:szCs w:val="24"/>
        </w:rPr>
        <w:t>n</w:t>
      </w:r>
      <w:r w:rsidR="006B1168" w:rsidRPr="001B103E">
        <w:rPr>
          <w:rFonts w:ascii="Arial" w:hAnsi="Arial" w:cs="Arial"/>
          <w:sz w:val="24"/>
          <w:szCs w:val="24"/>
        </w:rPr>
        <w:t>ue requirement and cost of service issues that arise in gas LDC rate cases</w:t>
      </w:r>
      <w:r w:rsidRPr="001B103E">
        <w:rPr>
          <w:rFonts w:ascii="Arial" w:hAnsi="Arial" w:cs="Arial"/>
          <w:sz w:val="24"/>
          <w:szCs w:val="24"/>
        </w:rPr>
        <w:t>,</w:t>
      </w:r>
      <w:r w:rsidR="006B1168" w:rsidRPr="001B103E">
        <w:rPr>
          <w:rFonts w:ascii="Arial" w:hAnsi="Arial" w:cs="Arial"/>
          <w:sz w:val="24"/>
          <w:szCs w:val="24"/>
        </w:rPr>
        <w:t xml:space="preserve"> and</w:t>
      </w:r>
    </w:p>
    <w:p w14:paraId="07ACFE93" w14:textId="77777777" w:rsidR="00631D5E" w:rsidRPr="00631D5E" w:rsidRDefault="00631D5E" w:rsidP="00631D5E">
      <w:pPr>
        <w:rPr>
          <w:rFonts w:ascii="Arial" w:hAnsi="Arial" w:cs="Arial"/>
          <w:sz w:val="24"/>
          <w:szCs w:val="24"/>
        </w:rPr>
      </w:pPr>
    </w:p>
    <w:p w14:paraId="4795D918" w14:textId="2A484221" w:rsidR="001011C2" w:rsidRPr="001B103E" w:rsidRDefault="006B1168" w:rsidP="00C34055">
      <w:pPr>
        <w:pStyle w:val="ListParagraph"/>
        <w:numPr>
          <w:ilvl w:val="1"/>
          <w:numId w:val="11"/>
        </w:numPr>
        <w:rPr>
          <w:rFonts w:ascii="Arial" w:hAnsi="Arial" w:cs="Arial"/>
          <w:sz w:val="24"/>
          <w:szCs w:val="24"/>
        </w:rPr>
      </w:pPr>
      <w:r w:rsidRPr="001B103E">
        <w:rPr>
          <w:rFonts w:ascii="Arial" w:hAnsi="Arial" w:cs="Arial"/>
          <w:sz w:val="24"/>
          <w:szCs w:val="24"/>
        </w:rPr>
        <w:t xml:space="preserve">PUC approval of the LDCs entering into long term firm transportation contracts. These services will include, but not be limited to, providing advice, and assisting in litigation in proceedings on the cost customers pay for gas and other services delivered by Maine natural gas utilities, revisions to gas utility tariffs, transportation capacity on interstate and international pipelines, and gas supply planning, </w:t>
      </w:r>
      <w:r w:rsidR="00BD7F4C" w:rsidRPr="001B103E">
        <w:rPr>
          <w:rFonts w:ascii="Arial" w:hAnsi="Arial" w:cs="Arial"/>
          <w:sz w:val="24"/>
          <w:szCs w:val="24"/>
        </w:rPr>
        <w:t>as</w:t>
      </w:r>
      <w:r w:rsidR="00E82FB4" w:rsidRPr="001B103E">
        <w:rPr>
          <w:rFonts w:ascii="Arial" w:hAnsi="Arial" w:cs="Arial"/>
          <w:sz w:val="24"/>
          <w:szCs w:val="24"/>
        </w:rPr>
        <w:t xml:space="preserve"> </w:t>
      </w:r>
      <w:r w:rsidR="00095BA3" w:rsidRPr="001B103E">
        <w:rPr>
          <w:rFonts w:ascii="Arial" w:hAnsi="Arial" w:cs="Arial"/>
          <w:sz w:val="24"/>
          <w:szCs w:val="24"/>
        </w:rPr>
        <w:t>defined in this Request for Proposal</w:t>
      </w:r>
      <w:r w:rsidR="00D55D4A" w:rsidRPr="001B103E">
        <w:rPr>
          <w:rFonts w:ascii="Arial" w:hAnsi="Arial" w:cs="Arial"/>
          <w:sz w:val="24"/>
          <w:szCs w:val="24"/>
        </w:rPr>
        <w:t>s</w:t>
      </w:r>
      <w:r w:rsidR="00095BA3" w:rsidRPr="001B103E">
        <w:rPr>
          <w:rFonts w:ascii="Arial" w:hAnsi="Arial" w:cs="Arial"/>
          <w:sz w:val="24"/>
          <w:szCs w:val="24"/>
        </w:rPr>
        <w:t xml:space="preserve"> (RFP)</w:t>
      </w:r>
      <w:r w:rsidR="00DB2372" w:rsidRPr="001B103E">
        <w:rPr>
          <w:rFonts w:ascii="Arial" w:hAnsi="Arial" w:cs="Arial"/>
          <w:sz w:val="24"/>
          <w:szCs w:val="24"/>
        </w:rPr>
        <w:t xml:space="preserve"> document</w:t>
      </w:r>
      <w:r w:rsidR="00095BA3" w:rsidRPr="001B103E">
        <w:rPr>
          <w:rFonts w:ascii="Arial" w:hAnsi="Arial" w:cs="Arial"/>
          <w:sz w:val="24"/>
          <w:szCs w:val="24"/>
        </w:rPr>
        <w:t xml:space="preserve">. </w:t>
      </w:r>
      <w:r w:rsidR="00735C0A" w:rsidRPr="001B103E">
        <w:rPr>
          <w:rFonts w:ascii="Arial" w:hAnsi="Arial" w:cs="Arial"/>
          <w:sz w:val="24"/>
          <w:szCs w:val="24"/>
        </w:rPr>
        <w:t xml:space="preserve"> </w:t>
      </w:r>
    </w:p>
    <w:p w14:paraId="3AF0EF1F" w14:textId="77777777" w:rsidR="006B1168" w:rsidRDefault="006B1168" w:rsidP="00E33B75">
      <w:pPr>
        <w:rPr>
          <w:rFonts w:ascii="Arial" w:hAnsi="Arial" w:cs="Arial"/>
          <w:sz w:val="24"/>
          <w:szCs w:val="24"/>
        </w:rPr>
      </w:pPr>
      <w:bookmarkStart w:id="6" w:name="_Hlk71031929"/>
    </w:p>
    <w:p w14:paraId="7044FA96" w14:textId="69EBDFF4" w:rsidR="006B1168" w:rsidRPr="00043FBD" w:rsidRDefault="006B1168" w:rsidP="006B1168">
      <w:pPr>
        <w:widowControl/>
        <w:rPr>
          <w:rFonts w:ascii="Arial" w:hAnsi="Arial" w:cs="Arial"/>
          <w:sz w:val="24"/>
          <w:szCs w:val="24"/>
        </w:rPr>
      </w:pPr>
      <w:r w:rsidRPr="60A5DD87">
        <w:rPr>
          <w:rFonts w:ascii="Arial" w:hAnsi="Arial" w:cs="Arial"/>
          <w:sz w:val="24"/>
          <w:szCs w:val="24"/>
        </w:rPr>
        <w:t>The Public Advocate, by</w:t>
      </w:r>
      <w:hyperlink r:id="rId15" w:history="1">
        <w:r w:rsidRPr="00003B4E">
          <w:rPr>
            <w:rStyle w:val="Hyperlink"/>
            <w:rFonts w:ascii="Arial" w:hAnsi="Arial" w:cs="Arial"/>
            <w:sz w:val="24"/>
            <w:szCs w:val="24"/>
          </w:rPr>
          <w:t xml:space="preserve"> </w:t>
        </w:r>
        <w:r w:rsidRPr="00EC2118">
          <w:rPr>
            <w:rStyle w:val="Hyperlink"/>
            <w:rFonts w:ascii="Arial" w:hAnsi="Arial" w:cs="Arial"/>
            <w:sz w:val="24"/>
            <w:szCs w:val="24"/>
          </w:rPr>
          <w:t>statute</w:t>
        </w:r>
        <w:r w:rsidRPr="00003B4E">
          <w:rPr>
            <w:rStyle w:val="Hyperlink"/>
            <w:rFonts w:ascii="Arial" w:hAnsi="Arial" w:cs="Arial"/>
            <w:sz w:val="24"/>
            <w:szCs w:val="24"/>
          </w:rPr>
          <w:t>,</w:t>
        </w:r>
      </w:hyperlink>
      <w:r w:rsidRPr="60A5DD87">
        <w:rPr>
          <w:rFonts w:ascii="Arial" w:hAnsi="Arial" w:cs="Arial"/>
          <w:sz w:val="24"/>
          <w:szCs w:val="24"/>
        </w:rPr>
        <w:t xml:space="preserve"> represents the interests of Maine utility ratepayers, with special emphasis on the interests of low-income customers, in proceedings before the Maine Public Utilities Commission</w:t>
      </w:r>
      <w:r w:rsidR="00811B27">
        <w:rPr>
          <w:rFonts w:ascii="Arial" w:hAnsi="Arial" w:cs="Arial"/>
          <w:sz w:val="24"/>
          <w:szCs w:val="24"/>
        </w:rPr>
        <w:t xml:space="preserve"> (PUC)</w:t>
      </w:r>
      <w:r w:rsidRPr="60A5DD87">
        <w:rPr>
          <w:rFonts w:ascii="Arial" w:hAnsi="Arial" w:cs="Arial"/>
          <w:sz w:val="24"/>
          <w:szCs w:val="24"/>
        </w:rPr>
        <w:t>.  There are four natural gas utilities operating in Maine with customer counts ranging in size from more than 30,000 to as few as 6,000.  Given the current low penetration rate of natural gas into the state, all four (4) of these utilities are involved in efforts to expand their service areas.</w:t>
      </w:r>
      <w:r>
        <w:rPr>
          <w:rFonts w:ascii="Arial" w:hAnsi="Arial" w:cs="Arial"/>
          <w:sz w:val="24"/>
          <w:szCs w:val="24"/>
        </w:rPr>
        <w:t xml:space="preserve"> Consolidation is occurring withing the gas LDC industry in Maine, with Northern Utilities, Inc. d/b/a Unitil having recently acquired Bangor Natural Gas Company and also having announced its proposed acquisition of Maine Natural Gas Corporation.  </w:t>
      </w:r>
    </w:p>
    <w:p w14:paraId="214E3E16" w14:textId="77777777" w:rsidR="006B1168" w:rsidRPr="00043FBD" w:rsidRDefault="006B1168" w:rsidP="006B1168">
      <w:pPr>
        <w:widowControl/>
        <w:rPr>
          <w:rFonts w:ascii="Arial" w:hAnsi="Arial" w:cs="Arial"/>
          <w:sz w:val="24"/>
          <w:szCs w:val="24"/>
        </w:rPr>
      </w:pPr>
    </w:p>
    <w:p w14:paraId="47DA2B58" w14:textId="2C68011E" w:rsidR="00095BA3" w:rsidRDefault="006B1168" w:rsidP="00C10096">
      <w:pPr>
        <w:widowControl/>
        <w:rPr>
          <w:rFonts w:ascii="Arial" w:hAnsi="Arial" w:cs="Arial"/>
          <w:sz w:val="24"/>
          <w:szCs w:val="24"/>
        </w:rPr>
      </w:pPr>
      <w:r w:rsidRPr="00043FBD">
        <w:rPr>
          <w:rFonts w:ascii="Arial" w:hAnsi="Arial" w:cs="Arial"/>
          <w:sz w:val="24"/>
          <w:szCs w:val="24"/>
        </w:rPr>
        <w:t>Because the staff of the Office is composed primarily of attorneys, we rely on a consultant to provide expert advice and testimony on gas markets and prices, sources of supply,</w:t>
      </w:r>
      <w:r>
        <w:rPr>
          <w:rFonts w:ascii="Arial" w:hAnsi="Arial" w:cs="Arial"/>
          <w:sz w:val="24"/>
          <w:szCs w:val="24"/>
        </w:rPr>
        <w:t xml:space="preserve"> revenue requirements, cost of service,</w:t>
      </w:r>
      <w:r w:rsidRPr="00043FBD">
        <w:rPr>
          <w:rFonts w:ascii="Arial" w:hAnsi="Arial" w:cs="Arial"/>
          <w:sz w:val="24"/>
          <w:szCs w:val="24"/>
        </w:rPr>
        <w:t xml:space="preserve"> transportations costs, gas price hedging strategies, the operations of both interstate pipelines and local distribution systems and industry best practices.  This advice and testimony are critical to allowing the Office to effectively represent ratepayer interests in proceedings before the PUC and Federal Energy Regulatory Commission (FERC) concerning both questions of </w:t>
      </w:r>
      <w:r>
        <w:rPr>
          <w:rFonts w:ascii="Arial" w:hAnsi="Arial" w:cs="Arial"/>
          <w:sz w:val="24"/>
          <w:szCs w:val="24"/>
        </w:rPr>
        <w:t xml:space="preserve">gas transportation, </w:t>
      </w:r>
      <w:r w:rsidRPr="00043FBD">
        <w:rPr>
          <w:rFonts w:ascii="Arial" w:hAnsi="Arial" w:cs="Arial"/>
          <w:sz w:val="24"/>
          <w:szCs w:val="24"/>
        </w:rPr>
        <w:t>gas pricing and gas policy.</w:t>
      </w:r>
      <w:bookmarkEnd w:id="6"/>
    </w:p>
    <w:p w14:paraId="19516946" w14:textId="77777777" w:rsidR="00C10096" w:rsidRPr="00C97934" w:rsidRDefault="00C10096" w:rsidP="00C10096">
      <w:pPr>
        <w:widowControl/>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lastRenderedPageBreak/>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7C98FB48"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w:t>
      </w:r>
      <w:r w:rsidR="006818D7">
        <w:rPr>
          <w:rFonts w:ascii="Arial" w:hAnsi="Arial" w:cs="Arial"/>
          <w:sz w:val="24"/>
          <w:szCs w:val="24"/>
        </w:rPr>
        <w:t>Office</w:t>
      </w:r>
      <w:r w:rsidRPr="00C97934">
        <w:rPr>
          <w:rFonts w:ascii="Arial" w:hAnsi="Arial" w:cs="Arial"/>
          <w:sz w:val="24"/>
          <w:szCs w:val="24"/>
        </w:rPr>
        <w:t xml:space="preserve"> to issue an award or to pay expenses incurred by a Bidder</w:t>
      </w:r>
      <w:r w:rsidR="008F6FF4">
        <w:rPr>
          <w:rFonts w:ascii="Arial" w:hAnsi="Arial" w:cs="Arial"/>
          <w:sz w:val="24"/>
          <w:szCs w:val="24"/>
        </w:rPr>
        <w:t>(s)</w:t>
      </w:r>
      <w:r w:rsidRPr="00C97934">
        <w:rPr>
          <w:rFonts w:ascii="Arial" w:hAnsi="Arial" w:cs="Arial"/>
          <w:sz w:val="24"/>
          <w:szCs w:val="24"/>
        </w:rPr>
        <w:t xml:space="preserve">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3AF6A900"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w:t>
      </w:r>
      <w:r w:rsidR="006818D7">
        <w:rPr>
          <w:rFonts w:ascii="Arial" w:hAnsi="Arial" w:cs="Arial"/>
          <w:sz w:val="24"/>
          <w:szCs w:val="24"/>
        </w:rPr>
        <w:t>Office</w:t>
      </w:r>
      <w:r w:rsidR="005669D1" w:rsidRPr="00C97934">
        <w:rPr>
          <w:rFonts w:ascii="Arial" w:hAnsi="Arial" w:cs="Arial"/>
          <w:sz w:val="24"/>
          <w:szCs w:val="24"/>
        </w:rPr>
        <w:t xml:space="preserve">.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8CC62BC"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w:t>
      </w:r>
      <w:r w:rsidR="006818D7">
        <w:rPr>
          <w:rFonts w:ascii="Arial" w:hAnsi="Arial" w:cs="Arial"/>
          <w:sz w:val="24"/>
          <w:szCs w:val="24"/>
        </w:rPr>
        <w:t>Office</w:t>
      </w:r>
      <w:r w:rsidRPr="00C97934">
        <w:rPr>
          <w:rFonts w:ascii="Arial" w:hAnsi="Arial" w:cs="Arial"/>
          <w:sz w:val="24"/>
          <w:szCs w:val="24"/>
        </w:rPr>
        <w:t xml:space="preserve"> will consider materials provided in the proposal, information obtained through interviews/presentations (if any), and internal Departmental information of previous contract history with the Bidder (if any).  The </w:t>
      </w:r>
      <w:r w:rsidR="006818D7">
        <w:rPr>
          <w:rFonts w:ascii="Arial" w:hAnsi="Arial" w:cs="Arial"/>
          <w:sz w:val="24"/>
          <w:szCs w:val="24"/>
        </w:rPr>
        <w:t>Office</w:t>
      </w:r>
      <w:r w:rsidRPr="00C97934">
        <w:rPr>
          <w:rFonts w:ascii="Arial" w:hAnsi="Arial" w:cs="Arial"/>
          <w:sz w:val="24"/>
          <w:szCs w:val="24"/>
        </w:rPr>
        <w:t xml:space="preserve"> also reserves the right to consider other reliable references and publicly available information in evaluating a Bidder</w:t>
      </w:r>
      <w:r w:rsidR="008F6FF4">
        <w:rPr>
          <w:rFonts w:ascii="Arial" w:hAnsi="Arial" w:cs="Arial"/>
          <w:sz w:val="24"/>
          <w:szCs w:val="24"/>
        </w:rPr>
        <w:t>’</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38AC415B"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 xml:space="preserve">be the basis for the final contract, as determined by the </w:t>
      </w:r>
      <w:r w:rsidR="006818D7">
        <w:rPr>
          <w:rFonts w:ascii="Arial" w:hAnsi="Arial" w:cs="Arial"/>
          <w:sz w:val="24"/>
          <w:szCs w:val="24"/>
        </w:rPr>
        <w:t>Office</w:t>
      </w:r>
      <w:r w:rsidRPr="00C97934">
        <w:rPr>
          <w:rFonts w:ascii="Arial" w:hAnsi="Arial" w:cs="Arial"/>
          <w:sz w:val="24"/>
          <w:szCs w:val="24"/>
        </w:rPr>
        <w: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17099717"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In the event that a Bidder</w:t>
      </w:r>
      <w:r w:rsidR="008F6FF4">
        <w:rPr>
          <w:rStyle w:val="InitialStyle"/>
          <w:rFonts w:ascii="Arial" w:hAnsi="Arial" w:cs="Arial"/>
          <w:sz w:val="24"/>
          <w:szCs w:val="24"/>
        </w:rPr>
        <w:t>(s)</w:t>
      </w:r>
      <w:r>
        <w:rPr>
          <w:rStyle w:val="InitialStyle"/>
          <w:rFonts w:ascii="Arial" w:hAnsi="Arial" w:cs="Arial"/>
          <w:sz w:val="24"/>
          <w:szCs w:val="24"/>
        </w:rPr>
        <w:t xml:space="preserve"> believes any information that it submits in response to this RFP is confidential, it must mark that information </w:t>
      </w:r>
      <w:r w:rsidR="00997D05">
        <w:rPr>
          <w:rStyle w:val="InitialStyle"/>
          <w:rFonts w:ascii="Arial" w:hAnsi="Arial" w:cs="Arial"/>
          <w:sz w:val="24"/>
          <w:szCs w:val="24"/>
        </w:rPr>
        <w:t>accordingly and</w:t>
      </w:r>
      <w:r>
        <w:rPr>
          <w:rStyle w:val="InitialStyle"/>
          <w:rFonts w:ascii="Arial" w:hAnsi="Arial" w:cs="Arial"/>
          <w:sz w:val="24"/>
          <w:szCs w:val="24"/>
        </w:rPr>
        <w:t xml:space="preserve"> include citation to legal authority in support of the Bidder</w:t>
      </w:r>
      <w:r w:rsidR="008F6FF4">
        <w:rPr>
          <w:rStyle w:val="InitialStyle"/>
          <w:rFonts w:ascii="Arial" w:hAnsi="Arial" w:cs="Arial"/>
          <w:sz w:val="24"/>
          <w:szCs w:val="24"/>
        </w:rPr>
        <w:t>’</w:t>
      </w:r>
      <w:r>
        <w:rPr>
          <w:rStyle w:val="InitialStyle"/>
          <w:rFonts w:ascii="Arial" w:hAnsi="Arial" w:cs="Arial"/>
          <w:sz w:val="24"/>
          <w:szCs w:val="24"/>
        </w:rPr>
        <w:t xml:space="preserve">s claim of confidentiality.  In the event that the </w:t>
      </w:r>
      <w:r w:rsidR="006818D7">
        <w:rPr>
          <w:rStyle w:val="InitialStyle"/>
          <w:rFonts w:ascii="Arial" w:hAnsi="Arial" w:cs="Arial"/>
          <w:sz w:val="24"/>
          <w:szCs w:val="24"/>
        </w:rPr>
        <w:t>Office</w:t>
      </w:r>
      <w:r>
        <w:rPr>
          <w:rStyle w:val="InitialStyle"/>
          <w:rFonts w:ascii="Arial" w:hAnsi="Arial" w:cs="Arial"/>
          <w:sz w:val="24"/>
          <w:szCs w:val="24"/>
        </w:rPr>
        <w:t xml:space="preserve"> receives a FOAA request that includes submissions marked as confidential, the </w:t>
      </w:r>
      <w:r w:rsidR="006818D7">
        <w:rPr>
          <w:rStyle w:val="InitialStyle"/>
          <w:rFonts w:ascii="Arial" w:hAnsi="Arial" w:cs="Arial"/>
          <w:sz w:val="24"/>
          <w:szCs w:val="24"/>
        </w:rPr>
        <w:t>Office</w:t>
      </w:r>
      <w:r>
        <w:rPr>
          <w:rStyle w:val="InitialStyle"/>
          <w:rFonts w:ascii="Arial" w:hAnsi="Arial" w:cs="Arial"/>
          <w:sz w:val="24"/>
          <w:szCs w:val="24"/>
        </w:rPr>
        <w:t xml:space="preserve"> shall evaluate the information and any legal authority from the Bidder to determine whether the information is an exception to FOAA’s definition of public record.  If the </w:t>
      </w:r>
      <w:r w:rsidR="006818D7">
        <w:rPr>
          <w:rStyle w:val="InitialStyle"/>
          <w:rFonts w:ascii="Arial" w:hAnsi="Arial" w:cs="Arial"/>
          <w:sz w:val="24"/>
          <w:szCs w:val="24"/>
        </w:rPr>
        <w:t>Office</w:t>
      </w:r>
      <w:r>
        <w:rPr>
          <w:rStyle w:val="InitialStyle"/>
          <w:rFonts w:ascii="Arial" w:hAnsi="Arial" w:cs="Arial"/>
          <w:sz w:val="24"/>
          <w:szCs w:val="24"/>
        </w:rPr>
        <w:t xml:space="preserve"> determines to release information that a Bidder</w:t>
      </w:r>
      <w:r w:rsidR="008F6FF4">
        <w:rPr>
          <w:rStyle w:val="InitialStyle"/>
          <w:rFonts w:ascii="Arial" w:hAnsi="Arial" w:cs="Arial"/>
          <w:sz w:val="24"/>
          <w:szCs w:val="24"/>
        </w:rPr>
        <w:t>(s)</w:t>
      </w:r>
      <w:r>
        <w:rPr>
          <w:rStyle w:val="InitialStyle"/>
          <w:rFonts w:ascii="Arial" w:hAnsi="Arial" w:cs="Arial"/>
          <w:sz w:val="24"/>
          <w:szCs w:val="24"/>
        </w:rPr>
        <w:t xml:space="preserve"> has</w:t>
      </w:r>
      <w:r w:rsidR="008F6FF4">
        <w:rPr>
          <w:rStyle w:val="InitialStyle"/>
          <w:rFonts w:ascii="Arial" w:hAnsi="Arial" w:cs="Arial"/>
          <w:sz w:val="24"/>
          <w:szCs w:val="24"/>
        </w:rPr>
        <w:t>/have</w:t>
      </w:r>
      <w:r>
        <w:rPr>
          <w:rStyle w:val="InitialStyle"/>
          <w:rFonts w:ascii="Arial" w:hAnsi="Arial" w:cs="Arial"/>
          <w:sz w:val="24"/>
          <w:szCs w:val="24"/>
        </w:rPr>
        <w:t xml:space="preserve"> marked confidential, it shall provide advance notice to the Bidder</w:t>
      </w:r>
      <w:r w:rsidR="008F6FF4">
        <w:rPr>
          <w:rStyle w:val="InitialStyle"/>
          <w:rFonts w:ascii="Arial" w:hAnsi="Arial" w:cs="Arial"/>
          <w:sz w:val="24"/>
          <w:szCs w:val="24"/>
        </w:rPr>
        <w:t>(s)</w:t>
      </w:r>
      <w:r>
        <w:rPr>
          <w:rStyle w:val="InitialStyle"/>
          <w:rFonts w:ascii="Arial" w:hAnsi="Arial" w:cs="Arial"/>
          <w:sz w:val="24"/>
          <w:szCs w:val="24"/>
        </w:rPr>
        <w:t xml:space="preserve"> to allow for them to seek legal relief.</w:t>
      </w:r>
    </w:p>
    <w:p w14:paraId="144A527A" w14:textId="0D03F5CA"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6818D7">
        <w:rPr>
          <w:rFonts w:ascii="Arial" w:hAnsi="Arial" w:cs="Arial"/>
          <w:sz w:val="24"/>
          <w:szCs w:val="24"/>
        </w:rPr>
        <w:t>Office</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60A837D3" w14:textId="0863A241" w:rsidR="00415D91" w:rsidRDefault="000D50AE" w:rsidP="00B03502">
      <w:pPr>
        <w:pStyle w:val="ListParagraph"/>
        <w:numPr>
          <w:ilvl w:val="1"/>
          <w:numId w:val="11"/>
        </w:numPr>
        <w:rPr>
          <w:rFonts w:ascii="Arial" w:hAnsi="Arial" w:cs="Arial"/>
          <w:sz w:val="24"/>
          <w:szCs w:val="24"/>
        </w:rPr>
        <w:sectPr w:rsidR="00415D91" w:rsidSect="004B2E65">
          <w:headerReference w:type="default" r:id="rId17"/>
          <w:footerReference w:type="default" r:id="rId18"/>
          <w:pgSz w:w="12240" w:h="15840" w:code="1"/>
          <w:pgMar w:top="720" w:right="900" w:bottom="990" w:left="1080" w:header="432" w:footer="288" w:gutter="0"/>
          <w:paperSrc w:first="15" w:other="15"/>
          <w:cols w:space="720"/>
          <w:docGrid w:linePitch="360"/>
        </w:sect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w:t>
      </w:r>
      <w:r w:rsidR="008F6FF4">
        <w:rPr>
          <w:rFonts w:ascii="Arial" w:hAnsi="Arial" w:cs="Arial"/>
          <w:sz w:val="24"/>
          <w:szCs w:val="24"/>
        </w:rPr>
        <w:t>’</w:t>
      </w:r>
      <w:r w:rsidRPr="00C97934">
        <w:rPr>
          <w:rFonts w:ascii="Arial" w:hAnsi="Arial" w:cs="Arial"/>
          <w:sz w:val="24"/>
          <w:szCs w:val="24"/>
        </w:rPr>
        <w:t xml:space="preserve"> responsibility to determine the applicability and requirements of any such laws and to abide b</w:t>
      </w:r>
      <w:bookmarkStart w:id="9" w:name="_Toc367174725"/>
      <w:bookmarkStart w:id="10" w:name="_Toc397069193"/>
    </w:p>
    <w:p w14:paraId="38874C83" w14:textId="51153339" w:rsidR="00F53B75" w:rsidRPr="00560BF7" w:rsidRDefault="001E028B" w:rsidP="00560BF7">
      <w:pPr>
        <w:pStyle w:val="ListParagraph"/>
        <w:numPr>
          <w:ilvl w:val="0"/>
          <w:numId w:val="11"/>
        </w:numPr>
        <w:rPr>
          <w:rFonts w:ascii="Arial" w:hAnsi="Arial" w:cs="Arial"/>
          <w:sz w:val="24"/>
          <w:szCs w:val="24"/>
        </w:rPr>
      </w:pPr>
      <w:bookmarkStart w:id="11" w:name="_Toc367174726"/>
      <w:bookmarkStart w:id="12" w:name="_Toc397069194"/>
      <w:bookmarkEnd w:id="9"/>
      <w:bookmarkEnd w:id="10"/>
      <w:r w:rsidRPr="00560BF7">
        <w:rPr>
          <w:rFonts w:ascii="Arial" w:hAnsi="Arial" w:cs="Arial"/>
          <w:b/>
          <w:sz w:val="24"/>
          <w:szCs w:val="24"/>
        </w:rPr>
        <w:lastRenderedPageBreak/>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49EC91B5"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6818D7">
        <w:rPr>
          <w:rFonts w:ascii="Arial" w:hAnsi="Arial" w:cs="Arial"/>
          <w:sz w:val="24"/>
          <w:szCs w:val="24"/>
        </w:rPr>
        <w:t>Office</w:t>
      </w:r>
      <w:r w:rsidRPr="00C97934">
        <w:rPr>
          <w:rFonts w:ascii="Arial" w:hAnsi="Arial" w:cs="Arial"/>
          <w:sz w:val="24"/>
          <w:szCs w:val="24"/>
        </w:rPr>
        <w:t xml:space="preserve">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92D5E19"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w:t>
      </w:r>
      <w:r w:rsidR="006818D7">
        <w:rPr>
          <w:rFonts w:ascii="Arial" w:hAnsi="Arial" w:cs="Arial"/>
          <w:sz w:val="24"/>
          <w:szCs w:val="24"/>
        </w:rPr>
        <w:t>Office</w:t>
      </w:r>
      <w:r w:rsidRPr="00C97934">
        <w:rPr>
          <w:rFonts w:ascii="Arial" w:hAnsi="Arial" w:cs="Arial"/>
          <w:sz w:val="24"/>
          <w:szCs w:val="24"/>
        </w:rPr>
        <w:t xml:space="preserve"> may opt to renew the contract for</w:t>
      </w:r>
      <w:r w:rsidR="005A5D18">
        <w:rPr>
          <w:rFonts w:ascii="Arial" w:hAnsi="Arial" w:cs="Arial"/>
          <w:sz w:val="24"/>
          <w:szCs w:val="24"/>
        </w:rPr>
        <w:t xml:space="preserve"> two</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526A78B6" w:rsidR="00F53B75" w:rsidRPr="00C97934" w:rsidRDefault="00F53B75" w:rsidP="00F53B75">
      <w:pPr>
        <w:rPr>
          <w:rFonts w:ascii="Arial" w:hAnsi="Arial" w:cs="Arial"/>
          <w:sz w:val="24"/>
          <w:szCs w:val="24"/>
        </w:rPr>
      </w:pPr>
      <w:r w:rsidRPr="00C97934">
        <w:rPr>
          <w:rFonts w:ascii="Arial" w:hAnsi="Arial" w:cs="Arial"/>
          <w:sz w:val="24"/>
          <w:szCs w:val="24"/>
        </w:rPr>
        <w:t>The term</w:t>
      </w:r>
      <w:r w:rsidR="00415D91">
        <w:rPr>
          <w:rFonts w:ascii="Arial" w:hAnsi="Arial" w:cs="Arial"/>
          <w:sz w:val="24"/>
          <w:szCs w:val="24"/>
        </w:rPr>
        <w:t>s</w:t>
      </w:r>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r w:rsidR="00415D91" w:rsidRPr="00C97934">
        <w:rPr>
          <w:rFonts w:ascii="Arial" w:hAnsi="Arial" w:cs="Arial"/>
          <w:sz w:val="24"/>
          <w:szCs w:val="24"/>
        </w:rPr>
        <w:t>are</w:t>
      </w:r>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5B110E3B" w:rsidR="00F53B75" w:rsidRPr="005A5D18" w:rsidRDefault="005A5D18" w:rsidP="000F753F">
            <w:pPr>
              <w:jc w:val="center"/>
              <w:rPr>
                <w:rFonts w:ascii="Arial" w:hAnsi="Arial" w:cs="Arial"/>
                <w:sz w:val="24"/>
                <w:szCs w:val="24"/>
              </w:rPr>
            </w:pPr>
            <w:r>
              <w:rPr>
                <w:rFonts w:ascii="Arial" w:hAnsi="Arial" w:cs="Arial"/>
                <w:sz w:val="24"/>
                <w:szCs w:val="24"/>
              </w:rPr>
              <w:t>Ju</w:t>
            </w:r>
            <w:r w:rsidR="00D81FDF">
              <w:rPr>
                <w:rFonts w:ascii="Arial" w:hAnsi="Arial" w:cs="Arial"/>
                <w:sz w:val="24"/>
                <w:szCs w:val="24"/>
              </w:rPr>
              <w:t>ly</w:t>
            </w:r>
            <w:r>
              <w:rPr>
                <w:rFonts w:ascii="Arial" w:hAnsi="Arial" w:cs="Arial"/>
                <w:sz w:val="24"/>
                <w:szCs w:val="24"/>
              </w:rPr>
              <w:t xml:space="preserve"> 1</w:t>
            </w:r>
            <w:r w:rsidR="00D81FDF">
              <w:rPr>
                <w:rFonts w:ascii="Arial" w:hAnsi="Arial" w:cs="Arial"/>
                <w:sz w:val="24"/>
                <w:szCs w:val="24"/>
              </w:rPr>
              <w:t>5</w:t>
            </w:r>
            <w:r>
              <w:rPr>
                <w:rFonts w:ascii="Arial" w:hAnsi="Arial" w:cs="Arial"/>
                <w:sz w:val="24"/>
                <w:szCs w:val="24"/>
              </w:rPr>
              <w:t>, 2025</w:t>
            </w:r>
          </w:p>
        </w:tc>
        <w:tc>
          <w:tcPr>
            <w:tcW w:w="2520" w:type="dxa"/>
            <w:tcBorders>
              <w:top w:val="double" w:sz="4" w:space="0" w:color="auto"/>
            </w:tcBorders>
            <w:shd w:val="clear" w:color="auto" w:fill="auto"/>
            <w:vAlign w:val="center"/>
          </w:tcPr>
          <w:p w14:paraId="6B06294F" w14:textId="1E4352F4" w:rsidR="00F53B75" w:rsidRPr="005A5D18" w:rsidRDefault="00D81FDF" w:rsidP="000F753F">
            <w:pPr>
              <w:jc w:val="center"/>
              <w:rPr>
                <w:rFonts w:ascii="Arial" w:hAnsi="Arial" w:cs="Arial"/>
                <w:sz w:val="24"/>
                <w:szCs w:val="24"/>
              </w:rPr>
            </w:pPr>
            <w:r>
              <w:rPr>
                <w:rFonts w:ascii="Arial" w:hAnsi="Arial" w:cs="Arial"/>
                <w:sz w:val="24"/>
                <w:szCs w:val="24"/>
              </w:rPr>
              <w:t>June 30</w:t>
            </w:r>
            <w:r w:rsidR="005A5D18">
              <w:rPr>
                <w:rFonts w:ascii="Arial" w:hAnsi="Arial" w:cs="Arial"/>
                <w:sz w:val="24"/>
                <w:szCs w:val="24"/>
              </w:rPr>
              <w:t>,</w:t>
            </w:r>
            <w:r>
              <w:rPr>
                <w:rFonts w:ascii="Arial" w:hAnsi="Arial" w:cs="Arial"/>
                <w:sz w:val="24"/>
                <w:szCs w:val="24"/>
              </w:rPr>
              <w:t xml:space="preserve"> </w:t>
            </w:r>
            <w:r w:rsidR="005A5D18">
              <w:rPr>
                <w:rFonts w:ascii="Arial" w:hAnsi="Arial" w:cs="Arial"/>
                <w:sz w:val="24"/>
                <w:szCs w:val="24"/>
              </w:rPr>
              <w:t>2027</w:t>
            </w:r>
          </w:p>
        </w:tc>
      </w:tr>
      <w:tr w:rsidR="00F53B75" w:rsidRPr="00C97934" w14:paraId="1BBAD6AB" w14:textId="77777777" w:rsidTr="000F753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2DFA88B2" w:rsidR="00F53B75" w:rsidRPr="005A5D18" w:rsidRDefault="005A5D18" w:rsidP="000F753F">
            <w:pPr>
              <w:jc w:val="center"/>
              <w:rPr>
                <w:rFonts w:ascii="Arial" w:hAnsi="Arial" w:cs="Arial"/>
                <w:sz w:val="24"/>
                <w:szCs w:val="24"/>
              </w:rPr>
            </w:pPr>
            <w:r>
              <w:rPr>
                <w:rFonts w:ascii="Arial" w:hAnsi="Arial" w:cs="Arial"/>
                <w:sz w:val="24"/>
                <w:szCs w:val="24"/>
              </w:rPr>
              <w:t>Ju</w:t>
            </w:r>
            <w:r w:rsidR="00D81FDF">
              <w:rPr>
                <w:rFonts w:ascii="Arial" w:hAnsi="Arial" w:cs="Arial"/>
                <w:sz w:val="24"/>
                <w:szCs w:val="24"/>
              </w:rPr>
              <w:t>ly</w:t>
            </w:r>
            <w:r>
              <w:rPr>
                <w:rFonts w:ascii="Arial" w:hAnsi="Arial" w:cs="Arial"/>
                <w:sz w:val="24"/>
                <w:szCs w:val="24"/>
              </w:rPr>
              <w:t xml:space="preserve"> 1, 2027</w:t>
            </w:r>
          </w:p>
        </w:tc>
        <w:tc>
          <w:tcPr>
            <w:tcW w:w="2520" w:type="dxa"/>
            <w:shd w:val="clear" w:color="auto" w:fill="auto"/>
            <w:vAlign w:val="center"/>
          </w:tcPr>
          <w:p w14:paraId="58F074BA" w14:textId="12431D44" w:rsidR="00F53B75" w:rsidRPr="005A5D18" w:rsidRDefault="00D81FDF" w:rsidP="000F753F">
            <w:pPr>
              <w:jc w:val="center"/>
              <w:rPr>
                <w:rFonts w:ascii="Arial" w:hAnsi="Arial" w:cs="Arial"/>
                <w:sz w:val="24"/>
                <w:szCs w:val="24"/>
              </w:rPr>
            </w:pPr>
            <w:r>
              <w:rPr>
                <w:rFonts w:ascii="Arial" w:hAnsi="Arial" w:cs="Arial"/>
                <w:sz w:val="24"/>
                <w:szCs w:val="24"/>
              </w:rPr>
              <w:t>June 30</w:t>
            </w:r>
            <w:r w:rsidR="005A5D18">
              <w:rPr>
                <w:rFonts w:ascii="Arial" w:hAnsi="Arial" w:cs="Arial"/>
                <w:sz w:val="24"/>
                <w:szCs w:val="24"/>
              </w:rPr>
              <w:t>,2029</w:t>
            </w:r>
          </w:p>
        </w:tc>
      </w:tr>
      <w:tr w:rsidR="00F53B75" w:rsidRPr="00C97934" w14:paraId="580C9936" w14:textId="77777777" w:rsidTr="000F753F">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4B95D0A0" w:rsidR="00F53B75" w:rsidRPr="005A5D18" w:rsidRDefault="005A5D18" w:rsidP="000F753F">
            <w:pPr>
              <w:jc w:val="center"/>
              <w:rPr>
                <w:rFonts w:ascii="Arial" w:hAnsi="Arial" w:cs="Arial"/>
                <w:sz w:val="24"/>
                <w:szCs w:val="24"/>
              </w:rPr>
            </w:pPr>
            <w:r>
              <w:rPr>
                <w:rFonts w:ascii="Arial" w:hAnsi="Arial" w:cs="Arial"/>
                <w:sz w:val="24"/>
                <w:szCs w:val="24"/>
              </w:rPr>
              <w:t>Ju</w:t>
            </w:r>
            <w:r w:rsidR="00D81FDF">
              <w:rPr>
                <w:rFonts w:ascii="Arial" w:hAnsi="Arial" w:cs="Arial"/>
                <w:sz w:val="24"/>
                <w:szCs w:val="24"/>
              </w:rPr>
              <w:t xml:space="preserve">ly </w:t>
            </w:r>
            <w:r>
              <w:rPr>
                <w:rFonts w:ascii="Arial" w:hAnsi="Arial" w:cs="Arial"/>
                <w:sz w:val="24"/>
                <w:szCs w:val="24"/>
              </w:rPr>
              <w:t>1, 2029</w:t>
            </w:r>
          </w:p>
        </w:tc>
        <w:tc>
          <w:tcPr>
            <w:tcW w:w="2520" w:type="dxa"/>
            <w:shd w:val="clear" w:color="auto" w:fill="auto"/>
            <w:vAlign w:val="center"/>
          </w:tcPr>
          <w:p w14:paraId="1E846468" w14:textId="40D3F3F8" w:rsidR="00F53B75" w:rsidRPr="005A5D18" w:rsidRDefault="00D81FDF" w:rsidP="000F753F">
            <w:pPr>
              <w:jc w:val="center"/>
              <w:rPr>
                <w:rFonts w:ascii="Arial" w:hAnsi="Arial" w:cs="Arial"/>
                <w:sz w:val="24"/>
                <w:szCs w:val="24"/>
              </w:rPr>
            </w:pPr>
            <w:r>
              <w:rPr>
                <w:rFonts w:ascii="Arial" w:hAnsi="Arial" w:cs="Arial"/>
                <w:sz w:val="24"/>
                <w:szCs w:val="24"/>
              </w:rPr>
              <w:t>June 30</w:t>
            </w:r>
            <w:r w:rsidR="005A5D18">
              <w:rPr>
                <w:rFonts w:ascii="Arial" w:hAnsi="Arial" w:cs="Arial"/>
                <w:sz w:val="24"/>
                <w:szCs w:val="24"/>
              </w:rPr>
              <w:t>, 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12D3564F">
      <w:pPr>
        <w:pStyle w:val="ListParagraph"/>
        <w:numPr>
          <w:ilvl w:val="0"/>
          <w:numId w:val="11"/>
        </w:numPr>
        <w:rPr>
          <w:rFonts w:ascii="Arial" w:hAnsi="Arial" w:cs="Arial"/>
          <w:b/>
          <w:bCs/>
          <w:sz w:val="24"/>
          <w:szCs w:val="24"/>
        </w:rPr>
      </w:pPr>
      <w:r w:rsidRPr="444F7863">
        <w:rPr>
          <w:rFonts w:ascii="Arial" w:hAnsi="Arial" w:cs="Arial"/>
          <w:b/>
          <w:bCs/>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5DCAAFB6" w14:textId="0A0DA571" w:rsidR="004D0D39" w:rsidRDefault="008F6D65" w:rsidP="004F0520">
      <w:pPr>
        <w:rPr>
          <w:rFonts w:ascii="Arial" w:hAnsi="Arial" w:cs="Arial"/>
          <w:sz w:val="24"/>
          <w:szCs w:val="24"/>
        </w:rPr>
      </w:pPr>
      <w:r w:rsidRPr="3FA3F2C3">
        <w:rPr>
          <w:rFonts w:ascii="Arial" w:hAnsi="Arial" w:cs="Arial"/>
          <w:sz w:val="24"/>
          <w:szCs w:val="24"/>
        </w:rPr>
        <w:t xml:space="preserve">The </w:t>
      </w:r>
      <w:r w:rsidR="006818D7" w:rsidRPr="3FA3F2C3">
        <w:rPr>
          <w:rFonts w:ascii="Arial" w:hAnsi="Arial" w:cs="Arial"/>
          <w:sz w:val="24"/>
          <w:szCs w:val="24"/>
        </w:rPr>
        <w:t>Office</w:t>
      </w:r>
      <w:r w:rsidRPr="3FA3F2C3">
        <w:rPr>
          <w:rFonts w:ascii="Arial" w:hAnsi="Arial" w:cs="Arial"/>
          <w:sz w:val="24"/>
          <w:szCs w:val="24"/>
        </w:rPr>
        <w:t xml:space="preserve"> anticipates making two (2) awards</w:t>
      </w:r>
      <w:r w:rsidR="7C29DF1F" w:rsidRPr="3FA3F2C3">
        <w:rPr>
          <w:rFonts w:ascii="Arial" w:hAnsi="Arial" w:cs="Arial"/>
          <w:sz w:val="24"/>
          <w:szCs w:val="24"/>
        </w:rPr>
        <w:t xml:space="preserve">. One for </w:t>
      </w:r>
      <w:r w:rsidRPr="3FA3F2C3">
        <w:rPr>
          <w:rFonts w:ascii="Arial" w:hAnsi="Arial" w:cs="Arial"/>
          <w:sz w:val="24"/>
          <w:szCs w:val="24"/>
        </w:rPr>
        <w:t>each General Service Area</w:t>
      </w:r>
      <w:r w:rsidR="635ECD70" w:rsidRPr="3FA3F2C3">
        <w:rPr>
          <w:rFonts w:ascii="Arial" w:hAnsi="Arial" w:cs="Arial"/>
          <w:sz w:val="24"/>
          <w:szCs w:val="24"/>
        </w:rPr>
        <w:t>.</w:t>
      </w:r>
      <w:r w:rsidR="00997D05" w:rsidRPr="3FA3F2C3">
        <w:rPr>
          <w:rFonts w:ascii="Arial" w:hAnsi="Arial" w:cs="Arial"/>
          <w:sz w:val="24"/>
          <w:szCs w:val="24"/>
        </w:rPr>
        <w:t xml:space="preserve"> The Office will accept bids providing services related to one or </w:t>
      </w:r>
      <w:r w:rsidR="00415D91" w:rsidRPr="3FA3F2C3">
        <w:rPr>
          <w:rFonts w:ascii="Arial" w:hAnsi="Arial" w:cs="Arial"/>
          <w:sz w:val="24"/>
          <w:szCs w:val="24"/>
        </w:rPr>
        <w:t>both General</w:t>
      </w:r>
      <w:r w:rsidR="00997D05" w:rsidRPr="3FA3F2C3">
        <w:rPr>
          <w:rFonts w:ascii="Arial" w:hAnsi="Arial" w:cs="Arial"/>
          <w:sz w:val="24"/>
          <w:szCs w:val="24"/>
        </w:rPr>
        <w:t xml:space="preserve"> Service Areas described in Section II(A) below.  The Office reserves the right to issue contract(s) for services related to each General Service Area to separate bidders, or all to the same bidder.</w:t>
      </w:r>
    </w:p>
    <w:p w14:paraId="47A67C4D" w14:textId="77777777" w:rsidR="004D0D39" w:rsidRDefault="004D0D39" w:rsidP="004F0520">
      <w:pPr>
        <w:rPr>
          <w:rFonts w:ascii="Arial" w:hAnsi="Arial" w:cs="Arial"/>
          <w:sz w:val="24"/>
          <w:szCs w:val="24"/>
        </w:rPr>
      </w:pPr>
    </w:p>
    <w:p w14:paraId="4EBBA569" w14:textId="57D99EA0" w:rsidR="00273D85" w:rsidRPr="00C97934" w:rsidRDefault="00FF14FC" w:rsidP="004F0520">
      <w:pPr>
        <w:rPr>
          <w:rFonts w:ascii="Arial" w:hAnsi="Arial" w:cs="Arial"/>
          <w:sz w:val="24"/>
          <w:szCs w:val="24"/>
        </w:rPr>
      </w:pPr>
      <w:r w:rsidRPr="444F7863">
        <w:rPr>
          <w:rFonts w:ascii="Arial" w:hAnsi="Arial" w:cs="Arial"/>
          <w:sz w:val="24"/>
          <w:szCs w:val="24"/>
        </w:rPr>
        <w:br w:type="page"/>
      </w:r>
    </w:p>
    <w:p w14:paraId="0FC58FFA" w14:textId="4DD992A5"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9E88C8D" w14:textId="26B2CE36" w:rsidR="00AD2581" w:rsidRDefault="00AD2581" w:rsidP="00AD2581">
      <w:pPr>
        <w:pStyle w:val="ListParagraph"/>
        <w:numPr>
          <w:ilvl w:val="0"/>
          <w:numId w:val="25"/>
        </w:numPr>
        <w:rPr>
          <w:rFonts w:ascii="Arial" w:hAnsi="Arial" w:cs="Arial"/>
          <w:sz w:val="24"/>
          <w:szCs w:val="24"/>
        </w:rPr>
      </w:pPr>
      <w:bookmarkStart w:id="17" w:name="_Toc367174729"/>
      <w:bookmarkStart w:id="18" w:name="_Toc397069197"/>
      <w:r w:rsidRPr="00043FBD">
        <w:rPr>
          <w:rFonts w:ascii="Arial" w:hAnsi="Arial" w:cs="Arial"/>
          <w:b/>
          <w:bCs/>
          <w:sz w:val="24"/>
          <w:szCs w:val="24"/>
        </w:rPr>
        <w:t>ISSUES</w:t>
      </w:r>
      <w:r w:rsidR="00D81FDF">
        <w:rPr>
          <w:rFonts w:ascii="Arial" w:hAnsi="Arial" w:cs="Arial"/>
          <w:b/>
          <w:bCs/>
          <w:sz w:val="24"/>
          <w:szCs w:val="24"/>
        </w:rPr>
        <w:t>/TASKS</w:t>
      </w:r>
      <w:r w:rsidR="00997D05">
        <w:rPr>
          <w:rFonts w:ascii="Arial" w:hAnsi="Arial" w:cs="Arial"/>
          <w:b/>
          <w:bCs/>
          <w:sz w:val="24"/>
          <w:szCs w:val="24"/>
        </w:rPr>
        <w:t>.</w:t>
      </w:r>
    </w:p>
    <w:p w14:paraId="5964CC92" w14:textId="68B5D7F5" w:rsidR="00AD2581" w:rsidRDefault="00321EBC" w:rsidP="00AD2581">
      <w:pPr>
        <w:pStyle w:val="ListParagraph"/>
        <w:ind w:left="360"/>
        <w:rPr>
          <w:rFonts w:ascii="Arial" w:hAnsi="Arial" w:cs="Arial"/>
          <w:sz w:val="24"/>
          <w:szCs w:val="24"/>
        </w:rPr>
      </w:pPr>
      <w:r w:rsidRPr="00321EBC">
        <w:rPr>
          <w:rFonts w:ascii="Arial" w:hAnsi="Arial" w:cs="Arial"/>
          <w:sz w:val="24"/>
          <w:szCs w:val="24"/>
        </w:rPr>
        <w:t xml:space="preserve">The </w:t>
      </w:r>
      <w:r>
        <w:rPr>
          <w:rFonts w:ascii="Arial" w:hAnsi="Arial" w:cs="Arial"/>
          <w:sz w:val="24"/>
          <w:szCs w:val="24"/>
        </w:rPr>
        <w:t>awarded Bidder</w:t>
      </w:r>
      <w:r w:rsidRPr="00321EBC">
        <w:rPr>
          <w:rFonts w:ascii="Arial" w:hAnsi="Arial" w:cs="Arial"/>
          <w:sz w:val="24"/>
          <w:szCs w:val="24"/>
        </w:rPr>
        <w:t xml:space="preserve">(s) will be expected to provide the following services to be performed at the discretion of and with input from the Public Advocate. </w:t>
      </w:r>
      <w:r w:rsidR="00AD2581" w:rsidRPr="00043FBD">
        <w:rPr>
          <w:rFonts w:ascii="Arial" w:hAnsi="Arial" w:cs="Arial"/>
          <w:sz w:val="24"/>
          <w:szCs w:val="24"/>
        </w:rPr>
        <w:t xml:space="preserve">The </w:t>
      </w:r>
      <w:r w:rsidR="00EE184E">
        <w:rPr>
          <w:rFonts w:ascii="Arial" w:hAnsi="Arial" w:cs="Arial"/>
          <w:sz w:val="24"/>
          <w:szCs w:val="24"/>
        </w:rPr>
        <w:t>awarded Bidder</w:t>
      </w:r>
      <w:r>
        <w:rPr>
          <w:rFonts w:ascii="Arial" w:hAnsi="Arial" w:cs="Arial"/>
          <w:sz w:val="24"/>
          <w:szCs w:val="24"/>
        </w:rPr>
        <w:t>(s)</w:t>
      </w:r>
      <w:r w:rsidR="00EE184E" w:rsidRPr="00043FBD">
        <w:rPr>
          <w:rFonts w:ascii="Arial" w:hAnsi="Arial" w:cs="Arial"/>
          <w:sz w:val="24"/>
          <w:szCs w:val="24"/>
        </w:rPr>
        <w:t xml:space="preserve"> </w:t>
      </w:r>
      <w:r w:rsidR="00AD2581" w:rsidRPr="00043FBD">
        <w:rPr>
          <w:rFonts w:ascii="Arial" w:hAnsi="Arial" w:cs="Arial"/>
          <w:sz w:val="24"/>
          <w:szCs w:val="24"/>
        </w:rPr>
        <w:t>will be responsible for analyzing all pertinent data and presenting overall recommendations on</w:t>
      </w:r>
      <w:r w:rsidR="00997D05">
        <w:rPr>
          <w:rFonts w:ascii="Arial" w:hAnsi="Arial" w:cs="Arial"/>
          <w:sz w:val="24"/>
          <w:szCs w:val="24"/>
        </w:rPr>
        <w:t xml:space="preserve"> one or both of</w:t>
      </w:r>
      <w:r w:rsidR="00AD2581" w:rsidRPr="00043FBD">
        <w:rPr>
          <w:rFonts w:ascii="Arial" w:hAnsi="Arial" w:cs="Arial"/>
          <w:sz w:val="24"/>
          <w:szCs w:val="24"/>
        </w:rPr>
        <w:t xml:space="preserve"> the following</w:t>
      </w:r>
      <w:r w:rsidR="006A55F8">
        <w:rPr>
          <w:rFonts w:ascii="Arial" w:hAnsi="Arial" w:cs="Arial"/>
          <w:sz w:val="24"/>
          <w:szCs w:val="24"/>
        </w:rPr>
        <w:t xml:space="preserve"> Service Area</w:t>
      </w:r>
      <w:r w:rsidR="00AD2581" w:rsidRPr="00043FBD">
        <w:rPr>
          <w:rFonts w:ascii="Arial" w:hAnsi="Arial" w:cs="Arial"/>
          <w:sz w:val="24"/>
          <w:szCs w:val="24"/>
        </w:rPr>
        <w:t>:</w:t>
      </w:r>
    </w:p>
    <w:p w14:paraId="1C19977A" w14:textId="77777777" w:rsidR="00AD2581" w:rsidRPr="00043FBD" w:rsidRDefault="00AD2581" w:rsidP="00AD2581">
      <w:pPr>
        <w:pStyle w:val="ListParagraph"/>
        <w:ind w:left="360"/>
        <w:rPr>
          <w:rFonts w:ascii="Arial" w:hAnsi="Arial" w:cs="Arial"/>
          <w:sz w:val="24"/>
          <w:szCs w:val="24"/>
        </w:rPr>
      </w:pPr>
    </w:p>
    <w:p w14:paraId="46BD671D" w14:textId="1D7F78B7" w:rsidR="007E2231" w:rsidRDefault="00321EBC" w:rsidP="007E2231">
      <w:pPr>
        <w:pStyle w:val="DefaultText"/>
        <w:numPr>
          <w:ilvl w:val="0"/>
          <w:numId w:val="47"/>
        </w:numPr>
        <w:ind w:left="720"/>
        <w:contextualSpacing/>
        <w:rPr>
          <w:rStyle w:val="InitialStyle"/>
          <w:rFonts w:ascii="Arial" w:hAnsi="Arial" w:cs="Arial"/>
        </w:rPr>
      </w:pPr>
      <w:r w:rsidRPr="00E86784">
        <w:rPr>
          <w:rFonts w:ascii="Arial" w:hAnsi="Arial" w:cs="Arial"/>
          <w:b/>
          <w:bCs/>
        </w:rPr>
        <w:t>GENERAL SERVICE AREA 1</w:t>
      </w:r>
      <w:r w:rsidR="00997D05" w:rsidRPr="00E86784">
        <w:rPr>
          <w:rFonts w:ascii="Arial" w:hAnsi="Arial" w:cs="Arial"/>
          <w:b/>
          <w:bCs/>
        </w:rPr>
        <w:t>:</w:t>
      </w:r>
      <w:r w:rsidR="00997D05">
        <w:rPr>
          <w:rFonts w:ascii="Arial" w:hAnsi="Arial" w:cs="Arial"/>
        </w:rPr>
        <w:t xml:space="preserve"> </w:t>
      </w:r>
      <w:r w:rsidRPr="00321EBC">
        <w:rPr>
          <w:rFonts w:ascii="Arial" w:hAnsi="Arial" w:cs="Arial"/>
        </w:rPr>
        <w:t>Gas Local Distribution Company (LDC) Rate Cases</w:t>
      </w:r>
      <w:r w:rsidR="00997D05">
        <w:rPr>
          <w:rFonts w:ascii="Arial" w:hAnsi="Arial" w:cs="Arial"/>
        </w:rPr>
        <w:t xml:space="preserve"> before the PUC.</w:t>
      </w:r>
      <w:r w:rsidRPr="00321EBC">
        <w:rPr>
          <w:rFonts w:ascii="Arial" w:hAnsi="Arial" w:cs="Arial"/>
        </w:rPr>
        <w:t xml:space="preserve"> </w:t>
      </w:r>
      <w:r w:rsidR="007E2231">
        <w:rPr>
          <w:rStyle w:val="InitialStyle"/>
          <w:rFonts w:ascii="Arial" w:hAnsi="Arial" w:cs="Arial"/>
        </w:rPr>
        <w:t>Gas LDC rate cases are infrequent but involve a prolonged litigation schedule of up to twelve (12) months or longer.</w:t>
      </w:r>
      <w:r w:rsidR="009C3A78">
        <w:rPr>
          <w:rStyle w:val="InitialStyle"/>
          <w:rFonts w:ascii="Arial" w:hAnsi="Arial" w:cs="Arial"/>
        </w:rPr>
        <w:t xml:space="preserve"> The services will include, but not be limited to:</w:t>
      </w:r>
    </w:p>
    <w:p w14:paraId="23B9633B" w14:textId="6B298F96" w:rsidR="00997D05" w:rsidRDefault="00997D05" w:rsidP="007E2231">
      <w:pPr>
        <w:pStyle w:val="ListParagraph"/>
        <w:rPr>
          <w:rFonts w:ascii="Arial" w:hAnsi="Arial" w:cs="Arial"/>
          <w:sz w:val="24"/>
          <w:szCs w:val="24"/>
        </w:rPr>
      </w:pPr>
    </w:p>
    <w:p w14:paraId="05275CE0" w14:textId="77777777" w:rsidR="00997D05" w:rsidRDefault="00AD2581" w:rsidP="00997D05">
      <w:pPr>
        <w:pStyle w:val="ListParagraph"/>
        <w:numPr>
          <w:ilvl w:val="2"/>
          <w:numId w:val="25"/>
        </w:numPr>
        <w:rPr>
          <w:rFonts w:ascii="Arial" w:hAnsi="Arial" w:cs="Arial"/>
          <w:sz w:val="24"/>
          <w:szCs w:val="24"/>
        </w:rPr>
      </w:pPr>
      <w:r w:rsidRPr="00997D05">
        <w:rPr>
          <w:rFonts w:ascii="Arial" w:hAnsi="Arial" w:cs="Arial"/>
          <w:sz w:val="24"/>
          <w:szCs w:val="24"/>
        </w:rPr>
        <w:t>Revenue requirements and cost of service for gas LDCs.</w:t>
      </w:r>
    </w:p>
    <w:p w14:paraId="747042C3" w14:textId="77777777" w:rsidR="00997D05" w:rsidRDefault="00AD2581" w:rsidP="00997D05">
      <w:pPr>
        <w:pStyle w:val="ListParagraph"/>
        <w:numPr>
          <w:ilvl w:val="2"/>
          <w:numId w:val="25"/>
        </w:numPr>
        <w:rPr>
          <w:rFonts w:ascii="Arial" w:hAnsi="Arial" w:cs="Arial"/>
          <w:sz w:val="24"/>
          <w:szCs w:val="24"/>
        </w:rPr>
      </w:pPr>
      <w:r w:rsidRPr="00997D05">
        <w:rPr>
          <w:rFonts w:ascii="Arial" w:hAnsi="Arial" w:cs="Arial"/>
          <w:sz w:val="24"/>
          <w:szCs w:val="24"/>
        </w:rPr>
        <w:t>General gas utility operations and customer classes</w:t>
      </w:r>
      <w:r w:rsidR="00321EBC" w:rsidRPr="00997D05">
        <w:rPr>
          <w:rFonts w:ascii="Arial" w:hAnsi="Arial" w:cs="Arial"/>
          <w:sz w:val="24"/>
          <w:szCs w:val="24"/>
        </w:rPr>
        <w:t>.</w:t>
      </w:r>
    </w:p>
    <w:p w14:paraId="6F364FBE" w14:textId="7F8D8D3C" w:rsidR="00AD2581" w:rsidRPr="00997D05" w:rsidRDefault="00321EBC" w:rsidP="00997D05">
      <w:pPr>
        <w:pStyle w:val="ListParagraph"/>
        <w:numPr>
          <w:ilvl w:val="2"/>
          <w:numId w:val="25"/>
        </w:numPr>
        <w:rPr>
          <w:rFonts w:ascii="Arial" w:hAnsi="Arial" w:cs="Arial"/>
          <w:sz w:val="24"/>
          <w:szCs w:val="24"/>
        </w:rPr>
      </w:pPr>
      <w:r w:rsidRPr="00997D05">
        <w:rPr>
          <w:rFonts w:ascii="Arial" w:hAnsi="Arial" w:cs="Arial"/>
          <w:sz w:val="24"/>
          <w:szCs w:val="24"/>
        </w:rPr>
        <w:t>Other issues that may arise related to natural gas policy.</w:t>
      </w:r>
    </w:p>
    <w:p w14:paraId="7757E121" w14:textId="77777777" w:rsidR="00321EBC" w:rsidRPr="00631D5E" w:rsidRDefault="00321EBC" w:rsidP="00631D5E">
      <w:pPr>
        <w:pStyle w:val="ListParagraph"/>
        <w:tabs>
          <w:tab w:val="left" w:pos="1440"/>
        </w:tabs>
        <w:rPr>
          <w:rFonts w:ascii="Arial" w:hAnsi="Arial" w:cs="Arial"/>
          <w:sz w:val="24"/>
          <w:szCs w:val="24"/>
        </w:rPr>
      </w:pPr>
    </w:p>
    <w:p w14:paraId="73EB1487" w14:textId="071A7D88" w:rsidR="00952CD0" w:rsidRDefault="00321EBC" w:rsidP="00952CD0">
      <w:pPr>
        <w:pStyle w:val="ListParagraph"/>
        <w:numPr>
          <w:ilvl w:val="1"/>
          <w:numId w:val="25"/>
        </w:numPr>
        <w:rPr>
          <w:rFonts w:ascii="Arial" w:hAnsi="Arial" w:cs="Arial"/>
          <w:sz w:val="24"/>
          <w:szCs w:val="24"/>
        </w:rPr>
      </w:pPr>
      <w:r w:rsidRPr="00E86784">
        <w:rPr>
          <w:rFonts w:ascii="Arial" w:hAnsi="Arial" w:cs="Arial"/>
          <w:b/>
          <w:bCs/>
          <w:sz w:val="24"/>
          <w:szCs w:val="24"/>
        </w:rPr>
        <w:t>GENERAL SERVICE AREA 2</w:t>
      </w:r>
      <w:r w:rsidR="00997D05" w:rsidRPr="00E86784">
        <w:rPr>
          <w:rFonts w:ascii="Arial" w:hAnsi="Arial" w:cs="Arial"/>
          <w:b/>
          <w:bCs/>
          <w:sz w:val="24"/>
          <w:szCs w:val="24"/>
        </w:rPr>
        <w:t>:</w:t>
      </w:r>
      <w:r w:rsidRPr="00321EBC">
        <w:rPr>
          <w:rFonts w:ascii="Arial" w:hAnsi="Arial" w:cs="Arial"/>
          <w:sz w:val="24"/>
          <w:szCs w:val="24"/>
        </w:rPr>
        <w:t xml:space="preserve"> Cost of Gas (COG) proceedings </w:t>
      </w:r>
      <w:r w:rsidR="00997D05">
        <w:rPr>
          <w:rFonts w:ascii="Arial" w:hAnsi="Arial" w:cs="Arial"/>
          <w:sz w:val="24"/>
          <w:szCs w:val="24"/>
        </w:rPr>
        <w:t xml:space="preserve">and proceedings related to approval of gas transportation agreements before the PUC, as well as </w:t>
      </w:r>
      <w:r w:rsidR="00997D05" w:rsidRPr="00043FBD">
        <w:rPr>
          <w:rFonts w:ascii="Arial" w:hAnsi="Arial" w:cs="Arial"/>
          <w:sz w:val="24"/>
          <w:szCs w:val="24"/>
        </w:rPr>
        <w:t xml:space="preserve">proceedings before the PUC and FERC concerning both questions of </w:t>
      </w:r>
      <w:r w:rsidR="00997D05">
        <w:rPr>
          <w:rFonts w:ascii="Arial" w:hAnsi="Arial" w:cs="Arial"/>
          <w:sz w:val="24"/>
          <w:szCs w:val="24"/>
        </w:rPr>
        <w:t xml:space="preserve">gas transportation, </w:t>
      </w:r>
      <w:r w:rsidR="00997D05" w:rsidRPr="00043FBD">
        <w:rPr>
          <w:rFonts w:ascii="Arial" w:hAnsi="Arial" w:cs="Arial"/>
          <w:sz w:val="24"/>
          <w:szCs w:val="24"/>
        </w:rPr>
        <w:t>gas pricing and gas policy.</w:t>
      </w:r>
      <w:r w:rsidR="009C3A78">
        <w:rPr>
          <w:rFonts w:ascii="Arial" w:hAnsi="Arial" w:cs="Arial"/>
          <w:sz w:val="24"/>
          <w:szCs w:val="24"/>
        </w:rPr>
        <w:t xml:space="preserve"> The services will include, but not be limited to:</w:t>
      </w:r>
    </w:p>
    <w:p w14:paraId="3BC7BE78" w14:textId="77777777" w:rsidR="007E2231" w:rsidRDefault="007E2231" w:rsidP="007E2231">
      <w:pPr>
        <w:pStyle w:val="ListParagraph"/>
        <w:rPr>
          <w:rFonts w:ascii="Arial" w:hAnsi="Arial" w:cs="Arial"/>
          <w:sz w:val="24"/>
          <w:szCs w:val="24"/>
        </w:rPr>
      </w:pPr>
    </w:p>
    <w:p w14:paraId="32D78CF5" w14:textId="77777777" w:rsidR="00811B27" w:rsidRDefault="009C3A78" w:rsidP="009C3A78">
      <w:pPr>
        <w:pStyle w:val="ListParagraph"/>
        <w:numPr>
          <w:ilvl w:val="2"/>
          <w:numId w:val="25"/>
        </w:numPr>
        <w:rPr>
          <w:rFonts w:ascii="Arial" w:hAnsi="Arial" w:cs="Arial"/>
          <w:sz w:val="24"/>
          <w:szCs w:val="24"/>
        </w:rPr>
      </w:pPr>
      <w:r w:rsidRPr="00952CD0">
        <w:rPr>
          <w:rFonts w:ascii="Arial" w:hAnsi="Arial" w:cs="Arial"/>
          <w:sz w:val="24"/>
          <w:szCs w:val="24"/>
        </w:rPr>
        <w:t>Gas trading and hedging activity.</w:t>
      </w:r>
    </w:p>
    <w:p w14:paraId="15F927F8" w14:textId="77777777" w:rsidR="00811B27" w:rsidRDefault="009C3A78" w:rsidP="009C3A78">
      <w:pPr>
        <w:pStyle w:val="ListParagraph"/>
        <w:numPr>
          <w:ilvl w:val="2"/>
          <w:numId w:val="25"/>
        </w:numPr>
        <w:rPr>
          <w:rFonts w:ascii="Arial" w:hAnsi="Arial" w:cs="Arial"/>
          <w:sz w:val="24"/>
          <w:szCs w:val="24"/>
        </w:rPr>
      </w:pPr>
      <w:r w:rsidRPr="00952CD0">
        <w:rPr>
          <w:rFonts w:ascii="Arial" w:hAnsi="Arial" w:cs="Arial"/>
          <w:sz w:val="24"/>
          <w:szCs w:val="24"/>
        </w:rPr>
        <w:t>Gas utility applications for cost of gas rates.</w:t>
      </w:r>
    </w:p>
    <w:p w14:paraId="5EC2B23E" w14:textId="29329E8C" w:rsidR="009C3A78" w:rsidRDefault="009C3A78" w:rsidP="009C3A78">
      <w:pPr>
        <w:pStyle w:val="ListParagraph"/>
        <w:numPr>
          <w:ilvl w:val="2"/>
          <w:numId w:val="25"/>
        </w:numPr>
        <w:rPr>
          <w:rFonts w:ascii="Arial" w:hAnsi="Arial" w:cs="Arial"/>
          <w:sz w:val="24"/>
          <w:szCs w:val="24"/>
        </w:rPr>
      </w:pPr>
      <w:r w:rsidRPr="00952CD0">
        <w:rPr>
          <w:rFonts w:ascii="Arial" w:hAnsi="Arial" w:cs="Arial"/>
          <w:sz w:val="24"/>
          <w:szCs w:val="24"/>
        </w:rPr>
        <w:t>Annual review of the prudence of utility gas procurement activities.</w:t>
      </w:r>
    </w:p>
    <w:p w14:paraId="6E3CD9F9" w14:textId="77777777" w:rsidR="009C3A78" w:rsidRDefault="009C3A78" w:rsidP="009C3A78">
      <w:pPr>
        <w:pStyle w:val="ListParagraph"/>
        <w:numPr>
          <w:ilvl w:val="2"/>
          <w:numId w:val="25"/>
        </w:numPr>
        <w:rPr>
          <w:rFonts w:ascii="Arial" w:hAnsi="Arial" w:cs="Arial"/>
          <w:sz w:val="24"/>
          <w:szCs w:val="24"/>
        </w:rPr>
      </w:pPr>
      <w:r w:rsidRPr="00952CD0">
        <w:rPr>
          <w:rFonts w:ascii="Arial" w:hAnsi="Arial" w:cs="Arial"/>
          <w:sz w:val="24"/>
          <w:szCs w:val="24"/>
        </w:rPr>
        <w:t>Integrated resource planning for gas supply and transportation.</w:t>
      </w:r>
    </w:p>
    <w:p w14:paraId="2F83236A" w14:textId="77777777" w:rsidR="009C3A78" w:rsidRDefault="009C3A78" w:rsidP="009C3A78">
      <w:pPr>
        <w:pStyle w:val="ListParagraph"/>
        <w:numPr>
          <w:ilvl w:val="2"/>
          <w:numId w:val="25"/>
        </w:numPr>
        <w:rPr>
          <w:rFonts w:ascii="Arial" w:hAnsi="Arial" w:cs="Arial"/>
          <w:sz w:val="24"/>
          <w:szCs w:val="24"/>
        </w:rPr>
      </w:pPr>
      <w:r w:rsidRPr="00952CD0">
        <w:rPr>
          <w:rFonts w:ascii="Arial" w:hAnsi="Arial" w:cs="Arial"/>
          <w:sz w:val="24"/>
          <w:szCs w:val="24"/>
        </w:rPr>
        <w:t>Gas supply and transmission options available to Maine utilities and customers.</w:t>
      </w:r>
    </w:p>
    <w:p w14:paraId="54F25A05" w14:textId="77777777" w:rsidR="009C3A78" w:rsidRDefault="009C3A78" w:rsidP="009C3A78">
      <w:pPr>
        <w:pStyle w:val="ListParagraph"/>
        <w:numPr>
          <w:ilvl w:val="2"/>
          <w:numId w:val="25"/>
        </w:numPr>
        <w:rPr>
          <w:rFonts w:ascii="Arial" w:hAnsi="Arial" w:cs="Arial"/>
          <w:sz w:val="24"/>
          <w:szCs w:val="24"/>
        </w:rPr>
      </w:pPr>
      <w:r w:rsidRPr="00952CD0">
        <w:rPr>
          <w:rFonts w:ascii="Arial" w:hAnsi="Arial" w:cs="Arial"/>
          <w:sz w:val="24"/>
          <w:szCs w:val="24"/>
        </w:rPr>
        <w:t>Gas utility tariff terms and conditions for both firm sales and transportation customers.</w:t>
      </w:r>
    </w:p>
    <w:p w14:paraId="70745AB7" w14:textId="77777777" w:rsidR="009C3A78" w:rsidRDefault="009C3A78" w:rsidP="009C3A78">
      <w:pPr>
        <w:pStyle w:val="ListParagraph"/>
        <w:numPr>
          <w:ilvl w:val="2"/>
          <w:numId w:val="25"/>
        </w:numPr>
        <w:rPr>
          <w:rFonts w:ascii="Arial" w:hAnsi="Arial" w:cs="Arial"/>
          <w:sz w:val="24"/>
          <w:szCs w:val="24"/>
        </w:rPr>
      </w:pPr>
      <w:r w:rsidRPr="00952CD0">
        <w:rPr>
          <w:rFonts w:ascii="Arial" w:hAnsi="Arial" w:cs="Arial"/>
          <w:sz w:val="24"/>
          <w:szCs w:val="24"/>
        </w:rPr>
        <w:t>Gas marketer operations.</w:t>
      </w:r>
    </w:p>
    <w:p w14:paraId="3AC903B6" w14:textId="77777777" w:rsidR="009C3A78" w:rsidRDefault="009C3A78" w:rsidP="009C3A78">
      <w:pPr>
        <w:pStyle w:val="ListParagraph"/>
        <w:numPr>
          <w:ilvl w:val="2"/>
          <w:numId w:val="25"/>
        </w:numPr>
        <w:rPr>
          <w:rFonts w:ascii="Arial" w:hAnsi="Arial" w:cs="Arial"/>
          <w:sz w:val="24"/>
          <w:szCs w:val="24"/>
        </w:rPr>
      </w:pPr>
      <w:r w:rsidRPr="00952CD0">
        <w:rPr>
          <w:rFonts w:ascii="Arial" w:hAnsi="Arial" w:cs="Arial"/>
          <w:sz w:val="24"/>
          <w:szCs w:val="24"/>
        </w:rPr>
        <w:t>Gas pipeline transportation contracting, in both the U.S. and Canada.</w:t>
      </w:r>
    </w:p>
    <w:p w14:paraId="4CA01FE1" w14:textId="77777777" w:rsidR="009C3A78" w:rsidRDefault="009C3A78" w:rsidP="009C3A78">
      <w:pPr>
        <w:pStyle w:val="ListParagraph"/>
        <w:numPr>
          <w:ilvl w:val="2"/>
          <w:numId w:val="25"/>
        </w:numPr>
        <w:rPr>
          <w:rFonts w:ascii="Arial" w:hAnsi="Arial" w:cs="Arial"/>
          <w:sz w:val="24"/>
          <w:szCs w:val="24"/>
        </w:rPr>
      </w:pPr>
      <w:r w:rsidRPr="00952CD0">
        <w:rPr>
          <w:rFonts w:ascii="Arial" w:hAnsi="Arial" w:cs="Arial"/>
          <w:sz w:val="24"/>
          <w:szCs w:val="24"/>
        </w:rPr>
        <w:t>Federal/national gas pipeline regulation in both the U.S. and Canada.</w:t>
      </w:r>
    </w:p>
    <w:p w14:paraId="35F3CE82" w14:textId="77777777" w:rsidR="009C3A78" w:rsidRPr="00952CD0" w:rsidRDefault="009C3A78" w:rsidP="009C3A78">
      <w:pPr>
        <w:pStyle w:val="ListParagraph"/>
        <w:numPr>
          <w:ilvl w:val="2"/>
          <w:numId w:val="25"/>
        </w:numPr>
        <w:rPr>
          <w:rFonts w:ascii="Arial" w:hAnsi="Arial" w:cs="Arial"/>
          <w:sz w:val="24"/>
          <w:szCs w:val="24"/>
        </w:rPr>
      </w:pPr>
      <w:r w:rsidRPr="00952CD0">
        <w:rPr>
          <w:rFonts w:ascii="Arial" w:hAnsi="Arial" w:cs="Arial"/>
          <w:sz w:val="24"/>
          <w:szCs w:val="24"/>
        </w:rPr>
        <w:t>Other issues that may arise related to natural gas policy.</w:t>
      </w:r>
    </w:p>
    <w:p w14:paraId="23A07C06" w14:textId="77777777" w:rsidR="009C3A78" w:rsidRPr="009C3A78" w:rsidRDefault="009C3A78" w:rsidP="009C3A78">
      <w:pPr>
        <w:rPr>
          <w:rFonts w:ascii="Arial" w:hAnsi="Arial" w:cs="Arial"/>
          <w:sz w:val="24"/>
          <w:szCs w:val="24"/>
        </w:rPr>
      </w:pPr>
    </w:p>
    <w:p w14:paraId="6664C7FF" w14:textId="77777777" w:rsidR="007E2231" w:rsidRPr="00043FBD" w:rsidRDefault="007E2231" w:rsidP="00E86784">
      <w:pPr>
        <w:pStyle w:val="DefaultText"/>
        <w:ind w:left="720"/>
        <w:contextualSpacing/>
        <w:rPr>
          <w:rStyle w:val="InitialStyle"/>
          <w:rFonts w:ascii="Arial" w:hAnsi="Arial" w:cs="Arial"/>
        </w:rPr>
      </w:pPr>
      <w:r w:rsidRPr="00043FBD">
        <w:rPr>
          <w:rStyle w:val="InitialStyle"/>
          <w:rFonts w:ascii="Arial" w:hAnsi="Arial" w:cs="Arial"/>
        </w:rPr>
        <w:t>In a typical year, this will include five (5) cost of gas approval/review proceedings, one (1) to three (3) petitions for approval of obtaining interstate pipeline capacity, approximately three (3) petitions for changes to tariff language, one (1) or more policy/planning issue proceedings, one (1) or more affiliate transaction proceedings, and possible involvement in a FERC proceeding for interstate pipeline rates.</w:t>
      </w:r>
    </w:p>
    <w:p w14:paraId="4359812A" w14:textId="77777777" w:rsidR="007E2231" w:rsidRPr="00043FBD" w:rsidRDefault="007E2231" w:rsidP="007E2231">
      <w:pPr>
        <w:pStyle w:val="DefaultText"/>
        <w:ind w:left="360"/>
        <w:contextualSpacing/>
        <w:rPr>
          <w:rStyle w:val="InitialStyle"/>
          <w:rFonts w:ascii="Arial" w:hAnsi="Arial" w:cs="Arial"/>
        </w:rPr>
      </w:pPr>
    </w:p>
    <w:p w14:paraId="21C82E98" w14:textId="624B1EB7" w:rsidR="007067E0" w:rsidRPr="007067E0" w:rsidRDefault="007E2231" w:rsidP="007067E0">
      <w:pPr>
        <w:pStyle w:val="ListParagraph"/>
        <w:rPr>
          <w:rFonts w:ascii="Arial" w:hAnsi="Arial" w:cs="Arial"/>
          <w:sz w:val="24"/>
          <w:szCs w:val="24"/>
        </w:rPr>
      </w:pPr>
      <w:r w:rsidRPr="002424BA">
        <w:rPr>
          <w:rStyle w:val="InitialStyle"/>
          <w:rFonts w:ascii="Arial" w:hAnsi="Arial" w:cs="Arial"/>
          <w:sz w:val="24"/>
          <w:szCs w:val="24"/>
        </w:rPr>
        <w:t xml:space="preserve">Examples of typical cost of gas proceedings can be found in PUC Dockets 2023-00043, 2022-00256; and 2021-00186.  Examples of pipeline capacity cases can be found in Dockets 2023-00254 and 2019-00338.  An example of an affiliate transaction can be found in Docket 2023-00195.  These dockets may be accessed through the PUC’s online case management system at </w:t>
      </w:r>
      <w:hyperlink r:id="rId19" w:history="1">
        <w:r w:rsidR="007A6474" w:rsidRPr="00EC2118">
          <w:rPr>
            <w:rStyle w:val="Hyperlink"/>
            <w:rFonts w:ascii="Arial" w:hAnsi="Arial" w:cs="Arial"/>
            <w:sz w:val="24"/>
            <w:szCs w:val="24"/>
          </w:rPr>
          <w:t>https://www.maine.gov/mpuc/online-services</w:t>
        </w:r>
      </w:hyperlink>
      <w:r w:rsidR="007067E0">
        <w:rPr>
          <w:rFonts w:ascii="Arial" w:hAnsi="Arial" w:cs="Arial"/>
          <w:sz w:val="24"/>
          <w:szCs w:val="24"/>
        </w:rPr>
        <w:t>.</w:t>
      </w:r>
    </w:p>
    <w:p w14:paraId="2D56B763" w14:textId="77777777" w:rsidR="007E2231" w:rsidRPr="002424BA" w:rsidRDefault="007E2231" w:rsidP="007E2231">
      <w:pPr>
        <w:pStyle w:val="ListParagraph"/>
        <w:rPr>
          <w:rFonts w:ascii="Arial" w:hAnsi="Arial" w:cs="Arial"/>
          <w:sz w:val="24"/>
          <w:szCs w:val="24"/>
        </w:rPr>
      </w:pPr>
    </w:p>
    <w:p w14:paraId="51CAD190" w14:textId="6C55A17A" w:rsidR="00AD2581" w:rsidRDefault="00AD2581" w:rsidP="00AD2581">
      <w:pPr>
        <w:pStyle w:val="ListParagraph"/>
        <w:numPr>
          <w:ilvl w:val="0"/>
          <w:numId w:val="25"/>
        </w:numPr>
        <w:rPr>
          <w:rFonts w:ascii="Arial" w:hAnsi="Arial" w:cs="Arial"/>
          <w:sz w:val="24"/>
          <w:szCs w:val="24"/>
        </w:rPr>
      </w:pPr>
      <w:r w:rsidRPr="12D3564F">
        <w:rPr>
          <w:rFonts w:ascii="Arial" w:hAnsi="Arial" w:cs="Arial"/>
          <w:b/>
          <w:bCs/>
          <w:sz w:val="24"/>
          <w:szCs w:val="24"/>
        </w:rPr>
        <w:t>SPECIFIC DESCRIPTION OF RESPONSIBLITIES</w:t>
      </w:r>
      <w:r w:rsidR="00187E7E" w:rsidRPr="12D3564F">
        <w:rPr>
          <w:rFonts w:ascii="Arial" w:hAnsi="Arial" w:cs="Arial"/>
          <w:b/>
          <w:bCs/>
          <w:sz w:val="24"/>
          <w:szCs w:val="24"/>
        </w:rPr>
        <w:t>.</w:t>
      </w:r>
    </w:p>
    <w:p w14:paraId="6CD65634" w14:textId="002F5408" w:rsidR="00AD2581" w:rsidRDefault="00265B72" w:rsidP="00AD2581">
      <w:pPr>
        <w:pStyle w:val="ListParagraph"/>
        <w:ind w:left="360"/>
        <w:rPr>
          <w:rFonts w:ascii="Arial" w:hAnsi="Arial" w:cs="Arial"/>
          <w:sz w:val="24"/>
          <w:szCs w:val="24"/>
        </w:rPr>
      </w:pPr>
      <w:r w:rsidRPr="12D3564F">
        <w:rPr>
          <w:rFonts w:ascii="Arial" w:hAnsi="Arial" w:cs="Arial"/>
          <w:sz w:val="24"/>
          <w:szCs w:val="24"/>
        </w:rPr>
        <w:t>T</w:t>
      </w:r>
      <w:r w:rsidR="00187E7E" w:rsidRPr="12D3564F">
        <w:rPr>
          <w:rFonts w:ascii="Arial" w:hAnsi="Arial" w:cs="Arial"/>
          <w:sz w:val="24"/>
          <w:szCs w:val="24"/>
        </w:rPr>
        <w:t xml:space="preserve">he </w:t>
      </w:r>
      <w:r w:rsidR="00EE184E" w:rsidRPr="12D3564F">
        <w:rPr>
          <w:rFonts w:ascii="Arial" w:hAnsi="Arial" w:cs="Arial"/>
          <w:sz w:val="24"/>
          <w:szCs w:val="24"/>
        </w:rPr>
        <w:t>awarded Bidder</w:t>
      </w:r>
      <w:r w:rsidR="008F6FF4" w:rsidRPr="12D3564F">
        <w:rPr>
          <w:rFonts w:ascii="Arial" w:hAnsi="Arial" w:cs="Arial"/>
          <w:sz w:val="24"/>
          <w:szCs w:val="24"/>
        </w:rPr>
        <w:t>(s)</w:t>
      </w:r>
      <w:r w:rsidR="00187E7E" w:rsidRPr="12D3564F">
        <w:rPr>
          <w:rFonts w:ascii="Arial" w:hAnsi="Arial" w:cs="Arial"/>
          <w:sz w:val="24"/>
          <w:szCs w:val="24"/>
        </w:rPr>
        <w:t xml:space="preserve"> </w:t>
      </w:r>
      <w:r w:rsidRPr="12D3564F">
        <w:rPr>
          <w:rFonts w:ascii="Arial" w:hAnsi="Arial" w:cs="Arial"/>
          <w:sz w:val="24"/>
          <w:szCs w:val="24"/>
        </w:rPr>
        <w:t xml:space="preserve">will perform </w:t>
      </w:r>
      <w:r w:rsidR="00AD2581" w:rsidRPr="12D3564F">
        <w:rPr>
          <w:rFonts w:ascii="Arial" w:hAnsi="Arial" w:cs="Arial"/>
          <w:sz w:val="24"/>
          <w:szCs w:val="24"/>
        </w:rPr>
        <w:t xml:space="preserve">the following </w:t>
      </w:r>
      <w:r w:rsidRPr="12D3564F">
        <w:rPr>
          <w:rFonts w:ascii="Arial" w:hAnsi="Arial" w:cs="Arial"/>
          <w:sz w:val="24"/>
          <w:szCs w:val="24"/>
        </w:rPr>
        <w:t xml:space="preserve">tasks as directed by and with the input from the Office of the Public Advocate with respect to </w:t>
      </w:r>
      <w:r w:rsidR="393EAEF8" w:rsidRPr="12D3564F">
        <w:rPr>
          <w:rFonts w:ascii="Arial" w:hAnsi="Arial" w:cs="Arial"/>
          <w:sz w:val="24"/>
          <w:szCs w:val="24"/>
        </w:rPr>
        <w:t>any</w:t>
      </w:r>
      <w:r w:rsidRPr="12D3564F">
        <w:rPr>
          <w:rFonts w:ascii="Arial" w:hAnsi="Arial" w:cs="Arial"/>
          <w:sz w:val="24"/>
          <w:szCs w:val="24"/>
        </w:rPr>
        <w:t xml:space="preserve"> General </w:t>
      </w:r>
      <w:r w:rsidR="00415D91" w:rsidRPr="12D3564F">
        <w:rPr>
          <w:rFonts w:ascii="Arial" w:hAnsi="Arial" w:cs="Arial"/>
          <w:sz w:val="24"/>
          <w:szCs w:val="24"/>
        </w:rPr>
        <w:t xml:space="preserve">Service </w:t>
      </w:r>
      <w:r w:rsidRPr="12D3564F">
        <w:rPr>
          <w:rFonts w:ascii="Arial" w:hAnsi="Arial" w:cs="Arial"/>
          <w:sz w:val="24"/>
          <w:szCs w:val="24"/>
        </w:rPr>
        <w:t xml:space="preserve">Area(s) for which they have been selected to provide </w:t>
      </w:r>
      <w:r w:rsidR="494AC2D7" w:rsidRPr="12D3564F">
        <w:rPr>
          <w:rFonts w:ascii="Arial" w:hAnsi="Arial" w:cs="Arial"/>
          <w:sz w:val="24"/>
          <w:szCs w:val="24"/>
        </w:rPr>
        <w:t xml:space="preserve">consulting </w:t>
      </w:r>
      <w:r w:rsidR="00AD2581" w:rsidRPr="12D3564F">
        <w:rPr>
          <w:rFonts w:ascii="Arial" w:hAnsi="Arial" w:cs="Arial"/>
          <w:sz w:val="24"/>
          <w:szCs w:val="24"/>
        </w:rPr>
        <w:t>services</w:t>
      </w:r>
      <w:r w:rsidR="007067E0" w:rsidRPr="12D3564F">
        <w:rPr>
          <w:rFonts w:ascii="Arial" w:hAnsi="Arial" w:cs="Arial"/>
          <w:sz w:val="24"/>
          <w:szCs w:val="24"/>
        </w:rPr>
        <w:t>.</w:t>
      </w:r>
    </w:p>
    <w:p w14:paraId="34154F93" w14:textId="77777777" w:rsidR="00381602" w:rsidRDefault="00381602" w:rsidP="00AD2581">
      <w:pPr>
        <w:pStyle w:val="ListParagraph"/>
        <w:ind w:left="360"/>
        <w:rPr>
          <w:rFonts w:ascii="Arial" w:hAnsi="Arial" w:cs="Arial"/>
          <w:sz w:val="24"/>
          <w:szCs w:val="24"/>
        </w:rPr>
      </w:pPr>
    </w:p>
    <w:p w14:paraId="0F625E9B" w14:textId="77777777" w:rsidR="00381602" w:rsidRDefault="00381602" w:rsidP="00381602">
      <w:pPr>
        <w:pStyle w:val="DefaultText"/>
        <w:ind w:left="360"/>
        <w:contextualSpacing/>
        <w:rPr>
          <w:rStyle w:val="InitialStyle"/>
          <w:rFonts w:ascii="Arial" w:hAnsi="Arial" w:cs="Arial"/>
        </w:rPr>
      </w:pPr>
    </w:p>
    <w:p w14:paraId="3378543E" w14:textId="5190084A" w:rsidR="00381602" w:rsidRPr="00381602" w:rsidRDefault="00381602" w:rsidP="00381602">
      <w:pPr>
        <w:pStyle w:val="DefaultText"/>
        <w:ind w:left="360"/>
        <w:contextualSpacing/>
        <w:rPr>
          <w:rFonts w:ascii="Arial" w:hAnsi="Arial" w:cs="Arial"/>
        </w:rPr>
      </w:pPr>
      <w:r w:rsidRPr="00043FBD">
        <w:rPr>
          <w:rStyle w:val="InitialStyle"/>
          <w:rFonts w:ascii="Arial" w:hAnsi="Arial" w:cs="Arial"/>
        </w:rPr>
        <w:lastRenderedPageBreak/>
        <w:t xml:space="preserve">Most proceedings will not require a full litigation schedule.  Issues are often resolved through negotiated settlement or the submission of comments.  The </w:t>
      </w:r>
      <w:r w:rsidR="007067E0">
        <w:rPr>
          <w:rStyle w:val="InitialStyle"/>
          <w:rFonts w:ascii="Arial" w:hAnsi="Arial" w:cs="Arial"/>
        </w:rPr>
        <w:t>Awarded Bidder(s)</w:t>
      </w:r>
      <w:r w:rsidRPr="00043FBD">
        <w:rPr>
          <w:rStyle w:val="InitialStyle"/>
          <w:rFonts w:ascii="Arial" w:hAnsi="Arial" w:cs="Arial"/>
        </w:rPr>
        <w:t xml:space="preserve"> should, however, be prepared to perform the services in connection with any proceeding in which the Office participates.</w:t>
      </w:r>
    </w:p>
    <w:p w14:paraId="75B6015F" w14:textId="77777777" w:rsidR="00AD2581" w:rsidRPr="00043FBD" w:rsidRDefault="00AD2581" w:rsidP="00AD2581">
      <w:pPr>
        <w:pStyle w:val="ListParagraph"/>
        <w:ind w:left="360"/>
        <w:rPr>
          <w:rFonts w:ascii="Arial" w:hAnsi="Arial" w:cs="Arial"/>
          <w:sz w:val="24"/>
          <w:szCs w:val="24"/>
        </w:rPr>
      </w:pPr>
    </w:p>
    <w:p w14:paraId="625F9CB6" w14:textId="77777777" w:rsidR="00AD2581" w:rsidRPr="00043FBD" w:rsidRDefault="00AD2581" w:rsidP="00DE7C43">
      <w:pPr>
        <w:pStyle w:val="ListParagraph"/>
        <w:numPr>
          <w:ilvl w:val="1"/>
          <w:numId w:val="25"/>
        </w:numPr>
        <w:ind w:left="900" w:hanging="540"/>
        <w:rPr>
          <w:rFonts w:ascii="Arial" w:hAnsi="Arial" w:cs="Arial"/>
          <w:sz w:val="24"/>
          <w:szCs w:val="24"/>
        </w:rPr>
      </w:pPr>
      <w:r w:rsidRPr="00043FBD">
        <w:rPr>
          <w:rFonts w:ascii="Arial" w:hAnsi="Arial" w:cs="Arial"/>
          <w:sz w:val="24"/>
          <w:szCs w:val="24"/>
        </w:rPr>
        <w:t>Thoroughly review and evaluate gas utility petitions and applications.</w:t>
      </w:r>
    </w:p>
    <w:p w14:paraId="2C6FB7A1" w14:textId="77777777" w:rsidR="00AD2581" w:rsidRPr="00043FBD" w:rsidRDefault="00AD2581" w:rsidP="00D53C6A">
      <w:pPr>
        <w:pStyle w:val="DefaultText"/>
        <w:tabs>
          <w:tab w:val="left" w:pos="0"/>
        </w:tabs>
        <w:ind w:left="900" w:hanging="540"/>
        <w:contextualSpacing/>
        <w:rPr>
          <w:rStyle w:val="InitialStyle"/>
          <w:rFonts w:ascii="Arial" w:hAnsi="Arial" w:cs="Arial"/>
          <w:sz w:val="20"/>
          <w:szCs w:val="20"/>
        </w:rPr>
      </w:pPr>
    </w:p>
    <w:p w14:paraId="54E46105" w14:textId="19091DEC" w:rsidR="00AD2581" w:rsidRPr="00043FBD" w:rsidRDefault="00AD2581" w:rsidP="00D53C6A">
      <w:pPr>
        <w:pStyle w:val="DefaultText"/>
        <w:numPr>
          <w:ilvl w:val="1"/>
          <w:numId w:val="25"/>
        </w:numPr>
        <w:tabs>
          <w:tab w:val="left" w:pos="0"/>
        </w:tabs>
        <w:ind w:left="900" w:hanging="540"/>
        <w:contextualSpacing/>
        <w:rPr>
          <w:rStyle w:val="InitialStyle"/>
          <w:rFonts w:ascii="Arial" w:hAnsi="Arial" w:cs="Arial"/>
        </w:rPr>
      </w:pPr>
      <w:r w:rsidRPr="00043FBD">
        <w:rPr>
          <w:rStyle w:val="InitialStyle"/>
          <w:rFonts w:ascii="Arial" w:hAnsi="Arial" w:cs="Arial"/>
        </w:rPr>
        <w:t xml:space="preserve">Assist the Office in conducting discovery of gas utilities and other parties </w:t>
      </w:r>
      <w:r w:rsidR="00415D91" w:rsidRPr="00043FBD">
        <w:rPr>
          <w:rStyle w:val="InitialStyle"/>
          <w:rFonts w:ascii="Arial" w:hAnsi="Arial" w:cs="Arial"/>
        </w:rPr>
        <w:t>sufficiently</w:t>
      </w:r>
      <w:r w:rsidRPr="00043FBD">
        <w:rPr>
          <w:rStyle w:val="InitialStyle"/>
          <w:rFonts w:ascii="Arial" w:hAnsi="Arial" w:cs="Arial"/>
        </w:rPr>
        <w:t xml:space="preserve"> to make a complete analysis of utility proposals and their effects on customers.  This assistance will include, without limitation, aiding in the preparation of such written requests for information as may be necessary for a thorough analysis of the case.</w:t>
      </w:r>
    </w:p>
    <w:p w14:paraId="586AEC3C" w14:textId="77777777" w:rsidR="00AD2581" w:rsidRPr="00043FBD" w:rsidRDefault="00AD2581" w:rsidP="00D53C6A">
      <w:pPr>
        <w:pStyle w:val="DefaultText"/>
        <w:tabs>
          <w:tab w:val="left" w:pos="0"/>
        </w:tabs>
        <w:ind w:left="900" w:hanging="540"/>
        <w:contextualSpacing/>
        <w:rPr>
          <w:rStyle w:val="InitialStyle"/>
          <w:rFonts w:ascii="Arial" w:hAnsi="Arial" w:cs="Arial"/>
        </w:rPr>
      </w:pPr>
    </w:p>
    <w:p w14:paraId="18F59776" w14:textId="42C0A8B2" w:rsidR="00AD2581" w:rsidRPr="00043FBD" w:rsidRDefault="00AD2581" w:rsidP="00D53C6A">
      <w:pPr>
        <w:pStyle w:val="DefaultText"/>
        <w:numPr>
          <w:ilvl w:val="1"/>
          <w:numId w:val="25"/>
        </w:numPr>
        <w:tabs>
          <w:tab w:val="left" w:pos="0"/>
        </w:tabs>
        <w:ind w:left="900" w:hanging="540"/>
        <w:contextualSpacing/>
        <w:rPr>
          <w:rStyle w:val="InitialStyle"/>
          <w:rFonts w:ascii="Arial" w:hAnsi="Arial" w:cs="Arial"/>
        </w:rPr>
      </w:pPr>
      <w:r w:rsidRPr="00043FBD">
        <w:rPr>
          <w:rStyle w:val="InitialStyle"/>
          <w:rFonts w:ascii="Arial" w:hAnsi="Arial" w:cs="Arial"/>
        </w:rPr>
        <w:t xml:space="preserve">Assist the Office in evaluating the responses to discovery and other information provided by gas utilities for the purpose of determining whether the case can be processed </w:t>
      </w:r>
      <w:r w:rsidR="00415D91" w:rsidRPr="00043FBD">
        <w:rPr>
          <w:rStyle w:val="InitialStyle"/>
          <w:rFonts w:ascii="Arial" w:hAnsi="Arial" w:cs="Arial"/>
        </w:rPr>
        <w:t>based on</w:t>
      </w:r>
      <w:r w:rsidRPr="00043FBD">
        <w:rPr>
          <w:rStyle w:val="InitialStyle"/>
          <w:rFonts w:ascii="Arial" w:hAnsi="Arial" w:cs="Arial"/>
        </w:rPr>
        <w:t xml:space="preserve"> the issues identified up to that point or whether the Office should raise additional issues.</w:t>
      </w:r>
    </w:p>
    <w:p w14:paraId="0A48E748" w14:textId="77777777" w:rsidR="00AD2581" w:rsidRPr="00043FBD" w:rsidRDefault="00AD2581" w:rsidP="00D53C6A">
      <w:pPr>
        <w:pStyle w:val="ListParagraph"/>
        <w:ind w:left="900" w:hanging="540"/>
        <w:rPr>
          <w:rStyle w:val="InitialStyle"/>
          <w:rFonts w:ascii="Arial" w:hAnsi="Arial" w:cs="Arial"/>
          <w:sz w:val="24"/>
          <w:szCs w:val="24"/>
        </w:rPr>
      </w:pPr>
    </w:p>
    <w:p w14:paraId="29DD7020" w14:textId="774A96F1" w:rsidR="00AD2581" w:rsidRPr="00043FBD" w:rsidRDefault="00AD2581" w:rsidP="00D53C6A">
      <w:pPr>
        <w:pStyle w:val="DefaultText"/>
        <w:numPr>
          <w:ilvl w:val="1"/>
          <w:numId w:val="25"/>
        </w:numPr>
        <w:tabs>
          <w:tab w:val="left" w:pos="0"/>
        </w:tabs>
        <w:ind w:left="900" w:hanging="540"/>
        <w:contextualSpacing/>
        <w:rPr>
          <w:rStyle w:val="InitialStyle"/>
          <w:rFonts w:ascii="Arial" w:hAnsi="Arial" w:cs="Arial"/>
          <w:sz w:val="20"/>
          <w:szCs w:val="20"/>
        </w:rPr>
      </w:pPr>
      <w:r w:rsidRPr="00043FBD">
        <w:rPr>
          <w:rStyle w:val="InitialStyle"/>
          <w:rFonts w:ascii="Arial" w:hAnsi="Arial" w:cs="Arial"/>
        </w:rPr>
        <w:t xml:space="preserve">Assist the Office in preparing proposed cross-examination of the expert witnesses of gas utilities and other parties and in conducting such </w:t>
      </w:r>
      <w:r w:rsidR="00736013" w:rsidRPr="00043FBD">
        <w:rPr>
          <w:rStyle w:val="InitialStyle"/>
          <w:rFonts w:ascii="Arial" w:hAnsi="Arial" w:cs="Arial"/>
        </w:rPr>
        <w:t>an examination</w:t>
      </w:r>
      <w:r w:rsidRPr="00043FBD">
        <w:rPr>
          <w:rStyle w:val="InitialStyle"/>
          <w:rFonts w:ascii="Arial" w:hAnsi="Arial" w:cs="Arial"/>
        </w:rPr>
        <w:t>, whether at a technical conference or at a hearing before PUC.  From time to time, this may include travel to Hallowell, Maine.  (The offices of the Public Advocate and the PUC are both in Hallowell, Maine.)</w:t>
      </w:r>
    </w:p>
    <w:p w14:paraId="2F235398" w14:textId="77777777" w:rsidR="00AD2581" w:rsidRPr="00043FBD" w:rsidRDefault="00AD2581" w:rsidP="00D53C6A">
      <w:pPr>
        <w:pStyle w:val="DefaultText"/>
        <w:tabs>
          <w:tab w:val="left" w:pos="0"/>
        </w:tabs>
        <w:ind w:left="900" w:hanging="540"/>
        <w:contextualSpacing/>
        <w:rPr>
          <w:rStyle w:val="InitialStyle"/>
          <w:rFonts w:ascii="Arial" w:hAnsi="Arial" w:cs="Arial"/>
        </w:rPr>
      </w:pPr>
    </w:p>
    <w:p w14:paraId="794AAB22" w14:textId="038D8AF9" w:rsidR="00AD2581" w:rsidRPr="00043FBD" w:rsidRDefault="00AD2581" w:rsidP="00D53C6A">
      <w:pPr>
        <w:pStyle w:val="DefaultText"/>
        <w:numPr>
          <w:ilvl w:val="1"/>
          <w:numId w:val="25"/>
        </w:numPr>
        <w:tabs>
          <w:tab w:val="left" w:pos="0"/>
        </w:tabs>
        <w:ind w:left="900" w:hanging="540"/>
        <w:contextualSpacing/>
        <w:rPr>
          <w:rStyle w:val="InitialStyle"/>
          <w:rFonts w:ascii="Arial" w:hAnsi="Arial" w:cs="Arial"/>
        </w:rPr>
      </w:pPr>
      <w:r w:rsidRPr="00043FBD">
        <w:rPr>
          <w:rStyle w:val="InitialStyle"/>
          <w:rFonts w:ascii="Arial" w:hAnsi="Arial" w:cs="Arial"/>
        </w:rPr>
        <w:t>Prepare, present direct testimony, and submit to cross-examination on the issues identified in each PUC proceeding, as well as any other issues identified as necessary to raise.  This may include travel to Hallowell, Maine.</w:t>
      </w:r>
    </w:p>
    <w:p w14:paraId="40942B0B" w14:textId="77777777" w:rsidR="00AD2581" w:rsidRPr="00043FBD" w:rsidRDefault="00AD2581" w:rsidP="00D53C6A">
      <w:pPr>
        <w:pStyle w:val="ListParagraph"/>
        <w:ind w:left="900" w:hanging="540"/>
        <w:rPr>
          <w:rStyle w:val="InitialStyle"/>
          <w:rFonts w:ascii="Arial" w:hAnsi="Arial" w:cs="Arial"/>
          <w:sz w:val="24"/>
          <w:szCs w:val="24"/>
        </w:rPr>
      </w:pPr>
    </w:p>
    <w:p w14:paraId="0F4409DC" w14:textId="681929D4" w:rsidR="00AD2581" w:rsidRPr="00043FBD" w:rsidRDefault="00AD2581" w:rsidP="00D53C6A">
      <w:pPr>
        <w:pStyle w:val="DefaultText"/>
        <w:numPr>
          <w:ilvl w:val="1"/>
          <w:numId w:val="25"/>
        </w:numPr>
        <w:tabs>
          <w:tab w:val="left" w:pos="0"/>
        </w:tabs>
        <w:ind w:left="900" w:hanging="540"/>
        <w:contextualSpacing/>
        <w:rPr>
          <w:rStyle w:val="InitialStyle"/>
          <w:rFonts w:ascii="Arial" w:hAnsi="Arial" w:cs="Arial"/>
          <w:sz w:val="20"/>
          <w:szCs w:val="20"/>
        </w:rPr>
      </w:pPr>
      <w:r w:rsidRPr="00043FBD">
        <w:rPr>
          <w:rStyle w:val="InitialStyle"/>
          <w:rFonts w:ascii="Arial" w:hAnsi="Arial" w:cs="Arial"/>
        </w:rPr>
        <w:t>Assist the Office in responding to such discovery as PUC Staff, the relevant gas utility, or other parties may undertake of the Office and its consultants.</w:t>
      </w:r>
    </w:p>
    <w:p w14:paraId="403AEDA0" w14:textId="77777777" w:rsidR="00AD2581" w:rsidRPr="00043FBD" w:rsidRDefault="00AD2581" w:rsidP="00D53C6A">
      <w:pPr>
        <w:pStyle w:val="ListParagraph"/>
        <w:ind w:left="900" w:hanging="540"/>
        <w:rPr>
          <w:rStyle w:val="InitialStyle"/>
          <w:rFonts w:ascii="Arial" w:hAnsi="Arial" w:cs="Arial"/>
          <w:sz w:val="24"/>
          <w:szCs w:val="24"/>
        </w:rPr>
      </w:pPr>
    </w:p>
    <w:p w14:paraId="2FBAEF83" w14:textId="77777777" w:rsidR="00AD2581" w:rsidRPr="00043FBD" w:rsidRDefault="00AD2581" w:rsidP="00D53C6A">
      <w:pPr>
        <w:pStyle w:val="DefaultText"/>
        <w:numPr>
          <w:ilvl w:val="1"/>
          <w:numId w:val="25"/>
        </w:numPr>
        <w:tabs>
          <w:tab w:val="left" w:pos="0"/>
        </w:tabs>
        <w:ind w:left="900" w:hanging="540"/>
        <w:contextualSpacing/>
        <w:rPr>
          <w:rStyle w:val="InitialStyle"/>
          <w:rFonts w:ascii="Arial" w:hAnsi="Arial" w:cs="Arial"/>
          <w:sz w:val="20"/>
          <w:szCs w:val="20"/>
        </w:rPr>
      </w:pPr>
      <w:r w:rsidRPr="00043FBD">
        <w:rPr>
          <w:rStyle w:val="InitialStyle"/>
          <w:rFonts w:ascii="Arial" w:hAnsi="Arial" w:cs="Arial"/>
        </w:rPr>
        <w:t>Analyze rebuttal testimony filed by gas utilities and other parties and prepare proposed cross-examination thereof, together with any needed discovery.  Assist in the cross-examination of gas utility rebuttal.  This may include travel to and from Hallowell, Maine.</w:t>
      </w:r>
    </w:p>
    <w:p w14:paraId="31834D02" w14:textId="77777777" w:rsidR="00AD2581" w:rsidRPr="00043FBD" w:rsidRDefault="00AD2581" w:rsidP="00D53C6A">
      <w:pPr>
        <w:pStyle w:val="ListParagraph"/>
        <w:ind w:left="900" w:hanging="540"/>
        <w:rPr>
          <w:rStyle w:val="InitialStyle"/>
          <w:rFonts w:ascii="Arial" w:hAnsi="Arial" w:cs="Arial"/>
          <w:sz w:val="24"/>
          <w:szCs w:val="24"/>
        </w:rPr>
      </w:pPr>
    </w:p>
    <w:p w14:paraId="152E0618" w14:textId="77777777" w:rsidR="00AD2581" w:rsidRPr="00043FBD" w:rsidRDefault="00AD2581" w:rsidP="00D53C6A">
      <w:pPr>
        <w:pStyle w:val="DefaultText"/>
        <w:numPr>
          <w:ilvl w:val="1"/>
          <w:numId w:val="25"/>
        </w:numPr>
        <w:tabs>
          <w:tab w:val="left" w:pos="0"/>
        </w:tabs>
        <w:ind w:left="900" w:hanging="540"/>
        <w:contextualSpacing/>
        <w:rPr>
          <w:rStyle w:val="InitialStyle"/>
          <w:rFonts w:ascii="Arial" w:hAnsi="Arial" w:cs="Arial"/>
          <w:sz w:val="20"/>
          <w:szCs w:val="20"/>
        </w:rPr>
      </w:pPr>
      <w:r w:rsidRPr="00043FBD">
        <w:rPr>
          <w:rStyle w:val="InitialStyle"/>
          <w:rFonts w:ascii="Arial" w:hAnsi="Arial" w:cs="Arial"/>
        </w:rPr>
        <w:t>Review the direct testimony of other parties and the rebuttal testimony of the gas utility and prepare and present surrebuttal evidence on the issues identified above.  This may require travel to Hallowell, Maine.</w:t>
      </w:r>
    </w:p>
    <w:p w14:paraId="21AC7B52" w14:textId="77777777" w:rsidR="00AD2581" w:rsidRPr="00043FBD" w:rsidRDefault="00AD2581" w:rsidP="00D53C6A">
      <w:pPr>
        <w:pStyle w:val="ListParagraph"/>
        <w:ind w:left="900" w:hanging="540"/>
        <w:rPr>
          <w:rStyle w:val="InitialStyle"/>
          <w:rFonts w:ascii="Arial" w:hAnsi="Arial" w:cs="Arial"/>
          <w:sz w:val="24"/>
          <w:szCs w:val="24"/>
        </w:rPr>
      </w:pPr>
    </w:p>
    <w:p w14:paraId="7103BFE5" w14:textId="77777777" w:rsidR="00AD2581" w:rsidRPr="00043FBD" w:rsidRDefault="00AD2581" w:rsidP="00D53C6A">
      <w:pPr>
        <w:pStyle w:val="DefaultText"/>
        <w:numPr>
          <w:ilvl w:val="1"/>
          <w:numId w:val="25"/>
        </w:numPr>
        <w:tabs>
          <w:tab w:val="left" w:pos="0"/>
        </w:tabs>
        <w:ind w:left="900" w:hanging="540"/>
        <w:contextualSpacing/>
        <w:rPr>
          <w:rStyle w:val="InitialStyle"/>
          <w:rFonts w:ascii="Arial" w:hAnsi="Arial" w:cs="Arial"/>
          <w:sz w:val="20"/>
          <w:szCs w:val="20"/>
        </w:rPr>
      </w:pPr>
      <w:r w:rsidRPr="00043FBD">
        <w:rPr>
          <w:rStyle w:val="InitialStyle"/>
          <w:rFonts w:ascii="Arial" w:hAnsi="Arial" w:cs="Arial"/>
        </w:rPr>
        <w:t>While performing these Tasks, assist the Office in evaluating and responding to positions taken and evidence presented by any intervenors that may participate in the case.</w:t>
      </w:r>
    </w:p>
    <w:p w14:paraId="37E59C7E" w14:textId="77777777" w:rsidR="00AD2581" w:rsidRPr="00043FBD" w:rsidRDefault="00AD2581" w:rsidP="00D53C6A">
      <w:pPr>
        <w:pStyle w:val="ListParagraph"/>
        <w:ind w:left="900" w:hanging="540"/>
        <w:rPr>
          <w:rStyle w:val="InitialStyle"/>
          <w:rFonts w:ascii="Arial" w:hAnsi="Arial" w:cs="Arial"/>
          <w:sz w:val="24"/>
          <w:szCs w:val="24"/>
        </w:rPr>
      </w:pPr>
    </w:p>
    <w:p w14:paraId="7EB1619D" w14:textId="28668CC6" w:rsidR="00AD2581" w:rsidRPr="00043FBD" w:rsidRDefault="00AD2581" w:rsidP="00D53C6A">
      <w:pPr>
        <w:pStyle w:val="DefaultText"/>
        <w:numPr>
          <w:ilvl w:val="1"/>
          <w:numId w:val="25"/>
        </w:numPr>
        <w:tabs>
          <w:tab w:val="left" w:pos="0"/>
        </w:tabs>
        <w:ind w:left="900" w:hanging="540"/>
        <w:contextualSpacing/>
        <w:rPr>
          <w:rStyle w:val="InitialStyle"/>
          <w:rFonts w:ascii="Arial" w:hAnsi="Arial" w:cs="Arial"/>
          <w:sz w:val="20"/>
          <w:szCs w:val="20"/>
        </w:rPr>
      </w:pPr>
      <w:r w:rsidRPr="00043FBD">
        <w:rPr>
          <w:rStyle w:val="InitialStyle"/>
          <w:rFonts w:ascii="Arial" w:hAnsi="Arial" w:cs="Arial"/>
        </w:rPr>
        <w:t>Assist the Office in the preparation and presentation of comments, briefs, oral arguments, and exceptions before the PUC and its Hearing Examiners.</w:t>
      </w:r>
    </w:p>
    <w:p w14:paraId="75FACE0D" w14:textId="77777777" w:rsidR="00AD2581" w:rsidRPr="00043FBD" w:rsidRDefault="00AD2581" w:rsidP="00D53C6A">
      <w:pPr>
        <w:pStyle w:val="ListParagraph"/>
        <w:ind w:left="900" w:hanging="540"/>
        <w:rPr>
          <w:rFonts w:ascii="Arial" w:hAnsi="Arial" w:cs="Arial"/>
        </w:rPr>
      </w:pPr>
    </w:p>
    <w:p w14:paraId="31BFB90B" w14:textId="01334AD8" w:rsidR="00AD2581" w:rsidRPr="00043FBD" w:rsidRDefault="00AD2581" w:rsidP="00D53C6A">
      <w:pPr>
        <w:pStyle w:val="DefaultText"/>
        <w:numPr>
          <w:ilvl w:val="1"/>
          <w:numId w:val="25"/>
        </w:numPr>
        <w:ind w:left="900" w:hanging="540"/>
        <w:contextualSpacing/>
        <w:rPr>
          <w:rStyle w:val="InitialStyle"/>
          <w:rFonts w:ascii="Arial" w:hAnsi="Arial" w:cs="Arial"/>
          <w:sz w:val="20"/>
          <w:szCs w:val="20"/>
        </w:rPr>
      </w:pPr>
      <w:r w:rsidRPr="00043FBD">
        <w:rPr>
          <w:rStyle w:val="InitialStyle"/>
          <w:rFonts w:ascii="Arial" w:hAnsi="Arial" w:cs="Arial"/>
        </w:rPr>
        <w:t>Assist the Office in the appeal of any decisions from the PUC.</w:t>
      </w:r>
    </w:p>
    <w:p w14:paraId="232A9943" w14:textId="77777777" w:rsidR="00AD2581" w:rsidRPr="00043FBD" w:rsidRDefault="00AD2581" w:rsidP="00D53C6A">
      <w:pPr>
        <w:pStyle w:val="ListParagraph"/>
        <w:ind w:left="900" w:hanging="540"/>
        <w:rPr>
          <w:rStyle w:val="InitialStyle"/>
          <w:rFonts w:ascii="Arial" w:hAnsi="Arial" w:cs="Arial"/>
          <w:sz w:val="24"/>
          <w:szCs w:val="24"/>
        </w:rPr>
      </w:pPr>
    </w:p>
    <w:p w14:paraId="34467702" w14:textId="60B739E7" w:rsidR="00AD2581" w:rsidRPr="00043FBD" w:rsidRDefault="00AD2581" w:rsidP="00D53C6A">
      <w:pPr>
        <w:pStyle w:val="DefaultText"/>
        <w:numPr>
          <w:ilvl w:val="1"/>
          <w:numId w:val="25"/>
        </w:numPr>
        <w:tabs>
          <w:tab w:val="left" w:pos="0"/>
        </w:tabs>
        <w:ind w:left="900" w:hanging="540"/>
        <w:contextualSpacing/>
        <w:rPr>
          <w:rStyle w:val="InitialStyle"/>
          <w:rFonts w:ascii="Arial" w:hAnsi="Arial" w:cs="Arial"/>
          <w:sz w:val="20"/>
          <w:szCs w:val="20"/>
        </w:rPr>
      </w:pPr>
      <w:r w:rsidRPr="00043FBD">
        <w:rPr>
          <w:rStyle w:val="InitialStyle"/>
          <w:rFonts w:ascii="Arial" w:hAnsi="Arial" w:cs="Arial"/>
        </w:rPr>
        <w:t>To the extent that</w:t>
      </w:r>
      <w:r w:rsidR="007067E0">
        <w:rPr>
          <w:rStyle w:val="InitialStyle"/>
          <w:rFonts w:ascii="Arial" w:hAnsi="Arial" w:cs="Arial"/>
        </w:rPr>
        <w:t xml:space="preserve"> </w:t>
      </w:r>
      <w:r w:rsidRPr="00043FBD">
        <w:rPr>
          <w:rStyle w:val="InitialStyle"/>
          <w:rFonts w:ascii="Arial" w:hAnsi="Arial" w:cs="Arial"/>
        </w:rPr>
        <w:t>PUC practice permits, assist the Office in presenting to the PUC gas policy recommendations and positions the Office is advancing.</w:t>
      </w:r>
    </w:p>
    <w:p w14:paraId="0E504F23" w14:textId="77777777" w:rsidR="00AD2581" w:rsidRPr="00043FBD" w:rsidRDefault="00AD2581" w:rsidP="00D53C6A">
      <w:pPr>
        <w:pStyle w:val="ListParagraph"/>
        <w:ind w:left="900" w:hanging="540"/>
        <w:rPr>
          <w:rStyle w:val="InitialStyle"/>
          <w:rFonts w:ascii="Arial" w:hAnsi="Arial" w:cs="Arial"/>
          <w:sz w:val="24"/>
          <w:szCs w:val="24"/>
        </w:rPr>
      </w:pPr>
    </w:p>
    <w:p w14:paraId="39F8A92A" w14:textId="77777777" w:rsidR="00AD2581" w:rsidRPr="00043FBD" w:rsidRDefault="00AD2581" w:rsidP="00D53C6A">
      <w:pPr>
        <w:pStyle w:val="DefaultText"/>
        <w:numPr>
          <w:ilvl w:val="1"/>
          <w:numId w:val="25"/>
        </w:numPr>
        <w:ind w:left="900" w:hanging="540"/>
        <w:contextualSpacing/>
        <w:rPr>
          <w:rStyle w:val="InitialStyle"/>
          <w:rFonts w:ascii="Arial" w:hAnsi="Arial" w:cs="Arial"/>
          <w:sz w:val="20"/>
          <w:szCs w:val="20"/>
        </w:rPr>
      </w:pPr>
      <w:r w:rsidRPr="60A5DD87">
        <w:rPr>
          <w:rStyle w:val="InitialStyle"/>
          <w:rFonts w:ascii="Arial" w:hAnsi="Arial" w:cs="Arial"/>
        </w:rPr>
        <w:lastRenderedPageBreak/>
        <w:t>When necessary, perform services 1-12 above in proceedings before FERC.</w:t>
      </w:r>
    </w:p>
    <w:p w14:paraId="137E739F" w14:textId="77777777" w:rsidR="00AD2581" w:rsidRPr="00043FBD" w:rsidRDefault="00AD2581" w:rsidP="00AD2581">
      <w:pPr>
        <w:pStyle w:val="ListParagraph"/>
        <w:rPr>
          <w:rStyle w:val="InitialStyle"/>
          <w:rFonts w:ascii="Arial" w:hAnsi="Arial" w:cs="Arial"/>
        </w:rPr>
      </w:pPr>
    </w:p>
    <w:p w14:paraId="7526598C" w14:textId="77777777" w:rsidR="00AD2581" w:rsidRPr="00043FBD" w:rsidRDefault="00AD2581" w:rsidP="00D53C6A">
      <w:pPr>
        <w:pStyle w:val="DefaultText"/>
        <w:numPr>
          <w:ilvl w:val="1"/>
          <w:numId w:val="25"/>
        </w:numPr>
        <w:ind w:left="900" w:hanging="540"/>
        <w:contextualSpacing/>
        <w:rPr>
          <w:rStyle w:val="InitialStyle"/>
          <w:rFonts w:ascii="Arial" w:hAnsi="Arial" w:cs="Arial"/>
          <w:sz w:val="20"/>
          <w:szCs w:val="20"/>
        </w:rPr>
      </w:pPr>
      <w:r w:rsidRPr="00043FBD">
        <w:rPr>
          <w:rStyle w:val="InitialStyle"/>
          <w:rFonts w:ascii="Arial" w:hAnsi="Arial" w:cs="Arial"/>
        </w:rPr>
        <w:t>Monitor state, regional, and national gas markets and issues and keep the Office informed of events and trends that may affect Maine gas customers and advise on the position that Public Advocate should take in response.</w:t>
      </w:r>
    </w:p>
    <w:p w14:paraId="7B80F5D6" w14:textId="77777777" w:rsidR="00B052ED" w:rsidRDefault="00B052ED">
      <w:pPr>
        <w:widowControl/>
        <w:autoSpaceDE/>
        <w:autoSpaceDN/>
        <w:rPr>
          <w:rFonts w:ascii="Arial" w:hAnsi="Arial" w:cs="Arial"/>
          <w:b/>
          <w:sz w:val="24"/>
          <w:szCs w:val="24"/>
        </w:rPr>
      </w:pPr>
    </w:p>
    <w:p w14:paraId="1D64054F" w14:textId="77777777" w:rsidR="00B052ED" w:rsidRPr="00A928DC" w:rsidRDefault="00B052ED" w:rsidP="00B052ED">
      <w:pPr>
        <w:pStyle w:val="DefaultText"/>
        <w:numPr>
          <w:ilvl w:val="0"/>
          <w:numId w:val="25"/>
        </w:numPr>
        <w:tabs>
          <w:tab w:val="left" w:pos="630"/>
          <w:tab w:val="left" w:pos="720"/>
        </w:tabs>
        <w:contextualSpacing/>
        <w:rPr>
          <w:rStyle w:val="InitialStyle"/>
          <w:rFonts w:ascii="Arial" w:hAnsi="Arial" w:cs="Arial"/>
          <w:b/>
          <w:bCs/>
        </w:rPr>
      </w:pPr>
      <w:r w:rsidRPr="60A5DD87">
        <w:rPr>
          <w:rStyle w:val="InitialStyle"/>
          <w:rFonts w:ascii="Arial" w:hAnsi="Arial" w:cs="Arial"/>
          <w:b/>
          <w:bCs/>
        </w:rPr>
        <w:t>MANNER OF PERFORMANCE OF THE WORK</w:t>
      </w:r>
    </w:p>
    <w:p w14:paraId="212C7733" w14:textId="5EEB7BC9" w:rsidR="00B052ED" w:rsidRDefault="00B052ED" w:rsidP="00B052ED">
      <w:pPr>
        <w:pStyle w:val="DefaultText"/>
        <w:tabs>
          <w:tab w:val="left" w:pos="0"/>
          <w:tab w:val="left" w:pos="630"/>
          <w:tab w:val="left" w:pos="720"/>
        </w:tabs>
        <w:ind w:left="360"/>
        <w:contextualSpacing/>
        <w:rPr>
          <w:rStyle w:val="InitialStyle"/>
          <w:rFonts w:ascii="Arial" w:hAnsi="Arial" w:cs="Arial"/>
        </w:rPr>
      </w:pPr>
      <w:r w:rsidRPr="00043FBD">
        <w:rPr>
          <w:rStyle w:val="InitialStyle"/>
          <w:rFonts w:ascii="Arial" w:hAnsi="Arial" w:cs="Arial"/>
        </w:rPr>
        <w:t xml:space="preserve">In performing Tasks in PART II B. 1 through 14 above, the </w:t>
      </w:r>
      <w:r w:rsidR="007067E0">
        <w:rPr>
          <w:rStyle w:val="InitialStyle"/>
          <w:rFonts w:ascii="Arial" w:hAnsi="Arial" w:cs="Arial"/>
        </w:rPr>
        <w:t>Awarded Bidder(s)</w:t>
      </w:r>
      <w:r w:rsidRPr="00043FBD">
        <w:rPr>
          <w:rStyle w:val="InitialStyle"/>
          <w:rFonts w:ascii="Arial" w:hAnsi="Arial" w:cs="Arial"/>
        </w:rPr>
        <w:t xml:space="preserve"> will </w:t>
      </w:r>
      <w:r w:rsidR="007067E0">
        <w:rPr>
          <w:rStyle w:val="InitialStyle"/>
          <w:rFonts w:ascii="Arial" w:hAnsi="Arial" w:cs="Arial"/>
        </w:rPr>
        <w:t xml:space="preserve">be </w:t>
      </w:r>
      <w:r w:rsidRPr="00043FBD">
        <w:rPr>
          <w:rStyle w:val="InitialStyle"/>
          <w:rFonts w:ascii="Arial" w:hAnsi="Arial" w:cs="Arial"/>
        </w:rPr>
        <w:t>expected</w:t>
      </w:r>
      <w:r w:rsidR="007067E0">
        <w:rPr>
          <w:rStyle w:val="InitialStyle"/>
          <w:rFonts w:ascii="Arial" w:hAnsi="Arial" w:cs="Arial"/>
        </w:rPr>
        <w:t xml:space="preserve"> at all times to</w:t>
      </w:r>
      <w:r w:rsidRPr="00043FBD">
        <w:rPr>
          <w:rStyle w:val="InitialStyle"/>
          <w:rFonts w:ascii="Arial" w:hAnsi="Arial" w:cs="Arial"/>
        </w:rPr>
        <w:t>:</w:t>
      </w:r>
    </w:p>
    <w:p w14:paraId="14AFB96D" w14:textId="77777777" w:rsidR="00B052ED" w:rsidRPr="00043FBD" w:rsidRDefault="00B052ED" w:rsidP="00B052ED">
      <w:pPr>
        <w:pStyle w:val="DefaultText"/>
        <w:tabs>
          <w:tab w:val="left" w:pos="0"/>
          <w:tab w:val="left" w:pos="630"/>
          <w:tab w:val="left" w:pos="720"/>
        </w:tabs>
        <w:ind w:left="360"/>
        <w:contextualSpacing/>
        <w:rPr>
          <w:rStyle w:val="InitialStyle"/>
          <w:rFonts w:ascii="Arial" w:hAnsi="Arial" w:cs="Arial"/>
        </w:rPr>
      </w:pPr>
    </w:p>
    <w:p w14:paraId="41E5AEA7" w14:textId="77777777" w:rsidR="00B052ED" w:rsidRDefault="00B052ED" w:rsidP="00B052ED">
      <w:pPr>
        <w:pStyle w:val="DefaultText"/>
        <w:numPr>
          <w:ilvl w:val="1"/>
          <w:numId w:val="25"/>
        </w:numPr>
        <w:tabs>
          <w:tab w:val="left" w:pos="0"/>
        </w:tabs>
        <w:contextualSpacing/>
        <w:rPr>
          <w:rStyle w:val="InitialStyle"/>
          <w:rFonts w:ascii="Arial" w:hAnsi="Arial" w:cs="Arial"/>
        </w:rPr>
      </w:pPr>
      <w:r w:rsidRPr="00043FBD">
        <w:rPr>
          <w:rStyle w:val="InitialStyle"/>
          <w:rFonts w:ascii="Arial" w:hAnsi="Arial" w:cs="Arial"/>
        </w:rPr>
        <w:t>Communicate with the Office on a regular basis, via email and telephone, regarding the progress of the work and the results of that work.</w:t>
      </w:r>
    </w:p>
    <w:p w14:paraId="11FD3C0C" w14:textId="77777777" w:rsidR="00217290" w:rsidRPr="00043FBD" w:rsidRDefault="00217290" w:rsidP="007067E0">
      <w:pPr>
        <w:pStyle w:val="DefaultText"/>
        <w:tabs>
          <w:tab w:val="left" w:pos="0"/>
        </w:tabs>
        <w:contextualSpacing/>
        <w:rPr>
          <w:rStyle w:val="InitialStyle"/>
          <w:rFonts w:ascii="Arial" w:hAnsi="Arial" w:cs="Arial"/>
        </w:rPr>
      </w:pPr>
    </w:p>
    <w:p w14:paraId="236A0F51" w14:textId="77777777" w:rsidR="00B052ED" w:rsidRDefault="00B052ED" w:rsidP="00B052ED">
      <w:pPr>
        <w:pStyle w:val="DefaultText"/>
        <w:numPr>
          <w:ilvl w:val="1"/>
          <w:numId w:val="25"/>
        </w:numPr>
        <w:tabs>
          <w:tab w:val="left" w:pos="0"/>
          <w:tab w:val="left" w:pos="720"/>
        </w:tabs>
        <w:contextualSpacing/>
        <w:rPr>
          <w:rStyle w:val="InitialStyle"/>
          <w:rFonts w:ascii="Arial" w:hAnsi="Arial" w:cs="Arial"/>
        </w:rPr>
      </w:pPr>
      <w:r w:rsidRPr="00043FBD">
        <w:rPr>
          <w:rStyle w:val="InitialStyle"/>
          <w:rFonts w:ascii="Arial" w:hAnsi="Arial" w:cs="Arial"/>
        </w:rPr>
        <w:t>For the Office’s review, prepare drafts of all written materials to be employed in discovery, comment, litigation, or policy development, sufficiently in advance of the time that they must be submitted to the PUC to allow the Office to review the work, pose additional questions, or discuss issues or problems in greater detail.</w:t>
      </w:r>
    </w:p>
    <w:p w14:paraId="7336B6B3" w14:textId="77777777" w:rsidR="00217290" w:rsidRPr="00043FBD" w:rsidRDefault="00217290" w:rsidP="00217290">
      <w:pPr>
        <w:pStyle w:val="DefaultText"/>
        <w:tabs>
          <w:tab w:val="left" w:pos="0"/>
          <w:tab w:val="left" w:pos="720"/>
        </w:tabs>
        <w:ind w:left="720"/>
        <w:contextualSpacing/>
        <w:rPr>
          <w:rStyle w:val="InitialStyle"/>
          <w:rFonts w:ascii="Arial" w:hAnsi="Arial" w:cs="Arial"/>
        </w:rPr>
      </w:pPr>
    </w:p>
    <w:p w14:paraId="36DA5751" w14:textId="77777777" w:rsidR="00B052ED" w:rsidRPr="00043FBD" w:rsidRDefault="00B052ED" w:rsidP="00B052ED">
      <w:pPr>
        <w:pStyle w:val="DefaultText"/>
        <w:numPr>
          <w:ilvl w:val="1"/>
          <w:numId w:val="25"/>
        </w:numPr>
        <w:contextualSpacing/>
        <w:rPr>
          <w:rStyle w:val="InitialStyle"/>
          <w:rFonts w:ascii="Arial" w:hAnsi="Arial" w:cs="Arial"/>
        </w:rPr>
      </w:pPr>
      <w:r w:rsidRPr="00043FBD">
        <w:rPr>
          <w:rStyle w:val="InitialStyle"/>
          <w:rFonts w:ascii="Arial" w:hAnsi="Arial" w:cs="Arial"/>
        </w:rPr>
        <w:t>Assist the Office in proposing reasonable schedules and deadlines to the PUC for each stage of a proceeding, complete all work in accordance with such timetables or deadlines for the processing of the case as the PUC may impose.</w:t>
      </w:r>
    </w:p>
    <w:p w14:paraId="4F1DA000" w14:textId="2083CDF5"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63D1FB1C" w:rsidR="00C249BB" w:rsidRPr="00C97934" w:rsidRDefault="00C249BB" w:rsidP="00736013">
      <w:pPr>
        <w:pStyle w:val="ListParagraph"/>
        <w:ind w:left="360"/>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4A8B0F88"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61561E">
        <w:rPr>
          <w:rFonts w:ascii="Arial" w:hAnsi="Arial" w:cs="Arial"/>
          <w:b/>
          <w:sz w:val="24"/>
          <w:szCs w:val="24"/>
        </w:rPr>
        <w:t>F</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180D9570"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xml:space="preserve">.  The </w:t>
      </w:r>
      <w:r w:rsidR="006818D7">
        <w:rPr>
          <w:rFonts w:ascii="Arial" w:hAnsi="Arial" w:cs="Arial"/>
          <w:sz w:val="24"/>
          <w:szCs w:val="24"/>
        </w:rPr>
        <w:t>Office</w:t>
      </w:r>
      <w:r w:rsidR="00015741" w:rsidRPr="00C97934">
        <w:rPr>
          <w:rFonts w:ascii="Arial" w:hAnsi="Arial" w:cs="Arial"/>
          <w:sz w:val="24"/>
          <w:szCs w:val="24"/>
        </w:rPr>
        <w:t xml:space="preserve">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6DCD1889"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w:t>
      </w:r>
      <w:r w:rsidR="006818D7">
        <w:rPr>
          <w:rFonts w:ascii="Arial" w:hAnsi="Arial" w:cs="Arial"/>
          <w:sz w:val="24"/>
          <w:szCs w:val="24"/>
        </w:rPr>
        <w:t>Office</w:t>
      </w:r>
      <w:r w:rsidRPr="00C97934">
        <w:rPr>
          <w:rFonts w:ascii="Arial" w:hAnsi="Arial" w:cs="Arial"/>
          <w:sz w:val="24"/>
          <w:szCs w:val="24"/>
        </w:rPr>
        <w:t xml:space="preserve">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610300">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610300">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1354A283"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361C45" w:rsidRPr="00361C45">
        <w:rPr>
          <w:rStyle w:val="InitialStyle"/>
          <w:rFonts w:ascii="Arial" w:hAnsi="Arial" w:cs="Arial"/>
          <w:b/>
          <w:bCs/>
          <w:sz w:val="24"/>
          <w:szCs w:val="24"/>
        </w:rPr>
        <w:t>202504057</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01EC748C"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005859C1">
        <w:rPr>
          <w:rFonts w:ascii="Arial" w:hAnsi="Arial" w:cs="Arial"/>
          <w:b/>
          <w:sz w:val="24"/>
          <w:szCs w:val="24"/>
          <w:u w:val="single"/>
        </w:rPr>
        <w:t>s</w:t>
      </w:r>
      <w:r w:rsidRPr="00C97934">
        <w:rPr>
          <w:rFonts w:ascii="Arial" w:hAnsi="Arial" w:cs="Arial"/>
          <w:b/>
          <w:sz w:val="24"/>
          <w:szCs w:val="24"/>
          <w:u w:val="single"/>
        </w:rPr>
        <w:t>:</w:t>
      </w:r>
    </w:p>
    <w:p w14:paraId="7F72ABCC" w14:textId="02365C28" w:rsidR="00AC25CE" w:rsidRPr="00C97934" w:rsidRDefault="00B51518" w:rsidP="00D15916">
      <w:pPr>
        <w:pStyle w:val="ListParagraph"/>
        <w:ind w:left="1440"/>
        <w:rPr>
          <w:rFonts w:ascii="Arial" w:hAnsi="Arial" w:cs="Arial"/>
          <w:sz w:val="24"/>
          <w:szCs w:val="24"/>
        </w:rPr>
      </w:pPr>
      <w:r w:rsidRPr="00B052ED">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179A005F"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005859C1">
        <w:rPr>
          <w:rFonts w:ascii="Arial" w:hAnsi="Arial" w:cs="Arial"/>
          <w:b/>
          <w:sz w:val="24"/>
          <w:szCs w:val="24"/>
        </w:rPr>
        <w:t xml:space="preserve"> &amp; 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005859C1">
        <w:rPr>
          <w:rFonts w:ascii="Arial" w:hAnsi="Arial" w:cs="Arial"/>
          <w:sz w:val="24"/>
          <w:szCs w:val="24"/>
        </w:rPr>
        <w:t>s</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750B1497"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w:t>
      </w:r>
      <w:r w:rsidR="006818D7">
        <w:rPr>
          <w:rFonts w:ascii="Arial" w:hAnsi="Arial" w:cs="Arial"/>
          <w:sz w:val="24"/>
          <w:szCs w:val="24"/>
        </w:rPr>
        <w:t>Office</w:t>
      </w:r>
      <w:r w:rsidR="00942CF6" w:rsidRPr="00C97934">
        <w:rPr>
          <w:rFonts w:ascii="Arial" w:hAnsi="Arial" w:cs="Arial"/>
          <w:sz w:val="24"/>
          <w:szCs w:val="24"/>
        </w:rPr>
        <w:t xml:space="preserve">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CFEE8FF"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w:t>
      </w:r>
      <w:r w:rsidR="006818D7">
        <w:rPr>
          <w:rFonts w:ascii="Arial" w:hAnsi="Arial" w:cs="Arial"/>
          <w:sz w:val="24"/>
          <w:szCs w:val="24"/>
        </w:rPr>
        <w:t>Office</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434C9707"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r w:rsidR="00A104BC" w:rsidRPr="00C97934">
        <w:rPr>
          <w:rFonts w:ascii="Arial" w:hAnsi="Arial" w:cs="Arial"/>
          <w:sz w:val="24"/>
          <w:szCs w:val="24"/>
        </w:rPr>
        <w:t>shows</w:t>
      </w:r>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33B50C23" w:rsidR="00362031" w:rsidRPr="00C97934" w:rsidRDefault="0055472F" w:rsidP="00FD099C">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566CC716" w:rsidR="00F17D71"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provide a list that specifies the name, address, phone number, contact person, and a brief description of the subcontractors’ organizational capacity and qualifications.</w:t>
      </w:r>
    </w:p>
    <w:p w14:paraId="79BBA2F6" w14:textId="77777777" w:rsidR="00FD099C" w:rsidRPr="00C97934" w:rsidRDefault="00FD099C" w:rsidP="00EA18AB">
      <w:pPr>
        <w:ind w:left="720"/>
        <w:rPr>
          <w:rFonts w:ascii="Arial" w:hAnsi="Arial" w:cs="Arial"/>
          <w:sz w:val="24"/>
          <w:szCs w:val="24"/>
        </w:rPr>
      </w:pP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59BB47A6" w:rsidR="00362031" w:rsidRPr="00C97934" w:rsidRDefault="007D3784" w:rsidP="00FD099C">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A60690D" w14:textId="36F87FAF" w:rsidR="00433698" w:rsidRPr="00C97934" w:rsidRDefault="00D97487" w:rsidP="00C46D4C">
      <w:pPr>
        <w:ind w:left="720"/>
        <w:rPr>
          <w:rFonts w:ascii="Arial" w:hAnsi="Arial" w:cs="Arial"/>
          <w:sz w:val="24"/>
          <w:szCs w:val="24"/>
        </w:rPr>
      </w:pPr>
      <w:r>
        <w:rPr>
          <w:rFonts w:ascii="Arial" w:hAnsi="Arial" w:cs="Arial"/>
          <w:sz w:val="24"/>
          <w:szCs w:val="24"/>
        </w:rPr>
        <w:t>Bidders</w:t>
      </w:r>
      <w:r w:rsidR="005859C1">
        <w:rPr>
          <w:rFonts w:ascii="Arial" w:hAnsi="Arial" w:cs="Arial"/>
          <w:sz w:val="24"/>
          <w:szCs w:val="24"/>
        </w:rPr>
        <w:t xml:space="preserve"> should clearly indicate in their proposals which General Service Area(s) they are bidding on and</w:t>
      </w:r>
      <w:r>
        <w:rPr>
          <w:rFonts w:ascii="Arial" w:hAnsi="Arial" w:cs="Arial"/>
          <w:sz w:val="24"/>
          <w:szCs w:val="24"/>
        </w:rPr>
        <w:t xml:space="preserve">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8708838" w:rsidR="00B315FA" w:rsidRPr="00C97934" w:rsidRDefault="00EE7EE0" w:rsidP="007955F7">
      <w:pPr>
        <w:pStyle w:val="ListParagraph"/>
        <w:numPr>
          <w:ilvl w:val="2"/>
          <w:numId w:val="20"/>
        </w:numPr>
        <w:rPr>
          <w:rFonts w:ascii="Arial" w:hAnsi="Arial" w:cs="Arial"/>
          <w:sz w:val="24"/>
          <w:szCs w:val="24"/>
        </w:rPr>
      </w:pPr>
      <w:r w:rsidRPr="12D3564F">
        <w:rPr>
          <w:rFonts w:ascii="Arial" w:hAnsi="Arial" w:cs="Arial"/>
          <w:sz w:val="24"/>
          <w:szCs w:val="24"/>
        </w:rPr>
        <w:t>Bidders</w:t>
      </w:r>
      <w:r w:rsidR="00E82FB4" w:rsidRPr="12D3564F">
        <w:rPr>
          <w:rFonts w:ascii="Arial" w:hAnsi="Arial" w:cs="Arial"/>
          <w:sz w:val="24"/>
          <w:szCs w:val="24"/>
        </w:rPr>
        <w:t xml:space="preserve"> must submit </w:t>
      </w:r>
      <w:r w:rsidR="00DA696C" w:rsidRPr="12D3564F">
        <w:rPr>
          <w:rFonts w:ascii="Arial" w:hAnsi="Arial" w:cs="Arial"/>
          <w:sz w:val="24"/>
          <w:szCs w:val="24"/>
        </w:rPr>
        <w:t xml:space="preserve">a </w:t>
      </w:r>
      <w:r w:rsidR="00E82FB4" w:rsidRPr="12D3564F">
        <w:rPr>
          <w:rFonts w:ascii="Arial" w:hAnsi="Arial" w:cs="Arial"/>
          <w:sz w:val="24"/>
          <w:szCs w:val="24"/>
        </w:rPr>
        <w:t>cost proposal</w:t>
      </w:r>
      <w:r w:rsidR="00DA696C" w:rsidRPr="12D3564F">
        <w:rPr>
          <w:rFonts w:ascii="Arial" w:hAnsi="Arial" w:cs="Arial"/>
          <w:sz w:val="24"/>
          <w:szCs w:val="24"/>
        </w:rPr>
        <w:t>(s)</w:t>
      </w:r>
      <w:r w:rsidR="00CD5DFA" w:rsidRPr="12D3564F">
        <w:rPr>
          <w:rFonts w:ascii="Arial" w:hAnsi="Arial" w:cs="Arial"/>
          <w:sz w:val="24"/>
          <w:szCs w:val="24"/>
        </w:rPr>
        <w:t xml:space="preserve"> that covers</w:t>
      </w:r>
      <w:r w:rsidR="00E82FB4" w:rsidRPr="12D3564F">
        <w:rPr>
          <w:rFonts w:ascii="Arial" w:hAnsi="Arial" w:cs="Arial"/>
          <w:sz w:val="24"/>
          <w:szCs w:val="24"/>
        </w:rPr>
        <w:t xml:space="preserve"> the </w:t>
      </w:r>
      <w:r w:rsidR="009F2FD1" w:rsidRPr="12D3564F">
        <w:rPr>
          <w:rFonts w:ascii="Arial" w:hAnsi="Arial" w:cs="Arial"/>
          <w:sz w:val="24"/>
          <w:szCs w:val="24"/>
        </w:rPr>
        <w:t>Initial Period of Performance</w:t>
      </w:r>
      <w:r w:rsidR="00942CF6" w:rsidRPr="12D3564F">
        <w:rPr>
          <w:rFonts w:ascii="Arial" w:hAnsi="Arial" w:cs="Arial"/>
          <w:sz w:val="24"/>
          <w:szCs w:val="24"/>
        </w:rPr>
        <w:t xml:space="preserve"> starting </w:t>
      </w:r>
      <w:r w:rsidR="009F2FD1" w:rsidRPr="12D3564F">
        <w:rPr>
          <w:rFonts w:ascii="Arial" w:hAnsi="Arial" w:cs="Arial"/>
          <w:sz w:val="24"/>
          <w:szCs w:val="24"/>
        </w:rPr>
        <w:t>Ju</w:t>
      </w:r>
      <w:r w:rsidR="005859C1" w:rsidRPr="12D3564F">
        <w:rPr>
          <w:rFonts w:ascii="Arial" w:hAnsi="Arial" w:cs="Arial"/>
          <w:sz w:val="24"/>
          <w:szCs w:val="24"/>
        </w:rPr>
        <w:t>ly</w:t>
      </w:r>
      <w:r w:rsidR="009F2FD1" w:rsidRPr="12D3564F">
        <w:rPr>
          <w:rFonts w:ascii="Arial" w:hAnsi="Arial" w:cs="Arial"/>
          <w:sz w:val="24"/>
          <w:szCs w:val="24"/>
        </w:rPr>
        <w:t xml:space="preserve"> 1</w:t>
      </w:r>
      <w:r w:rsidR="005859C1" w:rsidRPr="12D3564F">
        <w:rPr>
          <w:rFonts w:ascii="Arial" w:hAnsi="Arial" w:cs="Arial"/>
          <w:sz w:val="24"/>
          <w:szCs w:val="24"/>
        </w:rPr>
        <w:t>5</w:t>
      </w:r>
      <w:r w:rsidR="009F2FD1" w:rsidRPr="12D3564F">
        <w:rPr>
          <w:rFonts w:ascii="Arial" w:hAnsi="Arial" w:cs="Arial"/>
          <w:sz w:val="24"/>
          <w:szCs w:val="24"/>
        </w:rPr>
        <w:t>, 2025</w:t>
      </w:r>
      <w:r w:rsidR="00942CF6" w:rsidRPr="12D3564F">
        <w:rPr>
          <w:rFonts w:ascii="Arial" w:hAnsi="Arial" w:cs="Arial"/>
          <w:sz w:val="24"/>
          <w:szCs w:val="24"/>
        </w:rPr>
        <w:t xml:space="preserve"> and ending on </w:t>
      </w:r>
      <w:r w:rsidR="005859C1" w:rsidRPr="12D3564F">
        <w:rPr>
          <w:rFonts w:ascii="Arial" w:hAnsi="Arial" w:cs="Arial"/>
          <w:sz w:val="24"/>
          <w:szCs w:val="24"/>
        </w:rPr>
        <w:t>June 30</w:t>
      </w:r>
      <w:r w:rsidR="009F2FD1" w:rsidRPr="12D3564F">
        <w:rPr>
          <w:rFonts w:ascii="Arial" w:hAnsi="Arial" w:cs="Arial"/>
          <w:sz w:val="24"/>
          <w:szCs w:val="24"/>
        </w:rPr>
        <w:t>, 2027</w:t>
      </w:r>
      <w:r w:rsidR="00942CF6" w:rsidRPr="12D3564F">
        <w:rPr>
          <w:rFonts w:ascii="Arial" w:hAnsi="Arial" w:cs="Arial"/>
          <w:sz w:val="24"/>
          <w:szCs w:val="24"/>
        </w:rPr>
        <w:t>.</w:t>
      </w:r>
    </w:p>
    <w:p w14:paraId="39AD31EE" w14:textId="48712F5D"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w:t>
      </w:r>
      <w:r w:rsidR="00DA696C">
        <w:rPr>
          <w:rFonts w:ascii="Arial" w:hAnsi="Arial" w:cs="Arial"/>
          <w:sz w:val="24"/>
          <w:szCs w:val="24"/>
        </w:rPr>
        <w:t>(s)</w:t>
      </w:r>
      <w:r w:rsidR="00C34064" w:rsidRPr="00C97934">
        <w:rPr>
          <w:rFonts w:ascii="Arial" w:hAnsi="Arial" w:cs="Arial"/>
          <w:sz w:val="24"/>
          <w:szCs w:val="24"/>
        </w:rPr>
        <w:t xml:space="preserve">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3AFFD9F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w:t>
      </w:r>
      <w:r w:rsidR="006818D7">
        <w:rPr>
          <w:rFonts w:ascii="Arial" w:hAnsi="Arial" w:cs="Arial"/>
          <w:sz w:val="24"/>
          <w:szCs w:val="24"/>
        </w:rPr>
        <w:t>Office</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43876196" w14:textId="41968D1D" w:rsidR="002D47F3" w:rsidRDefault="00EE7EE0" w:rsidP="002D47F3">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DA696C">
        <w:rPr>
          <w:rFonts w:ascii="Arial" w:hAnsi="Arial" w:cs="Arial"/>
          <w:b/>
          <w:sz w:val="24"/>
          <w:szCs w:val="24"/>
        </w:rPr>
        <w:t xml:space="preserve"> and/or Appendix E</w:t>
      </w:r>
      <w:r w:rsidR="00F14B5C" w:rsidRPr="00C97934">
        <w:rPr>
          <w:rFonts w:ascii="Arial" w:hAnsi="Arial" w:cs="Arial"/>
          <w:sz w:val="24"/>
          <w:szCs w:val="24"/>
        </w:rPr>
        <w:t xml:space="preserve"> (Cost Proposal Form</w:t>
      </w:r>
      <w:r w:rsidR="00DA696C">
        <w:rPr>
          <w:rFonts w:ascii="Arial" w:hAnsi="Arial" w:cs="Arial"/>
          <w:sz w:val="24"/>
          <w:szCs w:val="24"/>
        </w:rPr>
        <w:t>s</w:t>
      </w:r>
      <w:r w:rsidR="00F14B5C" w:rsidRPr="00C97934">
        <w:rPr>
          <w:rFonts w:ascii="Arial" w:hAnsi="Arial" w:cs="Arial"/>
          <w:sz w:val="24"/>
          <w:szCs w:val="24"/>
        </w:rPr>
        <w:t>)</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w:t>
      </w:r>
      <w:r w:rsidR="00811B27">
        <w:rPr>
          <w:rFonts w:ascii="Arial" w:hAnsi="Arial" w:cs="Arial"/>
          <w:sz w:val="24"/>
          <w:szCs w:val="24"/>
        </w:rPr>
        <w:t xml:space="preserve"> i</w:t>
      </w:r>
      <w:r w:rsidR="004C5EE7" w:rsidRPr="00C97934">
        <w:rPr>
          <w:rFonts w:ascii="Arial" w:hAnsi="Arial" w:cs="Arial"/>
          <w:sz w:val="24"/>
          <w:szCs w:val="24"/>
        </w:rPr>
        <w:t xml:space="preserve">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xml:space="preserve">, at the discretion of the </w:t>
      </w:r>
      <w:r w:rsidR="006818D7">
        <w:rPr>
          <w:rFonts w:ascii="Arial" w:hAnsi="Arial" w:cs="Arial"/>
          <w:sz w:val="24"/>
          <w:szCs w:val="24"/>
        </w:rPr>
        <w:t>Office</w:t>
      </w:r>
      <w:r w:rsidR="004C5EE7" w:rsidRPr="00C97934">
        <w:rPr>
          <w:rFonts w:ascii="Arial" w:hAnsi="Arial" w:cs="Arial"/>
          <w:sz w:val="24"/>
          <w:szCs w:val="24"/>
        </w:rPr>
        <w:t>.</w:t>
      </w:r>
    </w:p>
    <w:p w14:paraId="47B05C50" w14:textId="77777777" w:rsidR="00811B27" w:rsidRDefault="00811B27" w:rsidP="002D47F3">
      <w:pPr>
        <w:ind w:left="720"/>
        <w:rPr>
          <w:rFonts w:ascii="Arial" w:hAnsi="Arial" w:cs="Arial"/>
          <w:sz w:val="24"/>
          <w:szCs w:val="24"/>
        </w:rPr>
        <w:sectPr w:rsidR="00811B27" w:rsidSect="004B2E65">
          <w:pgSz w:w="12240" w:h="15840" w:code="1"/>
          <w:pgMar w:top="720" w:right="900" w:bottom="990" w:left="1080" w:header="432" w:footer="288" w:gutter="0"/>
          <w:paperSrc w:first="15" w:other="15"/>
          <w:cols w:space="720"/>
          <w:docGrid w:linePitch="360"/>
        </w:sectPr>
      </w:pPr>
    </w:p>
    <w:p w14:paraId="207FF6DB" w14:textId="040BFC44" w:rsidR="004C5EE7" w:rsidRDefault="00DA696C" w:rsidP="002D47F3">
      <w:pPr>
        <w:ind w:left="720"/>
        <w:rPr>
          <w:rFonts w:ascii="Arial" w:hAnsi="Arial" w:cs="Arial"/>
          <w:sz w:val="24"/>
          <w:szCs w:val="24"/>
        </w:rPr>
      </w:pPr>
      <w:r>
        <w:rPr>
          <w:rFonts w:ascii="Arial" w:hAnsi="Arial" w:cs="Arial"/>
          <w:sz w:val="24"/>
          <w:szCs w:val="24"/>
        </w:rPr>
        <w:t xml:space="preserve">Bidders must complete a cost proposal form for one or both of the General Service Area </w:t>
      </w:r>
      <w:r>
        <w:rPr>
          <w:rFonts w:ascii="Arial" w:hAnsi="Arial" w:cs="Arial"/>
          <w:sz w:val="24"/>
          <w:szCs w:val="24"/>
        </w:rPr>
        <w:lastRenderedPageBreak/>
        <w:t>they are submitting a response:</w:t>
      </w:r>
    </w:p>
    <w:p w14:paraId="166D8ACE" w14:textId="77777777" w:rsidR="00DA696C" w:rsidRDefault="00DA696C" w:rsidP="00B315FA">
      <w:pPr>
        <w:ind w:left="720"/>
        <w:rPr>
          <w:rFonts w:ascii="Arial" w:hAnsi="Arial" w:cs="Arial"/>
          <w:sz w:val="24"/>
          <w:szCs w:val="24"/>
        </w:rPr>
      </w:pPr>
    </w:p>
    <w:p w14:paraId="5B8C7FD6" w14:textId="6A9E8A14" w:rsidR="00DA696C" w:rsidRDefault="00DA696C" w:rsidP="00DA696C">
      <w:pPr>
        <w:pStyle w:val="ListParagraph"/>
        <w:numPr>
          <w:ilvl w:val="1"/>
          <w:numId w:val="47"/>
        </w:numPr>
        <w:ind w:left="1080"/>
        <w:rPr>
          <w:rFonts w:ascii="Arial" w:hAnsi="Arial" w:cs="Arial"/>
          <w:sz w:val="24"/>
          <w:szCs w:val="24"/>
        </w:rPr>
      </w:pPr>
      <w:r>
        <w:rPr>
          <w:rFonts w:ascii="Arial" w:hAnsi="Arial" w:cs="Arial"/>
          <w:sz w:val="24"/>
          <w:szCs w:val="24"/>
        </w:rPr>
        <w:t xml:space="preserve">Bidders submitting a proposal for </w:t>
      </w:r>
      <w:r>
        <w:rPr>
          <w:rFonts w:ascii="Arial" w:hAnsi="Arial" w:cs="Arial"/>
          <w:b/>
          <w:bCs/>
          <w:sz w:val="24"/>
          <w:szCs w:val="24"/>
        </w:rPr>
        <w:t>General Service Area 1</w:t>
      </w:r>
      <w:r w:rsidR="002D47F3">
        <w:rPr>
          <w:rFonts w:ascii="Arial" w:hAnsi="Arial" w:cs="Arial"/>
          <w:b/>
          <w:bCs/>
          <w:sz w:val="24"/>
          <w:szCs w:val="24"/>
        </w:rPr>
        <w:t xml:space="preserve"> (Part II A.1)</w:t>
      </w:r>
      <w:r>
        <w:rPr>
          <w:rFonts w:ascii="Arial" w:hAnsi="Arial" w:cs="Arial"/>
          <w:b/>
          <w:bCs/>
          <w:sz w:val="24"/>
          <w:szCs w:val="24"/>
        </w:rPr>
        <w:t xml:space="preserve">: </w:t>
      </w:r>
      <w:r w:rsidRPr="00321EBC">
        <w:rPr>
          <w:rFonts w:ascii="Arial" w:hAnsi="Arial" w:cs="Arial"/>
          <w:sz w:val="24"/>
          <w:szCs w:val="24"/>
        </w:rPr>
        <w:t>Gas Local Distribution Company (LDC) Rate Cases</w:t>
      </w:r>
      <w:r>
        <w:rPr>
          <w:rFonts w:ascii="Arial" w:hAnsi="Arial" w:cs="Arial"/>
          <w:sz w:val="24"/>
          <w:szCs w:val="24"/>
        </w:rPr>
        <w:t xml:space="preserve"> before the PUC must complete </w:t>
      </w:r>
      <w:r>
        <w:rPr>
          <w:rFonts w:ascii="Arial" w:hAnsi="Arial" w:cs="Arial"/>
          <w:b/>
          <w:bCs/>
          <w:sz w:val="24"/>
          <w:szCs w:val="24"/>
        </w:rPr>
        <w:t>Appendix D</w:t>
      </w:r>
      <w:r>
        <w:rPr>
          <w:rFonts w:ascii="Arial" w:hAnsi="Arial" w:cs="Arial"/>
          <w:sz w:val="24"/>
          <w:szCs w:val="24"/>
        </w:rPr>
        <w:t>.</w:t>
      </w:r>
    </w:p>
    <w:p w14:paraId="0DD0085B" w14:textId="77777777" w:rsidR="00461D94" w:rsidRDefault="00461D94" w:rsidP="00C46D4C">
      <w:pPr>
        <w:pStyle w:val="ListParagraph"/>
        <w:ind w:left="1080"/>
        <w:rPr>
          <w:rFonts w:ascii="Arial" w:hAnsi="Arial" w:cs="Arial"/>
          <w:sz w:val="24"/>
          <w:szCs w:val="24"/>
        </w:rPr>
      </w:pPr>
    </w:p>
    <w:p w14:paraId="4823DDF6" w14:textId="0C1DF529" w:rsidR="00DA696C" w:rsidRPr="00C46D4C" w:rsidRDefault="00DA696C" w:rsidP="00C46D4C">
      <w:pPr>
        <w:pStyle w:val="ListParagraph"/>
        <w:numPr>
          <w:ilvl w:val="1"/>
          <w:numId w:val="47"/>
        </w:numPr>
        <w:ind w:left="1080"/>
        <w:rPr>
          <w:rFonts w:ascii="Arial" w:hAnsi="Arial" w:cs="Arial"/>
          <w:sz w:val="24"/>
          <w:szCs w:val="24"/>
        </w:rPr>
      </w:pPr>
      <w:r>
        <w:rPr>
          <w:rFonts w:ascii="Arial" w:hAnsi="Arial" w:cs="Arial"/>
          <w:sz w:val="24"/>
          <w:szCs w:val="24"/>
        </w:rPr>
        <w:t xml:space="preserve">Bidders submitting a proposal for </w:t>
      </w:r>
      <w:r>
        <w:rPr>
          <w:rFonts w:ascii="Arial" w:hAnsi="Arial" w:cs="Arial"/>
          <w:b/>
          <w:bCs/>
          <w:sz w:val="24"/>
          <w:szCs w:val="24"/>
        </w:rPr>
        <w:t>General Service Area 2</w:t>
      </w:r>
      <w:r w:rsidR="002D47F3">
        <w:rPr>
          <w:rFonts w:ascii="Arial" w:hAnsi="Arial" w:cs="Arial"/>
          <w:b/>
          <w:bCs/>
          <w:sz w:val="24"/>
          <w:szCs w:val="24"/>
        </w:rPr>
        <w:t xml:space="preserve"> (Part II A.2)</w:t>
      </w:r>
      <w:r>
        <w:rPr>
          <w:rFonts w:ascii="Arial" w:hAnsi="Arial" w:cs="Arial"/>
          <w:b/>
          <w:bCs/>
          <w:sz w:val="24"/>
          <w:szCs w:val="24"/>
        </w:rPr>
        <w:t>:</w:t>
      </w:r>
      <w:r>
        <w:rPr>
          <w:rFonts w:ascii="Arial" w:hAnsi="Arial" w:cs="Arial"/>
          <w:sz w:val="24"/>
          <w:szCs w:val="24"/>
        </w:rPr>
        <w:t xml:space="preserve"> </w:t>
      </w:r>
      <w:r w:rsidR="00A67FDB" w:rsidRPr="00321EBC">
        <w:rPr>
          <w:rFonts w:ascii="Arial" w:hAnsi="Arial" w:cs="Arial"/>
          <w:sz w:val="24"/>
          <w:szCs w:val="24"/>
        </w:rPr>
        <w:t xml:space="preserve">Cost of Gas (COG) proceedings </w:t>
      </w:r>
      <w:r w:rsidR="00A67FDB">
        <w:rPr>
          <w:rFonts w:ascii="Arial" w:hAnsi="Arial" w:cs="Arial"/>
          <w:sz w:val="24"/>
          <w:szCs w:val="24"/>
        </w:rPr>
        <w:t xml:space="preserve">and proceedings related to approval of gas transportation agreements before the PUC, as well as </w:t>
      </w:r>
      <w:r w:rsidR="00A67FDB" w:rsidRPr="00043FBD">
        <w:rPr>
          <w:rFonts w:ascii="Arial" w:hAnsi="Arial" w:cs="Arial"/>
          <w:sz w:val="24"/>
          <w:szCs w:val="24"/>
        </w:rPr>
        <w:t xml:space="preserve">proceedings before the PUC and FERC concerning both questions of </w:t>
      </w:r>
      <w:r w:rsidR="00A67FDB">
        <w:rPr>
          <w:rFonts w:ascii="Arial" w:hAnsi="Arial" w:cs="Arial"/>
          <w:sz w:val="24"/>
          <w:szCs w:val="24"/>
        </w:rPr>
        <w:t xml:space="preserve">gas transportation, </w:t>
      </w:r>
      <w:r w:rsidR="00A67FDB" w:rsidRPr="00043FBD">
        <w:rPr>
          <w:rFonts w:ascii="Arial" w:hAnsi="Arial" w:cs="Arial"/>
          <w:sz w:val="24"/>
          <w:szCs w:val="24"/>
        </w:rPr>
        <w:t>gas pricing and gas policy</w:t>
      </w:r>
      <w:r w:rsidR="00A67FDB">
        <w:rPr>
          <w:rFonts w:ascii="Arial" w:hAnsi="Arial" w:cs="Arial"/>
          <w:sz w:val="24"/>
          <w:szCs w:val="24"/>
        </w:rPr>
        <w:t xml:space="preserve"> must complete </w:t>
      </w:r>
      <w:r w:rsidR="00A67FDB">
        <w:rPr>
          <w:rFonts w:ascii="Arial" w:hAnsi="Arial" w:cs="Arial"/>
          <w:b/>
          <w:bCs/>
          <w:sz w:val="24"/>
          <w:szCs w:val="24"/>
        </w:rPr>
        <w:t>Appendix E</w:t>
      </w:r>
      <w:r w:rsidR="00A67FDB">
        <w:rPr>
          <w:rFonts w:ascii="Arial" w:hAnsi="Arial" w:cs="Arial"/>
          <w:sz w:val="24"/>
          <w:szCs w:val="24"/>
        </w:rPr>
        <w: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8EA0FE6"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The </w:t>
      </w:r>
      <w:r w:rsidR="006818D7">
        <w:rPr>
          <w:rFonts w:ascii="Arial" w:hAnsi="Arial" w:cs="Arial"/>
          <w:sz w:val="24"/>
          <w:szCs w:val="24"/>
        </w:rPr>
        <w:t>Office</w:t>
      </w:r>
      <w:r w:rsidRPr="00C97934">
        <w:rPr>
          <w:rFonts w:ascii="Arial" w:hAnsi="Arial" w:cs="Arial"/>
          <w:sz w:val="24"/>
          <w:szCs w:val="24"/>
        </w:rPr>
        <w:t xml:space="preserve">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w:t>
      </w:r>
      <w:r w:rsidR="006818D7">
        <w:rPr>
          <w:rFonts w:ascii="Arial" w:hAnsi="Arial" w:cs="Arial"/>
          <w:sz w:val="24"/>
          <w:szCs w:val="24"/>
        </w:rPr>
        <w:t>Office</w:t>
      </w:r>
      <w:r w:rsidRPr="00C97934">
        <w:rPr>
          <w:rFonts w:ascii="Arial" w:hAnsi="Arial" w:cs="Arial"/>
          <w:sz w:val="24"/>
          <w:szCs w:val="24"/>
        </w:rPr>
        <w:t xml:space="preserve">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6103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6103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150BE4F2"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6103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3B5E7D1F" w:rsidR="00600F4C" w:rsidRPr="00322A82" w:rsidRDefault="00D33B1A" w:rsidP="00623B25">
            <w:pPr>
              <w:jc w:val="center"/>
              <w:rPr>
                <w:rFonts w:ascii="Arial" w:hAnsi="Arial" w:cs="Arial"/>
                <w:b/>
                <w:sz w:val="24"/>
                <w:szCs w:val="24"/>
              </w:rPr>
            </w:pPr>
            <w:r>
              <w:rPr>
                <w:rFonts w:ascii="Arial" w:hAnsi="Arial" w:cs="Arial"/>
                <w:b/>
                <w:sz w:val="24"/>
                <w:szCs w:val="24"/>
              </w:rPr>
              <w:t>40</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61030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6103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2A2F7118" w:rsidR="00600F4C" w:rsidRPr="00322A82" w:rsidRDefault="00D33B1A" w:rsidP="00623B25">
            <w:pPr>
              <w:jc w:val="center"/>
              <w:rPr>
                <w:rFonts w:ascii="Arial" w:hAnsi="Arial" w:cs="Arial"/>
                <w:sz w:val="24"/>
                <w:szCs w:val="24"/>
              </w:rPr>
            </w:pPr>
            <w:r>
              <w:rPr>
                <w:rFonts w:ascii="Arial" w:hAnsi="Arial" w:cs="Arial"/>
                <w:b/>
                <w:sz w:val="24"/>
                <w:szCs w:val="24"/>
              </w:rPr>
              <w:t>30</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6103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6103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53E87EC" w:rsidR="00600F4C" w:rsidRPr="00322A82" w:rsidRDefault="00D33B1A" w:rsidP="00623B25">
            <w:pPr>
              <w:jc w:val="center"/>
              <w:rPr>
                <w:rFonts w:ascii="Arial" w:hAnsi="Arial" w:cs="Arial"/>
                <w:b/>
                <w:sz w:val="24"/>
                <w:szCs w:val="24"/>
              </w:rPr>
            </w:pPr>
            <w:r>
              <w:rPr>
                <w:rFonts w:ascii="Arial" w:hAnsi="Arial" w:cs="Arial"/>
                <w:b/>
                <w:sz w:val="24"/>
                <w:szCs w:val="24"/>
              </w:rPr>
              <w:t>30</w:t>
            </w:r>
            <w:r w:rsidR="00E95DD0" w:rsidRPr="00322A82">
              <w:rPr>
                <w:rFonts w:ascii="Arial" w:hAnsi="Arial" w:cs="Arial"/>
                <w:b/>
                <w:color w:val="FF0000"/>
                <w:sz w:val="24"/>
                <w:szCs w:val="24"/>
              </w:rPr>
              <w:t xml:space="preserve"> </w:t>
            </w:r>
            <w:r w:rsidR="00E95DD0"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926E431"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D33B1A" w:rsidRPr="00D33B1A">
        <w:rPr>
          <w:rFonts w:ascii="Arial" w:hAnsi="Arial" w:cs="Arial"/>
          <w:sz w:val="24"/>
          <w:szCs w:val="24"/>
          <w:u w:val="single"/>
        </w:rPr>
        <w:t>3</w:t>
      </w:r>
      <w:r w:rsidR="0086437D">
        <w:rPr>
          <w:rFonts w:ascii="Arial" w:hAnsi="Arial" w:cs="Arial"/>
          <w:sz w:val="24"/>
          <w:szCs w:val="24"/>
          <w:u w:val="single"/>
        </w:rPr>
        <w:t>0 p</w:t>
      </w:r>
      <w:r w:rsidRPr="00C97934">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2B56F608"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86437D">
        <w:rPr>
          <w:rFonts w:ascii="Arial" w:hAnsi="Arial" w:cs="Arial"/>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18842919"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 xml:space="preserve">The </w:t>
      </w:r>
      <w:r w:rsidR="006818D7">
        <w:rPr>
          <w:rFonts w:ascii="Arial" w:hAnsi="Arial" w:cs="Arial"/>
          <w:sz w:val="24"/>
          <w:szCs w:val="24"/>
        </w:rPr>
        <w:t>Office</w:t>
      </w:r>
      <w:r w:rsidR="00351845" w:rsidRPr="00C97934">
        <w:rPr>
          <w:rFonts w:ascii="Arial" w:hAnsi="Arial" w:cs="Arial"/>
          <w:sz w:val="24"/>
          <w:szCs w:val="24"/>
        </w:rPr>
        <w:t xml:space="preserve">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w:t>
      </w:r>
      <w:r w:rsidR="006818D7">
        <w:rPr>
          <w:rFonts w:ascii="Arial" w:hAnsi="Arial" w:cs="Arial"/>
          <w:sz w:val="24"/>
          <w:szCs w:val="24"/>
        </w:rPr>
        <w:t>Office</w:t>
      </w:r>
      <w:r w:rsidR="00351845" w:rsidRPr="00C97934">
        <w:rPr>
          <w:rFonts w:ascii="Arial" w:hAnsi="Arial" w:cs="Arial"/>
          <w:sz w:val="24"/>
          <w:szCs w:val="24"/>
        </w:rPr>
        <w:t xml:space="preserve">’s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 xml:space="preserve">The </w:t>
      </w:r>
      <w:r w:rsidR="006818D7">
        <w:rPr>
          <w:rFonts w:ascii="Arial" w:hAnsi="Arial" w:cs="Arial"/>
          <w:sz w:val="24"/>
          <w:szCs w:val="24"/>
          <w:u w:val="single"/>
        </w:rPr>
        <w:t>Office</w:t>
      </w:r>
      <w:r w:rsidR="00351845" w:rsidRPr="00C97934">
        <w:rPr>
          <w:rFonts w:ascii="Arial" w:hAnsi="Arial" w:cs="Arial"/>
          <w:sz w:val="24"/>
          <w:szCs w:val="24"/>
          <w:u w:val="single"/>
        </w:rPr>
        <w:t xml:space="preserve">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w:t>
      </w:r>
      <w:r w:rsidR="006818D7">
        <w:rPr>
          <w:rFonts w:ascii="Arial" w:hAnsi="Arial" w:cs="Arial"/>
          <w:sz w:val="24"/>
          <w:szCs w:val="24"/>
        </w:rPr>
        <w:t>Office</w:t>
      </w:r>
      <w:r w:rsidR="000E1682" w:rsidRPr="00C97934">
        <w:rPr>
          <w:rFonts w:ascii="Arial" w:hAnsi="Arial" w:cs="Arial"/>
          <w:sz w:val="24"/>
          <w:szCs w:val="24"/>
        </w:rPr>
        <w:t xml:space="preserve">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w:t>
      </w:r>
      <w:r w:rsidR="006818D7">
        <w:rPr>
          <w:rFonts w:ascii="Arial" w:hAnsi="Arial" w:cs="Arial"/>
          <w:sz w:val="24"/>
          <w:szCs w:val="24"/>
        </w:rPr>
        <w:t>Office</w:t>
      </w:r>
      <w:r w:rsidR="00AA75AC" w:rsidRPr="00C97934">
        <w:rPr>
          <w:rFonts w:ascii="Arial" w:hAnsi="Arial" w:cs="Arial"/>
          <w:sz w:val="24"/>
          <w:szCs w:val="24"/>
        </w:rPr>
        <w:t xml:space="preserve">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4A13BA7E"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The final decision regarding the award of the contract will be made by representatives of the </w:t>
      </w:r>
      <w:r w:rsidR="006818D7">
        <w:rPr>
          <w:rFonts w:ascii="Arial" w:hAnsi="Arial" w:cs="Arial"/>
          <w:sz w:val="24"/>
          <w:szCs w:val="24"/>
        </w:rPr>
        <w:t>Office</w:t>
      </w:r>
      <w:r w:rsidRPr="00C97934">
        <w:rPr>
          <w:rFonts w:ascii="Arial" w:hAnsi="Arial" w:cs="Arial"/>
          <w:sz w:val="24"/>
          <w:szCs w:val="24"/>
        </w:rPr>
        <w:t xml:space="preserve">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2A8CF999"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w:t>
      </w:r>
      <w:r w:rsidR="006818D7">
        <w:rPr>
          <w:rFonts w:ascii="Arial" w:hAnsi="Arial" w:cs="Arial"/>
          <w:sz w:val="24"/>
          <w:szCs w:val="24"/>
        </w:rPr>
        <w:t>Office</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78A2B2C"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w:t>
      </w:r>
      <w:r w:rsidR="006818D7">
        <w:rPr>
          <w:rFonts w:ascii="Arial" w:hAnsi="Arial" w:cs="Arial"/>
          <w:sz w:val="24"/>
          <w:szCs w:val="24"/>
          <w:u w:val="single"/>
        </w:rPr>
        <w:t>Office</w:t>
      </w:r>
      <w:r w:rsidRPr="00C97934">
        <w:rPr>
          <w:rFonts w:ascii="Arial" w:hAnsi="Arial" w:cs="Arial"/>
          <w:sz w:val="24"/>
          <w:szCs w:val="24"/>
          <w:u w:val="single"/>
        </w:rPr>
        <w:t xml:space="preserve">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7756962C"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86437D">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51357A43"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w:t>
      </w:r>
      <w:r w:rsidR="006818D7">
        <w:rPr>
          <w:rStyle w:val="InitialStyle"/>
          <w:rFonts w:ascii="Arial" w:hAnsi="Arial" w:cs="Arial"/>
          <w:iCs/>
          <w:sz w:val="24"/>
          <w:szCs w:val="24"/>
        </w:rPr>
        <w:t>Office</w:t>
      </w:r>
      <w:r w:rsidR="005D78B4" w:rsidRPr="00C97934">
        <w:rPr>
          <w:rStyle w:val="InitialStyle"/>
          <w:rFonts w:ascii="Arial" w:hAnsi="Arial" w:cs="Arial"/>
          <w:iCs/>
          <w:sz w:val="24"/>
          <w:szCs w:val="24"/>
        </w:rPr>
        <w:t xml:space="preserve">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1CF20CE2"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w:t>
      </w:r>
      <w:r w:rsidR="006818D7">
        <w:rPr>
          <w:rFonts w:ascii="Arial" w:hAnsi="Arial" w:cs="Arial"/>
          <w:sz w:val="24"/>
          <w:szCs w:val="24"/>
        </w:rPr>
        <w:t>Office</w:t>
      </w:r>
      <w:r w:rsidR="00E82FB4" w:rsidRPr="00C97934">
        <w:rPr>
          <w:rFonts w:ascii="Arial" w:hAnsi="Arial" w:cs="Arial"/>
          <w:sz w:val="24"/>
          <w:szCs w:val="24"/>
        </w:rPr>
        <w:t xml:space="preserve">’s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30E70E2A"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w:t>
      </w:r>
      <w:r w:rsidR="006818D7">
        <w:rPr>
          <w:rFonts w:ascii="Arial" w:hAnsi="Arial" w:cs="Arial"/>
          <w:sz w:val="24"/>
          <w:szCs w:val="24"/>
        </w:rPr>
        <w:t>Office</w:t>
      </w:r>
      <w:r w:rsidRPr="00C97934">
        <w:rPr>
          <w:rFonts w:ascii="Arial" w:hAnsi="Arial" w:cs="Arial"/>
          <w:sz w:val="24"/>
          <w:szCs w:val="24"/>
        </w:rPr>
        <w:t xml:space="preserve">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006818D7">
        <w:rPr>
          <w:rFonts w:ascii="Arial" w:hAnsi="Arial" w:cs="Arial"/>
          <w:sz w:val="24"/>
          <w:szCs w:val="24"/>
        </w:rPr>
        <w:t>Office</w:t>
      </w:r>
      <w:r w:rsidRPr="00C97934">
        <w:rPr>
          <w:rFonts w:ascii="Arial" w:hAnsi="Arial" w:cs="Arial"/>
          <w:sz w:val="24"/>
          <w:szCs w:val="24"/>
        </w:rPr>
        <w:t xml:space="preserve">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Default="00C11E87" w:rsidP="00B315FA">
      <w:pPr>
        <w:ind w:left="720"/>
        <w:rPr>
          <w:rFonts w:ascii="Arial" w:hAnsi="Arial" w:cs="Arial"/>
          <w:sz w:val="24"/>
          <w:szCs w:val="24"/>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64188B6B" w14:textId="77777777" w:rsidR="0086437D" w:rsidRDefault="0086437D" w:rsidP="00B315FA">
      <w:pPr>
        <w:ind w:left="720"/>
        <w:rPr>
          <w:rFonts w:ascii="Arial" w:hAnsi="Arial" w:cs="Arial"/>
          <w:sz w:val="24"/>
          <w:szCs w:val="24"/>
        </w:rPr>
      </w:pPr>
    </w:p>
    <w:p w14:paraId="5EB6BF38" w14:textId="49D6D795" w:rsidR="0086437D" w:rsidRPr="00351B8A" w:rsidRDefault="0086437D" w:rsidP="0086437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51B8A">
        <w:rPr>
          <w:rStyle w:val="InitialStyle"/>
          <w:rFonts w:ascii="Arial" w:hAnsi="Arial" w:cs="Arial"/>
        </w:rPr>
        <w:lastRenderedPageBreak/>
        <w:t>Vendor will provide the Office with an estimated annual budget for the next renewal period</w:t>
      </w:r>
      <w:r w:rsidR="006419D3" w:rsidRPr="00351B8A">
        <w:rPr>
          <w:rStyle w:val="InitialStyle"/>
          <w:rFonts w:ascii="Arial" w:hAnsi="Arial" w:cs="Arial"/>
        </w:rPr>
        <w:t xml:space="preserve"> (Part I.C)</w:t>
      </w:r>
      <w:r w:rsidRPr="00351B8A">
        <w:rPr>
          <w:rStyle w:val="InitialStyle"/>
          <w:rFonts w:ascii="Arial" w:hAnsi="Arial" w:cs="Arial"/>
        </w:rPr>
        <w:t xml:space="preserve"> by </w:t>
      </w:r>
      <w:r w:rsidR="006419D3" w:rsidRPr="00351B8A">
        <w:rPr>
          <w:rStyle w:val="InitialStyle"/>
          <w:rFonts w:ascii="Arial" w:hAnsi="Arial" w:cs="Arial"/>
        </w:rPr>
        <w:t>June</w:t>
      </w:r>
      <w:r w:rsidRPr="00351B8A">
        <w:rPr>
          <w:rStyle w:val="InitialStyle"/>
          <w:rFonts w:ascii="Arial" w:hAnsi="Arial" w:cs="Arial"/>
        </w:rPr>
        <w:t xml:space="preserve"> 1</w:t>
      </w:r>
      <w:r w:rsidRPr="00351B8A">
        <w:rPr>
          <w:rStyle w:val="InitialStyle"/>
          <w:rFonts w:ascii="Arial" w:hAnsi="Arial" w:cs="Arial"/>
          <w:vertAlign w:val="superscript"/>
        </w:rPr>
        <w:t>st</w:t>
      </w:r>
      <w:r w:rsidRPr="00351B8A">
        <w:rPr>
          <w:rStyle w:val="InitialStyle"/>
          <w:rFonts w:ascii="Arial" w:hAnsi="Arial" w:cs="Arial"/>
        </w:rPr>
        <w:t>.</w:t>
      </w:r>
    </w:p>
    <w:p w14:paraId="23D2B843" w14:textId="77777777" w:rsidR="0086437D" w:rsidRPr="00351B8A" w:rsidRDefault="0086437D" w:rsidP="0086437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65F3B1E9" w14:textId="77777777" w:rsidR="0086437D" w:rsidRPr="00043FBD" w:rsidRDefault="0086437D" w:rsidP="0086437D">
      <w:pPr>
        <w:ind w:left="720"/>
        <w:rPr>
          <w:rStyle w:val="InitialStyle"/>
          <w:rFonts w:ascii="Arial" w:hAnsi="Arial" w:cs="Arial"/>
          <w:bCs/>
          <w:sz w:val="24"/>
          <w:szCs w:val="24"/>
        </w:rPr>
      </w:pPr>
      <w:r w:rsidRPr="00351B8A">
        <w:rPr>
          <w:rStyle w:val="InitialStyle"/>
          <w:rFonts w:ascii="Arial" w:hAnsi="Arial" w:cs="Arial"/>
          <w:bCs/>
          <w:sz w:val="24"/>
          <w:szCs w:val="24"/>
        </w:rPr>
        <w:t>Vendor shall provide at least one month’s notification to the Office by email to the Program Administrator when the balance remaining on the contract goes below $5,000.</w:t>
      </w:r>
    </w:p>
    <w:p w14:paraId="29F96A93" w14:textId="04D6D074" w:rsidR="0086437D" w:rsidRPr="00C97934" w:rsidRDefault="0086437D" w:rsidP="0086437D">
      <w:pPr>
        <w:widowControl/>
        <w:autoSpaceDE/>
        <w:autoSpaceDN/>
        <w:rPr>
          <w:rStyle w:val="InitialStyle"/>
          <w:rFonts w:ascii="Arial" w:hAnsi="Arial" w:cs="Arial"/>
        </w:rPr>
      </w:pPr>
      <w:r w:rsidRPr="00043FBD">
        <w:rPr>
          <w:rStyle w:val="InitialStyle"/>
          <w:rFonts w:ascii="Arial" w:hAnsi="Arial" w:cs="Arial"/>
        </w:rPr>
        <w:br w:type="page"/>
      </w:r>
    </w:p>
    <w:p w14:paraId="15BDF13B" w14:textId="0174C40C" w:rsidR="00E82FB4" w:rsidRPr="00C97934" w:rsidRDefault="006C712B" w:rsidP="0086437D">
      <w:pPr>
        <w:widowControl/>
        <w:autoSpaceDE/>
        <w:autoSpaceDN/>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2DE15712"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r w:rsidR="006419D3">
        <w:rPr>
          <w:rFonts w:ascii="Arial" w:hAnsi="Arial" w:cs="Arial"/>
          <w:sz w:val="24"/>
          <w:szCs w:val="24"/>
        </w:rPr>
        <w:t>, General Service Area 1</w:t>
      </w:r>
    </w:p>
    <w:p w14:paraId="3AEB47EC" w14:textId="77777777" w:rsidR="007D618A" w:rsidRPr="00C97934" w:rsidRDefault="007D618A" w:rsidP="00F45229">
      <w:pPr>
        <w:pStyle w:val="ListParagraph"/>
        <w:ind w:left="180"/>
        <w:rPr>
          <w:rFonts w:ascii="Arial" w:hAnsi="Arial" w:cs="Arial"/>
          <w:sz w:val="24"/>
          <w:szCs w:val="24"/>
          <w:u w:val="single"/>
        </w:rPr>
      </w:pPr>
    </w:p>
    <w:p w14:paraId="657DD189" w14:textId="355631EA" w:rsidR="006419D3" w:rsidRPr="000B6A6E" w:rsidRDefault="000C513C" w:rsidP="006419D3">
      <w:pPr>
        <w:tabs>
          <w:tab w:val="left" w:pos="1080"/>
        </w:tabs>
        <w:ind w:left="180"/>
        <w:rPr>
          <w:rFonts w:ascii="Arial" w:hAnsi="Arial" w:cs="Arial"/>
          <w:sz w:val="24"/>
          <w:szCs w:val="24"/>
          <w:u w:val="single"/>
        </w:rPr>
      </w:pPr>
      <w:r w:rsidRPr="00C97934">
        <w:rPr>
          <w:rFonts w:ascii="Arial" w:hAnsi="Arial" w:cs="Arial"/>
          <w:b/>
          <w:sz w:val="24"/>
          <w:szCs w:val="24"/>
        </w:rPr>
        <w:t>Appendix E</w:t>
      </w:r>
      <w:r w:rsidR="007D618A" w:rsidRPr="00C97934">
        <w:rPr>
          <w:rFonts w:ascii="Arial" w:hAnsi="Arial" w:cs="Arial"/>
          <w:sz w:val="24"/>
          <w:szCs w:val="24"/>
        </w:rPr>
        <w:t xml:space="preserve"> – </w:t>
      </w:r>
      <w:r w:rsidR="006419D3" w:rsidRPr="00C97934">
        <w:rPr>
          <w:rFonts w:ascii="Arial" w:hAnsi="Arial" w:cs="Arial"/>
          <w:sz w:val="24"/>
          <w:szCs w:val="24"/>
        </w:rPr>
        <w:t>Cost Proposal Form</w:t>
      </w:r>
      <w:r w:rsidR="006419D3">
        <w:rPr>
          <w:rFonts w:ascii="Arial" w:hAnsi="Arial" w:cs="Arial"/>
          <w:sz w:val="24"/>
          <w:szCs w:val="24"/>
        </w:rPr>
        <w:t>, General Service Area 2</w:t>
      </w:r>
    </w:p>
    <w:p w14:paraId="0BBB52CA" w14:textId="77777777" w:rsidR="006419D3" w:rsidRDefault="006419D3" w:rsidP="00F45229">
      <w:pPr>
        <w:tabs>
          <w:tab w:val="left" w:pos="1080"/>
        </w:tabs>
        <w:ind w:left="180"/>
        <w:rPr>
          <w:rFonts w:ascii="Arial" w:hAnsi="Arial" w:cs="Arial"/>
          <w:sz w:val="24"/>
          <w:szCs w:val="24"/>
        </w:rPr>
      </w:pPr>
    </w:p>
    <w:p w14:paraId="6F330904" w14:textId="13E6D18C" w:rsidR="007D618A" w:rsidRPr="00C97934" w:rsidRDefault="006419D3" w:rsidP="00F45229">
      <w:pPr>
        <w:tabs>
          <w:tab w:val="left" w:pos="1080"/>
        </w:tabs>
        <w:ind w:left="180"/>
        <w:rPr>
          <w:rFonts w:ascii="Arial" w:hAnsi="Arial" w:cs="Arial"/>
          <w:sz w:val="24"/>
          <w:szCs w:val="24"/>
        </w:rPr>
      </w:pPr>
      <w:r>
        <w:rPr>
          <w:rFonts w:ascii="Arial" w:hAnsi="Arial" w:cs="Arial"/>
          <w:b/>
          <w:bCs/>
          <w:sz w:val="24"/>
          <w:szCs w:val="24"/>
        </w:rPr>
        <w:t xml:space="preserve">Appendix </w:t>
      </w:r>
      <w:r w:rsidR="00B64EF7">
        <w:rPr>
          <w:rFonts w:ascii="Arial" w:hAnsi="Arial" w:cs="Arial"/>
          <w:b/>
          <w:bCs/>
          <w:sz w:val="24"/>
          <w:szCs w:val="24"/>
        </w:rPr>
        <w:t>F</w:t>
      </w:r>
      <w:r>
        <w:rPr>
          <w:rFonts w:ascii="Arial" w:hAnsi="Arial" w:cs="Arial"/>
          <w:b/>
          <w:bCs/>
          <w:sz w:val="24"/>
          <w:szCs w:val="24"/>
        </w:rPr>
        <w:t xml:space="preserve"> </w:t>
      </w:r>
      <w:r w:rsidRPr="00C97934">
        <w:rPr>
          <w:rFonts w:ascii="Arial" w:hAnsi="Arial" w:cs="Arial"/>
          <w:sz w:val="24"/>
          <w:szCs w:val="24"/>
        </w:rPr>
        <w:t>–</w:t>
      </w:r>
      <w:r>
        <w:rPr>
          <w:rFonts w:ascii="Arial" w:hAnsi="Arial" w:cs="Arial"/>
          <w:b/>
          <w:bCs/>
          <w:sz w:val="24"/>
          <w:szCs w:val="24"/>
        </w:rPr>
        <w:t xml:space="preserve"> </w:t>
      </w:r>
      <w:r w:rsidR="007D618A" w:rsidRPr="00C97934">
        <w:rPr>
          <w:rFonts w:ascii="Arial" w:hAnsi="Arial" w:cs="Arial"/>
          <w:sz w:val="24"/>
          <w:szCs w:val="24"/>
        </w:rPr>
        <w:t>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CD97760" w:rsidR="00221A14" w:rsidRPr="00C97934" w:rsidRDefault="00AF7998" w:rsidP="00221A14">
      <w:pPr>
        <w:jc w:val="center"/>
        <w:rPr>
          <w:rFonts w:ascii="Arial" w:hAnsi="Arial" w:cs="Arial"/>
          <w:b/>
          <w:color w:val="FF0000"/>
          <w:sz w:val="28"/>
          <w:szCs w:val="28"/>
        </w:rPr>
      </w:pPr>
      <w:r>
        <w:rPr>
          <w:rFonts w:ascii="Arial" w:hAnsi="Arial" w:cs="Arial"/>
          <w:b/>
          <w:sz w:val="28"/>
          <w:szCs w:val="28"/>
        </w:rPr>
        <w:t>Office of the Public Advocate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9C70D5B"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361C45" w:rsidRPr="00361C45">
        <w:rPr>
          <w:rFonts w:ascii="Arial" w:hAnsi="Arial" w:cs="Arial"/>
          <w:b/>
          <w:bCs/>
          <w:sz w:val="28"/>
          <w:szCs w:val="28"/>
        </w:rPr>
        <w:t>202504057</w:t>
      </w:r>
    </w:p>
    <w:p w14:paraId="198070D2" w14:textId="77777777" w:rsidR="00AF7998" w:rsidRPr="00AF7998" w:rsidRDefault="00AF7998" w:rsidP="00AF7998">
      <w:pPr>
        <w:pStyle w:val="DefaultText"/>
        <w:widowControl/>
        <w:jc w:val="center"/>
        <w:rPr>
          <w:rStyle w:val="InitialStyle"/>
          <w:rFonts w:ascii="Arial" w:hAnsi="Arial" w:cs="Arial"/>
          <w:b/>
          <w:bCs/>
          <w:sz w:val="28"/>
          <w:szCs w:val="28"/>
        </w:rPr>
      </w:pPr>
      <w:r w:rsidRPr="00AF7998">
        <w:rPr>
          <w:rStyle w:val="InitialStyle"/>
          <w:rFonts w:ascii="Arial" w:hAnsi="Arial" w:cs="Arial"/>
          <w:b/>
          <w:bCs/>
          <w:sz w:val="28"/>
          <w:szCs w:val="28"/>
        </w:rPr>
        <w:t>Natural Gas Consultant for the Maine Public Advocate</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3559FEB8"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r w:rsidR="006818D7">
        <w:rPr>
          <w:rFonts w:ascii="Arial" w:hAnsi="Arial" w:cs="Arial"/>
          <w:sz w:val="24"/>
          <w:szCs w:val="24"/>
        </w:rPr>
        <w:t>Office</w:t>
      </w:r>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4FCA6CB6"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w:t>
      </w:r>
      <w:r w:rsidR="006818D7">
        <w:rPr>
          <w:rFonts w:ascii="Arial" w:hAnsi="Arial" w:cs="Arial"/>
          <w:sz w:val="24"/>
          <w:szCs w:val="24"/>
        </w:rPr>
        <w:t>Office</w:t>
      </w:r>
      <w:r w:rsidR="00AC4E4D" w:rsidRPr="00C97934">
        <w:rPr>
          <w:rFonts w:ascii="Arial" w:hAnsi="Arial" w:cs="Arial"/>
          <w:sz w:val="24"/>
          <w:szCs w:val="24"/>
        </w:rPr>
        <w:t xml:space="preserve">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05504074" w:rsidR="00A62F45" w:rsidRPr="00C97934" w:rsidRDefault="00AF7998"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799E46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361C45" w:rsidRPr="00361C45">
        <w:rPr>
          <w:rStyle w:val="InitialStyle"/>
          <w:rFonts w:ascii="Arial" w:hAnsi="Arial" w:cs="Arial"/>
          <w:b/>
          <w:bCs/>
          <w:sz w:val="28"/>
          <w:szCs w:val="28"/>
        </w:rPr>
        <w:t>202504057</w:t>
      </w:r>
    </w:p>
    <w:p w14:paraId="72C56234" w14:textId="77777777" w:rsidR="00AF7998" w:rsidRPr="00AF7998" w:rsidRDefault="00AF7998" w:rsidP="00AF7998">
      <w:pPr>
        <w:pStyle w:val="DefaultText"/>
        <w:widowControl/>
        <w:jc w:val="center"/>
        <w:rPr>
          <w:rStyle w:val="InitialStyle"/>
          <w:rFonts w:ascii="Arial" w:hAnsi="Arial" w:cs="Arial"/>
          <w:b/>
          <w:bCs/>
          <w:sz w:val="28"/>
          <w:szCs w:val="28"/>
        </w:rPr>
      </w:pPr>
      <w:r w:rsidRPr="00AF7998">
        <w:rPr>
          <w:rStyle w:val="InitialStyle"/>
          <w:rFonts w:ascii="Arial" w:hAnsi="Arial" w:cs="Arial"/>
          <w:b/>
          <w:bCs/>
          <w:sz w:val="28"/>
          <w:szCs w:val="28"/>
        </w:rPr>
        <w:t>Natural Gas Consultant for the Maine Public Advocate</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610300">
      <w:pPr>
        <w:spacing w:after="200"/>
        <w:rPr>
          <w:rFonts w:ascii="Arial" w:hAnsi="Arial" w:cs="Arial"/>
          <w:i/>
          <w:iCs/>
          <w:sz w:val="24"/>
          <w:szCs w:val="24"/>
        </w:rPr>
      </w:pPr>
      <w:bookmarkStart w:id="51"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8"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0"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B87DAD5" w:rsidR="003D5C04" w:rsidRPr="00C97934" w:rsidRDefault="00AF7998"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4F00F229"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361C45" w:rsidRPr="00361C45">
        <w:rPr>
          <w:rStyle w:val="InitialStyle"/>
          <w:rFonts w:ascii="Arial" w:hAnsi="Arial" w:cs="Arial"/>
          <w:b/>
          <w:bCs/>
          <w:sz w:val="28"/>
          <w:szCs w:val="28"/>
        </w:rPr>
        <w:t>202504057</w:t>
      </w:r>
    </w:p>
    <w:p w14:paraId="35E30588" w14:textId="77777777" w:rsidR="00AF7998" w:rsidRPr="00AF7998" w:rsidRDefault="00AF7998" w:rsidP="00AF7998">
      <w:pPr>
        <w:pStyle w:val="DefaultText"/>
        <w:widowControl/>
        <w:jc w:val="center"/>
        <w:rPr>
          <w:rStyle w:val="InitialStyle"/>
          <w:rFonts w:ascii="Arial" w:hAnsi="Arial" w:cs="Arial"/>
          <w:b/>
          <w:bCs/>
          <w:sz w:val="28"/>
          <w:szCs w:val="28"/>
        </w:rPr>
      </w:pPr>
      <w:r w:rsidRPr="00AF7998">
        <w:rPr>
          <w:rStyle w:val="InitialStyle"/>
          <w:rFonts w:ascii="Arial" w:hAnsi="Arial" w:cs="Arial"/>
          <w:b/>
          <w:bCs/>
          <w:sz w:val="28"/>
          <w:szCs w:val="28"/>
        </w:rPr>
        <w:t>Natural Gas Consultant for the Maine Public Advocate</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53" w:name="_Hlk197003847"/>
      <w:bookmarkStart w:id="54" w:name="_Hlk197003734"/>
      <w:bookmarkEnd w:id="52"/>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0A1E71A3" w:rsidR="00221A14" w:rsidRPr="00C97934" w:rsidRDefault="00AF7998" w:rsidP="00221A14">
      <w:pPr>
        <w:jc w:val="center"/>
        <w:rPr>
          <w:rFonts w:ascii="Arial" w:hAnsi="Arial" w:cs="Arial"/>
          <w:b/>
          <w:color w:val="FF0000"/>
          <w:sz w:val="28"/>
          <w:szCs w:val="28"/>
        </w:rPr>
      </w:pPr>
      <w:r>
        <w:rPr>
          <w:rFonts w:ascii="Arial" w:hAnsi="Arial" w:cs="Arial"/>
          <w:b/>
          <w:sz w:val="28"/>
          <w:szCs w:val="28"/>
        </w:rPr>
        <w:t>Office of the Public Advocate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E7B3FD2"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361C45" w:rsidRPr="00361C45">
        <w:rPr>
          <w:rFonts w:ascii="Arial" w:hAnsi="Arial" w:cs="Arial"/>
          <w:b/>
          <w:bCs/>
          <w:sz w:val="28"/>
          <w:szCs w:val="28"/>
        </w:rPr>
        <w:t>202504057</w:t>
      </w:r>
    </w:p>
    <w:p w14:paraId="4CFA2583" w14:textId="77777777" w:rsidR="00AF7998" w:rsidRDefault="00AF7998" w:rsidP="00AF7998">
      <w:pPr>
        <w:pStyle w:val="DefaultText"/>
        <w:widowControl/>
        <w:jc w:val="center"/>
        <w:rPr>
          <w:rStyle w:val="InitialStyle"/>
          <w:rFonts w:ascii="Arial" w:hAnsi="Arial" w:cs="Arial"/>
          <w:b/>
          <w:bCs/>
          <w:sz w:val="28"/>
          <w:szCs w:val="28"/>
        </w:rPr>
      </w:pPr>
      <w:r w:rsidRPr="00AF7998">
        <w:rPr>
          <w:rStyle w:val="InitialStyle"/>
          <w:rFonts w:ascii="Arial" w:hAnsi="Arial" w:cs="Arial"/>
          <w:b/>
          <w:bCs/>
          <w:sz w:val="28"/>
          <w:szCs w:val="28"/>
        </w:rPr>
        <w:t>Natural Gas Consultant for the Maine Public Advocate</w:t>
      </w:r>
    </w:p>
    <w:p w14:paraId="7BCDB4FB" w14:textId="2FB69495" w:rsidR="00F00E95" w:rsidRPr="0044381C" w:rsidRDefault="00F00E95" w:rsidP="00AF7998">
      <w:pPr>
        <w:pStyle w:val="DefaultText"/>
        <w:widowControl/>
        <w:jc w:val="center"/>
        <w:rPr>
          <w:rStyle w:val="InitialStyle"/>
          <w:rFonts w:ascii="Arial" w:hAnsi="Arial" w:cs="Arial"/>
          <w:b/>
          <w:bCs/>
        </w:rPr>
      </w:pPr>
      <w:r w:rsidRPr="0044381C">
        <w:rPr>
          <w:rStyle w:val="InitialStyle"/>
          <w:rFonts w:ascii="Arial" w:hAnsi="Arial" w:cs="Arial"/>
          <w:b/>
          <w:bCs/>
        </w:rPr>
        <w:t>GENERAL SERVICE AREA 1:</w:t>
      </w:r>
      <w:r w:rsidRPr="00F00E95">
        <w:rPr>
          <w:rFonts w:ascii="Arial" w:hAnsi="Arial" w:cs="Arial"/>
        </w:rPr>
        <w:t xml:space="preserve"> Gas Local Distribution Company (LDC) Rate Cases</w:t>
      </w:r>
      <w:r>
        <w:rPr>
          <w:rFonts w:ascii="Arial" w:hAnsi="Arial" w:cs="Arial"/>
        </w:rPr>
        <w:t xml:space="preserve"> at</w:t>
      </w:r>
      <w:r w:rsidRPr="00F00E95">
        <w:rPr>
          <w:rFonts w:ascii="Arial" w:hAnsi="Arial" w:cs="Arial"/>
        </w:rPr>
        <w:t xml:space="preserve"> PUC</w:t>
      </w:r>
    </w:p>
    <w:p w14:paraId="33241492" w14:textId="6FF12E3F" w:rsidR="00221A14" w:rsidRPr="00C97934" w:rsidRDefault="00221A14" w:rsidP="0044381C">
      <w:pPr>
        <w:pStyle w:val="DefaultText"/>
        <w:widowControl/>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4843EEE3" w14:textId="29B3887D" w:rsidR="000D0C40" w:rsidRDefault="00AD3957" w:rsidP="000D0C40">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The proposed cost must be presented as a</w:t>
      </w:r>
      <w:r w:rsidR="000D0C40">
        <w:rPr>
          <w:rFonts w:ascii="Arial" w:hAnsi="Arial" w:cs="Arial"/>
        </w:rPr>
        <w:t>n hourly rate.</w:t>
      </w:r>
      <w:r>
        <w:rPr>
          <w:rFonts w:ascii="Arial" w:hAnsi="Arial" w:cs="Arial"/>
        </w:rPr>
        <w:t xml:space="preserve"> </w:t>
      </w:r>
    </w:p>
    <w:p w14:paraId="17049630" w14:textId="77777777" w:rsidR="000D0C40" w:rsidRPr="0088248E" w:rsidRDefault="000D0C40" w:rsidP="000D0C4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16"/>
          <w:szCs w:val="16"/>
        </w:rPr>
      </w:pPr>
    </w:p>
    <w:p w14:paraId="26025B33" w14:textId="77777777" w:rsidR="000D0C40" w:rsidRPr="00043FBD" w:rsidRDefault="000D0C40" w:rsidP="000D0C4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43FBD">
        <w:rPr>
          <w:rFonts w:ascii="Arial" w:hAnsi="Arial" w:cs="Arial"/>
          <w:sz w:val="24"/>
          <w:szCs w:val="24"/>
        </w:rPr>
        <w:t xml:space="preserve">Bidders must complete the tables below. The Total Project Cost must cover the Initial Period of Performance as described in Part I, C and will be used in the scoring formula defined in Part V, B.3. of the RFP. </w:t>
      </w:r>
    </w:p>
    <w:p w14:paraId="43716A00" w14:textId="77777777" w:rsidR="000D0C40" w:rsidRPr="0088248E" w:rsidRDefault="000D0C40" w:rsidP="000D0C4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0D0C40" w:rsidRPr="00043FBD" w14:paraId="359C8ECE" w14:textId="77777777" w:rsidTr="00610300">
        <w:tc>
          <w:tcPr>
            <w:tcW w:w="6925" w:type="dxa"/>
            <w:shd w:val="clear" w:color="auto" w:fill="C6D9F1"/>
            <w:vAlign w:val="center"/>
          </w:tcPr>
          <w:p w14:paraId="70FC5DDC" w14:textId="77777777" w:rsidR="000D0C40" w:rsidRPr="00043FBD" w:rsidRDefault="000D0C40" w:rsidP="00610300">
            <w:pPr>
              <w:jc w:val="center"/>
              <w:rPr>
                <w:rFonts w:ascii="Arial" w:hAnsi="Arial" w:cs="Arial"/>
                <w:sz w:val="24"/>
                <w:szCs w:val="24"/>
              </w:rPr>
            </w:pPr>
            <w:r w:rsidRPr="00043FBD">
              <w:rPr>
                <w:rFonts w:ascii="Arial" w:hAnsi="Arial" w:cs="Arial"/>
                <w:b/>
                <w:sz w:val="24"/>
                <w:szCs w:val="24"/>
              </w:rPr>
              <w:t xml:space="preserve">Staff Resources – Employees </w:t>
            </w:r>
            <w:r w:rsidRPr="00043FBD">
              <w:rPr>
                <w:rFonts w:ascii="Arial" w:hAnsi="Arial" w:cs="Arial"/>
                <w:bCs/>
                <w:sz w:val="24"/>
                <w:szCs w:val="24"/>
              </w:rPr>
              <w:t>(Titles/Hourly Rates)</w:t>
            </w:r>
          </w:p>
        </w:tc>
        <w:tc>
          <w:tcPr>
            <w:tcW w:w="3150" w:type="dxa"/>
            <w:shd w:val="clear" w:color="auto" w:fill="C6D9F1"/>
            <w:vAlign w:val="center"/>
          </w:tcPr>
          <w:p w14:paraId="1CA9B54A" w14:textId="77777777" w:rsidR="000D0C40" w:rsidRPr="00043FBD" w:rsidRDefault="000D0C40" w:rsidP="00610300">
            <w:pPr>
              <w:jc w:val="center"/>
              <w:rPr>
                <w:rFonts w:ascii="Arial" w:hAnsi="Arial" w:cs="Arial"/>
                <w:sz w:val="24"/>
                <w:szCs w:val="24"/>
              </w:rPr>
            </w:pPr>
            <w:r w:rsidRPr="00043FBD">
              <w:rPr>
                <w:rFonts w:ascii="Arial" w:hAnsi="Arial" w:cs="Arial"/>
                <w:b/>
                <w:sz w:val="24"/>
                <w:szCs w:val="24"/>
              </w:rPr>
              <w:t>Projected Costs</w:t>
            </w:r>
          </w:p>
        </w:tc>
      </w:tr>
      <w:tr w:rsidR="000D0C40" w:rsidRPr="00043FBD" w14:paraId="73A63DB9" w14:textId="77777777" w:rsidTr="00610300">
        <w:tc>
          <w:tcPr>
            <w:tcW w:w="6925" w:type="dxa"/>
          </w:tcPr>
          <w:p w14:paraId="521F5425" w14:textId="77777777" w:rsidR="000D0C40" w:rsidRPr="00043FBD" w:rsidRDefault="000D0C40" w:rsidP="00610300">
            <w:pPr>
              <w:jc w:val="both"/>
              <w:rPr>
                <w:rFonts w:ascii="Arial" w:hAnsi="Arial" w:cs="Arial"/>
                <w:sz w:val="24"/>
                <w:szCs w:val="24"/>
              </w:rPr>
            </w:pPr>
          </w:p>
        </w:tc>
        <w:tc>
          <w:tcPr>
            <w:tcW w:w="3150" w:type="dxa"/>
          </w:tcPr>
          <w:p w14:paraId="16EBEB15" w14:textId="77777777" w:rsidR="000D0C40" w:rsidRPr="00043FBD" w:rsidRDefault="000D0C40" w:rsidP="00610300">
            <w:pPr>
              <w:jc w:val="both"/>
              <w:rPr>
                <w:rFonts w:ascii="Arial" w:hAnsi="Arial" w:cs="Arial"/>
                <w:sz w:val="24"/>
                <w:szCs w:val="24"/>
              </w:rPr>
            </w:pPr>
          </w:p>
        </w:tc>
      </w:tr>
      <w:tr w:rsidR="000D0C40" w:rsidRPr="00043FBD" w14:paraId="6DE0CB34" w14:textId="77777777" w:rsidTr="00610300">
        <w:tc>
          <w:tcPr>
            <w:tcW w:w="6925" w:type="dxa"/>
          </w:tcPr>
          <w:p w14:paraId="4B9ACBC8" w14:textId="77777777" w:rsidR="000D0C40" w:rsidRPr="00043FBD" w:rsidRDefault="000D0C40" w:rsidP="00610300">
            <w:pPr>
              <w:jc w:val="both"/>
              <w:rPr>
                <w:rFonts w:ascii="Arial" w:hAnsi="Arial" w:cs="Arial"/>
                <w:sz w:val="24"/>
                <w:szCs w:val="24"/>
              </w:rPr>
            </w:pPr>
          </w:p>
        </w:tc>
        <w:tc>
          <w:tcPr>
            <w:tcW w:w="3150" w:type="dxa"/>
          </w:tcPr>
          <w:p w14:paraId="0C888EF4" w14:textId="77777777" w:rsidR="000D0C40" w:rsidRPr="00043FBD" w:rsidRDefault="000D0C40" w:rsidP="00610300">
            <w:pPr>
              <w:jc w:val="both"/>
              <w:rPr>
                <w:rFonts w:ascii="Arial" w:hAnsi="Arial" w:cs="Arial"/>
                <w:sz w:val="24"/>
                <w:szCs w:val="24"/>
              </w:rPr>
            </w:pPr>
          </w:p>
        </w:tc>
      </w:tr>
      <w:tr w:rsidR="000D0C40" w:rsidRPr="00043FBD" w14:paraId="446375B5" w14:textId="77777777" w:rsidTr="00610300">
        <w:tc>
          <w:tcPr>
            <w:tcW w:w="6925" w:type="dxa"/>
          </w:tcPr>
          <w:p w14:paraId="63E07C4E" w14:textId="77777777" w:rsidR="000D0C40" w:rsidRPr="00043FBD" w:rsidRDefault="000D0C40" w:rsidP="00610300">
            <w:pPr>
              <w:jc w:val="both"/>
              <w:rPr>
                <w:rFonts w:ascii="Arial" w:hAnsi="Arial" w:cs="Arial"/>
                <w:sz w:val="24"/>
                <w:szCs w:val="24"/>
              </w:rPr>
            </w:pPr>
          </w:p>
        </w:tc>
        <w:tc>
          <w:tcPr>
            <w:tcW w:w="3150" w:type="dxa"/>
          </w:tcPr>
          <w:p w14:paraId="360DA443" w14:textId="77777777" w:rsidR="000D0C40" w:rsidRPr="00043FBD" w:rsidRDefault="000D0C40" w:rsidP="00610300">
            <w:pPr>
              <w:jc w:val="both"/>
              <w:rPr>
                <w:rFonts w:ascii="Arial" w:hAnsi="Arial" w:cs="Arial"/>
                <w:sz w:val="24"/>
                <w:szCs w:val="24"/>
              </w:rPr>
            </w:pPr>
          </w:p>
        </w:tc>
      </w:tr>
      <w:tr w:rsidR="000D0C40" w:rsidRPr="00043FBD" w14:paraId="2B162DCF" w14:textId="77777777" w:rsidTr="00610300">
        <w:tc>
          <w:tcPr>
            <w:tcW w:w="6925" w:type="dxa"/>
          </w:tcPr>
          <w:p w14:paraId="36A772A7" w14:textId="77777777" w:rsidR="000D0C40" w:rsidRPr="00043FBD" w:rsidRDefault="000D0C40" w:rsidP="00610300">
            <w:pPr>
              <w:jc w:val="right"/>
              <w:rPr>
                <w:rFonts w:ascii="Arial" w:hAnsi="Arial" w:cs="Arial"/>
                <w:b/>
                <w:sz w:val="24"/>
                <w:szCs w:val="24"/>
              </w:rPr>
            </w:pPr>
            <w:r w:rsidRPr="00043FBD">
              <w:rPr>
                <w:rFonts w:ascii="Arial" w:hAnsi="Arial" w:cs="Arial"/>
                <w:b/>
                <w:sz w:val="24"/>
                <w:szCs w:val="24"/>
              </w:rPr>
              <w:t>Total Staff Costs</w:t>
            </w:r>
          </w:p>
        </w:tc>
        <w:tc>
          <w:tcPr>
            <w:tcW w:w="3150" w:type="dxa"/>
          </w:tcPr>
          <w:p w14:paraId="50E63899"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w:t>
            </w:r>
          </w:p>
        </w:tc>
      </w:tr>
    </w:tbl>
    <w:p w14:paraId="0CE82B14" w14:textId="77777777" w:rsidR="000D0C40" w:rsidRPr="00043FBD" w:rsidRDefault="000D0C40" w:rsidP="000D0C40">
      <w:pPr>
        <w:jc w:val="both"/>
        <w:rPr>
          <w:rFonts w:ascii="Arial" w:hAnsi="Arial" w:cs="Arial"/>
          <w:b/>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0D0C40" w:rsidRPr="00043FBD" w14:paraId="7029F0B7" w14:textId="77777777" w:rsidTr="00610300">
        <w:tc>
          <w:tcPr>
            <w:tcW w:w="6925" w:type="dxa"/>
            <w:shd w:val="clear" w:color="auto" w:fill="C6D9F1"/>
          </w:tcPr>
          <w:p w14:paraId="41C95FAE" w14:textId="77777777" w:rsidR="000D0C40" w:rsidRPr="00043FBD" w:rsidRDefault="000D0C40" w:rsidP="00610300">
            <w:pPr>
              <w:jc w:val="center"/>
              <w:rPr>
                <w:rFonts w:ascii="Arial" w:hAnsi="Arial" w:cs="Arial"/>
                <w:b/>
                <w:sz w:val="24"/>
                <w:szCs w:val="24"/>
              </w:rPr>
            </w:pPr>
            <w:r w:rsidRPr="00043FBD">
              <w:rPr>
                <w:rFonts w:ascii="Arial" w:hAnsi="Arial" w:cs="Arial"/>
                <w:b/>
                <w:sz w:val="24"/>
                <w:szCs w:val="24"/>
              </w:rPr>
              <w:t>Purchased Services – Non-Employees</w:t>
            </w:r>
          </w:p>
        </w:tc>
        <w:tc>
          <w:tcPr>
            <w:tcW w:w="3150" w:type="dxa"/>
            <w:shd w:val="clear" w:color="auto" w:fill="C6D9F1"/>
          </w:tcPr>
          <w:p w14:paraId="65685FA4" w14:textId="77777777" w:rsidR="000D0C40" w:rsidRPr="00043FBD" w:rsidRDefault="000D0C40" w:rsidP="00610300">
            <w:pPr>
              <w:jc w:val="center"/>
              <w:rPr>
                <w:rFonts w:ascii="Arial" w:hAnsi="Arial" w:cs="Arial"/>
                <w:b/>
                <w:sz w:val="24"/>
                <w:szCs w:val="24"/>
              </w:rPr>
            </w:pPr>
            <w:r w:rsidRPr="00043FBD">
              <w:rPr>
                <w:rFonts w:ascii="Arial" w:hAnsi="Arial" w:cs="Arial"/>
                <w:b/>
                <w:sz w:val="24"/>
                <w:szCs w:val="24"/>
              </w:rPr>
              <w:t>Projected Costs</w:t>
            </w:r>
          </w:p>
        </w:tc>
      </w:tr>
      <w:tr w:rsidR="000D0C40" w:rsidRPr="00043FBD" w14:paraId="043A863F" w14:textId="77777777" w:rsidTr="00610300">
        <w:tc>
          <w:tcPr>
            <w:tcW w:w="6925" w:type="dxa"/>
          </w:tcPr>
          <w:p w14:paraId="14048A07"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Consultants (including travel, etc.)</w:t>
            </w:r>
          </w:p>
        </w:tc>
        <w:tc>
          <w:tcPr>
            <w:tcW w:w="3150" w:type="dxa"/>
          </w:tcPr>
          <w:p w14:paraId="0D2FF79A"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w:t>
            </w:r>
          </w:p>
        </w:tc>
      </w:tr>
      <w:tr w:rsidR="000D0C40" w:rsidRPr="00043FBD" w14:paraId="586E220D" w14:textId="77777777" w:rsidTr="00610300">
        <w:tc>
          <w:tcPr>
            <w:tcW w:w="6925" w:type="dxa"/>
          </w:tcPr>
          <w:p w14:paraId="543CD44F"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Other (Describe)</w:t>
            </w:r>
          </w:p>
        </w:tc>
        <w:tc>
          <w:tcPr>
            <w:tcW w:w="3150" w:type="dxa"/>
          </w:tcPr>
          <w:p w14:paraId="3CA9C818"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w:t>
            </w:r>
          </w:p>
        </w:tc>
      </w:tr>
      <w:tr w:rsidR="000D0C40" w:rsidRPr="00043FBD" w14:paraId="76BFCCAB" w14:textId="77777777" w:rsidTr="00610300">
        <w:tc>
          <w:tcPr>
            <w:tcW w:w="6925" w:type="dxa"/>
          </w:tcPr>
          <w:p w14:paraId="141D24B1" w14:textId="77777777" w:rsidR="000D0C40" w:rsidRPr="00043FBD" w:rsidRDefault="000D0C40" w:rsidP="00610300">
            <w:pPr>
              <w:jc w:val="both"/>
              <w:rPr>
                <w:rFonts w:ascii="Arial" w:hAnsi="Arial" w:cs="Arial"/>
                <w:b/>
                <w:sz w:val="24"/>
                <w:szCs w:val="24"/>
              </w:rPr>
            </w:pPr>
          </w:p>
        </w:tc>
        <w:tc>
          <w:tcPr>
            <w:tcW w:w="3150" w:type="dxa"/>
          </w:tcPr>
          <w:p w14:paraId="3D155738" w14:textId="77777777" w:rsidR="000D0C40" w:rsidRPr="00043FBD" w:rsidRDefault="000D0C40" w:rsidP="00610300">
            <w:pPr>
              <w:jc w:val="both"/>
              <w:rPr>
                <w:rFonts w:ascii="Arial" w:hAnsi="Arial" w:cs="Arial"/>
                <w:b/>
                <w:sz w:val="24"/>
                <w:szCs w:val="24"/>
              </w:rPr>
            </w:pPr>
          </w:p>
        </w:tc>
      </w:tr>
      <w:tr w:rsidR="000D0C40" w:rsidRPr="00043FBD" w14:paraId="1890BF88" w14:textId="77777777" w:rsidTr="00610300">
        <w:tc>
          <w:tcPr>
            <w:tcW w:w="6925" w:type="dxa"/>
            <w:tcBorders>
              <w:bottom w:val="single" w:sz="4" w:space="0" w:color="auto"/>
            </w:tcBorders>
          </w:tcPr>
          <w:p w14:paraId="371BA758" w14:textId="77777777" w:rsidR="000D0C40" w:rsidRPr="00043FBD" w:rsidRDefault="000D0C40" w:rsidP="00610300">
            <w:pPr>
              <w:jc w:val="both"/>
              <w:rPr>
                <w:rFonts w:ascii="Arial" w:hAnsi="Arial" w:cs="Arial"/>
                <w:b/>
                <w:sz w:val="24"/>
                <w:szCs w:val="24"/>
              </w:rPr>
            </w:pPr>
          </w:p>
        </w:tc>
        <w:tc>
          <w:tcPr>
            <w:tcW w:w="3150" w:type="dxa"/>
            <w:tcBorders>
              <w:bottom w:val="single" w:sz="4" w:space="0" w:color="auto"/>
            </w:tcBorders>
          </w:tcPr>
          <w:p w14:paraId="3AEFB21C" w14:textId="77777777" w:rsidR="000D0C40" w:rsidRPr="00043FBD" w:rsidRDefault="000D0C40" w:rsidP="00610300">
            <w:pPr>
              <w:jc w:val="both"/>
              <w:rPr>
                <w:rFonts w:ascii="Arial" w:hAnsi="Arial" w:cs="Arial"/>
                <w:b/>
                <w:sz w:val="24"/>
                <w:szCs w:val="24"/>
              </w:rPr>
            </w:pPr>
          </w:p>
        </w:tc>
      </w:tr>
      <w:tr w:rsidR="000D0C40" w:rsidRPr="00043FBD" w14:paraId="2A87EB69" w14:textId="77777777" w:rsidTr="00610300">
        <w:tc>
          <w:tcPr>
            <w:tcW w:w="6925" w:type="dxa"/>
            <w:tcBorders>
              <w:bottom w:val="single" w:sz="4" w:space="0" w:color="auto"/>
            </w:tcBorders>
          </w:tcPr>
          <w:p w14:paraId="04107257" w14:textId="77777777" w:rsidR="000D0C40" w:rsidRPr="00043FBD" w:rsidRDefault="000D0C40" w:rsidP="00610300">
            <w:pPr>
              <w:jc w:val="right"/>
              <w:rPr>
                <w:rFonts w:ascii="Arial" w:hAnsi="Arial" w:cs="Arial"/>
                <w:b/>
                <w:sz w:val="24"/>
                <w:szCs w:val="24"/>
              </w:rPr>
            </w:pPr>
            <w:r w:rsidRPr="00043FBD">
              <w:rPr>
                <w:rFonts w:ascii="Arial" w:hAnsi="Arial" w:cs="Arial"/>
                <w:b/>
                <w:sz w:val="24"/>
                <w:szCs w:val="24"/>
              </w:rPr>
              <w:t>Total Purchased Services</w:t>
            </w:r>
          </w:p>
        </w:tc>
        <w:tc>
          <w:tcPr>
            <w:tcW w:w="3150" w:type="dxa"/>
            <w:tcBorders>
              <w:bottom w:val="single" w:sz="4" w:space="0" w:color="auto"/>
            </w:tcBorders>
          </w:tcPr>
          <w:p w14:paraId="05FF3459"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w:t>
            </w:r>
          </w:p>
        </w:tc>
      </w:tr>
      <w:tr w:rsidR="000D0C40" w:rsidRPr="00043FBD" w14:paraId="28B19228" w14:textId="77777777" w:rsidTr="00610300">
        <w:trPr>
          <w:trHeight w:val="170"/>
        </w:trPr>
        <w:tc>
          <w:tcPr>
            <w:tcW w:w="6925" w:type="dxa"/>
            <w:tcBorders>
              <w:top w:val="single" w:sz="4" w:space="0" w:color="auto"/>
              <w:left w:val="nil"/>
              <w:bottom w:val="single" w:sz="4" w:space="0" w:color="auto"/>
              <w:right w:val="nil"/>
            </w:tcBorders>
          </w:tcPr>
          <w:p w14:paraId="3B5EF403" w14:textId="77777777" w:rsidR="000D0C40" w:rsidRPr="0088248E" w:rsidRDefault="000D0C40" w:rsidP="00610300">
            <w:pPr>
              <w:rPr>
                <w:rFonts w:ascii="Arial" w:hAnsi="Arial" w:cs="Arial"/>
                <w:b/>
              </w:rPr>
            </w:pPr>
          </w:p>
        </w:tc>
        <w:tc>
          <w:tcPr>
            <w:tcW w:w="3150" w:type="dxa"/>
            <w:tcBorders>
              <w:top w:val="single" w:sz="4" w:space="0" w:color="auto"/>
              <w:left w:val="nil"/>
              <w:bottom w:val="single" w:sz="4" w:space="0" w:color="auto"/>
              <w:right w:val="nil"/>
            </w:tcBorders>
          </w:tcPr>
          <w:p w14:paraId="44C3DAE6" w14:textId="77777777" w:rsidR="000D0C40" w:rsidRPr="00043FBD" w:rsidRDefault="000D0C40" w:rsidP="00610300">
            <w:pPr>
              <w:jc w:val="both"/>
              <w:rPr>
                <w:rFonts w:ascii="Arial" w:hAnsi="Arial" w:cs="Arial"/>
                <w:b/>
                <w:sz w:val="24"/>
                <w:szCs w:val="24"/>
              </w:rPr>
            </w:pPr>
          </w:p>
        </w:tc>
      </w:tr>
      <w:tr w:rsidR="000D0C40" w:rsidRPr="00043FBD" w14:paraId="62446C84" w14:textId="77777777" w:rsidTr="00610300">
        <w:tc>
          <w:tcPr>
            <w:tcW w:w="6925" w:type="dxa"/>
            <w:tcBorders>
              <w:top w:val="single" w:sz="4" w:space="0" w:color="auto"/>
              <w:left w:val="single" w:sz="4" w:space="0" w:color="auto"/>
              <w:bottom w:val="single" w:sz="4" w:space="0" w:color="auto"/>
              <w:right w:val="single" w:sz="4" w:space="0" w:color="auto"/>
            </w:tcBorders>
            <w:shd w:val="clear" w:color="auto" w:fill="C6D9F1"/>
          </w:tcPr>
          <w:p w14:paraId="3F40D1E3" w14:textId="77777777" w:rsidR="000D0C40" w:rsidRPr="00043FBD" w:rsidRDefault="000D0C40" w:rsidP="00610300">
            <w:pPr>
              <w:jc w:val="center"/>
              <w:rPr>
                <w:rFonts w:ascii="Arial" w:hAnsi="Arial" w:cs="Arial"/>
                <w:b/>
                <w:sz w:val="24"/>
                <w:szCs w:val="24"/>
              </w:rPr>
            </w:pPr>
            <w:r w:rsidRPr="00043FBD">
              <w:rPr>
                <w:rFonts w:ascii="Arial" w:hAnsi="Arial" w:cs="Arial"/>
                <w:b/>
                <w:sz w:val="24"/>
                <w:szCs w:val="24"/>
              </w:rPr>
              <w:t>Subcontracting – Non-Employees</w:t>
            </w:r>
          </w:p>
        </w:tc>
        <w:tc>
          <w:tcPr>
            <w:tcW w:w="3150" w:type="dxa"/>
            <w:tcBorders>
              <w:top w:val="single" w:sz="4" w:space="0" w:color="auto"/>
              <w:left w:val="single" w:sz="4" w:space="0" w:color="auto"/>
              <w:bottom w:val="single" w:sz="4" w:space="0" w:color="auto"/>
              <w:right w:val="single" w:sz="4" w:space="0" w:color="auto"/>
            </w:tcBorders>
            <w:shd w:val="clear" w:color="auto" w:fill="C6D9F1"/>
          </w:tcPr>
          <w:p w14:paraId="34C0C4A3"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 xml:space="preserve">          Projected Costs</w:t>
            </w:r>
          </w:p>
        </w:tc>
      </w:tr>
      <w:tr w:rsidR="000D0C40" w:rsidRPr="00043FBD" w14:paraId="565BCB9C" w14:textId="77777777" w:rsidTr="00610300">
        <w:tc>
          <w:tcPr>
            <w:tcW w:w="6925" w:type="dxa"/>
            <w:tcBorders>
              <w:top w:val="single" w:sz="4" w:space="0" w:color="auto"/>
              <w:left w:val="single" w:sz="4" w:space="0" w:color="auto"/>
              <w:bottom w:val="single" w:sz="4" w:space="0" w:color="auto"/>
              <w:right w:val="single" w:sz="4" w:space="0" w:color="auto"/>
            </w:tcBorders>
          </w:tcPr>
          <w:p w14:paraId="7603F2D8" w14:textId="77777777" w:rsidR="000D0C40" w:rsidRPr="00043FBD" w:rsidRDefault="000D0C40" w:rsidP="00610300">
            <w:pPr>
              <w:rPr>
                <w:rFonts w:ascii="Arial" w:hAnsi="Arial" w:cs="Arial"/>
                <w:b/>
                <w:sz w:val="24"/>
                <w:szCs w:val="24"/>
              </w:rPr>
            </w:pPr>
            <w:r w:rsidRPr="00043FBD">
              <w:rPr>
                <w:rFonts w:ascii="Arial" w:hAnsi="Arial" w:cs="Arial"/>
                <w:b/>
                <w:sz w:val="24"/>
                <w:szCs w:val="24"/>
              </w:rPr>
              <w:t>Percentage of non-employee direct personal &amp; related incidental expenses, including travel</w:t>
            </w:r>
          </w:p>
        </w:tc>
        <w:tc>
          <w:tcPr>
            <w:tcW w:w="3150" w:type="dxa"/>
            <w:tcBorders>
              <w:top w:val="single" w:sz="4" w:space="0" w:color="auto"/>
              <w:left w:val="single" w:sz="4" w:space="0" w:color="auto"/>
              <w:bottom w:val="single" w:sz="4" w:space="0" w:color="auto"/>
              <w:right w:val="single" w:sz="4" w:space="0" w:color="auto"/>
            </w:tcBorders>
          </w:tcPr>
          <w:p w14:paraId="10884215"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%_______</w:t>
            </w:r>
          </w:p>
        </w:tc>
      </w:tr>
      <w:tr w:rsidR="000D0C40" w:rsidRPr="00043FBD" w14:paraId="3C571EDA" w14:textId="77777777" w:rsidTr="00610300">
        <w:tc>
          <w:tcPr>
            <w:tcW w:w="6925" w:type="dxa"/>
            <w:tcBorders>
              <w:top w:val="single" w:sz="4" w:space="0" w:color="auto"/>
              <w:left w:val="single" w:sz="4" w:space="0" w:color="auto"/>
              <w:bottom w:val="single" w:sz="4" w:space="0" w:color="auto"/>
              <w:right w:val="single" w:sz="4" w:space="0" w:color="auto"/>
            </w:tcBorders>
          </w:tcPr>
          <w:p w14:paraId="1A9F116A" w14:textId="77777777" w:rsidR="000D0C40" w:rsidRPr="00043FBD" w:rsidRDefault="000D0C40" w:rsidP="00610300">
            <w:pPr>
              <w:rPr>
                <w:rFonts w:ascii="Arial" w:hAnsi="Arial" w:cs="Arial"/>
                <w:b/>
                <w:sz w:val="24"/>
                <w:szCs w:val="24"/>
              </w:rPr>
            </w:pPr>
            <w:r w:rsidRPr="00043FBD">
              <w:rPr>
                <w:rFonts w:ascii="Arial" w:hAnsi="Arial" w:cs="Arial"/>
                <w:b/>
                <w:sz w:val="24"/>
                <w:szCs w:val="24"/>
              </w:rPr>
              <w:t>Total Non-Employee Service Items &amp; Incidental Expenses</w:t>
            </w:r>
          </w:p>
        </w:tc>
        <w:tc>
          <w:tcPr>
            <w:tcW w:w="3150" w:type="dxa"/>
            <w:tcBorders>
              <w:top w:val="single" w:sz="4" w:space="0" w:color="auto"/>
              <w:left w:val="single" w:sz="4" w:space="0" w:color="auto"/>
              <w:bottom w:val="single" w:sz="4" w:space="0" w:color="auto"/>
              <w:right w:val="single" w:sz="4" w:space="0" w:color="auto"/>
            </w:tcBorders>
          </w:tcPr>
          <w:p w14:paraId="636BDF01"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w:t>
            </w:r>
          </w:p>
        </w:tc>
      </w:tr>
    </w:tbl>
    <w:p w14:paraId="754763D7" w14:textId="77777777" w:rsidR="000D0C40" w:rsidRPr="0088248E" w:rsidRDefault="000D0C40" w:rsidP="000D0C40">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0D0C40" w:rsidRPr="00043FBD" w14:paraId="5404070D" w14:textId="77777777" w:rsidTr="00610300">
        <w:tc>
          <w:tcPr>
            <w:tcW w:w="6925" w:type="dxa"/>
            <w:shd w:val="clear" w:color="auto" w:fill="C6D9F1"/>
            <w:vAlign w:val="center"/>
          </w:tcPr>
          <w:p w14:paraId="4ECE165B" w14:textId="77777777" w:rsidR="000D0C40" w:rsidRPr="00043FBD" w:rsidRDefault="000D0C40" w:rsidP="00610300">
            <w:pPr>
              <w:jc w:val="center"/>
              <w:rPr>
                <w:rFonts w:ascii="Arial" w:hAnsi="Arial" w:cs="Arial"/>
                <w:b/>
                <w:sz w:val="24"/>
                <w:szCs w:val="24"/>
              </w:rPr>
            </w:pPr>
            <w:r w:rsidRPr="00043FBD">
              <w:rPr>
                <w:rFonts w:ascii="Arial" w:hAnsi="Arial" w:cs="Arial"/>
                <w:b/>
                <w:sz w:val="24"/>
                <w:szCs w:val="24"/>
              </w:rPr>
              <w:t>Non-Personal Service Items</w:t>
            </w:r>
          </w:p>
        </w:tc>
        <w:tc>
          <w:tcPr>
            <w:tcW w:w="3145" w:type="dxa"/>
            <w:shd w:val="clear" w:color="auto" w:fill="C6D9F1"/>
            <w:vAlign w:val="center"/>
          </w:tcPr>
          <w:p w14:paraId="533C8696" w14:textId="77777777" w:rsidR="000D0C40" w:rsidRPr="00043FBD" w:rsidRDefault="000D0C40" w:rsidP="00610300">
            <w:pPr>
              <w:jc w:val="center"/>
              <w:rPr>
                <w:rFonts w:ascii="Arial" w:hAnsi="Arial" w:cs="Arial"/>
                <w:b/>
                <w:sz w:val="24"/>
                <w:szCs w:val="24"/>
              </w:rPr>
            </w:pPr>
            <w:r w:rsidRPr="00043FBD">
              <w:rPr>
                <w:rFonts w:ascii="Arial" w:hAnsi="Arial" w:cs="Arial"/>
                <w:b/>
                <w:sz w:val="24"/>
                <w:szCs w:val="24"/>
              </w:rPr>
              <w:t>Projected Costs</w:t>
            </w:r>
          </w:p>
        </w:tc>
      </w:tr>
      <w:tr w:rsidR="000D0C40" w:rsidRPr="00043FBD" w14:paraId="53EA6C09" w14:textId="77777777" w:rsidTr="00610300">
        <w:tc>
          <w:tcPr>
            <w:tcW w:w="6925" w:type="dxa"/>
          </w:tcPr>
          <w:p w14:paraId="398F6067"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Supplies and Materials</w:t>
            </w:r>
          </w:p>
        </w:tc>
        <w:tc>
          <w:tcPr>
            <w:tcW w:w="3145" w:type="dxa"/>
          </w:tcPr>
          <w:p w14:paraId="4C7231B9"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w:t>
            </w:r>
          </w:p>
        </w:tc>
      </w:tr>
      <w:tr w:rsidR="000D0C40" w:rsidRPr="00043FBD" w14:paraId="5E609C47" w14:textId="77777777" w:rsidTr="00610300">
        <w:tc>
          <w:tcPr>
            <w:tcW w:w="6925" w:type="dxa"/>
          </w:tcPr>
          <w:p w14:paraId="633F6956"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Employee Travel</w:t>
            </w:r>
          </w:p>
        </w:tc>
        <w:tc>
          <w:tcPr>
            <w:tcW w:w="3145" w:type="dxa"/>
          </w:tcPr>
          <w:p w14:paraId="12B900CE"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w:t>
            </w:r>
          </w:p>
        </w:tc>
      </w:tr>
      <w:tr w:rsidR="000D0C40" w:rsidRPr="00043FBD" w14:paraId="2EF44222" w14:textId="77777777" w:rsidTr="00610300">
        <w:tc>
          <w:tcPr>
            <w:tcW w:w="6925" w:type="dxa"/>
          </w:tcPr>
          <w:p w14:paraId="3B582789" w14:textId="77777777" w:rsidR="000D0C40" w:rsidRPr="00043FBD" w:rsidRDefault="000D0C40" w:rsidP="00610300">
            <w:pPr>
              <w:jc w:val="both"/>
              <w:rPr>
                <w:rFonts w:ascii="Arial" w:hAnsi="Arial" w:cs="Arial"/>
                <w:b/>
                <w:sz w:val="24"/>
                <w:szCs w:val="24"/>
              </w:rPr>
            </w:pPr>
          </w:p>
        </w:tc>
        <w:tc>
          <w:tcPr>
            <w:tcW w:w="3145" w:type="dxa"/>
          </w:tcPr>
          <w:p w14:paraId="3FF18125" w14:textId="77777777" w:rsidR="000D0C40" w:rsidRPr="00043FBD" w:rsidRDefault="000D0C40" w:rsidP="00610300">
            <w:pPr>
              <w:jc w:val="both"/>
              <w:rPr>
                <w:rFonts w:ascii="Arial" w:hAnsi="Arial" w:cs="Arial"/>
                <w:b/>
                <w:sz w:val="24"/>
                <w:szCs w:val="24"/>
              </w:rPr>
            </w:pPr>
          </w:p>
        </w:tc>
      </w:tr>
      <w:tr w:rsidR="000D0C40" w:rsidRPr="00043FBD" w14:paraId="0F7A26AE" w14:textId="77777777" w:rsidTr="00610300">
        <w:tc>
          <w:tcPr>
            <w:tcW w:w="6925" w:type="dxa"/>
          </w:tcPr>
          <w:p w14:paraId="6B99D616" w14:textId="77777777" w:rsidR="000D0C40" w:rsidRPr="00043FBD" w:rsidRDefault="000D0C40" w:rsidP="00610300">
            <w:pPr>
              <w:jc w:val="both"/>
              <w:rPr>
                <w:rFonts w:ascii="Arial" w:hAnsi="Arial" w:cs="Arial"/>
                <w:b/>
                <w:sz w:val="24"/>
                <w:szCs w:val="24"/>
              </w:rPr>
            </w:pPr>
          </w:p>
        </w:tc>
        <w:tc>
          <w:tcPr>
            <w:tcW w:w="3145" w:type="dxa"/>
          </w:tcPr>
          <w:p w14:paraId="07B6EBA1" w14:textId="77777777" w:rsidR="000D0C40" w:rsidRPr="00043FBD" w:rsidRDefault="000D0C40" w:rsidP="00610300">
            <w:pPr>
              <w:jc w:val="both"/>
              <w:rPr>
                <w:rFonts w:ascii="Arial" w:hAnsi="Arial" w:cs="Arial"/>
                <w:b/>
                <w:sz w:val="24"/>
                <w:szCs w:val="24"/>
              </w:rPr>
            </w:pPr>
          </w:p>
        </w:tc>
      </w:tr>
      <w:tr w:rsidR="000D0C40" w:rsidRPr="00043FBD" w14:paraId="1412D12C" w14:textId="77777777" w:rsidTr="00610300">
        <w:tc>
          <w:tcPr>
            <w:tcW w:w="6925" w:type="dxa"/>
          </w:tcPr>
          <w:p w14:paraId="5C2A949C" w14:textId="77777777" w:rsidR="000D0C40" w:rsidRPr="00043FBD" w:rsidRDefault="000D0C40" w:rsidP="00610300">
            <w:pPr>
              <w:jc w:val="right"/>
              <w:rPr>
                <w:rFonts w:ascii="Arial" w:hAnsi="Arial" w:cs="Arial"/>
                <w:b/>
                <w:sz w:val="24"/>
                <w:szCs w:val="24"/>
              </w:rPr>
            </w:pPr>
            <w:r w:rsidRPr="00043FBD">
              <w:rPr>
                <w:rFonts w:ascii="Arial" w:hAnsi="Arial" w:cs="Arial"/>
                <w:b/>
                <w:sz w:val="24"/>
                <w:szCs w:val="24"/>
              </w:rPr>
              <w:t>Total Non-Personal Service Items</w:t>
            </w:r>
          </w:p>
        </w:tc>
        <w:tc>
          <w:tcPr>
            <w:tcW w:w="3145" w:type="dxa"/>
          </w:tcPr>
          <w:p w14:paraId="689415BD"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w:t>
            </w:r>
          </w:p>
        </w:tc>
      </w:tr>
    </w:tbl>
    <w:p w14:paraId="30EF52D6" w14:textId="5AE634A3" w:rsidR="000D0C40" w:rsidRPr="0088248E" w:rsidRDefault="000D0C40" w:rsidP="000D0C40">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0D0C40" w:rsidRPr="00043FBD" w14:paraId="4925CD47" w14:textId="77777777" w:rsidTr="00610300">
        <w:tc>
          <w:tcPr>
            <w:tcW w:w="6925" w:type="dxa"/>
            <w:shd w:val="clear" w:color="auto" w:fill="C6D9F1"/>
          </w:tcPr>
          <w:p w14:paraId="6849AB04" w14:textId="77777777" w:rsidR="000D0C40" w:rsidRPr="00043FBD" w:rsidRDefault="000D0C40" w:rsidP="00610300">
            <w:pPr>
              <w:jc w:val="center"/>
              <w:rPr>
                <w:rFonts w:ascii="Arial" w:hAnsi="Arial" w:cs="Arial"/>
                <w:b/>
                <w:sz w:val="24"/>
                <w:szCs w:val="24"/>
              </w:rPr>
            </w:pPr>
            <w:r w:rsidRPr="00043FBD">
              <w:rPr>
                <w:rFonts w:ascii="Arial" w:hAnsi="Arial" w:cs="Arial"/>
                <w:b/>
                <w:sz w:val="24"/>
                <w:szCs w:val="24"/>
              </w:rPr>
              <w:t xml:space="preserve">Other Costs </w:t>
            </w:r>
            <w:r w:rsidRPr="00043FBD">
              <w:rPr>
                <w:rFonts w:ascii="Arial" w:hAnsi="Arial" w:cs="Arial"/>
                <w:bCs/>
                <w:sz w:val="24"/>
                <w:szCs w:val="24"/>
              </w:rPr>
              <w:t>(attach list if necessary)</w:t>
            </w:r>
          </w:p>
        </w:tc>
        <w:tc>
          <w:tcPr>
            <w:tcW w:w="3145" w:type="dxa"/>
            <w:shd w:val="clear" w:color="auto" w:fill="C6D9F1"/>
          </w:tcPr>
          <w:p w14:paraId="6D329909" w14:textId="77777777" w:rsidR="000D0C40" w:rsidRPr="00043FBD" w:rsidRDefault="000D0C40" w:rsidP="00610300">
            <w:pPr>
              <w:jc w:val="center"/>
              <w:rPr>
                <w:rFonts w:ascii="Arial" w:hAnsi="Arial" w:cs="Arial"/>
                <w:b/>
                <w:sz w:val="24"/>
                <w:szCs w:val="24"/>
              </w:rPr>
            </w:pPr>
            <w:r w:rsidRPr="00043FBD">
              <w:rPr>
                <w:rFonts w:ascii="Arial" w:hAnsi="Arial" w:cs="Arial"/>
                <w:b/>
                <w:sz w:val="24"/>
                <w:szCs w:val="24"/>
              </w:rPr>
              <w:t>Projected Costs</w:t>
            </w:r>
          </w:p>
        </w:tc>
      </w:tr>
      <w:tr w:rsidR="000D0C40" w:rsidRPr="00043FBD" w14:paraId="6AE5A223" w14:textId="77777777" w:rsidTr="00610300">
        <w:tc>
          <w:tcPr>
            <w:tcW w:w="6925" w:type="dxa"/>
          </w:tcPr>
          <w:p w14:paraId="4A4102EC" w14:textId="77777777" w:rsidR="000D0C40" w:rsidRPr="00043FBD" w:rsidRDefault="000D0C40" w:rsidP="00610300">
            <w:pPr>
              <w:rPr>
                <w:rFonts w:ascii="Arial" w:hAnsi="Arial" w:cs="Arial"/>
                <w:b/>
                <w:sz w:val="24"/>
                <w:szCs w:val="24"/>
              </w:rPr>
            </w:pPr>
            <w:r w:rsidRPr="00043FBD">
              <w:rPr>
                <w:rFonts w:ascii="Arial" w:hAnsi="Arial" w:cs="Arial"/>
                <w:b/>
                <w:sz w:val="24"/>
                <w:szCs w:val="24"/>
              </w:rPr>
              <w:t>Indirect Costs (Rate____%)</w:t>
            </w:r>
          </w:p>
        </w:tc>
        <w:tc>
          <w:tcPr>
            <w:tcW w:w="3145" w:type="dxa"/>
          </w:tcPr>
          <w:p w14:paraId="3B19E151"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w:t>
            </w:r>
          </w:p>
        </w:tc>
      </w:tr>
    </w:tbl>
    <w:p w14:paraId="0689FE06" w14:textId="33B185AA" w:rsidR="000D0C40" w:rsidRPr="0088248E" w:rsidRDefault="000D0C40" w:rsidP="000D0C40">
      <w:pPr>
        <w:jc w:val="both"/>
        <w:rPr>
          <w:rFonts w:ascii="Arial" w:hAnsi="Arial" w:cs="Arial"/>
          <w:b/>
        </w:rPr>
      </w:pPr>
      <w:r w:rsidRPr="00043FBD">
        <w:rPr>
          <w:rFonts w:ascii="Arial"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0D0C40" w:rsidRPr="00043FBD" w14:paraId="763E1DA2" w14:textId="77777777" w:rsidTr="00610300">
        <w:tc>
          <w:tcPr>
            <w:tcW w:w="10070" w:type="dxa"/>
            <w:gridSpan w:val="2"/>
            <w:shd w:val="clear" w:color="auto" w:fill="C6D9F1"/>
            <w:vAlign w:val="center"/>
          </w:tcPr>
          <w:p w14:paraId="76E2CF78" w14:textId="77777777" w:rsidR="000D0C40" w:rsidRPr="00043FBD" w:rsidRDefault="000D0C40" w:rsidP="00610300">
            <w:pPr>
              <w:jc w:val="center"/>
              <w:rPr>
                <w:rFonts w:ascii="Arial" w:hAnsi="Arial" w:cs="Arial"/>
                <w:b/>
                <w:sz w:val="24"/>
                <w:szCs w:val="24"/>
              </w:rPr>
            </w:pPr>
            <w:r w:rsidRPr="00043FBD">
              <w:rPr>
                <w:rFonts w:ascii="Arial" w:hAnsi="Arial" w:cs="Arial"/>
                <w:b/>
                <w:sz w:val="24"/>
                <w:szCs w:val="24"/>
              </w:rPr>
              <w:t>Total Cost</w:t>
            </w:r>
          </w:p>
        </w:tc>
      </w:tr>
      <w:tr w:rsidR="000D0C40" w:rsidRPr="00043FBD" w14:paraId="45637ACE" w14:textId="77777777" w:rsidTr="00610300">
        <w:trPr>
          <w:trHeight w:val="300"/>
        </w:trPr>
        <w:tc>
          <w:tcPr>
            <w:tcW w:w="6925" w:type="dxa"/>
            <w:tcBorders>
              <w:top w:val="single" w:sz="4" w:space="0" w:color="auto"/>
              <w:left w:val="single" w:sz="4" w:space="0" w:color="auto"/>
              <w:bottom w:val="single" w:sz="4" w:space="0" w:color="auto"/>
              <w:right w:val="single" w:sz="4" w:space="0" w:color="auto"/>
            </w:tcBorders>
          </w:tcPr>
          <w:p w14:paraId="4803D78C"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Total Project Cost</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5670EDE6" w14:textId="77777777" w:rsidR="000D0C40" w:rsidRPr="00043FBD" w:rsidRDefault="000D0C40" w:rsidP="00610300">
            <w:pPr>
              <w:jc w:val="both"/>
              <w:rPr>
                <w:rFonts w:ascii="Arial" w:hAnsi="Arial" w:cs="Arial"/>
                <w:b/>
                <w:sz w:val="24"/>
                <w:szCs w:val="24"/>
              </w:rPr>
            </w:pPr>
            <w:r w:rsidRPr="00043FBD">
              <w:rPr>
                <w:rFonts w:ascii="Arial" w:hAnsi="Arial" w:cs="Arial"/>
                <w:b/>
                <w:sz w:val="24"/>
                <w:szCs w:val="24"/>
              </w:rPr>
              <w:t>$</w:t>
            </w:r>
          </w:p>
        </w:tc>
      </w:tr>
      <w:bookmarkEnd w:id="53"/>
    </w:tbl>
    <w:p w14:paraId="12825677" w14:textId="77777777" w:rsidR="00F00E95" w:rsidRDefault="00F00E95" w:rsidP="000D0C40">
      <w:pPr>
        <w:pStyle w:val="DefaultText"/>
        <w:rPr>
          <w:rFonts w:ascii="Arial" w:hAnsi="Arial" w:cs="Arial"/>
          <w:b/>
        </w:rPr>
        <w:sectPr w:rsidR="00F00E95" w:rsidSect="007D50B8">
          <w:headerReference w:type="default" r:id="rId31"/>
          <w:pgSz w:w="12240" w:h="15840" w:code="1"/>
          <w:pgMar w:top="720" w:right="1080" w:bottom="432" w:left="1080" w:header="432" w:footer="288" w:gutter="0"/>
          <w:paperSrc w:first="15" w:other="15"/>
          <w:cols w:space="720"/>
          <w:docGrid w:linePitch="360"/>
        </w:sectPr>
      </w:pPr>
    </w:p>
    <w:bookmarkEnd w:id="54"/>
    <w:p w14:paraId="637304F6" w14:textId="43929180" w:rsidR="00F00E95" w:rsidRPr="00C97934" w:rsidRDefault="00F00E95" w:rsidP="00F00E9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Pr>
          <w:rFonts w:ascii="Arial" w:hAnsi="Arial" w:cs="Arial"/>
          <w:b/>
        </w:rPr>
        <w:t>E</w:t>
      </w:r>
    </w:p>
    <w:p w14:paraId="4E923DB7" w14:textId="77777777" w:rsidR="00F00E95" w:rsidRPr="00C97934" w:rsidRDefault="00F00E95" w:rsidP="00F00E95">
      <w:pPr>
        <w:jc w:val="center"/>
        <w:rPr>
          <w:rFonts w:ascii="Arial" w:hAnsi="Arial" w:cs="Arial"/>
          <w:b/>
          <w:sz w:val="28"/>
          <w:szCs w:val="28"/>
        </w:rPr>
      </w:pPr>
      <w:r w:rsidRPr="00C97934">
        <w:rPr>
          <w:rFonts w:ascii="Arial" w:hAnsi="Arial" w:cs="Arial"/>
          <w:b/>
          <w:sz w:val="28"/>
          <w:szCs w:val="28"/>
        </w:rPr>
        <w:t xml:space="preserve">State of Maine </w:t>
      </w:r>
    </w:p>
    <w:p w14:paraId="5B5661FB" w14:textId="77777777" w:rsidR="00F00E95" w:rsidRPr="00C97934" w:rsidRDefault="00F00E95" w:rsidP="00F00E95">
      <w:pPr>
        <w:jc w:val="center"/>
        <w:rPr>
          <w:rFonts w:ascii="Arial" w:hAnsi="Arial" w:cs="Arial"/>
          <w:b/>
          <w:color w:val="FF0000"/>
          <w:sz w:val="28"/>
          <w:szCs w:val="28"/>
        </w:rPr>
      </w:pPr>
      <w:r>
        <w:rPr>
          <w:rFonts w:ascii="Arial" w:hAnsi="Arial" w:cs="Arial"/>
          <w:b/>
          <w:sz w:val="28"/>
          <w:szCs w:val="28"/>
        </w:rPr>
        <w:t>Office of the Public Advocate</w:t>
      </w:r>
    </w:p>
    <w:p w14:paraId="1BF9C57C" w14:textId="77777777" w:rsidR="00F00E95" w:rsidRPr="00C97934" w:rsidRDefault="00F00E95" w:rsidP="00F00E95">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5819DDB8" w14:textId="77777777" w:rsidR="00F00E95" w:rsidRPr="00C97934" w:rsidRDefault="00F00E95" w:rsidP="00F00E95">
      <w:pPr>
        <w:jc w:val="center"/>
        <w:rPr>
          <w:rFonts w:ascii="Arial" w:hAnsi="Arial" w:cs="Arial"/>
          <w:b/>
          <w:sz w:val="28"/>
          <w:szCs w:val="28"/>
        </w:rPr>
      </w:pPr>
      <w:r w:rsidRPr="00C97934">
        <w:rPr>
          <w:rFonts w:ascii="Arial" w:hAnsi="Arial" w:cs="Arial"/>
          <w:b/>
          <w:sz w:val="28"/>
          <w:szCs w:val="28"/>
        </w:rPr>
        <w:t xml:space="preserve">RFP# </w:t>
      </w:r>
      <w:r w:rsidRPr="00361C45">
        <w:rPr>
          <w:rFonts w:ascii="Arial" w:hAnsi="Arial" w:cs="Arial"/>
          <w:b/>
          <w:bCs/>
          <w:sz w:val="28"/>
          <w:szCs w:val="28"/>
        </w:rPr>
        <w:t>202504057</w:t>
      </w:r>
    </w:p>
    <w:p w14:paraId="735BB41B" w14:textId="77777777" w:rsidR="00F00E95" w:rsidRDefault="00F00E95" w:rsidP="00F00E95">
      <w:pPr>
        <w:pStyle w:val="DefaultText"/>
        <w:widowControl/>
        <w:jc w:val="center"/>
        <w:rPr>
          <w:rStyle w:val="InitialStyle"/>
          <w:rFonts w:ascii="Arial" w:hAnsi="Arial" w:cs="Arial"/>
          <w:b/>
          <w:bCs/>
          <w:sz w:val="28"/>
          <w:szCs w:val="28"/>
        </w:rPr>
      </w:pPr>
      <w:r w:rsidRPr="00AF7998">
        <w:rPr>
          <w:rStyle w:val="InitialStyle"/>
          <w:rFonts w:ascii="Arial" w:hAnsi="Arial" w:cs="Arial"/>
          <w:b/>
          <w:bCs/>
          <w:sz w:val="28"/>
          <w:szCs w:val="28"/>
        </w:rPr>
        <w:t>Natural Gas Consultant for the Maine Public Advocate</w:t>
      </w:r>
    </w:p>
    <w:p w14:paraId="20196EF7" w14:textId="45904805" w:rsidR="00F00E95" w:rsidRPr="00330268" w:rsidRDefault="00F00E95" w:rsidP="00F00E95">
      <w:pPr>
        <w:pStyle w:val="DefaultText"/>
        <w:widowControl/>
        <w:jc w:val="center"/>
        <w:rPr>
          <w:rStyle w:val="InitialStyle"/>
          <w:rFonts w:ascii="Arial" w:hAnsi="Arial" w:cs="Arial"/>
          <w:b/>
          <w:bCs/>
        </w:rPr>
      </w:pPr>
      <w:r w:rsidRPr="00330268">
        <w:rPr>
          <w:rStyle w:val="InitialStyle"/>
          <w:rFonts w:ascii="Arial" w:hAnsi="Arial" w:cs="Arial"/>
          <w:b/>
          <w:bCs/>
        </w:rPr>
        <w:t xml:space="preserve">GENERAL SERVICE AREA </w:t>
      </w:r>
      <w:r>
        <w:rPr>
          <w:rStyle w:val="InitialStyle"/>
          <w:rFonts w:ascii="Arial" w:hAnsi="Arial" w:cs="Arial"/>
          <w:b/>
          <w:bCs/>
        </w:rPr>
        <w:t>2</w:t>
      </w:r>
      <w:r w:rsidRPr="00330268">
        <w:rPr>
          <w:rStyle w:val="InitialStyle"/>
          <w:rFonts w:ascii="Arial" w:hAnsi="Arial" w:cs="Arial"/>
          <w:b/>
          <w:bCs/>
        </w:rPr>
        <w:t>:</w:t>
      </w:r>
      <w:r w:rsidRPr="00F00E95">
        <w:rPr>
          <w:rFonts w:ascii="Arial" w:hAnsi="Arial" w:cs="Arial"/>
        </w:rPr>
        <w:t xml:space="preserve"> </w:t>
      </w:r>
      <w:r w:rsidRPr="00321EBC">
        <w:rPr>
          <w:rFonts w:ascii="Arial" w:hAnsi="Arial" w:cs="Arial"/>
        </w:rPr>
        <w:t>Cost of Gas (COG) proceedings</w:t>
      </w:r>
      <w:r>
        <w:rPr>
          <w:rFonts w:ascii="Arial" w:hAnsi="Arial" w:cs="Arial"/>
        </w:rPr>
        <w:t xml:space="preserve"> at PUC, etc.</w:t>
      </w:r>
    </w:p>
    <w:p w14:paraId="0AC2B6A7" w14:textId="77777777" w:rsidR="00F00E95" w:rsidRPr="00C97934" w:rsidRDefault="00F00E95" w:rsidP="00F00E95">
      <w:pPr>
        <w:pStyle w:val="DefaultText"/>
        <w:widowControl/>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F00E95" w:rsidRPr="00C97934" w14:paraId="018A7F43" w14:textId="77777777" w:rsidTr="00610300">
        <w:trPr>
          <w:cantSplit/>
          <w:trHeight w:val="438"/>
        </w:trPr>
        <w:tc>
          <w:tcPr>
            <w:tcW w:w="1828" w:type="pct"/>
            <w:tcBorders>
              <w:top w:val="double" w:sz="4" w:space="0" w:color="auto"/>
              <w:bottom w:val="single" w:sz="12" w:space="0" w:color="auto"/>
            </w:tcBorders>
            <w:shd w:val="clear" w:color="auto" w:fill="C6D9F1"/>
            <w:vAlign w:val="center"/>
          </w:tcPr>
          <w:p w14:paraId="6AE5CBA1" w14:textId="77777777" w:rsidR="00F00E95" w:rsidRPr="00C97934" w:rsidRDefault="00F00E95" w:rsidP="00610300">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0CC1CAB7" w14:textId="77777777" w:rsidR="00F00E95" w:rsidRPr="00C97934" w:rsidRDefault="00F00E95" w:rsidP="00610300">
            <w:pPr>
              <w:rPr>
                <w:rFonts w:ascii="Arial" w:hAnsi="Arial" w:cs="Arial"/>
                <w:b/>
                <w:sz w:val="24"/>
                <w:szCs w:val="24"/>
              </w:rPr>
            </w:pPr>
          </w:p>
        </w:tc>
      </w:tr>
      <w:tr w:rsidR="00F00E95" w:rsidRPr="00C97934" w14:paraId="359CF18D" w14:textId="77777777" w:rsidTr="00610300">
        <w:trPr>
          <w:cantSplit/>
          <w:trHeight w:val="438"/>
        </w:trPr>
        <w:tc>
          <w:tcPr>
            <w:tcW w:w="1828" w:type="pct"/>
            <w:tcBorders>
              <w:top w:val="single" w:sz="12" w:space="0" w:color="auto"/>
              <w:bottom w:val="double" w:sz="4" w:space="0" w:color="auto"/>
            </w:tcBorders>
            <w:shd w:val="clear" w:color="auto" w:fill="C6D9F1"/>
            <w:vAlign w:val="center"/>
          </w:tcPr>
          <w:p w14:paraId="3940EA55" w14:textId="77777777" w:rsidR="00F00E95" w:rsidRPr="00C97934" w:rsidRDefault="00F00E95" w:rsidP="00610300">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0A6A932E" w14:textId="77777777" w:rsidR="00F00E95" w:rsidRPr="00C97934" w:rsidRDefault="00F00E95" w:rsidP="00610300">
            <w:pPr>
              <w:rPr>
                <w:rFonts w:ascii="Arial" w:hAnsi="Arial" w:cs="Arial"/>
                <w:b/>
                <w:sz w:val="24"/>
                <w:szCs w:val="24"/>
              </w:rPr>
            </w:pPr>
            <w:r w:rsidRPr="00C97934">
              <w:rPr>
                <w:rFonts w:ascii="Arial" w:hAnsi="Arial" w:cs="Arial"/>
                <w:b/>
                <w:sz w:val="24"/>
                <w:szCs w:val="24"/>
              </w:rPr>
              <w:t xml:space="preserve">$ </w:t>
            </w:r>
          </w:p>
        </w:tc>
      </w:tr>
    </w:tbl>
    <w:p w14:paraId="60EB7DA5" w14:textId="77777777" w:rsidR="00F00E95" w:rsidRDefault="00F00E95" w:rsidP="00F00E95">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an hourly rate. </w:t>
      </w:r>
    </w:p>
    <w:p w14:paraId="45401176" w14:textId="77777777" w:rsidR="00F00E95" w:rsidRPr="0088248E" w:rsidRDefault="00F00E95" w:rsidP="00F00E9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16"/>
          <w:szCs w:val="16"/>
        </w:rPr>
      </w:pPr>
    </w:p>
    <w:p w14:paraId="45EAB2A2" w14:textId="77777777" w:rsidR="00F00E95" w:rsidRPr="00043FBD" w:rsidRDefault="00F00E95" w:rsidP="00F00E9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43FBD">
        <w:rPr>
          <w:rFonts w:ascii="Arial" w:hAnsi="Arial" w:cs="Arial"/>
          <w:sz w:val="24"/>
          <w:szCs w:val="24"/>
        </w:rPr>
        <w:t xml:space="preserve">Bidders must complete the tables below. The Total Project Cost must cover the Initial Period of Performance as described in Part I, C and will be used in the scoring formula defined in Part V, B.3. of the RFP. </w:t>
      </w:r>
    </w:p>
    <w:p w14:paraId="57D3D7BA" w14:textId="77777777" w:rsidR="00F00E95" w:rsidRPr="0088248E" w:rsidRDefault="00F00E95" w:rsidP="00F00E9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F00E95" w:rsidRPr="00043FBD" w14:paraId="1D6BFC6A" w14:textId="77777777" w:rsidTr="00610300">
        <w:tc>
          <w:tcPr>
            <w:tcW w:w="6925" w:type="dxa"/>
            <w:shd w:val="clear" w:color="auto" w:fill="C6D9F1"/>
            <w:vAlign w:val="center"/>
          </w:tcPr>
          <w:p w14:paraId="7507E378" w14:textId="77777777" w:rsidR="00F00E95" w:rsidRPr="00043FBD" w:rsidRDefault="00F00E95" w:rsidP="00610300">
            <w:pPr>
              <w:jc w:val="center"/>
              <w:rPr>
                <w:rFonts w:ascii="Arial" w:hAnsi="Arial" w:cs="Arial"/>
                <w:sz w:val="24"/>
                <w:szCs w:val="24"/>
              </w:rPr>
            </w:pPr>
            <w:r w:rsidRPr="00043FBD">
              <w:rPr>
                <w:rFonts w:ascii="Arial" w:hAnsi="Arial" w:cs="Arial"/>
                <w:b/>
                <w:sz w:val="24"/>
                <w:szCs w:val="24"/>
              </w:rPr>
              <w:t xml:space="preserve">Staff Resources – Employees </w:t>
            </w:r>
            <w:r w:rsidRPr="00043FBD">
              <w:rPr>
                <w:rFonts w:ascii="Arial" w:hAnsi="Arial" w:cs="Arial"/>
                <w:bCs/>
                <w:sz w:val="24"/>
                <w:szCs w:val="24"/>
              </w:rPr>
              <w:t>(Titles/Hourly Rates)</w:t>
            </w:r>
          </w:p>
        </w:tc>
        <w:tc>
          <w:tcPr>
            <w:tcW w:w="3150" w:type="dxa"/>
            <w:shd w:val="clear" w:color="auto" w:fill="C6D9F1"/>
            <w:vAlign w:val="center"/>
          </w:tcPr>
          <w:p w14:paraId="4AAE57D2" w14:textId="77777777" w:rsidR="00F00E95" w:rsidRPr="00043FBD" w:rsidRDefault="00F00E95" w:rsidP="00610300">
            <w:pPr>
              <w:jc w:val="center"/>
              <w:rPr>
                <w:rFonts w:ascii="Arial" w:hAnsi="Arial" w:cs="Arial"/>
                <w:sz w:val="24"/>
                <w:szCs w:val="24"/>
              </w:rPr>
            </w:pPr>
            <w:r w:rsidRPr="00043FBD">
              <w:rPr>
                <w:rFonts w:ascii="Arial" w:hAnsi="Arial" w:cs="Arial"/>
                <w:b/>
                <w:sz w:val="24"/>
                <w:szCs w:val="24"/>
              </w:rPr>
              <w:t>Projected Costs</w:t>
            </w:r>
          </w:p>
        </w:tc>
      </w:tr>
      <w:tr w:rsidR="00F00E95" w:rsidRPr="00043FBD" w14:paraId="598D8E9C" w14:textId="77777777" w:rsidTr="00610300">
        <w:tc>
          <w:tcPr>
            <w:tcW w:w="6925" w:type="dxa"/>
          </w:tcPr>
          <w:p w14:paraId="52BF4247" w14:textId="77777777" w:rsidR="00F00E95" w:rsidRPr="00043FBD" w:rsidRDefault="00F00E95" w:rsidP="00610300">
            <w:pPr>
              <w:jc w:val="both"/>
              <w:rPr>
                <w:rFonts w:ascii="Arial" w:hAnsi="Arial" w:cs="Arial"/>
                <w:sz w:val="24"/>
                <w:szCs w:val="24"/>
              </w:rPr>
            </w:pPr>
          </w:p>
        </w:tc>
        <w:tc>
          <w:tcPr>
            <w:tcW w:w="3150" w:type="dxa"/>
          </w:tcPr>
          <w:p w14:paraId="0E5E7A7C" w14:textId="77777777" w:rsidR="00F00E95" w:rsidRPr="00043FBD" w:rsidRDefault="00F00E95" w:rsidP="00610300">
            <w:pPr>
              <w:jc w:val="both"/>
              <w:rPr>
                <w:rFonts w:ascii="Arial" w:hAnsi="Arial" w:cs="Arial"/>
                <w:sz w:val="24"/>
                <w:szCs w:val="24"/>
              </w:rPr>
            </w:pPr>
          </w:p>
        </w:tc>
      </w:tr>
      <w:tr w:rsidR="00F00E95" w:rsidRPr="00043FBD" w14:paraId="4EB61FFA" w14:textId="77777777" w:rsidTr="00610300">
        <w:tc>
          <w:tcPr>
            <w:tcW w:w="6925" w:type="dxa"/>
          </w:tcPr>
          <w:p w14:paraId="26A4CCEB" w14:textId="77777777" w:rsidR="00F00E95" w:rsidRPr="00043FBD" w:rsidRDefault="00F00E95" w:rsidP="00610300">
            <w:pPr>
              <w:jc w:val="both"/>
              <w:rPr>
                <w:rFonts w:ascii="Arial" w:hAnsi="Arial" w:cs="Arial"/>
                <w:sz w:val="24"/>
                <w:szCs w:val="24"/>
              </w:rPr>
            </w:pPr>
          </w:p>
        </w:tc>
        <w:tc>
          <w:tcPr>
            <w:tcW w:w="3150" w:type="dxa"/>
          </w:tcPr>
          <w:p w14:paraId="1B560979" w14:textId="77777777" w:rsidR="00F00E95" w:rsidRPr="00043FBD" w:rsidRDefault="00F00E95" w:rsidP="00610300">
            <w:pPr>
              <w:jc w:val="both"/>
              <w:rPr>
                <w:rFonts w:ascii="Arial" w:hAnsi="Arial" w:cs="Arial"/>
                <w:sz w:val="24"/>
                <w:szCs w:val="24"/>
              </w:rPr>
            </w:pPr>
          </w:p>
        </w:tc>
      </w:tr>
      <w:tr w:rsidR="00F00E95" w:rsidRPr="00043FBD" w14:paraId="15EEA6C7" w14:textId="77777777" w:rsidTr="00610300">
        <w:tc>
          <w:tcPr>
            <w:tcW w:w="6925" w:type="dxa"/>
          </w:tcPr>
          <w:p w14:paraId="3BF59C6D" w14:textId="77777777" w:rsidR="00F00E95" w:rsidRPr="00043FBD" w:rsidRDefault="00F00E95" w:rsidP="00610300">
            <w:pPr>
              <w:jc w:val="both"/>
              <w:rPr>
                <w:rFonts w:ascii="Arial" w:hAnsi="Arial" w:cs="Arial"/>
                <w:sz w:val="24"/>
                <w:szCs w:val="24"/>
              </w:rPr>
            </w:pPr>
          </w:p>
        </w:tc>
        <w:tc>
          <w:tcPr>
            <w:tcW w:w="3150" w:type="dxa"/>
          </w:tcPr>
          <w:p w14:paraId="587EDCEF" w14:textId="77777777" w:rsidR="00F00E95" w:rsidRPr="00043FBD" w:rsidRDefault="00F00E95" w:rsidP="00610300">
            <w:pPr>
              <w:jc w:val="both"/>
              <w:rPr>
                <w:rFonts w:ascii="Arial" w:hAnsi="Arial" w:cs="Arial"/>
                <w:sz w:val="24"/>
                <w:szCs w:val="24"/>
              </w:rPr>
            </w:pPr>
          </w:p>
        </w:tc>
      </w:tr>
      <w:tr w:rsidR="00F00E95" w:rsidRPr="00043FBD" w14:paraId="14C05885" w14:textId="77777777" w:rsidTr="00610300">
        <w:tc>
          <w:tcPr>
            <w:tcW w:w="6925" w:type="dxa"/>
          </w:tcPr>
          <w:p w14:paraId="7F80CD9F" w14:textId="77777777" w:rsidR="00F00E95" w:rsidRPr="00043FBD" w:rsidRDefault="00F00E95" w:rsidP="00610300">
            <w:pPr>
              <w:jc w:val="right"/>
              <w:rPr>
                <w:rFonts w:ascii="Arial" w:hAnsi="Arial" w:cs="Arial"/>
                <w:b/>
                <w:sz w:val="24"/>
                <w:szCs w:val="24"/>
              </w:rPr>
            </w:pPr>
            <w:r w:rsidRPr="00043FBD">
              <w:rPr>
                <w:rFonts w:ascii="Arial" w:hAnsi="Arial" w:cs="Arial"/>
                <w:b/>
                <w:sz w:val="24"/>
                <w:szCs w:val="24"/>
              </w:rPr>
              <w:t>Total Staff Costs</w:t>
            </w:r>
          </w:p>
        </w:tc>
        <w:tc>
          <w:tcPr>
            <w:tcW w:w="3150" w:type="dxa"/>
          </w:tcPr>
          <w:p w14:paraId="0B5D48D9"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w:t>
            </w:r>
          </w:p>
        </w:tc>
      </w:tr>
    </w:tbl>
    <w:p w14:paraId="321095D2" w14:textId="77777777" w:rsidR="00F00E95" w:rsidRPr="0088248E" w:rsidRDefault="00F00E95" w:rsidP="00F00E95">
      <w:pPr>
        <w:jc w:val="both"/>
        <w:rPr>
          <w:rFonts w:ascii="Arial" w:hAnsi="Arial" w:cs="Arial"/>
          <w: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F00E95" w:rsidRPr="00043FBD" w14:paraId="602B39D1" w14:textId="77777777" w:rsidTr="00610300">
        <w:tc>
          <w:tcPr>
            <w:tcW w:w="6925" w:type="dxa"/>
            <w:shd w:val="clear" w:color="auto" w:fill="C6D9F1"/>
          </w:tcPr>
          <w:p w14:paraId="41507946" w14:textId="77777777" w:rsidR="00F00E95" w:rsidRPr="00043FBD" w:rsidRDefault="00F00E95" w:rsidP="00610300">
            <w:pPr>
              <w:jc w:val="center"/>
              <w:rPr>
                <w:rFonts w:ascii="Arial" w:hAnsi="Arial" w:cs="Arial"/>
                <w:b/>
                <w:sz w:val="24"/>
                <w:szCs w:val="24"/>
              </w:rPr>
            </w:pPr>
            <w:r w:rsidRPr="00043FBD">
              <w:rPr>
                <w:rFonts w:ascii="Arial" w:hAnsi="Arial" w:cs="Arial"/>
                <w:b/>
                <w:sz w:val="24"/>
                <w:szCs w:val="24"/>
              </w:rPr>
              <w:t>Purchased Services – Non-Employees</w:t>
            </w:r>
          </w:p>
        </w:tc>
        <w:tc>
          <w:tcPr>
            <w:tcW w:w="3150" w:type="dxa"/>
            <w:shd w:val="clear" w:color="auto" w:fill="C6D9F1"/>
          </w:tcPr>
          <w:p w14:paraId="4749400E" w14:textId="77777777" w:rsidR="00F00E95" w:rsidRPr="00043FBD" w:rsidRDefault="00F00E95" w:rsidP="00610300">
            <w:pPr>
              <w:jc w:val="center"/>
              <w:rPr>
                <w:rFonts w:ascii="Arial" w:hAnsi="Arial" w:cs="Arial"/>
                <w:b/>
                <w:sz w:val="24"/>
                <w:szCs w:val="24"/>
              </w:rPr>
            </w:pPr>
            <w:r w:rsidRPr="00043FBD">
              <w:rPr>
                <w:rFonts w:ascii="Arial" w:hAnsi="Arial" w:cs="Arial"/>
                <w:b/>
                <w:sz w:val="24"/>
                <w:szCs w:val="24"/>
              </w:rPr>
              <w:t>Projected Costs</w:t>
            </w:r>
          </w:p>
        </w:tc>
      </w:tr>
      <w:tr w:rsidR="00F00E95" w:rsidRPr="00043FBD" w14:paraId="3B9234F6" w14:textId="77777777" w:rsidTr="00610300">
        <w:tc>
          <w:tcPr>
            <w:tcW w:w="6925" w:type="dxa"/>
          </w:tcPr>
          <w:p w14:paraId="7555F3DE"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Consultants (including travel, etc.)</w:t>
            </w:r>
          </w:p>
        </w:tc>
        <w:tc>
          <w:tcPr>
            <w:tcW w:w="3150" w:type="dxa"/>
          </w:tcPr>
          <w:p w14:paraId="7D798FE5"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w:t>
            </w:r>
          </w:p>
        </w:tc>
      </w:tr>
      <w:tr w:rsidR="00F00E95" w:rsidRPr="00043FBD" w14:paraId="279459B2" w14:textId="77777777" w:rsidTr="00610300">
        <w:tc>
          <w:tcPr>
            <w:tcW w:w="6925" w:type="dxa"/>
          </w:tcPr>
          <w:p w14:paraId="73068314"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Other (Describe)</w:t>
            </w:r>
          </w:p>
        </w:tc>
        <w:tc>
          <w:tcPr>
            <w:tcW w:w="3150" w:type="dxa"/>
          </w:tcPr>
          <w:p w14:paraId="5BDF7B91"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w:t>
            </w:r>
          </w:p>
        </w:tc>
      </w:tr>
      <w:tr w:rsidR="00F00E95" w:rsidRPr="00043FBD" w14:paraId="16DA6933" w14:textId="77777777" w:rsidTr="00610300">
        <w:tc>
          <w:tcPr>
            <w:tcW w:w="6925" w:type="dxa"/>
          </w:tcPr>
          <w:p w14:paraId="0141CA59" w14:textId="77777777" w:rsidR="00F00E95" w:rsidRPr="00043FBD" w:rsidRDefault="00F00E95" w:rsidP="00610300">
            <w:pPr>
              <w:jc w:val="both"/>
              <w:rPr>
                <w:rFonts w:ascii="Arial" w:hAnsi="Arial" w:cs="Arial"/>
                <w:b/>
                <w:sz w:val="24"/>
                <w:szCs w:val="24"/>
              </w:rPr>
            </w:pPr>
          </w:p>
        </w:tc>
        <w:tc>
          <w:tcPr>
            <w:tcW w:w="3150" w:type="dxa"/>
          </w:tcPr>
          <w:p w14:paraId="53FC7326" w14:textId="77777777" w:rsidR="00F00E95" w:rsidRPr="00043FBD" w:rsidRDefault="00F00E95" w:rsidP="00610300">
            <w:pPr>
              <w:jc w:val="both"/>
              <w:rPr>
                <w:rFonts w:ascii="Arial" w:hAnsi="Arial" w:cs="Arial"/>
                <w:b/>
                <w:sz w:val="24"/>
                <w:szCs w:val="24"/>
              </w:rPr>
            </w:pPr>
          </w:p>
        </w:tc>
      </w:tr>
      <w:tr w:rsidR="00F00E95" w:rsidRPr="00043FBD" w14:paraId="7BD05720" w14:textId="77777777" w:rsidTr="00610300">
        <w:tc>
          <w:tcPr>
            <w:tcW w:w="6925" w:type="dxa"/>
            <w:tcBorders>
              <w:bottom w:val="single" w:sz="4" w:space="0" w:color="auto"/>
            </w:tcBorders>
          </w:tcPr>
          <w:p w14:paraId="54029A26" w14:textId="77777777" w:rsidR="00F00E95" w:rsidRPr="00043FBD" w:rsidRDefault="00F00E95" w:rsidP="00610300">
            <w:pPr>
              <w:jc w:val="both"/>
              <w:rPr>
                <w:rFonts w:ascii="Arial" w:hAnsi="Arial" w:cs="Arial"/>
                <w:b/>
                <w:sz w:val="24"/>
                <w:szCs w:val="24"/>
              </w:rPr>
            </w:pPr>
          </w:p>
        </w:tc>
        <w:tc>
          <w:tcPr>
            <w:tcW w:w="3150" w:type="dxa"/>
            <w:tcBorders>
              <w:bottom w:val="single" w:sz="4" w:space="0" w:color="auto"/>
            </w:tcBorders>
          </w:tcPr>
          <w:p w14:paraId="02E08EBB" w14:textId="77777777" w:rsidR="00F00E95" w:rsidRPr="00043FBD" w:rsidRDefault="00F00E95" w:rsidP="00610300">
            <w:pPr>
              <w:jc w:val="both"/>
              <w:rPr>
                <w:rFonts w:ascii="Arial" w:hAnsi="Arial" w:cs="Arial"/>
                <w:b/>
                <w:sz w:val="24"/>
                <w:szCs w:val="24"/>
              </w:rPr>
            </w:pPr>
          </w:p>
        </w:tc>
      </w:tr>
      <w:tr w:rsidR="00F00E95" w:rsidRPr="00043FBD" w14:paraId="35FA8DD6" w14:textId="77777777" w:rsidTr="00610300">
        <w:tc>
          <w:tcPr>
            <w:tcW w:w="6925" w:type="dxa"/>
            <w:tcBorders>
              <w:bottom w:val="single" w:sz="4" w:space="0" w:color="auto"/>
            </w:tcBorders>
          </w:tcPr>
          <w:p w14:paraId="02AB5381" w14:textId="77777777" w:rsidR="00F00E95" w:rsidRPr="00043FBD" w:rsidRDefault="00F00E95" w:rsidP="00610300">
            <w:pPr>
              <w:jc w:val="right"/>
              <w:rPr>
                <w:rFonts w:ascii="Arial" w:hAnsi="Arial" w:cs="Arial"/>
                <w:b/>
                <w:sz w:val="24"/>
                <w:szCs w:val="24"/>
              </w:rPr>
            </w:pPr>
            <w:r w:rsidRPr="00043FBD">
              <w:rPr>
                <w:rFonts w:ascii="Arial" w:hAnsi="Arial" w:cs="Arial"/>
                <w:b/>
                <w:sz w:val="24"/>
                <w:szCs w:val="24"/>
              </w:rPr>
              <w:t>Total Purchased Services</w:t>
            </w:r>
          </w:p>
        </w:tc>
        <w:tc>
          <w:tcPr>
            <w:tcW w:w="3150" w:type="dxa"/>
            <w:tcBorders>
              <w:bottom w:val="single" w:sz="4" w:space="0" w:color="auto"/>
            </w:tcBorders>
          </w:tcPr>
          <w:p w14:paraId="01AF1D10"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w:t>
            </w:r>
          </w:p>
        </w:tc>
      </w:tr>
      <w:tr w:rsidR="00F00E95" w:rsidRPr="00043FBD" w14:paraId="2104BB88" w14:textId="77777777" w:rsidTr="00610300">
        <w:trPr>
          <w:trHeight w:val="170"/>
        </w:trPr>
        <w:tc>
          <w:tcPr>
            <w:tcW w:w="6925" w:type="dxa"/>
            <w:tcBorders>
              <w:top w:val="single" w:sz="4" w:space="0" w:color="auto"/>
              <w:left w:val="nil"/>
              <w:bottom w:val="single" w:sz="4" w:space="0" w:color="auto"/>
              <w:right w:val="nil"/>
            </w:tcBorders>
          </w:tcPr>
          <w:p w14:paraId="68201CDB" w14:textId="77777777" w:rsidR="00F00E95" w:rsidRPr="0088248E" w:rsidRDefault="00F00E95" w:rsidP="00610300">
            <w:pPr>
              <w:rPr>
                <w:rFonts w:ascii="Arial" w:hAnsi="Arial" w:cs="Arial"/>
                <w:b/>
              </w:rPr>
            </w:pPr>
          </w:p>
        </w:tc>
        <w:tc>
          <w:tcPr>
            <w:tcW w:w="3150" w:type="dxa"/>
            <w:tcBorders>
              <w:top w:val="single" w:sz="4" w:space="0" w:color="auto"/>
              <w:left w:val="nil"/>
              <w:bottom w:val="single" w:sz="4" w:space="0" w:color="auto"/>
              <w:right w:val="nil"/>
            </w:tcBorders>
          </w:tcPr>
          <w:p w14:paraId="32FFF91E" w14:textId="77777777" w:rsidR="00F00E95" w:rsidRPr="00043FBD" w:rsidRDefault="00F00E95" w:rsidP="00610300">
            <w:pPr>
              <w:jc w:val="both"/>
              <w:rPr>
                <w:rFonts w:ascii="Arial" w:hAnsi="Arial" w:cs="Arial"/>
                <w:b/>
                <w:sz w:val="24"/>
                <w:szCs w:val="24"/>
              </w:rPr>
            </w:pPr>
          </w:p>
        </w:tc>
      </w:tr>
      <w:tr w:rsidR="00F00E95" w:rsidRPr="00043FBD" w14:paraId="0957C706" w14:textId="77777777" w:rsidTr="00610300">
        <w:tc>
          <w:tcPr>
            <w:tcW w:w="6925" w:type="dxa"/>
            <w:tcBorders>
              <w:top w:val="single" w:sz="4" w:space="0" w:color="auto"/>
              <w:left w:val="single" w:sz="4" w:space="0" w:color="auto"/>
              <w:bottom w:val="single" w:sz="4" w:space="0" w:color="auto"/>
              <w:right w:val="single" w:sz="4" w:space="0" w:color="auto"/>
            </w:tcBorders>
            <w:shd w:val="clear" w:color="auto" w:fill="C6D9F1"/>
          </w:tcPr>
          <w:p w14:paraId="4D9B1CC2" w14:textId="77777777" w:rsidR="00F00E95" w:rsidRPr="00043FBD" w:rsidRDefault="00F00E95" w:rsidP="00610300">
            <w:pPr>
              <w:jc w:val="center"/>
              <w:rPr>
                <w:rFonts w:ascii="Arial" w:hAnsi="Arial" w:cs="Arial"/>
                <w:b/>
                <w:sz w:val="24"/>
                <w:szCs w:val="24"/>
              </w:rPr>
            </w:pPr>
            <w:r w:rsidRPr="00043FBD">
              <w:rPr>
                <w:rFonts w:ascii="Arial" w:hAnsi="Arial" w:cs="Arial"/>
                <w:b/>
                <w:sz w:val="24"/>
                <w:szCs w:val="24"/>
              </w:rPr>
              <w:t>Subcontracting – Non-Employees</w:t>
            </w:r>
          </w:p>
        </w:tc>
        <w:tc>
          <w:tcPr>
            <w:tcW w:w="3150" w:type="dxa"/>
            <w:tcBorders>
              <w:top w:val="single" w:sz="4" w:space="0" w:color="auto"/>
              <w:left w:val="single" w:sz="4" w:space="0" w:color="auto"/>
              <w:bottom w:val="single" w:sz="4" w:space="0" w:color="auto"/>
              <w:right w:val="single" w:sz="4" w:space="0" w:color="auto"/>
            </w:tcBorders>
            <w:shd w:val="clear" w:color="auto" w:fill="C6D9F1"/>
          </w:tcPr>
          <w:p w14:paraId="52AB1BD6"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 xml:space="preserve">          Projected Costs</w:t>
            </w:r>
          </w:p>
        </w:tc>
      </w:tr>
      <w:tr w:rsidR="00F00E95" w:rsidRPr="00043FBD" w14:paraId="76F34A2B" w14:textId="77777777" w:rsidTr="00610300">
        <w:tc>
          <w:tcPr>
            <w:tcW w:w="6925" w:type="dxa"/>
            <w:tcBorders>
              <w:top w:val="single" w:sz="4" w:space="0" w:color="auto"/>
              <w:left w:val="single" w:sz="4" w:space="0" w:color="auto"/>
              <w:bottom w:val="single" w:sz="4" w:space="0" w:color="auto"/>
              <w:right w:val="single" w:sz="4" w:space="0" w:color="auto"/>
            </w:tcBorders>
          </w:tcPr>
          <w:p w14:paraId="077AE256" w14:textId="77777777" w:rsidR="00F00E95" w:rsidRPr="00043FBD" w:rsidRDefault="00F00E95" w:rsidP="00610300">
            <w:pPr>
              <w:rPr>
                <w:rFonts w:ascii="Arial" w:hAnsi="Arial" w:cs="Arial"/>
                <w:b/>
                <w:sz w:val="24"/>
                <w:szCs w:val="24"/>
              </w:rPr>
            </w:pPr>
            <w:r w:rsidRPr="00043FBD">
              <w:rPr>
                <w:rFonts w:ascii="Arial" w:hAnsi="Arial" w:cs="Arial"/>
                <w:b/>
                <w:sz w:val="24"/>
                <w:szCs w:val="24"/>
              </w:rPr>
              <w:t>Percentage of non-employee direct personal &amp; related incidental expenses, including travel</w:t>
            </w:r>
          </w:p>
        </w:tc>
        <w:tc>
          <w:tcPr>
            <w:tcW w:w="3150" w:type="dxa"/>
            <w:tcBorders>
              <w:top w:val="single" w:sz="4" w:space="0" w:color="auto"/>
              <w:left w:val="single" w:sz="4" w:space="0" w:color="auto"/>
              <w:bottom w:val="single" w:sz="4" w:space="0" w:color="auto"/>
              <w:right w:val="single" w:sz="4" w:space="0" w:color="auto"/>
            </w:tcBorders>
          </w:tcPr>
          <w:p w14:paraId="1049B6B7"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%_______</w:t>
            </w:r>
          </w:p>
        </w:tc>
      </w:tr>
      <w:tr w:rsidR="00F00E95" w:rsidRPr="00043FBD" w14:paraId="57DDCA61" w14:textId="77777777" w:rsidTr="00610300">
        <w:tc>
          <w:tcPr>
            <w:tcW w:w="6925" w:type="dxa"/>
            <w:tcBorders>
              <w:top w:val="single" w:sz="4" w:space="0" w:color="auto"/>
              <w:left w:val="single" w:sz="4" w:space="0" w:color="auto"/>
              <w:bottom w:val="single" w:sz="4" w:space="0" w:color="auto"/>
              <w:right w:val="single" w:sz="4" w:space="0" w:color="auto"/>
            </w:tcBorders>
          </w:tcPr>
          <w:p w14:paraId="6E713C98" w14:textId="77777777" w:rsidR="00F00E95" w:rsidRPr="00043FBD" w:rsidRDefault="00F00E95" w:rsidP="00610300">
            <w:pPr>
              <w:rPr>
                <w:rFonts w:ascii="Arial" w:hAnsi="Arial" w:cs="Arial"/>
                <w:b/>
                <w:sz w:val="24"/>
                <w:szCs w:val="24"/>
              </w:rPr>
            </w:pPr>
            <w:r w:rsidRPr="00043FBD">
              <w:rPr>
                <w:rFonts w:ascii="Arial" w:hAnsi="Arial" w:cs="Arial"/>
                <w:b/>
                <w:sz w:val="24"/>
                <w:szCs w:val="24"/>
              </w:rPr>
              <w:t>Total Non-Employee Service Items &amp; Incidental Expenses</w:t>
            </w:r>
          </w:p>
        </w:tc>
        <w:tc>
          <w:tcPr>
            <w:tcW w:w="3150" w:type="dxa"/>
            <w:tcBorders>
              <w:top w:val="single" w:sz="4" w:space="0" w:color="auto"/>
              <w:left w:val="single" w:sz="4" w:space="0" w:color="auto"/>
              <w:bottom w:val="single" w:sz="4" w:space="0" w:color="auto"/>
              <w:right w:val="single" w:sz="4" w:space="0" w:color="auto"/>
            </w:tcBorders>
          </w:tcPr>
          <w:p w14:paraId="092E7F7E"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w:t>
            </w:r>
          </w:p>
        </w:tc>
      </w:tr>
    </w:tbl>
    <w:p w14:paraId="72A9E19F" w14:textId="77777777" w:rsidR="00F00E95" w:rsidRPr="0088248E" w:rsidRDefault="00F00E95" w:rsidP="00F00E9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F00E95" w:rsidRPr="00043FBD" w14:paraId="7D87F230" w14:textId="77777777" w:rsidTr="00610300">
        <w:tc>
          <w:tcPr>
            <w:tcW w:w="6925" w:type="dxa"/>
            <w:shd w:val="clear" w:color="auto" w:fill="C6D9F1"/>
            <w:vAlign w:val="center"/>
          </w:tcPr>
          <w:p w14:paraId="7A4190A9" w14:textId="77777777" w:rsidR="00F00E95" w:rsidRPr="00043FBD" w:rsidRDefault="00F00E95" w:rsidP="00610300">
            <w:pPr>
              <w:jc w:val="center"/>
              <w:rPr>
                <w:rFonts w:ascii="Arial" w:hAnsi="Arial" w:cs="Arial"/>
                <w:b/>
                <w:sz w:val="24"/>
                <w:szCs w:val="24"/>
              </w:rPr>
            </w:pPr>
            <w:r w:rsidRPr="00043FBD">
              <w:rPr>
                <w:rFonts w:ascii="Arial" w:hAnsi="Arial" w:cs="Arial"/>
                <w:b/>
                <w:sz w:val="24"/>
                <w:szCs w:val="24"/>
              </w:rPr>
              <w:t>Non-Personal Service Items</w:t>
            </w:r>
          </w:p>
        </w:tc>
        <w:tc>
          <w:tcPr>
            <w:tcW w:w="3145" w:type="dxa"/>
            <w:shd w:val="clear" w:color="auto" w:fill="C6D9F1"/>
            <w:vAlign w:val="center"/>
          </w:tcPr>
          <w:p w14:paraId="4057A5FF" w14:textId="77777777" w:rsidR="00F00E95" w:rsidRPr="00043FBD" w:rsidRDefault="00F00E95" w:rsidP="00610300">
            <w:pPr>
              <w:jc w:val="center"/>
              <w:rPr>
                <w:rFonts w:ascii="Arial" w:hAnsi="Arial" w:cs="Arial"/>
                <w:b/>
                <w:sz w:val="24"/>
                <w:szCs w:val="24"/>
              </w:rPr>
            </w:pPr>
            <w:r w:rsidRPr="00043FBD">
              <w:rPr>
                <w:rFonts w:ascii="Arial" w:hAnsi="Arial" w:cs="Arial"/>
                <w:b/>
                <w:sz w:val="24"/>
                <w:szCs w:val="24"/>
              </w:rPr>
              <w:t>Projected Costs</w:t>
            </w:r>
          </w:p>
        </w:tc>
      </w:tr>
      <w:tr w:rsidR="00F00E95" w:rsidRPr="00043FBD" w14:paraId="59C0695C" w14:textId="77777777" w:rsidTr="00610300">
        <w:tc>
          <w:tcPr>
            <w:tcW w:w="6925" w:type="dxa"/>
          </w:tcPr>
          <w:p w14:paraId="6363115F"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Supplies and Materials</w:t>
            </w:r>
          </w:p>
        </w:tc>
        <w:tc>
          <w:tcPr>
            <w:tcW w:w="3145" w:type="dxa"/>
          </w:tcPr>
          <w:p w14:paraId="6A9E661D"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w:t>
            </w:r>
          </w:p>
        </w:tc>
      </w:tr>
      <w:tr w:rsidR="00F00E95" w:rsidRPr="00043FBD" w14:paraId="6468DC63" w14:textId="77777777" w:rsidTr="00610300">
        <w:tc>
          <w:tcPr>
            <w:tcW w:w="6925" w:type="dxa"/>
          </w:tcPr>
          <w:p w14:paraId="4596CDCE"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Employee Travel</w:t>
            </w:r>
          </w:p>
        </w:tc>
        <w:tc>
          <w:tcPr>
            <w:tcW w:w="3145" w:type="dxa"/>
          </w:tcPr>
          <w:p w14:paraId="45623A71"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w:t>
            </w:r>
          </w:p>
        </w:tc>
      </w:tr>
      <w:tr w:rsidR="00F00E95" w:rsidRPr="00043FBD" w14:paraId="131DE61D" w14:textId="77777777" w:rsidTr="00610300">
        <w:tc>
          <w:tcPr>
            <w:tcW w:w="6925" w:type="dxa"/>
          </w:tcPr>
          <w:p w14:paraId="25DBABEA" w14:textId="77777777" w:rsidR="00F00E95" w:rsidRPr="00043FBD" w:rsidRDefault="00F00E95" w:rsidP="00610300">
            <w:pPr>
              <w:jc w:val="both"/>
              <w:rPr>
                <w:rFonts w:ascii="Arial" w:hAnsi="Arial" w:cs="Arial"/>
                <w:b/>
                <w:sz w:val="24"/>
                <w:szCs w:val="24"/>
              </w:rPr>
            </w:pPr>
          </w:p>
        </w:tc>
        <w:tc>
          <w:tcPr>
            <w:tcW w:w="3145" w:type="dxa"/>
          </w:tcPr>
          <w:p w14:paraId="775F03B3" w14:textId="77777777" w:rsidR="00F00E95" w:rsidRPr="00043FBD" w:rsidRDefault="00F00E95" w:rsidP="00610300">
            <w:pPr>
              <w:jc w:val="both"/>
              <w:rPr>
                <w:rFonts w:ascii="Arial" w:hAnsi="Arial" w:cs="Arial"/>
                <w:b/>
                <w:sz w:val="24"/>
                <w:szCs w:val="24"/>
              </w:rPr>
            </w:pPr>
          </w:p>
        </w:tc>
      </w:tr>
      <w:tr w:rsidR="00F00E95" w:rsidRPr="00043FBD" w14:paraId="31FCABC0" w14:textId="77777777" w:rsidTr="00610300">
        <w:tc>
          <w:tcPr>
            <w:tcW w:w="6925" w:type="dxa"/>
          </w:tcPr>
          <w:p w14:paraId="7D119237" w14:textId="77777777" w:rsidR="00F00E95" w:rsidRPr="00043FBD" w:rsidRDefault="00F00E95" w:rsidP="00610300">
            <w:pPr>
              <w:jc w:val="both"/>
              <w:rPr>
                <w:rFonts w:ascii="Arial" w:hAnsi="Arial" w:cs="Arial"/>
                <w:b/>
                <w:sz w:val="24"/>
                <w:szCs w:val="24"/>
              </w:rPr>
            </w:pPr>
          </w:p>
        </w:tc>
        <w:tc>
          <w:tcPr>
            <w:tcW w:w="3145" w:type="dxa"/>
          </w:tcPr>
          <w:p w14:paraId="26234437" w14:textId="77777777" w:rsidR="00F00E95" w:rsidRPr="00043FBD" w:rsidRDefault="00F00E95" w:rsidP="00610300">
            <w:pPr>
              <w:jc w:val="both"/>
              <w:rPr>
                <w:rFonts w:ascii="Arial" w:hAnsi="Arial" w:cs="Arial"/>
                <w:b/>
                <w:sz w:val="24"/>
                <w:szCs w:val="24"/>
              </w:rPr>
            </w:pPr>
          </w:p>
        </w:tc>
      </w:tr>
      <w:tr w:rsidR="00F00E95" w:rsidRPr="00043FBD" w14:paraId="21D92FEB" w14:textId="77777777" w:rsidTr="00610300">
        <w:tc>
          <w:tcPr>
            <w:tcW w:w="6925" w:type="dxa"/>
          </w:tcPr>
          <w:p w14:paraId="4555C050" w14:textId="77777777" w:rsidR="00F00E95" w:rsidRPr="00043FBD" w:rsidRDefault="00F00E95" w:rsidP="00610300">
            <w:pPr>
              <w:jc w:val="right"/>
              <w:rPr>
                <w:rFonts w:ascii="Arial" w:hAnsi="Arial" w:cs="Arial"/>
                <w:b/>
                <w:sz w:val="24"/>
                <w:szCs w:val="24"/>
              </w:rPr>
            </w:pPr>
            <w:r w:rsidRPr="00043FBD">
              <w:rPr>
                <w:rFonts w:ascii="Arial" w:hAnsi="Arial" w:cs="Arial"/>
                <w:b/>
                <w:sz w:val="24"/>
                <w:szCs w:val="24"/>
              </w:rPr>
              <w:t>Total Non-Personal Service Items</w:t>
            </w:r>
          </w:p>
        </w:tc>
        <w:tc>
          <w:tcPr>
            <w:tcW w:w="3145" w:type="dxa"/>
          </w:tcPr>
          <w:p w14:paraId="05BF958F"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w:t>
            </w:r>
          </w:p>
        </w:tc>
      </w:tr>
    </w:tbl>
    <w:p w14:paraId="24102137" w14:textId="77777777" w:rsidR="00F00E95" w:rsidRPr="0088248E" w:rsidRDefault="00F00E95" w:rsidP="00F00E9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F00E95" w:rsidRPr="00043FBD" w14:paraId="035D988C" w14:textId="77777777" w:rsidTr="00610300">
        <w:tc>
          <w:tcPr>
            <w:tcW w:w="6925" w:type="dxa"/>
            <w:shd w:val="clear" w:color="auto" w:fill="C6D9F1"/>
          </w:tcPr>
          <w:p w14:paraId="19D70277" w14:textId="77777777" w:rsidR="00F00E95" w:rsidRPr="00043FBD" w:rsidRDefault="00F00E95" w:rsidP="00610300">
            <w:pPr>
              <w:jc w:val="center"/>
              <w:rPr>
                <w:rFonts w:ascii="Arial" w:hAnsi="Arial" w:cs="Arial"/>
                <w:b/>
                <w:sz w:val="24"/>
                <w:szCs w:val="24"/>
              </w:rPr>
            </w:pPr>
            <w:r w:rsidRPr="00043FBD">
              <w:rPr>
                <w:rFonts w:ascii="Arial" w:hAnsi="Arial" w:cs="Arial"/>
                <w:b/>
                <w:sz w:val="24"/>
                <w:szCs w:val="24"/>
              </w:rPr>
              <w:t xml:space="preserve">Other Costs </w:t>
            </w:r>
            <w:r w:rsidRPr="00043FBD">
              <w:rPr>
                <w:rFonts w:ascii="Arial" w:hAnsi="Arial" w:cs="Arial"/>
                <w:bCs/>
                <w:sz w:val="24"/>
                <w:szCs w:val="24"/>
              </w:rPr>
              <w:t>(attach list if necessary)</w:t>
            </w:r>
          </w:p>
        </w:tc>
        <w:tc>
          <w:tcPr>
            <w:tcW w:w="3145" w:type="dxa"/>
            <w:shd w:val="clear" w:color="auto" w:fill="C6D9F1"/>
          </w:tcPr>
          <w:p w14:paraId="68864DA5" w14:textId="77777777" w:rsidR="00F00E95" w:rsidRPr="00043FBD" w:rsidRDefault="00F00E95" w:rsidP="00610300">
            <w:pPr>
              <w:jc w:val="center"/>
              <w:rPr>
                <w:rFonts w:ascii="Arial" w:hAnsi="Arial" w:cs="Arial"/>
                <w:b/>
                <w:sz w:val="24"/>
                <w:szCs w:val="24"/>
              </w:rPr>
            </w:pPr>
            <w:r w:rsidRPr="00043FBD">
              <w:rPr>
                <w:rFonts w:ascii="Arial" w:hAnsi="Arial" w:cs="Arial"/>
                <w:b/>
                <w:sz w:val="24"/>
                <w:szCs w:val="24"/>
              </w:rPr>
              <w:t>Projected Costs</w:t>
            </w:r>
          </w:p>
        </w:tc>
      </w:tr>
      <w:tr w:rsidR="00F00E95" w:rsidRPr="00043FBD" w14:paraId="6BA26B57" w14:textId="77777777" w:rsidTr="00610300">
        <w:tc>
          <w:tcPr>
            <w:tcW w:w="6925" w:type="dxa"/>
          </w:tcPr>
          <w:p w14:paraId="38B1F206" w14:textId="77777777" w:rsidR="00F00E95" w:rsidRPr="00043FBD" w:rsidRDefault="00F00E95" w:rsidP="00610300">
            <w:pPr>
              <w:rPr>
                <w:rFonts w:ascii="Arial" w:hAnsi="Arial" w:cs="Arial"/>
                <w:b/>
                <w:sz w:val="24"/>
                <w:szCs w:val="24"/>
              </w:rPr>
            </w:pPr>
            <w:r w:rsidRPr="00043FBD">
              <w:rPr>
                <w:rFonts w:ascii="Arial" w:hAnsi="Arial" w:cs="Arial"/>
                <w:b/>
                <w:sz w:val="24"/>
                <w:szCs w:val="24"/>
              </w:rPr>
              <w:t>Indirect Costs (Rate____%)</w:t>
            </w:r>
          </w:p>
        </w:tc>
        <w:tc>
          <w:tcPr>
            <w:tcW w:w="3145" w:type="dxa"/>
          </w:tcPr>
          <w:p w14:paraId="1D9EAEBE"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w:t>
            </w:r>
          </w:p>
        </w:tc>
      </w:tr>
    </w:tbl>
    <w:p w14:paraId="50FCCAE9" w14:textId="77777777" w:rsidR="00F00E95" w:rsidRPr="0088248E" w:rsidRDefault="00F00E95" w:rsidP="00F00E95">
      <w:pPr>
        <w:jc w:val="both"/>
        <w:rPr>
          <w:rFonts w:ascii="Arial" w:hAnsi="Arial" w:cs="Arial"/>
          <w:b/>
        </w:rPr>
      </w:pPr>
      <w:r w:rsidRPr="00043FBD">
        <w:rPr>
          <w:rFonts w:ascii="Arial"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F00E95" w:rsidRPr="00043FBD" w14:paraId="01FA2008" w14:textId="77777777" w:rsidTr="00610300">
        <w:tc>
          <w:tcPr>
            <w:tcW w:w="10070" w:type="dxa"/>
            <w:gridSpan w:val="2"/>
            <w:shd w:val="clear" w:color="auto" w:fill="C6D9F1"/>
            <w:vAlign w:val="center"/>
          </w:tcPr>
          <w:p w14:paraId="0D01327A" w14:textId="77777777" w:rsidR="00F00E95" w:rsidRPr="00043FBD" w:rsidRDefault="00F00E95" w:rsidP="00610300">
            <w:pPr>
              <w:jc w:val="center"/>
              <w:rPr>
                <w:rFonts w:ascii="Arial" w:hAnsi="Arial" w:cs="Arial"/>
                <w:b/>
                <w:sz w:val="24"/>
                <w:szCs w:val="24"/>
              </w:rPr>
            </w:pPr>
            <w:r w:rsidRPr="00043FBD">
              <w:rPr>
                <w:rFonts w:ascii="Arial" w:hAnsi="Arial" w:cs="Arial"/>
                <w:b/>
                <w:sz w:val="24"/>
                <w:szCs w:val="24"/>
              </w:rPr>
              <w:t>Total Cost</w:t>
            </w:r>
          </w:p>
        </w:tc>
      </w:tr>
      <w:tr w:rsidR="00F00E95" w:rsidRPr="00043FBD" w14:paraId="06C7500E" w14:textId="77777777" w:rsidTr="00610300">
        <w:trPr>
          <w:trHeight w:val="300"/>
        </w:trPr>
        <w:tc>
          <w:tcPr>
            <w:tcW w:w="6925" w:type="dxa"/>
            <w:tcBorders>
              <w:top w:val="single" w:sz="4" w:space="0" w:color="auto"/>
              <w:left w:val="single" w:sz="4" w:space="0" w:color="auto"/>
              <w:bottom w:val="single" w:sz="4" w:space="0" w:color="auto"/>
              <w:right w:val="single" w:sz="4" w:space="0" w:color="auto"/>
            </w:tcBorders>
          </w:tcPr>
          <w:p w14:paraId="73AB7EBD"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Total Project Cost</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1529FC78" w14:textId="77777777" w:rsidR="00F00E95" w:rsidRPr="00043FBD" w:rsidRDefault="00F00E95" w:rsidP="00610300">
            <w:pPr>
              <w:jc w:val="both"/>
              <w:rPr>
                <w:rFonts w:ascii="Arial" w:hAnsi="Arial" w:cs="Arial"/>
                <w:b/>
                <w:sz w:val="24"/>
                <w:szCs w:val="24"/>
              </w:rPr>
            </w:pPr>
            <w:r w:rsidRPr="00043FBD">
              <w:rPr>
                <w:rFonts w:ascii="Arial" w:hAnsi="Arial" w:cs="Arial"/>
                <w:b/>
                <w:sz w:val="24"/>
                <w:szCs w:val="24"/>
              </w:rPr>
              <w:t>$</w:t>
            </w:r>
          </w:p>
        </w:tc>
      </w:tr>
    </w:tbl>
    <w:p w14:paraId="5DF77968" w14:textId="77777777" w:rsidR="00F00E95" w:rsidRDefault="00F00E95" w:rsidP="00F00E95">
      <w:pPr>
        <w:pStyle w:val="DefaultText"/>
        <w:rPr>
          <w:rFonts w:ascii="Arial" w:hAnsi="Arial" w:cs="Arial"/>
          <w:b/>
        </w:rPr>
        <w:sectPr w:rsidR="00F00E95" w:rsidSect="00F00E95">
          <w:headerReference w:type="default" r:id="rId32"/>
          <w:pgSz w:w="12240" w:h="15840" w:code="1"/>
          <w:pgMar w:top="720" w:right="1080" w:bottom="432" w:left="1080" w:header="432" w:footer="288" w:gutter="0"/>
          <w:paperSrc w:first="15" w:other="15"/>
          <w:cols w:space="720"/>
          <w:docGrid w:linePitch="360"/>
        </w:sectPr>
      </w:pPr>
    </w:p>
    <w:p w14:paraId="6A5053DE" w14:textId="7E23E589" w:rsidR="00FE4BEB" w:rsidRPr="00C97934" w:rsidRDefault="00FE4BEB" w:rsidP="007D618A">
      <w:pPr>
        <w:pStyle w:val="DefaultText"/>
        <w:rPr>
          <w:rFonts w:ascii="Arial" w:hAnsi="Arial" w:cs="Arial"/>
          <w:b/>
        </w:rPr>
      </w:pPr>
      <w:r w:rsidRPr="00C97934">
        <w:rPr>
          <w:rFonts w:ascii="Arial" w:hAnsi="Arial" w:cs="Arial"/>
          <w:b/>
        </w:rPr>
        <w:lastRenderedPageBreak/>
        <w:t>APPENDIX</w:t>
      </w:r>
      <w:r w:rsidR="00E65157" w:rsidRPr="00C97934">
        <w:rPr>
          <w:rFonts w:ascii="Arial" w:hAnsi="Arial" w:cs="Arial"/>
          <w:b/>
        </w:rPr>
        <w:t xml:space="preserve"> </w:t>
      </w:r>
      <w:r w:rsidR="00212577">
        <w:rPr>
          <w:rFonts w:ascii="Arial" w:hAnsi="Arial" w:cs="Arial"/>
          <w:b/>
        </w:rPr>
        <w:t>F</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0990995D" w:rsidR="00FE4BEB" w:rsidRPr="00C97934" w:rsidRDefault="00E72D81" w:rsidP="00FE4BEB">
      <w:pPr>
        <w:widowControl/>
        <w:jc w:val="center"/>
        <w:rPr>
          <w:rStyle w:val="InitialStyle"/>
          <w:rFonts w:ascii="Arial" w:hAnsi="Arial" w:cs="Arial"/>
          <w:b/>
          <w:color w:val="FF0000"/>
          <w:sz w:val="28"/>
          <w:szCs w:val="28"/>
        </w:rPr>
      </w:pPr>
      <w:r>
        <w:rPr>
          <w:rFonts w:ascii="Arial" w:hAnsi="Arial" w:cs="Arial"/>
          <w:b/>
          <w:bCs/>
          <w:sz w:val="28"/>
          <w:szCs w:val="28"/>
        </w:rPr>
        <w:t>Office of the Public Advocate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799F2F5"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361C45" w:rsidRPr="00361C45">
        <w:rPr>
          <w:rStyle w:val="InitialStyle"/>
          <w:rFonts w:ascii="Arial" w:hAnsi="Arial" w:cs="Arial"/>
          <w:b/>
          <w:bCs/>
          <w:sz w:val="28"/>
          <w:szCs w:val="28"/>
        </w:rPr>
        <w:t>202504057</w:t>
      </w:r>
    </w:p>
    <w:p w14:paraId="5E041DB6" w14:textId="77777777" w:rsidR="003B07F4" w:rsidRPr="00AF7998" w:rsidRDefault="003B07F4" w:rsidP="003B07F4">
      <w:pPr>
        <w:pStyle w:val="DefaultText"/>
        <w:widowControl/>
        <w:jc w:val="center"/>
        <w:rPr>
          <w:rStyle w:val="InitialStyle"/>
          <w:rFonts w:ascii="Arial" w:hAnsi="Arial" w:cs="Arial"/>
          <w:b/>
          <w:bCs/>
          <w:sz w:val="28"/>
          <w:szCs w:val="28"/>
        </w:rPr>
      </w:pPr>
      <w:r w:rsidRPr="00AF7998">
        <w:rPr>
          <w:rStyle w:val="InitialStyle"/>
          <w:rFonts w:ascii="Arial" w:hAnsi="Arial" w:cs="Arial"/>
          <w:b/>
          <w:bCs/>
          <w:sz w:val="28"/>
          <w:szCs w:val="28"/>
        </w:rPr>
        <w:t>Natural Gas Consultant for the Maine Public Advocate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6"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48893261"/>
            <w:bookmarkEnd w:id="56"/>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bl>
    <w:p w14:paraId="7C37D5AA" w14:textId="69B9DF52" w:rsidR="00EF68D8" w:rsidRPr="00C97934" w:rsidRDefault="00EF68D8" w:rsidP="00C01C76">
      <w:pPr>
        <w:pStyle w:val="DefaultText"/>
        <w:rPr>
          <w:rFonts w:ascii="Arial" w:hAnsi="Arial" w:cs="Arial"/>
          <w:color w:val="000000"/>
        </w:rPr>
      </w:pP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33034" w14:textId="77777777" w:rsidR="009218D7" w:rsidRDefault="009218D7">
      <w:r>
        <w:separator/>
      </w:r>
    </w:p>
  </w:endnote>
  <w:endnote w:type="continuationSeparator" w:id="0">
    <w:p w14:paraId="2AC24C2D" w14:textId="77777777" w:rsidR="009218D7" w:rsidRDefault="009218D7">
      <w:r>
        <w:continuationSeparator/>
      </w:r>
    </w:p>
  </w:endnote>
  <w:endnote w:type="continuationNotice" w:id="1">
    <w:p w14:paraId="11EA8CEF" w14:textId="77777777" w:rsidR="009218D7" w:rsidRDefault="00921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366D042"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361C45">
      <w:rPr>
        <w:rFonts w:ascii="Arial" w:hAnsi="Arial" w:cs="Arial"/>
      </w:rPr>
      <w:t xml:space="preserve"> </w:t>
    </w:r>
    <w:r w:rsidR="00361C45" w:rsidRPr="00361C45">
      <w:rPr>
        <w:rStyle w:val="InitialStyle"/>
        <w:rFonts w:ascii="Arial" w:hAnsi="Arial" w:cs="Arial"/>
        <w:bCs/>
      </w:rPr>
      <w:t>202504057</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BFB21" w14:textId="77777777" w:rsidR="009218D7" w:rsidRDefault="009218D7">
      <w:r>
        <w:separator/>
      </w:r>
    </w:p>
  </w:footnote>
  <w:footnote w:type="continuationSeparator" w:id="0">
    <w:p w14:paraId="5AC8243C" w14:textId="77777777" w:rsidR="009218D7" w:rsidRDefault="009218D7">
      <w:r>
        <w:continuationSeparator/>
      </w:r>
    </w:p>
  </w:footnote>
  <w:footnote w:type="continuationNotice" w:id="1">
    <w:p w14:paraId="14F6068E" w14:textId="77777777" w:rsidR="009218D7" w:rsidRDefault="00921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F00E95" w14:paraId="191DF48E" w14:textId="77777777" w:rsidTr="78BF7322">
      <w:trPr>
        <w:trHeight w:val="300"/>
      </w:trPr>
      <w:tc>
        <w:tcPr>
          <w:tcW w:w="3360" w:type="dxa"/>
        </w:tcPr>
        <w:p w14:paraId="79F9740D" w14:textId="77777777" w:rsidR="00F00E95" w:rsidRDefault="00F00E95" w:rsidP="78BF7322">
          <w:pPr>
            <w:pStyle w:val="Header"/>
            <w:ind w:left="-115"/>
          </w:pPr>
        </w:p>
      </w:tc>
      <w:tc>
        <w:tcPr>
          <w:tcW w:w="3360" w:type="dxa"/>
        </w:tcPr>
        <w:p w14:paraId="71E61ECA" w14:textId="77777777" w:rsidR="00F00E95" w:rsidRDefault="00F00E95" w:rsidP="78BF7322">
          <w:pPr>
            <w:pStyle w:val="Header"/>
            <w:jc w:val="center"/>
          </w:pPr>
        </w:p>
      </w:tc>
      <w:tc>
        <w:tcPr>
          <w:tcW w:w="3360" w:type="dxa"/>
        </w:tcPr>
        <w:p w14:paraId="24382631" w14:textId="77777777" w:rsidR="00F00E95" w:rsidRDefault="00F00E95" w:rsidP="78BF7322">
          <w:pPr>
            <w:pStyle w:val="Header"/>
            <w:ind w:right="-115"/>
            <w:jc w:val="right"/>
          </w:pPr>
        </w:p>
      </w:tc>
    </w:tr>
  </w:tbl>
  <w:p w14:paraId="2D3B9B64" w14:textId="77777777" w:rsidR="00F00E95" w:rsidRDefault="00F00E95"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91799"/>
    <w:multiLevelType w:val="hybridMultilevel"/>
    <w:tmpl w:val="81F2A50E"/>
    <w:lvl w:ilvl="0" w:tplc="A83482B0">
      <w:start w:val="1"/>
      <w:numFmt w:val="decimal"/>
      <w:lvlText w:val="%1."/>
      <w:lvlJc w:val="left"/>
      <w:pPr>
        <w:ind w:left="1440" w:hanging="360"/>
      </w:pPr>
      <w:rPr>
        <w:b/>
        <w:bCs/>
      </w:rPr>
    </w:lvl>
    <w:lvl w:ilvl="1" w:tplc="8C2025A2">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D0825C7"/>
    <w:multiLevelType w:val="hybridMultilevel"/>
    <w:tmpl w:val="BAB08D3C"/>
    <w:lvl w:ilvl="0" w:tplc="A83482B0">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3" w15:restartNumberingAfterBreak="0">
    <w:nsid w:val="74441A10"/>
    <w:multiLevelType w:val="hybridMultilevel"/>
    <w:tmpl w:val="1F788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85A5E3D"/>
    <w:multiLevelType w:val="multilevel"/>
    <w:tmpl w:val="957C35E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8"/>
  </w:num>
  <w:num w:numId="8" w16cid:durableId="1501047047">
    <w:abstractNumId w:val="14"/>
  </w:num>
  <w:num w:numId="9" w16cid:durableId="1334261939">
    <w:abstractNumId w:val="29"/>
  </w:num>
  <w:num w:numId="10" w16cid:durableId="1843814405">
    <w:abstractNumId w:val="44"/>
  </w:num>
  <w:num w:numId="11" w16cid:durableId="1953323980">
    <w:abstractNumId w:val="45"/>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3"/>
  </w:num>
  <w:num w:numId="17" w16cid:durableId="605650896">
    <w:abstractNumId w:val="23"/>
  </w:num>
  <w:num w:numId="18" w16cid:durableId="101464600">
    <w:abstractNumId w:val="19"/>
  </w:num>
  <w:num w:numId="19" w16cid:durableId="920868359">
    <w:abstractNumId w:val="10"/>
  </w:num>
  <w:num w:numId="20" w16cid:durableId="485367836">
    <w:abstractNumId w:val="46"/>
  </w:num>
  <w:num w:numId="21" w16cid:durableId="1115952729">
    <w:abstractNumId w:val="39"/>
  </w:num>
  <w:num w:numId="22" w16cid:durableId="1971209890">
    <w:abstractNumId w:val="6"/>
  </w:num>
  <w:num w:numId="23" w16cid:durableId="323092882">
    <w:abstractNumId w:val="40"/>
  </w:num>
  <w:num w:numId="24" w16cid:durableId="1422681596">
    <w:abstractNumId w:val="4"/>
  </w:num>
  <w:num w:numId="25" w16cid:durableId="617686348">
    <w:abstractNumId w:val="17"/>
  </w:num>
  <w:num w:numId="26" w16cid:durableId="336688223">
    <w:abstractNumId w:val="8"/>
  </w:num>
  <w:num w:numId="27" w16cid:durableId="1554391346">
    <w:abstractNumId w:val="11"/>
  </w:num>
  <w:num w:numId="28" w16cid:durableId="1226650455">
    <w:abstractNumId w:val="24"/>
  </w:num>
  <w:num w:numId="29" w16cid:durableId="535391685">
    <w:abstractNumId w:val="15"/>
  </w:num>
  <w:num w:numId="30" w16cid:durableId="1613396779">
    <w:abstractNumId w:val="25"/>
  </w:num>
  <w:num w:numId="31" w16cid:durableId="1048720105">
    <w:abstractNumId w:val="34"/>
  </w:num>
  <w:num w:numId="32" w16cid:durableId="1904563884">
    <w:abstractNumId w:val="9"/>
  </w:num>
  <w:num w:numId="33" w16cid:durableId="368527472">
    <w:abstractNumId w:val="37"/>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5"/>
  </w:num>
  <w:num w:numId="38" w16cid:durableId="1467120331">
    <w:abstractNumId w:val="26"/>
  </w:num>
  <w:num w:numId="39" w16cid:durableId="1074402332">
    <w:abstractNumId w:val="21"/>
  </w:num>
  <w:num w:numId="40" w16cid:durableId="1685354689">
    <w:abstractNumId w:val="31"/>
  </w:num>
  <w:num w:numId="41" w16cid:durableId="203754380">
    <w:abstractNumId w:val="27"/>
  </w:num>
  <w:num w:numId="42" w16cid:durableId="1523518060">
    <w:abstractNumId w:val="42"/>
  </w:num>
  <w:num w:numId="43" w16cid:durableId="1161116683">
    <w:abstractNumId w:val="36"/>
  </w:num>
  <w:num w:numId="44" w16cid:durableId="723259398">
    <w:abstractNumId w:val="5"/>
  </w:num>
  <w:num w:numId="45" w16cid:durableId="2051681105">
    <w:abstractNumId w:val="43"/>
  </w:num>
  <w:num w:numId="46" w16cid:durableId="742530148">
    <w:abstractNumId w:val="41"/>
  </w:num>
  <w:num w:numId="47" w16cid:durableId="120378698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394D"/>
    <w:rsid w:val="00003B4E"/>
    <w:rsid w:val="000071AC"/>
    <w:rsid w:val="00011898"/>
    <w:rsid w:val="000123BB"/>
    <w:rsid w:val="000129C3"/>
    <w:rsid w:val="000130E6"/>
    <w:rsid w:val="00015741"/>
    <w:rsid w:val="0001618E"/>
    <w:rsid w:val="00017606"/>
    <w:rsid w:val="000177A4"/>
    <w:rsid w:val="000177B5"/>
    <w:rsid w:val="00017EB5"/>
    <w:rsid w:val="00017FAF"/>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5AAD"/>
    <w:rsid w:val="0003727C"/>
    <w:rsid w:val="00037439"/>
    <w:rsid w:val="000378CC"/>
    <w:rsid w:val="00037A91"/>
    <w:rsid w:val="00037BC6"/>
    <w:rsid w:val="000418FC"/>
    <w:rsid w:val="0004203E"/>
    <w:rsid w:val="000427F1"/>
    <w:rsid w:val="00042978"/>
    <w:rsid w:val="000434DC"/>
    <w:rsid w:val="00043F7E"/>
    <w:rsid w:val="00044241"/>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2261"/>
    <w:rsid w:val="0007374C"/>
    <w:rsid w:val="00073CE4"/>
    <w:rsid w:val="00074816"/>
    <w:rsid w:val="000761CB"/>
    <w:rsid w:val="000763D2"/>
    <w:rsid w:val="0008064A"/>
    <w:rsid w:val="00082E53"/>
    <w:rsid w:val="000837DB"/>
    <w:rsid w:val="0008506A"/>
    <w:rsid w:val="000864EC"/>
    <w:rsid w:val="00086DCE"/>
    <w:rsid w:val="00087924"/>
    <w:rsid w:val="00087DA0"/>
    <w:rsid w:val="00087E5E"/>
    <w:rsid w:val="00090AB0"/>
    <w:rsid w:val="00092D14"/>
    <w:rsid w:val="0009354E"/>
    <w:rsid w:val="00093C56"/>
    <w:rsid w:val="000954BA"/>
    <w:rsid w:val="00095BA3"/>
    <w:rsid w:val="00097D53"/>
    <w:rsid w:val="00097F1A"/>
    <w:rsid w:val="000A1A71"/>
    <w:rsid w:val="000A1AA8"/>
    <w:rsid w:val="000A6289"/>
    <w:rsid w:val="000A64F0"/>
    <w:rsid w:val="000A6AFC"/>
    <w:rsid w:val="000A7A59"/>
    <w:rsid w:val="000B4203"/>
    <w:rsid w:val="000B553E"/>
    <w:rsid w:val="000B5ADE"/>
    <w:rsid w:val="000B6A6E"/>
    <w:rsid w:val="000C0044"/>
    <w:rsid w:val="000C015E"/>
    <w:rsid w:val="000C104A"/>
    <w:rsid w:val="000C1460"/>
    <w:rsid w:val="000C1E16"/>
    <w:rsid w:val="000C224F"/>
    <w:rsid w:val="000C513C"/>
    <w:rsid w:val="000D0C40"/>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425"/>
    <w:rsid w:val="000F3A64"/>
    <w:rsid w:val="000F5DCB"/>
    <w:rsid w:val="000F753F"/>
    <w:rsid w:val="001009E5"/>
    <w:rsid w:val="001011C2"/>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B38"/>
    <w:rsid w:val="00117E93"/>
    <w:rsid w:val="0012166E"/>
    <w:rsid w:val="00123762"/>
    <w:rsid w:val="00124440"/>
    <w:rsid w:val="00124485"/>
    <w:rsid w:val="00124ADF"/>
    <w:rsid w:val="00124B8E"/>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4A3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0D89"/>
    <w:rsid w:val="001812A2"/>
    <w:rsid w:val="00181CAB"/>
    <w:rsid w:val="0018241E"/>
    <w:rsid w:val="00183521"/>
    <w:rsid w:val="0018396D"/>
    <w:rsid w:val="00184314"/>
    <w:rsid w:val="001863AD"/>
    <w:rsid w:val="00186A94"/>
    <w:rsid w:val="00187E7E"/>
    <w:rsid w:val="00190216"/>
    <w:rsid w:val="00190492"/>
    <w:rsid w:val="001904CD"/>
    <w:rsid w:val="0019070A"/>
    <w:rsid w:val="001911A7"/>
    <w:rsid w:val="00192132"/>
    <w:rsid w:val="0019585B"/>
    <w:rsid w:val="001958B4"/>
    <w:rsid w:val="00196985"/>
    <w:rsid w:val="00197669"/>
    <w:rsid w:val="001978E0"/>
    <w:rsid w:val="001A1037"/>
    <w:rsid w:val="001A350D"/>
    <w:rsid w:val="001A644E"/>
    <w:rsid w:val="001A77C8"/>
    <w:rsid w:val="001B103E"/>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9B8"/>
    <w:rsid w:val="00203AEE"/>
    <w:rsid w:val="00204C14"/>
    <w:rsid w:val="0020582C"/>
    <w:rsid w:val="00206B04"/>
    <w:rsid w:val="00207711"/>
    <w:rsid w:val="00211E05"/>
    <w:rsid w:val="002123AC"/>
    <w:rsid w:val="00212577"/>
    <w:rsid w:val="00212618"/>
    <w:rsid w:val="00212FED"/>
    <w:rsid w:val="00213C3A"/>
    <w:rsid w:val="00214370"/>
    <w:rsid w:val="00214F9E"/>
    <w:rsid w:val="002160AF"/>
    <w:rsid w:val="0021669A"/>
    <w:rsid w:val="0021722C"/>
    <w:rsid w:val="00217290"/>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24BA"/>
    <w:rsid w:val="00246AD0"/>
    <w:rsid w:val="00250319"/>
    <w:rsid w:val="002510E0"/>
    <w:rsid w:val="00251EA8"/>
    <w:rsid w:val="0025219A"/>
    <w:rsid w:val="0025279E"/>
    <w:rsid w:val="00252FFC"/>
    <w:rsid w:val="0025317C"/>
    <w:rsid w:val="00253D55"/>
    <w:rsid w:val="00254FD3"/>
    <w:rsid w:val="00260702"/>
    <w:rsid w:val="002607CB"/>
    <w:rsid w:val="00260803"/>
    <w:rsid w:val="00261A00"/>
    <w:rsid w:val="00263D1A"/>
    <w:rsid w:val="00264731"/>
    <w:rsid w:val="0026540D"/>
    <w:rsid w:val="00265B72"/>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0F5"/>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47F3"/>
    <w:rsid w:val="002D59A5"/>
    <w:rsid w:val="002D6435"/>
    <w:rsid w:val="002E0360"/>
    <w:rsid w:val="002E313E"/>
    <w:rsid w:val="002E6FFF"/>
    <w:rsid w:val="002F0869"/>
    <w:rsid w:val="002F0D03"/>
    <w:rsid w:val="002F1824"/>
    <w:rsid w:val="002F4182"/>
    <w:rsid w:val="002F5835"/>
    <w:rsid w:val="002F6869"/>
    <w:rsid w:val="002F6E86"/>
    <w:rsid w:val="003019E2"/>
    <w:rsid w:val="00303AB2"/>
    <w:rsid w:val="00304186"/>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1B4F"/>
    <w:rsid w:val="00321EBC"/>
    <w:rsid w:val="00322B22"/>
    <w:rsid w:val="00324D03"/>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474B7"/>
    <w:rsid w:val="0035046A"/>
    <w:rsid w:val="00351845"/>
    <w:rsid w:val="00351B8A"/>
    <w:rsid w:val="00354B01"/>
    <w:rsid w:val="00356D97"/>
    <w:rsid w:val="0035794A"/>
    <w:rsid w:val="00357B21"/>
    <w:rsid w:val="00361C45"/>
    <w:rsid w:val="00362031"/>
    <w:rsid w:val="00363972"/>
    <w:rsid w:val="00364B81"/>
    <w:rsid w:val="003651C8"/>
    <w:rsid w:val="003652A0"/>
    <w:rsid w:val="0036727D"/>
    <w:rsid w:val="00367E5D"/>
    <w:rsid w:val="00372001"/>
    <w:rsid w:val="00372C33"/>
    <w:rsid w:val="00372CFA"/>
    <w:rsid w:val="00372D1F"/>
    <w:rsid w:val="00375FE5"/>
    <w:rsid w:val="003760DE"/>
    <w:rsid w:val="0037656D"/>
    <w:rsid w:val="0037658D"/>
    <w:rsid w:val="003778D4"/>
    <w:rsid w:val="00377F3D"/>
    <w:rsid w:val="003801AC"/>
    <w:rsid w:val="003807B4"/>
    <w:rsid w:val="00380CD8"/>
    <w:rsid w:val="00380FBD"/>
    <w:rsid w:val="003812F4"/>
    <w:rsid w:val="00381602"/>
    <w:rsid w:val="00381CAB"/>
    <w:rsid w:val="00382715"/>
    <w:rsid w:val="003835A0"/>
    <w:rsid w:val="0038473D"/>
    <w:rsid w:val="0038507E"/>
    <w:rsid w:val="003869DC"/>
    <w:rsid w:val="0038707C"/>
    <w:rsid w:val="00387E48"/>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556"/>
    <w:rsid w:val="003B07F4"/>
    <w:rsid w:val="003B0E9B"/>
    <w:rsid w:val="003B1648"/>
    <w:rsid w:val="003B1BD2"/>
    <w:rsid w:val="003B43AD"/>
    <w:rsid w:val="003B4451"/>
    <w:rsid w:val="003B50A4"/>
    <w:rsid w:val="003B53B8"/>
    <w:rsid w:val="003B750A"/>
    <w:rsid w:val="003B794D"/>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16AC"/>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B56"/>
    <w:rsid w:val="00413ED0"/>
    <w:rsid w:val="00413F93"/>
    <w:rsid w:val="0041496A"/>
    <w:rsid w:val="00415D91"/>
    <w:rsid w:val="00416830"/>
    <w:rsid w:val="00420536"/>
    <w:rsid w:val="00420D9F"/>
    <w:rsid w:val="004228B2"/>
    <w:rsid w:val="00422AFD"/>
    <w:rsid w:val="00423000"/>
    <w:rsid w:val="00424CFD"/>
    <w:rsid w:val="00425D3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81C"/>
    <w:rsid w:val="00443D5B"/>
    <w:rsid w:val="004456EA"/>
    <w:rsid w:val="004463A7"/>
    <w:rsid w:val="004505F7"/>
    <w:rsid w:val="00450B50"/>
    <w:rsid w:val="0045118B"/>
    <w:rsid w:val="004523A6"/>
    <w:rsid w:val="00452A2E"/>
    <w:rsid w:val="00452E38"/>
    <w:rsid w:val="00452EFD"/>
    <w:rsid w:val="0045518F"/>
    <w:rsid w:val="004552A5"/>
    <w:rsid w:val="00456896"/>
    <w:rsid w:val="00456BA9"/>
    <w:rsid w:val="00456EB8"/>
    <w:rsid w:val="004571D2"/>
    <w:rsid w:val="00457CD9"/>
    <w:rsid w:val="004610F6"/>
    <w:rsid w:val="0046186F"/>
    <w:rsid w:val="00461D94"/>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0FD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4A3"/>
    <w:rsid w:val="004B4AB4"/>
    <w:rsid w:val="004B69CF"/>
    <w:rsid w:val="004B6E47"/>
    <w:rsid w:val="004B7A3A"/>
    <w:rsid w:val="004C19B2"/>
    <w:rsid w:val="004C1DCB"/>
    <w:rsid w:val="004C2FA6"/>
    <w:rsid w:val="004C3D91"/>
    <w:rsid w:val="004C4677"/>
    <w:rsid w:val="004C5088"/>
    <w:rsid w:val="004C5EE7"/>
    <w:rsid w:val="004C6CF9"/>
    <w:rsid w:val="004C6E89"/>
    <w:rsid w:val="004C73A9"/>
    <w:rsid w:val="004D0D3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0E1D"/>
    <w:rsid w:val="004F332F"/>
    <w:rsid w:val="004F3D57"/>
    <w:rsid w:val="004F4524"/>
    <w:rsid w:val="004F58E1"/>
    <w:rsid w:val="004F5B74"/>
    <w:rsid w:val="004F60FC"/>
    <w:rsid w:val="004F65A0"/>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294F"/>
    <w:rsid w:val="005536EF"/>
    <w:rsid w:val="005536FD"/>
    <w:rsid w:val="0055472F"/>
    <w:rsid w:val="00554B0D"/>
    <w:rsid w:val="0055724D"/>
    <w:rsid w:val="00557F71"/>
    <w:rsid w:val="00557FFC"/>
    <w:rsid w:val="005600F1"/>
    <w:rsid w:val="00560B17"/>
    <w:rsid w:val="00560B80"/>
    <w:rsid w:val="00560BF7"/>
    <w:rsid w:val="00561251"/>
    <w:rsid w:val="00561467"/>
    <w:rsid w:val="00561CC8"/>
    <w:rsid w:val="00563B7C"/>
    <w:rsid w:val="00565720"/>
    <w:rsid w:val="00566018"/>
    <w:rsid w:val="0056615A"/>
    <w:rsid w:val="005669D1"/>
    <w:rsid w:val="005677F4"/>
    <w:rsid w:val="00570116"/>
    <w:rsid w:val="005731D7"/>
    <w:rsid w:val="005734DA"/>
    <w:rsid w:val="00575794"/>
    <w:rsid w:val="0058045B"/>
    <w:rsid w:val="00580A16"/>
    <w:rsid w:val="0058115D"/>
    <w:rsid w:val="00581E6B"/>
    <w:rsid w:val="00583A7B"/>
    <w:rsid w:val="00584F19"/>
    <w:rsid w:val="005859C1"/>
    <w:rsid w:val="00585A88"/>
    <w:rsid w:val="00585F88"/>
    <w:rsid w:val="005861FC"/>
    <w:rsid w:val="00586953"/>
    <w:rsid w:val="0058757E"/>
    <w:rsid w:val="00587D12"/>
    <w:rsid w:val="00590521"/>
    <w:rsid w:val="00592450"/>
    <w:rsid w:val="00597160"/>
    <w:rsid w:val="00597659"/>
    <w:rsid w:val="00597DD2"/>
    <w:rsid w:val="00597EE2"/>
    <w:rsid w:val="005A3AEE"/>
    <w:rsid w:val="005A45AB"/>
    <w:rsid w:val="005A51D2"/>
    <w:rsid w:val="005A5D18"/>
    <w:rsid w:val="005A7F1E"/>
    <w:rsid w:val="005B03A6"/>
    <w:rsid w:val="005B2BB8"/>
    <w:rsid w:val="005B2EA7"/>
    <w:rsid w:val="005B41D4"/>
    <w:rsid w:val="005B4C93"/>
    <w:rsid w:val="005B6890"/>
    <w:rsid w:val="005B70E1"/>
    <w:rsid w:val="005C3EA1"/>
    <w:rsid w:val="005C46B2"/>
    <w:rsid w:val="005C4D4B"/>
    <w:rsid w:val="005D1688"/>
    <w:rsid w:val="005D17C0"/>
    <w:rsid w:val="005D356F"/>
    <w:rsid w:val="005D419D"/>
    <w:rsid w:val="005D4303"/>
    <w:rsid w:val="005D64BF"/>
    <w:rsid w:val="005D78B4"/>
    <w:rsid w:val="005E01BF"/>
    <w:rsid w:val="005E0D92"/>
    <w:rsid w:val="005E188B"/>
    <w:rsid w:val="005E1A90"/>
    <w:rsid w:val="005E1B85"/>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0300"/>
    <w:rsid w:val="00611901"/>
    <w:rsid w:val="00613954"/>
    <w:rsid w:val="00615389"/>
    <w:rsid w:val="0061561E"/>
    <w:rsid w:val="006168CD"/>
    <w:rsid w:val="00616DCB"/>
    <w:rsid w:val="00617DB5"/>
    <w:rsid w:val="00623B25"/>
    <w:rsid w:val="00623DBE"/>
    <w:rsid w:val="006247F2"/>
    <w:rsid w:val="0062519E"/>
    <w:rsid w:val="00626955"/>
    <w:rsid w:val="0062711D"/>
    <w:rsid w:val="00627485"/>
    <w:rsid w:val="00627E81"/>
    <w:rsid w:val="00630625"/>
    <w:rsid w:val="00631A66"/>
    <w:rsid w:val="00631D5E"/>
    <w:rsid w:val="006352BD"/>
    <w:rsid w:val="00635571"/>
    <w:rsid w:val="00635617"/>
    <w:rsid w:val="00636316"/>
    <w:rsid w:val="006402F1"/>
    <w:rsid w:val="00641162"/>
    <w:rsid w:val="006419D3"/>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5D44"/>
    <w:rsid w:val="006664BB"/>
    <w:rsid w:val="00666B50"/>
    <w:rsid w:val="00670E78"/>
    <w:rsid w:val="006719FB"/>
    <w:rsid w:val="0067346F"/>
    <w:rsid w:val="00673750"/>
    <w:rsid w:val="006742B0"/>
    <w:rsid w:val="0067513E"/>
    <w:rsid w:val="006778D6"/>
    <w:rsid w:val="006818D7"/>
    <w:rsid w:val="00681DF2"/>
    <w:rsid w:val="0068279E"/>
    <w:rsid w:val="00682A6A"/>
    <w:rsid w:val="006842D0"/>
    <w:rsid w:val="00684AB2"/>
    <w:rsid w:val="00684D1B"/>
    <w:rsid w:val="00685271"/>
    <w:rsid w:val="00687B27"/>
    <w:rsid w:val="006946AD"/>
    <w:rsid w:val="00694D83"/>
    <w:rsid w:val="00695345"/>
    <w:rsid w:val="00695484"/>
    <w:rsid w:val="006962F4"/>
    <w:rsid w:val="00697EC4"/>
    <w:rsid w:val="006A160C"/>
    <w:rsid w:val="006A1666"/>
    <w:rsid w:val="006A2461"/>
    <w:rsid w:val="006A55F8"/>
    <w:rsid w:val="006A5937"/>
    <w:rsid w:val="006A621B"/>
    <w:rsid w:val="006A68B8"/>
    <w:rsid w:val="006A77C1"/>
    <w:rsid w:val="006B1168"/>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45EF"/>
    <w:rsid w:val="006C58E4"/>
    <w:rsid w:val="006C5B32"/>
    <w:rsid w:val="006C708D"/>
    <w:rsid w:val="006C712B"/>
    <w:rsid w:val="006D026D"/>
    <w:rsid w:val="006D38BD"/>
    <w:rsid w:val="006D3EA9"/>
    <w:rsid w:val="006D47AA"/>
    <w:rsid w:val="006D4996"/>
    <w:rsid w:val="006D6091"/>
    <w:rsid w:val="006D71B7"/>
    <w:rsid w:val="006E312F"/>
    <w:rsid w:val="006E3145"/>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067E0"/>
    <w:rsid w:val="00710156"/>
    <w:rsid w:val="00710948"/>
    <w:rsid w:val="00710E27"/>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013"/>
    <w:rsid w:val="00736632"/>
    <w:rsid w:val="0073752F"/>
    <w:rsid w:val="00740BAD"/>
    <w:rsid w:val="00742E63"/>
    <w:rsid w:val="00744658"/>
    <w:rsid w:val="00744C04"/>
    <w:rsid w:val="00744EBF"/>
    <w:rsid w:val="00746C42"/>
    <w:rsid w:val="00746EA3"/>
    <w:rsid w:val="0075395B"/>
    <w:rsid w:val="00754AF6"/>
    <w:rsid w:val="007557FA"/>
    <w:rsid w:val="00756780"/>
    <w:rsid w:val="0076081A"/>
    <w:rsid w:val="0076082D"/>
    <w:rsid w:val="007614DA"/>
    <w:rsid w:val="00761E02"/>
    <w:rsid w:val="00762AA5"/>
    <w:rsid w:val="00764460"/>
    <w:rsid w:val="0076576C"/>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1AA2"/>
    <w:rsid w:val="00782343"/>
    <w:rsid w:val="0078252F"/>
    <w:rsid w:val="0078423E"/>
    <w:rsid w:val="00785BFD"/>
    <w:rsid w:val="007903CE"/>
    <w:rsid w:val="00791DF1"/>
    <w:rsid w:val="00792777"/>
    <w:rsid w:val="00793906"/>
    <w:rsid w:val="00794E3C"/>
    <w:rsid w:val="007955F7"/>
    <w:rsid w:val="00795DD3"/>
    <w:rsid w:val="00797A9D"/>
    <w:rsid w:val="00797F8E"/>
    <w:rsid w:val="007A1E9E"/>
    <w:rsid w:val="007A344B"/>
    <w:rsid w:val="007A3858"/>
    <w:rsid w:val="007A4613"/>
    <w:rsid w:val="007A4D43"/>
    <w:rsid w:val="007A6474"/>
    <w:rsid w:val="007A6733"/>
    <w:rsid w:val="007A70FF"/>
    <w:rsid w:val="007A74FA"/>
    <w:rsid w:val="007B047D"/>
    <w:rsid w:val="007B1FEB"/>
    <w:rsid w:val="007B20EC"/>
    <w:rsid w:val="007B228B"/>
    <w:rsid w:val="007B3AAF"/>
    <w:rsid w:val="007B53AD"/>
    <w:rsid w:val="007B5C6D"/>
    <w:rsid w:val="007C058B"/>
    <w:rsid w:val="007C16A5"/>
    <w:rsid w:val="007C22A8"/>
    <w:rsid w:val="007C2BA8"/>
    <w:rsid w:val="007C32DA"/>
    <w:rsid w:val="007C5544"/>
    <w:rsid w:val="007C7AD4"/>
    <w:rsid w:val="007D104C"/>
    <w:rsid w:val="007D2DD4"/>
    <w:rsid w:val="007D3784"/>
    <w:rsid w:val="007D45CA"/>
    <w:rsid w:val="007D4676"/>
    <w:rsid w:val="007D4A7E"/>
    <w:rsid w:val="007D50B8"/>
    <w:rsid w:val="007D618A"/>
    <w:rsid w:val="007E094E"/>
    <w:rsid w:val="007E144E"/>
    <w:rsid w:val="007E1D3B"/>
    <w:rsid w:val="007E2231"/>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15E0"/>
    <w:rsid w:val="00804558"/>
    <w:rsid w:val="008045A6"/>
    <w:rsid w:val="0080521F"/>
    <w:rsid w:val="00805BFB"/>
    <w:rsid w:val="00806B17"/>
    <w:rsid w:val="00806E48"/>
    <w:rsid w:val="00807568"/>
    <w:rsid w:val="00810D5E"/>
    <w:rsid w:val="008112C8"/>
    <w:rsid w:val="00811B27"/>
    <w:rsid w:val="0081250F"/>
    <w:rsid w:val="00812811"/>
    <w:rsid w:val="00813281"/>
    <w:rsid w:val="00813ABE"/>
    <w:rsid w:val="00813DAD"/>
    <w:rsid w:val="00816F41"/>
    <w:rsid w:val="008179FE"/>
    <w:rsid w:val="00820062"/>
    <w:rsid w:val="0082009B"/>
    <w:rsid w:val="008207BD"/>
    <w:rsid w:val="00821ED4"/>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5D7A"/>
    <w:rsid w:val="00857D88"/>
    <w:rsid w:val="0086009F"/>
    <w:rsid w:val="0086159D"/>
    <w:rsid w:val="0086367C"/>
    <w:rsid w:val="008640CE"/>
    <w:rsid w:val="0086437D"/>
    <w:rsid w:val="008648F7"/>
    <w:rsid w:val="00867470"/>
    <w:rsid w:val="00867F24"/>
    <w:rsid w:val="00867F9A"/>
    <w:rsid w:val="0087041F"/>
    <w:rsid w:val="00872363"/>
    <w:rsid w:val="008723C3"/>
    <w:rsid w:val="00872890"/>
    <w:rsid w:val="00874591"/>
    <w:rsid w:val="00875568"/>
    <w:rsid w:val="008757B0"/>
    <w:rsid w:val="00875C2B"/>
    <w:rsid w:val="008763E8"/>
    <w:rsid w:val="00876812"/>
    <w:rsid w:val="008801E5"/>
    <w:rsid w:val="008810DA"/>
    <w:rsid w:val="00881237"/>
    <w:rsid w:val="00881E89"/>
    <w:rsid w:val="0088248E"/>
    <w:rsid w:val="0088281D"/>
    <w:rsid w:val="00882FAB"/>
    <w:rsid w:val="00884FC8"/>
    <w:rsid w:val="00884FDA"/>
    <w:rsid w:val="008854AD"/>
    <w:rsid w:val="00886546"/>
    <w:rsid w:val="0088682F"/>
    <w:rsid w:val="00890025"/>
    <w:rsid w:val="00890AFF"/>
    <w:rsid w:val="008920D1"/>
    <w:rsid w:val="00894428"/>
    <w:rsid w:val="00897520"/>
    <w:rsid w:val="008A02BA"/>
    <w:rsid w:val="008A05DF"/>
    <w:rsid w:val="008A0B45"/>
    <w:rsid w:val="008A5E16"/>
    <w:rsid w:val="008A642E"/>
    <w:rsid w:val="008A753C"/>
    <w:rsid w:val="008A7B35"/>
    <w:rsid w:val="008A7C6B"/>
    <w:rsid w:val="008B00D8"/>
    <w:rsid w:val="008B1286"/>
    <w:rsid w:val="008B1414"/>
    <w:rsid w:val="008B143A"/>
    <w:rsid w:val="008B1834"/>
    <w:rsid w:val="008B33B5"/>
    <w:rsid w:val="008B4E4F"/>
    <w:rsid w:val="008B614D"/>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2A77"/>
    <w:rsid w:val="008E34B6"/>
    <w:rsid w:val="008E379F"/>
    <w:rsid w:val="008E468D"/>
    <w:rsid w:val="008E4FC0"/>
    <w:rsid w:val="008E5B4B"/>
    <w:rsid w:val="008F0C19"/>
    <w:rsid w:val="008F3ABB"/>
    <w:rsid w:val="008F4B74"/>
    <w:rsid w:val="008F57CC"/>
    <w:rsid w:val="008F5C0D"/>
    <w:rsid w:val="008F5E03"/>
    <w:rsid w:val="008F6867"/>
    <w:rsid w:val="008F6D65"/>
    <w:rsid w:val="008F6FF4"/>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18D7"/>
    <w:rsid w:val="00923DD9"/>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2CD0"/>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43F"/>
    <w:rsid w:val="009858A0"/>
    <w:rsid w:val="009870DB"/>
    <w:rsid w:val="009878CC"/>
    <w:rsid w:val="009918F1"/>
    <w:rsid w:val="009926CC"/>
    <w:rsid w:val="00995444"/>
    <w:rsid w:val="0099577A"/>
    <w:rsid w:val="009967C0"/>
    <w:rsid w:val="00997D05"/>
    <w:rsid w:val="00997F19"/>
    <w:rsid w:val="009A0975"/>
    <w:rsid w:val="009A3474"/>
    <w:rsid w:val="009A3B22"/>
    <w:rsid w:val="009A49AF"/>
    <w:rsid w:val="009A5CE8"/>
    <w:rsid w:val="009A6057"/>
    <w:rsid w:val="009B08BA"/>
    <w:rsid w:val="009B1786"/>
    <w:rsid w:val="009B22C4"/>
    <w:rsid w:val="009B3C26"/>
    <w:rsid w:val="009B43B4"/>
    <w:rsid w:val="009B52EF"/>
    <w:rsid w:val="009B6955"/>
    <w:rsid w:val="009B6DA9"/>
    <w:rsid w:val="009B743B"/>
    <w:rsid w:val="009B78B3"/>
    <w:rsid w:val="009B7EEB"/>
    <w:rsid w:val="009C066A"/>
    <w:rsid w:val="009C082C"/>
    <w:rsid w:val="009C102F"/>
    <w:rsid w:val="009C1C89"/>
    <w:rsid w:val="009C323B"/>
    <w:rsid w:val="009C3380"/>
    <w:rsid w:val="009C3A78"/>
    <w:rsid w:val="009C6DA0"/>
    <w:rsid w:val="009D084C"/>
    <w:rsid w:val="009D1F7A"/>
    <w:rsid w:val="009D278A"/>
    <w:rsid w:val="009D3C5E"/>
    <w:rsid w:val="009D5BE7"/>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2FD1"/>
    <w:rsid w:val="009F3714"/>
    <w:rsid w:val="009F38C6"/>
    <w:rsid w:val="009F4F1B"/>
    <w:rsid w:val="009F5ADE"/>
    <w:rsid w:val="009F6F53"/>
    <w:rsid w:val="00A00136"/>
    <w:rsid w:val="00A01495"/>
    <w:rsid w:val="00A0173C"/>
    <w:rsid w:val="00A029E2"/>
    <w:rsid w:val="00A05321"/>
    <w:rsid w:val="00A104BC"/>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09E"/>
    <w:rsid w:val="00A366E8"/>
    <w:rsid w:val="00A37957"/>
    <w:rsid w:val="00A41ABA"/>
    <w:rsid w:val="00A42426"/>
    <w:rsid w:val="00A4353B"/>
    <w:rsid w:val="00A44001"/>
    <w:rsid w:val="00A4418F"/>
    <w:rsid w:val="00A449E6"/>
    <w:rsid w:val="00A46A52"/>
    <w:rsid w:val="00A470A8"/>
    <w:rsid w:val="00A47707"/>
    <w:rsid w:val="00A50F2B"/>
    <w:rsid w:val="00A5398B"/>
    <w:rsid w:val="00A53A1F"/>
    <w:rsid w:val="00A545AB"/>
    <w:rsid w:val="00A55C89"/>
    <w:rsid w:val="00A57282"/>
    <w:rsid w:val="00A576B1"/>
    <w:rsid w:val="00A60BD2"/>
    <w:rsid w:val="00A618A4"/>
    <w:rsid w:val="00A61FFB"/>
    <w:rsid w:val="00A62F45"/>
    <w:rsid w:val="00A636FF"/>
    <w:rsid w:val="00A63826"/>
    <w:rsid w:val="00A63BF4"/>
    <w:rsid w:val="00A6522F"/>
    <w:rsid w:val="00A665C2"/>
    <w:rsid w:val="00A66F93"/>
    <w:rsid w:val="00A67FDB"/>
    <w:rsid w:val="00A70CD4"/>
    <w:rsid w:val="00A73DDD"/>
    <w:rsid w:val="00A7426A"/>
    <w:rsid w:val="00A748B2"/>
    <w:rsid w:val="00A7651E"/>
    <w:rsid w:val="00A803DF"/>
    <w:rsid w:val="00A805C5"/>
    <w:rsid w:val="00A828B4"/>
    <w:rsid w:val="00A832B6"/>
    <w:rsid w:val="00A83306"/>
    <w:rsid w:val="00A8350B"/>
    <w:rsid w:val="00A836E5"/>
    <w:rsid w:val="00A844E2"/>
    <w:rsid w:val="00A84FC2"/>
    <w:rsid w:val="00A85025"/>
    <w:rsid w:val="00A86281"/>
    <w:rsid w:val="00A868B9"/>
    <w:rsid w:val="00A9242B"/>
    <w:rsid w:val="00A92D21"/>
    <w:rsid w:val="00A9453E"/>
    <w:rsid w:val="00A94F0E"/>
    <w:rsid w:val="00A95B1F"/>
    <w:rsid w:val="00A95EA6"/>
    <w:rsid w:val="00A9613F"/>
    <w:rsid w:val="00A97BD0"/>
    <w:rsid w:val="00AA08AC"/>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5D3F"/>
    <w:rsid w:val="00AC6FD1"/>
    <w:rsid w:val="00AD1400"/>
    <w:rsid w:val="00AD18AA"/>
    <w:rsid w:val="00AD2581"/>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998"/>
    <w:rsid w:val="00AF7BDE"/>
    <w:rsid w:val="00B011F3"/>
    <w:rsid w:val="00B01C42"/>
    <w:rsid w:val="00B02079"/>
    <w:rsid w:val="00B0312C"/>
    <w:rsid w:val="00B03502"/>
    <w:rsid w:val="00B04BAE"/>
    <w:rsid w:val="00B052ED"/>
    <w:rsid w:val="00B0617D"/>
    <w:rsid w:val="00B06933"/>
    <w:rsid w:val="00B06E9D"/>
    <w:rsid w:val="00B07E2B"/>
    <w:rsid w:val="00B10490"/>
    <w:rsid w:val="00B10D59"/>
    <w:rsid w:val="00B12678"/>
    <w:rsid w:val="00B12DF7"/>
    <w:rsid w:val="00B13F51"/>
    <w:rsid w:val="00B14C1B"/>
    <w:rsid w:val="00B14DB7"/>
    <w:rsid w:val="00B152A2"/>
    <w:rsid w:val="00B1697A"/>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46D5F"/>
    <w:rsid w:val="00B50D9C"/>
    <w:rsid w:val="00B51397"/>
    <w:rsid w:val="00B51518"/>
    <w:rsid w:val="00B51AF6"/>
    <w:rsid w:val="00B51D09"/>
    <w:rsid w:val="00B52627"/>
    <w:rsid w:val="00B52958"/>
    <w:rsid w:val="00B529FC"/>
    <w:rsid w:val="00B57141"/>
    <w:rsid w:val="00B64C68"/>
    <w:rsid w:val="00B64EF7"/>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83E"/>
    <w:rsid w:val="00B92EC1"/>
    <w:rsid w:val="00B93A0A"/>
    <w:rsid w:val="00B93C4C"/>
    <w:rsid w:val="00B9558E"/>
    <w:rsid w:val="00B95B47"/>
    <w:rsid w:val="00B95B5B"/>
    <w:rsid w:val="00B969F6"/>
    <w:rsid w:val="00B976F9"/>
    <w:rsid w:val="00B97A79"/>
    <w:rsid w:val="00B97B81"/>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D11D8"/>
    <w:rsid w:val="00BD5044"/>
    <w:rsid w:val="00BD527C"/>
    <w:rsid w:val="00BD6D9A"/>
    <w:rsid w:val="00BD71B8"/>
    <w:rsid w:val="00BD7F4C"/>
    <w:rsid w:val="00BE36C0"/>
    <w:rsid w:val="00BE5A71"/>
    <w:rsid w:val="00BE7FA1"/>
    <w:rsid w:val="00BF1747"/>
    <w:rsid w:val="00BF3A30"/>
    <w:rsid w:val="00C01C76"/>
    <w:rsid w:val="00C01E57"/>
    <w:rsid w:val="00C02C42"/>
    <w:rsid w:val="00C0316B"/>
    <w:rsid w:val="00C05E87"/>
    <w:rsid w:val="00C0721D"/>
    <w:rsid w:val="00C10096"/>
    <w:rsid w:val="00C11E87"/>
    <w:rsid w:val="00C13A9F"/>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54B3"/>
    <w:rsid w:val="00C26527"/>
    <w:rsid w:val="00C26785"/>
    <w:rsid w:val="00C26A9B"/>
    <w:rsid w:val="00C26C7D"/>
    <w:rsid w:val="00C26C81"/>
    <w:rsid w:val="00C272E0"/>
    <w:rsid w:val="00C27FC7"/>
    <w:rsid w:val="00C30392"/>
    <w:rsid w:val="00C30F77"/>
    <w:rsid w:val="00C324F5"/>
    <w:rsid w:val="00C32855"/>
    <w:rsid w:val="00C32E92"/>
    <w:rsid w:val="00C332B2"/>
    <w:rsid w:val="00C34055"/>
    <w:rsid w:val="00C34064"/>
    <w:rsid w:val="00C34867"/>
    <w:rsid w:val="00C379F0"/>
    <w:rsid w:val="00C4007B"/>
    <w:rsid w:val="00C41963"/>
    <w:rsid w:val="00C41F44"/>
    <w:rsid w:val="00C43A42"/>
    <w:rsid w:val="00C442EF"/>
    <w:rsid w:val="00C445EA"/>
    <w:rsid w:val="00C44D00"/>
    <w:rsid w:val="00C451D6"/>
    <w:rsid w:val="00C45579"/>
    <w:rsid w:val="00C45861"/>
    <w:rsid w:val="00C46D4C"/>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0DB"/>
    <w:rsid w:val="00CD469A"/>
    <w:rsid w:val="00CD5593"/>
    <w:rsid w:val="00CD593F"/>
    <w:rsid w:val="00CD5DFA"/>
    <w:rsid w:val="00CD682E"/>
    <w:rsid w:val="00CE081A"/>
    <w:rsid w:val="00CE2AA1"/>
    <w:rsid w:val="00CE42E6"/>
    <w:rsid w:val="00CE50CF"/>
    <w:rsid w:val="00CE5179"/>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5E90"/>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B1A"/>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3C6A"/>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170"/>
    <w:rsid w:val="00D803B2"/>
    <w:rsid w:val="00D81FDF"/>
    <w:rsid w:val="00D82630"/>
    <w:rsid w:val="00D82E37"/>
    <w:rsid w:val="00D835A4"/>
    <w:rsid w:val="00D87763"/>
    <w:rsid w:val="00D91301"/>
    <w:rsid w:val="00D93B72"/>
    <w:rsid w:val="00D97347"/>
    <w:rsid w:val="00D97487"/>
    <w:rsid w:val="00D97823"/>
    <w:rsid w:val="00DA0053"/>
    <w:rsid w:val="00DA0406"/>
    <w:rsid w:val="00DA1667"/>
    <w:rsid w:val="00DA17B2"/>
    <w:rsid w:val="00DA1FC9"/>
    <w:rsid w:val="00DA21C6"/>
    <w:rsid w:val="00DA3F2F"/>
    <w:rsid w:val="00DA696C"/>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C43"/>
    <w:rsid w:val="00DE7F5A"/>
    <w:rsid w:val="00DF19A4"/>
    <w:rsid w:val="00DF2105"/>
    <w:rsid w:val="00DF2D7F"/>
    <w:rsid w:val="00DF3046"/>
    <w:rsid w:val="00DF36C4"/>
    <w:rsid w:val="00E0154A"/>
    <w:rsid w:val="00E03404"/>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7247"/>
    <w:rsid w:val="00E309E5"/>
    <w:rsid w:val="00E316A0"/>
    <w:rsid w:val="00E33B75"/>
    <w:rsid w:val="00E34BDE"/>
    <w:rsid w:val="00E34E8D"/>
    <w:rsid w:val="00E3589A"/>
    <w:rsid w:val="00E35971"/>
    <w:rsid w:val="00E35F70"/>
    <w:rsid w:val="00E3681A"/>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5D86"/>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2D8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53E5"/>
    <w:rsid w:val="00E860C5"/>
    <w:rsid w:val="00E86784"/>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A5D54"/>
    <w:rsid w:val="00EA756A"/>
    <w:rsid w:val="00EB0DF1"/>
    <w:rsid w:val="00EB0EA7"/>
    <w:rsid w:val="00EB469D"/>
    <w:rsid w:val="00EB4B50"/>
    <w:rsid w:val="00EB615D"/>
    <w:rsid w:val="00EC1B8D"/>
    <w:rsid w:val="00EC2118"/>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84E"/>
    <w:rsid w:val="00EE1A03"/>
    <w:rsid w:val="00EE3650"/>
    <w:rsid w:val="00EE3B84"/>
    <w:rsid w:val="00EE768F"/>
    <w:rsid w:val="00EE7D57"/>
    <w:rsid w:val="00EE7EE0"/>
    <w:rsid w:val="00EF13C3"/>
    <w:rsid w:val="00EF375D"/>
    <w:rsid w:val="00EF68D8"/>
    <w:rsid w:val="00EF78B8"/>
    <w:rsid w:val="00EF7D70"/>
    <w:rsid w:val="00F00DE5"/>
    <w:rsid w:val="00F00E95"/>
    <w:rsid w:val="00F03DEF"/>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2C1B"/>
    <w:rsid w:val="00F433E8"/>
    <w:rsid w:val="00F44A63"/>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87FC5"/>
    <w:rsid w:val="00F910F5"/>
    <w:rsid w:val="00F9214D"/>
    <w:rsid w:val="00F921B3"/>
    <w:rsid w:val="00F92E62"/>
    <w:rsid w:val="00F934A0"/>
    <w:rsid w:val="00F94C7F"/>
    <w:rsid w:val="00F95474"/>
    <w:rsid w:val="00F96C9F"/>
    <w:rsid w:val="00FA00D5"/>
    <w:rsid w:val="00FA0FEB"/>
    <w:rsid w:val="00FA1568"/>
    <w:rsid w:val="00FA24A0"/>
    <w:rsid w:val="00FA2A8E"/>
    <w:rsid w:val="00FA7B14"/>
    <w:rsid w:val="00FB0BA3"/>
    <w:rsid w:val="00FB0C26"/>
    <w:rsid w:val="00FB1397"/>
    <w:rsid w:val="00FB5B77"/>
    <w:rsid w:val="00FB6121"/>
    <w:rsid w:val="00FB6976"/>
    <w:rsid w:val="00FB7533"/>
    <w:rsid w:val="00FC3AEA"/>
    <w:rsid w:val="00FC4373"/>
    <w:rsid w:val="00FC4764"/>
    <w:rsid w:val="00FD099C"/>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4FC"/>
    <w:rsid w:val="00FF188F"/>
    <w:rsid w:val="00FF2A48"/>
    <w:rsid w:val="00FF38D8"/>
    <w:rsid w:val="00FF3DE5"/>
    <w:rsid w:val="00FF42DE"/>
    <w:rsid w:val="00FF4300"/>
    <w:rsid w:val="00FF544D"/>
    <w:rsid w:val="00FF6469"/>
    <w:rsid w:val="00FF72DE"/>
    <w:rsid w:val="00FF7C03"/>
    <w:rsid w:val="02D4AFD4"/>
    <w:rsid w:val="07A35616"/>
    <w:rsid w:val="088022D3"/>
    <w:rsid w:val="0C6C601C"/>
    <w:rsid w:val="128C2510"/>
    <w:rsid w:val="12D3564F"/>
    <w:rsid w:val="166A70F1"/>
    <w:rsid w:val="182E84F6"/>
    <w:rsid w:val="186255CF"/>
    <w:rsid w:val="1DAC9701"/>
    <w:rsid w:val="2222360A"/>
    <w:rsid w:val="28F7855B"/>
    <w:rsid w:val="2B40F88A"/>
    <w:rsid w:val="35390FE9"/>
    <w:rsid w:val="368C903F"/>
    <w:rsid w:val="393EAEF8"/>
    <w:rsid w:val="3C1AD9A9"/>
    <w:rsid w:val="3FA3F2C3"/>
    <w:rsid w:val="444F7863"/>
    <w:rsid w:val="473C152C"/>
    <w:rsid w:val="47C1C799"/>
    <w:rsid w:val="494AC2D7"/>
    <w:rsid w:val="4DB7889B"/>
    <w:rsid w:val="4E168C7E"/>
    <w:rsid w:val="5146B754"/>
    <w:rsid w:val="592DBD6D"/>
    <w:rsid w:val="59EDD7AD"/>
    <w:rsid w:val="5BEF7108"/>
    <w:rsid w:val="6155AFD9"/>
    <w:rsid w:val="635ECD70"/>
    <w:rsid w:val="643174CE"/>
    <w:rsid w:val="67BAB62A"/>
    <w:rsid w:val="6DBFA669"/>
    <w:rsid w:val="71FB24A0"/>
    <w:rsid w:val="78BF7322"/>
    <w:rsid w:val="7C29DF1F"/>
    <w:rsid w:val="7CDA6E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0B07E35-C293-4790-927A-7436075B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HeaderChar">
    <w:name w:val="Header Char"/>
    <w:basedOn w:val="DefaultParagraphFont"/>
    <w:link w:val="Header"/>
    <w:rsid w:val="00F00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rfps" TargetMode="External"/><Relationship Id="rId18" Type="http://schemas.openxmlformats.org/officeDocument/2006/relationships/footer" Target="footer1.xm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eader" Target="header1.xml"/><Relationship Id="rId25" Type="http://schemas.openxmlformats.org/officeDocument/2006/relationships/hyperlink" Target="https://www.maine.gov/dafs/bbm/procurementservices/policies-procedures/chapter-12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egislature.maine.gov/statutes/35-A/title35-Asec1702.html" TargetMode="External"/><Relationship Id="rId23" Type="http://schemas.openxmlformats.org/officeDocument/2006/relationships/hyperlink" Target="mailto:proposals@maine.gov"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mpuc/online-servic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26D78C-AE60-4349-B82C-2BFCE4211B62}"/>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6855</Words>
  <Characters>39213</Characters>
  <Application>Microsoft Office Word</Application>
  <DocSecurity>0</DocSecurity>
  <Lines>326</Lines>
  <Paragraphs>91</Paragraphs>
  <ScaleCrop>false</ScaleCrop>
  <Company>State of Maine</Company>
  <LinksUpToDate>false</LinksUpToDate>
  <CharactersWithSpaces>45977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Thompson, Shareen G</cp:lastModifiedBy>
  <cp:revision>5</cp:revision>
  <cp:lastPrinted>2018-02-28T23:44:00Z</cp:lastPrinted>
  <dcterms:created xsi:type="dcterms:W3CDTF">2025-05-02T17:13:00Z</dcterms:created>
  <dcterms:modified xsi:type="dcterms:W3CDTF">2025-05-02T17:24:00Z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