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BB59" w14:textId="279EAB6F" w:rsidR="00131249" w:rsidRPr="00035C50" w:rsidRDefault="00C977B3"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175FEB49" wp14:editId="764747E9">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5102A90"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583D98FF" w14:textId="77777777" w:rsidR="00131249" w:rsidRPr="00035C50" w:rsidRDefault="00131249" w:rsidP="00131249">
      <w:pPr>
        <w:rPr>
          <w:rFonts w:ascii="Arial" w:hAnsi="Arial" w:cs="Arial"/>
          <w:color w:val="000000"/>
        </w:rPr>
      </w:pPr>
    </w:p>
    <w:p w14:paraId="4E2361C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CCCDA85" w14:textId="77777777" w:rsidTr="006423C3">
        <w:trPr>
          <w:jc w:val="center"/>
        </w:trPr>
        <w:tc>
          <w:tcPr>
            <w:tcW w:w="5220" w:type="dxa"/>
            <w:vAlign w:val="center"/>
          </w:tcPr>
          <w:p w14:paraId="3E6BD648"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4A0855B5" w14:textId="6C511062" w:rsidR="00837848" w:rsidRPr="008B0010" w:rsidRDefault="008B0010" w:rsidP="00837848">
            <w:pPr>
              <w:rPr>
                <w:rFonts w:ascii="Arial" w:hAnsi="Arial" w:cs="Arial"/>
              </w:rPr>
            </w:pPr>
            <w:r>
              <w:rPr>
                <w:rFonts w:ascii="Arial" w:hAnsi="Arial" w:cs="Arial"/>
              </w:rPr>
              <w:t>202404095 Consulting Services – Maine Specific Forecasts of Peak Electrical Demand</w:t>
            </w:r>
          </w:p>
        </w:tc>
      </w:tr>
      <w:tr w:rsidR="008D098F" w:rsidRPr="00035C50" w14:paraId="58EFF05D" w14:textId="77777777" w:rsidTr="006423C3">
        <w:trPr>
          <w:jc w:val="center"/>
        </w:trPr>
        <w:tc>
          <w:tcPr>
            <w:tcW w:w="5220" w:type="dxa"/>
            <w:vAlign w:val="center"/>
          </w:tcPr>
          <w:p w14:paraId="19E7EB06"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712FFC53" w14:textId="70A9052A" w:rsidR="008D098F" w:rsidRPr="008B0010" w:rsidRDefault="008B0010" w:rsidP="008D098F">
            <w:pPr>
              <w:rPr>
                <w:rFonts w:ascii="Arial" w:hAnsi="Arial" w:cs="Arial"/>
              </w:rPr>
            </w:pPr>
            <w:r>
              <w:rPr>
                <w:rFonts w:ascii="Arial" w:hAnsi="Arial" w:cs="Arial"/>
              </w:rPr>
              <w:t>Maine Office of the Public Advocate</w:t>
            </w:r>
          </w:p>
        </w:tc>
      </w:tr>
      <w:tr w:rsidR="00837848" w:rsidRPr="00035C50" w14:paraId="31998AD4" w14:textId="77777777" w:rsidTr="006423C3">
        <w:trPr>
          <w:jc w:val="center"/>
        </w:trPr>
        <w:tc>
          <w:tcPr>
            <w:tcW w:w="5220" w:type="dxa"/>
            <w:vAlign w:val="center"/>
          </w:tcPr>
          <w:p w14:paraId="07E51580"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A7690AF" w14:textId="47572C7B" w:rsidR="00837848" w:rsidRPr="008B0010" w:rsidRDefault="008B0010" w:rsidP="00837848">
            <w:pPr>
              <w:rPr>
                <w:rFonts w:ascii="Arial" w:hAnsi="Arial" w:cs="Arial"/>
              </w:rPr>
            </w:pPr>
            <w:r>
              <w:rPr>
                <w:rFonts w:ascii="Arial" w:hAnsi="Arial" w:cs="Arial"/>
              </w:rPr>
              <w:t>May 22, 2024</w:t>
            </w:r>
          </w:p>
        </w:tc>
      </w:tr>
      <w:tr w:rsidR="00837848" w:rsidRPr="00035C50" w14:paraId="41483137" w14:textId="77777777" w:rsidTr="006423C3">
        <w:trPr>
          <w:jc w:val="center"/>
        </w:trPr>
        <w:tc>
          <w:tcPr>
            <w:tcW w:w="5220" w:type="dxa"/>
            <w:vAlign w:val="center"/>
          </w:tcPr>
          <w:p w14:paraId="6A6FA73A"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86F4F75" w14:textId="4F1F600F" w:rsidR="00837848" w:rsidRPr="008B0010" w:rsidRDefault="008B0010" w:rsidP="00837848">
            <w:pPr>
              <w:rPr>
                <w:rFonts w:ascii="Arial" w:hAnsi="Arial" w:cs="Arial"/>
              </w:rPr>
            </w:pPr>
            <w:r>
              <w:rPr>
                <w:rFonts w:ascii="Arial" w:hAnsi="Arial" w:cs="Arial"/>
              </w:rPr>
              <w:t>May 2</w:t>
            </w:r>
            <w:r w:rsidR="002B3B1C">
              <w:rPr>
                <w:rFonts w:ascii="Arial" w:hAnsi="Arial" w:cs="Arial"/>
              </w:rPr>
              <w:t>4</w:t>
            </w:r>
            <w:r>
              <w:rPr>
                <w:rFonts w:ascii="Arial" w:hAnsi="Arial" w:cs="Arial"/>
              </w:rPr>
              <w:t>, 2024</w:t>
            </w:r>
          </w:p>
        </w:tc>
      </w:tr>
      <w:tr w:rsidR="00837848" w:rsidRPr="00035C50" w14:paraId="6FAEF1BF" w14:textId="77777777" w:rsidTr="006423C3">
        <w:trPr>
          <w:jc w:val="center"/>
        </w:trPr>
        <w:tc>
          <w:tcPr>
            <w:tcW w:w="5220" w:type="dxa"/>
            <w:vAlign w:val="center"/>
          </w:tcPr>
          <w:p w14:paraId="0994F289"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3229264C" w14:textId="3FB31D78" w:rsidR="00837848" w:rsidRPr="008B0010" w:rsidRDefault="008B0010" w:rsidP="00837848">
            <w:pPr>
              <w:rPr>
                <w:rFonts w:ascii="Arial" w:hAnsi="Arial" w:cs="Arial"/>
              </w:rPr>
            </w:pPr>
            <w:r>
              <w:rPr>
                <w:rFonts w:ascii="Arial" w:hAnsi="Arial" w:cs="Arial"/>
              </w:rPr>
              <w:t xml:space="preserve">June 5, </w:t>
            </w:r>
            <w:proofErr w:type="gramStart"/>
            <w:r>
              <w:rPr>
                <w:rFonts w:ascii="Arial" w:hAnsi="Arial" w:cs="Arial"/>
              </w:rPr>
              <w:t>2024</w:t>
            </w:r>
            <w:proofErr w:type="gramEnd"/>
            <w:r w:rsidR="004B59F4">
              <w:rPr>
                <w:rFonts w:ascii="Arial" w:hAnsi="Arial" w:cs="Arial"/>
              </w:rPr>
              <w:t xml:space="preserve"> no later than 11:59 p.m. local time</w:t>
            </w:r>
          </w:p>
        </w:tc>
      </w:tr>
      <w:tr w:rsidR="00837848" w:rsidRPr="00035C50" w14:paraId="2E16B72B" w14:textId="77777777" w:rsidTr="006423C3">
        <w:trPr>
          <w:trHeight w:val="187"/>
          <w:jc w:val="center"/>
        </w:trPr>
        <w:tc>
          <w:tcPr>
            <w:tcW w:w="5220" w:type="dxa"/>
            <w:vAlign w:val="center"/>
          </w:tcPr>
          <w:p w14:paraId="257D18C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4B2D90BE" w14:textId="77777777" w:rsidR="00837848" w:rsidRPr="00035C50" w:rsidRDefault="00000000"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387DC6E9" w14:textId="77777777" w:rsidR="00131249" w:rsidRPr="00035C50" w:rsidRDefault="00131249" w:rsidP="00CF3AA7">
      <w:pPr>
        <w:tabs>
          <w:tab w:val="left" w:pos="3387"/>
        </w:tabs>
        <w:jc w:val="center"/>
        <w:rPr>
          <w:rFonts w:ascii="Arial" w:hAnsi="Arial" w:cs="Arial"/>
          <w:b/>
          <w:color w:val="000000"/>
        </w:rPr>
      </w:pPr>
    </w:p>
    <w:p w14:paraId="4C44ADC3"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1CAF8DF" w14:textId="77777777" w:rsidR="00CF3AA7" w:rsidRDefault="00CF3AA7"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F5871" w:rsidRPr="00F9098C" w14:paraId="6A9842FE" w14:textId="77777777" w:rsidTr="006B2173">
        <w:trPr>
          <w:trHeight w:val="379"/>
        </w:trPr>
        <w:tc>
          <w:tcPr>
            <w:tcW w:w="691" w:type="dxa"/>
            <w:vMerge w:val="restart"/>
            <w:shd w:val="clear" w:color="auto" w:fill="BDD6EE"/>
            <w:vAlign w:val="center"/>
          </w:tcPr>
          <w:p w14:paraId="62BA2D1F"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1B61DB41"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99" w:type="dxa"/>
            <w:tcBorders>
              <w:bottom w:val="single" w:sz="4" w:space="0" w:color="auto"/>
            </w:tcBorders>
            <w:shd w:val="clear" w:color="auto" w:fill="BDD6EE"/>
            <w:vAlign w:val="center"/>
          </w:tcPr>
          <w:p w14:paraId="142500B1"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B0010" w:rsidRPr="00F9098C" w14:paraId="5982058C" w14:textId="77777777" w:rsidTr="006B2173">
        <w:trPr>
          <w:trHeight w:val="379"/>
        </w:trPr>
        <w:tc>
          <w:tcPr>
            <w:tcW w:w="691" w:type="dxa"/>
            <w:vMerge/>
            <w:shd w:val="clear" w:color="auto" w:fill="FFFFFF"/>
          </w:tcPr>
          <w:p w14:paraId="6E4EE90E" w14:textId="77777777"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4FB5AB" w14:textId="6B95CB0C"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71CB">
              <w:rPr>
                <w:rFonts w:ascii="Arial" w:hAnsi="Arial" w:cs="Arial"/>
                <w:color w:val="000000"/>
              </w:rPr>
              <w:t>Part II, Section A, #1 (p.7)</w:t>
            </w:r>
          </w:p>
        </w:tc>
        <w:tc>
          <w:tcPr>
            <w:tcW w:w="8099" w:type="dxa"/>
            <w:shd w:val="clear" w:color="auto" w:fill="FFFFFF"/>
            <w:vAlign w:val="center"/>
          </w:tcPr>
          <w:p w14:paraId="46859AE4" w14:textId="77777777" w:rsidR="008B0010" w:rsidRDefault="008B0010" w:rsidP="008B0010">
            <w:pPr>
              <w:rPr>
                <w:rFonts w:ascii="Arial" w:hAnsi="Arial" w:cs="Arial"/>
                <w:color w:val="000000"/>
              </w:rPr>
            </w:pPr>
            <w:r w:rsidRPr="00FC71CB">
              <w:rPr>
                <w:rFonts w:ascii="Arial" w:hAnsi="Arial" w:cs="Arial"/>
                <w:color w:val="000000"/>
              </w:rPr>
              <w:t xml:space="preserve">With respect to forecasts for:                                                                                         </w:t>
            </w:r>
          </w:p>
          <w:p w14:paraId="60F95D6D" w14:textId="0E9401C3"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rPr>
              <w:t>Weather and climate - Other than developing long-term projections Heating Degree Days (HDD) and Cooling Degree Days (CDD), does this task entail analyzing the historical distribution of Peak-producing weather conditions to inform scenario forecasts. Please clarify whether that was the intent behind that expectation.</w:t>
            </w:r>
          </w:p>
        </w:tc>
      </w:tr>
      <w:tr w:rsidR="008B0010" w:rsidRPr="00F9098C" w14:paraId="65496945" w14:textId="77777777" w:rsidTr="006B2173">
        <w:trPr>
          <w:trHeight w:val="379"/>
        </w:trPr>
        <w:tc>
          <w:tcPr>
            <w:tcW w:w="691" w:type="dxa"/>
            <w:vMerge/>
            <w:shd w:val="clear" w:color="auto" w:fill="BDD6EE"/>
          </w:tcPr>
          <w:p w14:paraId="6C1BBBBA" w14:textId="77777777" w:rsidR="008B0010" w:rsidRPr="00F9098C"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7EFDAFAD" w14:textId="77777777" w:rsidR="008B0010" w:rsidRPr="00F9098C"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B0010" w:rsidRPr="00F9098C" w14:paraId="6705101A" w14:textId="77777777" w:rsidTr="006B2173">
        <w:trPr>
          <w:trHeight w:val="379"/>
        </w:trPr>
        <w:tc>
          <w:tcPr>
            <w:tcW w:w="691" w:type="dxa"/>
            <w:vMerge/>
          </w:tcPr>
          <w:p w14:paraId="4C586BC9" w14:textId="77777777"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772BD130" w14:textId="4F05D5C3" w:rsidR="008B0010" w:rsidRPr="00B51518" w:rsidRDefault="006B2173"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rPr>
              <w:t>The intent is to capture the effects of policies affecting heat pump and EV adoption as well as the impacts of climate change. To the extent historical distribution of peak-producing weather conditions informs future scenario forecasts they may be included.</w:t>
            </w:r>
          </w:p>
        </w:tc>
      </w:tr>
      <w:bookmarkEnd w:id="0"/>
    </w:tbl>
    <w:p w14:paraId="4847A46A" w14:textId="77777777" w:rsidR="00F9098C" w:rsidRDefault="00F9098C"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F5871" w:rsidRPr="00F9098C" w14:paraId="2036C63A" w14:textId="77777777" w:rsidTr="006B2173">
        <w:trPr>
          <w:trHeight w:val="379"/>
        </w:trPr>
        <w:tc>
          <w:tcPr>
            <w:tcW w:w="691" w:type="dxa"/>
            <w:vMerge w:val="restart"/>
            <w:shd w:val="clear" w:color="auto" w:fill="BDD6EE"/>
            <w:vAlign w:val="center"/>
          </w:tcPr>
          <w:p w14:paraId="7F7B50B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8D4975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99" w:type="dxa"/>
            <w:tcBorders>
              <w:bottom w:val="single" w:sz="4" w:space="0" w:color="auto"/>
            </w:tcBorders>
            <w:shd w:val="clear" w:color="auto" w:fill="BDD6EE"/>
            <w:vAlign w:val="center"/>
          </w:tcPr>
          <w:p w14:paraId="4EBF694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B0010" w:rsidRPr="00F9098C" w14:paraId="0A0DDF3B" w14:textId="77777777" w:rsidTr="006B2173">
        <w:trPr>
          <w:trHeight w:val="379"/>
        </w:trPr>
        <w:tc>
          <w:tcPr>
            <w:tcW w:w="691" w:type="dxa"/>
            <w:vMerge/>
            <w:shd w:val="clear" w:color="auto" w:fill="FFFFFF"/>
          </w:tcPr>
          <w:p w14:paraId="705F5517" w14:textId="77777777"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505223" w14:textId="49E94F55"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71CB">
              <w:rPr>
                <w:rFonts w:ascii="Arial" w:hAnsi="Arial" w:cs="Arial"/>
                <w:color w:val="000000"/>
              </w:rPr>
              <w:t>Part II, Section A, #1 (p.7)</w:t>
            </w:r>
          </w:p>
        </w:tc>
        <w:tc>
          <w:tcPr>
            <w:tcW w:w="8099" w:type="dxa"/>
            <w:shd w:val="clear" w:color="auto" w:fill="FFFFFF"/>
            <w:vAlign w:val="center"/>
          </w:tcPr>
          <w:p w14:paraId="40BD8AEE" w14:textId="77777777" w:rsidR="008B0010" w:rsidRDefault="008B0010" w:rsidP="008B0010">
            <w:pPr>
              <w:rPr>
                <w:rFonts w:ascii="Arial" w:hAnsi="Arial" w:cs="Arial"/>
                <w:color w:val="000000"/>
              </w:rPr>
            </w:pPr>
            <w:r w:rsidRPr="00FC71CB">
              <w:rPr>
                <w:rFonts w:ascii="Arial" w:hAnsi="Arial" w:cs="Arial"/>
                <w:color w:val="000000"/>
              </w:rPr>
              <w:t xml:space="preserve">With respect to forecasts for: </w:t>
            </w:r>
          </w:p>
          <w:p w14:paraId="4287B2E3" w14:textId="77777777" w:rsidR="008B0010" w:rsidRDefault="008B0010" w:rsidP="008B0010">
            <w:pPr>
              <w:rPr>
                <w:rFonts w:ascii="Arial" w:hAnsi="Arial" w:cs="Arial"/>
                <w:color w:val="000000"/>
              </w:rPr>
            </w:pPr>
            <w:r w:rsidRPr="00FC71CB">
              <w:rPr>
                <w:rFonts w:ascii="Arial" w:hAnsi="Arial" w:cs="Arial"/>
                <w:color w:val="000000"/>
              </w:rPr>
              <w:t>Flexibility in future load</w:t>
            </w:r>
            <w:r>
              <w:rPr>
                <w:rFonts w:ascii="Arial" w:hAnsi="Arial" w:cs="Arial"/>
                <w:color w:val="000000"/>
              </w:rPr>
              <w:t xml:space="preserve"> -</w:t>
            </w:r>
            <w:r w:rsidRPr="00FC71CB">
              <w:rPr>
                <w:rFonts w:ascii="Arial" w:hAnsi="Arial" w:cs="Arial"/>
                <w:color w:val="000000"/>
              </w:rPr>
              <w:t xml:space="preserve"> Please elaborate the specific load elements that you would like considered for potential flexibility; e.g., assessment of the impact of potential managed EV charging, substantial use of behind-the-meter batteries etc.</w:t>
            </w:r>
          </w:p>
          <w:p w14:paraId="686BC913" w14:textId="77777777"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B0010" w:rsidRPr="00F9098C" w14:paraId="63B15D2B" w14:textId="77777777" w:rsidTr="006B2173">
        <w:trPr>
          <w:trHeight w:val="379"/>
        </w:trPr>
        <w:tc>
          <w:tcPr>
            <w:tcW w:w="691" w:type="dxa"/>
            <w:vMerge/>
            <w:shd w:val="clear" w:color="auto" w:fill="BDD6EE"/>
          </w:tcPr>
          <w:p w14:paraId="5139A18A" w14:textId="77777777" w:rsidR="008B0010" w:rsidRPr="00F9098C"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2AF7136F" w14:textId="77777777" w:rsidR="008B0010" w:rsidRPr="00F9098C"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B0010" w:rsidRPr="00F9098C" w14:paraId="09E1EB34" w14:textId="77777777" w:rsidTr="006B2173">
        <w:trPr>
          <w:trHeight w:val="379"/>
        </w:trPr>
        <w:tc>
          <w:tcPr>
            <w:tcW w:w="691" w:type="dxa"/>
            <w:vMerge/>
          </w:tcPr>
          <w:p w14:paraId="26501E47" w14:textId="77777777"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6AA65398" w14:textId="23E90FB8" w:rsidR="008B0010" w:rsidRPr="004252AD" w:rsidRDefault="006B2173" w:rsidP="004252AD">
            <w:pPr>
              <w:rPr>
                <w:rFonts w:ascii="Arial" w:hAnsi="Arial" w:cs="Arial"/>
                <w:color w:val="000000"/>
              </w:rPr>
            </w:pPr>
            <w:r>
              <w:rPr>
                <w:rFonts w:ascii="Arial" w:hAnsi="Arial" w:cs="Arial"/>
                <w:color w:val="000000"/>
              </w:rPr>
              <w:t>The intent is to evaluate cost effective means of incorporating increased load due to greenhouse gas reduction and clean energy state policies. This is primarily EV and heat pump load plus the integration of Distributed Energy Resources. Managed EV charging, TOU rates for distribution and supply, cost effective battery implementation are relevant to the analysis.</w:t>
            </w:r>
          </w:p>
        </w:tc>
      </w:tr>
    </w:tbl>
    <w:p w14:paraId="630A132B" w14:textId="77777777" w:rsidR="00655190" w:rsidRDefault="00655190" w:rsidP="004252AD">
      <w:pPr>
        <w:tabs>
          <w:tab w:val="left" w:pos="3387"/>
        </w:tabs>
        <w:rPr>
          <w:rFonts w:ascii="Arial" w:hAnsi="Arial" w:cs="Arial"/>
          <w:b/>
          <w:color w:val="000000"/>
        </w:rPr>
      </w:pPr>
    </w:p>
    <w:p w14:paraId="68591780" w14:textId="77777777" w:rsidR="004252AD" w:rsidRDefault="004252AD" w:rsidP="004252AD">
      <w:pPr>
        <w:tabs>
          <w:tab w:val="left" w:pos="3387"/>
        </w:tabs>
        <w:rPr>
          <w:rFonts w:ascii="Arial" w:hAnsi="Arial" w:cs="Arial"/>
          <w:b/>
          <w:color w:val="000000"/>
        </w:rPr>
      </w:pPr>
    </w:p>
    <w:p w14:paraId="15536157" w14:textId="77777777" w:rsidR="004252AD" w:rsidRDefault="004252AD" w:rsidP="004252AD">
      <w:pPr>
        <w:tabs>
          <w:tab w:val="left" w:pos="3387"/>
        </w:tabs>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F5871" w:rsidRPr="00F9098C" w14:paraId="3ED7C203" w14:textId="77777777" w:rsidTr="006B2173">
        <w:trPr>
          <w:trHeight w:val="379"/>
        </w:trPr>
        <w:tc>
          <w:tcPr>
            <w:tcW w:w="691" w:type="dxa"/>
            <w:vMerge w:val="restart"/>
            <w:shd w:val="clear" w:color="auto" w:fill="BDD6EE"/>
            <w:vAlign w:val="center"/>
          </w:tcPr>
          <w:p w14:paraId="5DFEB25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0F0DCAF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99" w:type="dxa"/>
            <w:tcBorders>
              <w:bottom w:val="single" w:sz="4" w:space="0" w:color="auto"/>
            </w:tcBorders>
            <w:shd w:val="clear" w:color="auto" w:fill="BDD6EE"/>
            <w:vAlign w:val="center"/>
          </w:tcPr>
          <w:p w14:paraId="1F313C0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CBB66D7" w14:textId="77777777" w:rsidTr="006B2173">
        <w:trPr>
          <w:trHeight w:val="379"/>
        </w:trPr>
        <w:tc>
          <w:tcPr>
            <w:tcW w:w="691" w:type="dxa"/>
            <w:vMerge/>
            <w:shd w:val="clear" w:color="auto" w:fill="FFFFFF"/>
          </w:tcPr>
          <w:p w14:paraId="763ACA2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6A0492" w14:textId="06AC446D" w:rsidR="00BF5871" w:rsidRPr="00B51518" w:rsidRDefault="008B001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71CB">
              <w:rPr>
                <w:rFonts w:ascii="Arial" w:hAnsi="Arial" w:cs="Arial"/>
                <w:color w:val="000000"/>
              </w:rPr>
              <w:t>Part II, Section A, #2 (p.7)</w:t>
            </w:r>
          </w:p>
        </w:tc>
        <w:tc>
          <w:tcPr>
            <w:tcW w:w="8099" w:type="dxa"/>
            <w:shd w:val="clear" w:color="auto" w:fill="FFFFFF"/>
            <w:vAlign w:val="center"/>
          </w:tcPr>
          <w:p w14:paraId="3C7D103E" w14:textId="689160D9" w:rsidR="008B0010" w:rsidRDefault="008B0010" w:rsidP="008B0010">
            <w:pPr>
              <w:rPr>
                <w:rFonts w:ascii="Arial" w:hAnsi="Arial" w:cs="Arial"/>
                <w:color w:val="000000"/>
              </w:rPr>
            </w:pPr>
            <w:r w:rsidRPr="00FC71CB">
              <w:rPr>
                <w:rFonts w:ascii="Arial" w:hAnsi="Arial" w:cs="Arial"/>
                <w:color w:val="000000"/>
              </w:rPr>
              <w:t xml:space="preserve">ISONE treats Maine as having 3 load sub-areas – ME, CMP and COMEL that seem to map to major utility territories. Are we right in assuming that the utility footprints you refer to are the same? Please describe the geographies pertaining to the </w:t>
            </w:r>
            <w:r>
              <w:rPr>
                <w:rFonts w:ascii="Arial" w:hAnsi="Arial" w:cs="Arial"/>
                <w:color w:val="000000"/>
              </w:rPr>
              <w:t>“</w:t>
            </w:r>
            <w:r w:rsidRPr="00FC71CB">
              <w:rPr>
                <w:rFonts w:ascii="Arial" w:hAnsi="Arial" w:cs="Arial"/>
                <w:color w:val="000000"/>
              </w:rPr>
              <w:t>identifiable load pockets</w:t>
            </w:r>
            <w:r>
              <w:rPr>
                <w:rFonts w:ascii="Arial" w:hAnsi="Arial" w:cs="Arial"/>
                <w:color w:val="000000"/>
              </w:rPr>
              <w:t>”</w:t>
            </w:r>
            <w:r w:rsidRPr="00FC71CB">
              <w:rPr>
                <w:rFonts w:ascii="Arial" w:hAnsi="Arial" w:cs="Arial"/>
                <w:color w:val="000000"/>
              </w:rPr>
              <w:t xml:space="preserve">? </w:t>
            </w:r>
            <w:r>
              <w:rPr>
                <w:rFonts w:ascii="Arial" w:hAnsi="Arial" w:cs="Arial"/>
                <w:color w:val="000000"/>
              </w:rPr>
              <w:t>i.e., are they defined by political boundaries like collections of counties.</w:t>
            </w:r>
          </w:p>
          <w:p w14:paraId="263E3D1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2DF4F3A6" w14:textId="77777777" w:rsidTr="006B2173">
        <w:trPr>
          <w:trHeight w:val="379"/>
        </w:trPr>
        <w:tc>
          <w:tcPr>
            <w:tcW w:w="691" w:type="dxa"/>
            <w:vMerge/>
            <w:shd w:val="clear" w:color="auto" w:fill="BDD6EE"/>
          </w:tcPr>
          <w:p w14:paraId="7C650FC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4C1A748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33C6CA8" w14:textId="77777777" w:rsidTr="006B2173">
        <w:trPr>
          <w:trHeight w:val="379"/>
        </w:trPr>
        <w:tc>
          <w:tcPr>
            <w:tcW w:w="691" w:type="dxa"/>
            <w:vMerge/>
          </w:tcPr>
          <w:p w14:paraId="2933FF4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4AD4DD59" w14:textId="774308CC" w:rsidR="00BF5871" w:rsidRPr="004252AD" w:rsidRDefault="006B2173" w:rsidP="004252AD">
            <w:pPr>
              <w:rPr>
                <w:rFonts w:ascii="Arial" w:hAnsi="Arial" w:cs="Arial"/>
                <w:color w:val="000000"/>
              </w:rPr>
            </w:pPr>
            <w:r>
              <w:rPr>
                <w:rFonts w:ascii="Arial" w:hAnsi="Arial" w:cs="Arial"/>
                <w:color w:val="000000"/>
              </w:rPr>
              <w:t xml:space="preserve">Identifiable load pockets refer to both geographic areas such as high-density municipalities and specific circuits with high loads or fast-growing loads, such as car dealerships with multiple EV chargers or high load industrial customers.  </w:t>
            </w:r>
          </w:p>
        </w:tc>
      </w:tr>
    </w:tbl>
    <w:p w14:paraId="20215442" w14:textId="77777777" w:rsidR="00BF5871" w:rsidRDefault="00BF5871"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F5871" w:rsidRPr="00F9098C" w14:paraId="7286CD5C" w14:textId="77777777" w:rsidTr="006B2173">
        <w:trPr>
          <w:trHeight w:val="379"/>
        </w:trPr>
        <w:tc>
          <w:tcPr>
            <w:tcW w:w="691" w:type="dxa"/>
            <w:vMerge w:val="restart"/>
            <w:shd w:val="clear" w:color="auto" w:fill="BDD6EE"/>
            <w:vAlign w:val="center"/>
          </w:tcPr>
          <w:p w14:paraId="39AA18A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D81A79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99" w:type="dxa"/>
            <w:tcBorders>
              <w:bottom w:val="single" w:sz="4" w:space="0" w:color="auto"/>
            </w:tcBorders>
            <w:shd w:val="clear" w:color="auto" w:fill="BDD6EE"/>
            <w:vAlign w:val="center"/>
          </w:tcPr>
          <w:p w14:paraId="0207710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B0010" w:rsidRPr="00F9098C" w14:paraId="34D0A218" w14:textId="77777777" w:rsidTr="006B2173">
        <w:trPr>
          <w:trHeight w:val="379"/>
        </w:trPr>
        <w:tc>
          <w:tcPr>
            <w:tcW w:w="691" w:type="dxa"/>
            <w:vMerge/>
            <w:shd w:val="clear" w:color="auto" w:fill="FFFFFF"/>
          </w:tcPr>
          <w:p w14:paraId="388143C0" w14:textId="77777777"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10FAEF" w14:textId="44F61A05"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71CB">
              <w:rPr>
                <w:rFonts w:ascii="Arial" w:hAnsi="Arial" w:cs="Arial"/>
                <w:color w:val="000000"/>
              </w:rPr>
              <w:t>Part II, Section A, #3 (p.7)</w:t>
            </w:r>
          </w:p>
        </w:tc>
        <w:tc>
          <w:tcPr>
            <w:tcW w:w="8099" w:type="dxa"/>
            <w:shd w:val="clear" w:color="auto" w:fill="FFFFFF"/>
            <w:vAlign w:val="center"/>
          </w:tcPr>
          <w:p w14:paraId="70778906" w14:textId="23F65B15"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71CB">
              <w:rPr>
                <w:rFonts w:ascii="Arial" w:hAnsi="Arial" w:cs="Arial"/>
                <w:color w:val="000000"/>
              </w:rPr>
              <w:t>Please clarify that #3 refers to the impact ‘of’ efficiency investments 'on' the load forecast and not "the impact of the forecast on efficiency investments"</w:t>
            </w:r>
          </w:p>
        </w:tc>
      </w:tr>
      <w:tr w:rsidR="008B0010" w:rsidRPr="00F9098C" w14:paraId="133AB544" w14:textId="77777777" w:rsidTr="006B2173">
        <w:trPr>
          <w:trHeight w:val="379"/>
        </w:trPr>
        <w:tc>
          <w:tcPr>
            <w:tcW w:w="691" w:type="dxa"/>
            <w:vMerge/>
            <w:shd w:val="clear" w:color="auto" w:fill="BDD6EE"/>
          </w:tcPr>
          <w:p w14:paraId="42E73063" w14:textId="77777777" w:rsidR="008B0010" w:rsidRPr="00F9098C"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3A380C40" w14:textId="77777777" w:rsidR="008B0010" w:rsidRPr="00F9098C"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B0010" w:rsidRPr="00F9098C" w14:paraId="2BB69492" w14:textId="77777777" w:rsidTr="006B2173">
        <w:trPr>
          <w:trHeight w:val="379"/>
        </w:trPr>
        <w:tc>
          <w:tcPr>
            <w:tcW w:w="691" w:type="dxa"/>
            <w:vMerge/>
          </w:tcPr>
          <w:p w14:paraId="4E48A627" w14:textId="77777777" w:rsidR="008B0010" w:rsidRPr="00B51518" w:rsidRDefault="008B0010"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541B05B3" w14:textId="09A54464" w:rsidR="008B0010" w:rsidRPr="00B51518" w:rsidRDefault="006B2173" w:rsidP="008B0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rPr>
              <w:t xml:space="preserve">Yes. It is the </w:t>
            </w:r>
            <w:r w:rsidRPr="00E03ED9">
              <w:rPr>
                <w:rFonts w:ascii="Arial" w:hAnsi="Arial" w:cs="Arial"/>
                <w:color w:val="000000"/>
              </w:rPr>
              <w:t>impact ‘of’ efficiency investments 'on' the load forecast</w:t>
            </w:r>
            <w:r>
              <w:rPr>
                <w:rFonts w:ascii="Arial" w:hAnsi="Arial" w:cs="Arial"/>
                <w:color w:val="000000"/>
              </w:rPr>
              <w:t>.</w:t>
            </w:r>
          </w:p>
        </w:tc>
      </w:tr>
    </w:tbl>
    <w:p w14:paraId="10144BC0" w14:textId="77777777" w:rsidR="009C2E0C" w:rsidRDefault="009C2E0C"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9C2E0C" w:rsidRPr="00F9098C" w14:paraId="602539C8" w14:textId="77777777" w:rsidTr="006B2173">
        <w:trPr>
          <w:trHeight w:val="379"/>
        </w:trPr>
        <w:tc>
          <w:tcPr>
            <w:tcW w:w="691" w:type="dxa"/>
            <w:vMerge w:val="restart"/>
            <w:shd w:val="clear" w:color="auto" w:fill="BDD6EE"/>
            <w:vAlign w:val="center"/>
          </w:tcPr>
          <w:p w14:paraId="75AAB42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30CF21B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99" w:type="dxa"/>
            <w:tcBorders>
              <w:bottom w:val="single" w:sz="4" w:space="0" w:color="auto"/>
            </w:tcBorders>
            <w:shd w:val="clear" w:color="auto" w:fill="BDD6EE"/>
            <w:vAlign w:val="center"/>
          </w:tcPr>
          <w:p w14:paraId="154DAE5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17CB651" w14:textId="77777777" w:rsidTr="006B2173">
        <w:trPr>
          <w:trHeight w:val="379"/>
        </w:trPr>
        <w:tc>
          <w:tcPr>
            <w:tcW w:w="691" w:type="dxa"/>
            <w:vMerge/>
            <w:shd w:val="clear" w:color="auto" w:fill="FFFFFF"/>
          </w:tcPr>
          <w:p w14:paraId="0F269E2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8CFDC0" w14:textId="4D3D7EA0" w:rsidR="009C2E0C" w:rsidRPr="00B51518" w:rsidRDefault="008B00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71CB">
              <w:rPr>
                <w:rFonts w:ascii="Arial" w:hAnsi="Arial" w:cs="Arial"/>
                <w:color w:val="000000"/>
              </w:rPr>
              <w:t>Part II, Section A, #3 (p.7)</w:t>
            </w:r>
          </w:p>
        </w:tc>
        <w:tc>
          <w:tcPr>
            <w:tcW w:w="8099" w:type="dxa"/>
            <w:shd w:val="clear" w:color="auto" w:fill="FFFFFF"/>
            <w:vAlign w:val="center"/>
          </w:tcPr>
          <w:p w14:paraId="56EF9D91" w14:textId="74626B11" w:rsidR="009C2E0C" w:rsidRPr="00B51518" w:rsidRDefault="008B00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71CB">
              <w:rPr>
                <w:rFonts w:ascii="Arial" w:hAnsi="Arial" w:cs="Arial"/>
                <w:color w:val="000000"/>
              </w:rPr>
              <w:t xml:space="preserve">Are we right in assuming that the assessment of “the offsetting impacts of Distributed Energy Resources DER), flexible load </w:t>
            </w:r>
            <w:proofErr w:type="gramStart"/>
            <w:r w:rsidRPr="00FC71CB">
              <w:rPr>
                <w:rFonts w:ascii="Arial" w:hAnsi="Arial" w:cs="Arial"/>
                <w:color w:val="000000"/>
              </w:rPr>
              <w:t>…..</w:t>
            </w:r>
            <w:proofErr w:type="gramEnd"/>
            <w:r w:rsidRPr="00FC71CB">
              <w:rPr>
                <w:rFonts w:ascii="Arial" w:hAnsi="Arial" w:cs="Arial"/>
                <w:color w:val="000000"/>
              </w:rPr>
              <w:t xml:space="preserve">  (BESS) and similar initiatives” shall be dealt with in the context of the Low-medium-High scenario forecasts (i.e., impacts attributable to different penetration levels of the said load elements.</w:t>
            </w:r>
          </w:p>
        </w:tc>
      </w:tr>
      <w:tr w:rsidR="009C2E0C" w:rsidRPr="00F9098C" w14:paraId="4023224B" w14:textId="77777777" w:rsidTr="006B2173">
        <w:trPr>
          <w:trHeight w:val="379"/>
        </w:trPr>
        <w:tc>
          <w:tcPr>
            <w:tcW w:w="691" w:type="dxa"/>
            <w:vMerge/>
            <w:shd w:val="clear" w:color="auto" w:fill="BDD6EE"/>
          </w:tcPr>
          <w:p w14:paraId="686B17D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6F7D975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8A88726" w14:textId="77777777" w:rsidTr="006B2173">
        <w:trPr>
          <w:trHeight w:val="379"/>
        </w:trPr>
        <w:tc>
          <w:tcPr>
            <w:tcW w:w="691" w:type="dxa"/>
            <w:vMerge/>
          </w:tcPr>
          <w:p w14:paraId="1EE77AA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315A1A1D" w14:textId="0E3BD3D6" w:rsidR="009C2E0C" w:rsidRPr="00B51518" w:rsidRDefault="006B217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2455BAFC" w14:textId="77777777" w:rsidR="009C2E0C" w:rsidRDefault="009C2E0C" w:rsidP="009C2E0C">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9C2E0C" w:rsidRPr="00F9098C" w14:paraId="67A8B45E" w14:textId="77777777" w:rsidTr="006B2173">
        <w:trPr>
          <w:trHeight w:val="379"/>
        </w:trPr>
        <w:tc>
          <w:tcPr>
            <w:tcW w:w="691" w:type="dxa"/>
            <w:vMerge w:val="restart"/>
            <w:shd w:val="clear" w:color="auto" w:fill="BDD6EE"/>
            <w:vAlign w:val="center"/>
          </w:tcPr>
          <w:p w14:paraId="07F32AE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6C1426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99" w:type="dxa"/>
            <w:tcBorders>
              <w:bottom w:val="single" w:sz="4" w:space="0" w:color="auto"/>
            </w:tcBorders>
            <w:shd w:val="clear" w:color="auto" w:fill="BDD6EE"/>
            <w:vAlign w:val="center"/>
          </w:tcPr>
          <w:p w14:paraId="0F1D072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1561625" w14:textId="77777777" w:rsidTr="006B2173">
        <w:trPr>
          <w:trHeight w:val="379"/>
        </w:trPr>
        <w:tc>
          <w:tcPr>
            <w:tcW w:w="691" w:type="dxa"/>
            <w:vMerge/>
            <w:shd w:val="clear" w:color="auto" w:fill="FFFFFF"/>
          </w:tcPr>
          <w:p w14:paraId="4E1C596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9DD946" w14:textId="631E2EE6" w:rsidR="009C2E0C" w:rsidRPr="00B51518" w:rsidRDefault="008B00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71CB">
              <w:rPr>
                <w:rFonts w:ascii="Arial" w:hAnsi="Arial" w:cs="Arial"/>
                <w:color w:val="000000"/>
              </w:rPr>
              <w:t>Part II, Section A, #4 (p.7)</w:t>
            </w:r>
          </w:p>
        </w:tc>
        <w:tc>
          <w:tcPr>
            <w:tcW w:w="8099" w:type="dxa"/>
            <w:shd w:val="clear" w:color="auto" w:fill="FFFFFF"/>
            <w:vAlign w:val="center"/>
          </w:tcPr>
          <w:p w14:paraId="32A50FA6" w14:textId="61B5669B" w:rsidR="009C2E0C" w:rsidRPr="004252AD" w:rsidRDefault="008B0010" w:rsidP="004252AD">
            <w:pPr>
              <w:rPr>
                <w:rFonts w:ascii="Arial" w:hAnsi="Arial" w:cs="Arial"/>
                <w:color w:val="000000"/>
              </w:rPr>
            </w:pPr>
            <w:r w:rsidRPr="00FC71CB">
              <w:rPr>
                <w:rFonts w:ascii="Arial" w:hAnsi="Arial" w:cs="Arial"/>
                <w:color w:val="000000"/>
              </w:rPr>
              <w:t>We are unclear as to the intent behind #4. Do you expect the contractor to incorporate historical feeder level loads (seasonal maximums?) into the overall load forecast. The high-level delineation of the project tasks in Part I, Section A. states that the contractor is to develop feeder level forecasts “if possible” – thereby implying it is optional. Please clarify if indeed those forecasts are not necessary but ‘good to have’.</w:t>
            </w:r>
          </w:p>
        </w:tc>
      </w:tr>
      <w:tr w:rsidR="009C2E0C" w:rsidRPr="00F9098C" w14:paraId="2D1BE28A" w14:textId="77777777" w:rsidTr="006B2173">
        <w:trPr>
          <w:trHeight w:val="379"/>
        </w:trPr>
        <w:tc>
          <w:tcPr>
            <w:tcW w:w="691" w:type="dxa"/>
            <w:vMerge/>
            <w:shd w:val="clear" w:color="auto" w:fill="BDD6EE"/>
          </w:tcPr>
          <w:p w14:paraId="5E9C3DD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2AFC537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0DE0077" w14:textId="77777777" w:rsidTr="006B2173">
        <w:trPr>
          <w:trHeight w:val="379"/>
        </w:trPr>
        <w:tc>
          <w:tcPr>
            <w:tcW w:w="691" w:type="dxa"/>
            <w:vMerge/>
          </w:tcPr>
          <w:p w14:paraId="21CE92D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0CE3F942" w14:textId="072E22C0" w:rsidR="009C2E0C" w:rsidRPr="004252AD" w:rsidRDefault="006B2173" w:rsidP="004252AD">
            <w:pPr>
              <w:rPr>
                <w:rFonts w:ascii="Arial" w:hAnsi="Arial" w:cs="Arial"/>
                <w:color w:val="000000"/>
              </w:rPr>
            </w:pPr>
            <w:r>
              <w:rPr>
                <w:rFonts w:ascii="Arial" w:hAnsi="Arial" w:cs="Arial"/>
                <w:color w:val="000000"/>
              </w:rPr>
              <w:t>The intent is to use available data on historical feeder level loads. It is not certain that utilities have this information or will make it available for the study.</w:t>
            </w:r>
          </w:p>
        </w:tc>
      </w:tr>
    </w:tbl>
    <w:p w14:paraId="7FC4A480" w14:textId="77777777" w:rsidR="009C2E0C" w:rsidRDefault="009C2E0C" w:rsidP="009C2E0C">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9C2E0C" w:rsidRPr="00F9098C" w14:paraId="75474541" w14:textId="77777777" w:rsidTr="006B2173">
        <w:trPr>
          <w:trHeight w:val="379"/>
        </w:trPr>
        <w:tc>
          <w:tcPr>
            <w:tcW w:w="691" w:type="dxa"/>
            <w:vMerge w:val="restart"/>
            <w:shd w:val="clear" w:color="auto" w:fill="BDD6EE"/>
            <w:vAlign w:val="center"/>
          </w:tcPr>
          <w:p w14:paraId="35E7C97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987" w:type="dxa"/>
            <w:tcBorders>
              <w:bottom w:val="single" w:sz="4" w:space="0" w:color="auto"/>
            </w:tcBorders>
            <w:shd w:val="clear" w:color="auto" w:fill="BDD6EE"/>
            <w:vAlign w:val="center"/>
          </w:tcPr>
          <w:p w14:paraId="1827F98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99" w:type="dxa"/>
            <w:tcBorders>
              <w:bottom w:val="single" w:sz="4" w:space="0" w:color="auto"/>
            </w:tcBorders>
            <w:shd w:val="clear" w:color="auto" w:fill="BDD6EE"/>
            <w:vAlign w:val="center"/>
          </w:tcPr>
          <w:p w14:paraId="509B6A3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0670F3" w14:paraId="342D1156" w14:textId="77777777" w:rsidTr="006B2173">
        <w:trPr>
          <w:trHeight w:val="379"/>
        </w:trPr>
        <w:tc>
          <w:tcPr>
            <w:tcW w:w="691" w:type="dxa"/>
            <w:vMerge/>
            <w:shd w:val="clear" w:color="auto" w:fill="FFFFFF"/>
          </w:tcPr>
          <w:p w14:paraId="4A38B710"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D3C2BE" w14:textId="28DCAE49" w:rsidR="009C2E0C" w:rsidRPr="000670F3" w:rsidRDefault="008B00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color w:val="000000"/>
              </w:rPr>
              <w:t>Part II, Section A, #7 (p.7)</w:t>
            </w:r>
          </w:p>
        </w:tc>
        <w:tc>
          <w:tcPr>
            <w:tcW w:w="8099" w:type="dxa"/>
            <w:shd w:val="clear" w:color="auto" w:fill="FFFFFF"/>
            <w:vAlign w:val="center"/>
          </w:tcPr>
          <w:p w14:paraId="7BC887E2" w14:textId="77777777" w:rsidR="008B0010" w:rsidRPr="000670F3" w:rsidRDefault="008B0010" w:rsidP="008B0010">
            <w:pPr>
              <w:rPr>
                <w:rFonts w:ascii="Arial" w:hAnsi="Arial" w:cs="Arial"/>
                <w:color w:val="000000"/>
              </w:rPr>
            </w:pPr>
            <w:r w:rsidRPr="000670F3">
              <w:rPr>
                <w:rFonts w:ascii="Arial" w:hAnsi="Arial" w:cs="Arial"/>
                <w:color w:val="000000"/>
              </w:rPr>
              <w:t>Can we expect each utility to provide us hourly metered loads for their respective territory going back 5 years (2018-23)?</w:t>
            </w:r>
          </w:p>
          <w:p w14:paraId="62E2DC5F"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0670F3" w14:paraId="40B13FE9" w14:textId="77777777" w:rsidTr="006B2173">
        <w:trPr>
          <w:trHeight w:val="379"/>
        </w:trPr>
        <w:tc>
          <w:tcPr>
            <w:tcW w:w="691" w:type="dxa"/>
            <w:vMerge/>
            <w:shd w:val="clear" w:color="auto" w:fill="BDD6EE"/>
          </w:tcPr>
          <w:p w14:paraId="3FFEEE81"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321091AC"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9C2E0C" w:rsidRPr="000670F3" w14:paraId="6F198213" w14:textId="77777777" w:rsidTr="006B2173">
        <w:trPr>
          <w:trHeight w:val="379"/>
        </w:trPr>
        <w:tc>
          <w:tcPr>
            <w:tcW w:w="691" w:type="dxa"/>
            <w:vMerge/>
          </w:tcPr>
          <w:p w14:paraId="6AEDB1F9"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3BD17F9D" w14:textId="0FF7DC72" w:rsidR="009C2E0C" w:rsidRPr="004252AD" w:rsidRDefault="006B2173" w:rsidP="004252AD">
            <w:pPr>
              <w:rPr>
                <w:rFonts w:ascii="Arial" w:hAnsi="Arial" w:cs="Arial"/>
                <w:color w:val="000000"/>
              </w:rPr>
            </w:pPr>
            <w:r w:rsidRPr="000670F3">
              <w:rPr>
                <w:rFonts w:ascii="Arial" w:hAnsi="Arial" w:cs="Arial"/>
                <w:color w:val="000000"/>
              </w:rPr>
              <w:t>It will be proposed that utilities provide historic hourly metered load data. It is not certain that utilities have this information or will make it available for the study.  Such information may also be available from ISO New England and Northern Maine Independent System Administrator.</w:t>
            </w:r>
          </w:p>
        </w:tc>
      </w:tr>
    </w:tbl>
    <w:p w14:paraId="409FFD27" w14:textId="77777777" w:rsidR="009C2E0C" w:rsidRPr="000670F3" w:rsidRDefault="009C2E0C" w:rsidP="009C2E0C">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9C2E0C" w:rsidRPr="000670F3" w14:paraId="3415E608" w14:textId="77777777" w:rsidTr="006B2173">
        <w:trPr>
          <w:trHeight w:val="379"/>
        </w:trPr>
        <w:tc>
          <w:tcPr>
            <w:tcW w:w="691" w:type="dxa"/>
            <w:vMerge w:val="restart"/>
            <w:shd w:val="clear" w:color="auto" w:fill="BDD6EE"/>
            <w:vAlign w:val="center"/>
          </w:tcPr>
          <w:p w14:paraId="54BF8A86"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8</w:t>
            </w:r>
          </w:p>
        </w:tc>
        <w:tc>
          <w:tcPr>
            <w:tcW w:w="1987" w:type="dxa"/>
            <w:tcBorders>
              <w:bottom w:val="single" w:sz="4" w:space="0" w:color="auto"/>
            </w:tcBorders>
            <w:shd w:val="clear" w:color="auto" w:fill="BDD6EE"/>
            <w:vAlign w:val="center"/>
          </w:tcPr>
          <w:p w14:paraId="533209D9"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41B0BB80"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9C2E0C" w:rsidRPr="000670F3" w14:paraId="4004E77D" w14:textId="77777777" w:rsidTr="006B2173">
        <w:trPr>
          <w:trHeight w:val="379"/>
        </w:trPr>
        <w:tc>
          <w:tcPr>
            <w:tcW w:w="691" w:type="dxa"/>
            <w:vMerge/>
            <w:shd w:val="clear" w:color="auto" w:fill="FFFFFF"/>
          </w:tcPr>
          <w:p w14:paraId="47269427"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0E6E71" w14:textId="3DF6ACCF" w:rsidR="009C2E0C" w:rsidRPr="000670F3" w:rsidRDefault="00D30B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Cover Page/Page 1</w:t>
            </w:r>
          </w:p>
        </w:tc>
        <w:tc>
          <w:tcPr>
            <w:tcW w:w="8099" w:type="dxa"/>
            <w:shd w:val="clear" w:color="auto" w:fill="FFFFFF"/>
            <w:vAlign w:val="center"/>
          </w:tcPr>
          <w:p w14:paraId="35EB06AA" w14:textId="77777777" w:rsidR="00D30B1E" w:rsidRPr="000670F3" w:rsidRDefault="00D30B1E" w:rsidP="00D30B1E">
            <w:pPr>
              <w:pStyle w:val="NoSpacing"/>
              <w:rPr>
                <w:rFonts w:ascii="Arial" w:hAnsi="Arial" w:cs="Arial"/>
                <w:sz w:val="24"/>
                <w:szCs w:val="24"/>
              </w:rPr>
            </w:pPr>
            <w:r w:rsidRPr="000670F3">
              <w:rPr>
                <w:rFonts w:ascii="Arial" w:hAnsi="Arial" w:cs="Arial"/>
                <w:sz w:val="24"/>
                <w:szCs w:val="24"/>
              </w:rPr>
              <w:t>Extension request: Given that responses to questions are expected back on May 29</w:t>
            </w:r>
            <w:r w:rsidRPr="000670F3">
              <w:rPr>
                <w:rFonts w:ascii="Arial" w:hAnsi="Arial" w:cs="Arial"/>
                <w:sz w:val="24"/>
                <w:szCs w:val="24"/>
                <w:vertAlign w:val="superscript"/>
              </w:rPr>
              <w:t>th</w:t>
            </w:r>
            <w:r w:rsidRPr="000670F3">
              <w:rPr>
                <w:rFonts w:ascii="Arial" w:hAnsi="Arial" w:cs="Arial"/>
                <w:sz w:val="24"/>
                <w:szCs w:val="24"/>
              </w:rPr>
              <w:t>, could we have until June 7</w:t>
            </w:r>
            <w:r w:rsidRPr="000670F3">
              <w:rPr>
                <w:rFonts w:ascii="Arial" w:hAnsi="Arial" w:cs="Arial"/>
                <w:sz w:val="24"/>
                <w:szCs w:val="24"/>
                <w:vertAlign w:val="superscript"/>
              </w:rPr>
              <w:t>th</w:t>
            </w:r>
            <w:r w:rsidRPr="000670F3">
              <w:rPr>
                <w:rFonts w:ascii="Arial" w:hAnsi="Arial" w:cs="Arial"/>
                <w:sz w:val="24"/>
                <w:szCs w:val="24"/>
              </w:rPr>
              <w:t xml:space="preserve"> to submit the proposal so we have sufficient time to incorporate responses to questions?</w:t>
            </w:r>
          </w:p>
          <w:p w14:paraId="7AAFA975"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0670F3" w14:paraId="466C474E" w14:textId="77777777" w:rsidTr="006B2173">
        <w:trPr>
          <w:trHeight w:val="379"/>
        </w:trPr>
        <w:tc>
          <w:tcPr>
            <w:tcW w:w="691" w:type="dxa"/>
            <w:vMerge/>
            <w:shd w:val="clear" w:color="auto" w:fill="BDD6EE"/>
          </w:tcPr>
          <w:p w14:paraId="1731752A"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5F687C0F"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9C2E0C" w:rsidRPr="000670F3" w14:paraId="40C0021A" w14:textId="77777777" w:rsidTr="006B2173">
        <w:trPr>
          <w:trHeight w:val="379"/>
        </w:trPr>
        <w:tc>
          <w:tcPr>
            <w:tcW w:w="691" w:type="dxa"/>
            <w:vMerge/>
          </w:tcPr>
          <w:p w14:paraId="42F85ED7"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4D5B4056" w14:textId="0A9C294C" w:rsidR="009C2E0C" w:rsidRPr="000670F3" w:rsidRDefault="007235E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Under the </w:t>
            </w:r>
            <w:r w:rsidR="004252AD">
              <w:rPr>
                <w:rFonts w:ascii="Arial" w:hAnsi="Arial" w:cs="Arial"/>
              </w:rPr>
              <w:t>S</w:t>
            </w:r>
            <w:r>
              <w:rPr>
                <w:rFonts w:ascii="Arial" w:hAnsi="Arial" w:cs="Arial"/>
              </w:rPr>
              <w:t xml:space="preserve">tate of Maine </w:t>
            </w:r>
            <w:r w:rsidR="004252AD">
              <w:rPr>
                <w:rFonts w:ascii="Arial" w:hAnsi="Arial" w:cs="Arial"/>
              </w:rPr>
              <w:t>Procurement rules</w:t>
            </w:r>
            <w:r>
              <w:rPr>
                <w:rFonts w:ascii="Arial" w:hAnsi="Arial" w:cs="Arial"/>
              </w:rPr>
              <w:t>, an extension would require an amendment to the RFP</w:t>
            </w:r>
            <w:r w:rsidR="004252AD">
              <w:rPr>
                <w:rFonts w:ascii="Arial" w:hAnsi="Arial" w:cs="Arial"/>
              </w:rPr>
              <w:t xml:space="preserve"> which OPA does not plan to issue at this time.</w:t>
            </w:r>
          </w:p>
        </w:tc>
      </w:tr>
    </w:tbl>
    <w:p w14:paraId="211D77A3" w14:textId="77777777" w:rsidR="009C2E0C" w:rsidRPr="000670F3" w:rsidRDefault="009C2E0C" w:rsidP="009C2E0C">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9C2E0C" w:rsidRPr="000670F3" w14:paraId="18FE472D" w14:textId="77777777" w:rsidTr="006B2173">
        <w:trPr>
          <w:trHeight w:val="379"/>
        </w:trPr>
        <w:tc>
          <w:tcPr>
            <w:tcW w:w="691" w:type="dxa"/>
            <w:vMerge w:val="restart"/>
            <w:shd w:val="clear" w:color="auto" w:fill="BDD6EE"/>
            <w:vAlign w:val="center"/>
          </w:tcPr>
          <w:p w14:paraId="02837A0A"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9</w:t>
            </w:r>
          </w:p>
        </w:tc>
        <w:tc>
          <w:tcPr>
            <w:tcW w:w="1987" w:type="dxa"/>
            <w:tcBorders>
              <w:bottom w:val="single" w:sz="4" w:space="0" w:color="auto"/>
            </w:tcBorders>
            <w:shd w:val="clear" w:color="auto" w:fill="BDD6EE"/>
            <w:vAlign w:val="center"/>
          </w:tcPr>
          <w:p w14:paraId="08ED9299"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1D1DBD92"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9C2E0C" w:rsidRPr="000670F3" w14:paraId="6BCAE8F9" w14:textId="77777777" w:rsidTr="006B2173">
        <w:trPr>
          <w:trHeight w:val="379"/>
        </w:trPr>
        <w:tc>
          <w:tcPr>
            <w:tcW w:w="691" w:type="dxa"/>
            <w:vMerge/>
            <w:shd w:val="clear" w:color="auto" w:fill="FFFFFF"/>
          </w:tcPr>
          <w:p w14:paraId="6DFD35F7"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0C3829" w14:textId="6DC5CBE6" w:rsidR="009C2E0C" w:rsidRPr="000670F3" w:rsidRDefault="00D30B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Appendix C</w:t>
            </w:r>
          </w:p>
        </w:tc>
        <w:tc>
          <w:tcPr>
            <w:tcW w:w="8099" w:type="dxa"/>
            <w:shd w:val="clear" w:color="auto" w:fill="FFFFFF"/>
            <w:vAlign w:val="center"/>
          </w:tcPr>
          <w:p w14:paraId="3DD33CA9" w14:textId="74888280" w:rsidR="009C2E0C" w:rsidRPr="000670F3" w:rsidRDefault="00D30B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rPr>
              <w:t>Please clarify that bidders should provide no more than three project descriptions and references as part of Appendix C.</w:t>
            </w:r>
          </w:p>
        </w:tc>
      </w:tr>
      <w:tr w:rsidR="009C2E0C" w:rsidRPr="000670F3" w14:paraId="74A1DDA4" w14:textId="77777777" w:rsidTr="006B2173">
        <w:trPr>
          <w:trHeight w:val="379"/>
        </w:trPr>
        <w:tc>
          <w:tcPr>
            <w:tcW w:w="691" w:type="dxa"/>
            <w:vMerge/>
            <w:shd w:val="clear" w:color="auto" w:fill="BDD6EE"/>
          </w:tcPr>
          <w:p w14:paraId="62588088"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7847C6C8"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9C2E0C" w:rsidRPr="000670F3" w14:paraId="1B5EF4D5" w14:textId="77777777" w:rsidTr="006B2173">
        <w:trPr>
          <w:trHeight w:val="379"/>
        </w:trPr>
        <w:tc>
          <w:tcPr>
            <w:tcW w:w="691" w:type="dxa"/>
            <w:vMerge/>
          </w:tcPr>
          <w:p w14:paraId="00C0C781"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7EB25B21" w14:textId="3F33F92B" w:rsidR="009C2E0C" w:rsidRPr="000670F3" w:rsidRDefault="004252A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w:t>
            </w:r>
            <w:r w:rsidR="007235EB" w:rsidRPr="007235EB">
              <w:rPr>
                <w:rFonts w:ascii="Arial" w:hAnsi="Arial" w:cs="Arial"/>
              </w:rPr>
              <w:t xml:space="preserve"> may provide more than </w:t>
            </w:r>
            <w:r>
              <w:rPr>
                <w:rFonts w:ascii="Arial" w:hAnsi="Arial" w:cs="Arial"/>
              </w:rPr>
              <w:t>three</w:t>
            </w:r>
            <w:r w:rsidR="007235EB" w:rsidRPr="007235EB">
              <w:rPr>
                <w:rFonts w:ascii="Arial" w:hAnsi="Arial" w:cs="Arial"/>
              </w:rPr>
              <w:t xml:space="preserve"> project descriptions</w:t>
            </w:r>
            <w:r>
              <w:rPr>
                <w:rFonts w:ascii="Arial" w:hAnsi="Arial" w:cs="Arial"/>
              </w:rPr>
              <w:t>, however m</w:t>
            </w:r>
            <w:r w:rsidR="007235EB" w:rsidRPr="007235EB">
              <w:rPr>
                <w:rFonts w:ascii="Arial" w:hAnsi="Arial" w:cs="Arial"/>
              </w:rPr>
              <w:t>ore than five is not recommended.</w:t>
            </w:r>
          </w:p>
        </w:tc>
      </w:tr>
    </w:tbl>
    <w:p w14:paraId="24E3475A" w14:textId="77777777" w:rsidR="009C2E0C" w:rsidRPr="000670F3" w:rsidRDefault="009C2E0C" w:rsidP="009C2E0C">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9C2E0C" w:rsidRPr="000670F3" w14:paraId="0C567AA2" w14:textId="77777777" w:rsidTr="000567FE">
        <w:trPr>
          <w:trHeight w:val="379"/>
        </w:trPr>
        <w:tc>
          <w:tcPr>
            <w:tcW w:w="691" w:type="dxa"/>
            <w:vMerge w:val="restart"/>
            <w:shd w:val="clear" w:color="auto" w:fill="BDD6EE"/>
            <w:vAlign w:val="center"/>
          </w:tcPr>
          <w:p w14:paraId="3E351579"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10</w:t>
            </w:r>
          </w:p>
        </w:tc>
        <w:tc>
          <w:tcPr>
            <w:tcW w:w="1987" w:type="dxa"/>
            <w:tcBorders>
              <w:bottom w:val="single" w:sz="4" w:space="0" w:color="auto"/>
            </w:tcBorders>
            <w:shd w:val="clear" w:color="auto" w:fill="BDD6EE"/>
            <w:vAlign w:val="center"/>
          </w:tcPr>
          <w:p w14:paraId="15858B44"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3F3C6E0B" w14:textId="77777777" w:rsidR="009C2E0C" w:rsidRPr="000670F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9C2E0C" w:rsidRPr="000670F3" w14:paraId="5A4C53E5" w14:textId="77777777" w:rsidTr="000567FE">
        <w:trPr>
          <w:trHeight w:val="379"/>
        </w:trPr>
        <w:tc>
          <w:tcPr>
            <w:tcW w:w="691" w:type="dxa"/>
            <w:vMerge/>
            <w:shd w:val="clear" w:color="auto" w:fill="FFFFFF"/>
          </w:tcPr>
          <w:p w14:paraId="6CAB5C23"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FA88E7" w14:textId="5BEC8897" w:rsidR="009C2E0C" w:rsidRPr="000670F3" w:rsidRDefault="00D30B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Appendix D</w:t>
            </w:r>
          </w:p>
        </w:tc>
        <w:tc>
          <w:tcPr>
            <w:tcW w:w="8099" w:type="dxa"/>
            <w:shd w:val="clear" w:color="auto" w:fill="FFFFFF"/>
            <w:vAlign w:val="center"/>
          </w:tcPr>
          <w:p w14:paraId="1A62C5D6" w14:textId="3AC7F35E" w:rsidR="009C2E0C" w:rsidRPr="000670F3" w:rsidRDefault="00D30B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rPr>
              <w:t>In the past, our firm has worked for OPA after completing the Cost Proposal by using our standard commercial hourly rates in the first section (“Staff Resources – Employees Titles/Hourly Rates”) and leaving all other sections blank or set to zero. As such, we have not provided justification for/a breakdown of our hourly rates. Is such an approach acceptable to use when completing the Cost Proposal Form for this RFP?</w:t>
            </w:r>
          </w:p>
        </w:tc>
      </w:tr>
      <w:tr w:rsidR="009C2E0C" w:rsidRPr="000670F3" w14:paraId="06F0F469" w14:textId="77777777" w:rsidTr="000567FE">
        <w:trPr>
          <w:trHeight w:val="379"/>
        </w:trPr>
        <w:tc>
          <w:tcPr>
            <w:tcW w:w="691" w:type="dxa"/>
            <w:vMerge/>
            <w:shd w:val="clear" w:color="auto" w:fill="BDD6EE"/>
          </w:tcPr>
          <w:p w14:paraId="3D3B5806"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28ACC43C"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9C2E0C" w:rsidRPr="000670F3" w14:paraId="06E9AEEE" w14:textId="77777777" w:rsidTr="000567FE">
        <w:trPr>
          <w:trHeight w:val="379"/>
        </w:trPr>
        <w:tc>
          <w:tcPr>
            <w:tcW w:w="691" w:type="dxa"/>
            <w:vMerge/>
          </w:tcPr>
          <w:p w14:paraId="64DD25FA" w14:textId="77777777" w:rsidR="009C2E0C" w:rsidRPr="000670F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1306CCC0" w14:textId="25BD4015" w:rsidR="009C2E0C" w:rsidRPr="000670F3" w:rsidRDefault="007235E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235EB">
              <w:rPr>
                <w:rFonts w:ascii="Arial" w:hAnsi="Arial" w:cs="Arial"/>
              </w:rPr>
              <w:t>Bidders should provide the information requested in Appendix D.</w:t>
            </w:r>
          </w:p>
        </w:tc>
      </w:tr>
    </w:tbl>
    <w:p w14:paraId="4DE89762" w14:textId="77777777" w:rsidR="00BF5871" w:rsidRPr="000670F3" w:rsidRDefault="00BF5871"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6B2173" w:rsidRPr="000670F3" w14:paraId="18CE9AEF" w14:textId="77777777" w:rsidTr="006B2173">
        <w:trPr>
          <w:trHeight w:val="379"/>
        </w:trPr>
        <w:tc>
          <w:tcPr>
            <w:tcW w:w="691" w:type="dxa"/>
            <w:vMerge w:val="restart"/>
            <w:shd w:val="clear" w:color="auto" w:fill="BDD6EE"/>
            <w:vAlign w:val="center"/>
          </w:tcPr>
          <w:p w14:paraId="06EBBEC7" w14:textId="0BB89DFD" w:rsidR="006B2173" w:rsidRPr="000670F3" w:rsidRDefault="006B2173"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11</w:t>
            </w:r>
          </w:p>
        </w:tc>
        <w:tc>
          <w:tcPr>
            <w:tcW w:w="1987" w:type="dxa"/>
            <w:tcBorders>
              <w:bottom w:val="single" w:sz="4" w:space="0" w:color="auto"/>
            </w:tcBorders>
            <w:shd w:val="clear" w:color="auto" w:fill="BDD6EE"/>
            <w:vAlign w:val="center"/>
          </w:tcPr>
          <w:p w14:paraId="1D029729" w14:textId="77777777" w:rsidR="006B2173" w:rsidRPr="000670F3" w:rsidRDefault="006B2173"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076DC296" w14:textId="77777777" w:rsidR="006B2173" w:rsidRPr="000670F3" w:rsidRDefault="006B2173"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404DD5F6" w14:textId="77777777" w:rsidTr="00512FAE">
        <w:trPr>
          <w:trHeight w:val="379"/>
        </w:trPr>
        <w:tc>
          <w:tcPr>
            <w:tcW w:w="691" w:type="dxa"/>
            <w:vMerge/>
            <w:shd w:val="clear" w:color="auto" w:fill="FFFFFF"/>
          </w:tcPr>
          <w:p w14:paraId="491A7D45"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8448D9F" w14:textId="7F17D91C"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Appendix D</w:t>
            </w:r>
          </w:p>
        </w:tc>
        <w:tc>
          <w:tcPr>
            <w:tcW w:w="8099" w:type="dxa"/>
            <w:shd w:val="clear" w:color="auto" w:fill="FFFFFF"/>
          </w:tcPr>
          <w:p w14:paraId="18F9C02A" w14:textId="740FEAA8"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rPr>
              <w:t xml:space="preserve">Can the consultant add more people to the project </w:t>
            </w:r>
            <w:proofErr w:type="gramStart"/>
            <w:r w:rsidRPr="000670F3">
              <w:rPr>
                <w:rFonts w:ascii="Arial" w:hAnsi="Arial" w:cs="Arial"/>
              </w:rPr>
              <w:t>later on</w:t>
            </w:r>
            <w:proofErr w:type="gramEnd"/>
            <w:r w:rsidRPr="000670F3">
              <w:rPr>
                <w:rFonts w:ascii="Arial" w:hAnsi="Arial" w:cs="Arial"/>
              </w:rPr>
              <w:t>?</w:t>
            </w:r>
          </w:p>
        </w:tc>
      </w:tr>
      <w:tr w:rsidR="00D30B1E" w:rsidRPr="000670F3" w14:paraId="5811F421" w14:textId="77777777" w:rsidTr="006B2173">
        <w:trPr>
          <w:trHeight w:val="379"/>
        </w:trPr>
        <w:tc>
          <w:tcPr>
            <w:tcW w:w="691" w:type="dxa"/>
            <w:vMerge/>
            <w:shd w:val="clear" w:color="auto" w:fill="BDD6EE"/>
          </w:tcPr>
          <w:p w14:paraId="05161BE2"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3C385497"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D30B1E" w:rsidRPr="000670F3" w14:paraId="1130187D" w14:textId="77777777" w:rsidTr="006B2173">
        <w:trPr>
          <w:trHeight w:val="379"/>
        </w:trPr>
        <w:tc>
          <w:tcPr>
            <w:tcW w:w="691" w:type="dxa"/>
            <w:vMerge/>
          </w:tcPr>
          <w:p w14:paraId="43CF7692"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09049E0D" w14:textId="0FBB00AD" w:rsidR="00D30B1E" w:rsidRPr="000670F3" w:rsidRDefault="007235EB"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Staffing may be modified. However, the contracted price remains the same</w:t>
            </w:r>
            <w:r w:rsidR="00460A69">
              <w:rPr>
                <w:rFonts w:ascii="Arial" w:hAnsi="Arial" w:cs="Arial"/>
              </w:rPr>
              <w:t xml:space="preserve"> unless expressly renegotiated.</w:t>
            </w:r>
          </w:p>
        </w:tc>
      </w:tr>
    </w:tbl>
    <w:p w14:paraId="47EABD50" w14:textId="77777777" w:rsidR="004252AD" w:rsidRDefault="004252AD"/>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D30B1E" w:rsidRPr="000670F3" w14:paraId="60B1BA44" w14:textId="77777777" w:rsidTr="006B2173">
        <w:trPr>
          <w:trHeight w:val="379"/>
        </w:trPr>
        <w:tc>
          <w:tcPr>
            <w:tcW w:w="691" w:type="dxa"/>
            <w:vMerge w:val="restart"/>
            <w:shd w:val="clear" w:color="auto" w:fill="BDD6EE"/>
            <w:vAlign w:val="center"/>
          </w:tcPr>
          <w:p w14:paraId="6D7D049E" w14:textId="296B46DA" w:rsidR="00D30B1E" w:rsidRPr="000670F3" w:rsidRDefault="00D30B1E" w:rsidP="00D30B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12</w:t>
            </w:r>
          </w:p>
        </w:tc>
        <w:tc>
          <w:tcPr>
            <w:tcW w:w="1987" w:type="dxa"/>
            <w:tcBorders>
              <w:bottom w:val="single" w:sz="4" w:space="0" w:color="auto"/>
            </w:tcBorders>
            <w:shd w:val="clear" w:color="auto" w:fill="BDD6EE"/>
            <w:vAlign w:val="center"/>
          </w:tcPr>
          <w:p w14:paraId="70270EA4" w14:textId="77777777" w:rsidR="00D30B1E" w:rsidRPr="000670F3" w:rsidRDefault="00D30B1E" w:rsidP="00D30B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2569A37D" w14:textId="77777777" w:rsidR="00D30B1E" w:rsidRPr="000670F3" w:rsidRDefault="00D30B1E" w:rsidP="00D30B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0BDFE664" w14:textId="77777777" w:rsidTr="00C85B50">
        <w:trPr>
          <w:trHeight w:val="379"/>
        </w:trPr>
        <w:tc>
          <w:tcPr>
            <w:tcW w:w="691" w:type="dxa"/>
            <w:vMerge/>
            <w:shd w:val="clear" w:color="auto" w:fill="FFFFFF"/>
          </w:tcPr>
          <w:p w14:paraId="1D43A3F6"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F5E55D" w14:textId="19028133"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Appendix D</w:t>
            </w:r>
          </w:p>
        </w:tc>
        <w:tc>
          <w:tcPr>
            <w:tcW w:w="8099" w:type="dxa"/>
            <w:shd w:val="clear" w:color="auto" w:fill="FFFFFF"/>
          </w:tcPr>
          <w:p w14:paraId="626D082F" w14:textId="60D11E60"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rPr>
              <w:t>Can consultants increase their rates (1) annually during the initial contract period and/or (2) for optional extensions?</w:t>
            </w:r>
          </w:p>
        </w:tc>
      </w:tr>
      <w:tr w:rsidR="00D30B1E" w:rsidRPr="000670F3" w14:paraId="27DB911D" w14:textId="77777777" w:rsidTr="006B2173">
        <w:trPr>
          <w:trHeight w:val="379"/>
        </w:trPr>
        <w:tc>
          <w:tcPr>
            <w:tcW w:w="691" w:type="dxa"/>
            <w:vMerge/>
            <w:shd w:val="clear" w:color="auto" w:fill="BDD6EE"/>
          </w:tcPr>
          <w:p w14:paraId="279652B6"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4CEFD56D"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D30B1E" w:rsidRPr="000670F3" w14:paraId="104D5F9E" w14:textId="77777777" w:rsidTr="006B2173">
        <w:trPr>
          <w:trHeight w:val="379"/>
        </w:trPr>
        <w:tc>
          <w:tcPr>
            <w:tcW w:w="691" w:type="dxa"/>
            <w:vMerge/>
          </w:tcPr>
          <w:p w14:paraId="2D5AC932"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0EE55DD5" w14:textId="2B5CD4C9" w:rsidR="00D30B1E" w:rsidRPr="000670F3" w:rsidRDefault="00460A69"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0A69">
              <w:rPr>
                <w:rFonts w:ascii="Arial" w:hAnsi="Arial" w:cs="Arial"/>
              </w:rPr>
              <w:t>Rate changes may be discussed during the contract period</w:t>
            </w:r>
            <w:r>
              <w:rPr>
                <w:rFonts w:ascii="Arial" w:hAnsi="Arial" w:cs="Arial"/>
              </w:rPr>
              <w:t xml:space="preserve"> or at optional extensions.</w:t>
            </w:r>
          </w:p>
        </w:tc>
      </w:tr>
    </w:tbl>
    <w:p w14:paraId="6F0469E8" w14:textId="77777777" w:rsidR="00C54CE8" w:rsidRPr="000670F3" w:rsidRDefault="00C54CE8"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0567FE" w:rsidRPr="000670F3" w14:paraId="3FDC249D" w14:textId="77777777" w:rsidTr="00C92D42">
        <w:trPr>
          <w:trHeight w:val="379"/>
        </w:trPr>
        <w:tc>
          <w:tcPr>
            <w:tcW w:w="691" w:type="dxa"/>
            <w:vMerge w:val="restart"/>
            <w:shd w:val="clear" w:color="auto" w:fill="BDD6EE"/>
            <w:vAlign w:val="center"/>
          </w:tcPr>
          <w:p w14:paraId="7366EC2F" w14:textId="3DD4C7BA"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13</w:t>
            </w:r>
          </w:p>
        </w:tc>
        <w:tc>
          <w:tcPr>
            <w:tcW w:w="1987" w:type="dxa"/>
            <w:tcBorders>
              <w:bottom w:val="single" w:sz="4" w:space="0" w:color="auto"/>
            </w:tcBorders>
            <w:shd w:val="clear" w:color="auto" w:fill="BDD6EE"/>
            <w:vAlign w:val="center"/>
          </w:tcPr>
          <w:p w14:paraId="4E7FC314"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166BC7C9"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0567FE" w:rsidRPr="000670F3" w14:paraId="1FF66870" w14:textId="77777777" w:rsidTr="00C92D42">
        <w:trPr>
          <w:trHeight w:val="379"/>
        </w:trPr>
        <w:tc>
          <w:tcPr>
            <w:tcW w:w="691" w:type="dxa"/>
            <w:vMerge/>
            <w:shd w:val="clear" w:color="auto" w:fill="FFFFFF"/>
          </w:tcPr>
          <w:p w14:paraId="7B757685"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50C433" w14:textId="4817DA7B" w:rsidR="000567F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n/a</w:t>
            </w:r>
          </w:p>
        </w:tc>
        <w:tc>
          <w:tcPr>
            <w:tcW w:w="8099" w:type="dxa"/>
            <w:shd w:val="clear" w:color="auto" w:fill="FFFFFF"/>
            <w:vAlign w:val="center"/>
          </w:tcPr>
          <w:p w14:paraId="0983CA59" w14:textId="23DA7949" w:rsidR="000567F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rPr>
              <w:t>Does OPA have a budget in mind for this project? Does OPA have a desired total maximum budget for the total cost to perform all tasks?</w:t>
            </w:r>
          </w:p>
        </w:tc>
      </w:tr>
      <w:tr w:rsidR="000567FE" w:rsidRPr="000670F3" w14:paraId="7569F584" w14:textId="77777777" w:rsidTr="00C92D42">
        <w:trPr>
          <w:trHeight w:val="379"/>
        </w:trPr>
        <w:tc>
          <w:tcPr>
            <w:tcW w:w="691" w:type="dxa"/>
            <w:vMerge/>
            <w:shd w:val="clear" w:color="auto" w:fill="BDD6EE"/>
          </w:tcPr>
          <w:p w14:paraId="4B115BB1"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73F76852"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0567FE" w:rsidRPr="000670F3" w14:paraId="44AA4259" w14:textId="77777777" w:rsidTr="00C92D42">
        <w:trPr>
          <w:trHeight w:val="379"/>
        </w:trPr>
        <w:tc>
          <w:tcPr>
            <w:tcW w:w="691" w:type="dxa"/>
            <w:vMerge/>
          </w:tcPr>
          <w:p w14:paraId="7CFCC029"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0764E4CD" w14:textId="47530F4F" w:rsidR="000567FE" w:rsidRPr="000670F3" w:rsidRDefault="00460A69"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0A69">
              <w:rPr>
                <w:rFonts w:ascii="Arial" w:hAnsi="Arial" w:cs="Arial"/>
              </w:rPr>
              <w:t>No. OPA reviews the proposals made in response to the RFP, considering price as one of the selection criteria.</w:t>
            </w:r>
          </w:p>
        </w:tc>
      </w:tr>
    </w:tbl>
    <w:p w14:paraId="6C010086" w14:textId="77777777" w:rsidR="000567FE" w:rsidRPr="000670F3" w:rsidRDefault="000567FE"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0567FE" w:rsidRPr="000670F3" w14:paraId="743FBBEA" w14:textId="77777777" w:rsidTr="00C92D42">
        <w:trPr>
          <w:trHeight w:val="379"/>
        </w:trPr>
        <w:tc>
          <w:tcPr>
            <w:tcW w:w="691" w:type="dxa"/>
            <w:vMerge w:val="restart"/>
            <w:shd w:val="clear" w:color="auto" w:fill="BDD6EE"/>
            <w:vAlign w:val="center"/>
          </w:tcPr>
          <w:p w14:paraId="324959D6" w14:textId="1C03C863"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14</w:t>
            </w:r>
          </w:p>
        </w:tc>
        <w:tc>
          <w:tcPr>
            <w:tcW w:w="1987" w:type="dxa"/>
            <w:tcBorders>
              <w:bottom w:val="single" w:sz="4" w:space="0" w:color="auto"/>
            </w:tcBorders>
            <w:shd w:val="clear" w:color="auto" w:fill="BDD6EE"/>
            <w:vAlign w:val="center"/>
          </w:tcPr>
          <w:p w14:paraId="430834E4"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2CE1F9FA"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0567FE" w:rsidRPr="000670F3" w14:paraId="34DE4EDA" w14:textId="77777777" w:rsidTr="00C92D42">
        <w:trPr>
          <w:trHeight w:val="379"/>
        </w:trPr>
        <w:tc>
          <w:tcPr>
            <w:tcW w:w="691" w:type="dxa"/>
            <w:vMerge/>
            <w:shd w:val="clear" w:color="auto" w:fill="FFFFFF"/>
          </w:tcPr>
          <w:p w14:paraId="4C1906E1"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29BDC7" w14:textId="268FC827" w:rsidR="000567F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1. A. page 5</w:t>
            </w:r>
          </w:p>
        </w:tc>
        <w:tc>
          <w:tcPr>
            <w:tcW w:w="8099" w:type="dxa"/>
            <w:shd w:val="clear" w:color="auto" w:fill="FFFFFF"/>
            <w:vAlign w:val="center"/>
          </w:tcPr>
          <w:p w14:paraId="75DC070F" w14:textId="77777777" w:rsidR="00D30B1E" w:rsidRPr="000670F3" w:rsidRDefault="00D30B1E" w:rsidP="00D30B1E">
            <w:pPr>
              <w:textAlignment w:val="center"/>
              <w:rPr>
                <w:rFonts w:ascii="Arial" w:hAnsi="Arial" w:cs="Arial"/>
              </w:rPr>
            </w:pPr>
            <w:r w:rsidRPr="000670F3">
              <w:rPr>
                <w:rFonts w:ascii="Arial" w:hAnsi="Arial" w:cs="Arial"/>
              </w:rPr>
              <w:t>Please refer to the following statement on page 5 of the RFP: "The Department is seeking proposals from qualified firms to provide peak electrical demand forecast data at a regional level, at a minimum, and at a feeder level if possible.</w:t>
            </w:r>
          </w:p>
          <w:p w14:paraId="1507BD9E" w14:textId="77777777" w:rsidR="00D30B1E" w:rsidRPr="000670F3" w:rsidRDefault="00D30B1E" w:rsidP="00D30B1E">
            <w:pPr>
              <w:numPr>
                <w:ilvl w:val="0"/>
                <w:numId w:val="1"/>
              </w:numPr>
              <w:textAlignment w:val="center"/>
              <w:rPr>
                <w:rFonts w:ascii="Arial" w:hAnsi="Arial" w:cs="Arial"/>
              </w:rPr>
            </w:pPr>
            <w:r w:rsidRPr="000670F3">
              <w:rPr>
                <w:rFonts w:ascii="Arial" w:hAnsi="Arial" w:cs="Arial"/>
              </w:rPr>
              <w:t>Please elaborate on what the Department means by “at a regional level.”</w:t>
            </w:r>
          </w:p>
          <w:p w14:paraId="650210EA" w14:textId="77777777" w:rsidR="00D30B1E" w:rsidRPr="000670F3" w:rsidRDefault="00D30B1E" w:rsidP="00D30B1E">
            <w:pPr>
              <w:numPr>
                <w:ilvl w:val="0"/>
                <w:numId w:val="1"/>
              </w:numPr>
              <w:textAlignment w:val="center"/>
              <w:rPr>
                <w:rFonts w:ascii="Arial" w:hAnsi="Arial" w:cs="Arial"/>
              </w:rPr>
            </w:pPr>
            <w:r w:rsidRPr="000670F3">
              <w:rPr>
                <w:rFonts w:ascii="Arial" w:hAnsi="Arial" w:cs="Arial"/>
              </w:rPr>
              <w:t xml:space="preserve">Is an analysis of peak load forecasts at the utility jurisdiction level </w:t>
            </w:r>
            <w:r w:rsidRPr="000670F3">
              <w:rPr>
                <w:rFonts w:ascii="Arial" w:eastAsia="Calibri" w:hAnsi="Arial" w:cs="Arial"/>
              </w:rPr>
              <w:t>acceptable</w:t>
            </w:r>
            <w:r w:rsidRPr="000670F3">
              <w:rPr>
                <w:rFonts w:ascii="Arial" w:hAnsi="Arial" w:cs="Arial"/>
              </w:rPr>
              <w:t xml:space="preserve"> for this project? </w:t>
            </w:r>
          </w:p>
          <w:p w14:paraId="1B4FDBE5" w14:textId="77777777" w:rsidR="00D30B1E" w:rsidRPr="000670F3" w:rsidRDefault="00D30B1E" w:rsidP="00D30B1E">
            <w:pPr>
              <w:numPr>
                <w:ilvl w:val="0"/>
                <w:numId w:val="1"/>
              </w:numPr>
              <w:textAlignment w:val="center"/>
              <w:rPr>
                <w:rFonts w:ascii="Arial" w:hAnsi="Arial" w:cs="Arial"/>
              </w:rPr>
            </w:pPr>
            <w:r w:rsidRPr="000670F3">
              <w:rPr>
                <w:rFonts w:ascii="Arial" w:hAnsi="Arial" w:cs="Arial"/>
              </w:rPr>
              <w:t xml:space="preserve">Is an analysis of peak load forecasts at the substation level acceptable for this project? </w:t>
            </w:r>
          </w:p>
          <w:p w14:paraId="61B38F78" w14:textId="77777777" w:rsidR="00D30B1E" w:rsidRPr="000670F3" w:rsidRDefault="00D30B1E" w:rsidP="00D30B1E">
            <w:pPr>
              <w:numPr>
                <w:ilvl w:val="0"/>
                <w:numId w:val="1"/>
              </w:numPr>
              <w:textAlignment w:val="center"/>
              <w:rPr>
                <w:rFonts w:ascii="Arial" w:hAnsi="Arial" w:cs="Arial"/>
              </w:rPr>
            </w:pPr>
            <w:r w:rsidRPr="000670F3">
              <w:rPr>
                <w:rFonts w:ascii="Arial" w:hAnsi="Arial" w:cs="Arial"/>
              </w:rPr>
              <w:t xml:space="preserve">What is the Department's expectation about the number of distribution feeders for this feeder level analysis? </w:t>
            </w:r>
          </w:p>
          <w:p w14:paraId="4093E009" w14:textId="77777777" w:rsidR="00D30B1E" w:rsidRPr="000670F3" w:rsidRDefault="00D30B1E" w:rsidP="00D30B1E">
            <w:pPr>
              <w:numPr>
                <w:ilvl w:val="0"/>
                <w:numId w:val="1"/>
              </w:numPr>
              <w:textAlignment w:val="center"/>
              <w:rPr>
                <w:rFonts w:ascii="Arial" w:hAnsi="Arial" w:cs="Arial"/>
              </w:rPr>
            </w:pPr>
            <w:r w:rsidRPr="000670F3">
              <w:rPr>
                <w:rFonts w:ascii="Arial" w:hAnsi="Arial" w:cs="Arial"/>
              </w:rPr>
              <w:t xml:space="preserve">Is this feeder analysis optional? </w:t>
            </w:r>
          </w:p>
          <w:p w14:paraId="1762658B"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567FE" w:rsidRPr="000670F3" w14:paraId="5F4D5BAB" w14:textId="77777777" w:rsidTr="00C92D42">
        <w:trPr>
          <w:trHeight w:val="379"/>
        </w:trPr>
        <w:tc>
          <w:tcPr>
            <w:tcW w:w="691" w:type="dxa"/>
            <w:vMerge/>
            <w:shd w:val="clear" w:color="auto" w:fill="BDD6EE"/>
          </w:tcPr>
          <w:p w14:paraId="4F83D45D"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0F76E574"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0567FE" w:rsidRPr="000670F3" w14:paraId="4CD915AA" w14:textId="77777777" w:rsidTr="00C92D42">
        <w:trPr>
          <w:trHeight w:val="379"/>
        </w:trPr>
        <w:tc>
          <w:tcPr>
            <w:tcW w:w="691" w:type="dxa"/>
            <w:vMerge/>
          </w:tcPr>
          <w:p w14:paraId="35C2A8BB"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0B4732FC" w14:textId="0EAB3C1F" w:rsidR="000567FE" w:rsidRDefault="005B3142" w:rsidP="005B31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spellStart"/>
            <w:r>
              <w:rPr>
                <w:rFonts w:ascii="Arial" w:hAnsi="Arial" w:cs="Arial"/>
              </w:rPr>
              <w:t>a.</w:t>
            </w:r>
            <w:r w:rsidR="00460A69" w:rsidRPr="00460A69">
              <w:rPr>
                <w:rFonts w:ascii="Arial" w:hAnsi="Arial" w:cs="Arial"/>
              </w:rPr>
              <w:t>“Regional</w:t>
            </w:r>
            <w:proofErr w:type="spellEnd"/>
            <w:r w:rsidR="00460A69" w:rsidRPr="00460A69">
              <w:rPr>
                <w:rFonts w:ascii="Arial" w:hAnsi="Arial" w:cs="Arial"/>
              </w:rPr>
              <w:t xml:space="preserve"> level” means a geographic area with similar characteristics. It may be a municipality, a county, a utility service area, or a discrete urban or rural division of load based on electric service configuration.</w:t>
            </w:r>
          </w:p>
          <w:p w14:paraId="6DC4B485" w14:textId="77777777" w:rsidR="00460A69" w:rsidRPr="00460A69" w:rsidRDefault="00460A69" w:rsidP="00460A6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0A69">
              <w:rPr>
                <w:rFonts w:ascii="Arial" w:hAnsi="Arial" w:cs="Arial"/>
              </w:rPr>
              <w:t xml:space="preserve">Utility jurisdiction is a possible level of aggregation if </w:t>
            </w:r>
            <w:bookmarkStart w:id="1" w:name="_Hlk167348772"/>
            <w:r w:rsidRPr="00460A69">
              <w:rPr>
                <w:rFonts w:ascii="Arial" w:hAnsi="Arial" w:cs="Arial"/>
              </w:rPr>
              <w:t>more detailed load information is not</w:t>
            </w:r>
          </w:p>
          <w:p w14:paraId="2E4E4482" w14:textId="77777777" w:rsidR="00460A69" w:rsidRPr="00460A69" w:rsidRDefault="00460A69" w:rsidP="00460A6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0A69">
              <w:rPr>
                <w:rFonts w:ascii="Arial" w:hAnsi="Arial" w:cs="Arial"/>
              </w:rPr>
              <w:t>available.</w:t>
            </w:r>
          </w:p>
          <w:bookmarkEnd w:id="1"/>
          <w:p w14:paraId="51598F1C" w14:textId="125895FB" w:rsidR="00460A69" w:rsidRPr="00460A69" w:rsidRDefault="00460A69" w:rsidP="00460A6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spellStart"/>
            <w:proofErr w:type="gramStart"/>
            <w:r>
              <w:rPr>
                <w:rFonts w:ascii="Arial" w:hAnsi="Arial" w:cs="Arial"/>
              </w:rPr>
              <w:t>b.</w:t>
            </w:r>
            <w:r w:rsidRPr="00460A69">
              <w:rPr>
                <w:rFonts w:ascii="Arial" w:hAnsi="Arial" w:cs="Arial"/>
              </w:rPr>
              <w:t>Utility</w:t>
            </w:r>
            <w:proofErr w:type="spellEnd"/>
            <w:proofErr w:type="gramEnd"/>
            <w:r w:rsidRPr="00460A69">
              <w:rPr>
                <w:rFonts w:ascii="Arial" w:hAnsi="Arial" w:cs="Arial"/>
              </w:rPr>
              <w:t xml:space="preserve"> jurisdiction is a possible level of aggregation if more detailed load information is not</w:t>
            </w:r>
          </w:p>
          <w:p w14:paraId="73D3F81D" w14:textId="77777777" w:rsidR="00460A69" w:rsidRDefault="00460A69" w:rsidP="00460A6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0A69">
              <w:rPr>
                <w:rFonts w:ascii="Arial" w:hAnsi="Arial" w:cs="Arial"/>
              </w:rPr>
              <w:t>available.</w:t>
            </w:r>
          </w:p>
          <w:p w14:paraId="30CA3848" w14:textId="1B0B0E03" w:rsidR="005B3142" w:rsidRPr="005B3142" w:rsidRDefault="005B3142" w:rsidP="005B314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w:t>
            </w:r>
            <w:r w:rsidRPr="005B3142">
              <w:rPr>
                <w:rFonts w:asciiTheme="minorHAnsi" w:eastAsiaTheme="minorHAnsi" w:hAnsiTheme="minorHAnsi" w:cstheme="minorBidi"/>
                <w:kern w:val="2"/>
                <w:sz w:val="22"/>
                <w:szCs w:val="22"/>
                <w14:ligatures w14:val="standardContextual"/>
              </w:rPr>
              <w:t xml:space="preserve"> </w:t>
            </w:r>
            <w:r w:rsidRPr="005B3142">
              <w:rPr>
                <w:rFonts w:ascii="Arial" w:hAnsi="Arial" w:cs="Arial"/>
              </w:rPr>
              <w:t>Substation level analysis is acceptable if more detailed load information is not</w:t>
            </w:r>
          </w:p>
          <w:p w14:paraId="58DDF89F" w14:textId="77777777" w:rsidR="005B3142" w:rsidRDefault="005B3142" w:rsidP="005B314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3142">
              <w:rPr>
                <w:rFonts w:ascii="Arial" w:hAnsi="Arial" w:cs="Arial"/>
              </w:rPr>
              <w:lastRenderedPageBreak/>
              <w:t>available.</w:t>
            </w:r>
          </w:p>
          <w:p w14:paraId="5D1DBC40" w14:textId="7D677A9B" w:rsidR="005B3142" w:rsidRDefault="005B3142" w:rsidP="005B314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w:t>
            </w:r>
            <w:r w:rsidRPr="005B3142">
              <w:rPr>
                <w:rFonts w:asciiTheme="minorHAnsi" w:eastAsiaTheme="minorHAnsi" w:hAnsiTheme="minorHAnsi" w:cstheme="minorBidi"/>
                <w:kern w:val="2"/>
                <w:sz w:val="22"/>
                <w:szCs w:val="22"/>
                <w14:ligatures w14:val="standardContextual"/>
              </w:rPr>
              <w:t xml:space="preserve"> </w:t>
            </w:r>
            <w:r w:rsidRPr="005B3142">
              <w:rPr>
                <w:rFonts w:ascii="Arial" w:hAnsi="Arial" w:cs="Arial"/>
              </w:rPr>
              <w:t>The OPA does not have the information on number of distribution feeders.</w:t>
            </w:r>
          </w:p>
          <w:p w14:paraId="07CFE035" w14:textId="136D85F9" w:rsidR="00460A69" w:rsidRPr="000670F3" w:rsidRDefault="005B3142" w:rsidP="004252A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w:t>
            </w:r>
            <w:r w:rsidRPr="005B3142">
              <w:rPr>
                <w:rFonts w:asciiTheme="minorHAnsi" w:eastAsiaTheme="minorHAnsi" w:hAnsiTheme="minorHAnsi" w:cstheme="minorBidi"/>
                <w:kern w:val="2"/>
                <w:sz w:val="22"/>
                <w:szCs w:val="22"/>
                <w14:ligatures w14:val="standardContextual"/>
              </w:rPr>
              <w:t xml:space="preserve"> </w:t>
            </w:r>
            <w:r w:rsidRPr="005B3142">
              <w:rPr>
                <w:rFonts w:ascii="Arial" w:hAnsi="Arial" w:cs="Arial"/>
              </w:rPr>
              <w:t>The feeder level analysis is dependent on the availability of the information.</w:t>
            </w:r>
          </w:p>
        </w:tc>
      </w:tr>
    </w:tbl>
    <w:p w14:paraId="2ED1662B" w14:textId="3F20EE61" w:rsidR="000567FE" w:rsidRPr="000670F3" w:rsidRDefault="000567FE" w:rsidP="00CF3AA7">
      <w:pPr>
        <w:tabs>
          <w:tab w:val="left" w:pos="3387"/>
        </w:tabs>
        <w:jc w:val="center"/>
        <w:rPr>
          <w:rFonts w:ascii="Arial" w:hAnsi="Arial" w:cs="Arial"/>
          <w:b/>
          <w:color w:val="000000"/>
        </w:rPr>
      </w:pPr>
      <w:r w:rsidRPr="000670F3">
        <w:rPr>
          <w:rFonts w:ascii="Arial" w:hAnsi="Arial" w:cs="Arial"/>
          <w:b/>
          <w:color w:val="000000"/>
        </w:rPr>
        <w:lastRenderedPageBreak/>
        <w:t xml:space="preserve"> </w:t>
      </w: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0567FE" w:rsidRPr="000670F3" w14:paraId="2968F8D1" w14:textId="77777777" w:rsidTr="00C92D42">
        <w:trPr>
          <w:trHeight w:val="379"/>
        </w:trPr>
        <w:tc>
          <w:tcPr>
            <w:tcW w:w="691" w:type="dxa"/>
            <w:vMerge w:val="restart"/>
            <w:shd w:val="clear" w:color="auto" w:fill="BDD6EE"/>
            <w:vAlign w:val="center"/>
          </w:tcPr>
          <w:p w14:paraId="054689EA" w14:textId="213446F1"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15</w:t>
            </w:r>
          </w:p>
        </w:tc>
        <w:tc>
          <w:tcPr>
            <w:tcW w:w="1987" w:type="dxa"/>
            <w:tcBorders>
              <w:bottom w:val="single" w:sz="4" w:space="0" w:color="auto"/>
            </w:tcBorders>
            <w:shd w:val="clear" w:color="auto" w:fill="BDD6EE"/>
            <w:vAlign w:val="center"/>
          </w:tcPr>
          <w:p w14:paraId="7E257ACB"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7EE4C510"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0567FE" w:rsidRPr="000670F3" w14:paraId="0F491607" w14:textId="77777777" w:rsidTr="00C92D42">
        <w:trPr>
          <w:trHeight w:val="379"/>
        </w:trPr>
        <w:tc>
          <w:tcPr>
            <w:tcW w:w="691" w:type="dxa"/>
            <w:vMerge/>
            <w:shd w:val="clear" w:color="auto" w:fill="FFFFFF"/>
          </w:tcPr>
          <w:p w14:paraId="3B1E2319"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354044" w14:textId="2702CD23" w:rsidR="000567F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 xml:space="preserve">Part II. </w:t>
            </w:r>
            <w:proofErr w:type="gramStart"/>
            <w:r w:rsidRPr="000670F3">
              <w:rPr>
                <w:rFonts w:ascii="Arial" w:hAnsi="Arial" w:cs="Arial"/>
                <w:b/>
                <w:bCs/>
              </w:rPr>
              <w:t>A and</w:t>
            </w:r>
            <w:proofErr w:type="gramEnd"/>
            <w:r w:rsidRPr="000670F3">
              <w:rPr>
                <w:rFonts w:ascii="Arial" w:hAnsi="Arial" w:cs="Arial"/>
                <w:b/>
                <w:bCs/>
              </w:rPr>
              <w:t xml:space="preserve"> B. page 5 and 7</w:t>
            </w:r>
          </w:p>
        </w:tc>
        <w:tc>
          <w:tcPr>
            <w:tcW w:w="8099" w:type="dxa"/>
            <w:shd w:val="clear" w:color="auto" w:fill="FFFFFF"/>
            <w:vAlign w:val="center"/>
          </w:tcPr>
          <w:p w14:paraId="463794D0" w14:textId="77777777" w:rsidR="00D30B1E" w:rsidRPr="000670F3" w:rsidRDefault="00D30B1E" w:rsidP="00D30B1E">
            <w:pPr>
              <w:pStyle w:val="NoSpacing"/>
              <w:numPr>
                <w:ilvl w:val="0"/>
                <w:numId w:val="2"/>
              </w:numPr>
              <w:rPr>
                <w:rFonts w:ascii="Arial" w:hAnsi="Arial" w:cs="Arial"/>
                <w:sz w:val="24"/>
                <w:szCs w:val="24"/>
              </w:rPr>
            </w:pPr>
            <w:r w:rsidRPr="000670F3">
              <w:rPr>
                <w:rFonts w:ascii="Arial" w:hAnsi="Arial" w:cs="Arial"/>
                <w:sz w:val="24"/>
                <w:szCs w:val="24"/>
              </w:rPr>
              <w:t>What are the deliverables? Are there any anticipated deliverables beyond the final report?</w:t>
            </w:r>
          </w:p>
          <w:p w14:paraId="5D54DC6F" w14:textId="77777777" w:rsidR="00D30B1E" w:rsidRPr="000670F3" w:rsidRDefault="00D30B1E" w:rsidP="00D30B1E">
            <w:pPr>
              <w:pStyle w:val="NoSpacing"/>
              <w:numPr>
                <w:ilvl w:val="0"/>
                <w:numId w:val="2"/>
              </w:numPr>
              <w:rPr>
                <w:rFonts w:ascii="Arial" w:hAnsi="Arial" w:cs="Arial"/>
                <w:sz w:val="24"/>
                <w:szCs w:val="24"/>
              </w:rPr>
            </w:pPr>
            <w:r w:rsidRPr="000670F3">
              <w:rPr>
                <w:rFonts w:ascii="Arial" w:hAnsi="Arial" w:cs="Arial"/>
                <w:sz w:val="24"/>
                <w:szCs w:val="24"/>
              </w:rPr>
              <w:t>The RFP page 5 states that “The Department is seeking proposals from qualified firms to provide peak electrical demand forecast data at a regional level, at a minimum, and at a feeder level if possible.” Is the data/output of the analysis a deliverable separate from the report? In what format does OPA need the data?</w:t>
            </w:r>
          </w:p>
          <w:p w14:paraId="1B99653E" w14:textId="77777777" w:rsidR="00D30B1E" w:rsidRPr="000670F3" w:rsidRDefault="00D30B1E" w:rsidP="00D30B1E">
            <w:pPr>
              <w:pStyle w:val="NoSpacing"/>
              <w:numPr>
                <w:ilvl w:val="0"/>
                <w:numId w:val="2"/>
              </w:numPr>
              <w:rPr>
                <w:rFonts w:ascii="Arial" w:hAnsi="Arial" w:cs="Arial"/>
                <w:sz w:val="24"/>
                <w:szCs w:val="24"/>
              </w:rPr>
            </w:pPr>
            <w:r w:rsidRPr="000670F3">
              <w:rPr>
                <w:rFonts w:ascii="Arial" w:hAnsi="Arial" w:cs="Arial"/>
                <w:sz w:val="24"/>
                <w:szCs w:val="24"/>
              </w:rPr>
              <w:t>Does OPA need any presentations/webinars for this project as a deliverable?</w:t>
            </w:r>
          </w:p>
          <w:p w14:paraId="2BEF1D70"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567FE" w:rsidRPr="000670F3" w14:paraId="4E53A30B" w14:textId="77777777" w:rsidTr="00C92D42">
        <w:trPr>
          <w:trHeight w:val="379"/>
        </w:trPr>
        <w:tc>
          <w:tcPr>
            <w:tcW w:w="691" w:type="dxa"/>
            <w:vMerge/>
            <w:shd w:val="clear" w:color="auto" w:fill="BDD6EE"/>
          </w:tcPr>
          <w:p w14:paraId="01DEB0D6"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5732AE40"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0567FE" w:rsidRPr="000670F3" w14:paraId="10A688B0" w14:textId="77777777" w:rsidTr="00C92D42">
        <w:trPr>
          <w:trHeight w:val="379"/>
        </w:trPr>
        <w:tc>
          <w:tcPr>
            <w:tcW w:w="691" w:type="dxa"/>
            <w:vMerge/>
          </w:tcPr>
          <w:p w14:paraId="79A2CD03"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38708372" w14:textId="349E9311" w:rsidR="000567FE" w:rsidRDefault="005B3142"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spellStart"/>
            <w:r>
              <w:rPr>
                <w:rFonts w:ascii="Arial" w:hAnsi="Arial" w:cs="Arial"/>
              </w:rPr>
              <w:t>a.</w:t>
            </w:r>
            <w:r w:rsidRPr="005B3142">
              <w:rPr>
                <w:rFonts w:ascii="Arial" w:hAnsi="Arial" w:cs="Arial"/>
              </w:rPr>
              <w:t>The</w:t>
            </w:r>
            <w:proofErr w:type="spellEnd"/>
            <w:r w:rsidRPr="005B3142">
              <w:rPr>
                <w:rFonts w:ascii="Arial" w:hAnsi="Arial" w:cs="Arial"/>
              </w:rPr>
              <w:t xml:space="preserve"> goal is to provide a more accurate estimate of load growth  than what is currently estimated and reported in  the ISO-NE capacity, energy, load, transmission, (CELT) Report.</w:t>
            </w:r>
            <w:r w:rsidR="007A40A5" w:rsidRPr="007A40A5">
              <w:rPr>
                <w:rFonts w:ascii="Arial" w:hAnsi="Arial" w:cs="Arial"/>
              </w:rPr>
              <w:t xml:space="preserve"> Maine specific data</w:t>
            </w:r>
            <w:r w:rsidRPr="005B3142">
              <w:rPr>
                <w:rFonts w:ascii="Arial" w:hAnsi="Arial" w:cs="Arial"/>
              </w:rPr>
              <w:t xml:space="preserve"> </w:t>
            </w:r>
            <w:r w:rsidR="007A40A5">
              <w:rPr>
                <w:rFonts w:ascii="Arial" w:hAnsi="Arial" w:cs="Arial"/>
              </w:rPr>
              <w:t>will provide greater accuracy in the Maine load forecast.</w:t>
            </w:r>
            <w:r w:rsidRPr="005B3142">
              <w:rPr>
                <w:rFonts w:ascii="Arial" w:hAnsi="Arial" w:cs="Arial"/>
              </w:rPr>
              <w:t>The deliverable is a final report.</w:t>
            </w:r>
          </w:p>
          <w:p w14:paraId="5AE5FC21" w14:textId="77777777" w:rsidR="005B3142" w:rsidRDefault="005B3142"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w:t>
            </w:r>
            <w:r w:rsidRPr="005B3142">
              <w:rPr>
                <w:rFonts w:asciiTheme="minorHAnsi" w:eastAsiaTheme="minorHAnsi" w:hAnsiTheme="minorHAnsi" w:cstheme="minorBidi"/>
                <w:kern w:val="2"/>
                <w:sz w:val="22"/>
                <w:szCs w:val="22"/>
                <w14:ligatures w14:val="standardContextual"/>
              </w:rPr>
              <w:t xml:space="preserve"> </w:t>
            </w:r>
            <w:r w:rsidRPr="005B3142">
              <w:rPr>
                <w:rFonts w:ascii="Arial" w:hAnsi="Arial" w:cs="Arial"/>
              </w:rPr>
              <w:t>The data analysis is not a separate deliverable. The format needs to be such that the data can be reviewed to provide support for the report’s conclusions.</w:t>
            </w:r>
          </w:p>
          <w:p w14:paraId="759FDB21" w14:textId="77176E81" w:rsidR="005B3142" w:rsidRPr="000670F3" w:rsidRDefault="005B3142"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w:t>
            </w:r>
            <w:r w:rsidRPr="005B3142">
              <w:rPr>
                <w:rFonts w:asciiTheme="minorHAnsi" w:eastAsiaTheme="minorHAnsi" w:hAnsiTheme="minorHAnsi" w:cstheme="minorBidi"/>
                <w:kern w:val="2"/>
                <w:sz w:val="22"/>
                <w:szCs w:val="22"/>
                <w14:ligatures w14:val="standardContextual"/>
              </w:rPr>
              <w:t xml:space="preserve"> </w:t>
            </w:r>
            <w:r w:rsidRPr="005B3142">
              <w:rPr>
                <w:rFonts w:ascii="Arial" w:hAnsi="Arial" w:cs="Arial"/>
              </w:rPr>
              <w:t>The OPA does not anticipate presentations for the report.</w:t>
            </w:r>
          </w:p>
        </w:tc>
      </w:tr>
    </w:tbl>
    <w:p w14:paraId="759C3913" w14:textId="77777777" w:rsidR="000567FE" w:rsidRPr="000670F3" w:rsidRDefault="000567FE"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0567FE" w:rsidRPr="000670F3" w14:paraId="47AEE78E" w14:textId="77777777" w:rsidTr="00C92D42">
        <w:trPr>
          <w:trHeight w:val="379"/>
        </w:trPr>
        <w:tc>
          <w:tcPr>
            <w:tcW w:w="691" w:type="dxa"/>
            <w:vMerge w:val="restart"/>
            <w:shd w:val="clear" w:color="auto" w:fill="BDD6EE"/>
            <w:vAlign w:val="center"/>
          </w:tcPr>
          <w:p w14:paraId="33DB4822" w14:textId="4EE98C15"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16</w:t>
            </w:r>
          </w:p>
        </w:tc>
        <w:tc>
          <w:tcPr>
            <w:tcW w:w="1987" w:type="dxa"/>
            <w:tcBorders>
              <w:bottom w:val="single" w:sz="4" w:space="0" w:color="auto"/>
            </w:tcBorders>
            <w:shd w:val="clear" w:color="auto" w:fill="BDD6EE"/>
            <w:vAlign w:val="center"/>
          </w:tcPr>
          <w:p w14:paraId="7E6B0D13"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6BE1921A"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17C33393" w14:textId="77777777" w:rsidTr="00A1515B">
        <w:trPr>
          <w:trHeight w:val="379"/>
        </w:trPr>
        <w:tc>
          <w:tcPr>
            <w:tcW w:w="691" w:type="dxa"/>
            <w:vMerge/>
            <w:shd w:val="clear" w:color="auto" w:fill="FFFFFF"/>
          </w:tcPr>
          <w:p w14:paraId="1BF61305"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4477E3" w14:textId="01A3BF90"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A. page 7</w:t>
            </w:r>
          </w:p>
        </w:tc>
        <w:tc>
          <w:tcPr>
            <w:tcW w:w="8099" w:type="dxa"/>
            <w:shd w:val="clear" w:color="auto" w:fill="FFFFFF"/>
          </w:tcPr>
          <w:p w14:paraId="5C019AAA" w14:textId="77777777" w:rsidR="00D30B1E" w:rsidRPr="000670F3" w:rsidRDefault="00D30B1E" w:rsidP="00D30B1E">
            <w:pPr>
              <w:textAlignment w:val="center"/>
              <w:rPr>
                <w:rFonts w:ascii="Arial" w:hAnsi="Arial" w:cs="Arial"/>
              </w:rPr>
            </w:pPr>
            <w:r w:rsidRPr="000670F3">
              <w:rPr>
                <w:rFonts w:ascii="Arial" w:hAnsi="Arial" w:cs="Arial"/>
              </w:rPr>
              <w:t>Please elaborate on "load minimums" mentioned on page 7 of the RFP.</w:t>
            </w:r>
          </w:p>
          <w:p w14:paraId="3FB82DD6"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0B1E" w:rsidRPr="000670F3" w14:paraId="70B5DC7B" w14:textId="77777777" w:rsidTr="00C92D42">
        <w:trPr>
          <w:trHeight w:val="379"/>
        </w:trPr>
        <w:tc>
          <w:tcPr>
            <w:tcW w:w="691" w:type="dxa"/>
            <w:vMerge/>
            <w:shd w:val="clear" w:color="auto" w:fill="BDD6EE"/>
          </w:tcPr>
          <w:p w14:paraId="369E5729"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738281AE"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D30B1E" w:rsidRPr="000670F3" w14:paraId="4DE9B17F" w14:textId="77777777" w:rsidTr="00C92D42">
        <w:trPr>
          <w:trHeight w:val="379"/>
        </w:trPr>
        <w:tc>
          <w:tcPr>
            <w:tcW w:w="691" w:type="dxa"/>
            <w:vMerge/>
          </w:tcPr>
          <w:p w14:paraId="0BD846A9"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031B6B22" w14:textId="3E977E6F" w:rsidR="00D30B1E" w:rsidRPr="000670F3" w:rsidRDefault="005B3142"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3142">
              <w:rPr>
                <w:rFonts w:ascii="Arial" w:hAnsi="Arial" w:cs="Arial"/>
              </w:rPr>
              <w:t>Load minimums refer to the unusual system condition when generation and external transactions exceed system demand.</w:t>
            </w:r>
          </w:p>
        </w:tc>
      </w:tr>
    </w:tbl>
    <w:p w14:paraId="22E12F2B" w14:textId="77777777" w:rsidR="000567FE" w:rsidRPr="000670F3" w:rsidRDefault="000567FE"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0567FE" w:rsidRPr="000670F3" w14:paraId="228FB44E" w14:textId="77777777" w:rsidTr="00C92D42">
        <w:trPr>
          <w:trHeight w:val="379"/>
        </w:trPr>
        <w:tc>
          <w:tcPr>
            <w:tcW w:w="691" w:type="dxa"/>
            <w:vMerge w:val="restart"/>
            <w:shd w:val="clear" w:color="auto" w:fill="BDD6EE"/>
            <w:vAlign w:val="center"/>
          </w:tcPr>
          <w:p w14:paraId="0FAE0B21" w14:textId="1816EBA9"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17</w:t>
            </w:r>
          </w:p>
        </w:tc>
        <w:tc>
          <w:tcPr>
            <w:tcW w:w="1987" w:type="dxa"/>
            <w:tcBorders>
              <w:bottom w:val="single" w:sz="4" w:space="0" w:color="auto"/>
            </w:tcBorders>
            <w:shd w:val="clear" w:color="auto" w:fill="BDD6EE"/>
            <w:vAlign w:val="center"/>
          </w:tcPr>
          <w:p w14:paraId="22EDB6F9"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14913AF6"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0567FE" w:rsidRPr="000670F3" w14:paraId="3186EDC3" w14:textId="77777777" w:rsidTr="00C92D42">
        <w:trPr>
          <w:trHeight w:val="379"/>
        </w:trPr>
        <w:tc>
          <w:tcPr>
            <w:tcW w:w="691" w:type="dxa"/>
            <w:vMerge/>
            <w:shd w:val="clear" w:color="auto" w:fill="FFFFFF"/>
          </w:tcPr>
          <w:p w14:paraId="7E04CC01"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1340FF" w14:textId="7CA035DE" w:rsidR="000567F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A. page 7</w:t>
            </w:r>
          </w:p>
        </w:tc>
        <w:tc>
          <w:tcPr>
            <w:tcW w:w="8099" w:type="dxa"/>
            <w:shd w:val="clear" w:color="auto" w:fill="FFFFFF"/>
            <w:vAlign w:val="center"/>
          </w:tcPr>
          <w:p w14:paraId="0616BE2B" w14:textId="77777777" w:rsidR="00D30B1E" w:rsidRPr="000670F3" w:rsidRDefault="00D30B1E" w:rsidP="00D30B1E">
            <w:pPr>
              <w:textAlignment w:val="center"/>
              <w:rPr>
                <w:rFonts w:ascii="Arial" w:hAnsi="Arial" w:cs="Arial"/>
              </w:rPr>
            </w:pPr>
            <w:r w:rsidRPr="000670F3">
              <w:rPr>
                <w:rFonts w:ascii="Arial" w:hAnsi="Arial" w:cs="Arial"/>
              </w:rPr>
              <w:t xml:space="preserve">Please elaborate on the following sentence: "Include as distribution planning “inputs” into the feeder level forecast historical loads" as shown on page 7 of the RFP.   </w:t>
            </w:r>
          </w:p>
          <w:p w14:paraId="12B12937"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567FE" w:rsidRPr="000670F3" w14:paraId="657F42F2" w14:textId="77777777" w:rsidTr="00C92D42">
        <w:trPr>
          <w:trHeight w:val="379"/>
        </w:trPr>
        <w:tc>
          <w:tcPr>
            <w:tcW w:w="691" w:type="dxa"/>
            <w:vMerge/>
            <w:shd w:val="clear" w:color="auto" w:fill="BDD6EE"/>
          </w:tcPr>
          <w:p w14:paraId="205C0FF5"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06DCF3BD"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0567FE" w:rsidRPr="000670F3" w14:paraId="3D3B79B5" w14:textId="77777777" w:rsidTr="00C92D42">
        <w:trPr>
          <w:trHeight w:val="379"/>
        </w:trPr>
        <w:tc>
          <w:tcPr>
            <w:tcW w:w="691" w:type="dxa"/>
            <w:vMerge/>
          </w:tcPr>
          <w:p w14:paraId="5E381AF9"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296FB33A" w14:textId="268735BF" w:rsidR="000567FE" w:rsidRPr="000670F3" w:rsidRDefault="005B3142"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3142">
              <w:rPr>
                <w:rFonts w:ascii="Arial" w:hAnsi="Arial" w:cs="Arial"/>
              </w:rPr>
              <w:t xml:space="preserve">To the extent the information is available, historical loads may provide data to assist in making reasonable projections for a </w:t>
            </w:r>
            <w:proofErr w:type="gramStart"/>
            <w:r w:rsidRPr="005B3142">
              <w:rPr>
                <w:rFonts w:ascii="Arial" w:hAnsi="Arial" w:cs="Arial"/>
              </w:rPr>
              <w:t>10 year</w:t>
            </w:r>
            <w:proofErr w:type="gramEnd"/>
            <w:r w:rsidRPr="005B3142">
              <w:rPr>
                <w:rFonts w:ascii="Arial" w:hAnsi="Arial" w:cs="Arial"/>
              </w:rPr>
              <w:t xml:space="preserve"> future forecast.</w:t>
            </w:r>
          </w:p>
        </w:tc>
      </w:tr>
    </w:tbl>
    <w:p w14:paraId="284C3C32" w14:textId="77777777" w:rsidR="000567FE" w:rsidRPr="000670F3" w:rsidRDefault="000567FE"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0567FE" w:rsidRPr="000670F3" w14:paraId="4946EDE3" w14:textId="77777777" w:rsidTr="00C92D42">
        <w:trPr>
          <w:trHeight w:val="379"/>
        </w:trPr>
        <w:tc>
          <w:tcPr>
            <w:tcW w:w="691" w:type="dxa"/>
            <w:vMerge w:val="restart"/>
            <w:shd w:val="clear" w:color="auto" w:fill="BDD6EE"/>
            <w:vAlign w:val="center"/>
          </w:tcPr>
          <w:p w14:paraId="3C10261C" w14:textId="2DEE72C1"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18</w:t>
            </w:r>
          </w:p>
        </w:tc>
        <w:tc>
          <w:tcPr>
            <w:tcW w:w="1987" w:type="dxa"/>
            <w:tcBorders>
              <w:bottom w:val="single" w:sz="4" w:space="0" w:color="auto"/>
            </w:tcBorders>
            <w:shd w:val="clear" w:color="auto" w:fill="BDD6EE"/>
            <w:vAlign w:val="center"/>
          </w:tcPr>
          <w:p w14:paraId="5292DE5B"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67692F42" w14:textId="77777777" w:rsidR="000567FE" w:rsidRPr="000670F3" w:rsidRDefault="000567F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0567FE" w:rsidRPr="000670F3" w14:paraId="178F4B80" w14:textId="77777777" w:rsidTr="00C92D42">
        <w:trPr>
          <w:trHeight w:val="379"/>
        </w:trPr>
        <w:tc>
          <w:tcPr>
            <w:tcW w:w="691" w:type="dxa"/>
            <w:vMerge/>
            <w:shd w:val="clear" w:color="auto" w:fill="FFFFFF"/>
          </w:tcPr>
          <w:p w14:paraId="4121016B"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404B8D" w14:textId="20EC1293" w:rsidR="000567F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A. page 7</w:t>
            </w:r>
          </w:p>
        </w:tc>
        <w:tc>
          <w:tcPr>
            <w:tcW w:w="8099" w:type="dxa"/>
            <w:shd w:val="clear" w:color="auto" w:fill="FFFFFF"/>
            <w:vAlign w:val="center"/>
          </w:tcPr>
          <w:p w14:paraId="7F9F265A" w14:textId="7567700E" w:rsidR="000567F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rPr>
              <w:t>Refer to the following statement on page 7 of the RFP: "Compare the Maine specific forecast to the ISO-NE regional forecast CELT 2023 which incorporated state policy goals as its inputs." Please elaborate on this task.</w:t>
            </w:r>
          </w:p>
        </w:tc>
      </w:tr>
      <w:tr w:rsidR="000567FE" w:rsidRPr="000670F3" w14:paraId="4AB84DC1" w14:textId="77777777" w:rsidTr="00C92D42">
        <w:trPr>
          <w:trHeight w:val="379"/>
        </w:trPr>
        <w:tc>
          <w:tcPr>
            <w:tcW w:w="691" w:type="dxa"/>
            <w:vMerge/>
            <w:shd w:val="clear" w:color="auto" w:fill="BDD6EE"/>
          </w:tcPr>
          <w:p w14:paraId="6F502A44"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71725874"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0567FE" w:rsidRPr="000670F3" w14:paraId="2D158725" w14:textId="77777777" w:rsidTr="00C92D42">
        <w:trPr>
          <w:trHeight w:val="379"/>
        </w:trPr>
        <w:tc>
          <w:tcPr>
            <w:tcW w:w="691" w:type="dxa"/>
            <w:vMerge/>
          </w:tcPr>
          <w:p w14:paraId="1B8BC972" w14:textId="77777777" w:rsidR="000567FE" w:rsidRPr="000670F3" w:rsidRDefault="000567F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5CBBD635" w14:textId="4EE9F8DE" w:rsidR="000567FE" w:rsidRPr="000670F3" w:rsidRDefault="005B3142"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3142">
              <w:rPr>
                <w:rFonts w:ascii="Arial" w:hAnsi="Arial" w:cs="Arial"/>
              </w:rPr>
              <w:t xml:space="preserve">State policy goals for greenhouse gas (GHG) emission reduction and renewable energy targets do not consider customer adoption trends and other practical factors which affect load. For example, while states may have EV adoption goals, EV adoption rates vary among regions. The analysis of customer </w:t>
            </w:r>
            <w:r>
              <w:rPr>
                <w:rFonts w:ascii="Arial" w:hAnsi="Arial" w:cs="Arial"/>
              </w:rPr>
              <w:t xml:space="preserve">adoption </w:t>
            </w:r>
            <w:r w:rsidRPr="005B3142">
              <w:rPr>
                <w:rFonts w:ascii="Arial" w:hAnsi="Arial" w:cs="Arial"/>
              </w:rPr>
              <w:t>trends will help identify where utility investments are needed in the near term and where investments can be deferred because EV adoption is unlikely to occur in the near term.</w:t>
            </w:r>
            <w:r>
              <w:rPr>
                <w:rFonts w:ascii="Arial" w:hAnsi="Arial" w:cs="Arial"/>
              </w:rPr>
              <w:t xml:space="preserve"> The CELT 2023 Report does not include this granular level of analysis.</w:t>
            </w:r>
          </w:p>
        </w:tc>
      </w:tr>
    </w:tbl>
    <w:p w14:paraId="4900BAEE" w14:textId="77777777" w:rsidR="000567FE" w:rsidRPr="000670F3" w:rsidRDefault="000567FE"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D30B1E" w:rsidRPr="000670F3" w14:paraId="70E04C4D" w14:textId="77777777" w:rsidTr="00C92D42">
        <w:trPr>
          <w:trHeight w:val="379"/>
        </w:trPr>
        <w:tc>
          <w:tcPr>
            <w:tcW w:w="691" w:type="dxa"/>
            <w:vMerge w:val="restart"/>
            <w:shd w:val="clear" w:color="auto" w:fill="BDD6EE"/>
            <w:vAlign w:val="center"/>
          </w:tcPr>
          <w:p w14:paraId="085D464F" w14:textId="569C430C"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19</w:t>
            </w:r>
          </w:p>
        </w:tc>
        <w:tc>
          <w:tcPr>
            <w:tcW w:w="1987" w:type="dxa"/>
            <w:tcBorders>
              <w:bottom w:val="single" w:sz="4" w:space="0" w:color="auto"/>
            </w:tcBorders>
            <w:shd w:val="clear" w:color="auto" w:fill="BDD6EE"/>
            <w:vAlign w:val="center"/>
          </w:tcPr>
          <w:p w14:paraId="7D5F0270"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40ED764D"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2067551A" w14:textId="77777777" w:rsidTr="00C92D42">
        <w:trPr>
          <w:trHeight w:val="379"/>
        </w:trPr>
        <w:tc>
          <w:tcPr>
            <w:tcW w:w="691" w:type="dxa"/>
            <w:vMerge/>
            <w:shd w:val="clear" w:color="auto" w:fill="FFFFFF"/>
          </w:tcPr>
          <w:p w14:paraId="67DC0820"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30B207"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A. page 7</w:t>
            </w:r>
          </w:p>
        </w:tc>
        <w:tc>
          <w:tcPr>
            <w:tcW w:w="8099" w:type="dxa"/>
            <w:shd w:val="clear" w:color="auto" w:fill="FFFFFF"/>
            <w:vAlign w:val="center"/>
          </w:tcPr>
          <w:p w14:paraId="6A54CB62" w14:textId="77777777" w:rsidR="00D30B1E" w:rsidRPr="000670F3" w:rsidRDefault="00D30B1E" w:rsidP="00D30B1E">
            <w:pPr>
              <w:textAlignment w:val="center"/>
              <w:rPr>
                <w:rFonts w:ascii="Arial" w:hAnsi="Arial" w:cs="Arial"/>
              </w:rPr>
            </w:pPr>
            <w:r w:rsidRPr="000670F3">
              <w:rPr>
                <w:rFonts w:ascii="Arial" w:hAnsi="Arial" w:cs="Arial"/>
              </w:rPr>
              <w:t xml:space="preserve">To develop scenarios, should the Consultant explicitly incorporate the impacts of potential new regulations on peak loads that have been proposed in the state or adopted in other states (e.g., zero emissions equipment standard, building performance standards)? Or should the Consultant not assume any new regulations and assume variations in various key resources based on varying market responses? </w:t>
            </w:r>
          </w:p>
          <w:p w14:paraId="0A2AA0CB" w14:textId="775A9D63"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0B1E" w:rsidRPr="000670F3" w14:paraId="2C9C7AEC" w14:textId="77777777" w:rsidTr="00C92D42">
        <w:trPr>
          <w:trHeight w:val="379"/>
        </w:trPr>
        <w:tc>
          <w:tcPr>
            <w:tcW w:w="691" w:type="dxa"/>
            <w:vMerge/>
            <w:shd w:val="clear" w:color="auto" w:fill="BDD6EE"/>
          </w:tcPr>
          <w:p w14:paraId="3738999E"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116A0DB4"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D30B1E" w:rsidRPr="000670F3" w14:paraId="618EB1E9" w14:textId="77777777" w:rsidTr="00C92D42">
        <w:trPr>
          <w:trHeight w:val="379"/>
        </w:trPr>
        <w:tc>
          <w:tcPr>
            <w:tcW w:w="691" w:type="dxa"/>
            <w:vMerge/>
          </w:tcPr>
          <w:p w14:paraId="0A2482FC"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35C1A975" w14:textId="6BB9681D" w:rsidR="00D30B1E" w:rsidRPr="000670F3" w:rsidRDefault="00394383" w:rsidP="004252A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4383">
              <w:rPr>
                <w:rFonts w:ascii="Arial" w:hAnsi="Arial" w:cs="Arial"/>
              </w:rPr>
              <w:t>Known regulations should be included in the analysis. Variations in key resources based on varying market responses will likely provide the most accurate forecasts in the absence of known data. However, if a proposed regulation would provide significant benefits, it is helpful to acknowledge the impact such a proposal would have if adopted.</w:t>
            </w:r>
          </w:p>
        </w:tc>
      </w:tr>
    </w:tbl>
    <w:p w14:paraId="3F7F0E88" w14:textId="77777777" w:rsidR="00D30B1E" w:rsidRPr="000670F3" w:rsidRDefault="00D30B1E"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D30B1E" w:rsidRPr="000670F3" w14:paraId="644553AA" w14:textId="77777777" w:rsidTr="00C92D42">
        <w:trPr>
          <w:trHeight w:val="379"/>
        </w:trPr>
        <w:tc>
          <w:tcPr>
            <w:tcW w:w="691" w:type="dxa"/>
            <w:vMerge w:val="restart"/>
            <w:shd w:val="clear" w:color="auto" w:fill="BDD6EE"/>
            <w:vAlign w:val="center"/>
          </w:tcPr>
          <w:p w14:paraId="07FA4655" w14:textId="63803509"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20</w:t>
            </w:r>
          </w:p>
        </w:tc>
        <w:tc>
          <w:tcPr>
            <w:tcW w:w="1987" w:type="dxa"/>
            <w:tcBorders>
              <w:bottom w:val="single" w:sz="4" w:space="0" w:color="auto"/>
            </w:tcBorders>
            <w:shd w:val="clear" w:color="auto" w:fill="BDD6EE"/>
            <w:vAlign w:val="center"/>
          </w:tcPr>
          <w:p w14:paraId="2768DA03"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7C80623A"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639A7673" w14:textId="77777777" w:rsidTr="00D94864">
        <w:trPr>
          <w:trHeight w:val="379"/>
        </w:trPr>
        <w:tc>
          <w:tcPr>
            <w:tcW w:w="691" w:type="dxa"/>
            <w:vMerge/>
            <w:shd w:val="clear" w:color="auto" w:fill="FFFFFF"/>
          </w:tcPr>
          <w:p w14:paraId="52A77FB1"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DA8875"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A. page 7</w:t>
            </w:r>
          </w:p>
        </w:tc>
        <w:tc>
          <w:tcPr>
            <w:tcW w:w="8099" w:type="dxa"/>
            <w:shd w:val="clear" w:color="auto" w:fill="FFFFFF"/>
          </w:tcPr>
          <w:p w14:paraId="7F006A52" w14:textId="77777777" w:rsidR="00D30B1E" w:rsidRPr="000670F3" w:rsidRDefault="00D30B1E" w:rsidP="00D30B1E">
            <w:pPr>
              <w:textAlignment w:val="center"/>
              <w:rPr>
                <w:rFonts w:ascii="Arial" w:hAnsi="Arial" w:cs="Arial"/>
              </w:rPr>
            </w:pPr>
            <w:r w:rsidRPr="000670F3">
              <w:rPr>
                <w:rFonts w:ascii="Arial" w:hAnsi="Arial" w:cs="Arial"/>
              </w:rPr>
              <w:t xml:space="preserve">Please refer to the following statement on page 7 of the RFP “Identify any primary data requirements that are necessary or convenient to complete the peak load forecast and, as appropriate, develop a plan to collect such primary data.” </w:t>
            </w:r>
          </w:p>
          <w:p w14:paraId="4DFBBECE" w14:textId="77777777" w:rsidR="00D30B1E" w:rsidRPr="000670F3" w:rsidRDefault="00D30B1E" w:rsidP="00D30B1E">
            <w:pPr>
              <w:pStyle w:val="ListParagraph"/>
              <w:widowControl/>
              <w:numPr>
                <w:ilvl w:val="0"/>
                <w:numId w:val="3"/>
              </w:numPr>
              <w:contextualSpacing/>
              <w:textAlignment w:val="center"/>
              <w:rPr>
                <w:rFonts w:ascii="Arial" w:eastAsia="Times New Roman" w:hAnsi="Arial" w:cs="Arial"/>
                <w:sz w:val="24"/>
                <w:szCs w:val="24"/>
              </w:rPr>
            </w:pPr>
            <w:r w:rsidRPr="000670F3">
              <w:rPr>
                <w:rFonts w:ascii="Arial" w:eastAsia="Times New Roman" w:hAnsi="Arial" w:cs="Arial"/>
                <w:sz w:val="24"/>
                <w:szCs w:val="24"/>
              </w:rPr>
              <w:t xml:space="preserve">Will the successful bidder be responsible for collecting primary data? </w:t>
            </w:r>
          </w:p>
          <w:p w14:paraId="4DD3B7C8" w14:textId="77777777" w:rsidR="00D30B1E" w:rsidRPr="000670F3" w:rsidRDefault="00D30B1E" w:rsidP="00D30B1E">
            <w:pPr>
              <w:pStyle w:val="ListParagraph"/>
              <w:widowControl/>
              <w:numPr>
                <w:ilvl w:val="0"/>
                <w:numId w:val="3"/>
              </w:numPr>
              <w:contextualSpacing/>
              <w:rPr>
                <w:rFonts w:ascii="Arial" w:eastAsia="Times New Roman" w:hAnsi="Arial" w:cs="Arial"/>
                <w:sz w:val="24"/>
                <w:szCs w:val="24"/>
              </w:rPr>
            </w:pPr>
            <w:r w:rsidRPr="000670F3">
              <w:rPr>
                <w:rFonts w:ascii="Arial" w:eastAsia="Times New Roman" w:hAnsi="Arial" w:cs="Arial"/>
                <w:sz w:val="24"/>
                <w:szCs w:val="24"/>
              </w:rPr>
              <w:t xml:space="preserve">What data can we obtain from the utilities? Will the utilities share hourly load data at the feeder level or the substation level? </w:t>
            </w:r>
          </w:p>
          <w:p w14:paraId="4E3E506B" w14:textId="77777777" w:rsidR="00D30B1E" w:rsidRPr="000670F3" w:rsidRDefault="00D30B1E" w:rsidP="00D30B1E">
            <w:pPr>
              <w:pStyle w:val="ListParagraph"/>
              <w:widowControl/>
              <w:numPr>
                <w:ilvl w:val="0"/>
                <w:numId w:val="3"/>
              </w:numPr>
              <w:contextualSpacing/>
              <w:rPr>
                <w:rFonts w:ascii="Arial" w:eastAsia="Times New Roman" w:hAnsi="Arial" w:cs="Arial"/>
                <w:sz w:val="24"/>
                <w:szCs w:val="24"/>
              </w:rPr>
            </w:pPr>
            <w:r w:rsidRPr="000670F3">
              <w:rPr>
                <w:rFonts w:ascii="Arial" w:eastAsia="Times New Roman" w:hAnsi="Arial" w:cs="Arial"/>
                <w:sz w:val="24"/>
                <w:szCs w:val="24"/>
              </w:rPr>
              <w:t xml:space="preserve">Can the Consultants obtain the utilities’ and/or Efficiency Maine Trust’s market data (e.g., data developed by IHS Markit) regarding the current penetration of heat pumps, EVs, and solar PV by region/location?  </w:t>
            </w:r>
          </w:p>
          <w:p w14:paraId="479FEDC4" w14:textId="77777777" w:rsidR="00D30B1E" w:rsidRPr="000670F3" w:rsidRDefault="00D30B1E" w:rsidP="00D30B1E">
            <w:pPr>
              <w:pStyle w:val="ListParagraph"/>
              <w:widowControl/>
              <w:numPr>
                <w:ilvl w:val="0"/>
                <w:numId w:val="3"/>
              </w:numPr>
              <w:contextualSpacing/>
              <w:rPr>
                <w:rFonts w:ascii="Arial" w:eastAsia="Times New Roman" w:hAnsi="Arial" w:cs="Arial"/>
                <w:sz w:val="24"/>
                <w:szCs w:val="24"/>
              </w:rPr>
            </w:pPr>
            <w:r w:rsidRPr="000670F3">
              <w:rPr>
                <w:rFonts w:ascii="Arial" w:eastAsia="Times New Roman" w:hAnsi="Arial" w:cs="Arial"/>
                <w:sz w:val="24"/>
                <w:szCs w:val="24"/>
              </w:rPr>
              <w:t>If yes to either of the former question about data from utilities, what format will data be provided in?</w:t>
            </w:r>
          </w:p>
          <w:p w14:paraId="5D714A53" w14:textId="77777777" w:rsidR="00D30B1E" w:rsidRPr="000670F3" w:rsidRDefault="00D30B1E" w:rsidP="00D30B1E">
            <w:pPr>
              <w:pStyle w:val="ListParagraph"/>
              <w:widowControl/>
              <w:numPr>
                <w:ilvl w:val="0"/>
                <w:numId w:val="3"/>
              </w:numPr>
              <w:contextualSpacing/>
              <w:rPr>
                <w:rFonts w:ascii="Arial" w:eastAsia="Times New Roman" w:hAnsi="Arial" w:cs="Arial"/>
                <w:sz w:val="24"/>
                <w:szCs w:val="24"/>
              </w:rPr>
            </w:pPr>
            <w:r w:rsidRPr="000670F3">
              <w:rPr>
                <w:rFonts w:ascii="Arial" w:eastAsia="Times New Roman" w:hAnsi="Arial" w:cs="Arial"/>
                <w:sz w:val="24"/>
                <w:szCs w:val="24"/>
              </w:rPr>
              <w:lastRenderedPageBreak/>
              <w:t xml:space="preserve">If yes to either of the former questions about data from utilities, what requirements will the awarded bidder need to meet </w:t>
            </w:r>
            <w:proofErr w:type="gramStart"/>
            <w:r w:rsidRPr="000670F3">
              <w:rPr>
                <w:rFonts w:ascii="Arial" w:eastAsia="Times New Roman" w:hAnsi="Arial" w:cs="Arial"/>
                <w:sz w:val="24"/>
                <w:szCs w:val="24"/>
              </w:rPr>
              <w:t>in order to</w:t>
            </w:r>
            <w:proofErr w:type="gramEnd"/>
            <w:r w:rsidRPr="000670F3">
              <w:rPr>
                <w:rFonts w:ascii="Arial" w:eastAsia="Times New Roman" w:hAnsi="Arial" w:cs="Arial"/>
                <w:sz w:val="24"/>
                <w:szCs w:val="24"/>
              </w:rPr>
              <w:t xml:space="preserve"> get such data (confidentiality, security, etc.)? </w:t>
            </w:r>
          </w:p>
          <w:p w14:paraId="20B1E492" w14:textId="68D64420"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0B1E" w:rsidRPr="000670F3" w14:paraId="2416ABE5" w14:textId="77777777" w:rsidTr="00C92D42">
        <w:trPr>
          <w:trHeight w:val="379"/>
        </w:trPr>
        <w:tc>
          <w:tcPr>
            <w:tcW w:w="691" w:type="dxa"/>
            <w:vMerge/>
            <w:shd w:val="clear" w:color="auto" w:fill="BDD6EE"/>
          </w:tcPr>
          <w:p w14:paraId="37BF0992"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36DF002E"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D30B1E" w:rsidRPr="000670F3" w14:paraId="447A19DE" w14:textId="77777777" w:rsidTr="00C92D42">
        <w:trPr>
          <w:trHeight w:val="379"/>
        </w:trPr>
        <w:tc>
          <w:tcPr>
            <w:tcW w:w="691" w:type="dxa"/>
            <w:vMerge/>
          </w:tcPr>
          <w:p w14:paraId="14CD3919"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777F4AF4" w14:textId="4B154BB8" w:rsidR="00394383" w:rsidRDefault="00394383" w:rsidP="004252AD">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4383">
              <w:rPr>
                <w:rFonts w:ascii="Arial" w:hAnsi="Arial" w:cs="Arial"/>
              </w:rPr>
              <w:t xml:space="preserve">The Consultant is responsible for collecting publicly available data. If data resides with the utility or </w:t>
            </w:r>
            <w:r>
              <w:rPr>
                <w:rFonts w:ascii="Arial" w:hAnsi="Arial" w:cs="Arial"/>
              </w:rPr>
              <w:t>an</w:t>
            </w:r>
            <w:r w:rsidRPr="00394383">
              <w:rPr>
                <w:rFonts w:ascii="Arial" w:hAnsi="Arial" w:cs="Arial"/>
              </w:rPr>
              <w:t xml:space="preserve">other entity, the OPA </w:t>
            </w:r>
            <w:r w:rsidR="007A40A5" w:rsidRPr="00394383">
              <w:rPr>
                <w:rFonts w:ascii="Arial" w:hAnsi="Arial" w:cs="Arial"/>
              </w:rPr>
              <w:t>will work</w:t>
            </w:r>
            <w:r w:rsidRPr="00394383">
              <w:rPr>
                <w:rFonts w:ascii="Arial" w:hAnsi="Arial" w:cs="Arial"/>
              </w:rPr>
              <w:t xml:space="preserve"> with the consultant to get access to the data.</w:t>
            </w:r>
          </w:p>
          <w:p w14:paraId="4C805E75" w14:textId="2490BCBD" w:rsidR="00394383" w:rsidRDefault="00394383" w:rsidP="004252AD">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4383">
              <w:rPr>
                <w:rFonts w:ascii="Arial" w:hAnsi="Arial" w:cs="Arial"/>
              </w:rPr>
              <w:t xml:space="preserve">The level of cooperation from the utilities is not known </w:t>
            </w:r>
            <w:proofErr w:type="gramStart"/>
            <w:r w:rsidRPr="00394383">
              <w:rPr>
                <w:rFonts w:ascii="Arial" w:hAnsi="Arial" w:cs="Arial"/>
              </w:rPr>
              <w:t>at this time</w:t>
            </w:r>
            <w:proofErr w:type="gramEnd"/>
            <w:r w:rsidRPr="00394383">
              <w:rPr>
                <w:rFonts w:ascii="Arial" w:hAnsi="Arial" w:cs="Arial"/>
              </w:rPr>
              <w:t>.</w:t>
            </w:r>
          </w:p>
          <w:p w14:paraId="64979706" w14:textId="4321282F" w:rsidR="00394383" w:rsidRDefault="00394383" w:rsidP="004252AD">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Access to data from EMT and the utilities is not known </w:t>
            </w:r>
            <w:proofErr w:type="gramStart"/>
            <w:r>
              <w:rPr>
                <w:rFonts w:ascii="Arial" w:hAnsi="Arial" w:cs="Arial"/>
              </w:rPr>
              <w:t>at this time</w:t>
            </w:r>
            <w:proofErr w:type="gramEnd"/>
            <w:r>
              <w:rPr>
                <w:rFonts w:ascii="Arial" w:hAnsi="Arial" w:cs="Arial"/>
              </w:rPr>
              <w:t>.</w:t>
            </w:r>
          </w:p>
          <w:p w14:paraId="6B7C0E11" w14:textId="37BFBDEA" w:rsidR="00394383" w:rsidRDefault="00394383" w:rsidP="004252AD">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Data format is not known </w:t>
            </w:r>
            <w:proofErr w:type="gramStart"/>
            <w:r>
              <w:rPr>
                <w:rFonts w:ascii="Arial" w:hAnsi="Arial" w:cs="Arial"/>
              </w:rPr>
              <w:t>at this time</w:t>
            </w:r>
            <w:proofErr w:type="gramEnd"/>
            <w:r>
              <w:rPr>
                <w:rFonts w:ascii="Arial" w:hAnsi="Arial" w:cs="Arial"/>
              </w:rPr>
              <w:t>.</w:t>
            </w:r>
          </w:p>
          <w:p w14:paraId="201443CF" w14:textId="40535824" w:rsidR="00D30B1E" w:rsidRPr="004252AD" w:rsidRDefault="00394383" w:rsidP="004252AD">
            <w:pPr>
              <w:pStyle w:val="DefaultText"/>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nondisclosure agreement is </w:t>
            </w:r>
            <w:proofErr w:type="gramStart"/>
            <w:r>
              <w:rPr>
                <w:rFonts w:ascii="Arial" w:hAnsi="Arial" w:cs="Arial"/>
              </w:rPr>
              <w:t>typical</w:t>
            </w:r>
            <w:proofErr w:type="gramEnd"/>
            <w:r>
              <w:rPr>
                <w:rFonts w:ascii="Arial" w:hAnsi="Arial" w:cs="Arial"/>
              </w:rPr>
              <w:t xml:space="preserve"> but it is not known at this time what security measures would be required for access to utility or EMT data.</w:t>
            </w:r>
          </w:p>
        </w:tc>
      </w:tr>
    </w:tbl>
    <w:p w14:paraId="1818BC3E" w14:textId="1B3F1FEF" w:rsidR="00D30B1E" w:rsidRPr="000670F3" w:rsidRDefault="00D30B1E" w:rsidP="00CF3AA7">
      <w:pPr>
        <w:tabs>
          <w:tab w:val="left" w:pos="3387"/>
        </w:tabs>
        <w:jc w:val="center"/>
        <w:rPr>
          <w:rFonts w:ascii="Arial" w:hAnsi="Arial" w:cs="Arial"/>
          <w:b/>
          <w:color w:val="000000"/>
        </w:rPr>
      </w:pPr>
      <w:r w:rsidRPr="000670F3">
        <w:rPr>
          <w:rFonts w:ascii="Arial" w:hAnsi="Arial" w:cs="Arial"/>
          <w:b/>
          <w:color w:val="000000"/>
        </w:rPr>
        <w:t xml:space="preserve"> </w:t>
      </w: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D30B1E" w:rsidRPr="000670F3" w14:paraId="0E9DB738" w14:textId="77777777" w:rsidTr="00C92D42">
        <w:trPr>
          <w:trHeight w:val="379"/>
        </w:trPr>
        <w:tc>
          <w:tcPr>
            <w:tcW w:w="691" w:type="dxa"/>
            <w:vMerge w:val="restart"/>
            <w:shd w:val="clear" w:color="auto" w:fill="BDD6EE"/>
            <w:vAlign w:val="center"/>
          </w:tcPr>
          <w:p w14:paraId="2DDC201F" w14:textId="6B283FDA"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21</w:t>
            </w:r>
          </w:p>
        </w:tc>
        <w:tc>
          <w:tcPr>
            <w:tcW w:w="1987" w:type="dxa"/>
            <w:tcBorders>
              <w:bottom w:val="single" w:sz="4" w:space="0" w:color="auto"/>
            </w:tcBorders>
            <w:shd w:val="clear" w:color="auto" w:fill="BDD6EE"/>
            <w:vAlign w:val="center"/>
          </w:tcPr>
          <w:p w14:paraId="70C90F70"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6C623525"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073A7914" w14:textId="77777777" w:rsidTr="00C92D42">
        <w:trPr>
          <w:trHeight w:val="379"/>
        </w:trPr>
        <w:tc>
          <w:tcPr>
            <w:tcW w:w="691" w:type="dxa"/>
            <w:vMerge/>
            <w:shd w:val="clear" w:color="auto" w:fill="FFFFFF"/>
          </w:tcPr>
          <w:p w14:paraId="538A8CAD"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439E92"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A. page 7</w:t>
            </w:r>
          </w:p>
        </w:tc>
        <w:tc>
          <w:tcPr>
            <w:tcW w:w="8099" w:type="dxa"/>
            <w:shd w:val="clear" w:color="auto" w:fill="FFFFFF"/>
            <w:vAlign w:val="center"/>
          </w:tcPr>
          <w:p w14:paraId="4B8A8A63" w14:textId="77777777" w:rsidR="00D30B1E" w:rsidRPr="000670F3" w:rsidRDefault="00D30B1E" w:rsidP="00D30B1E">
            <w:pPr>
              <w:textAlignment w:val="center"/>
              <w:rPr>
                <w:rFonts w:ascii="Arial" w:hAnsi="Arial" w:cs="Arial"/>
              </w:rPr>
            </w:pPr>
            <w:r w:rsidRPr="000670F3">
              <w:rPr>
                <w:rFonts w:ascii="Arial" w:hAnsi="Arial" w:cs="Arial"/>
              </w:rPr>
              <w:t>How does OPA intend to use the results of this analysis?</w:t>
            </w:r>
          </w:p>
          <w:p w14:paraId="0E26F2BA" w14:textId="41C8B312"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0B1E" w:rsidRPr="000670F3" w14:paraId="1E1A7217" w14:textId="77777777" w:rsidTr="00C92D42">
        <w:trPr>
          <w:trHeight w:val="379"/>
        </w:trPr>
        <w:tc>
          <w:tcPr>
            <w:tcW w:w="691" w:type="dxa"/>
            <w:vMerge/>
            <w:shd w:val="clear" w:color="auto" w:fill="BDD6EE"/>
          </w:tcPr>
          <w:p w14:paraId="6943ADE2"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6472AB17"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D30B1E" w:rsidRPr="000670F3" w14:paraId="7213364E" w14:textId="77777777" w:rsidTr="00C92D42">
        <w:trPr>
          <w:trHeight w:val="379"/>
        </w:trPr>
        <w:tc>
          <w:tcPr>
            <w:tcW w:w="691" w:type="dxa"/>
            <w:vMerge/>
          </w:tcPr>
          <w:p w14:paraId="7797A2EF"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0F52AF13" w14:textId="687A7F2D" w:rsidR="00D30B1E" w:rsidRPr="000670F3" w:rsidRDefault="00394383" w:rsidP="004252A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4383">
              <w:rPr>
                <w:rFonts w:ascii="Arial" w:hAnsi="Arial" w:cs="Arial"/>
              </w:rPr>
              <w:t xml:space="preserve">The OPA intends to use the results of the analysis to inform its responses </w:t>
            </w:r>
            <w:r w:rsidR="007A40A5">
              <w:rPr>
                <w:rFonts w:ascii="Arial" w:hAnsi="Arial" w:cs="Arial"/>
              </w:rPr>
              <w:t xml:space="preserve">for </w:t>
            </w:r>
            <w:r w:rsidRPr="00394383">
              <w:rPr>
                <w:rFonts w:ascii="Arial" w:hAnsi="Arial" w:cs="Arial"/>
              </w:rPr>
              <w:t>grid planning</w:t>
            </w:r>
            <w:r>
              <w:rPr>
                <w:rFonts w:ascii="Arial" w:hAnsi="Arial" w:cs="Arial"/>
              </w:rPr>
              <w:t xml:space="preserve">, </w:t>
            </w:r>
            <w:r w:rsidRPr="00394383">
              <w:rPr>
                <w:rFonts w:ascii="Arial" w:hAnsi="Arial" w:cs="Arial"/>
              </w:rPr>
              <w:t>NWA investigations</w:t>
            </w:r>
            <w:r>
              <w:rPr>
                <w:rFonts w:ascii="Arial" w:hAnsi="Arial" w:cs="Arial"/>
              </w:rPr>
              <w:t xml:space="preserve">, and other instances where </w:t>
            </w:r>
            <w:r w:rsidR="007A40A5">
              <w:rPr>
                <w:rFonts w:ascii="Arial" w:hAnsi="Arial" w:cs="Arial"/>
              </w:rPr>
              <w:t>utility investments are tied to load forecasts.</w:t>
            </w:r>
          </w:p>
        </w:tc>
      </w:tr>
    </w:tbl>
    <w:p w14:paraId="50F04D8E" w14:textId="77777777" w:rsidR="00D30B1E" w:rsidRPr="000670F3" w:rsidRDefault="00D30B1E"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D30B1E" w:rsidRPr="000670F3" w14:paraId="116297FC" w14:textId="77777777" w:rsidTr="00C92D42">
        <w:trPr>
          <w:trHeight w:val="379"/>
        </w:trPr>
        <w:tc>
          <w:tcPr>
            <w:tcW w:w="691" w:type="dxa"/>
            <w:vMerge w:val="restart"/>
            <w:shd w:val="clear" w:color="auto" w:fill="BDD6EE"/>
            <w:vAlign w:val="center"/>
          </w:tcPr>
          <w:p w14:paraId="5B3B7E8A" w14:textId="7E66AC4C"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22</w:t>
            </w:r>
          </w:p>
        </w:tc>
        <w:tc>
          <w:tcPr>
            <w:tcW w:w="1987" w:type="dxa"/>
            <w:tcBorders>
              <w:bottom w:val="single" w:sz="4" w:space="0" w:color="auto"/>
            </w:tcBorders>
            <w:shd w:val="clear" w:color="auto" w:fill="BDD6EE"/>
            <w:vAlign w:val="center"/>
          </w:tcPr>
          <w:p w14:paraId="147262CE"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0345372E"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5FAD9CEF" w14:textId="77777777" w:rsidTr="00C92D42">
        <w:trPr>
          <w:trHeight w:val="379"/>
        </w:trPr>
        <w:tc>
          <w:tcPr>
            <w:tcW w:w="691" w:type="dxa"/>
            <w:vMerge/>
            <w:shd w:val="clear" w:color="auto" w:fill="FFFFFF"/>
          </w:tcPr>
          <w:p w14:paraId="0E6D61D7"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4F1D92"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A. page 7</w:t>
            </w:r>
          </w:p>
        </w:tc>
        <w:tc>
          <w:tcPr>
            <w:tcW w:w="8099" w:type="dxa"/>
            <w:shd w:val="clear" w:color="auto" w:fill="FFFFFF"/>
            <w:vAlign w:val="center"/>
          </w:tcPr>
          <w:p w14:paraId="4AFF8ACC" w14:textId="77777777" w:rsidR="00D30B1E" w:rsidRPr="000670F3" w:rsidRDefault="00D30B1E" w:rsidP="00D30B1E">
            <w:pPr>
              <w:pStyle w:val="NoSpacing"/>
              <w:rPr>
                <w:rFonts w:ascii="Arial" w:hAnsi="Arial" w:cs="Arial"/>
                <w:sz w:val="24"/>
                <w:szCs w:val="24"/>
              </w:rPr>
            </w:pPr>
            <w:r w:rsidRPr="000670F3">
              <w:rPr>
                <w:rFonts w:ascii="Arial" w:hAnsi="Arial" w:cs="Arial"/>
                <w:sz w:val="24"/>
                <w:szCs w:val="24"/>
              </w:rPr>
              <w:t xml:space="preserve">Does the consultant need to conduct a load flow analysis?  </w:t>
            </w:r>
          </w:p>
          <w:p w14:paraId="172E20D1" w14:textId="4E1306FA"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0B1E" w:rsidRPr="000670F3" w14:paraId="10FF87B4" w14:textId="77777777" w:rsidTr="00C92D42">
        <w:trPr>
          <w:trHeight w:val="379"/>
        </w:trPr>
        <w:tc>
          <w:tcPr>
            <w:tcW w:w="691" w:type="dxa"/>
            <w:vMerge/>
            <w:shd w:val="clear" w:color="auto" w:fill="BDD6EE"/>
          </w:tcPr>
          <w:p w14:paraId="226A60B5"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660CB819"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D30B1E" w:rsidRPr="000670F3" w14:paraId="48860DDA" w14:textId="77777777" w:rsidTr="00C92D42">
        <w:trPr>
          <w:trHeight w:val="379"/>
        </w:trPr>
        <w:tc>
          <w:tcPr>
            <w:tcW w:w="691" w:type="dxa"/>
            <w:vMerge/>
          </w:tcPr>
          <w:p w14:paraId="3605B818"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147430EF" w14:textId="51213ECD" w:rsidR="00D30B1E" w:rsidRPr="000670F3" w:rsidRDefault="007A40A5"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0859C800" w14:textId="77777777" w:rsidR="009204EE" w:rsidRPr="000670F3" w:rsidRDefault="009204EE" w:rsidP="004252AD">
      <w:pPr>
        <w:tabs>
          <w:tab w:val="left" w:pos="3387"/>
        </w:tabs>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D30B1E" w:rsidRPr="000670F3" w14:paraId="47429989" w14:textId="77777777" w:rsidTr="00C92D42">
        <w:trPr>
          <w:trHeight w:val="379"/>
        </w:trPr>
        <w:tc>
          <w:tcPr>
            <w:tcW w:w="691" w:type="dxa"/>
            <w:vMerge w:val="restart"/>
            <w:shd w:val="clear" w:color="auto" w:fill="BDD6EE"/>
            <w:vAlign w:val="center"/>
          </w:tcPr>
          <w:p w14:paraId="2A89CDF2" w14:textId="1F5DABA1"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23</w:t>
            </w:r>
          </w:p>
        </w:tc>
        <w:tc>
          <w:tcPr>
            <w:tcW w:w="1987" w:type="dxa"/>
            <w:tcBorders>
              <w:bottom w:val="single" w:sz="4" w:space="0" w:color="auto"/>
            </w:tcBorders>
            <w:shd w:val="clear" w:color="auto" w:fill="BDD6EE"/>
            <w:vAlign w:val="center"/>
          </w:tcPr>
          <w:p w14:paraId="03AE7B42"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57BB4B3F"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35CF3376" w14:textId="77777777" w:rsidTr="00AF2982">
        <w:trPr>
          <w:trHeight w:val="379"/>
        </w:trPr>
        <w:tc>
          <w:tcPr>
            <w:tcW w:w="691" w:type="dxa"/>
            <w:vMerge/>
            <w:shd w:val="clear" w:color="auto" w:fill="FFFFFF"/>
          </w:tcPr>
          <w:p w14:paraId="6108FAF4"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9048D8"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A. page 7</w:t>
            </w:r>
          </w:p>
        </w:tc>
        <w:tc>
          <w:tcPr>
            <w:tcW w:w="8099" w:type="dxa"/>
            <w:shd w:val="clear" w:color="auto" w:fill="FFFFFF"/>
          </w:tcPr>
          <w:p w14:paraId="0DE21869" w14:textId="3E6DD56A" w:rsidR="00D30B1E" w:rsidRPr="004252AD" w:rsidRDefault="00D30B1E" w:rsidP="004252AD">
            <w:pPr>
              <w:pStyle w:val="NoSpacing"/>
              <w:rPr>
                <w:rFonts w:ascii="Arial" w:hAnsi="Arial" w:cs="Arial"/>
                <w:sz w:val="24"/>
                <w:szCs w:val="24"/>
              </w:rPr>
            </w:pPr>
            <w:r w:rsidRPr="000670F3">
              <w:rPr>
                <w:rFonts w:ascii="Arial" w:hAnsi="Arial" w:cs="Arial"/>
                <w:sz w:val="24"/>
                <w:szCs w:val="24"/>
              </w:rPr>
              <w:t xml:space="preserve">Does the consultant need to compare our forecast to the capacity of the assets and analyze distribution headroom?  </w:t>
            </w:r>
          </w:p>
        </w:tc>
      </w:tr>
      <w:tr w:rsidR="00D30B1E" w:rsidRPr="000670F3" w14:paraId="5F53B9BE" w14:textId="77777777" w:rsidTr="00C92D42">
        <w:trPr>
          <w:trHeight w:val="379"/>
        </w:trPr>
        <w:tc>
          <w:tcPr>
            <w:tcW w:w="691" w:type="dxa"/>
            <w:vMerge/>
            <w:shd w:val="clear" w:color="auto" w:fill="BDD6EE"/>
          </w:tcPr>
          <w:p w14:paraId="68F5FBFF"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3FD16670"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670F3">
              <w:rPr>
                <w:rFonts w:ascii="Arial" w:hAnsi="Arial" w:cs="Arial"/>
                <w:b/>
              </w:rPr>
              <w:t>Answer</w:t>
            </w:r>
          </w:p>
        </w:tc>
      </w:tr>
      <w:tr w:rsidR="00D30B1E" w:rsidRPr="000670F3" w14:paraId="7DA8AF2C" w14:textId="77777777" w:rsidTr="00C92D42">
        <w:trPr>
          <w:trHeight w:val="379"/>
        </w:trPr>
        <w:tc>
          <w:tcPr>
            <w:tcW w:w="691" w:type="dxa"/>
            <w:vMerge/>
          </w:tcPr>
          <w:p w14:paraId="2A098CCF" w14:textId="77777777" w:rsidR="00D30B1E" w:rsidRPr="000670F3" w:rsidRDefault="00D30B1E"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4B6BB26C" w14:textId="2E342243" w:rsidR="00D30B1E" w:rsidRPr="000670F3" w:rsidRDefault="007A40A5" w:rsidP="00D30B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0DC71BFF" w14:textId="77777777" w:rsidR="00D30B1E" w:rsidRPr="000670F3" w:rsidRDefault="00D30B1E"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D30B1E" w:rsidRPr="000670F3" w14:paraId="72F15935" w14:textId="77777777" w:rsidTr="00C92D42">
        <w:trPr>
          <w:trHeight w:val="379"/>
        </w:trPr>
        <w:tc>
          <w:tcPr>
            <w:tcW w:w="691" w:type="dxa"/>
            <w:vMerge w:val="restart"/>
            <w:shd w:val="clear" w:color="auto" w:fill="BDD6EE"/>
            <w:vAlign w:val="center"/>
          </w:tcPr>
          <w:p w14:paraId="16C9F961" w14:textId="5459059E"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24</w:t>
            </w:r>
          </w:p>
        </w:tc>
        <w:tc>
          <w:tcPr>
            <w:tcW w:w="1987" w:type="dxa"/>
            <w:tcBorders>
              <w:bottom w:val="single" w:sz="4" w:space="0" w:color="auto"/>
            </w:tcBorders>
            <w:shd w:val="clear" w:color="auto" w:fill="BDD6EE"/>
            <w:vAlign w:val="center"/>
          </w:tcPr>
          <w:p w14:paraId="5D70C891"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RFP Section &amp; Page Number</w:t>
            </w:r>
          </w:p>
        </w:tc>
        <w:tc>
          <w:tcPr>
            <w:tcW w:w="8099" w:type="dxa"/>
            <w:tcBorders>
              <w:bottom w:val="single" w:sz="4" w:space="0" w:color="auto"/>
            </w:tcBorders>
            <w:shd w:val="clear" w:color="auto" w:fill="BDD6EE"/>
            <w:vAlign w:val="center"/>
          </w:tcPr>
          <w:p w14:paraId="4ACB43B5" w14:textId="77777777" w:rsidR="00D30B1E" w:rsidRPr="000670F3" w:rsidRDefault="00D30B1E" w:rsidP="00C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670F3">
              <w:rPr>
                <w:rFonts w:ascii="Arial" w:hAnsi="Arial" w:cs="Arial"/>
                <w:b/>
              </w:rPr>
              <w:t>Question</w:t>
            </w:r>
          </w:p>
        </w:tc>
      </w:tr>
      <w:tr w:rsidR="00D30B1E" w:rsidRPr="000670F3" w14:paraId="667F902A" w14:textId="77777777" w:rsidTr="00C92D42">
        <w:trPr>
          <w:trHeight w:val="379"/>
        </w:trPr>
        <w:tc>
          <w:tcPr>
            <w:tcW w:w="691" w:type="dxa"/>
            <w:vMerge/>
            <w:shd w:val="clear" w:color="auto" w:fill="FFFFFF"/>
          </w:tcPr>
          <w:p w14:paraId="2FF83A05"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D69DB8" w14:textId="7E9343B5"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670F3">
              <w:rPr>
                <w:rFonts w:ascii="Arial" w:hAnsi="Arial" w:cs="Arial"/>
                <w:b/>
                <w:bCs/>
              </w:rPr>
              <w:t>Part II. C. page 6</w:t>
            </w:r>
          </w:p>
        </w:tc>
        <w:tc>
          <w:tcPr>
            <w:tcW w:w="8099" w:type="dxa"/>
            <w:shd w:val="clear" w:color="auto" w:fill="FFFFFF"/>
          </w:tcPr>
          <w:p w14:paraId="4CCE87D1" w14:textId="77777777" w:rsidR="00D30B1E" w:rsidRPr="000670F3" w:rsidRDefault="00D30B1E" w:rsidP="00D30B1E">
            <w:pPr>
              <w:pStyle w:val="ListParagraph"/>
              <w:widowControl/>
              <w:numPr>
                <w:ilvl w:val="0"/>
                <w:numId w:val="4"/>
              </w:numPr>
              <w:contextualSpacing/>
              <w:textAlignment w:val="center"/>
              <w:rPr>
                <w:rFonts w:ascii="Arial" w:eastAsia="Times New Roman" w:hAnsi="Arial" w:cs="Arial"/>
                <w:sz w:val="24"/>
                <w:szCs w:val="24"/>
              </w:rPr>
            </w:pPr>
            <w:r w:rsidRPr="000670F3">
              <w:rPr>
                <w:rFonts w:ascii="Arial" w:eastAsia="Times New Roman" w:hAnsi="Arial" w:cs="Arial"/>
                <w:sz w:val="24"/>
                <w:szCs w:val="24"/>
              </w:rPr>
              <w:t>Are there specific deadlines/schedules that potential bidders should consider?</w:t>
            </w:r>
          </w:p>
          <w:p w14:paraId="2A3D2A07" w14:textId="77777777" w:rsidR="00D30B1E" w:rsidRPr="000670F3" w:rsidRDefault="00D30B1E" w:rsidP="00D30B1E">
            <w:pPr>
              <w:pStyle w:val="ListParagraph"/>
              <w:widowControl/>
              <w:numPr>
                <w:ilvl w:val="0"/>
                <w:numId w:val="4"/>
              </w:numPr>
              <w:contextualSpacing/>
              <w:textAlignment w:val="center"/>
              <w:rPr>
                <w:rFonts w:ascii="Arial" w:eastAsia="Times New Roman" w:hAnsi="Arial" w:cs="Arial"/>
                <w:sz w:val="24"/>
                <w:szCs w:val="24"/>
              </w:rPr>
            </w:pPr>
            <w:r w:rsidRPr="000670F3">
              <w:rPr>
                <w:rFonts w:ascii="Arial" w:eastAsia="Times New Roman" w:hAnsi="Arial" w:cs="Arial"/>
                <w:sz w:val="24"/>
                <w:szCs w:val="24"/>
              </w:rPr>
              <w:t>What are the critical milestones between now and the end of the project (2026) that the respondent should be aware of? Are they flexible or fixed (e.g., state legislative sessions)?</w:t>
            </w:r>
          </w:p>
          <w:p w14:paraId="078224DD" w14:textId="77777777" w:rsidR="00D30B1E" w:rsidRPr="000670F3" w:rsidRDefault="00D30B1E" w:rsidP="00D30B1E">
            <w:pPr>
              <w:pStyle w:val="ListParagraph"/>
              <w:widowControl/>
              <w:numPr>
                <w:ilvl w:val="0"/>
                <w:numId w:val="4"/>
              </w:numPr>
              <w:contextualSpacing/>
              <w:textAlignment w:val="center"/>
              <w:rPr>
                <w:rFonts w:ascii="Arial" w:eastAsia="Times New Roman" w:hAnsi="Arial" w:cs="Arial"/>
                <w:sz w:val="24"/>
                <w:szCs w:val="24"/>
              </w:rPr>
            </w:pPr>
            <w:r w:rsidRPr="000670F3">
              <w:rPr>
                <w:rFonts w:ascii="Arial" w:eastAsia="Times New Roman" w:hAnsi="Arial" w:cs="Arial"/>
                <w:sz w:val="24"/>
                <w:szCs w:val="24"/>
              </w:rPr>
              <w:lastRenderedPageBreak/>
              <w:t>Similarly, what are the expected tasks for the possible Renewal periods #1 and #2 which extend into 2028 and 2029?</w:t>
            </w:r>
          </w:p>
          <w:p w14:paraId="164B6C1F" w14:textId="77777777" w:rsidR="00D30B1E" w:rsidRPr="000670F3"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0B1E" w:rsidRPr="00F9098C" w14:paraId="2D76AEED" w14:textId="77777777" w:rsidTr="00C92D42">
        <w:trPr>
          <w:trHeight w:val="379"/>
        </w:trPr>
        <w:tc>
          <w:tcPr>
            <w:tcW w:w="691" w:type="dxa"/>
            <w:vMerge/>
            <w:shd w:val="clear" w:color="auto" w:fill="BDD6EE"/>
          </w:tcPr>
          <w:p w14:paraId="46CA9039" w14:textId="77777777" w:rsidR="00D30B1E" w:rsidRPr="00F9098C"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640BA2F0" w14:textId="77777777" w:rsidR="00D30B1E" w:rsidRPr="00F9098C"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B1E" w:rsidRPr="00F9098C" w14:paraId="65615547" w14:textId="77777777" w:rsidTr="00C92D42">
        <w:trPr>
          <w:trHeight w:val="379"/>
        </w:trPr>
        <w:tc>
          <w:tcPr>
            <w:tcW w:w="691" w:type="dxa"/>
            <w:vMerge/>
          </w:tcPr>
          <w:p w14:paraId="3D21767E" w14:textId="77777777" w:rsidR="00D30B1E" w:rsidRPr="00B51518" w:rsidRDefault="00D30B1E" w:rsidP="00C92D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28BF369F" w14:textId="77777777" w:rsidR="00D30B1E" w:rsidRDefault="007A40A5" w:rsidP="007A40A5">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OPA and Consultant will establish internal deadlines. Currently, there are no external deadlines.</w:t>
            </w:r>
          </w:p>
          <w:p w14:paraId="7B8BA7AE" w14:textId="77777777" w:rsidR="007A40A5" w:rsidRDefault="007A40A5" w:rsidP="007A40A5">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A40A5">
              <w:rPr>
                <w:rFonts w:ascii="Arial" w:hAnsi="Arial" w:cs="Arial"/>
              </w:rPr>
              <w:t>Currently, deadlines are flexible as the report is intended to inform discussions and is not attached to a specific docket.</w:t>
            </w:r>
          </w:p>
          <w:p w14:paraId="47CB82AF" w14:textId="040C9331" w:rsidR="007A40A5" w:rsidRPr="00B51518" w:rsidRDefault="007A40A5" w:rsidP="007A40A5">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A40A5">
              <w:rPr>
                <w:rFonts w:ascii="Arial" w:hAnsi="Arial" w:cs="Arial"/>
              </w:rPr>
              <w:t>Specific dockets may be opened. Possible tasks could include presenting the report as part of testimony in a future proceeding.</w:t>
            </w:r>
          </w:p>
        </w:tc>
      </w:tr>
    </w:tbl>
    <w:p w14:paraId="30751596" w14:textId="77777777" w:rsidR="00D30B1E" w:rsidRDefault="00D30B1E" w:rsidP="00CF3AA7">
      <w:pPr>
        <w:tabs>
          <w:tab w:val="left" w:pos="3387"/>
        </w:tabs>
        <w:jc w:val="center"/>
        <w:rPr>
          <w:rFonts w:ascii="Arial" w:hAnsi="Arial" w:cs="Arial"/>
          <w:b/>
          <w:color w:val="000000"/>
        </w:rPr>
      </w:pPr>
    </w:p>
    <w:sectPr w:rsidR="00D30B1E" w:rsidSect="00111EBD">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F52C" w14:textId="77777777" w:rsidR="00111EBD" w:rsidRDefault="00111EBD" w:rsidP="00131249">
      <w:r>
        <w:separator/>
      </w:r>
    </w:p>
  </w:endnote>
  <w:endnote w:type="continuationSeparator" w:id="0">
    <w:p w14:paraId="7593B103" w14:textId="77777777" w:rsidR="00111EBD" w:rsidRDefault="00111EBD"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5EB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961A"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E86C" w14:textId="77777777" w:rsidR="00111EBD" w:rsidRDefault="00111EBD" w:rsidP="00131249">
      <w:r>
        <w:separator/>
      </w:r>
    </w:p>
  </w:footnote>
  <w:footnote w:type="continuationSeparator" w:id="0">
    <w:p w14:paraId="10A3BB62" w14:textId="77777777" w:rsidR="00111EBD" w:rsidRDefault="00111EBD"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EC2C" w14:textId="23AD4B69"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6B2173">
      <w:rPr>
        <w:rFonts w:ascii="Arial" w:hAnsi="Arial" w:cs="Arial"/>
        <w:b/>
        <w:sz w:val="20"/>
      </w:rPr>
      <w:t>202404095</w:t>
    </w:r>
    <w:r w:rsidRPr="006B2173">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25F51865"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6B5AE50"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C3F"/>
    <w:multiLevelType w:val="hybridMultilevel"/>
    <w:tmpl w:val="6AF0FBF8"/>
    <w:lvl w:ilvl="0" w:tplc="FFFFFFFF">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4C0E77FC"/>
    <w:multiLevelType w:val="hybridMultilevel"/>
    <w:tmpl w:val="EF645332"/>
    <w:lvl w:ilvl="0" w:tplc="FE5A59F4">
      <w:start w:val="1"/>
      <w:numFmt w:val="lowerLetter"/>
      <w:lvlText w:val="%1."/>
      <w:lvlJc w:val="left"/>
      <w:pPr>
        <w:ind w:left="720" w:hanging="360"/>
      </w:pPr>
      <w:rPr>
        <w:rFonts w:hint="default"/>
        <w:sz w:val="24"/>
        <w:szCs w:val="32"/>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 w15:restartNumberingAfterBreak="0">
    <w:nsid w:val="5A8F6399"/>
    <w:multiLevelType w:val="hybridMultilevel"/>
    <w:tmpl w:val="5D7E2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22064"/>
    <w:multiLevelType w:val="hybridMultilevel"/>
    <w:tmpl w:val="D2B4FA44"/>
    <w:lvl w:ilvl="0" w:tplc="FFFFFFFF">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 w15:restartNumberingAfterBreak="0">
    <w:nsid w:val="63186C49"/>
    <w:multiLevelType w:val="hybridMultilevel"/>
    <w:tmpl w:val="D2B4FA44"/>
    <w:lvl w:ilvl="0" w:tplc="FFFFFFFF">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 w15:restartNumberingAfterBreak="0">
    <w:nsid w:val="76FF70D6"/>
    <w:multiLevelType w:val="hybridMultilevel"/>
    <w:tmpl w:val="6A86F13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8771831">
    <w:abstractNumId w:val="4"/>
  </w:num>
  <w:num w:numId="2" w16cid:durableId="1382166691">
    <w:abstractNumId w:val="3"/>
  </w:num>
  <w:num w:numId="3" w16cid:durableId="871573480">
    <w:abstractNumId w:val="0"/>
  </w:num>
  <w:num w:numId="4" w16cid:durableId="164906036">
    <w:abstractNumId w:val="5"/>
  </w:num>
  <w:num w:numId="5" w16cid:durableId="1721436581">
    <w:abstractNumId w:val="2"/>
  </w:num>
  <w:num w:numId="6" w16cid:durableId="106792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567FE"/>
    <w:rsid w:val="0006257C"/>
    <w:rsid w:val="00063F1B"/>
    <w:rsid w:val="000670F3"/>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11EBD"/>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3B1C"/>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4383"/>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52AD"/>
    <w:rsid w:val="004275CF"/>
    <w:rsid w:val="004277F1"/>
    <w:rsid w:val="00443E14"/>
    <w:rsid w:val="004532CA"/>
    <w:rsid w:val="00454D43"/>
    <w:rsid w:val="004560AF"/>
    <w:rsid w:val="004567DF"/>
    <w:rsid w:val="00460A69"/>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59F4"/>
    <w:rsid w:val="004B759A"/>
    <w:rsid w:val="004C1283"/>
    <w:rsid w:val="004C527D"/>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3142"/>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190"/>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173"/>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35EB"/>
    <w:rsid w:val="00724C0C"/>
    <w:rsid w:val="00725EF5"/>
    <w:rsid w:val="00730092"/>
    <w:rsid w:val="007366D2"/>
    <w:rsid w:val="00737571"/>
    <w:rsid w:val="00740F34"/>
    <w:rsid w:val="00741450"/>
    <w:rsid w:val="0074411C"/>
    <w:rsid w:val="007458DC"/>
    <w:rsid w:val="00745940"/>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A40A5"/>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010"/>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04EE"/>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977B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5660"/>
    <w:rsid w:val="00CE775A"/>
    <w:rsid w:val="00CE7866"/>
    <w:rsid w:val="00CF3AA7"/>
    <w:rsid w:val="00CF48E5"/>
    <w:rsid w:val="00CF4F42"/>
    <w:rsid w:val="00D01500"/>
    <w:rsid w:val="00D12459"/>
    <w:rsid w:val="00D30B1E"/>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4D10"/>
    <w:rsid w:val="00D97352"/>
    <w:rsid w:val="00DA004C"/>
    <w:rsid w:val="00DA2B6F"/>
    <w:rsid w:val="00DA4E5F"/>
    <w:rsid w:val="00DB1356"/>
    <w:rsid w:val="00DB2871"/>
    <w:rsid w:val="00DB6AC2"/>
    <w:rsid w:val="00DB792D"/>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EF7E10"/>
    <w:rsid w:val="00F06DBB"/>
    <w:rsid w:val="00F06E74"/>
    <w:rsid w:val="00F103BD"/>
    <w:rsid w:val="00F10946"/>
    <w:rsid w:val="00F117D5"/>
    <w:rsid w:val="00F121E2"/>
    <w:rsid w:val="00F12C4D"/>
    <w:rsid w:val="00F1585D"/>
    <w:rsid w:val="00F16D61"/>
    <w:rsid w:val="00F17A8B"/>
    <w:rsid w:val="00F17F6A"/>
    <w:rsid w:val="00F210F0"/>
    <w:rsid w:val="00F37812"/>
    <w:rsid w:val="00F438E3"/>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33B3"/>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D8CD0"/>
  <w15:chartTrackingRefBased/>
  <w15:docId w15:val="{5B683E8E-D74E-4D2F-BA9B-2E978D0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Spacing">
    <w:name w:val="No Spacing"/>
    <w:uiPriority w:val="1"/>
    <w:qFormat/>
    <w:rsid w:val="00D30B1E"/>
    <w:rPr>
      <w:rFonts w:asciiTheme="minorHAnsi" w:eastAsiaTheme="minorHAnsi" w:hAnsiTheme="minorHAnsi" w:cstheme="minorBidi"/>
      <w:kern w:val="2"/>
      <w:sz w:val="22"/>
      <w:szCs w:val="22"/>
      <w14:ligatures w14:val="standardContextual"/>
    </w:rPr>
  </w:style>
  <w:style w:type="paragraph" w:styleId="ListParagraph">
    <w:name w:val="List Paragraph"/>
    <w:basedOn w:val="Normal"/>
    <w:uiPriority w:val="34"/>
    <w:qFormat/>
    <w:rsid w:val="00D30B1E"/>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D4ED6-0316-40DE-A117-D835FD3F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E1484-41B8-4CE5-B254-6E271BA4361A}">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14455</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3</cp:revision>
  <dcterms:created xsi:type="dcterms:W3CDTF">2024-05-24T19:43:00Z</dcterms:created>
  <dcterms:modified xsi:type="dcterms:W3CDTF">2024-05-24T19:43:00Z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