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E9658EE" w:rsidR="00ED0523" w:rsidRPr="00C97934" w:rsidRDefault="00FE4339"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Executive </w:t>
      </w:r>
      <w:r w:rsidR="00ED0523" w:rsidRPr="00C97934">
        <w:rPr>
          <w:rStyle w:val="InitialStyle"/>
          <w:rFonts w:ascii="Arial" w:hAnsi="Arial" w:cs="Arial"/>
          <w:b/>
          <w:bCs/>
          <w:sz w:val="32"/>
          <w:szCs w:val="32"/>
        </w:rPr>
        <w:t xml:space="preserve">Department </w:t>
      </w:r>
    </w:p>
    <w:p w14:paraId="12751258" w14:textId="06D75829" w:rsidR="00ED0523" w:rsidRPr="00FE4339" w:rsidRDefault="00FE4339"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Office of the Public Advocate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1F60B088" w:rsidR="00ED0523" w:rsidRPr="00A50BD3" w:rsidRDefault="00ED0523" w:rsidP="00ED0523">
      <w:pPr>
        <w:pStyle w:val="DefaultText"/>
        <w:widowControl/>
        <w:jc w:val="center"/>
        <w:rPr>
          <w:rStyle w:val="InitialStyle"/>
          <w:rFonts w:ascii="Arial" w:hAnsi="Arial" w:cs="Arial"/>
          <w:bCs/>
          <w:sz w:val="32"/>
          <w:szCs w:val="32"/>
          <w:u w:val="single"/>
        </w:rPr>
      </w:pPr>
      <w:r w:rsidRPr="00A50BD3">
        <w:rPr>
          <w:rStyle w:val="InitialStyle"/>
          <w:rFonts w:ascii="Arial" w:hAnsi="Arial" w:cs="Arial"/>
          <w:b/>
          <w:bCs/>
          <w:sz w:val="32"/>
          <w:szCs w:val="32"/>
        </w:rPr>
        <w:t xml:space="preserve">RFP# </w:t>
      </w:r>
      <w:r w:rsidR="00A50BD3" w:rsidRPr="00A50BD3">
        <w:rPr>
          <w:rStyle w:val="InitialStyle"/>
          <w:rFonts w:ascii="Arial" w:hAnsi="Arial" w:cs="Arial"/>
          <w:b/>
          <w:bCs/>
          <w:sz w:val="32"/>
          <w:szCs w:val="32"/>
        </w:rPr>
        <w:t>202402045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AE123FD" w:rsidR="00ED0523" w:rsidRPr="00F7234E" w:rsidRDefault="00D059F7" w:rsidP="00ED0523">
      <w:pPr>
        <w:pStyle w:val="DefaultText"/>
        <w:widowControl/>
        <w:jc w:val="center"/>
        <w:rPr>
          <w:rStyle w:val="InitialStyle"/>
          <w:rFonts w:ascii="Arial" w:hAnsi="Arial" w:cs="Arial"/>
          <w:b/>
          <w:bCs/>
          <w:sz w:val="32"/>
          <w:szCs w:val="32"/>
        </w:rPr>
      </w:pPr>
      <w:r w:rsidRPr="00F7234E">
        <w:rPr>
          <w:rStyle w:val="InitialStyle"/>
          <w:rFonts w:ascii="Arial" w:hAnsi="Arial" w:cs="Arial"/>
          <w:b/>
          <w:bCs/>
          <w:sz w:val="32"/>
          <w:szCs w:val="32"/>
        </w:rPr>
        <w:t>Energy Burden Study</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64EFE09E" w:rsidR="00ED0523" w:rsidRPr="00F7234E"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F7234E">
              <w:rPr>
                <w:rFonts w:ascii="Arial" w:eastAsia="Calibri" w:hAnsi="Arial" w:cs="Arial"/>
                <w:b/>
                <w:sz w:val="24"/>
                <w:szCs w:val="24"/>
              </w:rPr>
              <w:t>:</w:t>
            </w:r>
            <w:r w:rsidRPr="00F7234E">
              <w:rPr>
                <w:rFonts w:ascii="Arial" w:eastAsia="Calibri" w:hAnsi="Arial" w:cs="Arial"/>
                <w:sz w:val="24"/>
                <w:szCs w:val="24"/>
              </w:rPr>
              <w:t xml:space="preserve"> </w:t>
            </w:r>
            <w:r w:rsidR="00FE4339" w:rsidRPr="00F7234E">
              <w:rPr>
                <w:rFonts w:ascii="Arial" w:eastAsia="Calibri" w:hAnsi="Arial" w:cs="Arial"/>
                <w:sz w:val="24"/>
                <w:szCs w:val="24"/>
              </w:rPr>
              <w:t>Andrew Landry</w:t>
            </w:r>
            <w:r w:rsidRPr="00F7234E">
              <w:rPr>
                <w:rFonts w:ascii="Arial" w:eastAsia="Calibri" w:hAnsi="Arial" w:cs="Arial"/>
                <w:sz w:val="24"/>
                <w:szCs w:val="24"/>
              </w:rPr>
              <w:t xml:space="preserve"> </w:t>
            </w:r>
            <w:r w:rsidRPr="00F7234E">
              <w:rPr>
                <w:rFonts w:ascii="Arial" w:eastAsia="Calibri" w:hAnsi="Arial" w:cs="Arial"/>
                <w:b/>
                <w:sz w:val="24"/>
                <w:szCs w:val="24"/>
                <w:u w:val="single"/>
              </w:rPr>
              <w:t>Title</w:t>
            </w:r>
            <w:r w:rsidRPr="00F7234E">
              <w:rPr>
                <w:rFonts w:ascii="Arial" w:eastAsia="Calibri" w:hAnsi="Arial" w:cs="Arial"/>
                <w:b/>
                <w:sz w:val="24"/>
                <w:szCs w:val="24"/>
              </w:rPr>
              <w:t>:</w:t>
            </w:r>
            <w:r w:rsidRPr="00F7234E">
              <w:rPr>
                <w:rFonts w:ascii="Arial" w:eastAsia="Calibri" w:hAnsi="Arial" w:cs="Arial"/>
                <w:sz w:val="24"/>
                <w:szCs w:val="24"/>
              </w:rPr>
              <w:t xml:space="preserve"> </w:t>
            </w:r>
            <w:r w:rsidR="00FE4339" w:rsidRPr="00F7234E">
              <w:rPr>
                <w:rFonts w:ascii="Arial" w:eastAsia="Calibri" w:hAnsi="Arial" w:cs="Arial"/>
                <w:sz w:val="24"/>
                <w:szCs w:val="24"/>
              </w:rPr>
              <w:t>Deputy Public Advocate</w:t>
            </w:r>
          </w:p>
          <w:p w14:paraId="300D1A4B" w14:textId="73C1D62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r w:rsidR="00FE4339">
              <w:rPr>
                <w:rFonts w:ascii="Arial" w:eastAsia="Calibri" w:hAnsi="Arial" w:cs="Arial"/>
                <w:sz w:val="24"/>
                <w:szCs w:val="24"/>
              </w:rPr>
              <w:t>Andrew.landry@maine.gov</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4DAD63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00504A40">
              <w:rPr>
                <w:rFonts w:ascii="Arial" w:eastAsia="Calibri" w:hAnsi="Arial" w:cs="Arial"/>
                <w:b/>
                <w:sz w:val="24"/>
                <w:szCs w:val="24"/>
                <w:u w:val="single"/>
              </w:rPr>
              <w:t>:</w:t>
            </w:r>
            <w:r w:rsidR="00504A40">
              <w:rPr>
                <w:rFonts w:ascii="Arial" w:eastAsia="Calibri" w:hAnsi="Arial" w:cs="Arial"/>
                <w:bCs/>
                <w:sz w:val="24"/>
                <w:szCs w:val="24"/>
              </w:rPr>
              <w:t xml:space="preserve"> March 7, </w:t>
            </w:r>
            <w:r w:rsidR="005F1F0B">
              <w:rPr>
                <w:rFonts w:ascii="Arial" w:eastAsia="Calibri" w:hAnsi="Arial" w:cs="Arial"/>
                <w:bCs/>
                <w:sz w:val="24"/>
                <w:szCs w:val="24"/>
              </w:rPr>
              <w:t>2024,</w:t>
            </w:r>
            <w:r w:rsidR="0016016B" w:rsidRPr="00504A40">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159A353" w14:textId="695F5AC0" w:rsidR="00566018"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6663EF">
              <w:rPr>
                <w:rFonts w:ascii="Arial" w:eastAsia="Calibri" w:hAnsi="Arial" w:cs="Arial"/>
                <w:sz w:val="24"/>
                <w:szCs w:val="24"/>
              </w:rPr>
              <w:t xml:space="preserve">March 18, </w:t>
            </w:r>
            <w:r w:rsidR="005F1F0B">
              <w:rPr>
                <w:rFonts w:ascii="Arial" w:eastAsia="Calibri" w:hAnsi="Arial" w:cs="Arial"/>
                <w:sz w:val="24"/>
                <w:szCs w:val="24"/>
              </w:rPr>
              <w:t>2024,</w:t>
            </w:r>
            <w:r w:rsidRPr="006663EF">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2"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5F1F0B">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5F1F0B">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F1F0B">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004AE2B" w:rsidR="003652A0" w:rsidRPr="00C97934" w:rsidRDefault="00F7234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5F1F0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F1F0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5E9A7C37" w:rsidR="003652A0" w:rsidRPr="00C97934" w:rsidRDefault="00F7234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5F1F0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F1F0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79C2697" w:rsidR="003652A0" w:rsidRPr="00C97934" w:rsidRDefault="00F7234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5F1F0B">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5F1F0B">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5F1F0B">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5F1F0B">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5F1F0B">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5F1F0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F1F0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5A4B184" w:rsidR="003652A0" w:rsidRPr="00C97934" w:rsidRDefault="00F7234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5F1F0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F1F0B">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6FFCA67" w:rsidR="003652A0" w:rsidRPr="00C97934" w:rsidRDefault="008B54B1" w:rsidP="00933F50">
            <w:pPr>
              <w:jc w:val="center"/>
              <w:rPr>
                <w:rFonts w:ascii="Arial" w:hAnsi="Arial" w:cs="Arial"/>
                <w:b/>
                <w:sz w:val="24"/>
                <w:szCs w:val="24"/>
              </w:rPr>
            </w:pPr>
            <w:r>
              <w:rPr>
                <w:rFonts w:ascii="Arial" w:hAnsi="Arial" w:cs="Arial"/>
                <w:b/>
                <w:sz w:val="24"/>
                <w:szCs w:val="24"/>
              </w:rPr>
              <w:t>9</w:t>
            </w:r>
          </w:p>
        </w:tc>
      </w:tr>
      <w:tr w:rsidR="003652A0" w:rsidRPr="00C97934" w14:paraId="1B269148" w14:textId="77777777" w:rsidTr="005F1F0B">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5F1F0B">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5F1F0B">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5F1F0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F1F0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46D4348" w:rsidR="003652A0" w:rsidRPr="00C97934" w:rsidRDefault="00F7234E" w:rsidP="00933F50">
            <w:pPr>
              <w:jc w:val="center"/>
              <w:rPr>
                <w:rFonts w:ascii="Arial" w:hAnsi="Arial" w:cs="Arial"/>
                <w:b/>
                <w:sz w:val="24"/>
                <w:szCs w:val="24"/>
              </w:rPr>
            </w:pPr>
            <w:r>
              <w:rPr>
                <w:rFonts w:ascii="Arial" w:hAnsi="Arial" w:cs="Arial"/>
                <w:b/>
                <w:sz w:val="24"/>
                <w:szCs w:val="24"/>
              </w:rPr>
              <w:t>1</w:t>
            </w:r>
            <w:r w:rsidR="008B54B1">
              <w:rPr>
                <w:rFonts w:ascii="Arial" w:hAnsi="Arial" w:cs="Arial"/>
                <w:b/>
                <w:sz w:val="24"/>
                <w:szCs w:val="24"/>
              </w:rPr>
              <w:t>1</w:t>
            </w:r>
          </w:p>
        </w:tc>
      </w:tr>
      <w:tr w:rsidR="003652A0" w:rsidRPr="00C97934" w14:paraId="3DCEDC36" w14:textId="77777777" w:rsidTr="005F1F0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F1F0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6FC71A5" w:rsidR="003652A0" w:rsidRPr="00C97934" w:rsidRDefault="00F7234E" w:rsidP="00933F50">
            <w:pPr>
              <w:jc w:val="center"/>
              <w:rPr>
                <w:rFonts w:ascii="Arial" w:hAnsi="Arial" w:cs="Arial"/>
                <w:b/>
                <w:sz w:val="24"/>
                <w:szCs w:val="24"/>
              </w:rPr>
            </w:pPr>
            <w:r>
              <w:rPr>
                <w:rFonts w:ascii="Arial" w:hAnsi="Arial" w:cs="Arial"/>
                <w:b/>
                <w:sz w:val="24"/>
                <w:szCs w:val="24"/>
              </w:rPr>
              <w:t>1</w:t>
            </w:r>
            <w:r w:rsidR="008B54B1">
              <w:rPr>
                <w:rFonts w:ascii="Arial" w:hAnsi="Arial" w:cs="Arial"/>
                <w:b/>
                <w:sz w:val="24"/>
                <w:szCs w:val="24"/>
              </w:rPr>
              <w:t>3</w:t>
            </w:r>
          </w:p>
        </w:tc>
      </w:tr>
      <w:tr w:rsidR="003652A0" w:rsidRPr="00C97934" w14:paraId="329B1028" w14:textId="77777777" w:rsidTr="005F1F0B">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5F1F0B">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5F1F0B">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5F1F0B">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5F1F0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F1F0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3BDF19D0" w:rsidR="003652A0" w:rsidRPr="00C97934" w:rsidRDefault="00F7234E" w:rsidP="00933F50">
            <w:pPr>
              <w:jc w:val="center"/>
              <w:rPr>
                <w:rFonts w:ascii="Arial" w:hAnsi="Arial" w:cs="Arial"/>
                <w:b/>
                <w:sz w:val="24"/>
                <w:szCs w:val="24"/>
              </w:rPr>
            </w:pPr>
            <w:r>
              <w:rPr>
                <w:rFonts w:ascii="Arial" w:hAnsi="Arial" w:cs="Arial"/>
                <w:b/>
                <w:sz w:val="24"/>
                <w:szCs w:val="24"/>
              </w:rPr>
              <w:t>1</w:t>
            </w:r>
            <w:r w:rsidR="008B54B1">
              <w:rPr>
                <w:rFonts w:ascii="Arial" w:hAnsi="Arial" w:cs="Arial"/>
                <w:b/>
                <w:sz w:val="24"/>
                <w:szCs w:val="24"/>
              </w:rPr>
              <w:t>5</w:t>
            </w:r>
          </w:p>
        </w:tc>
      </w:tr>
      <w:tr w:rsidR="003652A0" w:rsidRPr="00C97934" w14:paraId="5153674A" w14:textId="77777777" w:rsidTr="005F1F0B">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5F1F0B">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5F1F0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F1F0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6EE48DD0" w:rsidR="003652A0" w:rsidRPr="00C97934" w:rsidRDefault="00F7234E" w:rsidP="00933F50">
            <w:pPr>
              <w:jc w:val="center"/>
              <w:rPr>
                <w:rFonts w:ascii="Arial" w:hAnsi="Arial" w:cs="Arial"/>
                <w:b/>
                <w:sz w:val="24"/>
                <w:szCs w:val="24"/>
              </w:rPr>
            </w:pPr>
            <w:r>
              <w:rPr>
                <w:rFonts w:ascii="Arial" w:hAnsi="Arial" w:cs="Arial"/>
                <w:b/>
                <w:sz w:val="24"/>
                <w:szCs w:val="24"/>
              </w:rPr>
              <w:t>1</w:t>
            </w:r>
            <w:r w:rsidR="00A35913">
              <w:rPr>
                <w:rFonts w:ascii="Arial" w:hAnsi="Arial" w:cs="Arial"/>
                <w:b/>
                <w:sz w:val="24"/>
                <w:szCs w:val="24"/>
              </w:rPr>
              <w:t>6</w:t>
            </w:r>
          </w:p>
        </w:tc>
      </w:tr>
      <w:tr w:rsidR="003652A0" w:rsidRPr="00C97934" w14:paraId="7ADF74D7" w14:textId="77777777" w:rsidTr="005F1F0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5F1F0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5F1F0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5F1F0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5F1F0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5F1F0B">
        <w:tc>
          <w:tcPr>
            <w:tcW w:w="8370" w:type="dxa"/>
          </w:tcPr>
          <w:p w14:paraId="2269165A" w14:textId="37F18DAA" w:rsidR="00A71C3E" w:rsidRPr="00F70440" w:rsidRDefault="00F70440" w:rsidP="00A71C3E">
            <w:pPr>
              <w:rPr>
                <w:rFonts w:ascii="Arial" w:hAnsi="Arial" w:cs="Arial"/>
                <w:sz w:val="24"/>
                <w:szCs w:val="24"/>
              </w:rPr>
            </w:pPr>
            <w:r>
              <w:rPr>
                <w:rFonts w:ascii="Arial" w:hAnsi="Arial" w:cs="Arial"/>
                <w:sz w:val="24"/>
                <w:szCs w:val="24"/>
              </w:rPr>
              <w:t xml:space="preserve">     </w:t>
            </w:r>
          </w:p>
          <w:p w14:paraId="331856AD" w14:textId="31E4FAFB" w:rsidR="003652A0" w:rsidRPr="00F70440"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5F1F0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5F1F0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FDAA1E0" w:rsidR="004B1E57" w:rsidRPr="00C97934" w:rsidRDefault="00FE4339" w:rsidP="001627BB">
      <w:pPr>
        <w:pStyle w:val="DefaultText"/>
        <w:widowControl/>
        <w:jc w:val="center"/>
        <w:rPr>
          <w:rStyle w:val="InitialStyle"/>
          <w:rFonts w:ascii="Arial" w:hAnsi="Arial" w:cs="Arial"/>
          <w:b/>
          <w:bCs/>
          <w:color w:val="FF0000"/>
        </w:rPr>
      </w:pPr>
      <w:r>
        <w:rPr>
          <w:rStyle w:val="InitialStyle"/>
          <w:rFonts w:ascii="Arial" w:hAnsi="Arial" w:cs="Arial"/>
          <w:b/>
          <w:bCs/>
        </w:rPr>
        <w:t>Office of the Public Advocate</w:t>
      </w:r>
    </w:p>
    <w:p w14:paraId="7BEC188C" w14:textId="38F30B00" w:rsidR="004B1E57" w:rsidRPr="00A50BD3" w:rsidRDefault="00956324" w:rsidP="001627BB">
      <w:pPr>
        <w:pStyle w:val="DefaultText"/>
        <w:widowControl/>
        <w:jc w:val="center"/>
        <w:rPr>
          <w:rStyle w:val="InitialStyle"/>
          <w:rFonts w:ascii="Arial" w:hAnsi="Arial" w:cs="Arial"/>
          <w:b/>
          <w:bCs/>
        </w:rPr>
      </w:pPr>
      <w:r w:rsidRPr="00A50BD3">
        <w:rPr>
          <w:rStyle w:val="InitialStyle"/>
          <w:rFonts w:ascii="Arial" w:hAnsi="Arial" w:cs="Arial"/>
          <w:b/>
          <w:bCs/>
        </w:rPr>
        <w:t>RFP</w:t>
      </w:r>
      <w:r w:rsidR="004B1E57" w:rsidRPr="00A50BD3">
        <w:rPr>
          <w:rStyle w:val="InitialStyle"/>
          <w:rFonts w:ascii="Arial" w:hAnsi="Arial" w:cs="Arial"/>
          <w:b/>
          <w:bCs/>
        </w:rPr>
        <w:t xml:space="preserve"># </w:t>
      </w:r>
      <w:r w:rsidR="00A50BD3" w:rsidRPr="00A50BD3">
        <w:rPr>
          <w:rStyle w:val="InitialStyle"/>
          <w:rFonts w:ascii="Arial" w:hAnsi="Arial" w:cs="Arial"/>
          <w:b/>
          <w:bCs/>
        </w:rPr>
        <w:t>202402045</w:t>
      </w:r>
    </w:p>
    <w:p w14:paraId="2B76A760" w14:textId="510761B2" w:rsidR="004B1E57" w:rsidRPr="00F7234E" w:rsidRDefault="001E0D77" w:rsidP="001627BB">
      <w:pPr>
        <w:pStyle w:val="DefaultText"/>
        <w:widowControl/>
        <w:jc w:val="center"/>
        <w:rPr>
          <w:rStyle w:val="InitialStyle"/>
          <w:rFonts w:ascii="Arial" w:hAnsi="Arial" w:cs="Arial"/>
          <w:b/>
          <w:bCs/>
        </w:rPr>
      </w:pPr>
      <w:r w:rsidRPr="00F7234E">
        <w:rPr>
          <w:rStyle w:val="InitialStyle"/>
          <w:rFonts w:ascii="Arial" w:hAnsi="Arial" w:cs="Arial"/>
          <w:b/>
          <w:bCs/>
        </w:rPr>
        <w:t>Energy Burden Study</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0475A4F"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77768B">
        <w:rPr>
          <w:rStyle w:val="InitialStyle"/>
          <w:rFonts w:ascii="Arial" w:hAnsi="Arial" w:cs="Arial"/>
          <w:bCs/>
        </w:rPr>
        <w:t>, Office of the Public Advocate,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F7234E">
        <w:rPr>
          <w:rStyle w:val="InitialStyle"/>
          <w:rFonts w:ascii="Arial" w:hAnsi="Arial" w:cs="Arial"/>
          <w:bCs/>
        </w:rPr>
        <w:t xml:space="preserve">for </w:t>
      </w:r>
      <w:r w:rsidR="001E0D77" w:rsidRPr="00F7234E">
        <w:rPr>
          <w:rStyle w:val="InitialStyle"/>
          <w:rFonts w:ascii="Arial" w:hAnsi="Arial" w:cs="Arial"/>
          <w:bCs/>
        </w:rPr>
        <w:t xml:space="preserve">the preparation of an Energy Burden Study that will quantify the percentage of income that Maine residents pay for energy, including breakdowns of such information by income level, fuel type, and geographic region of the State of Maine.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4C3FB609"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00CC3634">
        <w:rPr>
          <w:rStyle w:val="InitialStyle"/>
          <w:rFonts w:ascii="Arial" w:hAnsi="Arial" w:cs="Arial"/>
          <w:bCs/>
        </w:rPr>
        <w:t>on March 18,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BD0BEB6" w:rsidR="00B51518" w:rsidRPr="00FE4339" w:rsidRDefault="0077768B" w:rsidP="00B51518">
            <w:pPr>
              <w:pStyle w:val="DefaultText"/>
              <w:widowControl/>
              <w:rPr>
                <w:rStyle w:val="InitialStyle"/>
                <w:rFonts w:ascii="Arial" w:hAnsi="Arial" w:cs="Arial"/>
                <w:bCs/>
              </w:rPr>
            </w:pPr>
            <w:r>
              <w:rPr>
                <w:rStyle w:val="InitialStyle"/>
                <w:rFonts w:ascii="Arial" w:hAnsi="Arial" w:cs="Arial"/>
                <w:bCs/>
              </w:rPr>
              <w:t xml:space="preserve">Maine </w:t>
            </w:r>
            <w:r w:rsidR="00FE4339" w:rsidRPr="00FE4339">
              <w:rPr>
                <w:rStyle w:val="InitialStyle"/>
                <w:rFonts w:ascii="Arial" w:hAnsi="Arial" w:cs="Arial"/>
                <w:bCs/>
              </w:rPr>
              <w:t>Office of the Public Advocate</w:t>
            </w:r>
          </w:p>
        </w:tc>
      </w:tr>
      <w:tr w:rsidR="00B51518" w:rsidRPr="00C97934" w14:paraId="4B7AEA07" w14:textId="77777777" w:rsidTr="00BA4F52">
        <w:tc>
          <w:tcPr>
            <w:tcW w:w="2497" w:type="dxa"/>
            <w:shd w:val="clear" w:color="auto" w:fill="auto"/>
            <w:vAlign w:val="center"/>
          </w:tcPr>
          <w:p w14:paraId="6E1DBA4E" w14:textId="1CED47FF" w:rsidR="00B51518" w:rsidRPr="00C97934" w:rsidRDefault="0077768B" w:rsidP="00E932B5">
            <w:pPr>
              <w:pStyle w:val="DefaultText"/>
              <w:widowControl/>
              <w:rPr>
                <w:rStyle w:val="InitialStyle"/>
                <w:rFonts w:ascii="Arial" w:hAnsi="Arial" w:cs="Arial"/>
                <w:b/>
                <w:bCs/>
              </w:rPr>
            </w:pPr>
            <w:r>
              <w:rPr>
                <w:rStyle w:val="InitialStyle"/>
                <w:rFonts w:ascii="Arial" w:hAnsi="Arial" w:cs="Arial"/>
                <w:b/>
                <w:bCs/>
              </w:rPr>
              <w:t>EIA</w:t>
            </w:r>
          </w:p>
        </w:tc>
        <w:tc>
          <w:tcPr>
            <w:tcW w:w="7645" w:type="dxa"/>
            <w:shd w:val="clear" w:color="auto" w:fill="auto"/>
            <w:vAlign w:val="center"/>
          </w:tcPr>
          <w:p w14:paraId="05814684" w14:textId="6A06740E" w:rsidR="00B51518" w:rsidRPr="00C97934" w:rsidRDefault="0077768B" w:rsidP="00E932B5">
            <w:pPr>
              <w:pStyle w:val="DefaultText"/>
              <w:widowControl/>
              <w:rPr>
                <w:rStyle w:val="InitialStyle"/>
                <w:rFonts w:ascii="Arial" w:hAnsi="Arial" w:cs="Arial"/>
                <w:bCs/>
              </w:rPr>
            </w:pPr>
            <w:r w:rsidRPr="00DD100B">
              <w:rPr>
                <w:rFonts w:ascii="Arial" w:hAnsi="Arial" w:cs="Arial"/>
              </w:rPr>
              <w:t>U.S. Energy Information Administration</w:t>
            </w:r>
          </w:p>
        </w:tc>
      </w:tr>
      <w:tr w:rsidR="0077768B" w:rsidRPr="00C97934" w14:paraId="7DFE3C5E" w14:textId="77777777" w:rsidTr="00BA4F52">
        <w:tc>
          <w:tcPr>
            <w:tcW w:w="2497" w:type="dxa"/>
            <w:shd w:val="clear" w:color="auto" w:fill="auto"/>
            <w:vAlign w:val="center"/>
          </w:tcPr>
          <w:p w14:paraId="4570F199" w14:textId="396735B7" w:rsidR="0077768B" w:rsidRPr="00C97934" w:rsidRDefault="0077768B" w:rsidP="0077768B">
            <w:pPr>
              <w:pStyle w:val="DefaultText"/>
              <w:widowControl/>
              <w:rPr>
                <w:rStyle w:val="InitialStyle"/>
                <w:rFonts w:ascii="Arial" w:hAnsi="Arial" w:cs="Arial"/>
                <w:b/>
                <w:bCs/>
              </w:rPr>
            </w:pPr>
            <w:r>
              <w:rPr>
                <w:rStyle w:val="InitialStyle"/>
                <w:rFonts w:ascii="Arial" w:hAnsi="Arial" w:cs="Arial"/>
                <w:b/>
                <w:bCs/>
              </w:rPr>
              <w:t>ERAC</w:t>
            </w:r>
          </w:p>
        </w:tc>
        <w:tc>
          <w:tcPr>
            <w:tcW w:w="7645" w:type="dxa"/>
            <w:shd w:val="clear" w:color="auto" w:fill="auto"/>
            <w:vAlign w:val="center"/>
          </w:tcPr>
          <w:p w14:paraId="18F1595E" w14:textId="478487FE" w:rsidR="0077768B" w:rsidRPr="00C97934" w:rsidRDefault="0077768B" w:rsidP="0077768B">
            <w:pPr>
              <w:pStyle w:val="DefaultText"/>
              <w:widowControl/>
              <w:rPr>
                <w:rStyle w:val="InitialStyle"/>
                <w:rFonts w:ascii="Arial" w:hAnsi="Arial" w:cs="Arial"/>
                <w:bCs/>
              </w:rPr>
            </w:pPr>
            <w:r>
              <w:rPr>
                <w:rStyle w:val="InitialStyle"/>
                <w:rFonts w:ascii="Arial" w:hAnsi="Arial" w:cs="Arial"/>
                <w:bCs/>
              </w:rPr>
              <w:t>Electric Ratepayer Advisory Council</w:t>
            </w:r>
          </w:p>
        </w:tc>
      </w:tr>
      <w:tr w:rsidR="0077768B" w:rsidRPr="00C97934" w14:paraId="0075BE71" w14:textId="77777777" w:rsidTr="00BA4F52">
        <w:tc>
          <w:tcPr>
            <w:tcW w:w="2497" w:type="dxa"/>
            <w:shd w:val="clear" w:color="auto" w:fill="auto"/>
            <w:vAlign w:val="center"/>
          </w:tcPr>
          <w:p w14:paraId="2147DA7F" w14:textId="70DEA82E" w:rsidR="0077768B" w:rsidRPr="00C97934" w:rsidRDefault="0077768B" w:rsidP="0077768B">
            <w:pPr>
              <w:pStyle w:val="DefaultText"/>
              <w:widowControl/>
              <w:rPr>
                <w:rStyle w:val="InitialStyle"/>
                <w:rFonts w:ascii="Arial" w:hAnsi="Arial" w:cs="Arial"/>
                <w:b/>
                <w:bCs/>
              </w:rPr>
            </w:pPr>
            <w:r>
              <w:rPr>
                <w:rStyle w:val="InitialStyle"/>
                <w:rFonts w:ascii="Arial" w:hAnsi="Arial" w:cs="Arial"/>
                <w:b/>
                <w:bCs/>
              </w:rPr>
              <w:t>GEO</w:t>
            </w:r>
          </w:p>
        </w:tc>
        <w:tc>
          <w:tcPr>
            <w:tcW w:w="7645" w:type="dxa"/>
            <w:shd w:val="clear" w:color="auto" w:fill="auto"/>
            <w:vAlign w:val="center"/>
          </w:tcPr>
          <w:p w14:paraId="5C95F8C6" w14:textId="2204033E" w:rsidR="0077768B" w:rsidRPr="00C97934" w:rsidRDefault="0077768B" w:rsidP="0077768B">
            <w:pPr>
              <w:pStyle w:val="DefaultText"/>
              <w:widowControl/>
              <w:rPr>
                <w:rStyle w:val="InitialStyle"/>
                <w:rFonts w:ascii="Arial" w:hAnsi="Arial" w:cs="Arial"/>
                <w:bCs/>
              </w:rPr>
            </w:pPr>
            <w:r>
              <w:rPr>
                <w:rStyle w:val="InitialStyle"/>
                <w:rFonts w:ascii="Arial" w:hAnsi="Arial" w:cs="Arial"/>
                <w:bCs/>
              </w:rPr>
              <w:t>Maine Governor’s Energy Office</w:t>
            </w:r>
          </w:p>
        </w:tc>
      </w:tr>
      <w:tr w:rsidR="0077768B" w:rsidRPr="00C97934" w14:paraId="516CEFA0" w14:textId="77777777" w:rsidTr="00BA4F52">
        <w:tc>
          <w:tcPr>
            <w:tcW w:w="2497" w:type="dxa"/>
            <w:shd w:val="clear" w:color="auto" w:fill="auto"/>
            <w:vAlign w:val="center"/>
          </w:tcPr>
          <w:p w14:paraId="6CF391DB" w14:textId="402FCEC3" w:rsidR="0077768B" w:rsidRPr="00C97934" w:rsidRDefault="0077768B" w:rsidP="0077768B">
            <w:pPr>
              <w:pStyle w:val="DefaultText"/>
              <w:widowControl/>
              <w:rPr>
                <w:rStyle w:val="InitialStyle"/>
                <w:rFonts w:ascii="Arial" w:hAnsi="Arial" w:cs="Arial"/>
                <w:b/>
                <w:bCs/>
              </w:rPr>
            </w:pPr>
            <w:r>
              <w:rPr>
                <w:rStyle w:val="InitialStyle"/>
                <w:rFonts w:ascii="Arial" w:hAnsi="Arial" w:cs="Arial"/>
                <w:b/>
                <w:bCs/>
              </w:rPr>
              <w:t>NOAA</w:t>
            </w:r>
          </w:p>
        </w:tc>
        <w:tc>
          <w:tcPr>
            <w:tcW w:w="7645" w:type="dxa"/>
            <w:shd w:val="clear" w:color="auto" w:fill="auto"/>
            <w:vAlign w:val="center"/>
          </w:tcPr>
          <w:p w14:paraId="572F6CC7" w14:textId="66F935D3" w:rsidR="0077768B" w:rsidRPr="00C97934" w:rsidRDefault="0077768B" w:rsidP="0077768B">
            <w:pPr>
              <w:pStyle w:val="DefaultText"/>
              <w:widowControl/>
              <w:rPr>
                <w:rStyle w:val="InitialStyle"/>
                <w:rFonts w:ascii="Arial" w:hAnsi="Arial" w:cs="Arial"/>
                <w:bCs/>
              </w:rPr>
            </w:pPr>
            <w:r>
              <w:rPr>
                <w:rStyle w:val="InitialStyle"/>
                <w:rFonts w:ascii="Arial" w:hAnsi="Arial" w:cs="Arial"/>
                <w:bCs/>
              </w:rPr>
              <w:t xml:space="preserve">National </w:t>
            </w:r>
            <w:r>
              <w:rPr>
                <w:rFonts w:ascii="Arial" w:hAnsi="Arial" w:cs="Arial"/>
              </w:rPr>
              <w:t>Oceanic and Atmospheric Administration</w:t>
            </w:r>
          </w:p>
        </w:tc>
      </w:tr>
      <w:tr w:rsidR="0077768B" w:rsidRPr="00C97934" w14:paraId="2140ECDE" w14:textId="77777777" w:rsidTr="00BA4F52">
        <w:tc>
          <w:tcPr>
            <w:tcW w:w="2497" w:type="dxa"/>
            <w:shd w:val="clear" w:color="auto" w:fill="auto"/>
            <w:vAlign w:val="center"/>
          </w:tcPr>
          <w:p w14:paraId="1F12DC52" w14:textId="723AA162" w:rsidR="0077768B" w:rsidRPr="00C97934" w:rsidRDefault="0077768B" w:rsidP="0077768B">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319AF8A0" w14:textId="4E4E14FA" w:rsidR="0077768B" w:rsidRPr="00C97934" w:rsidRDefault="0077768B" w:rsidP="0077768B">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77768B" w:rsidRPr="00C97934" w14:paraId="6AB5F71F" w14:textId="77777777" w:rsidTr="00BA4F52">
        <w:tc>
          <w:tcPr>
            <w:tcW w:w="2497" w:type="dxa"/>
            <w:shd w:val="clear" w:color="auto" w:fill="auto"/>
            <w:vAlign w:val="center"/>
          </w:tcPr>
          <w:p w14:paraId="387DA88B" w14:textId="248795B6" w:rsidR="0077768B" w:rsidRPr="00C97934" w:rsidRDefault="0077768B" w:rsidP="0077768B">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47B7A15B" w14:textId="00872743" w:rsidR="0077768B" w:rsidRPr="00C97934" w:rsidRDefault="0077768B" w:rsidP="0077768B">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80F73C9"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FE4339">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FE4339">
        <w:rPr>
          <w:rStyle w:val="InitialStyle"/>
          <w:rFonts w:ascii="Arial" w:hAnsi="Arial" w:cs="Arial"/>
          <w:b/>
          <w:bCs/>
          <w:sz w:val="28"/>
          <w:szCs w:val="28"/>
        </w:rPr>
        <w:t>Executive Department</w:t>
      </w:r>
    </w:p>
    <w:p w14:paraId="2F4C1518" w14:textId="1482EEAB" w:rsidR="00477943" w:rsidRPr="00FE4339" w:rsidRDefault="00FE4339" w:rsidP="00D82630">
      <w:pPr>
        <w:pStyle w:val="DefaultText"/>
        <w:widowControl/>
        <w:jc w:val="center"/>
        <w:rPr>
          <w:rStyle w:val="InitialStyle"/>
          <w:rFonts w:ascii="Arial" w:hAnsi="Arial" w:cs="Arial"/>
          <w:b/>
          <w:bCs/>
          <w:sz w:val="28"/>
          <w:szCs w:val="28"/>
        </w:rPr>
      </w:pPr>
      <w:r>
        <w:rPr>
          <w:rStyle w:val="InitialStyle"/>
          <w:rFonts w:ascii="Arial" w:hAnsi="Arial" w:cs="Arial"/>
          <w:bCs/>
          <w:i/>
          <w:sz w:val="28"/>
          <w:szCs w:val="28"/>
        </w:rPr>
        <w:t>Office of the Public Advocate</w:t>
      </w:r>
    </w:p>
    <w:p w14:paraId="14D216B5" w14:textId="31066D08"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4D1167">
        <w:rPr>
          <w:rStyle w:val="InitialStyle"/>
          <w:rFonts w:ascii="Arial" w:hAnsi="Arial" w:cs="Arial"/>
          <w:b/>
          <w:bCs/>
          <w:sz w:val="28"/>
          <w:szCs w:val="28"/>
        </w:rPr>
        <w:t>#</w:t>
      </w:r>
      <w:r w:rsidRPr="004D1167">
        <w:rPr>
          <w:rStyle w:val="InitialStyle"/>
          <w:rFonts w:ascii="Arial" w:hAnsi="Arial" w:cs="Arial"/>
          <w:b/>
          <w:bCs/>
          <w:sz w:val="28"/>
          <w:szCs w:val="28"/>
        </w:rPr>
        <w:t xml:space="preserve"> </w:t>
      </w:r>
      <w:r w:rsidR="00A50BD3" w:rsidRPr="004D1167">
        <w:rPr>
          <w:rStyle w:val="InitialStyle"/>
          <w:rFonts w:ascii="Arial" w:hAnsi="Arial" w:cs="Arial"/>
          <w:b/>
          <w:bCs/>
          <w:sz w:val="28"/>
          <w:szCs w:val="28"/>
        </w:rPr>
        <w:t>202402045</w:t>
      </w:r>
    </w:p>
    <w:p w14:paraId="11BBEB8A" w14:textId="72079AF8" w:rsidR="00F7234E" w:rsidRDefault="00F7234E" w:rsidP="00F7234E">
      <w:pPr>
        <w:pStyle w:val="DefaultText"/>
        <w:widowControl/>
        <w:jc w:val="center"/>
        <w:rPr>
          <w:rStyle w:val="InitialStyle"/>
          <w:rFonts w:ascii="Arial" w:hAnsi="Arial" w:cs="Arial"/>
          <w:b/>
          <w:bCs/>
          <w:sz w:val="32"/>
          <w:szCs w:val="32"/>
        </w:rPr>
      </w:pPr>
      <w:r w:rsidRPr="00F7234E">
        <w:rPr>
          <w:rStyle w:val="InitialStyle"/>
          <w:rFonts w:ascii="Arial" w:hAnsi="Arial" w:cs="Arial"/>
          <w:b/>
          <w:bCs/>
          <w:sz w:val="32"/>
          <w:szCs w:val="32"/>
        </w:rPr>
        <w:t>Energy Burden Study</w:t>
      </w:r>
    </w:p>
    <w:p w14:paraId="4174DA8F" w14:textId="77777777" w:rsidR="00E82FB4" w:rsidRPr="00C97934" w:rsidRDefault="00E82FB4" w:rsidP="0055415F">
      <w:pPr>
        <w:pStyle w:val="DefaultText"/>
        <w:widowControl/>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7F76DCEA" w:rsidR="00095BA3" w:rsidRDefault="00E82FB4" w:rsidP="00E33B75">
      <w:pPr>
        <w:rPr>
          <w:rFonts w:ascii="Arial" w:hAnsi="Arial" w:cs="Arial"/>
          <w:sz w:val="24"/>
          <w:szCs w:val="24"/>
        </w:rPr>
      </w:pPr>
      <w:r w:rsidRPr="00F7234E">
        <w:rPr>
          <w:rFonts w:ascii="Arial" w:hAnsi="Arial" w:cs="Arial"/>
          <w:sz w:val="24"/>
          <w:szCs w:val="24"/>
        </w:rPr>
        <w:t xml:space="preserve">The </w:t>
      </w:r>
      <w:r w:rsidR="0077768B">
        <w:rPr>
          <w:rFonts w:ascii="Arial" w:hAnsi="Arial" w:cs="Arial"/>
          <w:sz w:val="24"/>
          <w:szCs w:val="24"/>
        </w:rPr>
        <w:t xml:space="preserve">Maine </w:t>
      </w:r>
      <w:r w:rsidR="001E0D77" w:rsidRPr="00F7234E">
        <w:rPr>
          <w:rFonts w:ascii="Arial" w:hAnsi="Arial" w:cs="Arial"/>
          <w:sz w:val="24"/>
          <w:szCs w:val="24"/>
        </w:rPr>
        <w:t>Office of the Public Advocate</w:t>
      </w:r>
      <w:r w:rsidR="00F360C7" w:rsidRPr="00F7234E">
        <w:rPr>
          <w:rFonts w:ascii="Arial" w:hAnsi="Arial" w:cs="Arial"/>
          <w:sz w:val="24"/>
          <w:szCs w:val="24"/>
        </w:rPr>
        <w:t xml:space="preserve"> </w:t>
      </w:r>
      <w:r w:rsidR="00AD7C80" w:rsidRPr="00F7234E">
        <w:rPr>
          <w:rFonts w:ascii="Arial" w:hAnsi="Arial" w:cs="Arial"/>
          <w:sz w:val="24"/>
          <w:szCs w:val="24"/>
        </w:rPr>
        <w:t>(Department</w:t>
      </w:r>
      <w:r w:rsidR="00A21745" w:rsidRPr="00F7234E">
        <w:rPr>
          <w:rFonts w:ascii="Arial" w:hAnsi="Arial" w:cs="Arial"/>
          <w:sz w:val="24"/>
          <w:szCs w:val="24"/>
        </w:rPr>
        <w:t xml:space="preserve">) </w:t>
      </w:r>
      <w:r w:rsidRPr="00F7234E">
        <w:rPr>
          <w:rFonts w:ascii="Arial" w:hAnsi="Arial" w:cs="Arial"/>
          <w:sz w:val="24"/>
          <w:szCs w:val="24"/>
        </w:rPr>
        <w:t xml:space="preserve">is seeking </w:t>
      </w:r>
      <w:r w:rsidR="001E0D77" w:rsidRPr="00F7234E">
        <w:rPr>
          <w:rFonts w:ascii="Arial" w:hAnsi="Arial" w:cs="Arial"/>
          <w:sz w:val="24"/>
          <w:szCs w:val="24"/>
        </w:rPr>
        <w:t>proposals for the preparation of an Energy Burden Study that will quantify the percentage of income that Maine residents pay for energy,</w:t>
      </w:r>
      <w:bookmarkStart w:id="6" w:name="_Hlk158894547"/>
      <w:r w:rsidR="001E0D77" w:rsidRPr="00F7234E">
        <w:rPr>
          <w:rFonts w:ascii="Arial" w:hAnsi="Arial" w:cs="Arial"/>
          <w:sz w:val="24"/>
          <w:szCs w:val="24"/>
        </w:rPr>
        <w:t xml:space="preserve"> including breakdowns of such information by income level, fuel type, and geographic region of the State of Maine</w:t>
      </w:r>
      <w:bookmarkEnd w:id="6"/>
      <w:r w:rsidR="001E0D77" w:rsidRPr="00F7234E">
        <w:rPr>
          <w:rFonts w:ascii="Arial" w:hAnsi="Arial" w:cs="Arial"/>
          <w:sz w:val="24"/>
          <w:szCs w:val="24"/>
        </w:rPr>
        <w:t xml:space="preserve">, </w:t>
      </w:r>
      <w:r w:rsidR="00BD7F4C" w:rsidRPr="00F7234E">
        <w:rPr>
          <w:rFonts w:ascii="Arial" w:hAnsi="Arial" w:cs="Arial"/>
          <w:sz w:val="24"/>
          <w:szCs w:val="24"/>
        </w:rPr>
        <w:t>as</w:t>
      </w:r>
      <w:r w:rsidRPr="00F7234E">
        <w:rPr>
          <w:rFonts w:ascii="Arial" w:hAnsi="Arial" w:cs="Arial"/>
          <w:sz w:val="24"/>
          <w:szCs w:val="24"/>
        </w:rPr>
        <w:t xml:space="preserve"> </w:t>
      </w:r>
      <w:r w:rsidR="00095BA3" w:rsidRPr="00F7234E">
        <w:rPr>
          <w:rFonts w:ascii="Arial" w:hAnsi="Arial" w:cs="Arial"/>
          <w:sz w:val="24"/>
          <w:szCs w:val="24"/>
        </w:rPr>
        <w:t>defined in this Request for Proposal (RFP)</w:t>
      </w:r>
      <w:r w:rsidR="00DB2372" w:rsidRPr="00F7234E">
        <w:rPr>
          <w:rFonts w:ascii="Arial" w:hAnsi="Arial" w:cs="Arial"/>
          <w:sz w:val="24"/>
          <w:szCs w:val="24"/>
        </w:rPr>
        <w:t xml:space="preserve"> document</w:t>
      </w:r>
      <w:r w:rsidR="00095BA3" w:rsidRPr="00F7234E">
        <w:rPr>
          <w:rFonts w:ascii="Arial" w:hAnsi="Arial" w:cs="Arial"/>
          <w:sz w:val="24"/>
          <w:szCs w:val="24"/>
        </w:rPr>
        <w:t xml:space="preserve">. </w:t>
      </w:r>
      <w:r w:rsidR="00A71C3E">
        <w:rPr>
          <w:rFonts w:ascii="Arial" w:hAnsi="Arial" w:cs="Arial"/>
          <w:sz w:val="24"/>
          <w:szCs w:val="24"/>
        </w:rPr>
        <w:t xml:space="preserve">(For reference see the </w:t>
      </w:r>
      <w:hyperlink r:id="rId15" w:history="1">
        <w:r w:rsidR="00C1559F" w:rsidRPr="00A71C3E">
          <w:rPr>
            <w:rStyle w:val="Hyperlink"/>
            <w:rFonts w:ascii="Arial" w:hAnsi="Arial" w:cs="Arial"/>
            <w:sz w:val="24"/>
            <w:szCs w:val="24"/>
          </w:rPr>
          <w:t xml:space="preserve">2019 </w:t>
        </w:r>
        <w:r w:rsidR="00961C40" w:rsidRPr="00A71C3E">
          <w:rPr>
            <w:rStyle w:val="Hyperlink"/>
            <w:rFonts w:ascii="Arial" w:hAnsi="Arial" w:cs="Arial"/>
            <w:sz w:val="24"/>
            <w:szCs w:val="24"/>
          </w:rPr>
          <w:t xml:space="preserve">Maine </w:t>
        </w:r>
        <w:r w:rsidR="00C1559F" w:rsidRPr="00A71C3E">
          <w:rPr>
            <w:rStyle w:val="Hyperlink"/>
            <w:rFonts w:ascii="Arial" w:hAnsi="Arial" w:cs="Arial"/>
            <w:sz w:val="24"/>
            <w:szCs w:val="24"/>
          </w:rPr>
          <w:t xml:space="preserve">Low-Income </w:t>
        </w:r>
        <w:r w:rsidR="00961C40" w:rsidRPr="00A71C3E">
          <w:rPr>
            <w:rStyle w:val="Hyperlink"/>
            <w:rFonts w:ascii="Arial" w:hAnsi="Arial" w:cs="Arial"/>
            <w:sz w:val="24"/>
            <w:szCs w:val="24"/>
          </w:rPr>
          <w:t xml:space="preserve">Home </w:t>
        </w:r>
        <w:r w:rsidR="00C1559F" w:rsidRPr="00A71C3E">
          <w:rPr>
            <w:rStyle w:val="Hyperlink"/>
            <w:rFonts w:ascii="Arial" w:hAnsi="Arial" w:cs="Arial"/>
            <w:sz w:val="24"/>
            <w:szCs w:val="24"/>
          </w:rPr>
          <w:t>Energy Study</w:t>
        </w:r>
      </w:hyperlink>
      <w:r w:rsidR="00A71C3E">
        <w:rPr>
          <w:rFonts w:ascii="Arial" w:hAnsi="Arial" w:cs="Arial"/>
          <w:sz w:val="24"/>
          <w:szCs w:val="24"/>
        </w:rPr>
        <w:t>.)</w:t>
      </w:r>
      <w:r w:rsidR="00735C0A" w:rsidRPr="00F7234E">
        <w:rPr>
          <w:rFonts w:ascii="Arial" w:hAnsi="Arial" w:cs="Arial"/>
          <w:sz w:val="24"/>
          <w:szCs w:val="24"/>
        </w:rPr>
        <w:t xml:space="preserve"> </w:t>
      </w:r>
      <w:r w:rsidR="00803A50">
        <w:rPr>
          <w:rFonts w:ascii="Arial" w:hAnsi="Arial" w:cs="Arial"/>
          <w:sz w:val="24"/>
          <w:szCs w:val="24"/>
        </w:rPr>
        <w:t>T</w:t>
      </w:r>
      <w:r w:rsidR="00D749B8">
        <w:rPr>
          <w:rFonts w:ascii="Arial" w:hAnsi="Arial" w:cs="Arial"/>
          <w:sz w:val="24"/>
          <w:szCs w:val="24"/>
        </w:rPr>
        <w:t xml:space="preserve">his Study is undertaken in </w:t>
      </w:r>
      <w:r w:rsidR="006C165E">
        <w:rPr>
          <w:rFonts w:ascii="Arial" w:hAnsi="Arial" w:cs="Arial"/>
          <w:sz w:val="24"/>
          <w:szCs w:val="24"/>
        </w:rPr>
        <w:t xml:space="preserve">the </w:t>
      </w:r>
      <w:r w:rsidR="00F620A4">
        <w:rPr>
          <w:rFonts w:ascii="Arial" w:hAnsi="Arial" w:cs="Arial"/>
          <w:sz w:val="24"/>
          <w:szCs w:val="24"/>
        </w:rPr>
        <w:t>context of benef</w:t>
      </w:r>
      <w:r w:rsidR="00212CC6">
        <w:rPr>
          <w:rFonts w:ascii="Arial" w:hAnsi="Arial" w:cs="Arial"/>
          <w:sz w:val="24"/>
          <w:szCs w:val="24"/>
        </w:rPr>
        <w:t xml:space="preserve">icial electrification, and </w:t>
      </w:r>
      <w:r w:rsidR="001B4C18">
        <w:rPr>
          <w:rFonts w:ascii="Arial" w:hAnsi="Arial" w:cs="Arial"/>
          <w:sz w:val="24"/>
          <w:szCs w:val="24"/>
        </w:rPr>
        <w:t xml:space="preserve">in part addresses the </w:t>
      </w:r>
      <w:r w:rsidR="00212CC6">
        <w:rPr>
          <w:rFonts w:ascii="Arial" w:hAnsi="Arial" w:cs="Arial"/>
          <w:sz w:val="24"/>
          <w:szCs w:val="24"/>
        </w:rPr>
        <w:t>effects</w:t>
      </w:r>
      <w:r w:rsidR="00D1367F">
        <w:rPr>
          <w:rFonts w:ascii="Arial" w:hAnsi="Arial" w:cs="Arial"/>
          <w:sz w:val="24"/>
          <w:szCs w:val="24"/>
        </w:rPr>
        <w:t xml:space="preserve"> on </w:t>
      </w:r>
      <w:r w:rsidR="006822E8">
        <w:rPr>
          <w:rFonts w:ascii="Arial" w:hAnsi="Arial" w:cs="Arial"/>
          <w:sz w:val="24"/>
          <w:szCs w:val="24"/>
        </w:rPr>
        <w:t xml:space="preserve">changes in </w:t>
      </w:r>
      <w:r w:rsidR="00D1367F">
        <w:rPr>
          <w:rFonts w:ascii="Arial" w:hAnsi="Arial" w:cs="Arial"/>
          <w:sz w:val="24"/>
          <w:szCs w:val="24"/>
        </w:rPr>
        <w:t>home heating and transportation</w:t>
      </w:r>
      <w:r w:rsidR="008E6452">
        <w:rPr>
          <w:rFonts w:ascii="Arial" w:hAnsi="Arial" w:cs="Arial"/>
          <w:sz w:val="24"/>
          <w:szCs w:val="24"/>
        </w:rPr>
        <w:t xml:space="preserve"> impact</w:t>
      </w:r>
      <w:r w:rsidR="00FE2E1C">
        <w:rPr>
          <w:rFonts w:ascii="Arial" w:hAnsi="Arial" w:cs="Arial"/>
          <w:sz w:val="24"/>
          <w:szCs w:val="24"/>
        </w:rPr>
        <w:t>ing</w:t>
      </w:r>
      <w:r w:rsidR="008E6452">
        <w:rPr>
          <w:rFonts w:ascii="Arial" w:hAnsi="Arial" w:cs="Arial"/>
          <w:sz w:val="24"/>
          <w:szCs w:val="24"/>
        </w:rPr>
        <w:t xml:space="preserve"> Mainer’s </w:t>
      </w:r>
      <w:r w:rsidR="00E0179D">
        <w:rPr>
          <w:rFonts w:ascii="Arial" w:hAnsi="Arial" w:cs="Arial"/>
          <w:sz w:val="24"/>
          <w:szCs w:val="24"/>
        </w:rPr>
        <w:t>energy budget</w:t>
      </w:r>
      <w:r w:rsidR="00D1367F">
        <w:rPr>
          <w:rFonts w:ascii="Arial" w:hAnsi="Arial" w:cs="Arial"/>
          <w:sz w:val="24"/>
          <w:szCs w:val="24"/>
        </w:rPr>
        <w:t>.</w:t>
      </w:r>
      <w:r w:rsidR="00FE2E1C">
        <w:rPr>
          <w:rFonts w:ascii="Arial" w:hAnsi="Arial" w:cs="Arial"/>
          <w:sz w:val="24"/>
          <w:szCs w:val="24"/>
        </w:rPr>
        <w:t xml:space="preserve"> </w:t>
      </w:r>
      <w:r w:rsidRPr="00F7234E">
        <w:rPr>
          <w:rFonts w:ascii="Arial" w:hAnsi="Arial" w:cs="Arial"/>
          <w:sz w:val="24"/>
          <w:szCs w:val="24"/>
        </w:rPr>
        <w:t xml:space="preserve">This document </w:t>
      </w:r>
      <w:r w:rsidR="00BD7F4C" w:rsidRPr="00F7234E">
        <w:rPr>
          <w:rFonts w:ascii="Arial" w:hAnsi="Arial" w:cs="Arial"/>
          <w:sz w:val="24"/>
          <w:szCs w:val="24"/>
        </w:rPr>
        <w:t xml:space="preserve">provides </w:t>
      </w:r>
      <w:r w:rsidRPr="00F7234E">
        <w:rPr>
          <w:rFonts w:ascii="Arial" w:hAnsi="Arial" w:cs="Arial"/>
          <w:sz w:val="24"/>
          <w:szCs w:val="24"/>
        </w:rPr>
        <w:t>instructions for subm</w:t>
      </w:r>
      <w:r w:rsidR="00BD7F4C" w:rsidRPr="00F7234E">
        <w:rPr>
          <w:rFonts w:ascii="Arial" w:hAnsi="Arial" w:cs="Arial"/>
          <w:sz w:val="24"/>
          <w:szCs w:val="24"/>
        </w:rPr>
        <w:t>itting proposals, the procedure</w:t>
      </w:r>
      <w:r w:rsidR="00B07F9F">
        <w:rPr>
          <w:rFonts w:ascii="Arial" w:hAnsi="Arial" w:cs="Arial"/>
          <w:sz w:val="24"/>
          <w:szCs w:val="24"/>
        </w:rPr>
        <w:t>,</w:t>
      </w:r>
      <w:r w:rsidR="00BD7F4C" w:rsidRPr="00F7234E">
        <w:rPr>
          <w:rFonts w:ascii="Arial" w:hAnsi="Arial" w:cs="Arial"/>
          <w:sz w:val="24"/>
          <w:szCs w:val="24"/>
        </w:rPr>
        <w:t xml:space="preserve"> and criteria by which the </w:t>
      </w:r>
      <w:r w:rsidR="001435F6" w:rsidRPr="00F7234E">
        <w:rPr>
          <w:rFonts w:ascii="Arial" w:hAnsi="Arial" w:cs="Arial"/>
          <w:sz w:val="24"/>
          <w:szCs w:val="24"/>
        </w:rPr>
        <w:t>awarded Bidder</w:t>
      </w:r>
      <w:r w:rsidR="00BD7F4C" w:rsidRPr="00F7234E">
        <w:rPr>
          <w:rFonts w:ascii="Arial" w:hAnsi="Arial" w:cs="Arial"/>
          <w:sz w:val="24"/>
          <w:szCs w:val="24"/>
        </w:rPr>
        <w:t xml:space="preserve"> will be selected</w:t>
      </w:r>
      <w:r w:rsidR="002B4FD5" w:rsidRPr="00F7234E">
        <w:rPr>
          <w:rFonts w:ascii="Arial" w:hAnsi="Arial" w:cs="Arial"/>
          <w:sz w:val="24"/>
          <w:szCs w:val="24"/>
        </w:rPr>
        <w:t>,</w:t>
      </w:r>
      <w:r w:rsidR="00BD7F4C" w:rsidRPr="00F7234E">
        <w:rPr>
          <w:rFonts w:ascii="Arial" w:hAnsi="Arial" w:cs="Arial"/>
          <w:sz w:val="24"/>
          <w:szCs w:val="24"/>
        </w:rPr>
        <w:t xml:space="preserve"> and the contractual terms which </w:t>
      </w:r>
      <w:r w:rsidR="00BD7F4C" w:rsidRPr="00C97934">
        <w:rPr>
          <w:rFonts w:ascii="Arial" w:hAnsi="Arial" w:cs="Arial"/>
          <w:sz w:val="24"/>
          <w:szCs w:val="24"/>
        </w:rPr>
        <w:t>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13E0E239" w14:textId="03EDE02A" w:rsidR="00A8350B" w:rsidRPr="00331B44" w:rsidRDefault="00A8350B" w:rsidP="00E33B75">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bookmarkEnd w:id="7"/>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42172A8A" w:rsidR="007557FA"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DC7DB0F" w14:textId="77777777" w:rsidR="00F7234E" w:rsidRPr="00C97934" w:rsidRDefault="00F7234E" w:rsidP="00F7234E">
      <w:pPr>
        <w:pStyle w:val="ListParagraph"/>
        <w:rPr>
          <w:rFonts w:ascii="Arial" w:hAnsi="Arial" w:cs="Arial"/>
          <w:sz w:val="24"/>
          <w:szCs w:val="24"/>
        </w:rPr>
      </w:pP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FC5D54C"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F7234E">
        <w:rPr>
          <w:rFonts w:ascii="Arial" w:hAnsi="Arial" w:cs="Arial"/>
          <w:sz w:val="24"/>
          <w:szCs w:val="24"/>
        </w:rPr>
        <w:t xml:space="preserve">for </w:t>
      </w:r>
      <w:r w:rsidR="001E0D77" w:rsidRPr="00F7234E">
        <w:rPr>
          <w:rFonts w:ascii="Arial" w:hAnsi="Arial" w:cs="Arial"/>
          <w:sz w:val="24"/>
          <w:szCs w:val="24"/>
        </w:rPr>
        <w:t>two</w:t>
      </w:r>
      <w:r w:rsidRPr="00F7234E">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0511582B" w:rsidR="00F53B75" w:rsidRPr="00F7234E" w:rsidRDefault="00F7234E" w:rsidP="00583A7B">
            <w:pPr>
              <w:jc w:val="center"/>
              <w:rPr>
                <w:rFonts w:ascii="Arial" w:hAnsi="Arial" w:cs="Arial"/>
                <w:sz w:val="24"/>
                <w:szCs w:val="24"/>
              </w:rPr>
            </w:pPr>
            <w:r w:rsidRPr="00F7234E">
              <w:rPr>
                <w:rFonts w:ascii="Arial" w:hAnsi="Arial" w:cs="Arial"/>
                <w:sz w:val="24"/>
                <w:szCs w:val="24"/>
              </w:rPr>
              <w:t xml:space="preserve">April </w:t>
            </w:r>
            <w:r w:rsidR="008B54B1">
              <w:rPr>
                <w:rFonts w:ascii="Arial" w:hAnsi="Arial" w:cs="Arial"/>
                <w:sz w:val="24"/>
                <w:szCs w:val="24"/>
              </w:rPr>
              <w:t>8</w:t>
            </w:r>
            <w:r w:rsidR="001E0D77" w:rsidRPr="00F7234E">
              <w:rPr>
                <w:rFonts w:ascii="Arial" w:hAnsi="Arial" w:cs="Arial"/>
                <w:sz w:val="24"/>
                <w:szCs w:val="24"/>
              </w:rPr>
              <w:t>, 2024</w:t>
            </w:r>
          </w:p>
        </w:tc>
        <w:tc>
          <w:tcPr>
            <w:tcW w:w="2520" w:type="dxa"/>
            <w:tcBorders>
              <w:top w:val="double" w:sz="4" w:space="0" w:color="auto"/>
            </w:tcBorders>
            <w:shd w:val="clear" w:color="auto" w:fill="auto"/>
          </w:tcPr>
          <w:p w14:paraId="6B06294F" w14:textId="7CDFC25D" w:rsidR="00F53B75" w:rsidRPr="00F7234E" w:rsidRDefault="001E0D77" w:rsidP="00583A7B">
            <w:pPr>
              <w:jc w:val="center"/>
              <w:rPr>
                <w:rFonts w:ascii="Arial" w:hAnsi="Arial" w:cs="Arial"/>
                <w:sz w:val="24"/>
                <w:szCs w:val="24"/>
              </w:rPr>
            </w:pPr>
            <w:r w:rsidRPr="00F7234E">
              <w:rPr>
                <w:rFonts w:ascii="Arial" w:hAnsi="Arial" w:cs="Arial"/>
                <w:sz w:val="24"/>
                <w:szCs w:val="24"/>
              </w:rPr>
              <w:t>March 3</w:t>
            </w:r>
            <w:r w:rsidR="00F7234E" w:rsidRPr="00F7234E">
              <w:rPr>
                <w:rFonts w:ascii="Arial" w:hAnsi="Arial" w:cs="Arial"/>
                <w:sz w:val="24"/>
                <w:szCs w:val="24"/>
              </w:rPr>
              <w:t>1</w:t>
            </w:r>
            <w:r w:rsidRPr="00F7234E">
              <w:rPr>
                <w:rFonts w:ascii="Arial" w:hAnsi="Arial" w:cs="Arial"/>
                <w:sz w:val="24"/>
                <w:szCs w:val="24"/>
              </w:rPr>
              <w:t>,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13AD63D0" w:rsidR="00F53B75" w:rsidRPr="00F7234E" w:rsidRDefault="001E0D77" w:rsidP="00583A7B">
            <w:pPr>
              <w:jc w:val="center"/>
              <w:rPr>
                <w:rFonts w:ascii="Arial" w:hAnsi="Arial" w:cs="Arial"/>
                <w:sz w:val="24"/>
                <w:szCs w:val="24"/>
              </w:rPr>
            </w:pPr>
            <w:r w:rsidRPr="00F7234E">
              <w:rPr>
                <w:rFonts w:ascii="Arial" w:hAnsi="Arial" w:cs="Arial"/>
                <w:sz w:val="24"/>
                <w:szCs w:val="24"/>
              </w:rPr>
              <w:t>April 1, 2026</w:t>
            </w:r>
          </w:p>
        </w:tc>
        <w:tc>
          <w:tcPr>
            <w:tcW w:w="2520" w:type="dxa"/>
            <w:shd w:val="clear" w:color="auto" w:fill="auto"/>
          </w:tcPr>
          <w:p w14:paraId="58F074BA" w14:textId="6D39D948" w:rsidR="00F53B75" w:rsidRPr="00F7234E" w:rsidRDefault="001E0D77" w:rsidP="00583A7B">
            <w:pPr>
              <w:jc w:val="center"/>
              <w:rPr>
                <w:rFonts w:ascii="Arial" w:hAnsi="Arial" w:cs="Arial"/>
                <w:sz w:val="24"/>
                <w:szCs w:val="24"/>
              </w:rPr>
            </w:pPr>
            <w:r w:rsidRPr="00F7234E">
              <w:rPr>
                <w:rFonts w:ascii="Arial" w:hAnsi="Arial" w:cs="Arial"/>
                <w:sz w:val="24"/>
                <w:szCs w:val="24"/>
              </w:rPr>
              <w:t>March 3</w:t>
            </w:r>
            <w:r w:rsidR="00F7234E" w:rsidRPr="00F7234E">
              <w:rPr>
                <w:rFonts w:ascii="Arial" w:hAnsi="Arial" w:cs="Arial"/>
                <w:sz w:val="24"/>
                <w:szCs w:val="24"/>
              </w:rPr>
              <w:t>1</w:t>
            </w:r>
            <w:r w:rsidRPr="00F7234E">
              <w:rPr>
                <w:rFonts w:ascii="Arial" w:hAnsi="Arial" w:cs="Arial"/>
                <w:sz w:val="24"/>
                <w:szCs w:val="24"/>
              </w:rPr>
              <w:t>, 2027</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7BA707F6" w:rsidR="00F53B75" w:rsidRPr="00F7234E" w:rsidRDefault="001E0D77" w:rsidP="00583A7B">
            <w:pPr>
              <w:jc w:val="center"/>
              <w:rPr>
                <w:rFonts w:ascii="Arial" w:hAnsi="Arial" w:cs="Arial"/>
                <w:sz w:val="24"/>
                <w:szCs w:val="24"/>
              </w:rPr>
            </w:pPr>
            <w:r w:rsidRPr="00F7234E">
              <w:rPr>
                <w:rFonts w:ascii="Arial" w:hAnsi="Arial" w:cs="Arial"/>
                <w:sz w:val="24"/>
                <w:szCs w:val="24"/>
              </w:rPr>
              <w:t>April 1, 2027</w:t>
            </w:r>
          </w:p>
        </w:tc>
        <w:tc>
          <w:tcPr>
            <w:tcW w:w="2520" w:type="dxa"/>
            <w:shd w:val="clear" w:color="auto" w:fill="auto"/>
          </w:tcPr>
          <w:p w14:paraId="1E846468" w14:textId="56841EF6" w:rsidR="00F53B75" w:rsidRPr="00F7234E" w:rsidRDefault="001E0D77" w:rsidP="00583A7B">
            <w:pPr>
              <w:jc w:val="center"/>
              <w:rPr>
                <w:rFonts w:ascii="Arial" w:hAnsi="Arial" w:cs="Arial"/>
                <w:sz w:val="24"/>
                <w:szCs w:val="24"/>
              </w:rPr>
            </w:pPr>
            <w:r w:rsidRPr="00F7234E">
              <w:rPr>
                <w:rFonts w:ascii="Arial" w:hAnsi="Arial" w:cs="Arial"/>
                <w:sz w:val="24"/>
                <w:szCs w:val="24"/>
              </w:rPr>
              <w:t>March 3</w:t>
            </w:r>
            <w:r w:rsidR="00F7234E" w:rsidRPr="00F7234E">
              <w:rPr>
                <w:rFonts w:ascii="Arial" w:hAnsi="Arial" w:cs="Arial"/>
                <w:sz w:val="24"/>
                <w:szCs w:val="24"/>
              </w:rPr>
              <w:t>1</w:t>
            </w:r>
            <w:r w:rsidRPr="00F7234E">
              <w:rPr>
                <w:rFonts w:ascii="Arial" w:hAnsi="Arial" w:cs="Arial"/>
                <w:sz w:val="24"/>
                <w:szCs w:val="24"/>
              </w:rPr>
              <w:t>, 2028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5037D74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F7234E">
        <w:rPr>
          <w:rFonts w:ascii="Arial" w:hAnsi="Arial" w:cs="Arial"/>
          <w:sz w:val="24"/>
          <w:szCs w:val="24"/>
        </w:rPr>
        <w:t xml:space="preserve">making </w:t>
      </w:r>
      <w:r w:rsidR="001E0D77" w:rsidRPr="00F7234E">
        <w:rPr>
          <w:rFonts w:ascii="Arial" w:hAnsi="Arial" w:cs="Arial"/>
          <w:sz w:val="24"/>
          <w:szCs w:val="24"/>
        </w:rPr>
        <w:t>one</w:t>
      </w:r>
      <w:r w:rsidR="001D4DBB">
        <w:rPr>
          <w:rFonts w:ascii="Arial" w:hAnsi="Arial" w:cs="Arial"/>
          <w:sz w:val="24"/>
          <w:szCs w:val="24"/>
        </w:rPr>
        <w:t xml:space="preserve"> (1)</w:t>
      </w:r>
      <w:r w:rsidRPr="00F7234E">
        <w:rPr>
          <w:rFonts w:ascii="Arial" w:hAnsi="Arial" w:cs="Arial"/>
          <w:sz w:val="24"/>
          <w:szCs w:val="24"/>
        </w:rPr>
        <w:t xml:space="preserve"> award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53B7C6A7" w14:textId="77777777" w:rsidR="00F7234E"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p>
    <w:p w14:paraId="39F71EC3" w14:textId="77777777" w:rsidR="00F7234E" w:rsidRDefault="00F7234E" w:rsidP="004F0520">
      <w:pPr>
        <w:rPr>
          <w:rFonts w:ascii="Arial" w:hAnsi="Arial" w:cs="Arial"/>
          <w:b/>
          <w:sz w:val="24"/>
          <w:szCs w:val="24"/>
        </w:rPr>
      </w:pPr>
    </w:p>
    <w:p w14:paraId="0FC58FFA" w14:textId="52FFB4B9" w:rsidR="00E82FB4" w:rsidRPr="00F7234E" w:rsidRDefault="00F7234E" w:rsidP="00F7234E">
      <w:pPr>
        <w:pStyle w:val="ListParagraph"/>
        <w:numPr>
          <w:ilvl w:val="0"/>
          <w:numId w:val="25"/>
        </w:numPr>
        <w:rPr>
          <w:rFonts w:ascii="Arial" w:hAnsi="Arial" w:cs="Arial"/>
          <w:b/>
          <w:sz w:val="24"/>
          <w:szCs w:val="24"/>
        </w:rPr>
      </w:pPr>
      <w:r>
        <w:rPr>
          <w:rFonts w:ascii="Arial" w:hAnsi="Arial" w:cs="Arial"/>
          <w:b/>
          <w:sz w:val="24"/>
          <w:szCs w:val="24"/>
        </w:rPr>
        <w:t>DESCRIPTION OF RESPONSIBILITIES.</w:t>
      </w:r>
      <w:r>
        <w:rPr>
          <w:rFonts w:ascii="Arial" w:hAnsi="Arial" w:cs="Arial"/>
          <w:bCs/>
          <w:sz w:val="24"/>
          <w:szCs w:val="24"/>
        </w:rPr>
        <w:t xml:space="preserve">  The consultant</w:t>
      </w:r>
      <w:r w:rsidR="007B1E5A">
        <w:rPr>
          <w:rFonts w:ascii="Arial" w:hAnsi="Arial" w:cs="Arial"/>
          <w:bCs/>
          <w:sz w:val="24"/>
          <w:szCs w:val="24"/>
        </w:rPr>
        <w:t>(s)</w:t>
      </w:r>
      <w:r>
        <w:rPr>
          <w:rFonts w:ascii="Arial" w:hAnsi="Arial" w:cs="Arial"/>
          <w:bCs/>
          <w:sz w:val="24"/>
          <w:szCs w:val="24"/>
        </w:rPr>
        <w:t xml:space="preserve"> will perform the following tasks as directed by and with input fr</w:t>
      </w:r>
      <w:r w:rsidR="007B1E5A">
        <w:rPr>
          <w:rFonts w:ascii="Arial" w:hAnsi="Arial" w:cs="Arial"/>
          <w:bCs/>
          <w:sz w:val="24"/>
          <w:szCs w:val="24"/>
        </w:rPr>
        <w:t>o</w:t>
      </w:r>
      <w:r>
        <w:rPr>
          <w:rFonts w:ascii="Arial" w:hAnsi="Arial" w:cs="Arial"/>
          <w:bCs/>
          <w:sz w:val="24"/>
          <w:szCs w:val="24"/>
        </w:rPr>
        <w:t xml:space="preserve">m the Department with respect to </w:t>
      </w:r>
      <w:r w:rsidR="007B1E5A">
        <w:rPr>
          <w:rFonts w:ascii="Arial" w:hAnsi="Arial" w:cs="Arial"/>
          <w:bCs/>
          <w:sz w:val="24"/>
          <w:szCs w:val="24"/>
        </w:rPr>
        <w:t>the final report for which they have been selected to provide services:</w:t>
      </w:r>
      <w:r w:rsidR="00E82FB4" w:rsidRPr="00F7234E">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5F60D206" w14:textId="0091C96C" w:rsidR="00511540" w:rsidRDefault="00DD100B" w:rsidP="00511540">
      <w:pPr>
        <w:pStyle w:val="ListParagraph"/>
        <w:numPr>
          <w:ilvl w:val="1"/>
          <w:numId w:val="25"/>
        </w:numPr>
        <w:rPr>
          <w:rFonts w:ascii="Arial" w:hAnsi="Arial" w:cs="Arial"/>
          <w:sz w:val="24"/>
          <w:szCs w:val="24"/>
        </w:rPr>
      </w:pPr>
      <w:r>
        <w:rPr>
          <w:rFonts w:ascii="Arial" w:hAnsi="Arial" w:cs="Arial"/>
          <w:sz w:val="24"/>
          <w:szCs w:val="24"/>
        </w:rPr>
        <w:t xml:space="preserve">The successful bidder will prepare a report that provides a comprehensive picture of the energy burden in the form of a clearly written and reader-friendly report.  This will include identifying the percentage of annual household income </w:t>
      </w:r>
      <w:r w:rsidRPr="008B54B1">
        <w:rPr>
          <w:rFonts w:ascii="Arial" w:hAnsi="Arial" w:cs="Arial"/>
          <w:sz w:val="24"/>
          <w:szCs w:val="24"/>
        </w:rPr>
        <w:t xml:space="preserve">spent </w:t>
      </w:r>
      <w:r w:rsidR="00FE2E1C" w:rsidRPr="008B54B1">
        <w:rPr>
          <w:rFonts w:ascii="Arial" w:hAnsi="Arial" w:cs="Arial"/>
          <w:sz w:val="24"/>
          <w:szCs w:val="24"/>
        </w:rPr>
        <w:t>(</w:t>
      </w:r>
      <w:r w:rsidR="0024359E" w:rsidRPr="008B54B1">
        <w:rPr>
          <w:rFonts w:ascii="Arial" w:hAnsi="Arial" w:cs="Arial"/>
          <w:sz w:val="24"/>
          <w:szCs w:val="24"/>
        </w:rPr>
        <w:t>in the most recent year for which data is available</w:t>
      </w:r>
      <w:r w:rsidR="00FE2E1C" w:rsidRPr="008B54B1">
        <w:rPr>
          <w:rFonts w:ascii="Arial" w:hAnsi="Arial" w:cs="Arial"/>
          <w:sz w:val="24"/>
          <w:szCs w:val="24"/>
        </w:rPr>
        <w:t>)</w:t>
      </w:r>
      <w:r w:rsidR="0024359E" w:rsidRPr="008B54B1">
        <w:rPr>
          <w:rFonts w:ascii="Arial" w:hAnsi="Arial" w:cs="Arial"/>
          <w:sz w:val="24"/>
          <w:szCs w:val="24"/>
        </w:rPr>
        <w:t xml:space="preserve"> </w:t>
      </w:r>
      <w:r w:rsidRPr="008B54B1">
        <w:rPr>
          <w:rFonts w:ascii="Arial" w:hAnsi="Arial" w:cs="Arial"/>
          <w:sz w:val="24"/>
          <w:szCs w:val="24"/>
        </w:rPr>
        <w:t>on all fuel types and energy uses, including transportation, space and water heating, cooling, lighting, appliances, and other plug loads.</w:t>
      </w:r>
    </w:p>
    <w:p w14:paraId="22466746" w14:textId="7AD23C56" w:rsidR="000A1AF3" w:rsidRDefault="000A1AF3" w:rsidP="00511540">
      <w:pPr>
        <w:pStyle w:val="ListParagraph"/>
        <w:numPr>
          <w:ilvl w:val="1"/>
          <w:numId w:val="25"/>
        </w:numPr>
        <w:rPr>
          <w:rFonts w:ascii="Arial" w:hAnsi="Arial" w:cs="Arial"/>
          <w:sz w:val="24"/>
          <w:szCs w:val="24"/>
        </w:rPr>
      </w:pPr>
      <w:r>
        <w:rPr>
          <w:rFonts w:ascii="Arial" w:hAnsi="Arial" w:cs="Arial"/>
          <w:sz w:val="24"/>
          <w:szCs w:val="24"/>
        </w:rPr>
        <w:t xml:space="preserve">The </w:t>
      </w:r>
      <w:r w:rsidR="00690D13">
        <w:rPr>
          <w:rFonts w:ascii="Arial" w:hAnsi="Arial" w:cs="Arial"/>
          <w:sz w:val="24"/>
          <w:szCs w:val="24"/>
        </w:rPr>
        <w:t xml:space="preserve">successful bidder will </w:t>
      </w:r>
      <w:r w:rsidR="00690D13" w:rsidRPr="00690D13">
        <w:rPr>
          <w:rFonts w:ascii="Arial" w:hAnsi="Arial" w:cs="Arial"/>
          <w:sz w:val="24"/>
          <w:szCs w:val="24"/>
        </w:rPr>
        <w:t>includ</w:t>
      </w:r>
      <w:r w:rsidR="000C5283">
        <w:rPr>
          <w:rFonts w:ascii="Arial" w:hAnsi="Arial" w:cs="Arial"/>
          <w:sz w:val="24"/>
          <w:szCs w:val="24"/>
        </w:rPr>
        <w:t>e</w:t>
      </w:r>
      <w:r w:rsidR="00690D13" w:rsidRPr="00690D13">
        <w:rPr>
          <w:rFonts w:ascii="Arial" w:hAnsi="Arial" w:cs="Arial"/>
          <w:sz w:val="24"/>
          <w:szCs w:val="24"/>
        </w:rPr>
        <w:t xml:space="preserve"> breakdowns of such information by income level</w:t>
      </w:r>
      <w:r w:rsidR="006D0823">
        <w:rPr>
          <w:rFonts w:ascii="Arial" w:hAnsi="Arial" w:cs="Arial"/>
          <w:sz w:val="24"/>
          <w:szCs w:val="24"/>
        </w:rPr>
        <w:t xml:space="preserve"> (</w:t>
      </w:r>
      <w:r w:rsidR="00BF121F">
        <w:rPr>
          <w:rFonts w:ascii="Arial" w:hAnsi="Arial" w:cs="Arial"/>
          <w:sz w:val="24"/>
          <w:szCs w:val="24"/>
        </w:rPr>
        <w:t xml:space="preserve">actual and relative to </w:t>
      </w:r>
      <w:r w:rsidR="009F4E0E">
        <w:rPr>
          <w:rFonts w:ascii="Arial" w:hAnsi="Arial" w:cs="Arial"/>
          <w:sz w:val="24"/>
          <w:szCs w:val="24"/>
        </w:rPr>
        <w:t>the Federal Poverty Guidelines)</w:t>
      </w:r>
      <w:r w:rsidR="00690D13" w:rsidRPr="00690D13">
        <w:rPr>
          <w:rFonts w:ascii="Arial" w:hAnsi="Arial" w:cs="Arial"/>
          <w:sz w:val="24"/>
          <w:szCs w:val="24"/>
        </w:rPr>
        <w:t>, fuel type, and geographic region of the State of Maine</w:t>
      </w:r>
      <w:r w:rsidR="001E0C9E">
        <w:rPr>
          <w:rFonts w:ascii="Arial" w:hAnsi="Arial" w:cs="Arial"/>
          <w:sz w:val="24"/>
          <w:szCs w:val="24"/>
        </w:rPr>
        <w:t xml:space="preserve">, and </w:t>
      </w:r>
      <w:r w:rsidR="00730BF2">
        <w:rPr>
          <w:rFonts w:ascii="Arial" w:hAnsi="Arial" w:cs="Arial"/>
          <w:sz w:val="24"/>
          <w:szCs w:val="24"/>
        </w:rPr>
        <w:t xml:space="preserve">where possible </w:t>
      </w:r>
      <w:r w:rsidR="00AF738C">
        <w:rPr>
          <w:rFonts w:ascii="Arial" w:hAnsi="Arial" w:cs="Arial"/>
          <w:sz w:val="24"/>
          <w:szCs w:val="24"/>
        </w:rPr>
        <w:t>by demographic measu</w:t>
      </w:r>
      <w:r w:rsidR="005318C5">
        <w:rPr>
          <w:rFonts w:ascii="Arial" w:hAnsi="Arial" w:cs="Arial"/>
          <w:sz w:val="24"/>
          <w:szCs w:val="24"/>
        </w:rPr>
        <w:t xml:space="preserve">res such as household size and whether </w:t>
      </w:r>
      <w:r w:rsidR="000C5283">
        <w:rPr>
          <w:rFonts w:ascii="Arial" w:hAnsi="Arial" w:cs="Arial"/>
          <w:sz w:val="24"/>
          <w:szCs w:val="24"/>
        </w:rPr>
        <w:t>customers are owners or renters.</w:t>
      </w:r>
    </w:p>
    <w:p w14:paraId="4EAD90B1" w14:textId="0D44CE75" w:rsidR="00C50274" w:rsidRDefault="00C50274" w:rsidP="00511540">
      <w:pPr>
        <w:pStyle w:val="ListParagraph"/>
        <w:numPr>
          <w:ilvl w:val="1"/>
          <w:numId w:val="25"/>
        </w:numPr>
        <w:rPr>
          <w:rFonts w:ascii="Arial" w:hAnsi="Arial" w:cs="Arial"/>
          <w:sz w:val="24"/>
          <w:szCs w:val="24"/>
        </w:rPr>
      </w:pPr>
      <w:r>
        <w:rPr>
          <w:rFonts w:ascii="Arial" w:hAnsi="Arial" w:cs="Arial"/>
          <w:sz w:val="24"/>
          <w:szCs w:val="24"/>
        </w:rPr>
        <w:t xml:space="preserve">The successful bidder </w:t>
      </w:r>
      <w:r w:rsidR="00C820C6">
        <w:rPr>
          <w:rFonts w:ascii="Arial" w:hAnsi="Arial" w:cs="Arial"/>
          <w:sz w:val="24"/>
          <w:szCs w:val="24"/>
        </w:rPr>
        <w:t xml:space="preserve">will evaluate seasonal fluctuations in </w:t>
      </w:r>
      <w:r w:rsidR="00972B95">
        <w:rPr>
          <w:rFonts w:ascii="Arial" w:hAnsi="Arial" w:cs="Arial"/>
          <w:sz w:val="24"/>
          <w:szCs w:val="24"/>
        </w:rPr>
        <w:t>the energy burden.</w:t>
      </w:r>
    </w:p>
    <w:p w14:paraId="7209ED67" w14:textId="6093F298" w:rsidR="00972B95" w:rsidRPr="00EA2119" w:rsidRDefault="003B0FD1" w:rsidP="00EA2119">
      <w:pPr>
        <w:pStyle w:val="ListParagraph"/>
        <w:numPr>
          <w:ilvl w:val="1"/>
          <w:numId w:val="25"/>
        </w:numPr>
        <w:rPr>
          <w:rFonts w:ascii="Arial" w:hAnsi="Arial" w:cs="Arial"/>
          <w:sz w:val="24"/>
          <w:szCs w:val="24"/>
        </w:rPr>
      </w:pPr>
      <w:r w:rsidRPr="00EA2119">
        <w:rPr>
          <w:rFonts w:ascii="Arial" w:hAnsi="Arial" w:cs="Arial"/>
          <w:sz w:val="24"/>
          <w:szCs w:val="24"/>
        </w:rPr>
        <w:t>The successful bidder will address</w:t>
      </w:r>
      <w:r w:rsidR="00983DDD">
        <w:rPr>
          <w:rFonts w:ascii="Arial" w:hAnsi="Arial" w:cs="Arial"/>
          <w:sz w:val="24"/>
          <w:szCs w:val="24"/>
        </w:rPr>
        <w:t xml:space="preserve"> where possible</w:t>
      </w:r>
      <w:r w:rsidRPr="00EA2119">
        <w:rPr>
          <w:rFonts w:ascii="Arial" w:hAnsi="Arial" w:cs="Arial"/>
          <w:sz w:val="24"/>
          <w:szCs w:val="24"/>
        </w:rPr>
        <w:t xml:space="preserve"> the “cliff” experienced by some customers</w:t>
      </w:r>
      <w:r w:rsidR="00EA2119" w:rsidRPr="00EA2119">
        <w:rPr>
          <w:rFonts w:ascii="Arial" w:hAnsi="Arial" w:cs="Arial"/>
          <w:sz w:val="24"/>
          <w:szCs w:val="24"/>
        </w:rPr>
        <w:t xml:space="preserve"> who have an increase in income that is sufficient to remove their eligibility for assistance programs but insufficient to ease the energy burden to the comparable level prior to the income increase</w:t>
      </w:r>
      <w:r w:rsidR="00EA2119">
        <w:rPr>
          <w:rFonts w:ascii="Arial" w:hAnsi="Arial" w:cs="Arial"/>
          <w:sz w:val="24"/>
          <w:szCs w:val="24"/>
        </w:rPr>
        <w:t>.</w:t>
      </w:r>
    </w:p>
    <w:p w14:paraId="4FDF9B77" w14:textId="74CA3D02" w:rsidR="00DD100B" w:rsidRPr="008B54B1" w:rsidRDefault="00DD100B" w:rsidP="00511540">
      <w:pPr>
        <w:pStyle w:val="ListParagraph"/>
        <w:numPr>
          <w:ilvl w:val="1"/>
          <w:numId w:val="25"/>
        </w:numPr>
        <w:rPr>
          <w:rFonts w:ascii="Arial" w:hAnsi="Arial" w:cs="Arial"/>
          <w:sz w:val="24"/>
          <w:szCs w:val="24"/>
        </w:rPr>
      </w:pPr>
      <w:r w:rsidRPr="008B54B1">
        <w:rPr>
          <w:rFonts w:ascii="Arial" w:hAnsi="Arial" w:cs="Arial"/>
          <w:sz w:val="24"/>
          <w:szCs w:val="24"/>
        </w:rPr>
        <w:t>The successful bidder will participate in a kick-off meeting with the Department, at which time a work plan and project schedule will be developed.  The successful bidder will remain in contact with Department staff through regularly scheduled calls and monthly status reports.</w:t>
      </w:r>
    </w:p>
    <w:p w14:paraId="0D936812" w14:textId="5BBEC8C9" w:rsidR="00DD100B" w:rsidRDefault="00DD100B" w:rsidP="00511540">
      <w:pPr>
        <w:pStyle w:val="ListParagraph"/>
        <w:numPr>
          <w:ilvl w:val="1"/>
          <w:numId w:val="25"/>
        </w:numPr>
        <w:rPr>
          <w:rFonts w:ascii="Arial" w:hAnsi="Arial" w:cs="Arial"/>
          <w:sz w:val="24"/>
          <w:szCs w:val="24"/>
        </w:rPr>
      </w:pPr>
      <w:r w:rsidRPr="008B54B1">
        <w:rPr>
          <w:rFonts w:ascii="Arial" w:hAnsi="Arial" w:cs="Arial"/>
          <w:sz w:val="24"/>
          <w:szCs w:val="24"/>
        </w:rPr>
        <w:t>The successful bidder will identify, review, collect, and combine secondary data that is relevant to the development of the energy burden report, including data from the U.S. Energy Information Administration (EIA), the Census Bureau, the National Oceanic and Atmospheric Administration</w:t>
      </w:r>
      <w:r w:rsidR="0077768B" w:rsidRPr="008B54B1">
        <w:rPr>
          <w:rFonts w:ascii="Arial" w:hAnsi="Arial" w:cs="Arial"/>
          <w:sz w:val="24"/>
          <w:szCs w:val="24"/>
        </w:rPr>
        <w:t xml:space="preserve"> (NOAA)</w:t>
      </w:r>
      <w:r w:rsidRPr="008B54B1">
        <w:rPr>
          <w:rFonts w:ascii="Arial" w:hAnsi="Arial" w:cs="Arial"/>
          <w:sz w:val="24"/>
          <w:szCs w:val="24"/>
        </w:rPr>
        <w:t>, the Maine Governor’s Energy Office</w:t>
      </w:r>
      <w:r w:rsidR="0077768B" w:rsidRPr="008B54B1">
        <w:rPr>
          <w:rFonts w:ascii="Arial" w:hAnsi="Arial" w:cs="Arial"/>
          <w:sz w:val="24"/>
          <w:szCs w:val="24"/>
        </w:rPr>
        <w:t xml:space="preserve"> (GEO)</w:t>
      </w:r>
      <w:r w:rsidRPr="008B54B1">
        <w:rPr>
          <w:rFonts w:ascii="Arial" w:hAnsi="Arial" w:cs="Arial"/>
          <w:sz w:val="24"/>
          <w:szCs w:val="24"/>
        </w:rPr>
        <w:t xml:space="preserve">, the Maine Department of Health and Human Services, </w:t>
      </w:r>
      <w:r w:rsidR="008B6862" w:rsidRPr="008B54B1">
        <w:rPr>
          <w:rFonts w:ascii="Arial" w:hAnsi="Arial" w:cs="Arial"/>
          <w:sz w:val="24"/>
          <w:szCs w:val="24"/>
        </w:rPr>
        <w:t>the Maine State Housing Authority (MSHA), the Maine Climate Council, and the U.S. Department of Energy</w:t>
      </w:r>
      <w:r w:rsidR="00DD3BD7" w:rsidRPr="008B54B1">
        <w:rPr>
          <w:rFonts w:ascii="Arial" w:hAnsi="Arial" w:cs="Arial"/>
          <w:sz w:val="24"/>
          <w:szCs w:val="24"/>
        </w:rPr>
        <w:t>,</w:t>
      </w:r>
      <w:r w:rsidR="008B6862" w:rsidRPr="008B54B1">
        <w:rPr>
          <w:rFonts w:ascii="Arial" w:hAnsi="Arial" w:cs="Arial"/>
          <w:sz w:val="24"/>
          <w:szCs w:val="24"/>
        </w:rPr>
        <w:t xml:space="preserve"> </w:t>
      </w:r>
      <w:r w:rsidR="00C67EE8" w:rsidRPr="008B54B1">
        <w:rPr>
          <w:rFonts w:ascii="Arial" w:hAnsi="Arial" w:cs="Arial"/>
          <w:sz w:val="24"/>
          <w:szCs w:val="24"/>
        </w:rPr>
        <w:t xml:space="preserve">the </w:t>
      </w:r>
      <w:r w:rsidR="00A64510" w:rsidRPr="008B54B1">
        <w:rPr>
          <w:rFonts w:ascii="Arial" w:hAnsi="Arial" w:cs="Arial"/>
          <w:sz w:val="24"/>
          <w:szCs w:val="24"/>
        </w:rPr>
        <w:t>Maine Community Action Partnership (</w:t>
      </w:r>
      <w:proofErr w:type="spellStart"/>
      <w:r w:rsidR="00A64510" w:rsidRPr="008B54B1">
        <w:rPr>
          <w:rFonts w:ascii="Arial" w:hAnsi="Arial" w:cs="Arial"/>
          <w:sz w:val="24"/>
          <w:szCs w:val="24"/>
        </w:rPr>
        <w:t>MeCAP</w:t>
      </w:r>
      <w:proofErr w:type="spellEnd"/>
      <w:r w:rsidR="00A64510" w:rsidRPr="008B54B1">
        <w:rPr>
          <w:rFonts w:ascii="Arial" w:hAnsi="Arial" w:cs="Arial"/>
          <w:sz w:val="24"/>
          <w:szCs w:val="24"/>
        </w:rPr>
        <w:t>),</w:t>
      </w:r>
      <w:r w:rsidR="003F4609" w:rsidRPr="008B54B1">
        <w:rPr>
          <w:rFonts w:ascii="Arial" w:hAnsi="Arial" w:cs="Arial"/>
          <w:sz w:val="24"/>
          <w:szCs w:val="24"/>
        </w:rPr>
        <w:t xml:space="preserve"> the Efficiency Maine Trust (EMT),</w:t>
      </w:r>
      <w:r w:rsidR="00A64510" w:rsidRPr="008B54B1">
        <w:rPr>
          <w:rFonts w:ascii="Arial" w:hAnsi="Arial" w:cs="Arial"/>
          <w:sz w:val="24"/>
          <w:szCs w:val="24"/>
        </w:rPr>
        <w:t xml:space="preserve"> </w:t>
      </w:r>
      <w:r w:rsidR="00300BCF" w:rsidRPr="008B54B1">
        <w:rPr>
          <w:rFonts w:ascii="Arial" w:hAnsi="Arial" w:cs="Arial"/>
          <w:sz w:val="24"/>
          <w:szCs w:val="24"/>
        </w:rPr>
        <w:t>other</w:t>
      </w:r>
      <w:r w:rsidR="00035461" w:rsidRPr="008B54B1">
        <w:rPr>
          <w:rFonts w:ascii="Arial" w:hAnsi="Arial" w:cs="Arial"/>
          <w:sz w:val="24"/>
          <w:szCs w:val="24"/>
        </w:rPr>
        <w:t xml:space="preserve"> low-income programs including L</w:t>
      </w:r>
      <w:r w:rsidR="003A2D43" w:rsidRPr="008B54B1">
        <w:rPr>
          <w:rFonts w:ascii="Arial" w:hAnsi="Arial" w:cs="Arial"/>
          <w:sz w:val="24"/>
          <w:szCs w:val="24"/>
        </w:rPr>
        <w:t>ow-Income Home Energy Assistance</w:t>
      </w:r>
      <w:r w:rsidR="003A2D43">
        <w:rPr>
          <w:rFonts w:ascii="Arial" w:hAnsi="Arial" w:cs="Arial"/>
          <w:sz w:val="24"/>
          <w:szCs w:val="24"/>
        </w:rPr>
        <w:t xml:space="preserve"> (LIHEAP) </w:t>
      </w:r>
      <w:r>
        <w:rPr>
          <w:rFonts w:ascii="Arial" w:hAnsi="Arial" w:cs="Arial"/>
          <w:sz w:val="24"/>
          <w:szCs w:val="24"/>
        </w:rPr>
        <w:t>and other sources as appropriate</w:t>
      </w:r>
      <w:r w:rsidR="00D11759">
        <w:rPr>
          <w:rFonts w:ascii="Arial" w:hAnsi="Arial" w:cs="Arial"/>
          <w:sz w:val="24"/>
          <w:szCs w:val="24"/>
        </w:rPr>
        <w:t>, and where possible avoid duplication of work</w:t>
      </w:r>
    </w:p>
    <w:p w14:paraId="5454D3D4" w14:textId="7036D1EE" w:rsidR="00DD100B" w:rsidRPr="008B54B1" w:rsidRDefault="00DD100B" w:rsidP="00511540">
      <w:pPr>
        <w:pStyle w:val="ListParagraph"/>
        <w:numPr>
          <w:ilvl w:val="1"/>
          <w:numId w:val="25"/>
        </w:numPr>
        <w:rPr>
          <w:rFonts w:ascii="Arial" w:hAnsi="Arial" w:cs="Arial"/>
          <w:sz w:val="24"/>
          <w:szCs w:val="24"/>
        </w:rPr>
      </w:pPr>
      <w:r w:rsidRPr="00DD100B">
        <w:rPr>
          <w:rFonts w:ascii="Arial" w:hAnsi="Arial" w:cs="Arial"/>
          <w:sz w:val="24"/>
          <w:szCs w:val="24"/>
        </w:rPr>
        <w:t xml:space="preserve">The successful bidder will identify </w:t>
      </w:r>
      <w:r w:rsidR="00320754">
        <w:rPr>
          <w:rFonts w:ascii="Arial" w:hAnsi="Arial" w:cs="Arial"/>
          <w:sz w:val="24"/>
          <w:szCs w:val="24"/>
        </w:rPr>
        <w:t xml:space="preserve">any primary data requirements that are necessary or convenient to complete the energy burden report and, as appropriate, develop a plan to collect such </w:t>
      </w:r>
      <w:r w:rsidR="00320754" w:rsidRPr="008B54B1">
        <w:rPr>
          <w:rFonts w:ascii="Arial" w:hAnsi="Arial" w:cs="Arial"/>
          <w:sz w:val="24"/>
          <w:szCs w:val="24"/>
        </w:rPr>
        <w:t>primary data in consultation with the Department and will analyze such data once collected.</w:t>
      </w:r>
      <w:r w:rsidR="00DD3BD7" w:rsidRPr="008B54B1">
        <w:rPr>
          <w:rFonts w:ascii="Arial" w:hAnsi="Arial" w:cs="Arial"/>
          <w:sz w:val="24"/>
          <w:szCs w:val="24"/>
        </w:rPr>
        <w:t xml:space="preserve"> Maine-specific data should be used, in addition to national-level data such as the Census Bureau/American Community Survey.</w:t>
      </w:r>
    </w:p>
    <w:p w14:paraId="1D274C1F" w14:textId="6B1E84BF" w:rsidR="003936E1" w:rsidRPr="008B54B1" w:rsidRDefault="003936E1" w:rsidP="00511540">
      <w:pPr>
        <w:pStyle w:val="ListParagraph"/>
        <w:numPr>
          <w:ilvl w:val="1"/>
          <w:numId w:val="25"/>
        </w:numPr>
        <w:rPr>
          <w:rFonts w:ascii="Arial" w:hAnsi="Arial" w:cs="Arial"/>
          <w:sz w:val="24"/>
          <w:szCs w:val="24"/>
        </w:rPr>
      </w:pPr>
      <w:r w:rsidRPr="008B54B1">
        <w:rPr>
          <w:rFonts w:ascii="Arial" w:hAnsi="Arial" w:cs="Arial"/>
          <w:sz w:val="24"/>
          <w:szCs w:val="24"/>
        </w:rPr>
        <w:t xml:space="preserve">The successful bidder will </w:t>
      </w:r>
      <w:r w:rsidR="00FA6110" w:rsidRPr="008B54B1">
        <w:rPr>
          <w:rFonts w:ascii="Arial" w:hAnsi="Arial" w:cs="Arial"/>
          <w:sz w:val="24"/>
          <w:szCs w:val="24"/>
        </w:rPr>
        <w:t>identify and recommend baseline metrics/data such that the energy burden can be tracked over time.</w:t>
      </w:r>
    </w:p>
    <w:p w14:paraId="17BBA315" w14:textId="1F7EDAA7" w:rsidR="00320754" w:rsidRPr="008B54B1" w:rsidRDefault="00320754" w:rsidP="00511540">
      <w:pPr>
        <w:pStyle w:val="ListParagraph"/>
        <w:numPr>
          <w:ilvl w:val="1"/>
          <w:numId w:val="25"/>
        </w:numPr>
        <w:rPr>
          <w:rFonts w:ascii="Arial" w:hAnsi="Arial" w:cs="Arial"/>
          <w:sz w:val="24"/>
          <w:szCs w:val="24"/>
        </w:rPr>
      </w:pPr>
      <w:r w:rsidRPr="008B54B1">
        <w:rPr>
          <w:rFonts w:ascii="Arial" w:hAnsi="Arial" w:cs="Arial"/>
          <w:sz w:val="24"/>
          <w:szCs w:val="24"/>
        </w:rPr>
        <w:t>The successful bidder will use computer modeling, such as an excel-based model, to combine primary and secondary data and to calculate average energy burdens within Maine by income level, heating fuel, and geographic area. The geographic scales that will be examined include the state, county, and Block Group levels.</w:t>
      </w:r>
    </w:p>
    <w:p w14:paraId="0CF9F5DD" w14:textId="77777777" w:rsidR="00AA1A09" w:rsidRDefault="003142F8" w:rsidP="00511540">
      <w:pPr>
        <w:pStyle w:val="ListParagraph"/>
        <w:numPr>
          <w:ilvl w:val="1"/>
          <w:numId w:val="25"/>
        </w:numPr>
        <w:rPr>
          <w:rFonts w:ascii="Arial" w:hAnsi="Arial" w:cs="Arial"/>
          <w:sz w:val="24"/>
          <w:szCs w:val="24"/>
        </w:rPr>
        <w:sectPr w:rsidR="00AA1A09" w:rsidSect="004B2E65">
          <w:headerReference w:type="default" r:id="rId17"/>
          <w:footerReference w:type="default" r:id="rId18"/>
          <w:pgSz w:w="12240" w:h="15840" w:code="1"/>
          <w:pgMar w:top="720" w:right="900" w:bottom="990" w:left="1080" w:header="432" w:footer="288" w:gutter="0"/>
          <w:paperSrc w:first="15" w:other="15"/>
          <w:cols w:space="720"/>
          <w:docGrid w:linePitch="360"/>
        </w:sectPr>
      </w:pPr>
      <w:r w:rsidRPr="008B54B1">
        <w:rPr>
          <w:rFonts w:ascii="Arial" w:hAnsi="Arial" w:cs="Arial"/>
          <w:sz w:val="24"/>
          <w:szCs w:val="24"/>
        </w:rPr>
        <w:t>The successful bidder will</w:t>
      </w:r>
      <w:r w:rsidR="002E1964" w:rsidRPr="008B54B1">
        <w:rPr>
          <w:rFonts w:ascii="Arial" w:hAnsi="Arial" w:cs="Arial"/>
          <w:sz w:val="24"/>
          <w:szCs w:val="24"/>
        </w:rPr>
        <w:t xml:space="preserve">, where practical, compare the results for Maine with other energy burden studies </w:t>
      </w:r>
      <w:r w:rsidR="00B70881" w:rsidRPr="008B54B1">
        <w:rPr>
          <w:rFonts w:ascii="Arial" w:hAnsi="Arial" w:cs="Arial"/>
          <w:sz w:val="24"/>
          <w:szCs w:val="24"/>
        </w:rPr>
        <w:t>regionally and nationally.</w:t>
      </w:r>
    </w:p>
    <w:p w14:paraId="04AB53B1" w14:textId="541D48A0" w:rsidR="003142F8" w:rsidRPr="008B54B1" w:rsidRDefault="003142F8" w:rsidP="00AA1A09">
      <w:pPr>
        <w:pStyle w:val="ListParagraph"/>
        <w:rPr>
          <w:rFonts w:ascii="Arial" w:hAnsi="Arial" w:cs="Arial"/>
          <w:sz w:val="24"/>
          <w:szCs w:val="24"/>
        </w:rPr>
      </w:pPr>
    </w:p>
    <w:p w14:paraId="6096EA45" w14:textId="08D9DF98" w:rsidR="00320754" w:rsidRDefault="00320754" w:rsidP="00511540">
      <w:pPr>
        <w:pStyle w:val="ListParagraph"/>
        <w:numPr>
          <w:ilvl w:val="1"/>
          <w:numId w:val="25"/>
        </w:numPr>
        <w:rPr>
          <w:rFonts w:ascii="Arial" w:hAnsi="Arial" w:cs="Arial"/>
          <w:sz w:val="24"/>
          <w:szCs w:val="24"/>
        </w:rPr>
      </w:pPr>
      <w:r w:rsidRPr="008B54B1">
        <w:rPr>
          <w:rFonts w:ascii="Arial" w:hAnsi="Arial" w:cs="Arial"/>
          <w:sz w:val="24"/>
          <w:szCs w:val="24"/>
        </w:rPr>
        <w:t xml:space="preserve">The successful bidder will provide the Department </w:t>
      </w:r>
      <w:r w:rsidR="0024359E" w:rsidRPr="008B54B1">
        <w:rPr>
          <w:rFonts w:ascii="Arial" w:hAnsi="Arial" w:cs="Arial"/>
          <w:sz w:val="24"/>
          <w:szCs w:val="24"/>
        </w:rPr>
        <w:t xml:space="preserve">and the Electric Ratepayer Advisory Council (ERAC) </w:t>
      </w:r>
      <w:r w:rsidRPr="008B54B1">
        <w:rPr>
          <w:rFonts w:ascii="Arial" w:hAnsi="Arial" w:cs="Arial"/>
          <w:sz w:val="24"/>
          <w:szCs w:val="24"/>
        </w:rPr>
        <w:t>with a draft of the energy report</w:t>
      </w:r>
      <w:r w:rsidR="00DD3BD7" w:rsidRPr="008B54B1">
        <w:rPr>
          <w:rFonts w:ascii="Arial" w:hAnsi="Arial" w:cs="Arial"/>
          <w:sz w:val="24"/>
          <w:szCs w:val="24"/>
        </w:rPr>
        <w:t>, together with any excel sheets or other repositories of data collected in association with this work and informing underlying modeling and analysis, with cover sheets explaining each data set, assumptions used, and analysis performed,</w:t>
      </w:r>
      <w:r w:rsidRPr="008B54B1">
        <w:rPr>
          <w:rFonts w:ascii="Arial" w:hAnsi="Arial" w:cs="Arial"/>
          <w:sz w:val="24"/>
          <w:szCs w:val="24"/>
        </w:rPr>
        <w:t xml:space="preserve"> and will</w:t>
      </w:r>
      <w:r w:rsidRPr="00320754">
        <w:rPr>
          <w:rFonts w:ascii="Arial" w:hAnsi="Arial" w:cs="Arial"/>
          <w:sz w:val="24"/>
          <w:szCs w:val="24"/>
        </w:rPr>
        <w:t xml:space="preserve"> address one</w:t>
      </w:r>
      <w:r>
        <w:rPr>
          <w:rFonts w:ascii="Arial" w:hAnsi="Arial" w:cs="Arial"/>
          <w:sz w:val="24"/>
          <w:szCs w:val="24"/>
        </w:rPr>
        <w:t xml:space="preserve"> or more</w:t>
      </w:r>
      <w:r w:rsidRPr="00320754">
        <w:rPr>
          <w:rFonts w:ascii="Arial" w:hAnsi="Arial" w:cs="Arial"/>
          <w:sz w:val="24"/>
          <w:szCs w:val="24"/>
        </w:rPr>
        <w:t xml:space="preserve"> round</w:t>
      </w:r>
      <w:r>
        <w:rPr>
          <w:rFonts w:ascii="Arial" w:hAnsi="Arial" w:cs="Arial"/>
          <w:sz w:val="24"/>
          <w:szCs w:val="24"/>
        </w:rPr>
        <w:t>s</w:t>
      </w:r>
      <w:r w:rsidRPr="00320754">
        <w:rPr>
          <w:rFonts w:ascii="Arial" w:hAnsi="Arial" w:cs="Arial"/>
          <w:sz w:val="24"/>
          <w:szCs w:val="24"/>
        </w:rPr>
        <w:t xml:space="preserve"> of consolidated</w:t>
      </w:r>
      <w:r w:rsidR="00535899">
        <w:rPr>
          <w:rFonts w:ascii="Arial" w:hAnsi="Arial" w:cs="Arial"/>
          <w:sz w:val="24"/>
          <w:szCs w:val="24"/>
        </w:rPr>
        <w:t xml:space="preserve"> comments</w:t>
      </w:r>
      <w:r w:rsidRPr="00320754">
        <w:rPr>
          <w:rFonts w:ascii="Arial" w:hAnsi="Arial" w:cs="Arial"/>
          <w:sz w:val="24"/>
          <w:szCs w:val="24"/>
        </w:rPr>
        <w:t>.</w:t>
      </w:r>
    </w:p>
    <w:p w14:paraId="51E876AB" w14:textId="44DF052F" w:rsidR="00320754" w:rsidRPr="00AA1A09" w:rsidRDefault="00320754" w:rsidP="00CC734A">
      <w:pPr>
        <w:pStyle w:val="ListParagraph"/>
        <w:numPr>
          <w:ilvl w:val="1"/>
          <w:numId w:val="25"/>
        </w:numPr>
        <w:rPr>
          <w:rFonts w:ascii="Arial" w:hAnsi="Arial" w:cs="Arial"/>
          <w:sz w:val="24"/>
          <w:szCs w:val="24"/>
        </w:rPr>
      </w:pPr>
      <w:r w:rsidRPr="00AA1A09">
        <w:rPr>
          <w:rFonts w:ascii="Arial" w:hAnsi="Arial" w:cs="Arial"/>
          <w:sz w:val="24"/>
          <w:szCs w:val="24"/>
        </w:rPr>
        <w:t>The successful bidder will undertake such other tasks to the development</w:t>
      </w:r>
      <w:r w:rsidR="00F91C16" w:rsidRPr="00AA1A09">
        <w:rPr>
          <w:rFonts w:ascii="Arial" w:hAnsi="Arial" w:cs="Arial"/>
          <w:sz w:val="24"/>
          <w:szCs w:val="24"/>
        </w:rPr>
        <w:t xml:space="preserve"> of the report</w:t>
      </w:r>
      <w:r w:rsidRPr="00AA1A09">
        <w:rPr>
          <w:rFonts w:ascii="Arial" w:hAnsi="Arial" w:cs="Arial"/>
          <w:sz w:val="24"/>
          <w:szCs w:val="24"/>
        </w:rPr>
        <w:t xml:space="preserve"> </w:t>
      </w:r>
      <w:r w:rsidR="00F91C16" w:rsidRPr="00AA1A09">
        <w:rPr>
          <w:rFonts w:ascii="Arial" w:hAnsi="Arial" w:cs="Arial"/>
          <w:sz w:val="24"/>
          <w:szCs w:val="24"/>
        </w:rPr>
        <w:t xml:space="preserve">as requested by the Department </w:t>
      </w:r>
      <w:r w:rsidRPr="00AA1A09">
        <w:rPr>
          <w:rFonts w:ascii="Arial" w:hAnsi="Arial" w:cs="Arial"/>
          <w:sz w:val="24"/>
          <w:szCs w:val="24"/>
        </w:rPr>
        <w:t xml:space="preserve">and </w:t>
      </w:r>
      <w:r w:rsidR="00F91C16" w:rsidRPr="00AA1A09">
        <w:rPr>
          <w:rFonts w:ascii="Arial" w:hAnsi="Arial" w:cs="Arial"/>
          <w:sz w:val="24"/>
          <w:szCs w:val="24"/>
        </w:rPr>
        <w:t xml:space="preserve">completion </w:t>
      </w:r>
      <w:r w:rsidRPr="00AA1A09">
        <w:rPr>
          <w:rFonts w:ascii="Arial" w:hAnsi="Arial" w:cs="Arial"/>
          <w:sz w:val="24"/>
          <w:szCs w:val="24"/>
        </w:rPr>
        <w:t xml:space="preserve">of the report </w:t>
      </w:r>
      <w:r w:rsidR="00F91C16" w:rsidRPr="00AA1A09">
        <w:rPr>
          <w:rFonts w:ascii="Arial" w:hAnsi="Arial" w:cs="Arial"/>
          <w:sz w:val="24"/>
          <w:szCs w:val="24"/>
        </w:rPr>
        <w:t>by October 15, 2024.</w:t>
      </w:r>
    </w:p>
    <w:p w14:paraId="72AED2FC" w14:textId="55DE6AD4" w:rsidR="00C249BB" w:rsidRDefault="00C249BB" w:rsidP="004F0520">
      <w:pPr>
        <w:rPr>
          <w:rFonts w:ascii="Arial" w:hAnsi="Arial" w:cs="Arial"/>
          <w:sz w:val="24"/>
          <w:szCs w:val="24"/>
        </w:rPr>
      </w:pPr>
      <w:bookmarkStart w:id="18" w:name="_Toc367174729"/>
      <w:bookmarkStart w:id="19" w:name="_Toc397069197"/>
    </w:p>
    <w:p w14:paraId="50B52DBE" w14:textId="769F8F82" w:rsidR="007B1E5A" w:rsidRPr="007B1E5A" w:rsidRDefault="007B1E5A" w:rsidP="007B1E5A">
      <w:pPr>
        <w:pStyle w:val="ListParagraph"/>
        <w:numPr>
          <w:ilvl w:val="0"/>
          <w:numId w:val="25"/>
        </w:numPr>
        <w:rPr>
          <w:rFonts w:ascii="Arial" w:hAnsi="Arial" w:cs="Arial"/>
          <w:b/>
          <w:bCs/>
          <w:sz w:val="24"/>
          <w:szCs w:val="24"/>
        </w:rPr>
      </w:pPr>
      <w:r>
        <w:rPr>
          <w:rFonts w:ascii="Arial" w:hAnsi="Arial" w:cs="Arial"/>
          <w:b/>
          <w:bCs/>
          <w:sz w:val="24"/>
          <w:szCs w:val="24"/>
        </w:rPr>
        <w:t xml:space="preserve"> MANNER OF PERFORMANCE OF THE WORK</w:t>
      </w:r>
      <w:r>
        <w:rPr>
          <w:rFonts w:ascii="Arial" w:hAnsi="Arial" w:cs="Arial"/>
          <w:sz w:val="24"/>
          <w:szCs w:val="24"/>
        </w:rPr>
        <w:t xml:space="preserve">.  In performing Tasks in Part II A. 1 through </w:t>
      </w:r>
      <w:r w:rsidR="0004015D">
        <w:rPr>
          <w:rFonts w:ascii="Arial" w:hAnsi="Arial" w:cs="Arial"/>
          <w:sz w:val="24"/>
          <w:szCs w:val="24"/>
        </w:rPr>
        <w:t>12</w:t>
      </w:r>
      <w:r>
        <w:rPr>
          <w:rFonts w:ascii="Arial" w:hAnsi="Arial" w:cs="Arial"/>
          <w:sz w:val="24"/>
          <w:szCs w:val="24"/>
        </w:rPr>
        <w:t xml:space="preserve"> above, the consultant(s) will be </w:t>
      </w:r>
      <w:r w:rsidR="00E87A7B">
        <w:rPr>
          <w:rFonts w:ascii="Arial" w:hAnsi="Arial" w:cs="Arial"/>
          <w:sz w:val="24"/>
          <w:szCs w:val="24"/>
        </w:rPr>
        <w:t>expected</w:t>
      </w:r>
      <w:r>
        <w:rPr>
          <w:rFonts w:ascii="Arial" w:hAnsi="Arial" w:cs="Arial"/>
          <w:sz w:val="24"/>
          <w:szCs w:val="24"/>
        </w:rPr>
        <w:t xml:space="preserve"> to:</w:t>
      </w:r>
    </w:p>
    <w:p w14:paraId="32C83694" w14:textId="77777777" w:rsidR="007B1E5A" w:rsidRPr="007B1E5A" w:rsidRDefault="007B1E5A" w:rsidP="007B1E5A">
      <w:pPr>
        <w:pStyle w:val="ListParagraph"/>
        <w:ind w:left="360"/>
        <w:rPr>
          <w:rFonts w:ascii="Arial" w:hAnsi="Arial" w:cs="Arial"/>
          <w:b/>
          <w:bCs/>
          <w:sz w:val="24"/>
          <w:szCs w:val="24"/>
        </w:rPr>
      </w:pPr>
    </w:p>
    <w:p w14:paraId="25B1F6B9" w14:textId="3DBB7D67" w:rsidR="007B1E5A" w:rsidRDefault="007B1E5A" w:rsidP="00B07F9F">
      <w:pPr>
        <w:pStyle w:val="DefaultText"/>
        <w:widowControl/>
        <w:numPr>
          <w:ilvl w:val="1"/>
          <w:numId w:val="25"/>
        </w:numPr>
        <w:tabs>
          <w:tab w:val="left" w:pos="0"/>
          <w:tab w:val="left" w:pos="1440"/>
        </w:tabs>
        <w:overflowPunct w:val="0"/>
        <w:adjustRightInd w:val="0"/>
        <w:textAlignment w:val="baseline"/>
        <w:rPr>
          <w:rStyle w:val="InitialStyle"/>
          <w:rFonts w:ascii="Arial" w:hAnsi="Arial" w:cs="Arial"/>
        </w:rPr>
      </w:pPr>
      <w:r w:rsidRPr="00493DF1">
        <w:rPr>
          <w:rStyle w:val="InitialStyle"/>
          <w:rFonts w:ascii="Arial" w:hAnsi="Arial" w:cs="Arial"/>
        </w:rPr>
        <w:t xml:space="preserve">Communicate with the </w:t>
      </w:r>
      <w:r w:rsidR="00B07F9F">
        <w:rPr>
          <w:rStyle w:val="InitialStyle"/>
          <w:rFonts w:ascii="Arial" w:hAnsi="Arial" w:cs="Arial"/>
        </w:rPr>
        <w:t>Department</w:t>
      </w:r>
      <w:r w:rsidRPr="00493DF1">
        <w:rPr>
          <w:rStyle w:val="InitialStyle"/>
          <w:rFonts w:ascii="Arial" w:hAnsi="Arial" w:cs="Arial"/>
        </w:rPr>
        <w:t xml:space="preserve"> on a </w:t>
      </w:r>
      <w:r>
        <w:rPr>
          <w:rStyle w:val="InitialStyle"/>
          <w:rFonts w:ascii="Arial" w:hAnsi="Arial" w:cs="Arial"/>
        </w:rPr>
        <w:t xml:space="preserve">schedule to be agreed on </w:t>
      </w:r>
      <w:r w:rsidRPr="00493DF1">
        <w:rPr>
          <w:rStyle w:val="InitialStyle"/>
          <w:rFonts w:ascii="Arial" w:hAnsi="Arial" w:cs="Arial"/>
        </w:rPr>
        <w:t>as to the progress of the work</w:t>
      </w:r>
      <w:r>
        <w:rPr>
          <w:rStyle w:val="InitialStyle"/>
          <w:rFonts w:ascii="Arial" w:hAnsi="Arial" w:cs="Arial"/>
        </w:rPr>
        <w:t xml:space="preserve"> </w:t>
      </w:r>
      <w:r w:rsidRPr="00493DF1">
        <w:rPr>
          <w:rStyle w:val="InitialStyle"/>
          <w:rFonts w:ascii="Arial" w:hAnsi="Arial" w:cs="Arial"/>
        </w:rPr>
        <w:t>and the results of that work.</w:t>
      </w:r>
    </w:p>
    <w:p w14:paraId="5CC69BC7" w14:textId="77777777" w:rsidR="008B54B1" w:rsidRPr="00493DF1" w:rsidRDefault="008B54B1" w:rsidP="008B54B1">
      <w:pPr>
        <w:pStyle w:val="DefaultText"/>
        <w:widowControl/>
        <w:tabs>
          <w:tab w:val="left" w:pos="0"/>
          <w:tab w:val="left" w:pos="1440"/>
        </w:tabs>
        <w:overflowPunct w:val="0"/>
        <w:adjustRightInd w:val="0"/>
        <w:ind w:left="720"/>
        <w:textAlignment w:val="baseline"/>
        <w:rPr>
          <w:rStyle w:val="InitialStyle"/>
          <w:rFonts w:ascii="Arial" w:hAnsi="Arial" w:cs="Arial"/>
        </w:rPr>
      </w:pPr>
    </w:p>
    <w:p w14:paraId="07956884" w14:textId="084A4A10" w:rsidR="00E87A7B" w:rsidRDefault="00E87A7B" w:rsidP="00E87A7B">
      <w:pPr>
        <w:pStyle w:val="ListParagraph"/>
        <w:numPr>
          <w:ilvl w:val="1"/>
          <w:numId w:val="25"/>
        </w:numPr>
        <w:rPr>
          <w:rFonts w:ascii="Arial" w:hAnsi="Arial" w:cs="Arial"/>
          <w:sz w:val="24"/>
          <w:szCs w:val="24"/>
        </w:rPr>
      </w:pPr>
      <w:r w:rsidRPr="00095393">
        <w:rPr>
          <w:rFonts w:ascii="Arial" w:hAnsi="Arial" w:cs="Arial"/>
          <w:sz w:val="24"/>
          <w:szCs w:val="24"/>
        </w:rPr>
        <w:t>For the Office’s review, prepare drafts of all written materials to be employed in final report to the E</w:t>
      </w:r>
      <w:r>
        <w:rPr>
          <w:rFonts w:ascii="Arial" w:hAnsi="Arial" w:cs="Arial"/>
          <w:sz w:val="24"/>
          <w:szCs w:val="24"/>
        </w:rPr>
        <w:t>lectric Ratepayer Advisory Council (ERAC)</w:t>
      </w:r>
      <w:r w:rsidRPr="00095393">
        <w:rPr>
          <w:rFonts w:ascii="Arial" w:hAnsi="Arial" w:cs="Arial"/>
          <w:sz w:val="24"/>
          <w:szCs w:val="24"/>
        </w:rPr>
        <w:t xml:space="preserve">, sufficiently in advance of the time that they must be submitted to </w:t>
      </w:r>
      <w:r>
        <w:rPr>
          <w:rFonts w:ascii="Arial" w:hAnsi="Arial" w:cs="Arial"/>
          <w:sz w:val="24"/>
          <w:szCs w:val="24"/>
        </w:rPr>
        <w:t>ERAC</w:t>
      </w:r>
      <w:r w:rsidRPr="00095393">
        <w:rPr>
          <w:rFonts w:ascii="Arial" w:hAnsi="Arial" w:cs="Arial"/>
          <w:sz w:val="24"/>
          <w:szCs w:val="24"/>
        </w:rPr>
        <w:t xml:space="preserve"> to allow the Office to review the work and discuss issues or problems in greater detail.</w:t>
      </w:r>
    </w:p>
    <w:p w14:paraId="250801E2" w14:textId="77777777" w:rsidR="008B54B1" w:rsidRPr="008B54B1" w:rsidRDefault="008B54B1" w:rsidP="008B54B1">
      <w:pPr>
        <w:rPr>
          <w:rFonts w:ascii="Arial" w:hAnsi="Arial" w:cs="Arial"/>
          <w:sz w:val="24"/>
          <w:szCs w:val="24"/>
        </w:rPr>
      </w:pPr>
    </w:p>
    <w:p w14:paraId="77785904" w14:textId="474845B6" w:rsidR="00A00916" w:rsidRDefault="00A00916" w:rsidP="00E87A7B">
      <w:pPr>
        <w:pStyle w:val="ListParagraph"/>
        <w:numPr>
          <w:ilvl w:val="1"/>
          <w:numId w:val="25"/>
        </w:numPr>
        <w:rPr>
          <w:rFonts w:ascii="Arial" w:hAnsi="Arial" w:cs="Arial"/>
          <w:sz w:val="24"/>
          <w:szCs w:val="24"/>
        </w:rPr>
      </w:pPr>
      <w:r>
        <w:rPr>
          <w:rFonts w:ascii="Arial" w:hAnsi="Arial" w:cs="Arial"/>
          <w:sz w:val="24"/>
          <w:szCs w:val="24"/>
        </w:rPr>
        <w:t xml:space="preserve">Present </w:t>
      </w:r>
      <w:r w:rsidR="00ED756B">
        <w:rPr>
          <w:rFonts w:ascii="Arial" w:hAnsi="Arial" w:cs="Arial"/>
          <w:sz w:val="24"/>
          <w:szCs w:val="24"/>
        </w:rPr>
        <w:t>the results to ERAC, in coordination with the Department.</w:t>
      </w:r>
    </w:p>
    <w:p w14:paraId="3AA728B7" w14:textId="77777777" w:rsidR="008B54B1" w:rsidRPr="008B54B1" w:rsidRDefault="008B54B1" w:rsidP="008B54B1">
      <w:pPr>
        <w:rPr>
          <w:rFonts w:ascii="Arial" w:hAnsi="Arial" w:cs="Arial"/>
          <w:sz w:val="24"/>
          <w:szCs w:val="24"/>
        </w:rPr>
      </w:pPr>
    </w:p>
    <w:p w14:paraId="4F1DA000" w14:textId="58BF7B54" w:rsidR="00F273D7" w:rsidRPr="0024359E" w:rsidRDefault="00E87A7B" w:rsidP="00AB5FB6">
      <w:pPr>
        <w:pStyle w:val="ListParagraph"/>
        <w:widowControl/>
        <w:numPr>
          <w:ilvl w:val="1"/>
          <w:numId w:val="25"/>
        </w:numPr>
        <w:autoSpaceDE/>
        <w:autoSpaceDN/>
        <w:rPr>
          <w:rFonts w:ascii="Arial" w:hAnsi="Arial" w:cs="Arial"/>
          <w:b/>
          <w:sz w:val="24"/>
          <w:szCs w:val="24"/>
        </w:rPr>
      </w:pPr>
      <w:r w:rsidRPr="0024359E">
        <w:rPr>
          <w:rFonts w:ascii="Arial" w:hAnsi="Arial" w:cs="Arial"/>
          <w:sz w:val="24"/>
          <w:szCs w:val="24"/>
        </w:rPr>
        <w:t>Complete all work in accordance with such timetables. The deadline for the submission of final report to the Electric Ratepayer Advisory Council is December 1</w:t>
      </w:r>
      <w:r w:rsidRPr="0024359E">
        <w:rPr>
          <w:rFonts w:ascii="Arial" w:hAnsi="Arial" w:cs="Arial"/>
          <w:sz w:val="24"/>
          <w:szCs w:val="24"/>
          <w:vertAlign w:val="superscript"/>
        </w:rPr>
        <w:t>st</w:t>
      </w:r>
      <w:r w:rsidRPr="0024359E">
        <w:rPr>
          <w:rFonts w:ascii="Arial" w:hAnsi="Arial" w:cs="Arial"/>
          <w:sz w:val="24"/>
          <w:szCs w:val="24"/>
        </w:rPr>
        <w:t>.</w:t>
      </w:r>
      <w:r w:rsidR="00F273D7" w:rsidRPr="0024359E">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2E04BDFE" w14:textId="77777777" w:rsidR="008B54B1" w:rsidRDefault="000E1A07" w:rsidP="000E1A07">
      <w:pPr>
        <w:pStyle w:val="ListParagraph"/>
        <w:numPr>
          <w:ilvl w:val="2"/>
          <w:numId w:val="13"/>
        </w:numPr>
        <w:rPr>
          <w:rFonts w:ascii="Arial" w:hAnsi="Arial" w:cs="Arial"/>
          <w:sz w:val="24"/>
          <w:szCs w:val="24"/>
        </w:rPr>
        <w:sectPr w:rsidR="008B54B1" w:rsidSect="004B2E65">
          <w:pgSz w:w="12240" w:h="15840" w:code="1"/>
          <w:pgMar w:top="720" w:right="900" w:bottom="990" w:left="1080" w:header="432" w:footer="288" w:gutter="0"/>
          <w:paperSrc w:first="15" w:other="15"/>
          <w:cols w:space="720"/>
          <w:docGrid w:linePitch="360"/>
        </w:sect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43D7DD89" w14:textId="7E862334" w:rsidR="000E1A07" w:rsidRPr="008B54B1" w:rsidRDefault="000E1A07" w:rsidP="008B54B1">
      <w:pPr>
        <w:rPr>
          <w:rFonts w:ascii="Arial" w:hAnsi="Arial" w:cs="Arial"/>
          <w:sz w:val="24"/>
          <w:szCs w:val="24"/>
        </w:rPr>
      </w:pP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1E43A620"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A11DC9" w:rsidRPr="007B082B">
        <w:rPr>
          <w:rFonts w:ascii="Arial" w:hAnsi="Arial" w:cs="Arial"/>
          <w:b/>
          <w:sz w:val="24"/>
          <w:szCs w:val="24"/>
        </w:rPr>
        <w:t xml:space="preserve">RFP# </w:t>
      </w:r>
      <w:r w:rsidR="00A50BD3" w:rsidRPr="007B082B">
        <w:rPr>
          <w:rStyle w:val="InitialStyle"/>
          <w:rFonts w:ascii="Arial" w:hAnsi="Arial" w:cs="Arial"/>
          <w:b/>
          <w:bCs/>
          <w:sz w:val="24"/>
          <w:szCs w:val="24"/>
        </w:rPr>
        <w:t>202402045</w:t>
      </w:r>
      <w:r w:rsidR="00A11DC9" w:rsidRPr="007B082B">
        <w:rPr>
          <w:rFonts w:ascii="Arial" w:hAnsi="Arial" w:cs="Arial"/>
          <w:b/>
          <w:sz w:val="24"/>
          <w:szCs w:val="24"/>
        </w:rPr>
        <w:t xml:space="preserve"> Proposal </w:t>
      </w:r>
      <w:r w:rsidR="00A11DC9" w:rsidRPr="00C97934">
        <w:rPr>
          <w:rFonts w:ascii="Arial" w:hAnsi="Arial" w:cs="Arial"/>
          <w:b/>
          <w:sz w:val="24"/>
          <w:szCs w:val="24"/>
        </w:rPr>
        <w:t>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E0AD5CF" w:rsidR="00AC25CE" w:rsidRPr="00C97934" w:rsidRDefault="00B51518" w:rsidP="00D15916">
      <w:pPr>
        <w:pStyle w:val="ListParagraph"/>
        <w:ind w:left="1440"/>
        <w:rPr>
          <w:rFonts w:ascii="Arial" w:hAnsi="Arial" w:cs="Arial"/>
          <w:sz w:val="24"/>
          <w:szCs w:val="24"/>
        </w:rPr>
      </w:pPr>
      <w:r w:rsidRPr="00FE4339">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07235AD0" w14:textId="77777777" w:rsidR="00362031" w:rsidRPr="00D059F7" w:rsidRDefault="00362031" w:rsidP="00D059F7">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136BD919"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w:t>
      </w:r>
      <w:r w:rsidRPr="008B54B1">
        <w:rPr>
          <w:rFonts w:ascii="Arial" w:hAnsi="Arial" w:cs="Arial"/>
          <w:sz w:val="24"/>
          <w:szCs w:val="24"/>
        </w:rPr>
        <w:t xml:space="preserve">. </w:t>
      </w:r>
      <w:r w:rsidR="00DD3BD7" w:rsidRPr="008B54B1">
        <w:rPr>
          <w:rFonts w:ascii="Arial" w:hAnsi="Arial" w:cs="Arial"/>
          <w:sz w:val="24"/>
          <w:szCs w:val="24"/>
        </w:rPr>
        <w:t xml:space="preserve"> Identify and describe the methodology by which the Bidder proposes to accomplish the necessary analyses. </w:t>
      </w:r>
      <w:r w:rsidR="0025279E" w:rsidRPr="008B54B1">
        <w:rPr>
          <w:rFonts w:ascii="Arial" w:hAnsi="Arial" w:cs="Arial"/>
          <w:sz w:val="24"/>
          <w:szCs w:val="24"/>
        </w:rPr>
        <w:t xml:space="preserve"> </w:t>
      </w:r>
      <w:r w:rsidR="00DE6455" w:rsidRPr="008B54B1">
        <w:rPr>
          <w:rFonts w:ascii="Arial" w:hAnsi="Arial" w:cs="Arial"/>
          <w:sz w:val="24"/>
          <w:szCs w:val="24"/>
        </w:rPr>
        <w:t>If applicable, make note of</w:t>
      </w:r>
      <w:r w:rsidRPr="008B54B1">
        <w:rPr>
          <w:rFonts w:ascii="Arial" w:hAnsi="Arial" w:cs="Arial"/>
          <w:sz w:val="24"/>
          <w:szCs w:val="24"/>
        </w:rPr>
        <w:t xml:space="preserve"> all tasks to </w:t>
      </w:r>
      <w:r w:rsidR="00DE6455" w:rsidRPr="008B54B1">
        <w:rPr>
          <w:rFonts w:ascii="Arial" w:hAnsi="Arial" w:cs="Arial"/>
          <w:sz w:val="24"/>
          <w:szCs w:val="24"/>
        </w:rPr>
        <w:t>be delegated to subcontractors</w:t>
      </w:r>
      <w:r w:rsidR="0025279E" w:rsidRPr="008B54B1">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71C98C7"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F7234E">
        <w:rPr>
          <w:rFonts w:ascii="Arial" w:hAnsi="Arial" w:cs="Arial"/>
          <w:sz w:val="24"/>
          <w:szCs w:val="24"/>
        </w:rPr>
        <w:t xml:space="preserve">starting </w:t>
      </w:r>
      <w:r w:rsidR="00F7234E" w:rsidRPr="00F7234E">
        <w:rPr>
          <w:rFonts w:ascii="Arial" w:hAnsi="Arial" w:cs="Arial"/>
          <w:sz w:val="24"/>
          <w:szCs w:val="24"/>
        </w:rPr>
        <w:t xml:space="preserve">April </w:t>
      </w:r>
      <w:r w:rsidR="0015066B">
        <w:rPr>
          <w:rFonts w:ascii="Arial" w:hAnsi="Arial" w:cs="Arial"/>
          <w:sz w:val="24"/>
          <w:szCs w:val="24"/>
        </w:rPr>
        <w:t>8</w:t>
      </w:r>
      <w:r w:rsidR="00D059F7" w:rsidRPr="00F7234E">
        <w:rPr>
          <w:rFonts w:ascii="Arial" w:hAnsi="Arial" w:cs="Arial"/>
          <w:sz w:val="24"/>
          <w:szCs w:val="24"/>
        </w:rPr>
        <w:t>, 2024</w:t>
      </w:r>
      <w:r w:rsidR="00942CF6" w:rsidRPr="00F7234E">
        <w:rPr>
          <w:rFonts w:ascii="Arial" w:hAnsi="Arial" w:cs="Arial"/>
          <w:sz w:val="24"/>
          <w:szCs w:val="24"/>
        </w:rPr>
        <w:t xml:space="preserve"> </w:t>
      </w:r>
      <w:r w:rsidR="00942CF6" w:rsidRPr="00C97934">
        <w:rPr>
          <w:rFonts w:ascii="Arial" w:hAnsi="Arial" w:cs="Arial"/>
          <w:sz w:val="24"/>
          <w:szCs w:val="24"/>
        </w:rPr>
        <w:t xml:space="preserve">and ending on </w:t>
      </w:r>
      <w:r w:rsidR="00D059F7">
        <w:rPr>
          <w:rFonts w:ascii="Arial" w:hAnsi="Arial" w:cs="Arial"/>
          <w:sz w:val="24"/>
          <w:szCs w:val="24"/>
        </w:rPr>
        <w:t>March 3</w:t>
      </w:r>
      <w:r w:rsidR="00F7234E">
        <w:rPr>
          <w:rFonts w:ascii="Arial" w:hAnsi="Arial" w:cs="Arial"/>
          <w:sz w:val="24"/>
          <w:szCs w:val="24"/>
        </w:rPr>
        <w:t>1</w:t>
      </w:r>
      <w:r w:rsidR="00D059F7">
        <w:rPr>
          <w:rFonts w:ascii="Arial" w:hAnsi="Arial" w:cs="Arial"/>
          <w:sz w:val="24"/>
          <w:szCs w:val="24"/>
        </w:rPr>
        <w:t>, 2026</w:t>
      </w:r>
      <w:r w:rsidR="00942CF6" w:rsidRPr="00C97934">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682DECEC" w14:textId="23244F68" w:rsidR="001410AC" w:rsidRPr="00C97934" w:rsidRDefault="00EE7EE0" w:rsidP="00D059F7">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307077F"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4239D3CE" w:rsidR="00351845" w:rsidRPr="00F7234E"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Organization Qualifications and Experience </w:t>
      </w:r>
      <w:r w:rsidRPr="00F7234E">
        <w:rPr>
          <w:rFonts w:ascii="Arial" w:hAnsi="Arial" w:cs="Arial"/>
          <w:b/>
          <w:sz w:val="24"/>
          <w:szCs w:val="24"/>
        </w:rPr>
        <w:t>(</w:t>
      </w:r>
      <w:r w:rsidR="00D059F7" w:rsidRPr="00F7234E">
        <w:rPr>
          <w:rFonts w:ascii="Arial" w:hAnsi="Arial" w:cs="Arial"/>
          <w:b/>
          <w:sz w:val="24"/>
          <w:szCs w:val="24"/>
        </w:rPr>
        <w:t>40</w:t>
      </w:r>
      <w:r w:rsidRPr="00F7234E">
        <w:rPr>
          <w:rFonts w:ascii="Arial" w:hAnsi="Arial" w:cs="Arial"/>
          <w:b/>
          <w:sz w:val="24"/>
          <w:szCs w:val="24"/>
        </w:rPr>
        <w:t xml:space="preserve"> points)</w:t>
      </w:r>
      <w:r w:rsidRPr="00F7234E">
        <w:rPr>
          <w:rFonts w:ascii="Arial" w:hAnsi="Arial" w:cs="Arial"/>
          <w:b/>
          <w:sz w:val="24"/>
          <w:szCs w:val="24"/>
        </w:rPr>
        <w:tab/>
      </w:r>
    </w:p>
    <w:p w14:paraId="0D746AD7" w14:textId="57ECCDFD" w:rsidR="00351845" w:rsidRPr="00F7234E" w:rsidRDefault="00351845" w:rsidP="00B315FA">
      <w:pPr>
        <w:ind w:firstLine="720"/>
        <w:rPr>
          <w:rFonts w:ascii="Arial" w:hAnsi="Arial" w:cs="Arial"/>
          <w:sz w:val="24"/>
          <w:szCs w:val="24"/>
        </w:rPr>
      </w:pPr>
      <w:r w:rsidRPr="00F7234E">
        <w:rPr>
          <w:rFonts w:ascii="Arial" w:hAnsi="Arial" w:cs="Arial"/>
          <w:sz w:val="24"/>
          <w:szCs w:val="24"/>
        </w:rPr>
        <w:t xml:space="preserve">Includes </w:t>
      </w:r>
      <w:r w:rsidR="00214F9E" w:rsidRPr="00F7234E">
        <w:rPr>
          <w:rFonts w:ascii="Arial" w:hAnsi="Arial" w:cs="Arial"/>
          <w:sz w:val="24"/>
          <w:szCs w:val="24"/>
        </w:rPr>
        <w:t>all elements addressed above in Part IV,</w:t>
      </w:r>
      <w:r w:rsidR="00F67100" w:rsidRPr="00F7234E">
        <w:rPr>
          <w:rFonts w:ascii="Arial" w:hAnsi="Arial" w:cs="Arial"/>
          <w:sz w:val="24"/>
          <w:szCs w:val="24"/>
        </w:rPr>
        <w:t xml:space="preserve"> </w:t>
      </w:r>
      <w:r w:rsidR="00214F9E" w:rsidRPr="00F7234E">
        <w:rPr>
          <w:rFonts w:ascii="Arial" w:hAnsi="Arial" w:cs="Arial"/>
          <w:sz w:val="24"/>
          <w:szCs w:val="24"/>
        </w:rPr>
        <w:t>Section I</w:t>
      </w:r>
      <w:r w:rsidR="00A0173C" w:rsidRPr="00F7234E">
        <w:rPr>
          <w:rFonts w:ascii="Arial" w:hAnsi="Arial" w:cs="Arial"/>
          <w:sz w:val="24"/>
          <w:szCs w:val="24"/>
        </w:rPr>
        <w:t>I</w:t>
      </w:r>
      <w:r w:rsidR="00214F9E" w:rsidRPr="00F7234E">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09CF88D7"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 xml:space="preserve">Proposed </w:t>
      </w:r>
      <w:r w:rsidR="005E01BF" w:rsidRPr="00F7234E">
        <w:rPr>
          <w:rFonts w:ascii="Arial" w:hAnsi="Arial" w:cs="Arial"/>
          <w:b/>
          <w:sz w:val="24"/>
          <w:szCs w:val="24"/>
        </w:rPr>
        <w:t>Services</w:t>
      </w:r>
      <w:r w:rsidRPr="00F7234E">
        <w:rPr>
          <w:rFonts w:ascii="Arial" w:hAnsi="Arial" w:cs="Arial"/>
          <w:b/>
          <w:sz w:val="24"/>
          <w:szCs w:val="24"/>
        </w:rPr>
        <w:t xml:space="preserve"> (</w:t>
      </w:r>
      <w:r w:rsidR="00D059F7" w:rsidRPr="00F7234E">
        <w:rPr>
          <w:rFonts w:ascii="Arial" w:hAnsi="Arial" w:cs="Arial"/>
          <w:b/>
          <w:sz w:val="24"/>
          <w:szCs w:val="24"/>
        </w:rPr>
        <w:t>30</w:t>
      </w:r>
      <w:r w:rsidRPr="00F7234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0DA81D87"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Pr="00F7234E">
        <w:rPr>
          <w:rFonts w:ascii="Arial" w:hAnsi="Arial" w:cs="Arial"/>
          <w:b/>
          <w:sz w:val="24"/>
          <w:szCs w:val="24"/>
        </w:rPr>
        <w:t>(</w:t>
      </w:r>
      <w:r w:rsidR="00D059F7" w:rsidRPr="00F7234E">
        <w:rPr>
          <w:rFonts w:ascii="Arial" w:hAnsi="Arial" w:cs="Arial"/>
          <w:b/>
          <w:sz w:val="24"/>
          <w:szCs w:val="24"/>
        </w:rPr>
        <w:t>30</w:t>
      </w:r>
      <w:r w:rsidRPr="00F7234E">
        <w:rPr>
          <w:rFonts w:ascii="Arial" w:hAnsi="Arial" w:cs="Arial"/>
          <w:b/>
          <w:sz w:val="24"/>
          <w:szCs w:val="24"/>
        </w:rPr>
        <w:t xml:space="preserve"> p</w:t>
      </w:r>
      <w:r w:rsidRPr="00C97934">
        <w:rPr>
          <w:rFonts w:ascii="Arial" w:hAnsi="Arial" w:cs="Arial"/>
          <w:b/>
          <w:sz w:val="24"/>
          <w:szCs w:val="24"/>
        </w:rPr>
        <w:t xml:space="preserve">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307AA754"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F7234E">
        <w:rPr>
          <w:rFonts w:ascii="Arial" w:hAnsi="Arial" w:cs="Arial"/>
          <w:sz w:val="24"/>
          <w:szCs w:val="24"/>
        </w:rPr>
        <w:t xml:space="preserve">awarded </w:t>
      </w:r>
      <w:r w:rsidR="00D059F7" w:rsidRPr="00F7234E">
        <w:rPr>
          <w:rFonts w:ascii="Arial" w:hAnsi="Arial" w:cs="Arial"/>
          <w:sz w:val="24"/>
          <w:szCs w:val="24"/>
          <w:u w:val="single"/>
        </w:rPr>
        <w:t xml:space="preserve">30 </w:t>
      </w:r>
      <w:r w:rsidRPr="00F7234E">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49E3362" w:rsidR="00351845" w:rsidRPr="00F7234E"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F7234E">
        <w:rPr>
          <w:rFonts w:ascii="Arial" w:hAnsi="Arial" w:cs="Arial"/>
          <w:sz w:val="24"/>
          <w:szCs w:val="24"/>
        </w:rPr>
        <w:t>30</w:t>
      </w:r>
      <w:r w:rsidR="00351845" w:rsidRPr="00F7234E">
        <w:rPr>
          <w:rFonts w:ascii="Arial" w:hAnsi="Arial" w:cs="Arial"/>
          <w:sz w:val="24"/>
          <w:szCs w:val="24"/>
        </w:rPr>
        <w:t>) = pro-rated score</w:t>
      </w:r>
    </w:p>
    <w:p w14:paraId="2151DD4F" w14:textId="77777777" w:rsidR="00351845" w:rsidRPr="00F7234E"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05818B3B"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F7234E">
        <w:rPr>
          <w:rFonts w:ascii="Arial" w:hAnsi="Arial" w:cs="Arial"/>
          <w:sz w:val="24"/>
          <w:szCs w:val="24"/>
        </w:rPr>
        <w:t xml:space="preserve">Maine Service Contract 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5"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3FCA3C10" w14:textId="5AB19C41" w:rsidR="007B1E5A" w:rsidRPr="00C97934" w:rsidRDefault="00C11E87" w:rsidP="007B1E5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r w:rsidR="007B1E5A" w:rsidRPr="007B1E5A">
        <w:rPr>
          <w:rStyle w:val="InitialStyle"/>
          <w:rFonts w:ascii="Arial" w:hAnsi="Arial" w:cs="Arial"/>
          <w:sz w:val="24"/>
          <w:szCs w:val="24"/>
        </w:rPr>
        <w:t xml:space="preserve"> </w:t>
      </w:r>
      <w:r w:rsidR="007B1E5A" w:rsidRPr="00381154">
        <w:rPr>
          <w:rStyle w:val="InitialStyle"/>
          <w:rFonts w:ascii="Arial" w:hAnsi="Arial" w:cs="Arial"/>
          <w:sz w:val="24"/>
          <w:szCs w:val="24"/>
        </w:rPr>
        <w:t>Vendor shall provide at least one month’s notification to the Public Advocate by email when the balance remaining on this contract goes below $5,000.</w:t>
      </w:r>
    </w:p>
    <w:p w14:paraId="1856356D" w14:textId="4C6F08CE" w:rsidR="006C712B" w:rsidRPr="00C97934" w:rsidRDefault="006C712B" w:rsidP="00B315FA">
      <w:pPr>
        <w:ind w:left="720"/>
        <w:rPr>
          <w:rStyle w:val="InitialStyle"/>
          <w:rFonts w:ascii="Arial" w:hAnsi="Arial" w:cs="Arial"/>
        </w:rPr>
      </w:pPr>
    </w:p>
    <w:p w14:paraId="125A8EB4" w14:textId="7270E4DD" w:rsidR="006C712B" w:rsidRPr="00C97934" w:rsidRDefault="006C712B">
      <w:pPr>
        <w:widowControl/>
        <w:autoSpaceDE/>
        <w:autoSpaceDN/>
        <w:rPr>
          <w:rStyle w:val="InitialStyle"/>
          <w:rFonts w:ascii="Arial" w:hAnsi="Arial" w:cs="Arial"/>
        </w:rPr>
      </w:pP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13EDC7F5" w14:textId="02B8A1EF" w:rsidR="00FF3DE5" w:rsidRPr="00A71C3E" w:rsidRDefault="000C513C" w:rsidP="00A71C3E">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39C0A92" w:rsidR="00221A14" w:rsidRPr="00C97934" w:rsidRDefault="00FE4339" w:rsidP="00221A14">
      <w:pPr>
        <w:jc w:val="center"/>
        <w:rPr>
          <w:rFonts w:ascii="Arial" w:hAnsi="Arial" w:cs="Arial"/>
          <w:b/>
          <w:color w:val="FF0000"/>
          <w:sz w:val="28"/>
          <w:szCs w:val="28"/>
        </w:rPr>
      </w:pPr>
      <w:r>
        <w:rPr>
          <w:rFonts w:ascii="Arial" w:hAnsi="Arial" w:cs="Arial"/>
          <w:b/>
          <w:sz w:val="28"/>
          <w:szCs w:val="28"/>
        </w:rPr>
        <w:t>Office of the Public Advocate</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A0D97CE" w:rsidR="00221A14" w:rsidRPr="007905D1" w:rsidRDefault="00221A14" w:rsidP="00221A14">
      <w:pPr>
        <w:jc w:val="center"/>
        <w:rPr>
          <w:rFonts w:ascii="Arial" w:hAnsi="Arial" w:cs="Arial"/>
          <w:b/>
          <w:sz w:val="28"/>
          <w:szCs w:val="28"/>
        </w:rPr>
      </w:pPr>
      <w:r w:rsidRPr="007905D1">
        <w:rPr>
          <w:rFonts w:ascii="Arial" w:hAnsi="Arial" w:cs="Arial"/>
          <w:b/>
          <w:sz w:val="28"/>
          <w:szCs w:val="28"/>
        </w:rPr>
        <w:t xml:space="preserve">RFP# </w:t>
      </w:r>
      <w:r w:rsidR="00A50BD3" w:rsidRPr="007905D1">
        <w:rPr>
          <w:rFonts w:ascii="Arial" w:hAnsi="Arial" w:cs="Arial"/>
          <w:b/>
          <w:bCs/>
          <w:sz w:val="28"/>
          <w:szCs w:val="28"/>
        </w:rPr>
        <w:t>202402045</w:t>
      </w:r>
    </w:p>
    <w:p w14:paraId="7D01C6F7" w14:textId="0F551A19" w:rsidR="00221A14" w:rsidRPr="0077768B" w:rsidRDefault="00D059F7" w:rsidP="00221A14">
      <w:pPr>
        <w:jc w:val="center"/>
        <w:rPr>
          <w:rFonts w:ascii="Arial" w:hAnsi="Arial" w:cs="Arial"/>
          <w:sz w:val="28"/>
          <w:szCs w:val="28"/>
        </w:rPr>
      </w:pPr>
      <w:r w:rsidRPr="0077768B">
        <w:rPr>
          <w:rFonts w:ascii="Arial" w:hAnsi="Arial" w:cs="Arial"/>
          <w:b/>
          <w:sz w:val="28"/>
          <w:szCs w:val="28"/>
        </w:rPr>
        <w:t>Energy Burden Study</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60002E0E" w:rsidR="00A62F45" w:rsidRPr="00C97934" w:rsidRDefault="00FE4339"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1C4E733B"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w:t>
      </w:r>
      <w:r w:rsidRPr="007905D1">
        <w:rPr>
          <w:rStyle w:val="InitialStyle"/>
          <w:rFonts w:ascii="Arial" w:hAnsi="Arial" w:cs="Arial"/>
          <w:b/>
          <w:sz w:val="28"/>
          <w:szCs w:val="28"/>
        </w:rPr>
        <w:t xml:space="preserve">FP# </w:t>
      </w:r>
      <w:r w:rsidR="00A50BD3" w:rsidRPr="007905D1">
        <w:rPr>
          <w:rStyle w:val="InitialStyle"/>
          <w:rFonts w:ascii="Arial" w:hAnsi="Arial" w:cs="Arial"/>
          <w:b/>
          <w:bCs/>
          <w:sz w:val="28"/>
          <w:szCs w:val="28"/>
        </w:rPr>
        <w:t>202402045</w:t>
      </w:r>
    </w:p>
    <w:p w14:paraId="2ADA0FAF" w14:textId="1F111D65" w:rsidR="00A62F45" w:rsidRPr="0077768B" w:rsidRDefault="00D059F7" w:rsidP="007D50B8">
      <w:pPr>
        <w:pStyle w:val="DefaultText"/>
        <w:jc w:val="center"/>
        <w:rPr>
          <w:rStyle w:val="InitialStyle"/>
          <w:rFonts w:ascii="Arial" w:hAnsi="Arial" w:cs="Arial"/>
          <w:b/>
          <w:sz w:val="28"/>
          <w:szCs w:val="28"/>
        </w:rPr>
      </w:pPr>
      <w:r w:rsidRPr="0077768B">
        <w:rPr>
          <w:rStyle w:val="InitialStyle"/>
          <w:rFonts w:ascii="Arial" w:hAnsi="Arial" w:cs="Arial"/>
          <w:b/>
          <w:sz w:val="28"/>
          <w:szCs w:val="28"/>
        </w:rPr>
        <w:t>Energy Burden Study</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466BC3C" w:rsidR="003D5C04" w:rsidRPr="00C97934" w:rsidRDefault="00FE4339"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Office of the Public Advocate</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1826107D" w:rsidR="003D5C04" w:rsidRPr="007905D1" w:rsidRDefault="003D5C04" w:rsidP="003D5C04">
      <w:pPr>
        <w:pStyle w:val="DefaultText"/>
        <w:jc w:val="center"/>
        <w:rPr>
          <w:rStyle w:val="InitialStyle"/>
          <w:rFonts w:ascii="Arial" w:hAnsi="Arial" w:cs="Arial"/>
          <w:b/>
          <w:sz w:val="28"/>
          <w:szCs w:val="28"/>
        </w:rPr>
      </w:pPr>
      <w:r w:rsidRPr="007905D1">
        <w:rPr>
          <w:rStyle w:val="InitialStyle"/>
          <w:rFonts w:ascii="Arial" w:hAnsi="Arial" w:cs="Arial"/>
          <w:b/>
          <w:sz w:val="28"/>
          <w:szCs w:val="28"/>
        </w:rPr>
        <w:t xml:space="preserve">RFP# </w:t>
      </w:r>
      <w:r w:rsidR="00A50BD3" w:rsidRPr="007905D1">
        <w:rPr>
          <w:rStyle w:val="InitialStyle"/>
          <w:rFonts w:ascii="Arial" w:hAnsi="Arial" w:cs="Arial"/>
          <w:b/>
          <w:bCs/>
          <w:sz w:val="28"/>
          <w:szCs w:val="28"/>
        </w:rPr>
        <w:t>202402045</w:t>
      </w:r>
    </w:p>
    <w:p w14:paraId="2BDD0DCA" w14:textId="2B76D4CF" w:rsidR="003D5C04" w:rsidRPr="0077768B" w:rsidRDefault="00D059F7" w:rsidP="003D5C04">
      <w:pPr>
        <w:pStyle w:val="DefaultText"/>
        <w:jc w:val="center"/>
        <w:rPr>
          <w:rStyle w:val="InitialStyle"/>
          <w:rFonts w:ascii="Arial" w:hAnsi="Arial" w:cs="Arial"/>
          <w:b/>
          <w:sz w:val="28"/>
          <w:szCs w:val="28"/>
        </w:rPr>
      </w:pPr>
      <w:r w:rsidRPr="0077768B">
        <w:rPr>
          <w:rStyle w:val="InitialStyle"/>
          <w:rFonts w:ascii="Arial" w:hAnsi="Arial" w:cs="Arial"/>
          <w:b/>
          <w:sz w:val="28"/>
          <w:szCs w:val="28"/>
        </w:rPr>
        <w:t>Energy Burden Study</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2B9666E" w:rsidR="00221A14" w:rsidRPr="00C97934" w:rsidRDefault="00FE4339" w:rsidP="00221A14">
      <w:pPr>
        <w:jc w:val="center"/>
        <w:rPr>
          <w:rFonts w:ascii="Arial" w:hAnsi="Arial" w:cs="Arial"/>
          <w:b/>
          <w:color w:val="FF0000"/>
          <w:sz w:val="28"/>
          <w:szCs w:val="28"/>
        </w:rPr>
      </w:pPr>
      <w:r>
        <w:rPr>
          <w:rFonts w:ascii="Arial" w:hAnsi="Arial" w:cs="Arial"/>
          <w:b/>
          <w:sz w:val="28"/>
          <w:szCs w:val="28"/>
        </w:rPr>
        <w:t>Office of the Public Advocate</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1B70416"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7905D1">
        <w:rPr>
          <w:rFonts w:ascii="Arial" w:hAnsi="Arial" w:cs="Arial"/>
          <w:b/>
          <w:sz w:val="28"/>
          <w:szCs w:val="28"/>
        </w:rPr>
        <w:t xml:space="preserve"># </w:t>
      </w:r>
      <w:r w:rsidR="00A50BD3" w:rsidRPr="007905D1">
        <w:rPr>
          <w:rFonts w:ascii="Arial" w:hAnsi="Arial" w:cs="Arial"/>
          <w:b/>
          <w:bCs/>
          <w:sz w:val="28"/>
          <w:szCs w:val="28"/>
        </w:rPr>
        <w:t>202402045</w:t>
      </w:r>
    </w:p>
    <w:p w14:paraId="55DF4705" w14:textId="56186271" w:rsidR="00221A14" w:rsidRPr="0077768B" w:rsidRDefault="00D059F7" w:rsidP="00221A14">
      <w:pPr>
        <w:jc w:val="center"/>
        <w:rPr>
          <w:rFonts w:ascii="Arial" w:hAnsi="Arial" w:cs="Arial"/>
          <w:b/>
          <w:sz w:val="28"/>
          <w:szCs w:val="28"/>
        </w:rPr>
      </w:pPr>
      <w:r w:rsidRPr="0077768B">
        <w:rPr>
          <w:rFonts w:ascii="Arial" w:hAnsi="Arial" w:cs="Arial"/>
          <w:b/>
          <w:sz w:val="28"/>
          <w:szCs w:val="28"/>
        </w:rPr>
        <w:t>Energy Burden Study</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3BB805EA" w14:textId="77777777" w:rsidR="00FE4339" w:rsidRDefault="00FE4339" w:rsidP="00FE43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EE23AB8" w14:textId="0C1FD195" w:rsidR="00FE4339" w:rsidRDefault="00FE4339" w:rsidP="00FE43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Pr>
          <w:rFonts w:ascii="Arial" w:hAnsi="Arial" w:cs="Arial"/>
          <w:sz w:val="24"/>
          <w:szCs w:val="24"/>
        </w:rPr>
        <w:t xml:space="preserve">Bidders must complete the tables below. The Total Project Cost will cover the Initial Period of Performance as described in Part I, C and be used in the scoring formula defined in Part V, B.3. of the RFP. </w:t>
      </w:r>
    </w:p>
    <w:p w14:paraId="47F3A319" w14:textId="77777777" w:rsidR="00FE4339" w:rsidRPr="00C97934" w:rsidRDefault="00FE4339" w:rsidP="00FE4339">
      <w:pPr>
        <w:widowControl/>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3150"/>
      </w:tblGrid>
      <w:tr w:rsidR="00FE4339" w:rsidRPr="002C68C7" w14:paraId="484B1974" w14:textId="77777777" w:rsidTr="00FE4339">
        <w:tc>
          <w:tcPr>
            <w:tcW w:w="6840" w:type="dxa"/>
            <w:shd w:val="clear" w:color="auto" w:fill="C6D9F1"/>
            <w:vAlign w:val="center"/>
          </w:tcPr>
          <w:p w14:paraId="68C4D277" w14:textId="77777777" w:rsidR="00FE4339" w:rsidRPr="002C68C7" w:rsidRDefault="00FE4339" w:rsidP="00FE4339">
            <w:pPr>
              <w:tabs>
                <w:tab w:val="left" w:pos="90"/>
              </w:tabs>
              <w:ind w:left="180"/>
              <w:jc w:val="center"/>
              <w:rPr>
                <w:rFonts w:ascii="Arial" w:hAnsi="Arial" w:cs="Arial"/>
                <w:sz w:val="24"/>
                <w:szCs w:val="24"/>
              </w:rPr>
            </w:pPr>
            <w:r w:rsidRPr="002C68C7">
              <w:rPr>
                <w:rFonts w:ascii="Arial" w:hAnsi="Arial" w:cs="Arial"/>
                <w:b/>
                <w:sz w:val="24"/>
                <w:szCs w:val="24"/>
              </w:rPr>
              <w:t xml:space="preserve">Staff Resources – Employees </w:t>
            </w:r>
            <w:r w:rsidRPr="006207BF">
              <w:rPr>
                <w:rFonts w:ascii="Arial" w:hAnsi="Arial" w:cs="Arial"/>
                <w:bCs/>
                <w:sz w:val="24"/>
                <w:szCs w:val="24"/>
              </w:rPr>
              <w:t>(Titles/Hourly Rates)</w:t>
            </w:r>
          </w:p>
        </w:tc>
        <w:tc>
          <w:tcPr>
            <w:tcW w:w="3150" w:type="dxa"/>
            <w:shd w:val="clear" w:color="auto" w:fill="C6D9F1"/>
            <w:vAlign w:val="center"/>
          </w:tcPr>
          <w:p w14:paraId="61CB1E02" w14:textId="77777777" w:rsidR="00FE4339" w:rsidRPr="002C68C7" w:rsidRDefault="00FE4339" w:rsidP="00FE4339">
            <w:pPr>
              <w:tabs>
                <w:tab w:val="left" w:pos="90"/>
              </w:tabs>
              <w:ind w:left="180"/>
              <w:jc w:val="center"/>
              <w:rPr>
                <w:rFonts w:ascii="Arial" w:hAnsi="Arial" w:cs="Arial"/>
                <w:sz w:val="24"/>
                <w:szCs w:val="24"/>
              </w:rPr>
            </w:pPr>
            <w:r w:rsidRPr="002C68C7">
              <w:rPr>
                <w:rFonts w:ascii="Arial" w:hAnsi="Arial" w:cs="Arial"/>
                <w:b/>
                <w:sz w:val="24"/>
                <w:szCs w:val="24"/>
              </w:rPr>
              <w:t>Projected Costs</w:t>
            </w:r>
          </w:p>
        </w:tc>
      </w:tr>
      <w:tr w:rsidR="00FE4339" w:rsidRPr="002C68C7" w14:paraId="403EA54F" w14:textId="77777777" w:rsidTr="00FE4339">
        <w:tc>
          <w:tcPr>
            <w:tcW w:w="6840" w:type="dxa"/>
          </w:tcPr>
          <w:p w14:paraId="041C521C" w14:textId="77777777" w:rsidR="00FE4339" w:rsidRPr="00B4012A" w:rsidRDefault="00FE4339" w:rsidP="00FE4339">
            <w:pPr>
              <w:tabs>
                <w:tab w:val="left" w:pos="90"/>
              </w:tabs>
              <w:ind w:left="180"/>
              <w:jc w:val="both"/>
              <w:rPr>
                <w:rFonts w:ascii="Arial" w:hAnsi="Arial" w:cs="Arial"/>
                <w:sz w:val="24"/>
                <w:szCs w:val="24"/>
              </w:rPr>
            </w:pPr>
          </w:p>
        </w:tc>
        <w:tc>
          <w:tcPr>
            <w:tcW w:w="3150" w:type="dxa"/>
          </w:tcPr>
          <w:p w14:paraId="4D869CEA" w14:textId="77777777" w:rsidR="00FE4339" w:rsidRPr="002C68C7" w:rsidRDefault="00FE4339" w:rsidP="00FE4339">
            <w:pPr>
              <w:tabs>
                <w:tab w:val="left" w:pos="90"/>
              </w:tabs>
              <w:ind w:left="180"/>
              <w:jc w:val="both"/>
              <w:rPr>
                <w:rFonts w:ascii="Arial" w:hAnsi="Arial" w:cs="Arial"/>
                <w:sz w:val="24"/>
                <w:szCs w:val="24"/>
              </w:rPr>
            </w:pPr>
          </w:p>
        </w:tc>
      </w:tr>
      <w:tr w:rsidR="00FE4339" w:rsidRPr="002C68C7" w14:paraId="7AA32CF8" w14:textId="77777777" w:rsidTr="00FE4339">
        <w:tc>
          <w:tcPr>
            <w:tcW w:w="6840" w:type="dxa"/>
          </w:tcPr>
          <w:p w14:paraId="3E589B8B" w14:textId="77777777" w:rsidR="00FE4339" w:rsidRPr="00B4012A" w:rsidRDefault="00FE4339" w:rsidP="00FE4339">
            <w:pPr>
              <w:tabs>
                <w:tab w:val="left" w:pos="90"/>
              </w:tabs>
              <w:ind w:left="180"/>
              <w:jc w:val="both"/>
              <w:rPr>
                <w:rFonts w:ascii="Arial" w:hAnsi="Arial" w:cs="Arial"/>
                <w:sz w:val="24"/>
                <w:szCs w:val="24"/>
              </w:rPr>
            </w:pPr>
          </w:p>
        </w:tc>
        <w:tc>
          <w:tcPr>
            <w:tcW w:w="3150" w:type="dxa"/>
          </w:tcPr>
          <w:p w14:paraId="68540726" w14:textId="77777777" w:rsidR="00FE4339" w:rsidRPr="002C68C7" w:rsidRDefault="00FE4339" w:rsidP="00FE4339">
            <w:pPr>
              <w:tabs>
                <w:tab w:val="left" w:pos="90"/>
              </w:tabs>
              <w:ind w:left="180"/>
              <w:jc w:val="both"/>
              <w:rPr>
                <w:rFonts w:ascii="Arial" w:hAnsi="Arial" w:cs="Arial"/>
                <w:sz w:val="24"/>
                <w:szCs w:val="24"/>
              </w:rPr>
            </w:pPr>
          </w:p>
        </w:tc>
      </w:tr>
      <w:tr w:rsidR="00FE4339" w:rsidRPr="002C68C7" w14:paraId="61E1F13F" w14:textId="77777777" w:rsidTr="00FE4339">
        <w:tc>
          <w:tcPr>
            <w:tcW w:w="6840" w:type="dxa"/>
          </w:tcPr>
          <w:p w14:paraId="61012313" w14:textId="77777777" w:rsidR="00FE4339" w:rsidRPr="00B4012A" w:rsidRDefault="00FE4339" w:rsidP="00FE4339">
            <w:pPr>
              <w:tabs>
                <w:tab w:val="left" w:pos="90"/>
              </w:tabs>
              <w:ind w:left="180"/>
              <w:jc w:val="both"/>
              <w:rPr>
                <w:rFonts w:ascii="Arial" w:hAnsi="Arial" w:cs="Arial"/>
                <w:sz w:val="24"/>
                <w:szCs w:val="24"/>
              </w:rPr>
            </w:pPr>
          </w:p>
        </w:tc>
        <w:tc>
          <w:tcPr>
            <w:tcW w:w="3150" w:type="dxa"/>
          </w:tcPr>
          <w:p w14:paraId="03AB68D9" w14:textId="77777777" w:rsidR="00FE4339" w:rsidRPr="002C68C7" w:rsidRDefault="00FE4339" w:rsidP="00FE4339">
            <w:pPr>
              <w:tabs>
                <w:tab w:val="left" w:pos="90"/>
              </w:tabs>
              <w:ind w:left="180"/>
              <w:jc w:val="both"/>
              <w:rPr>
                <w:rFonts w:ascii="Arial" w:hAnsi="Arial" w:cs="Arial"/>
                <w:sz w:val="24"/>
                <w:szCs w:val="24"/>
              </w:rPr>
            </w:pPr>
          </w:p>
        </w:tc>
      </w:tr>
      <w:tr w:rsidR="00FE4339" w:rsidRPr="002C68C7" w14:paraId="2E06FC63" w14:textId="77777777" w:rsidTr="00FE4339">
        <w:tc>
          <w:tcPr>
            <w:tcW w:w="6840" w:type="dxa"/>
          </w:tcPr>
          <w:p w14:paraId="33F0E25E" w14:textId="77777777" w:rsidR="00FE4339" w:rsidRPr="002C68C7" w:rsidRDefault="00FE4339" w:rsidP="00FE4339">
            <w:pPr>
              <w:tabs>
                <w:tab w:val="left" w:pos="90"/>
              </w:tabs>
              <w:ind w:left="180"/>
              <w:jc w:val="right"/>
              <w:rPr>
                <w:rFonts w:ascii="Arial" w:hAnsi="Arial" w:cs="Arial"/>
                <w:b/>
                <w:sz w:val="24"/>
                <w:szCs w:val="24"/>
              </w:rPr>
            </w:pPr>
            <w:r w:rsidRPr="002C68C7">
              <w:rPr>
                <w:rFonts w:ascii="Arial" w:hAnsi="Arial" w:cs="Arial"/>
                <w:b/>
                <w:sz w:val="24"/>
                <w:szCs w:val="24"/>
              </w:rPr>
              <w:t>Total Staff Costs</w:t>
            </w:r>
          </w:p>
        </w:tc>
        <w:tc>
          <w:tcPr>
            <w:tcW w:w="3150" w:type="dxa"/>
          </w:tcPr>
          <w:p w14:paraId="3B28F9E1"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5D0D3F06" w14:textId="77777777" w:rsidR="00FE4339" w:rsidRPr="002C68C7" w:rsidRDefault="00FE4339" w:rsidP="00FE4339">
      <w:pPr>
        <w:tabs>
          <w:tab w:val="left" w:pos="90"/>
        </w:tabs>
        <w:ind w:left="180"/>
        <w:jc w:val="both"/>
        <w:rPr>
          <w:rFonts w:ascii="Arial" w:hAnsi="Arial" w:cs="Arial"/>
          <w:b/>
          <w:sz w:val="24"/>
          <w:szCs w:val="24"/>
        </w:rPr>
      </w:pPr>
    </w:p>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50"/>
      </w:tblGrid>
      <w:tr w:rsidR="00FE4339" w:rsidRPr="002C68C7" w14:paraId="7EC3CF57" w14:textId="77777777" w:rsidTr="00FE4339">
        <w:tc>
          <w:tcPr>
            <w:tcW w:w="6750" w:type="dxa"/>
            <w:shd w:val="clear" w:color="auto" w:fill="C6D9F1"/>
          </w:tcPr>
          <w:p w14:paraId="6037B9F2"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Purchased Services – Non-Employees</w:t>
            </w:r>
          </w:p>
        </w:tc>
        <w:tc>
          <w:tcPr>
            <w:tcW w:w="3150" w:type="dxa"/>
            <w:shd w:val="clear" w:color="auto" w:fill="C6D9F1"/>
          </w:tcPr>
          <w:p w14:paraId="54E560EA"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FE4339" w:rsidRPr="002C68C7" w14:paraId="693D45BE" w14:textId="77777777" w:rsidTr="00FE4339">
        <w:tc>
          <w:tcPr>
            <w:tcW w:w="6750" w:type="dxa"/>
          </w:tcPr>
          <w:p w14:paraId="38F630BF" w14:textId="77777777" w:rsidR="00FE4339" w:rsidRPr="00B4012A" w:rsidRDefault="00FE4339" w:rsidP="00FE4339">
            <w:pPr>
              <w:tabs>
                <w:tab w:val="left" w:pos="90"/>
              </w:tabs>
              <w:ind w:left="180"/>
              <w:jc w:val="both"/>
              <w:rPr>
                <w:rFonts w:ascii="Arial" w:hAnsi="Arial" w:cs="Arial"/>
                <w:bCs/>
                <w:sz w:val="24"/>
                <w:szCs w:val="24"/>
              </w:rPr>
            </w:pPr>
            <w:r w:rsidRPr="00B4012A">
              <w:rPr>
                <w:rFonts w:ascii="Arial" w:hAnsi="Arial" w:cs="Arial"/>
                <w:bCs/>
                <w:sz w:val="24"/>
                <w:szCs w:val="24"/>
              </w:rPr>
              <w:t>Consultants (including travel, etc.)</w:t>
            </w:r>
          </w:p>
        </w:tc>
        <w:tc>
          <w:tcPr>
            <w:tcW w:w="3150" w:type="dxa"/>
          </w:tcPr>
          <w:p w14:paraId="57B8D7D7"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r w:rsidR="00FE4339" w:rsidRPr="002C68C7" w14:paraId="569DDF71" w14:textId="77777777" w:rsidTr="00FE4339">
        <w:tc>
          <w:tcPr>
            <w:tcW w:w="6750" w:type="dxa"/>
          </w:tcPr>
          <w:p w14:paraId="6EA986C7" w14:textId="77777777" w:rsidR="00FE4339" w:rsidRPr="00B4012A" w:rsidRDefault="00FE4339" w:rsidP="00FE4339">
            <w:pPr>
              <w:tabs>
                <w:tab w:val="left" w:pos="90"/>
              </w:tabs>
              <w:ind w:left="180"/>
              <w:jc w:val="both"/>
              <w:rPr>
                <w:rFonts w:ascii="Arial" w:hAnsi="Arial" w:cs="Arial"/>
                <w:bCs/>
                <w:sz w:val="24"/>
                <w:szCs w:val="24"/>
              </w:rPr>
            </w:pPr>
            <w:r w:rsidRPr="00B4012A">
              <w:rPr>
                <w:rFonts w:ascii="Arial" w:hAnsi="Arial" w:cs="Arial"/>
                <w:bCs/>
                <w:sz w:val="24"/>
                <w:szCs w:val="24"/>
              </w:rPr>
              <w:t>Other (Describe)</w:t>
            </w:r>
          </w:p>
        </w:tc>
        <w:tc>
          <w:tcPr>
            <w:tcW w:w="3150" w:type="dxa"/>
          </w:tcPr>
          <w:p w14:paraId="78A46AB0"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r w:rsidR="00FE4339" w:rsidRPr="002C68C7" w14:paraId="6B25E8E5" w14:textId="77777777" w:rsidTr="00FE4339">
        <w:tc>
          <w:tcPr>
            <w:tcW w:w="6750" w:type="dxa"/>
          </w:tcPr>
          <w:p w14:paraId="0191D57C" w14:textId="77777777" w:rsidR="00FE4339" w:rsidRPr="00B4012A" w:rsidRDefault="00FE4339" w:rsidP="00FE4339">
            <w:pPr>
              <w:tabs>
                <w:tab w:val="left" w:pos="90"/>
              </w:tabs>
              <w:ind w:left="180"/>
              <w:jc w:val="both"/>
              <w:rPr>
                <w:rFonts w:ascii="Arial" w:hAnsi="Arial" w:cs="Arial"/>
                <w:bCs/>
                <w:sz w:val="24"/>
                <w:szCs w:val="24"/>
              </w:rPr>
            </w:pPr>
          </w:p>
        </w:tc>
        <w:tc>
          <w:tcPr>
            <w:tcW w:w="3150" w:type="dxa"/>
          </w:tcPr>
          <w:p w14:paraId="52B7AAF2" w14:textId="77777777" w:rsidR="00FE4339" w:rsidRPr="002C68C7" w:rsidRDefault="00FE4339" w:rsidP="00FE4339">
            <w:pPr>
              <w:tabs>
                <w:tab w:val="left" w:pos="90"/>
              </w:tabs>
              <w:ind w:left="180"/>
              <w:jc w:val="both"/>
              <w:rPr>
                <w:rFonts w:ascii="Arial" w:hAnsi="Arial" w:cs="Arial"/>
                <w:b/>
                <w:sz w:val="24"/>
                <w:szCs w:val="24"/>
              </w:rPr>
            </w:pPr>
          </w:p>
        </w:tc>
      </w:tr>
      <w:tr w:rsidR="00FE4339" w:rsidRPr="002C68C7" w14:paraId="7742C43F" w14:textId="77777777" w:rsidTr="00FE4339">
        <w:tc>
          <w:tcPr>
            <w:tcW w:w="6750" w:type="dxa"/>
            <w:tcBorders>
              <w:bottom w:val="single" w:sz="4" w:space="0" w:color="auto"/>
            </w:tcBorders>
          </w:tcPr>
          <w:p w14:paraId="28647C79" w14:textId="77777777" w:rsidR="00FE4339" w:rsidRPr="00B4012A" w:rsidRDefault="00FE4339" w:rsidP="00FE4339">
            <w:pPr>
              <w:tabs>
                <w:tab w:val="left" w:pos="90"/>
              </w:tabs>
              <w:ind w:left="180"/>
              <w:jc w:val="both"/>
              <w:rPr>
                <w:rFonts w:ascii="Arial" w:hAnsi="Arial" w:cs="Arial"/>
                <w:bCs/>
                <w:sz w:val="24"/>
                <w:szCs w:val="24"/>
              </w:rPr>
            </w:pPr>
          </w:p>
        </w:tc>
        <w:tc>
          <w:tcPr>
            <w:tcW w:w="3150" w:type="dxa"/>
            <w:tcBorders>
              <w:bottom w:val="single" w:sz="4" w:space="0" w:color="auto"/>
            </w:tcBorders>
          </w:tcPr>
          <w:p w14:paraId="3207FB5C" w14:textId="77777777" w:rsidR="00FE4339" w:rsidRPr="002C68C7" w:rsidRDefault="00FE4339" w:rsidP="00FE4339">
            <w:pPr>
              <w:tabs>
                <w:tab w:val="left" w:pos="90"/>
              </w:tabs>
              <w:ind w:left="180"/>
              <w:jc w:val="both"/>
              <w:rPr>
                <w:rFonts w:ascii="Arial" w:hAnsi="Arial" w:cs="Arial"/>
                <w:b/>
                <w:sz w:val="24"/>
                <w:szCs w:val="24"/>
              </w:rPr>
            </w:pPr>
          </w:p>
        </w:tc>
      </w:tr>
      <w:tr w:rsidR="00FE4339" w:rsidRPr="002C68C7" w14:paraId="673CF8DC" w14:textId="77777777" w:rsidTr="00FE4339">
        <w:tc>
          <w:tcPr>
            <w:tcW w:w="6750" w:type="dxa"/>
            <w:tcBorders>
              <w:bottom w:val="single" w:sz="4" w:space="0" w:color="auto"/>
            </w:tcBorders>
          </w:tcPr>
          <w:p w14:paraId="576F9E32" w14:textId="77777777" w:rsidR="00FE4339" w:rsidRPr="002C68C7" w:rsidRDefault="00FE4339" w:rsidP="00FE4339">
            <w:pPr>
              <w:tabs>
                <w:tab w:val="left" w:pos="90"/>
              </w:tabs>
              <w:ind w:left="180"/>
              <w:jc w:val="right"/>
              <w:rPr>
                <w:rFonts w:ascii="Arial" w:hAnsi="Arial" w:cs="Arial"/>
                <w:b/>
                <w:sz w:val="24"/>
                <w:szCs w:val="24"/>
              </w:rPr>
            </w:pPr>
            <w:r w:rsidRPr="002C68C7">
              <w:rPr>
                <w:rFonts w:ascii="Arial" w:hAnsi="Arial" w:cs="Arial"/>
                <w:b/>
                <w:sz w:val="24"/>
                <w:szCs w:val="24"/>
              </w:rPr>
              <w:t>Total Purchased Services</w:t>
            </w:r>
          </w:p>
        </w:tc>
        <w:tc>
          <w:tcPr>
            <w:tcW w:w="3150" w:type="dxa"/>
            <w:tcBorders>
              <w:bottom w:val="single" w:sz="4" w:space="0" w:color="auto"/>
            </w:tcBorders>
          </w:tcPr>
          <w:p w14:paraId="7014C0FF"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r w:rsidR="00FE4339" w:rsidRPr="002C68C7" w14:paraId="38044F0E" w14:textId="77777777" w:rsidTr="00FE4339">
        <w:trPr>
          <w:trHeight w:val="170"/>
        </w:trPr>
        <w:tc>
          <w:tcPr>
            <w:tcW w:w="6750" w:type="dxa"/>
            <w:tcBorders>
              <w:top w:val="single" w:sz="4" w:space="0" w:color="auto"/>
              <w:left w:val="nil"/>
              <w:bottom w:val="single" w:sz="4" w:space="0" w:color="auto"/>
              <w:right w:val="nil"/>
            </w:tcBorders>
          </w:tcPr>
          <w:p w14:paraId="29240470" w14:textId="77777777" w:rsidR="00FE4339" w:rsidRPr="002C68C7" w:rsidRDefault="00FE4339" w:rsidP="00FE4339">
            <w:pPr>
              <w:tabs>
                <w:tab w:val="left" w:pos="90"/>
              </w:tabs>
              <w:ind w:left="180"/>
              <w:rPr>
                <w:rFonts w:ascii="Arial" w:hAnsi="Arial" w:cs="Arial"/>
                <w:b/>
                <w:sz w:val="24"/>
                <w:szCs w:val="24"/>
              </w:rPr>
            </w:pPr>
          </w:p>
        </w:tc>
        <w:tc>
          <w:tcPr>
            <w:tcW w:w="3150" w:type="dxa"/>
            <w:tcBorders>
              <w:top w:val="single" w:sz="4" w:space="0" w:color="auto"/>
              <w:left w:val="nil"/>
              <w:bottom w:val="single" w:sz="4" w:space="0" w:color="auto"/>
              <w:right w:val="nil"/>
            </w:tcBorders>
          </w:tcPr>
          <w:p w14:paraId="65CB0178" w14:textId="77777777" w:rsidR="00FE4339" w:rsidRPr="002C68C7" w:rsidRDefault="00FE4339" w:rsidP="00FE4339">
            <w:pPr>
              <w:tabs>
                <w:tab w:val="left" w:pos="90"/>
              </w:tabs>
              <w:ind w:left="180"/>
              <w:jc w:val="both"/>
              <w:rPr>
                <w:rFonts w:ascii="Arial" w:hAnsi="Arial" w:cs="Arial"/>
                <w:b/>
                <w:sz w:val="24"/>
                <w:szCs w:val="24"/>
              </w:rPr>
            </w:pPr>
          </w:p>
        </w:tc>
      </w:tr>
      <w:tr w:rsidR="00FE4339" w:rsidRPr="002C68C7" w14:paraId="67059D39" w14:textId="77777777" w:rsidTr="00FE4339">
        <w:tc>
          <w:tcPr>
            <w:tcW w:w="6750" w:type="dxa"/>
            <w:tcBorders>
              <w:top w:val="single" w:sz="4" w:space="0" w:color="auto"/>
              <w:left w:val="single" w:sz="4" w:space="0" w:color="auto"/>
              <w:bottom w:val="single" w:sz="4" w:space="0" w:color="auto"/>
              <w:right w:val="single" w:sz="4" w:space="0" w:color="auto"/>
            </w:tcBorders>
            <w:shd w:val="clear" w:color="auto" w:fill="C6D9F1"/>
          </w:tcPr>
          <w:p w14:paraId="1859AC99" w14:textId="77777777" w:rsidR="00FE4339" w:rsidRPr="002C68C7" w:rsidRDefault="00FE4339" w:rsidP="00FE4339">
            <w:pPr>
              <w:tabs>
                <w:tab w:val="left" w:pos="90"/>
              </w:tabs>
              <w:ind w:left="180"/>
              <w:jc w:val="center"/>
              <w:rPr>
                <w:rFonts w:ascii="Arial" w:hAnsi="Arial" w:cs="Arial"/>
                <w:b/>
                <w:sz w:val="24"/>
                <w:szCs w:val="24"/>
              </w:rPr>
            </w:pPr>
            <w:r>
              <w:rPr>
                <w:rFonts w:ascii="Arial" w:hAnsi="Arial" w:cs="Arial"/>
                <w:b/>
                <w:sz w:val="24"/>
                <w:szCs w:val="24"/>
              </w:rPr>
              <w:t>Subcontracting</w:t>
            </w:r>
            <w:r w:rsidRPr="002C68C7">
              <w:rPr>
                <w:rFonts w:ascii="Arial" w:hAnsi="Arial" w:cs="Arial"/>
                <w:b/>
                <w:sz w:val="24"/>
                <w:szCs w:val="24"/>
              </w:rPr>
              <w:t xml:space="preserve"> – Non-Employees</w:t>
            </w:r>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433F1B42" w14:textId="76233990" w:rsidR="00FE4339" w:rsidRPr="002C68C7" w:rsidRDefault="00FE4339" w:rsidP="002C76C5">
            <w:pPr>
              <w:tabs>
                <w:tab w:val="left" w:pos="706"/>
              </w:tabs>
              <w:ind w:left="706"/>
              <w:jc w:val="both"/>
              <w:rPr>
                <w:rFonts w:ascii="Arial" w:hAnsi="Arial" w:cs="Arial"/>
                <w:b/>
                <w:sz w:val="24"/>
                <w:szCs w:val="24"/>
              </w:rPr>
            </w:pPr>
            <w:r w:rsidRPr="002C68C7">
              <w:rPr>
                <w:rFonts w:ascii="Arial" w:hAnsi="Arial" w:cs="Arial"/>
                <w:b/>
                <w:sz w:val="24"/>
                <w:szCs w:val="24"/>
              </w:rPr>
              <w:t>Projected Costs</w:t>
            </w:r>
          </w:p>
        </w:tc>
      </w:tr>
      <w:tr w:rsidR="00FE4339" w:rsidRPr="002C68C7" w14:paraId="5DD7E016" w14:textId="77777777" w:rsidTr="00FE4339">
        <w:tc>
          <w:tcPr>
            <w:tcW w:w="6750" w:type="dxa"/>
            <w:tcBorders>
              <w:top w:val="single" w:sz="4" w:space="0" w:color="auto"/>
              <w:left w:val="single" w:sz="4" w:space="0" w:color="auto"/>
              <w:bottom w:val="single" w:sz="4" w:space="0" w:color="auto"/>
              <w:right w:val="single" w:sz="4" w:space="0" w:color="auto"/>
            </w:tcBorders>
          </w:tcPr>
          <w:p w14:paraId="5D6D8346" w14:textId="77777777" w:rsidR="00FE4339" w:rsidRPr="00B4012A" w:rsidRDefault="00FE4339" w:rsidP="00FE4339">
            <w:pPr>
              <w:tabs>
                <w:tab w:val="left" w:pos="90"/>
              </w:tabs>
              <w:ind w:left="180"/>
              <w:rPr>
                <w:rFonts w:ascii="Arial" w:hAnsi="Arial" w:cs="Arial"/>
                <w:bCs/>
                <w:sz w:val="24"/>
                <w:szCs w:val="24"/>
              </w:rPr>
            </w:pPr>
            <w:r w:rsidRPr="00B4012A">
              <w:rPr>
                <w:rFonts w:ascii="Arial" w:hAnsi="Arial" w:cs="Arial"/>
                <w:bCs/>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4D520007" w14:textId="77777777" w:rsidR="00FE4339" w:rsidRPr="002C68C7" w:rsidRDefault="00FE4339" w:rsidP="00FE4339">
            <w:pPr>
              <w:tabs>
                <w:tab w:val="left" w:pos="90"/>
              </w:tabs>
              <w:ind w:left="180"/>
              <w:jc w:val="both"/>
              <w:rPr>
                <w:rFonts w:ascii="Arial" w:hAnsi="Arial" w:cs="Arial"/>
                <w:b/>
                <w:sz w:val="24"/>
                <w:szCs w:val="24"/>
              </w:rPr>
            </w:pPr>
            <w:r>
              <w:rPr>
                <w:rFonts w:ascii="Arial" w:hAnsi="Arial" w:cs="Arial"/>
                <w:b/>
                <w:sz w:val="24"/>
                <w:szCs w:val="24"/>
              </w:rPr>
              <w:t>%_______</w:t>
            </w:r>
          </w:p>
        </w:tc>
      </w:tr>
      <w:tr w:rsidR="00FE4339" w:rsidRPr="002C68C7" w14:paraId="3D1CFA7B" w14:textId="77777777" w:rsidTr="00FE4339">
        <w:tc>
          <w:tcPr>
            <w:tcW w:w="6750" w:type="dxa"/>
            <w:tcBorders>
              <w:top w:val="single" w:sz="4" w:space="0" w:color="auto"/>
              <w:left w:val="single" w:sz="4" w:space="0" w:color="auto"/>
              <w:bottom w:val="single" w:sz="4" w:space="0" w:color="auto"/>
              <w:right w:val="single" w:sz="4" w:space="0" w:color="auto"/>
            </w:tcBorders>
          </w:tcPr>
          <w:p w14:paraId="3DBC9A23" w14:textId="77777777" w:rsidR="00FE4339" w:rsidRPr="00B4012A" w:rsidRDefault="00FE4339" w:rsidP="00FE4339">
            <w:pPr>
              <w:tabs>
                <w:tab w:val="left" w:pos="90"/>
              </w:tabs>
              <w:ind w:left="180"/>
              <w:rPr>
                <w:rFonts w:ascii="Arial" w:hAnsi="Arial" w:cs="Arial"/>
                <w:bCs/>
                <w:sz w:val="24"/>
                <w:szCs w:val="24"/>
              </w:rPr>
            </w:pPr>
            <w:r w:rsidRPr="00B4012A">
              <w:rPr>
                <w:rFonts w:ascii="Arial" w:hAnsi="Arial" w:cs="Arial"/>
                <w:bCs/>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07720B02"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1BC227B6" w14:textId="77777777" w:rsidR="00FE4339" w:rsidRPr="002C68C7" w:rsidRDefault="00FE4339" w:rsidP="00FE4339">
      <w:pPr>
        <w:tabs>
          <w:tab w:val="left" w:pos="90"/>
        </w:tabs>
        <w:ind w:left="180"/>
        <w:jc w:val="both"/>
        <w:rPr>
          <w:rFonts w:ascii="Arial" w:hAnsi="Arial" w:cs="Arial"/>
          <w:b/>
          <w:sz w:val="24"/>
          <w:szCs w:val="24"/>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FE4339" w:rsidRPr="002C68C7" w14:paraId="6E9993E7" w14:textId="77777777" w:rsidTr="00FE4339">
        <w:tc>
          <w:tcPr>
            <w:tcW w:w="6750" w:type="dxa"/>
            <w:shd w:val="clear" w:color="auto" w:fill="C6D9F1"/>
            <w:vAlign w:val="center"/>
          </w:tcPr>
          <w:p w14:paraId="027A4198"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Non-Personal Service Items</w:t>
            </w:r>
          </w:p>
        </w:tc>
        <w:tc>
          <w:tcPr>
            <w:tcW w:w="3145" w:type="dxa"/>
            <w:shd w:val="clear" w:color="auto" w:fill="C6D9F1"/>
            <w:vAlign w:val="center"/>
          </w:tcPr>
          <w:p w14:paraId="27331AD8"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FE4339" w:rsidRPr="002C68C7" w14:paraId="03AD56B2" w14:textId="77777777" w:rsidTr="00FE4339">
        <w:tc>
          <w:tcPr>
            <w:tcW w:w="6750" w:type="dxa"/>
          </w:tcPr>
          <w:p w14:paraId="14CC080C" w14:textId="77777777" w:rsidR="00FE4339" w:rsidRPr="00B4012A" w:rsidRDefault="00FE4339" w:rsidP="00FE4339">
            <w:pPr>
              <w:tabs>
                <w:tab w:val="left" w:pos="90"/>
              </w:tabs>
              <w:ind w:left="180"/>
              <w:jc w:val="both"/>
              <w:rPr>
                <w:rFonts w:ascii="Arial" w:hAnsi="Arial" w:cs="Arial"/>
                <w:bCs/>
                <w:sz w:val="24"/>
                <w:szCs w:val="24"/>
              </w:rPr>
            </w:pPr>
            <w:r w:rsidRPr="00B4012A">
              <w:rPr>
                <w:rFonts w:ascii="Arial" w:hAnsi="Arial" w:cs="Arial"/>
                <w:bCs/>
                <w:sz w:val="24"/>
                <w:szCs w:val="24"/>
              </w:rPr>
              <w:t>Supplies and Materials</w:t>
            </w:r>
          </w:p>
        </w:tc>
        <w:tc>
          <w:tcPr>
            <w:tcW w:w="3145" w:type="dxa"/>
          </w:tcPr>
          <w:p w14:paraId="725D6309"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r w:rsidR="00FE4339" w:rsidRPr="002C68C7" w14:paraId="3D742A93" w14:textId="77777777" w:rsidTr="00FE4339">
        <w:tc>
          <w:tcPr>
            <w:tcW w:w="6750" w:type="dxa"/>
          </w:tcPr>
          <w:p w14:paraId="2BE3990C" w14:textId="77777777" w:rsidR="00FE4339" w:rsidRPr="00B4012A" w:rsidRDefault="00FE4339" w:rsidP="00FE4339">
            <w:pPr>
              <w:tabs>
                <w:tab w:val="left" w:pos="90"/>
              </w:tabs>
              <w:ind w:left="180"/>
              <w:jc w:val="both"/>
              <w:rPr>
                <w:rFonts w:ascii="Arial" w:hAnsi="Arial" w:cs="Arial"/>
                <w:bCs/>
                <w:sz w:val="24"/>
                <w:szCs w:val="24"/>
              </w:rPr>
            </w:pPr>
            <w:r w:rsidRPr="00B4012A">
              <w:rPr>
                <w:rFonts w:ascii="Arial" w:hAnsi="Arial" w:cs="Arial"/>
                <w:bCs/>
                <w:sz w:val="24"/>
                <w:szCs w:val="24"/>
              </w:rPr>
              <w:t>Employee Travel</w:t>
            </w:r>
          </w:p>
        </w:tc>
        <w:tc>
          <w:tcPr>
            <w:tcW w:w="3145" w:type="dxa"/>
          </w:tcPr>
          <w:p w14:paraId="5573258B"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r w:rsidR="00FE4339" w:rsidRPr="002C68C7" w14:paraId="0C8606B3" w14:textId="77777777" w:rsidTr="00FE4339">
        <w:tc>
          <w:tcPr>
            <w:tcW w:w="6750" w:type="dxa"/>
          </w:tcPr>
          <w:p w14:paraId="2C922484" w14:textId="77777777" w:rsidR="00FE4339" w:rsidRPr="00B4012A" w:rsidRDefault="00FE4339" w:rsidP="00FE4339">
            <w:pPr>
              <w:tabs>
                <w:tab w:val="left" w:pos="90"/>
              </w:tabs>
              <w:ind w:left="180"/>
              <w:jc w:val="both"/>
              <w:rPr>
                <w:rFonts w:ascii="Arial" w:hAnsi="Arial" w:cs="Arial"/>
                <w:bCs/>
                <w:sz w:val="24"/>
                <w:szCs w:val="24"/>
              </w:rPr>
            </w:pPr>
          </w:p>
        </w:tc>
        <w:tc>
          <w:tcPr>
            <w:tcW w:w="3145" w:type="dxa"/>
          </w:tcPr>
          <w:p w14:paraId="7D8FB0FE" w14:textId="77777777" w:rsidR="00FE4339" w:rsidRPr="002C68C7" w:rsidRDefault="00FE4339" w:rsidP="00FE4339">
            <w:pPr>
              <w:tabs>
                <w:tab w:val="left" w:pos="90"/>
              </w:tabs>
              <w:ind w:left="180"/>
              <w:jc w:val="both"/>
              <w:rPr>
                <w:rFonts w:ascii="Arial" w:hAnsi="Arial" w:cs="Arial"/>
                <w:b/>
                <w:sz w:val="24"/>
                <w:szCs w:val="24"/>
              </w:rPr>
            </w:pPr>
          </w:p>
        </w:tc>
      </w:tr>
      <w:tr w:rsidR="00FE4339" w:rsidRPr="002C68C7" w14:paraId="50036298" w14:textId="77777777" w:rsidTr="00FE4339">
        <w:tc>
          <w:tcPr>
            <w:tcW w:w="6750" w:type="dxa"/>
          </w:tcPr>
          <w:p w14:paraId="0CBBAF69" w14:textId="77777777" w:rsidR="00FE4339" w:rsidRPr="00B4012A" w:rsidRDefault="00FE4339" w:rsidP="00FE4339">
            <w:pPr>
              <w:tabs>
                <w:tab w:val="left" w:pos="90"/>
              </w:tabs>
              <w:ind w:left="180"/>
              <w:jc w:val="both"/>
              <w:rPr>
                <w:rFonts w:ascii="Arial" w:hAnsi="Arial" w:cs="Arial"/>
                <w:bCs/>
                <w:sz w:val="24"/>
                <w:szCs w:val="24"/>
              </w:rPr>
            </w:pPr>
          </w:p>
        </w:tc>
        <w:tc>
          <w:tcPr>
            <w:tcW w:w="3145" w:type="dxa"/>
          </w:tcPr>
          <w:p w14:paraId="17451355" w14:textId="77777777" w:rsidR="00FE4339" w:rsidRPr="002C68C7" w:rsidRDefault="00FE4339" w:rsidP="00FE4339">
            <w:pPr>
              <w:tabs>
                <w:tab w:val="left" w:pos="90"/>
              </w:tabs>
              <w:ind w:left="180"/>
              <w:jc w:val="both"/>
              <w:rPr>
                <w:rFonts w:ascii="Arial" w:hAnsi="Arial" w:cs="Arial"/>
                <w:b/>
                <w:sz w:val="24"/>
                <w:szCs w:val="24"/>
              </w:rPr>
            </w:pPr>
          </w:p>
        </w:tc>
      </w:tr>
      <w:tr w:rsidR="00FE4339" w:rsidRPr="002C68C7" w14:paraId="353506CB" w14:textId="77777777" w:rsidTr="00FE4339">
        <w:tc>
          <w:tcPr>
            <w:tcW w:w="6750" w:type="dxa"/>
          </w:tcPr>
          <w:p w14:paraId="2CEA3C55" w14:textId="77777777" w:rsidR="00FE4339" w:rsidRPr="002C68C7" w:rsidRDefault="00FE4339" w:rsidP="00FE4339">
            <w:pPr>
              <w:tabs>
                <w:tab w:val="left" w:pos="90"/>
              </w:tabs>
              <w:ind w:left="180"/>
              <w:jc w:val="right"/>
              <w:rPr>
                <w:rFonts w:ascii="Arial" w:hAnsi="Arial" w:cs="Arial"/>
                <w:b/>
                <w:sz w:val="24"/>
                <w:szCs w:val="24"/>
              </w:rPr>
            </w:pPr>
            <w:r w:rsidRPr="002C68C7">
              <w:rPr>
                <w:rFonts w:ascii="Arial" w:hAnsi="Arial" w:cs="Arial"/>
                <w:b/>
                <w:sz w:val="24"/>
                <w:szCs w:val="24"/>
              </w:rPr>
              <w:t>Total Non-Personal Service Items</w:t>
            </w:r>
          </w:p>
        </w:tc>
        <w:tc>
          <w:tcPr>
            <w:tcW w:w="3145" w:type="dxa"/>
          </w:tcPr>
          <w:p w14:paraId="31195DEC"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4E526E57"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r>
      <w:r w:rsidRPr="002C68C7">
        <w:rPr>
          <w:rFonts w:ascii="Arial" w:hAnsi="Arial" w:cs="Arial"/>
          <w:b/>
          <w:sz w:val="24"/>
          <w:szCs w:val="24"/>
        </w:rPr>
        <w:tab/>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FE4339" w:rsidRPr="002C68C7" w14:paraId="2DDABF56" w14:textId="77777777" w:rsidTr="00FE4339">
        <w:tc>
          <w:tcPr>
            <w:tcW w:w="6750" w:type="dxa"/>
            <w:shd w:val="clear" w:color="auto" w:fill="C6D9F1"/>
          </w:tcPr>
          <w:p w14:paraId="4B5FDC37"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 xml:space="preserve">Other Costs </w:t>
            </w:r>
            <w:r w:rsidRPr="006207BF">
              <w:rPr>
                <w:rFonts w:ascii="Arial" w:hAnsi="Arial" w:cs="Arial"/>
                <w:bCs/>
                <w:sz w:val="24"/>
                <w:szCs w:val="24"/>
              </w:rPr>
              <w:t>(attach list if necessary)</w:t>
            </w:r>
          </w:p>
        </w:tc>
        <w:tc>
          <w:tcPr>
            <w:tcW w:w="3145" w:type="dxa"/>
            <w:shd w:val="clear" w:color="auto" w:fill="C6D9F1"/>
          </w:tcPr>
          <w:p w14:paraId="3790174D"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Projected Costs</w:t>
            </w:r>
          </w:p>
        </w:tc>
      </w:tr>
      <w:tr w:rsidR="00FE4339" w:rsidRPr="002C68C7" w14:paraId="3D0BA715" w14:textId="77777777" w:rsidTr="00FE4339">
        <w:tc>
          <w:tcPr>
            <w:tcW w:w="6750" w:type="dxa"/>
          </w:tcPr>
          <w:p w14:paraId="3BEB2254" w14:textId="77777777" w:rsidR="00FE4339" w:rsidRPr="00B4012A" w:rsidRDefault="00FE4339" w:rsidP="00FE4339">
            <w:pPr>
              <w:tabs>
                <w:tab w:val="left" w:pos="90"/>
              </w:tabs>
              <w:ind w:left="180"/>
              <w:rPr>
                <w:rFonts w:ascii="Arial" w:hAnsi="Arial" w:cs="Arial"/>
                <w:bCs/>
                <w:sz w:val="24"/>
                <w:szCs w:val="24"/>
              </w:rPr>
            </w:pPr>
            <w:r w:rsidRPr="00B4012A">
              <w:rPr>
                <w:rFonts w:ascii="Arial" w:hAnsi="Arial" w:cs="Arial"/>
                <w:bCs/>
                <w:sz w:val="24"/>
                <w:szCs w:val="24"/>
              </w:rPr>
              <w:t>Indirect Costs (Rate____%)</w:t>
            </w:r>
          </w:p>
        </w:tc>
        <w:tc>
          <w:tcPr>
            <w:tcW w:w="3145" w:type="dxa"/>
          </w:tcPr>
          <w:p w14:paraId="4690D36C"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0315AA19"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ab/>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gridCol w:w="3145"/>
      </w:tblGrid>
      <w:tr w:rsidR="00FE4339" w:rsidRPr="002C68C7" w14:paraId="20D9EBA5" w14:textId="77777777" w:rsidTr="00FE4339">
        <w:tc>
          <w:tcPr>
            <w:tcW w:w="9895" w:type="dxa"/>
            <w:gridSpan w:val="2"/>
            <w:shd w:val="clear" w:color="auto" w:fill="C6D9F1"/>
            <w:vAlign w:val="center"/>
          </w:tcPr>
          <w:p w14:paraId="712B2FE9" w14:textId="77777777" w:rsidR="00FE4339" w:rsidRPr="002C68C7" w:rsidRDefault="00FE4339" w:rsidP="00FE4339">
            <w:pPr>
              <w:tabs>
                <w:tab w:val="left" w:pos="90"/>
              </w:tabs>
              <w:ind w:left="180"/>
              <w:jc w:val="center"/>
              <w:rPr>
                <w:rFonts w:ascii="Arial" w:hAnsi="Arial" w:cs="Arial"/>
                <w:b/>
                <w:sz w:val="24"/>
                <w:szCs w:val="24"/>
              </w:rPr>
            </w:pPr>
            <w:r w:rsidRPr="002C68C7">
              <w:rPr>
                <w:rFonts w:ascii="Arial" w:hAnsi="Arial" w:cs="Arial"/>
                <w:b/>
                <w:sz w:val="24"/>
                <w:szCs w:val="24"/>
              </w:rPr>
              <w:t>Total Cost</w:t>
            </w:r>
          </w:p>
        </w:tc>
      </w:tr>
      <w:tr w:rsidR="00FE4339" w:rsidRPr="002C68C7" w14:paraId="39E2FDE4" w14:textId="77777777" w:rsidTr="00FE4339">
        <w:tc>
          <w:tcPr>
            <w:tcW w:w="6750" w:type="dxa"/>
          </w:tcPr>
          <w:p w14:paraId="6331D602"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Total Project Cost</w:t>
            </w:r>
          </w:p>
        </w:tc>
        <w:tc>
          <w:tcPr>
            <w:tcW w:w="3145" w:type="dxa"/>
            <w:shd w:val="clear" w:color="auto" w:fill="E7E6E6" w:themeFill="background2"/>
          </w:tcPr>
          <w:p w14:paraId="09EBE5FE" w14:textId="77777777" w:rsidR="00FE4339" w:rsidRPr="002C68C7" w:rsidRDefault="00FE4339" w:rsidP="00FE4339">
            <w:pPr>
              <w:tabs>
                <w:tab w:val="left" w:pos="90"/>
              </w:tabs>
              <w:ind w:left="180"/>
              <w:jc w:val="both"/>
              <w:rPr>
                <w:rFonts w:ascii="Arial" w:hAnsi="Arial" w:cs="Arial"/>
                <w:b/>
                <w:sz w:val="24"/>
                <w:szCs w:val="24"/>
              </w:rPr>
            </w:pPr>
            <w:r w:rsidRPr="002C68C7">
              <w:rPr>
                <w:rFonts w:ascii="Arial" w:hAnsi="Arial" w:cs="Arial"/>
                <w:b/>
                <w:sz w:val="24"/>
                <w:szCs w:val="24"/>
              </w:rPr>
              <w:t>$</w:t>
            </w:r>
          </w:p>
        </w:tc>
      </w:tr>
    </w:tbl>
    <w:p w14:paraId="6A5053DE" w14:textId="2F3CC25C" w:rsidR="00FE4BEB" w:rsidRPr="00FE4339" w:rsidRDefault="00FE4339" w:rsidP="00FE43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C97934">
        <w:rPr>
          <w:rFonts w:ascii="Arial" w:hAnsi="Arial" w:cs="Arial"/>
          <w:b/>
        </w:rPr>
        <w:br w:type="page"/>
      </w:r>
      <w:r w:rsidR="007D618A" w:rsidRPr="00C97934">
        <w:rPr>
          <w:rFonts w:ascii="Arial" w:hAnsi="Arial" w:cs="Arial"/>
          <w:b/>
        </w:rPr>
        <w:lastRenderedPageBreak/>
        <w:t xml:space="preserve"> </w:t>
      </w:r>
      <w:r w:rsidR="00FE4BEB" w:rsidRPr="00FE4339">
        <w:rPr>
          <w:rFonts w:ascii="Arial" w:hAnsi="Arial" w:cs="Arial"/>
          <w:b/>
          <w:sz w:val="24"/>
          <w:szCs w:val="24"/>
        </w:rPr>
        <w:t>APPENDIX</w:t>
      </w:r>
      <w:r w:rsidR="00E65157" w:rsidRPr="00FE4339">
        <w:rPr>
          <w:rFonts w:ascii="Arial" w:hAnsi="Arial" w:cs="Arial"/>
          <w:b/>
          <w:sz w:val="24"/>
          <w:szCs w:val="24"/>
        </w:rPr>
        <w:t xml:space="preserve"> </w:t>
      </w:r>
      <w:r w:rsidR="00C01C76" w:rsidRPr="00FE4339">
        <w:rPr>
          <w:rFonts w:ascii="Arial" w:hAnsi="Arial" w:cs="Arial"/>
          <w:b/>
          <w:sz w:val="24"/>
          <w:szCs w:val="24"/>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A5DD615" w:rsidR="00FE4BEB" w:rsidRPr="00C97934" w:rsidRDefault="00FE4339" w:rsidP="00FE4BEB">
      <w:pPr>
        <w:widowControl/>
        <w:jc w:val="center"/>
        <w:rPr>
          <w:rStyle w:val="InitialStyle"/>
          <w:rFonts w:ascii="Arial" w:hAnsi="Arial" w:cs="Arial"/>
          <w:b/>
          <w:color w:val="FF0000"/>
          <w:sz w:val="28"/>
          <w:szCs w:val="28"/>
        </w:rPr>
      </w:pPr>
      <w:r>
        <w:rPr>
          <w:rFonts w:ascii="Arial" w:hAnsi="Arial" w:cs="Arial"/>
          <w:b/>
          <w:bCs/>
          <w:sz w:val="28"/>
          <w:szCs w:val="28"/>
        </w:rPr>
        <w:t>Office of the Public Advocate</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27A13BF"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Pr="006122E0">
        <w:rPr>
          <w:rStyle w:val="InitialStyle"/>
          <w:rFonts w:ascii="Arial" w:hAnsi="Arial" w:cs="Arial"/>
          <w:b/>
          <w:sz w:val="28"/>
          <w:szCs w:val="28"/>
        </w:rPr>
        <w:t xml:space="preserve">P# </w:t>
      </w:r>
      <w:r w:rsidR="00A50BD3" w:rsidRPr="006122E0">
        <w:rPr>
          <w:rStyle w:val="InitialStyle"/>
          <w:rFonts w:ascii="Arial" w:hAnsi="Arial" w:cs="Arial"/>
          <w:b/>
          <w:bCs/>
          <w:sz w:val="28"/>
          <w:szCs w:val="28"/>
        </w:rPr>
        <w:t>202402045</w:t>
      </w:r>
    </w:p>
    <w:p w14:paraId="29F1CED7" w14:textId="237BE93F" w:rsidR="00FE4BEB" w:rsidRPr="0077768B" w:rsidRDefault="00D059F7" w:rsidP="00FE4BEB">
      <w:pPr>
        <w:pStyle w:val="DefaultText"/>
        <w:jc w:val="center"/>
        <w:rPr>
          <w:rStyle w:val="InitialStyle"/>
          <w:rFonts w:ascii="Arial" w:hAnsi="Arial" w:cs="Arial"/>
          <w:b/>
          <w:sz w:val="28"/>
          <w:szCs w:val="28"/>
        </w:rPr>
      </w:pPr>
      <w:r w:rsidRPr="0077768B">
        <w:rPr>
          <w:rStyle w:val="InitialStyle"/>
          <w:rFonts w:ascii="Arial" w:hAnsi="Arial" w:cs="Arial"/>
          <w:b/>
          <w:sz w:val="28"/>
          <w:szCs w:val="28"/>
        </w:rPr>
        <w:t>Energy Burden Study</w:t>
      </w:r>
    </w:p>
    <w:p w14:paraId="3C98E480" w14:textId="77777777" w:rsidR="00FE4BEB" w:rsidRPr="0077768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E5E4593" w14:textId="0028FC6F" w:rsidR="00961C40" w:rsidRPr="00C97934" w:rsidRDefault="00961C40" w:rsidP="00A71C3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sectPr w:rsidR="00961C40" w:rsidRPr="00C97934" w:rsidSect="007D50B8">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032C" w14:textId="77777777" w:rsidR="00B22D17" w:rsidRDefault="00B22D17">
      <w:r>
        <w:separator/>
      </w:r>
    </w:p>
  </w:endnote>
  <w:endnote w:type="continuationSeparator" w:id="0">
    <w:p w14:paraId="1E9879F4" w14:textId="77777777" w:rsidR="00B22D17" w:rsidRDefault="00B22D17">
      <w:r>
        <w:continuationSeparator/>
      </w:r>
    </w:p>
  </w:endnote>
  <w:endnote w:type="continuationNotice" w:id="1">
    <w:p w14:paraId="29A80ABF" w14:textId="77777777" w:rsidR="00B22D17" w:rsidRDefault="00B22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7464731"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w:t>
    </w:r>
    <w:r w:rsidRPr="00A50BD3">
      <w:rPr>
        <w:rFonts w:ascii="Arial" w:hAnsi="Arial" w:cs="Arial"/>
      </w:rPr>
      <w:t xml:space="preserve">Maine RFP# </w:t>
    </w:r>
    <w:r w:rsidR="00A50BD3" w:rsidRPr="00A50BD3">
      <w:rPr>
        <w:rStyle w:val="InitialStyle"/>
        <w:rFonts w:ascii="Arial" w:hAnsi="Arial" w:cs="Arial"/>
        <w:bCs/>
      </w:rPr>
      <w:t>202402045</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C36" w14:textId="77777777" w:rsidR="00B22D17" w:rsidRDefault="00B22D17">
      <w:r>
        <w:separator/>
      </w:r>
    </w:p>
  </w:footnote>
  <w:footnote w:type="continuationSeparator" w:id="0">
    <w:p w14:paraId="4143D473" w14:textId="77777777" w:rsidR="00B22D17" w:rsidRDefault="00B22D17">
      <w:r>
        <w:continuationSeparator/>
      </w:r>
    </w:p>
  </w:footnote>
  <w:footnote w:type="continuationNotice" w:id="1">
    <w:p w14:paraId="697CD980" w14:textId="77777777" w:rsidR="00B22D17" w:rsidRDefault="00B22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16319C9"/>
    <w:multiLevelType w:val="singleLevel"/>
    <w:tmpl w:val="4C805294"/>
    <w:lvl w:ilvl="0">
      <w:start w:val="1"/>
      <w:numFmt w:val="decimal"/>
      <w:lvlText w:val="%1."/>
      <w:legacy w:legacy="1" w:legacySpace="0" w:legacyIndent="720"/>
      <w:lvlJc w:val="left"/>
      <w:pPr>
        <w:ind w:left="1530" w:hanging="720"/>
      </w:pPr>
      <w:rPr>
        <w:rFonts w:ascii="Arial" w:hAnsi="Arial" w:cs="Arial" w:hint="default"/>
      </w:r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8"/>
  </w:num>
  <w:num w:numId="10" w16cid:durableId="1843814405">
    <w:abstractNumId w:val="39"/>
  </w:num>
  <w:num w:numId="11" w16cid:durableId="1953323980">
    <w:abstractNumId w:val="40"/>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1"/>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7781816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5461"/>
    <w:rsid w:val="0003727C"/>
    <w:rsid w:val="00037439"/>
    <w:rsid w:val="000378CC"/>
    <w:rsid w:val="00037A91"/>
    <w:rsid w:val="00037BC6"/>
    <w:rsid w:val="0004015D"/>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4CE"/>
    <w:rsid w:val="00087924"/>
    <w:rsid w:val="00087DA0"/>
    <w:rsid w:val="00087E5E"/>
    <w:rsid w:val="00090AB0"/>
    <w:rsid w:val="0009354E"/>
    <w:rsid w:val="00093C56"/>
    <w:rsid w:val="00095BA3"/>
    <w:rsid w:val="00097D53"/>
    <w:rsid w:val="00097F1A"/>
    <w:rsid w:val="000A1AA8"/>
    <w:rsid w:val="000A1AF3"/>
    <w:rsid w:val="000A6289"/>
    <w:rsid w:val="000A64F0"/>
    <w:rsid w:val="000A6AFC"/>
    <w:rsid w:val="000A7A59"/>
    <w:rsid w:val="000B2597"/>
    <w:rsid w:val="000B4203"/>
    <w:rsid w:val="000B553E"/>
    <w:rsid w:val="000B5ADE"/>
    <w:rsid w:val="000C0044"/>
    <w:rsid w:val="000C015E"/>
    <w:rsid w:val="000C104A"/>
    <w:rsid w:val="000C1460"/>
    <w:rsid w:val="000C1E16"/>
    <w:rsid w:val="000C224F"/>
    <w:rsid w:val="000C513C"/>
    <w:rsid w:val="000C5283"/>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2BA6"/>
    <w:rsid w:val="0014301A"/>
    <w:rsid w:val="001435F6"/>
    <w:rsid w:val="0014549F"/>
    <w:rsid w:val="00145755"/>
    <w:rsid w:val="0015002C"/>
    <w:rsid w:val="0015066B"/>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4E8"/>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97B3B"/>
    <w:rsid w:val="001A1037"/>
    <w:rsid w:val="001A350D"/>
    <w:rsid w:val="001A644E"/>
    <w:rsid w:val="001A77C8"/>
    <w:rsid w:val="001B139C"/>
    <w:rsid w:val="001B1B8B"/>
    <w:rsid w:val="001B3063"/>
    <w:rsid w:val="001B4C18"/>
    <w:rsid w:val="001B7703"/>
    <w:rsid w:val="001C0279"/>
    <w:rsid w:val="001C0F54"/>
    <w:rsid w:val="001C1C12"/>
    <w:rsid w:val="001C2A70"/>
    <w:rsid w:val="001C2E0F"/>
    <w:rsid w:val="001C3FD4"/>
    <w:rsid w:val="001C563A"/>
    <w:rsid w:val="001C638F"/>
    <w:rsid w:val="001D1AE3"/>
    <w:rsid w:val="001D36F2"/>
    <w:rsid w:val="001D39B5"/>
    <w:rsid w:val="001D4ABD"/>
    <w:rsid w:val="001D4DBB"/>
    <w:rsid w:val="001D514A"/>
    <w:rsid w:val="001D5CEB"/>
    <w:rsid w:val="001D5E1A"/>
    <w:rsid w:val="001E028B"/>
    <w:rsid w:val="001E0868"/>
    <w:rsid w:val="001E0C9E"/>
    <w:rsid w:val="001E0CA0"/>
    <w:rsid w:val="001E0D77"/>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CC6"/>
    <w:rsid w:val="00212FED"/>
    <w:rsid w:val="00213487"/>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359E"/>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C76C5"/>
    <w:rsid w:val="002D0EDB"/>
    <w:rsid w:val="002D1F20"/>
    <w:rsid w:val="002D2469"/>
    <w:rsid w:val="002D59A5"/>
    <w:rsid w:val="002D6435"/>
    <w:rsid w:val="002E0360"/>
    <w:rsid w:val="002E1964"/>
    <w:rsid w:val="002E313E"/>
    <w:rsid w:val="002E6FFF"/>
    <w:rsid w:val="002F0869"/>
    <w:rsid w:val="002F0D03"/>
    <w:rsid w:val="002F1824"/>
    <w:rsid w:val="002F4182"/>
    <w:rsid w:val="002F5835"/>
    <w:rsid w:val="002F6869"/>
    <w:rsid w:val="002F6E86"/>
    <w:rsid w:val="00300BCF"/>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42F8"/>
    <w:rsid w:val="003150A3"/>
    <w:rsid w:val="003150F7"/>
    <w:rsid w:val="00316D6F"/>
    <w:rsid w:val="00317854"/>
    <w:rsid w:val="003207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6E1"/>
    <w:rsid w:val="00393D8B"/>
    <w:rsid w:val="00394C9C"/>
    <w:rsid w:val="003956AE"/>
    <w:rsid w:val="00397086"/>
    <w:rsid w:val="003A027B"/>
    <w:rsid w:val="003A2D43"/>
    <w:rsid w:val="003A2DDB"/>
    <w:rsid w:val="003A337E"/>
    <w:rsid w:val="003A5372"/>
    <w:rsid w:val="003A5BC5"/>
    <w:rsid w:val="003A67C7"/>
    <w:rsid w:val="003A741B"/>
    <w:rsid w:val="003B0556"/>
    <w:rsid w:val="003B0E9B"/>
    <w:rsid w:val="003B0FD1"/>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4609"/>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490"/>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4208"/>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A9F"/>
    <w:rsid w:val="00493EDD"/>
    <w:rsid w:val="00494277"/>
    <w:rsid w:val="004952A8"/>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167"/>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4A40"/>
    <w:rsid w:val="0050675C"/>
    <w:rsid w:val="00511540"/>
    <w:rsid w:val="0051198B"/>
    <w:rsid w:val="00512642"/>
    <w:rsid w:val="00512859"/>
    <w:rsid w:val="00512D19"/>
    <w:rsid w:val="00512F95"/>
    <w:rsid w:val="005172F8"/>
    <w:rsid w:val="00517968"/>
    <w:rsid w:val="0052134F"/>
    <w:rsid w:val="00521E6A"/>
    <w:rsid w:val="0052219F"/>
    <w:rsid w:val="005224B5"/>
    <w:rsid w:val="0052495F"/>
    <w:rsid w:val="00524A93"/>
    <w:rsid w:val="005250F0"/>
    <w:rsid w:val="00526145"/>
    <w:rsid w:val="00526297"/>
    <w:rsid w:val="00527EF4"/>
    <w:rsid w:val="00530159"/>
    <w:rsid w:val="005318C5"/>
    <w:rsid w:val="00532096"/>
    <w:rsid w:val="00532D62"/>
    <w:rsid w:val="00534951"/>
    <w:rsid w:val="00534E91"/>
    <w:rsid w:val="005350D1"/>
    <w:rsid w:val="005350EC"/>
    <w:rsid w:val="00535899"/>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15F"/>
    <w:rsid w:val="0055472F"/>
    <w:rsid w:val="00554B0D"/>
    <w:rsid w:val="0055724D"/>
    <w:rsid w:val="00557F71"/>
    <w:rsid w:val="00557FFC"/>
    <w:rsid w:val="005600F1"/>
    <w:rsid w:val="00560B17"/>
    <w:rsid w:val="00560B80"/>
    <w:rsid w:val="005611BD"/>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53"/>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1F0B"/>
    <w:rsid w:val="005F4DB8"/>
    <w:rsid w:val="005F68CD"/>
    <w:rsid w:val="005F7BF5"/>
    <w:rsid w:val="00601D16"/>
    <w:rsid w:val="00604FE6"/>
    <w:rsid w:val="00606D6B"/>
    <w:rsid w:val="00611901"/>
    <w:rsid w:val="006122E0"/>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3EF"/>
    <w:rsid w:val="006664BB"/>
    <w:rsid w:val="00666B50"/>
    <w:rsid w:val="00670E78"/>
    <w:rsid w:val="006719FB"/>
    <w:rsid w:val="0067346F"/>
    <w:rsid w:val="00673750"/>
    <w:rsid w:val="006742B0"/>
    <w:rsid w:val="0067513E"/>
    <w:rsid w:val="006778D6"/>
    <w:rsid w:val="00681DF2"/>
    <w:rsid w:val="006822E8"/>
    <w:rsid w:val="0068279E"/>
    <w:rsid w:val="00682A6A"/>
    <w:rsid w:val="00684AB2"/>
    <w:rsid w:val="00684D1B"/>
    <w:rsid w:val="00687B27"/>
    <w:rsid w:val="00690D13"/>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65E"/>
    <w:rsid w:val="006C1F3F"/>
    <w:rsid w:val="006C216E"/>
    <w:rsid w:val="006C3411"/>
    <w:rsid w:val="006C3A4D"/>
    <w:rsid w:val="006C42EB"/>
    <w:rsid w:val="006C58E4"/>
    <w:rsid w:val="006C708D"/>
    <w:rsid w:val="006C712B"/>
    <w:rsid w:val="006D026D"/>
    <w:rsid w:val="006D0823"/>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02C7"/>
    <w:rsid w:val="00730BF2"/>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68B"/>
    <w:rsid w:val="00777AC7"/>
    <w:rsid w:val="0078024D"/>
    <w:rsid w:val="0078087C"/>
    <w:rsid w:val="007808E8"/>
    <w:rsid w:val="00782343"/>
    <w:rsid w:val="0078252F"/>
    <w:rsid w:val="0078423E"/>
    <w:rsid w:val="007903CE"/>
    <w:rsid w:val="007905D1"/>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082B"/>
    <w:rsid w:val="007B1E5A"/>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3A50"/>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54B1"/>
    <w:rsid w:val="008B6862"/>
    <w:rsid w:val="008B7843"/>
    <w:rsid w:val="008B7BCE"/>
    <w:rsid w:val="008B7E61"/>
    <w:rsid w:val="008C257A"/>
    <w:rsid w:val="008C346A"/>
    <w:rsid w:val="008C4342"/>
    <w:rsid w:val="008C623C"/>
    <w:rsid w:val="008D1C42"/>
    <w:rsid w:val="008D25D8"/>
    <w:rsid w:val="008D4BDF"/>
    <w:rsid w:val="008D5603"/>
    <w:rsid w:val="008D5D1B"/>
    <w:rsid w:val="008D6C04"/>
    <w:rsid w:val="008D703F"/>
    <w:rsid w:val="008D7E7B"/>
    <w:rsid w:val="008E070F"/>
    <w:rsid w:val="008E0B24"/>
    <w:rsid w:val="008E1466"/>
    <w:rsid w:val="008E34B6"/>
    <w:rsid w:val="008E379F"/>
    <w:rsid w:val="008E468D"/>
    <w:rsid w:val="008E4FC0"/>
    <w:rsid w:val="008E5B4B"/>
    <w:rsid w:val="008E6452"/>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1C40"/>
    <w:rsid w:val="0096350D"/>
    <w:rsid w:val="009637F3"/>
    <w:rsid w:val="00963C2A"/>
    <w:rsid w:val="00963F3B"/>
    <w:rsid w:val="009642EE"/>
    <w:rsid w:val="009652D0"/>
    <w:rsid w:val="009667AC"/>
    <w:rsid w:val="009673C5"/>
    <w:rsid w:val="0096797E"/>
    <w:rsid w:val="00971820"/>
    <w:rsid w:val="00972B95"/>
    <w:rsid w:val="00973D38"/>
    <w:rsid w:val="00974779"/>
    <w:rsid w:val="00977010"/>
    <w:rsid w:val="00980785"/>
    <w:rsid w:val="009807E6"/>
    <w:rsid w:val="00980EDE"/>
    <w:rsid w:val="0098126D"/>
    <w:rsid w:val="009817BD"/>
    <w:rsid w:val="00982325"/>
    <w:rsid w:val="0098281A"/>
    <w:rsid w:val="0098285E"/>
    <w:rsid w:val="00983DDD"/>
    <w:rsid w:val="00983E57"/>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E0E"/>
    <w:rsid w:val="009F4F1B"/>
    <w:rsid w:val="009F5ADE"/>
    <w:rsid w:val="009F6F53"/>
    <w:rsid w:val="00A00916"/>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5913"/>
    <w:rsid w:val="00A366E8"/>
    <w:rsid w:val="00A41ABA"/>
    <w:rsid w:val="00A42426"/>
    <w:rsid w:val="00A4353B"/>
    <w:rsid w:val="00A44001"/>
    <w:rsid w:val="00A46A52"/>
    <w:rsid w:val="00A470A8"/>
    <w:rsid w:val="00A47707"/>
    <w:rsid w:val="00A50BD3"/>
    <w:rsid w:val="00A50F2B"/>
    <w:rsid w:val="00A5398B"/>
    <w:rsid w:val="00A55C89"/>
    <w:rsid w:val="00A57282"/>
    <w:rsid w:val="00A576B1"/>
    <w:rsid w:val="00A60BD2"/>
    <w:rsid w:val="00A618A4"/>
    <w:rsid w:val="00A61FFB"/>
    <w:rsid w:val="00A62F45"/>
    <w:rsid w:val="00A636FF"/>
    <w:rsid w:val="00A63826"/>
    <w:rsid w:val="00A63BF4"/>
    <w:rsid w:val="00A64510"/>
    <w:rsid w:val="00A6522F"/>
    <w:rsid w:val="00A665C2"/>
    <w:rsid w:val="00A66F93"/>
    <w:rsid w:val="00A70CD4"/>
    <w:rsid w:val="00A71C3E"/>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1A09"/>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38C"/>
    <w:rsid w:val="00AF7BDE"/>
    <w:rsid w:val="00B011F3"/>
    <w:rsid w:val="00B01C42"/>
    <w:rsid w:val="00B02079"/>
    <w:rsid w:val="00B0312C"/>
    <w:rsid w:val="00B03502"/>
    <w:rsid w:val="00B04BAE"/>
    <w:rsid w:val="00B0617D"/>
    <w:rsid w:val="00B06933"/>
    <w:rsid w:val="00B06E9D"/>
    <w:rsid w:val="00B07E2B"/>
    <w:rsid w:val="00B07F9F"/>
    <w:rsid w:val="00B10490"/>
    <w:rsid w:val="00B10D59"/>
    <w:rsid w:val="00B12678"/>
    <w:rsid w:val="00B12DF7"/>
    <w:rsid w:val="00B13F51"/>
    <w:rsid w:val="00B14C1B"/>
    <w:rsid w:val="00B14DB7"/>
    <w:rsid w:val="00B152A2"/>
    <w:rsid w:val="00B209B2"/>
    <w:rsid w:val="00B20D43"/>
    <w:rsid w:val="00B21034"/>
    <w:rsid w:val="00B2131D"/>
    <w:rsid w:val="00B21C46"/>
    <w:rsid w:val="00B22D17"/>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0881"/>
    <w:rsid w:val="00B715AA"/>
    <w:rsid w:val="00B727E2"/>
    <w:rsid w:val="00B7358B"/>
    <w:rsid w:val="00B73F08"/>
    <w:rsid w:val="00B75249"/>
    <w:rsid w:val="00B768C2"/>
    <w:rsid w:val="00B76B69"/>
    <w:rsid w:val="00B76E23"/>
    <w:rsid w:val="00B76F74"/>
    <w:rsid w:val="00B77765"/>
    <w:rsid w:val="00B80BA7"/>
    <w:rsid w:val="00B83478"/>
    <w:rsid w:val="00B86BFB"/>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030B"/>
    <w:rsid w:val="00BD11D8"/>
    <w:rsid w:val="00BD5044"/>
    <w:rsid w:val="00BD527C"/>
    <w:rsid w:val="00BD71B8"/>
    <w:rsid w:val="00BD7F4C"/>
    <w:rsid w:val="00BE36C0"/>
    <w:rsid w:val="00BE5A71"/>
    <w:rsid w:val="00BE7FA1"/>
    <w:rsid w:val="00BF121F"/>
    <w:rsid w:val="00BF1747"/>
    <w:rsid w:val="00BF3A30"/>
    <w:rsid w:val="00C01C76"/>
    <w:rsid w:val="00C01E57"/>
    <w:rsid w:val="00C02C42"/>
    <w:rsid w:val="00C0316B"/>
    <w:rsid w:val="00C05E87"/>
    <w:rsid w:val="00C11E87"/>
    <w:rsid w:val="00C13CE1"/>
    <w:rsid w:val="00C1559F"/>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6A31"/>
    <w:rsid w:val="00C47242"/>
    <w:rsid w:val="00C50274"/>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67EE8"/>
    <w:rsid w:val="00C710F1"/>
    <w:rsid w:val="00C72B6B"/>
    <w:rsid w:val="00C73CE5"/>
    <w:rsid w:val="00C74729"/>
    <w:rsid w:val="00C763A7"/>
    <w:rsid w:val="00C76D26"/>
    <w:rsid w:val="00C80BBD"/>
    <w:rsid w:val="00C814B4"/>
    <w:rsid w:val="00C820C6"/>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634"/>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59F7"/>
    <w:rsid w:val="00D06174"/>
    <w:rsid w:val="00D061BE"/>
    <w:rsid w:val="00D102DE"/>
    <w:rsid w:val="00D1083A"/>
    <w:rsid w:val="00D10B3B"/>
    <w:rsid w:val="00D11759"/>
    <w:rsid w:val="00D12266"/>
    <w:rsid w:val="00D12A85"/>
    <w:rsid w:val="00D12E5B"/>
    <w:rsid w:val="00D13645"/>
    <w:rsid w:val="00D1367F"/>
    <w:rsid w:val="00D13EF2"/>
    <w:rsid w:val="00D149EC"/>
    <w:rsid w:val="00D1581F"/>
    <w:rsid w:val="00D15875"/>
    <w:rsid w:val="00D15916"/>
    <w:rsid w:val="00D1597F"/>
    <w:rsid w:val="00D2091D"/>
    <w:rsid w:val="00D21A9E"/>
    <w:rsid w:val="00D220AE"/>
    <w:rsid w:val="00D2496D"/>
    <w:rsid w:val="00D26CA8"/>
    <w:rsid w:val="00D33C3E"/>
    <w:rsid w:val="00D33FF6"/>
    <w:rsid w:val="00D343BD"/>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49B8"/>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00B"/>
    <w:rsid w:val="00DD12B7"/>
    <w:rsid w:val="00DD2092"/>
    <w:rsid w:val="00DD273E"/>
    <w:rsid w:val="00DD3BD7"/>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179D"/>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506C"/>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3D32"/>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A7B"/>
    <w:rsid w:val="00E9067E"/>
    <w:rsid w:val="00E90745"/>
    <w:rsid w:val="00E92564"/>
    <w:rsid w:val="00E92AAE"/>
    <w:rsid w:val="00E93279"/>
    <w:rsid w:val="00E932B5"/>
    <w:rsid w:val="00E95D0F"/>
    <w:rsid w:val="00E9601D"/>
    <w:rsid w:val="00E9654F"/>
    <w:rsid w:val="00E96CA3"/>
    <w:rsid w:val="00E96E24"/>
    <w:rsid w:val="00EA03ED"/>
    <w:rsid w:val="00EA18AB"/>
    <w:rsid w:val="00EA2119"/>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D756B"/>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452"/>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20A4"/>
    <w:rsid w:val="00F6389A"/>
    <w:rsid w:val="00F64ADB"/>
    <w:rsid w:val="00F65C1F"/>
    <w:rsid w:val="00F67100"/>
    <w:rsid w:val="00F67F59"/>
    <w:rsid w:val="00F70440"/>
    <w:rsid w:val="00F71953"/>
    <w:rsid w:val="00F7234E"/>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540C"/>
    <w:rsid w:val="00F85B37"/>
    <w:rsid w:val="00F871CB"/>
    <w:rsid w:val="00F910F5"/>
    <w:rsid w:val="00F91C16"/>
    <w:rsid w:val="00F9214D"/>
    <w:rsid w:val="00F921B3"/>
    <w:rsid w:val="00F92E62"/>
    <w:rsid w:val="00F934A0"/>
    <w:rsid w:val="00F94C7F"/>
    <w:rsid w:val="00F95474"/>
    <w:rsid w:val="00F96C9F"/>
    <w:rsid w:val="00FA00D5"/>
    <w:rsid w:val="00FA0FEB"/>
    <w:rsid w:val="00FA1568"/>
    <w:rsid w:val="00FA2A8E"/>
    <w:rsid w:val="00FA6110"/>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2E1C"/>
    <w:rsid w:val="00FE4339"/>
    <w:rsid w:val="00FE4831"/>
    <w:rsid w:val="00FE4BEB"/>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footer" Target="footer1.xm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eader" Target="header1.xml"/><Relationship Id="rId25" Type="http://schemas.openxmlformats.org/officeDocument/2006/relationships/hyperlink" Target="https://www.maine.gov/dafs/bbm/procurementservices/forms"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https://www.maine.gov/meopa/sites/maine.gov.meopa/files/inline-files/Maine%20Low%20Income%20Energy%20Burden%20Study%20June%202019.pdf"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84044D49-C68F-4753-88CF-78A7D974B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5719</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4</cp:revision>
  <cp:lastPrinted>2018-02-28T20:44:00Z</cp:lastPrinted>
  <dcterms:created xsi:type="dcterms:W3CDTF">2024-02-23T17:11:00Z</dcterms:created>
  <dcterms:modified xsi:type="dcterms:W3CDTF">2024-02-23T17:17:00Z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