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531B6DF" w:rsidR="00ED0523" w:rsidRPr="00C97934" w:rsidRDefault="001047F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3C2354C1" w:rsidR="00ED0523" w:rsidRPr="001047F3" w:rsidRDefault="001047F3"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39A9C16"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227AA5">
        <w:rPr>
          <w:rStyle w:val="InitialStyle"/>
          <w:rFonts w:ascii="Arial" w:hAnsi="Arial" w:cs="Arial"/>
          <w:b/>
          <w:bCs/>
          <w:sz w:val="32"/>
          <w:szCs w:val="32"/>
        </w:rPr>
        <w:t xml:space="preserve"> 202401007</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40232C9" w:rsidR="00ED0523" w:rsidRPr="001047F3" w:rsidRDefault="001047F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Electric Rate Case Consultant for </w:t>
      </w:r>
      <w:r w:rsidR="00F32B26">
        <w:rPr>
          <w:rStyle w:val="InitialStyle"/>
          <w:rFonts w:ascii="Arial" w:hAnsi="Arial" w:cs="Arial"/>
          <w:b/>
          <w:bCs/>
          <w:sz w:val="32"/>
          <w:szCs w:val="32"/>
        </w:rPr>
        <w:t xml:space="preserve">the </w:t>
      </w:r>
      <w:r>
        <w:rPr>
          <w:rStyle w:val="InitialStyle"/>
          <w:rFonts w:ascii="Arial" w:hAnsi="Arial" w:cs="Arial"/>
          <w:b/>
          <w:bCs/>
          <w:sz w:val="32"/>
          <w:szCs w:val="32"/>
        </w:rPr>
        <w:t>Maine Public Advocate</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BFF2B00" w:rsidR="00ED0523" w:rsidRPr="00761FD6"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61FD6" w:rsidRPr="00761FD6">
              <w:rPr>
                <w:rFonts w:ascii="Arial" w:eastAsia="Calibri" w:hAnsi="Arial" w:cs="Arial"/>
                <w:sz w:val="24"/>
                <w:szCs w:val="24"/>
              </w:rPr>
              <w:t>Andrew Landry</w:t>
            </w:r>
            <w:r w:rsidRPr="00761FD6">
              <w:rPr>
                <w:rFonts w:ascii="Arial" w:eastAsia="Calibri" w:hAnsi="Arial" w:cs="Arial"/>
                <w:sz w:val="24"/>
                <w:szCs w:val="24"/>
              </w:rPr>
              <w:t xml:space="preserve"> </w:t>
            </w:r>
            <w:r w:rsidRPr="00761FD6">
              <w:rPr>
                <w:rFonts w:ascii="Arial" w:eastAsia="Calibri" w:hAnsi="Arial" w:cs="Arial"/>
                <w:b/>
                <w:sz w:val="24"/>
                <w:szCs w:val="24"/>
                <w:u w:val="single"/>
              </w:rPr>
              <w:t>Title</w:t>
            </w:r>
            <w:r w:rsidRPr="00761FD6">
              <w:rPr>
                <w:rFonts w:ascii="Arial" w:eastAsia="Calibri" w:hAnsi="Arial" w:cs="Arial"/>
                <w:b/>
                <w:sz w:val="24"/>
                <w:szCs w:val="24"/>
              </w:rPr>
              <w:t>:</w:t>
            </w:r>
            <w:r w:rsidRPr="00761FD6">
              <w:rPr>
                <w:rFonts w:ascii="Arial" w:eastAsia="Calibri" w:hAnsi="Arial" w:cs="Arial"/>
                <w:sz w:val="24"/>
                <w:szCs w:val="24"/>
              </w:rPr>
              <w:t xml:space="preserve"> </w:t>
            </w:r>
            <w:r w:rsidR="00761FD6" w:rsidRPr="00761FD6">
              <w:rPr>
                <w:rFonts w:ascii="Arial" w:eastAsia="Calibri" w:hAnsi="Arial" w:cs="Arial"/>
                <w:sz w:val="24"/>
                <w:szCs w:val="24"/>
              </w:rPr>
              <w:t>Deputy Public Advocate</w:t>
            </w:r>
          </w:p>
          <w:p w14:paraId="300D1A4B" w14:textId="5135AE86" w:rsidR="00ED0523" w:rsidRPr="00C97934" w:rsidRDefault="00ED0523" w:rsidP="00ED0523">
            <w:pPr>
              <w:widowControl/>
              <w:autoSpaceDE/>
              <w:rPr>
                <w:rFonts w:ascii="Arial" w:eastAsia="Calibri" w:hAnsi="Arial" w:cs="Arial"/>
                <w:sz w:val="24"/>
                <w:szCs w:val="24"/>
              </w:rPr>
            </w:pPr>
            <w:r w:rsidRPr="00761FD6">
              <w:rPr>
                <w:rFonts w:ascii="Arial" w:eastAsia="Calibri" w:hAnsi="Arial" w:cs="Arial"/>
                <w:b/>
                <w:sz w:val="24"/>
                <w:szCs w:val="24"/>
                <w:u w:val="single"/>
              </w:rPr>
              <w:t>Contact Information</w:t>
            </w:r>
            <w:r w:rsidRPr="00761FD6">
              <w:rPr>
                <w:rFonts w:ascii="Arial" w:eastAsia="Calibri" w:hAnsi="Arial" w:cs="Arial"/>
                <w:b/>
                <w:sz w:val="24"/>
                <w:szCs w:val="24"/>
              </w:rPr>
              <w:t>:</w:t>
            </w:r>
            <w:r w:rsidRPr="00761FD6">
              <w:rPr>
                <w:rFonts w:ascii="Arial" w:eastAsia="Calibri" w:hAnsi="Arial" w:cs="Arial"/>
                <w:sz w:val="24"/>
                <w:szCs w:val="24"/>
              </w:rPr>
              <w:t xml:space="preserve"> </w:t>
            </w:r>
            <w:hyperlink r:id="rId12" w:history="1">
              <w:r w:rsidR="006207BF" w:rsidRPr="00A25BF9">
                <w:rPr>
                  <w:rStyle w:val="Hyperlink"/>
                  <w:rFonts w:ascii="Arial" w:eastAsia="Calibri" w:hAnsi="Arial" w:cs="Arial"/>
                  <w:sz w:val="24"/>
                  <w:szCs w:val="24"/>
                </w:rPr>
                <w:t>andrew.landry@maine.gov</w:t>
              </w:r>
            </w:hyperlink>
            <w:r w:rsidR="006207BF">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C87428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27E1F">
              <w:rPr>
                <w:rFonts w:ascii="Arial" w:eastAsia="Calibri" w:hAnsi="Arial" w:cs="Arial"/>
                <w:sz w:val="24"/>
                <w:szCs w:val="24"/>
              </w:rPr>
              <w:t>January 31,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A2599B">
        <w:trPr>
          <w:trHeight w:val="152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5CFE3FE"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027E1F">
              <w:rPr>
                <w:rFonts w:ascii="Arial" w:eastAsia="Calibri" w:hAnsi="Arial" w:cs="Arial"/>
                <w:sz w:val="24"/>
                <w:szCs w:val="24"/>
              </w:rPr>
              <w:t>February 12,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227AA5">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227AA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227AA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1D202EF" w:rsidR="003652A0" w:rsidRPr="00C97934" w:rsidRDefault="005D3CB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227AA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227AA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0C782A2" w:rsidR="003652A0" w:rsidRPr="00C97934" w:rsidRDefault="005D3CB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227AA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227AA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10EB6BB4" w:rsidR="003652A0" w:rsidRPr="00C97934" w:rsidRDefault="005D3CB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227AA5">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227AA5">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227AA5">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227AA5">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227AA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227AA5">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2140AC5" w:rsidR="003652A0" w:rsidRPr="00C97934" w:rsidRDefault="003425D3"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227AA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227AA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75EDE647" w:rsidR="003652A0" w:rsidRPr="00C97934" w:rsidRDefault="003425D3"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227AA5">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227AA5">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227AA5">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227AA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227AA5">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9C3B31C" w:rsidR="003652A0" w:rsidRPr="00C97934" w:rsidRDefault="003425D3"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227AA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227AA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6BC3C106" w:rsidR="003652A0" w:rsidRPr="00C97934" w:rsidRDefault="003425D3"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227AA5">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227AA5">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227AA5">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227AA5">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227AA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227AA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20E8D370" w:rsidR="003652A0" w:rsidRPr="00C97934" w:rsidRDefault="003425D3"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227AA5">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227AA5">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227AA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227AA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7D472E1B" w:rsidR="003652A0" w:rsidRPr="00C97934" w:rsidRDefault="003425D3"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227AA5">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227AA5">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227AA5">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227AA5">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227AA5">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227AA5">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227AA5">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227AA5">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214361D" w:rsidR="004B1E57" w:rsidRPr="00C97934" w:rsidRDefault="001047F3" w:rsidP="001627BB">
      <w:pPr>
        <w:pStyle w:val="DefaultText"/>
        <w:widowControl/>
        <w:jc w:val="center"/>
        <w:rPr>
          <w:rStyle w:val="InitialStyle"/>
          <w:rFonts w:ascii="Arial" w:hAnsi="Arial" w:cs="Arial"/>
          <w:b/>
          <w:bCs/>
          <w:color w:val="FF0000"/>
        </w:rPr>
      </w:pPr>
      <w:r>
        <w:rPr>
          <w:rStyle w:val="InitialStyle"/>
          <w:rFonts w:ascii="Arial" w:hAnsi="Arial" w:cs="Arial"/>
          <w:b/>
          <w:bCs/>
        </w:rPr>
        <w:t>The Office of the Public Advocate</w:t>
      </w:r>
    </w:p>
    <w:p w14:paraId="7BEC188C" w14:textId="0915817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227AA5">
        <w:rPr>
          <w:rStyle w:val="InitialStyle"/>
          <w:rFonts w:ascii="Arial" w:hAnsi="Arial" w:cs="Arial"/>
          <w:b/>
          <w:bCs/>
        </w:rPr>
        <w:t xml:space="preserve"> 202401007</w:t>
      </w:r>
    </w:p>
    <w:p w14:paraId="2B76A760" w14:textId="2381A21A" w:rsidR="004B1E57" w:rsidRPr="001047F3" w:rsidRDefault="001047F3" w:rsidP="001627BB">
      <w:pPr>
        <w:pStyle w:val="DefaultText"/>
        <w:widowControl/>
        <w:jc w:val="center"/>
        <w:rPr>
          <w:rStyle w:val="InitialStyle"/>
          <w:rFonts w:ascii="Arial" w:hAnsi="Arial" w:cs="Arial"/>
          <w:b/>
          <w:bCs/>
        </w:rPr>
      </w:pPr>
      <w:r w:rsidRPr="001047F3">
        <w:rPr>
          <w:rStyle w:val="InitialStyle"/>
          <w:rFonts w:ascii="Arial" w:hAnsi="Arial" w:cs="Arial"/>
          <w:b/>
          <w:bCs/>
        </w:rPr>
        <w:t>Electric Rate Case Consultant for the Maine Public Advocate</w:t>
      </w:r>
    </w:p>
    <w:p w14:paraId="01FFD2BD" w14:textId="77777777" w:rsidR="004B1E57" w:rsidRPr="001047F3" w:rsidRDefault="004B1E57" w:rsidP="00E450DE">
      <w:pPr>
        <w:pStyle w:val="DefaultText"/>
        <w:widowControl/>
        <w:jc w:val="center"/>
        <w:rPr>
          <w:rStyle w:val="InitialStyle"/>
          <w:rFonts w:ascii="Arial" w:hAnsi="Arial" w:cs="Arial"/>
          <w:b/>
          <w:bCs/>
        </w:rPr>
      </w:pPr>
    </w:p>
    <w:p w14:paraId="4E444D5D" w14:textId="30E16166" w:rsidR="00CF7F9C" w:rsidRPr="001047F3"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1047F3">
        <w:rPr>
          <w:rStyle w:val="InitialStyle"/>
          <w:rFonts w:ascii="Arial" w:hAnsi="Arial" w:cs="Arial"/>
          <w:bCs/>
        </w:rPr>
        <w:t>a consultant to assist the Office of the Public Advocate (Office) with litigating a rate case expected to be filed with the Maine Public Utilities Commission (MPUC) by Versant Power (Versant). The sole area for which services are sought is analyzing Versant’s revenue requirement request, including operating expenses, rate base and related issues.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DCE2B9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00027E1F">
        <w:rPr>
          <w:rStyle w:val="InitialStyle"/>
          <w:rFonts w:ascii="Arial" w:hAnsi="Arial" w:cs="Arial"/>
          <w:bCs/>
        </w:rPr>
        <w:t>on February 12,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BB6F8E8" w:rsidR="00B51518" w:rsidRPr="00C97934" w:rsidRDefault="001B270F" w:rsidP="00B51518">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B51518" w:rsidRPr="00C97934" w14:paraId="4B7AEA07" w14:textId="77777777" w:rsidTr="00BA4F52">
        <w:tc>
          <w:tcPr>
            <w:tcW w:w="2497" w:type="dxa"/>
            <w:shd w:val="clear" w:color="auto" w:fill="auto"/>
            <w:vAlign w:val="center"/>
          </w:tcPr>
          <w:p w14:paraId="6E1DBA4E" w14:textId="143B8807" w:rsidR="00B51518" w:rsidRPr="00C97934" w:rsidRDefault="001B270F" w:rsidP="00E932B5">
            <w:pPr>
              <w:pStyle w:val="DefaultText"/>
              <w:widowControl/>
              <w:rPr>
                <w:rStyle w:val="InitialStyle"/>
                <w:rFonts w:ascii="Arial" w:hAnsi="Arial" w:cs="Arial"/>
                <w:b/>
                <w:bCs/>
              </w:rPr>
            </w:pPr>
            <w:r>
              <w:rPr>
                <w:rStyle w:val="InitialStyle"/>
                <w:rFonts w:ascii="Arial" w:hAnsi="Arial" w:cs="Arial"/>
                <w:b/>
                <w:bCs/>
              </w:rPr>
              <w:t>MPUC</w:t>
            </w:r>
          </w:p>
        </w:tc>
        <w:tc>
          <w:tcPr>
            <w:tcW w:w="7645" w:type="dxa"/>
            <w:shd w:val="clear" w:color="auto" w:fill="auto"/>
            <w:vAlign w:val="center"/>
          </w:tcPr>
          <w:p w14:paraId="05814684" w14:textId="11A302AC" w:rsidR="00B51518" w:rsidRPr="00C97934" w:rsidRDefault="001B270F" w:rsidP="00E932B5">
            <w:pPr>
              <w:pStyle w:val="DefaultText"/>
              <w:widowControl/>
              <w:rPr>
                <w:rStyle w:val="InitialStyle"/>
                <w:rFonts w:ascii="Arial" w:hAnsi="Arial" w:cs="Arial"/>
                <w:bCs/>
              </w:rPr>
            </w:pPr>
            <w:r>
              <w:rPr>
                <w:rStyle w:val="InitialStyle"/>
                <w:rFonts w:ascii="Arial" w:hAnsi="Arial" w:cs="Arial"/>
                <w:bCs/>
              </w:rPr>
              <w:t>Maine Public Utilities Commission</w:t>
            </w:r>
          </w:p>
        </w:tc>
      </w:tr>
      <w:tr w:rsidR="00B51518" w:rsidRPr="00C97934" w14:paraId="7DFE3C5E" w14:textId="77777777" w:rsidTr="00BA4F52">
        <w:tc>
          <w:tcPr>
            <w:tcW w:w="2497" w:type="dxa"/>
            <w:shd w:val="clear" w:color="auto" w:fill="auto"/>
            <w:vAlign w:val="center"/>
          </w:tcPr>
          <w:p w14:paraId="4570F199" w14:textId="29E9BDF5" w:rsidR="00B51518" w:rsidRPr="00C97934" w:rsidRDefault="001B270F" w:rsidP="00E932B5">
            <w:pPr>
              <w:pStyle w:val="DefaultText"/>
              <w:widowControl/>
              <w:rPr>
                <w:rStyle w:val="InitialStyle"/>
                <w:rFonts w:ascii="Arial" w:hAnsi="Arial" w:cs="Arial"/>
                <w:b/>
                <w:bCs/>
              </w:rPr>
            </w:pPr>
            <w:r>
              <w:rPr>
                <w:rStyle w:val="InitialStyle"/>
                <w:rFonts w:ascii="Arial" w:hAnsi="Arial" w:cs="Arial"/>
                <w:b/>
                <w:bCs/>
              </w:rPr>
              <w:t>Office</w:t>
            </w:r>
          </w:p>
        </w:tc>
        <w:tc>
          <w:tcPr>
            <w:tcW w:w="7645" w:type="dxa"/>
            <w:shd w:val="clear" w:color="auto" w:fill="auto"/>
            <w:vAlign w:val="center"/>
          </w:tcPr>
          <w:p w14:paraId="18F1595E" w14:textId="0CB2CF8D" w:rsidR="00B51518" w:rsidRPr="00C97934" w:rsidRDefault="001B270F" w:rsidP="00E932B5">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1B270F" w:rsidRPr="00C97934" w14:paraId="0075BE71" w14:textId="77777777" w:rsidTr="00BA4F52">
        <w:tc>
          <w:tcPr>
            <w:tcW w:w="2497" w:type="dxa"/>
            <w:shd w:val="clear" w:color="auto" w:fill="auto"/>
            <w:vAlign w:val="center"/>
          </w:tcPr>
          <w:p w14:paraId="2147DA7F" w14:textId="78BFE6D2" w:rsidR="001B270F" w:rsidRPr="00C97934" w:rsidRDefault="001B270F" w:rsidP="001B270F">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C95F8C6" w14:textId="7506EEF6" w:rsidR="001B270F" w:rsidRPr="00C97934" w:rsidRDefault="001B270F" w:rsidP="001B270F">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1B270F" w:rsidRPr="00C97934" w14:paraId="516CEFA0" w14:textId="77777777" w:rsidTr="00BA4F52">
        <w:tc>
          <w:tcPr>
            <w:tcW w:w="2497" w:type="dxa"/>
            <w:shd w:val="clear" w:color="auto" w:fill="auto"/>
            <w:vAlign w:val="center"/>
          </w:tcPr>
          <w:p w14:paraId="6CF391DB" w14:textId="260A4A21" w:rsidR="001B270F" w:rsidRPr="00C97934" w:rsidRDefault="001B270F" w:rsidP="001B270F">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72F6CC7" w14:textId="73CAAA14" w:rsidR="001B270F" w:rsidRPr="00C97934" w:rsidRDefault="001B270F" w:rsidP="001B270F">
            <w:pPr>
              <w:pStyle w:val="DefaultText"/>
              <w:widowControl/>
              <w:rPr>
                <w:rStyle w:val="InitialStyle"/>
                <w:rFonts w:ascii="Arial" w:hAnsi="Arial" w:cs="Arial"/>
                <w:bCs/>
              </w:rPr>
            </w:pPr>
            <w:r w:rsidRPr="00C97934">
              <w:rPr>
                <w:rStyle w:val="InitialStyle"/>
                <w:rFonts w:ascii="Arial" w:hAnsi="Arial" w:cs="Arial"/>
                <w:bCs/>
              </w:rPr>
              <w:t>State of Maine</w:t>
            </w:r>
          </w:p>
        </w:tc>
      </w:tr>
      <w:tr w:rsidR="001B270F" w:rsidRPr="00C97934" w14:paraId="2140ECDE" w14:textId="77777777" w:rsidTr="00BA4F52">
        <w:tc>
          <w:tcPr>
            <w:tcW w:w="2497" w:type="dxa"/>
            <w:shd w:val="clear" w:color="auto" w:fill="auto"/>
            <w:vAlign w:val="center"/>
          </w:tcPr>
          <w:p w14:paraId="1F12DC52" w14:textId="40EBB627" w:rsidR="001B270F" w:rsidRPr="00C97934" w:rsidRDefault="001B270F" w:rsidP="001B270F">
            <w:pPr>
              <w:pStyle w:val="DefaultText"/>
              <w:widowControl/>
              <w:rPr>
                <w:rStyle w:val="InitialStyle"/>
                <w:rFonts w:ascii="Arial" w:hAnsi="Arial" w:cs="Arial"/>
                <w:b/>
                <w:bCs/>
              </w:rPr>
            </w:pPr>
            <w:r>
              <w:rPr>
                <w:rStyle w:val="InitialStyle"/>
                <w:rFonts w:ascii="Arial" w:hAnsi="Arial" w:cs="Arial"/>
                <w:b/>
                <w:bCs/>
              </w:rPr>
              <w:t>Versant</w:t>
            </w:r>
          </w:p>
        </w:tc>
        <w:tc>
          <w:tcPr>
            <w:tcW w:w="7645" w:type="dxa"/>
            <w:shd w:val="clear" w:color="auto" w:fill="auto"/>
            <w:vAlign w:val="center"/>
          </w:tcPr>
          <w:p w14:paraId="319AF8A0" w14:textId="2DB7DDCC" w:rsidR="001B270F" w:rsidRPr="00C97934" w:rsidRDefault="001B270F" w:rsidP="001B270F">
            <w:pPr>
              <w:pStyle w:val="DefaultText"/>
              <w:widowControl/>
              <w:rPr>
                <w:rStyle w:val="InitialStyle"/>
                <w:rFonts w:ascii="Arial" w:hAnsi="Arial" w:cs="Arial"/>
                <w:bCs/>
              </w:rPr>
            </w:pPr>
            <w:r>
              <w:rPr>
                <w:rStyle w:val="InitialStyle"/>
                <w:rFonts w:ascii="Arial" w:hAnsi="Arial" w:cs="Arial"/>
                <w:bCs/>
              </w:rPr>
              <w:t>Versant Power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7EBB4E29" w:rsidR="00477943" w:rsidRPr="00C97934" w:rsidRDefault="00D82630" w:rsidP="001B270F">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1B270F">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1B270F">
        <w:rPr>
          <w:rStyle w:val="InitialStyle"/>
          <w:rFonts w:ascii="Arial" w:hAnsi="Arial" w:cs="Arial"/>
          <w:b/>
          <w:bCs/>
          <w:sz w:val="28"/>
          <w:szCs w:val="28"/>
        </w:rPr>
        <w:t>Office of the Public Advocate</w:t>
      </w:r>
    </w:p>
    <w:p w14:paraId="14D216B5" w14:textId="177EBEA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227AA5">
        <w:rPr>
          <w:rStyle w:val="InitialStyle"/>
          <w:rFonts w:ascii="Arial" w:hAnsi="Arial" w:cs="Arial"/>
          <w:b/>
          <w:bCs/>
          <w:sz w:val="28"/>
          <w:szCs w:val="28"/>
        </w:rPr>
        <w:t xml:space="preserve"> 202401007</w:t>
      </w:r>
    </w:p>
    <w:p w14:paraId="5ABDE130" w14:textId="4B4F0EA0" w:rsidR="00E82FB4" w:rsidRPr="00227AA5" w:rsidRDefault="001B270F" w:rsidP="00D82630">
      <w:pPr>
        <w:pStyle w:val="DefaultText"/>
        <w:widowControl/>
        <w:jc w:val="center"/>
        <w:rPr>
          <w:rStyle w:val="InitialStyle"/>
          <w:rFonts w:ascii="Arial" w:hAnsi="Arial" w:cs="Arial"/>
          <w:b/>
          <w:bCs/>
          <w:sz w:val="28"/>
          <w:szCs w:val="28"/>
          <w:u w:val="single"/>
        </w:rPr>
      </w:pPr>
      <w:r w:rsidRPr="00227AA5">
        <w:rPr>
          <w:rStyle w:val="InitialStyle"/>
          <w:rFonts w:ascii="Arial" w:hAnsi="Arial" w:cs="Arial"/>
          <w:b/>
          <w:bCs/>
          <w:sz w:val="28"/>
          <w:szCs w:val="28"/>
          <w:u w:val="single"/>
        </w:rPr>
        <w:t>Electric Rate Case Consultant for the Maine Public Advocate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8169208" w:rsidR="00095BA3" w:rsidRDefault="00E82FB4" w:rsidP="00E33B75">
      <w:pPr>
        <w:rPr>
          <w:rFonts w:ascii="Arial" w:hAnsi="Arial" w:cs="Arial"/>
          <w:sz w:val="24"/>
          <w:szCs w:val="24"/>
        </w:rPr>
      </w:pPr>
      <w:r w:rsidRPr="00C97934">
        <w:rPr>
          <w:rFonts w:ascii="Arial" w:hAnsi="Arial" w:cs="Arial"/>
          <w:sz w:val="24"/>
          <w:szCs w:val="24"/>
        </w:rPr>
        <w:t xml:space="preserve">The </w:t>
      </w:r>
      <w:r w:rsidR="001B270F">
        <w:rPr>
          <w:rFonts w:ascii="Arial" w:hAnsi="Arial" w:cs="Arial"/>
          <w:sz w:val="24"/>
          <w:szCs w:val="24"/>
        </w:rPr>
        <w:t>Office of the Public Advocate</w:t>
      </w:r>
      <w:r w:rsidR="00F360C7" w:rsidRPr="00C97934">
        <w:rPr>
          <w:rFonts w:ascii="Arial" w:hAnsi="Arial" w:cs="Arial"/>
          <w:sz w:val="24"/>
          <w:szCs w:val="24"/>
        </w:rPr>
        <w:t xml:space="preserve"> </w:t>
      </w:r>
      <w:r w:rsidR="00AD7C80" w:rsidRPr="00C97934">
        <w:rPr>
          <w:rFonts w:ascii="Arial" w:hAnsi="Arial" w:cs="Arial"/>
          <w:sz w:val="24"/>
          <w:szCs w:val="24"/>
        </w:rPr>
        <w:t>(</w:t>
      </w:r>
      <w:r w:rsidR="001B270F">
        <w:rPr>
          <w:rFonts w:ascii="Arial" w:hAnsi="Arial" w:cs="Arial"/>
          <w:sz w:val="24"/>
          <w:szCs w:val="24"/>
        </w:rPr>
        <w:t>Office</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1B270F">
        <w:rPr>
          <w:rFonts w:ascii="Arial" w:hAnsi="Arial" w:cs="Arial"/>
          <w:sz w:val="24"/>
          <w:szCs w:val="24"/>
        </w:rPr>
        <w:t xml:space="preserve">proposals to provide consulting services to assist with a utility rate case to be filed by Versant Power (Versant) as defined in this Request for Proposal (RFP) document. </w:t>
      </w:r>
      <w:r w:rsidR="00DA7932">
        <w:rPr>
          <w:rFonts w:ascii="Arial" w:hAnsi="Arial" w:cs="Arial"/>
          <w:sz w:val="24"/>
          <w:szCs w:val="24"/>
        </w:rPr>
        <w:t xml:space="preserve">These services will include, but not be limited to, providing advice, and assisting in litigation in proceedings on </w:t>
      </w:r>
      <w:r w:rsidR="00DA7932" w:rsidRPr="00664515">
        <w:rPr>
          <w:rFonts w:ascii="Arial" w:hAnsi="Arial" w:cs="Arial"/>
          <w:sz w:val="24"/>
          <w:szCs w:val="24"/>
        </w:rPr>
        <w:t xml:space="preserve">Versant’s request for rate increase regarding issues relating to revenue requirements, including operating expenses and rate base. </w:t>
      </w:r>
      <w:r w:rsidRPr="00664515">
        <w:rPr>
          <w:rFonts w:ascii="Arial" w:hAnsi="Arial" w:cs="Arial"/>
          <w:sz w:val="24"/>
          <w:szCs w:val="24"/>
        </w:rPr>
        <w:t>This</w:t>
      </w:r>
      <w:r w:rsidRPr="00C97934">
        <w:rPr>
          <w:rFonts w:ascii="Arial" w:hAnsi="Arial" w:cs="Arial"/>
          <w:sz w:val="24"/>
          <w:szCs w:val="24"/>
        </w:rPr>
        <w:t xml:space="preserve">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r w:rsidR="00664515" w:rsidRPr="00C97934">
        <w:rPr>
          <w:rFonts w:ascii="Arial" w:hAnsi="Arial" w:cs="Arial"/>
          <w:sz w:val="24"/>
          <w:szCs w:val="24"/>
        </w:rPr>
        <w:t>procedure,</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254AEC13" w14:textId="464F69A5" w:rsidR="00DA7932" w:rsidRDefault="00DA7932" w:rsidP="00E33B75">
      <w:pPr>
        <w:rPr>
          <w:rFonts w:ascii="Arial" w:hAnsi="Arial" w:cs="Arial"/>
          <w:sz w:val="24"/>
          <w:szCs w:val="24"/>
        </w:rPr>
      </w:pPr>
    </w:p>
    <w:p w14:paraId="6F94C97D" w14:textId="50FD39B0" w:rsidR="00DA7932" w:rsidRDefault="00DA7932" w:rsidP="00E33B75">
      <w:pPr>
        <w:rPr>
          <w:rFonts w:ascii="Arial" w:hAnsi="Arial" w:cs="Arial"/>
          <w:sz w:val="24"/>
          <w:szCs w:val="24"/>
        </w:rPr>
      </w:pPr>
      <w:r>
        <w:rPr>
          <w:rFonts w:ascii="Arial" w:hAnsi="Arial" w:cs="Arial"/>
          <w:sz w:val="24"/>
          <w:szCs w:val="24"/>
        </w:rPr>
        <w:t>The Public Advocate, by statute, represents the interests of Maine utility ratepayers, with special emphasis on the interests of low-income customers in proceedings before the Maine Public Utilities Commission (MPUC). Because the staff of the Office is composed primarily of attorneys, we rely on a consultant to provide expert advice and testimony on the matters described herein. This advice and testimony are critical to allowing the Office to effectively represent ratepayer interests in proceedings before the MPUC.</w:t>
      </w:r>
    </w:p>
    <w:p w14:paraId="1D9AEC15" w14:textId="5B5F9E9F" w:rsidR="00DA7932" w:rsidRDefault="00DA7932" w:rsidP="00E33B75">
      <w:pPr>
        <w:rPr>
          <w:rFonts w:ascii="Arial" w:hAnsi="Arial" w:cs="Arial"/>
          <w:sz w:val="24"/>
          <w:szCs w:val="24"/>
        </w:rPr>
      </w:pPr>
    </w:p>
    <w:p w14:paraId="7E550E0D" w14:textId="439ED48C" w:rsidR="00DA7932" w:rsidRDefault="00DA7932" w:rsidP="00E33B75">
      <w:pPr>
        <w:rPr>
          <w:rFonts w:ascii="Arial" w:hAnsi="Arial" w:cs="Arial"/>
          <w:sz w:val="24"/>
          <w:szCs w:val="24"/>
        </w:rPr>
      </w:pPr>
      <w:r w:rsidRPr="00A52E3F">
        <w:rPr>
          <w:rFonts w:ascii="Arial" w:hAnsi="Arial" w:cs="Arial"/>
          <w:sz w:val="24"/>
          <w:szCs w:val="24"/>
        </w:rPr>
        <w:t>Versant is a subsidiary of ENMAX Corp. Versant is a</w:t>
      </w:r>
      <w:r w:rsidR="00A243FF" w:rsidRPr="00A52E3F">
        <w:rPr>
          <w:rFonts w:ascii="Arial" w:hAnsi="Arial" w:cs="Arial"/>
          <w:sz w:val="24"/>
          <w:szCs w:val="24"/>
        </w:rPr>
        <w:t>n electric</w:t>
      </w:r>
      <w:r w:rsidRPr="00A52E3F">
        <w:rPr>
          <w:rFonts w:ascii="Arial" w:hAnsi="Arial" w:cs="Arial"/>
          <w:sz w:val="24"/>
          <w:szCs w:val="24"/>
        </w:rPr>
        <w:t xml:space="preserve"> transmission and distribution utility servi</w:t>
      </w:r>
      <w:r w:rsidR="00A243FF" w:rsidRPr="00A52E3F">
        <w:rPr>
          <w:rFonts w:ascii="Arial" w:hAnsi="Arial" w:cs="Arial"/>
          <w:sz w:val="24"/>
          <w:szCs w:val="24"/>
        </w:rPr>
        <w:t>ng</w:t>
      </w:r>
      <w:r w:rsidRPr="00A52E3F">
        <w:rPr>
          <w:rFonts w:ascii="Arial" w:hAnsi="Arial" w:cs="Arial"/>
          <w:sz w:val="24"/>
          <w:szCs w:val="24"/>
        </w:rPr>
        <w:t xml:space="preserve"> approximately 1</w:t>
      </w:r>
      <w:r w:rsidR="008A7091" w:rsidRPr="00A52E3F">
        <w:rPr>
          <w:rFonts w:ascii="Arial" w:hAnsi="Arial" w:cs="Arial"/>
          <w:sz w:val="24"/>
          <w:szCs w:val="24"/>
        </w:rPr>
        <w:t>65</w:t>
      </w:r>
      <w:r w:rsidRPr="00A52E3F">
        <w:rPr>
          <w:rFonts w:ascii="Arial" w:hAnsi="Arial" w:cs="Arial"/>
          <w:sz w:val="24"/>
          <w:szCs w:val="24"/>
        </w:rPr>
        <w:t>,000 retail electric customers in easter</w:t>
      </w:r>
      <w:r w:rsidR="00A243FF" w:rsidRPr="00A52E3F">
        <w:rPr>
          <w:rFonts w:ascii="Arial" w:hAnsi="Arial" w:cs="Arial"/>
          <w:sz w:val="24"/>
          <w:szCs w:val="24"/>
        </w:rPr>
        <w:t>n</w:t>
      </w:r>
      <w:r w:rsidRPr="00A52E3F">
        <w:rPr>
          <w:rFonts w:ascii="Arial" w:hAnsi="Arial" w:cs="Arial"/>
          <w:sz w:val="24"/>
          <w:szCs w:val="24"/>
        </w:rPr>
        <w:t xml:space="preserve"> and norther</w:t>
      </w:r>
      <w:r w:rsidR="00A243FF" w:rsidRPr="00A52E3F">
        <w:rPr>
          <w:rFonts w:ascii="Arial" w:hAnsi="Arial" w:cs="Arial"/>
          <w:sz w:val="24"/>
          <w:szCs w:val="24"/>
        </w:rPr>
        <w:t>n</w:t>
      </w:r>
      <w:r w:rsidRPr="00A52E3F">
        <w:rPr>
          <w:rFonts w:ascii="Arial" w:hAnsi="Arial" w:cs="Arial"/>
          <w:sz w:val="24"/>
          <w:szCs w:val="24"/>
        </w:rPr>
        <w:t xml:space="preserve"> Maine. Versant has provided notice to the MPUC that it intends to file a request for an increase in general distribution rates on or about March 1, 2024.  Versant states that the requested increase will be $35.5 million, which equates to an estimated increase in distribution rates of </w:t>
      </w:r>
      <w:r w:rsidR="001615E3" w:rsidRPr="00A52E3F">
        <w:rPr>
          <w:rFonts w:ascii="Arial" w:hAnsi="Arial" w:cs="Arial"/>
          <w:sz w:val="24"/>
          <w:szCs w:val="24"/>
        </w:rPr>
        <w:t>20-25</w:t>
      </w:r>
      <w:r w:rsidRPr="00A52E3F">
        <w:rPr>
          <w:rFonts w:ascii="Arial" w:hAnsi="Arial" w:cs="Arial"/>
          <w:sz w:val="24"/>
          <w:szCs w:val="24"/>
        </w:rPr>
        <w:t>%.</w:t>
      </w:r>
    </w:p>
    <w:p w14:paraId="57BD6CF8" w14:textId="3D6C952E" w:rsidR="00A8350B" w:rsidRPr="00331B44" w:rsidRDefault="00A8350B" w:rsidP="00E33B75">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bookmarkEnd w:id="6"/>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w:t>
      </w:r>
      <w:r w:rsidRPr="00C97934">
        <w:rPr>
          <w:rFonts w:ascii="Arial" w:hAnsi="Arial" w:cs="Arial"/>
          <w:sz w:val="24"/>
          <w:szCs w:val="24"/>
        </w:rPr>
        <w:lastRenderedPageBreak/>
        <w:t>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bookmarkEnd w:id="9"/>
      <w:bookmarkEnd w:id="10"/>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846E4E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DA7932">
        <w:rPr>
          <w:rFonts w:ascii="Arial" w:hAnsi="Arial" w:cs="Arial"/>
          <w:sz w:val="24"/>
          <w:szCs w:val="24"/>
        </w:rPr>
        <w:t>one</w:t>
      </w:r>
      <w:r w:rsidRPr="00DA7932">
        <w:rPr>
          <w:rFonts w:ascii="Arial" w:hAnsi="Arial" w:cs="Arial"/>
          <w:sz w:val="24"/>
          <w:szCs w:val="24"/>
        </w:rPr>
        <w:t xml:space="preserve"> </w:t>
      </w:r>
      <w:r w:rsidRPr="00C97934">
        <w:rPr>
          <w:rFonts w:ascii="Arial" w:hAnsi="Arial" w:cs="Arial"/>
          <w:sz w:val="24"/>
          <w:szCs w:val="24"/>
        </w:rPr>
        <w:t>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57227E1" w:rsidR="00F53B75" w:rsidRPr="00C97934" w:rsidRDefault="00DA7932" w:rsidP="00583A7B">
            <w:pPr>
              <w:jc w:val="center"/>
              <w:rPr>
                <w:rFonts w:ascii="Arial" w:hAnsi="Arial" w:cs="Arial"/>
                <w:color w:val="FF0000"/>
                <w:sz w:val="24"/>
                <w:szCs w:val="24"/>
              </w:rPr>
            </w:pPr>
            <w:r>
              <w:rPr>
                <w:rFonts w:ascii="Arial" w:hAnsi="Arial" w:cs="Arial"/>
                <w:sz w:val="24"/>
                <w:szCs w:val="24"/>
              </w:rPr>
              <w:t>March 1, 2024</w:t>
            </w:r>
          </w:p>
        </w:tc>
        <w:tc>
          <w:tcPr>
            <w:tcW w:w="2520" w:type="dxa"/>
            <w:tcBorders>
              <w:top w:val="double" w:sz="4" w:space="0" w:color="auto"/>
            </w:tcBorders>
            <w:shd w:val="clear" w:color="auto" w:fill="auto"/>
          </w:tcPr>
          <w:p w14:paraId="6B06294F" w14:textId="463F1A1A" w:rsidR="00F53B75" w:rsidRPr="004B7C0B" w:rsidRDefault="004B7C0B" w:rsidP="00583A7B">
            <w:pPr>
              <w:jc w:val="center"/>
              <w:rPr>
                <w:rFonts w:ascii="Arial" w:hAnsi="Arial" w:cs="Arial"/>
                <w:sz w:val="24"/>
                <w:szCs w:val="24"/>
              </w:rPr>
            </w:pPr>
            <w:r>
              <w:rPr>
                <w:rFonts w:ascii="Arial" w:hAnsi="Arial" w:cs="Arial"/>
                <w:sz w:val="24"/>
                <w:szCs w:val="24"/>
              </w:rPr>
              <w:t>February 28,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1E65025" w:rsidR="00F53B75" w:rsidRPr="00C97934" w:rsidRDefault="004B7C0B" w:rsidP="00583A7B">
            <w:pPr>
              <w:jc w:val="center"/>
              <w:rPr>
                <w:rFonts w:ascii="Arial" w:hAnsi="Arial" w:cs="Arial"/>
                <w:color w:val="FF0000"/>
                <w:sz w:val="24"/>
                <w:szCs w:val="24"/>
              </w:rPr>
            </w:pPr>
            <w:r>
              <w:rPr>
                <w:rFonts w:ascii="Arial" w:hAnsi="Arial" w:cs="Arial"/>
                <w:sz w:val="24"/>
                <w:szCs w:val="24"/>
              </w:rPr>
              <w:t>March 1, 2026</w:t>
            </w:r>
          </w:p>
        </w:tc>
        <w:tc>
          <w:tcPr>
            <w:tcW w:w="2520" w:type="dxa"/>
            <w:shd w:val="clear" w:color="auto" w:fill="auto"/>
          </w:tcPr>
          <w:p w14:paraId="58F074BA" w14:textId="0412AA51" w:rsidR="00F53B75" w:rsidRPr="004B7C0B" w:rsidRDefault="004B7C0B" w:rsidP="00583A7B">
            <w:pPr>
              <w:jc w:val="center"/>
              <w:rPr>
                <w:rFonts w:ascii="Arial" w:hAnsi="Arial" w:cs="Arial"/>
                <w:sz w:val="24"/>
                <w:szCs w:val="24"/>
              </w:rPr>
            </w:pPr>
            <w:r>
              <w:rPr>
                <w:rFonts w:ascii="Arial" w:hAnsi="Arial" w:cs="Arial"/>
                <w:sz w:val="24"/>
                <w:szCs w:val="24"/>
              </w:rPr>
              <w:t>February 28, 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4555617"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1F6D31">
        <w:rPr>
          <w:rFonts w:ascii="Arial" w:hAnsi="Arial" w:cs="Arial"/>
          <w:sz w:val="24"/>
          <w:szCs w:val="24"/>
        </w:rPr>
        <w:t>one (1)</w:t>
      </w:r>
      <w:r w:rsidRPr="001F6D31">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073E378" w14:textId="737271EE" w:rsidR="001F6D31" w:rsidRPr="008B14D2" w:rsidRDefault="001F6D31" w:rsidP="001F6D31">
      <w:pPr>
        <w:pStyle w:val="DefaultText"/>
        <w:numPr>
          <w:ilvl w:val="0"/>
          <w:numId w:val="43"/>
        </w:numPr>
        <w:tabs>
          <w:tab w:val="left" w:pos="0"/>
          <w:tab w:val="left" w:pos="720"/>
        </w:tabs>
        <w:rPr>
          <w:rStyle w:val="InitialStyle"/>
          <w:rFonts w:ascii="Arial" w:hAnsi="Arial" w:cs="Arial"/>
        </w:rPr>
      </w:pPr>
      <w:bookmarkStart w:id="17" w:name="_Toc367174729"/>
      <w:bookmarkStart w:id="18" w:name="_Toc397069197"/>
      <w:r w:rsidRPr="00195527">
        <w:rPr>
          <w:rStyle w:val="InitialStyle"/>
          <w:rFonts w:ascii="Arial" w:hAnsi="Arial" w:cs="Arial"/>
          <w:b/>
        </w:rPr>
        <w:t>ISSUES/TASKS.</w:t>
      </w:r>
      <w:r w:rsidRPr="00195527">
        <w:rPr>
          <w:rStyle w:val="InitialStyle"/>
          <w:rFonts w:ascii="Arial" w:hAnsi="Arial" w:cs="Arial"/>
        </w:rPr>
        <w:t xml:space="preserve"> </w:t>
      </w:r>
      <w:r w:rsidRPr="008B14D2">
        <w:rPr>
          <w:rStyle w:val="InitialStyle"/>
          <w:rFonts w:ascii="Arial" w:hAnsi="Arial" w:cs="Arial"/>
        </w:rPr>
        <w:t>The consultant</w:t>
      </w:r>
      <w:r w:rsidR="008B14D2">
        <w:rPr>
          <w:rStyle w:val="InitialStyle"/>
          <w:rFonts w:ascii="Arial" w:hAnsi="Arial" w:cs="Arial"/>
        </w:rPr>
        <w:t>(s</w:t>
      </w:r>
      <w:r w:rsidRPr="008B14D2">
        <w:rPr>
          <w:rStyle w:val="InitialStyle"/>
          <w:rFonts w:ascii="Arial" w:hAnsi="Arial" w:cs="Arial"/>
        </w:rPr>
        <w:t>) will provide the services with respect to issues relating to revenue requirements</w:t>
      </w:r>
      <w:r w:rsidR="001615E3" w:rsidRPr="008B14D2">
        <w:rPr>
          <w:rStyle w:val="InitialStyle"/>
          <w:rFonts w:ascii="Arial" w:hAnsi="Arial" w:cs="Arial"/>
        </w:rPr>
        <w:t>, which shall be performed at the discretion of and with input from the Office.  Versant states that</w:t>
      </w:r>
      <w:r w:rsidRPr="008B14D2">
        <w:rPr>
          <w:rStyle w:val="InitialStyle"/>
          <w:rFonts w:ascii="Arial" w:hAnsi="Arial" w:cs="Arial"/>
        </w:rPr>
        <w:t xml:space="preserve"> </w:t>
      </w:r>
      <w:r w:rsidR="001615E3" w:rsidRPr="008B14D2">
        <w:rPr>
          <w:rStyle w:val="InitialStyle"/>
          <w:rFonts w:ascii="Arial" w:hAnsi="Arial" w:cs="Arial"/>
        </w:rPr>
        <w:t xml:space="preserve">its filing is anticipated to include increases related to the following things, among others: </w:t>
      </w:r>
      <w:r w:rsidRPr="008B14D2">
        <w:rPr>
          <w:rStyle w:val="InitialStyle"/>
          <w:rFonts w:ascii="Arial" w:hAnsi="Arial" w:cs="Arial"/>
        </w:rPr>
        <w:t>recovery of costs of major storm restoration efforts and the deferred operations and maintenance costs from Versant’s last distribution rate case; investments in technology to modernize customers’ interactions and keep sensitive data secure; and continued work maintaining the distribution gri</w:t>
      </w:r>
      <w:r w:rsidR="00913EE6" w:rsidRPr="008B14D2">
        <w:rPr>
          <w:rStyle w:val="InitialStyle"/>
          <w:rFonts w:ascii="Arial" w:hAnsi="Arial" w:cs="Arial"/>
        </w:rPr>
        <w:t>d</w:t>
      </w:r>
      <w:r w:rsidRPr="008B14D2">
        <w:rPr>
          <w:rStyle w:val="InitialStyle"/>
          <w:rFonts w:ascii="Arial" w:hAnsi="Arial" w:cs="Arial"/>
        </w:rPr>
        <w:t xml:space="preserve">.  The consultant(s) will analyze all pertinent data and present overall recommendations regarding the Revenue Requirements for which they have been selected to provide services under this RFP.  </w:t>
      </w:r>
    </w:p>
    <w:p w14:paraId="48EA1F67" w14:textId="77777777" w:rsidR="001F6D31" w:rsidRPr="00195527" w:rsidRDefault="001F6D31" w:rsidP="001F6D31">
      <w:pPr>
        <w:pStyle w:val="DefaultText"/>
        <w:tabs>
          <w:tab w:val="left" w:pos="0"/>
          <w:tab w:val="left" w:pos="720"/>
        </w:tabs>
        <w:ind w:left="630"/>
        <w:rPr>
          <w:rStyle w:val="InitialStyle"/>
          <w:rFonts w:ascii="Arial" w:hAnsi="Arial" w:cs="Arial"/>
        </w:rPr>
      </w:pPr>
    </w:p>
    <w:p w14:paraId="58C37DB8" w14:textId="650C1C6E" w:rsidR="001F6D31" w:rsidRPr="00150F00" w:rsidRDefault="001F6D31" w:rsidP="001F6D31">
      <w:pPr>
        <w:pStyle w:val="DefaultText"/>
        <w:numPr>
          <w:ilvl w:val="0"/>
          <w:numId w:val="43"/>
        </w:numPr>
        <w:tabs>
          <w:tab w:val="left" w:pos="0"/>
          <w:tab w:val="left" w:pos="360"/>
          <w:tab w:val="left" w:pos="720"/>
        </w:tabs>
        <w:rPr>
          <w:rStyle w:val="InitialStyle"/>
          <w:rFonts w:ascii="Arial" w:hAnsi="Arial" w:cs="Arial"/>
        </w:rPr>
      </w:pPr>
      <w:r w:rsidRPr="00195527">
        <w:rPr>
          <w:rStyle w:val="InitialStyle"/>
          <w:rFonts w:ascii="Arial" w:hAnsi="Arial" w:cs="Arial"/>
          <w:b/>
        </w:rPr>
        <w:t xml:space="preserve">SPECIFIC DESCRIPTION OF RESPONSIBILITIES.  </w:t>
      </w:r>
      <w:r w:rsidRPr="00150F00">
        <w:rPr>
          <w:rStyle w:val="InitialStyle"/>
          <w:rFonts w:ascii="Arial" w:hAnsi="Arial" w:cs="Arial"/>
        </w:rPr>
        <w:t xml:space="preserve">The </w:t>
      </w:r>
      <w:r>
        <w:rPr>
          <w:rStyle w:val="InitialStyle"/>
          <w:rFonts w:ascii="Arial" w:hAnsi="Arial" w:cs="Arial"/>
        </w:rPr>
        <w:t xml:space="preserve">consultant(s) will perform </w:t>
      </w:r>
      <w:r w:rsidRPr="00150F00">
        <w:rPr>
          <w:rStyle w:val="InitialStyle"/>
          <w:rFonts w:ascii="Arial" w:hAnsi="Arial" w:cs="Arial"/>
        </w:rPr>
        <w:t xml:space="preserve">the following specific </w:t>
      </w:r>
      <w:r>
        <w:rPr>
          <w:rStyle w:val="InitialStyle"/>
          <w:rFonts w:ascii="Arial" w:hAnsi="Arial" w:cs="Arial"/>
        </w:rPr>
        <w:t>tasks as directed by and with input from the Office</w:t>
      </w:r>
      <w:r w:rsidRPr="00E97F40">
        <w:rPr>
          <w:rFonts w:ascii="Arial" w:hAnsi="Arial" w:cs="Arial"/>
        </w:rPr>
        <w:t xml:space="preserve"> with respect to </w:t>
      </w:r>
      <w:r w:rsidRPr="00E97F40">
        <w:rPr>
          <w:rStyle w:val="InitialStyle"/>
          <w:rFonts w:ascii="Arial" w:hAnsi="Arial" w:cs="Arial"/>
        </w:rPr>
        <w:t xml:space="preserve">the </w:t>
      </w:r>
      <w:r>
        <w:rPr>
          <w:rStyle w:val="InitialStyle"/>
          <w:rFonts w:ascii="Arial" w:hAnsi="Arial" w:cs="Arial"/>
        </w:rPr>
        <w:t>Revenue Requirements</w:t>
      </w:r>
      <w:r w:rsidRPr="00E97F40">
        <w:rPr>
          <w:rStyle w:val="InitialStyle"/>
          <w:rFonts w:ascii="Arial" w:hAnsi="Arial" w:cs="Arial"/>
        </w:rPr>
        <w:t xml:space="preserve"> for which they </w:t>
      </w:r>
      <w:r>
        <w:rPr>
          <w:rStyle w:val="InitialStyle"/>
          <w:rFonts w:ascii="Arial" w:hAnsi="Arial" w:cs="Arial"/>
        </w:rPr>
        <w:t>have been</w:t>
      </w:r>
      <w:r w:rsidRPr="00E97F40">
        <w:rPr>
          <w:rStyle w:val="InitialStyle"/>
          <w:rFonts w:ascii="Arial" w:hAnsi="Arial" w:cs="Arial"/>
        </w:rPr>
        <w:t xml:space="preserve"> selected to provide services</w:t>
      </w:r>
      <w:r w:rsidRPr="00150F00">
        <w:rPr>
          <w:rStyle w:val="InitialStyle"/>
          <w:rFonts w:ascii="Arial" w:hAnsi="Arial" w:cs="Arial"/>
        </w:rPr>
        <w:t xml:space="preserve">: </w:t>
      </w:r>
    </w:p>
    <w:p w14:paraId="5EBAEABC" w14:textId="77777777" w:rsidR="001F6D31" w:rsidRPr="00195527" w:rsidRDefault="001F6D31" w:rsidP="001F6D31">
      <w:pPr>
        <w:pStyle w:val="DefaultText"/>
        <w:tabs>
          <w:tab w:val="left" w:pos="630"/>
        </w:tabs>
        <w:ind w:left="720"/>
        <w:rPr>
          <w:rStyle w:val="InitialStyle"/>
          <w:rFonts w:ascii="Arial" w:hAnsi="Arial" w:cs="Arial"/>
        </w:rPr>
      </w:pPr>
    </w:p>
    <w:p w14:paraId="43CC27E8" w14:textId="50D6780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1.</w:t>
      </w:r>
      <w:r w:rsidRPr="00195527">
        <w:rPr>
          <w:rStyle w:val="InitialStyle"/>
          <w:rFonts w:ascii="Arial" w:hAnsi="Arial" w:cs="Arial"/>
        </w:rPr>
        <w:tab/>
        <w:t xml:space="preserve">Thoroughly review and evaluate the testimony, filings and other material filed by </w:t>
      </w:r>
      <w:r w:rsidRPr="002834AB">
        <w:rPr>
          <w:rStyle w:val="InitialStyle"/>
          <w:rFonts w:ascii="Arial" w:hAnsi="Arial" w:cs="Arial"/>
        </w:rPr>
        <w:t>Versant</w:t>
      </w:r>
      <w:r w:rsidRPr="00195527">
        <w:rPr>
          <w:rStyle w:val="InitialStyle"/>
          <w:rFonts w:ascii="Arial" w:hAnsi="Arial" w:cs="Arial"/>
        </w:rPr>
        <w:t xml:space="preserve"> and assist the </w:t>
      </w:r>
      <w:r>
        <w:rPr>
          <w:rStyle w:val="InitialStyle"/>
          <w:rFonts w:ascii="Arial" w:hAnsi="Arial" w:cs="Arial"/>
        </w:rPr>
        <w:t>Office</w:t>
      </w:r>
      <w:r w:rsidRPr="00195527">
        <w:rPr>
          <w:rStyle w:val="InitialStyle"/>
          <w:rFonts w:ascii="Arial" w:hAnsi="Arial" w:cs="Arial"/>
        </w:rPr>
        <w:t xml:space="preserve"> in analyzing and in identifying any additional issues that should be raised by the </w:t>
      </w:r>
      <w:r>
        <w:rPr>
          <w:rStyle w:val="InitialStyle"/>
          <w:rFonts w:ascii="Arial" w:hAnsi="Arial" w:cs="Arial"/>
        </w:rPr>
        <w:t>Office</w:t>
      </w:r>
      <w:r w:rsidRPr="00195527">
        <w:rPr>
          <w:rStyle w:val="InitialStyle"/>
          <w:rFonts w:ascii="Arial" w:hAnsi="Arial" w:cs="Arial"/>
        </w:rPr>
        <w:t>.</w:t>
      </w:r>
    </w:p>
    <w:p w14:paraId="0A23C18E"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18C52900"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2.</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conducting discovery of </w:t>
      </w:r>
      <w:r w:rsidRPr="002834AB">
        <w:rPr>
          <w:rStyle w:val="InitialStyle"/>
          <w:rFonts w:ascii="Arial" w:hAnsi="Arial" w:cs="Arial"/>
        </w:rPr>
        <w:t>Versant</w:t>
      </w:r>
      <w:r w:rsidRPr="00195527">
        <w:rPr>
          <w:rStyle w:val="InitialStyle"/>
          <w:rFonts w:ascii="Arial" w:hAnsi="Arial" w:cs="Arial"/>
        </w:rPr>
        <w:t xml:space="preserve"> or other intervening parties sufficient to make a complete analysis of </w:t>
      </w:r>
      <w:r w:rsidRPr="002834AB">
        <w:rPr>
          <w:rStyle w:val="InitialStyle"/>
          <w:rFonts w:ascii="Arial" w:hAnsi="Arial" w:cs="Arial"/>
        </w:rPr>
        <w:t>Versant</w:t>
      </w:r>
      <w:r w:rsidRPr="00195527">
        <w:rPr>
          <w:rStyle w:val="InitialStyle"/>
          <w:rFonts w:ascii="Arial" w:hAnsi="Arial" w:cs="Arial"/>
        </w:rPr>
        <w:t xml:space="preserve">’s proposal and the effect on customers.  This assistance should include, without limitation, aid in the preparation of such written requests for information as may be necessary for a thorough analysis of the case. </w:t>
      </w:r>
    </w:p>
    <w:p w14:paraId="5EC29241"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6971BCB9" w14:textId="17F2536D"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3.</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evaluating the responses to discovery and other information provided by </w:t>
      </w:r>
      <w:r w:rsidRPr="002834AB">
        <w:rPr>
          <w:rStyle w:val="InitialStyle"/>
          <w:rFonts w:ascii="Arial" w:hAnsi="Arial" w:cs="Arial"/>
        </w:rPr>
        <w:t>Versant</w:t>
      </w:r>
      <w:r w:rsidRPr="00195527">
        <w:rPr>
          <w:rStyle w:val="InitialStyle"/>
          <w:rFonts w:ascii="Arial" w:hAnsi="Arial" w:cs="Arial"/>
        </w:rPr>
        <w:t xml:space="preserve"> and other parties for the purpose of determining whether the case can be processed on the basis of the </w:t>
      </w:r>
      <w:r w:rsidR="00913EE6">
        <w:rPr>
          <w:rStyle w:val="InitialStyle"/>
          <w:rFonts w:ascii="Arial" w:hAnsi="Arial" w:cs="Arial"/>
        </w:rPr>
        <w:t>revenue requirements, among others, as</w:t>
      </w:r>
      <w:r w:rsidRPr="00195527">
        <w:rPr>
          <w:rStyle w:val="InitialStyle"/>
          <w:rFonts w:ascii="Arial" w:hAnsi="Arial" w:cs="Arial"/>
        </w:rPr>
        <w:t xml:space="preserve"> identified or whether the </w:t>
      </w:r>
      <w:r>
        <w:rPr>
          <w:rStyle w:val="InitialStyle"/>
          <w:rFonts w:ascii="Arial" w:hAnsi="Arial" w:cs="Arial"/>
        </w:rPr>
        <w:t>Office</w:t>
      </w:r>
      <w:r w:rsidRPr="00195527">
        <w:rPr>
          <w:rStyle w:val="InitialStyle"/>
          <w:rFonts w:ascii="Arial" w:hAnsi="Arial" w:cs="Arial"/>
        </w:rPr>
        <w:t xml:space="preserve"> ought to raise additional issues.</w:t>
      </w:r>
    </w:p>
    <w:p w14:paraId="4B6201BD"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09E98528"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4.</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preparing proposed cross-examination of any expert witnesses and in conducting such examination, whether at a technical conference or at a </w:t>
      </w:r>
      <w:r>
        <w:rPr>
          <w:rStyle w:val="InitialStyle"/>
          <w:rFonts w:ascii="Arial" w:hAnsi="Arial" w:cs="Arial"/>
        </w:rPr>
        <w:t>MPUC</w:t>
      </w:r>
      <w:r w:rsidRPr="00195527">
        <w:rPr>
          <w:rStyle w:val="InitialStyle"/>
          <w:rFonts w:ascii="Arial" w:hAnsi="Arial" w:cs="Arial"/>
        </w:rPr>
        <w:t xml:space="preserve"> hearing.  From time to time, this may include travel to Hallowell, Maine.  (The </w:t>
      </w:r>
      <w:r>
        <w:rPr>
          <w:rStyle w:val="InitialStyle"/>
          <w:rFonts w:ascii="Arial" w:hAnsi="Arial" w:cs="Arial"/>
        </w:rPr>
        <w:t>o</w:t>
      </w:r>
      <w:r w:rsidRPr="00195527">
        <w:rPr>
          <w:rStyle w:val="InitialStyle"/>
          <w:rFonts w:ascii="Arial" w:hAnsi="Arial" w:cs="Arial"/>
        </w:rPr>
        <w:t xml:space="preserve">ffices of the Maine Public Advocate and of the </w:t>
      </w:r>
      <w:r>
        <w:rPr>
          <w:rStyle w:val="InitialStyle"/>
          <w:rFonts w:ascii="Arial" w:hAnsi="Arial" w:cs="Arial"/>
        </w:rPr>
        <w:t>MPUC</w:t>
      </w:r>
      <w:r w:rsidRPr="00195527">
        <w:rPr>
          <w:rStyle w:val="InitialStyle"/>
          <w:rFonts w:ascii="Arial" w:hAnsi="Arial" w:cs="Arial"/>
        </w:rPr>
        <w:t xml:space="preserve"> are near each other in Hallowell, Maine.)</w:t>
      </w:r>
    </w:p>
    <w:p w14:paraId="5EA60CAC"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234104B8" w14:textId="2FF6BE4A"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5.</w:t>
      </w:r>
      <w:r w:rsidRPr="00195527">
        <w:rPr>
          <w:rStyle w:val="InitialStyle"/>
          <w:rFonts w:ascii="Arial" w:hAnsi="Arial" w:cs="Arial"/>
        </w:rPr>
        <w:tab/>
        <w:t xml:space="preserve">Prepare, present direct testimony, and submit to cross-examination on the </w:t>
      </w:r>
      <w:r w:rsidR="00913EE6">
        <w:rPr>
          <w:rStyle w:val="InitialStyle"/>
          <w:rFonts w:ascii="Arial" w:hAnsi="Arial" w:cs="Arial"/>
        </w:rPr>
        <w:t>revenue requirements</w:t>
      </w:r>
      <w:r w:rsidRPr="00195527">
        <w:rPr>
          <w:rStyle w:val="InitialStyle"/>
          <w:rFonts w:ascii="Arial" w:hAnsi="Arial" w:cs="Arial"/>
        </w:rPr>
        <w:t xml:space="preserve"> identified in PART II.A above, as well as any other issues identified as necessary to raise.  This may include travel to Hallowell, Maine.</w:t>
      </w:r>
    </w:p>
    <w:p w14:paraId="105EBF58"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1DDF44CC"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6.</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responding to such discovery as </w:t>
      </w:r>
      <w:r w:rsidRPr="002834AB">
        <w:rPr>
          <w:rStyle w:val="InitialStyle"/>
          <w:rFonts w:ascii="Arial" w:hAnsi="Arial" w:cs="Arial"/>
        </w:rPr>
        <w:t>Versant</w:t>
      </w:r>
      <w:r w:rsidRPr="00195527">
        <w:rPr>
          <w:rStyle w:val="InitialStyle"/>
          <w:rFonts w:ascii="Arial" w:hAnsi="Arial" w:cs="Arial"/>
        </w:rPr>
        <w:t xml:space="preserve">, </w:t>
      </w:r>
      <w:r>
        <w:rPr>
          <w:rStyle w:val="InitialStyle"/>
          <w:rFonts w:ascii="Arial" w:hAnsi="Arial" w:cs="Arial"/>
        </w:rPr>
        <w:t>MPUC</w:t>
      </w:r>
      <w:r w:rsidRPr="00195527">
        <w:rPr>
          <w:rStyle w:val="InitialStyle"/>
          <w:rFonts w:ascii="Arial" w:hAnsi="Arial" w:cs="Arial"/>
        </w:rPr>
        <w:t xml:space="preserve"> Staff, or other parties may undertake of the </w:t>
      </w:r>
      <w:r>
        <w:rPr>
          <w:rStyle w:val="InitialStyle"/>
          <w:rFonts w:ascii="Arial" w:hAnsi="Arial" w:cs="Arial"/>
        </w:rPr>
        <w:t>Office</w:t>
      </w:r>
      <w:r w:rsidRPr="00195527">
        <w:rPr>
          <w:rStyle w:val="InitialStyle"/>
          <w:rFonts w:ascii="Arial" w:hAnsi="Arial" w:cs="Arial"/>
        </w:rPr>
        <w:t xml:space="preserve"> and its consultants.</w:t>
      </w:r>
    </w:p>
    <w:p w14:paraId="195F17EF" w14:textId="77777777" w:rsidR="001F6D31" w:rsidRPr="00195527" w:rsidRDefault="001F6D31" w:rsidP="001F6D31">
      <w:pPr>
        <w:pStyle w:val="DefaultText"/>
        <w:tabs>
          <w:tab w:val="left" w:pos="0"/>
          <w:tab w:val="left" w:pos="630"/>
          <w:tab w:val="left" w:pos="720"/>
        </w:tabs>
        <w:rPr>
          <w:rStyle w:val="InitialStyle"/>
          <w:rFonts w:ascii="Arial" w:hAnsi="Arial" w:cs="Arial"/>
        </w:rPr>
      </w:pPr>
    </w:p>
    <w:p w14:paraId="7025ECC9" w14:textId="3C826F3A" w:rsidR="001F6D31"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7.</w:t>
      </w:r>
      <w:r w:rsidRPr="00195527">
        <w:rPr>
          <w:rStyle w:val="InitialStyle"/>
          <w:rFonts w:ascii="Arial" w:hAnsi="Arial" w:cs="Arial"/>
        </w:rPr>
        <w:tab/>
        <w:t xml:space="preserve">Review the direct testimony filed by </w:t>
      </w:r>
      <w:r w:rsidRPr="002834AB">
        <w:rPr>
          <w:rStyle w:val="InitialStyle"/>
          <w:rFonts w:ascii="Arial" w:hAnsi="Arial" w:cs="Arial"/>
        </w:rPr>
        <w:t>Versant</w:t>
      </w:r>
      <w:r w:rsidRPr="00195527">
        <w:rPr>
          <w:rStyle w:val="InitialStyle"/>
          <w:rFonts w:ascii="Arial" w:hAnsi="Arial" w:cs="Arial"/>
        </w:rPr>
        <w:t xml:space="preserve"> and other parties and prepare and present rebuttal and surrebuttal evidence on the </w:t>
      </w:r>
      <w:r w:rsidR="00913EE6">
        <w:rPr>
          <w:rStyle w:val="InitialStyle"/>
          <w:rFonts w:ascii="Arial" w:hAnsi="Arial" w:cs="Arial"/>
        </w:rPr>
        <w:t>revenue requirements</w:t>
      </w:r>
      <w:r w:rsidRPr="00195527">
        <w:rPr>
          <w:rStyle w:val="InitialStyle"/>
          <w:rFonts w:ascii="Arial" w:hAnsi="Arial" w:cs="Arial"/>
        </w:rPr>
        <w:t xml:space="preserve"> and any other issues identified.  This may require travel to </w:t>
      </w:r>
      <w:r>
        <w:rPr>
          <w:rStyle w:val="InitialStyle"/>
          <w:rFonts w:ascii="Arial" w:hAnsi="Arial" w:cs="Arial"/>
        </w:rPr>
        <w:t>Hallowell</w:t>
      </w:r>
      <w:r w:rsidRPr="00195527">
        <w:rPr>
          <w:rStyle w:val="InitialStyle"/>
          <w:rFonts w:ascii="Arial" w:hAnsi="Arial" w:cs="Arial"/>
        </w:rPr>
        <w:t>, Maine.</w:t>
      </w:r>
    </w:p>
    <w:p w14:paraId="72F1E3D3" w14:textId="44BE1B1A" w:rsidR="008B14D2" w:rsidRDefault="008B14D2" w:rsidP="001F6D31">
      <w:pPr>
        <w:pStyle w:val="DefaultText"/>
        <w:tabs>
          <w:tab w:val="left" w:pos="0"/>
          <w:tab w:val="left" w:pos="630"/>
          <w:tab w:val="left" w:pos="720"/>
        </w:tabs>
        <w:ind w:left="1440" w:hanging="1440"/>
        <w:rPr>
          <w:rStyle w:val="InitialStyle"/>
          <w:rFonts w:ascii="Arial" w:hAnsi="Arial" w:cs="Arial"/>
        </w:rPr>
      </w:pPr>
    </w:p>
    <w:p w14:paraId="4C227B41" w14:textId="77777777" w:rsidR="008B14D2" w:rsidRPr="00195527" w:rsidRDefault="008B14D2" w:rsidP="001F6D31">
      <w:pPr>
        <w:pStyle w:val="DefaultText"/>
        <w:tabs>
          <w:tab w:val="left" w:pos="0"/>
          <w:tab w:val="left" w:pos="630"/>
          <w:tab w:val="left" w:pos="720"/>
        </w:tabs>
        <w:ind w:left="1440" w:hanging="1440"/>
        <w:rPr>
          <w:rStyle w:val="InitialStyle"/>
          <w:rFonts w:ascii="Arial" w:hAnsi="Arial" w:cs="Arial"/>
        </w:rPr>
      </w:pPr>
    </w:p>
    <w:p w14:paraId="79F9C75D"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7E622DCC"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lastRenderedPageBreak/>
        <w:tab/>
        <w:t>8.</w:t>
      </w:r>
      <w:r w:rsidRPr="00195527">
        <w:rPr>
          <w:rStyle w:val="InitialStyle"/>
          <w:rFonts w:ascii="Arial" w:hAnsi="Arial" w:cs="Arial"/>
        </w:rPr>
        <w:tab/>
        <w:t xml:space="preserve">Analyze rebuttal testimony filed by </w:t>
      </w:r>
      <w:r w:rsidRPr="002834AB">
        <w:rPr>
          <w:rStyle w:val="InitialStyle"/>
          <w:rFonts w:ascii="Arial" w:hAnsi="Arial" w:cs="Arial"/>
        </w:rPr>
        <w:t>Versant</w:t>
      </w:r>
      <w:r w:rsidRPr="00195527">
        <w:rPr>
          <w:rStyle w:val="InitialStyle"/>
          <w:rFonts w:ascii="Arial" w:hAnsi="Arial" w:cs="Arial"/>
        </w:rPr>
        <w:t xml:space="preserve"> and other parties and prepare proposed cross-examination thereof, together with any needed discovery.  Assist in the cross-examination of </w:t>
      </w:r>
      <w:r>
        <w:rPr>
          <w:rStyle w:val="InitialStyle"/>
          <w:rFonts w:ascii="Arial" w:hAnsi="Arial" w:cs="Arial"/>
        </w:rPr>
        <w:t>Versant’s</w:t>
      </w:r>
      <w:r w:rsidRPr="00195527">
        <w:rPr>
          <w:rFonts w:ascii="Arial" w:hAnsi="Arial" w:cs="Arial"/>
        </w:rPr>
        <w:t xml:space="preserve"> </w:t>
      </w:r>
      <w:r w:rsidRPr="00195527">
        <w:rPr>
          <w:rStyle w:val="InitialStyle"/>
          <w:rFonts w:ascii="Arial" w:hAnsi="Arial" w:cs="Arial"/>
        </w:rPr>
        <w:t>rebuttal.  From time to time, this may include travel to Hallowell, Maine.</w:t>
      </w:r>
    </w:p>
    <w:p w14:paraId="1783E46C" w14:textId="77777777" w:rsidR="001F6D31" w:rsidRPr="00195527" w:rsidRDefault="001F6D31" w:rsidP="001F6D31">
      <w:pPr>
        <w:pStyle w:val="DefaultText"/>
        <w:tabs>
          <w:tab w:val="left" w:pos="0"/>
          <w:tab w:val="left" w:pos="630"/>
          <w:tab w:val="left" w:pos="720"/>
        </w:tabs>
        <w:ind w:left="1440" w:hanging="1440"/>
        <w:rPr>
          <w:rStyle w:val="InitialStyle"/>
          <w:rFonts w:ascii="Arial" w:hAnsi="Arial" w:cs="Arial"/>
        </w:rPr>
      </w:pPr>
    </w:p>
    <w:p w14:paraId="39DEB9B5" w14:textId="77777777" w:rsidR="001F6D31" w:rsidRPr="00493DF1" w:rsidRDefault="001F6D31" w:rsidP="001F6D31">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t>9.</w:t>
      </w:r>
      <w:r w:rsidRPr="00195527">
        <w:rPr>
          <w:rStyle w:val="InitialStyle"/>
          <w:rFonts w:ascii="Arial" w:hAnsi="Arial" w:cs="Arial"/>
        </w:rPr>
        <w:tab/>
        <w:t xml:space="preserve">In the course of performing these Tasks, assist the </w:t>
      </w:r>
      <w:r>
        <w:rPr>
          <w:rStyle w:val="InitialStyle"/>
          <w:rFonts w:ascii="Arial" w:hAnsi="Arial" w:cs="Arial"/>
        </w:rPr>
        <w:t>Office</w:t>
      </w:r>
      <w:r w:rsidRPr="00195527">
        <w:rPr>
          <w:rStyle w:val="InitialStyle"/>
          <w:rFonts w:ascii="Arial" w:hAnsi="Arial" w:cs="Arial"/>
        </w:rPr>
        <w:t xml:space="preserve"> in evaluating and responding to positions taken and evidence presented by any intervenors </w:t>
      </w:r>
      <w:r w:rsidRPr="00493DF1">
        <w:rPr>
          <w:rStyle w:val="InitialStyle"/>
          <w:rFonts w:ascii="Arial" w:hAnsi="Arial" w:cs="Arial"/>
        </w:rPr>
        <w:t>that may participate in the case.</w:t>
      </w:r>
    </w:p>
    <w:p w14:paraId="3087309E" w14:textId="77777777" w:rsidR="001F6D31" w:rsidRPr="00493DF1" w:rsidRDefault="001F6D31" w:rsidP="001F6D31">
      <w:pPr>
        <w:pStyle w:val="DefaultText"/>
        <w:tabs>
          <w:tab w:val="left" w:pos="0"/>
          <w:tab w:val="left" w:pos="630"/>
          <w:tab w:val="left" w:pos="720"/>
        </w:tabs>
        <w:ind w:left="1440" w:hanging="1440"/>
        <w:rPr>
          <w:rStyle w:val="InitialStyle"/>
          <w:rFonts w:ascii="Arial" w:hAnsi="Arial" w:cs="Arial"/>
        </w:rPr>
      </w:pPr>
    </w:p>
    <w:p w14:paraId="4D60EB66" w14:textId="77777777" w:rsidR="001F6D31" w:rsidRPr="00493DF1" w:rsidRDefault="001F6D31" w:rsidP="001F6D31">
      <w:pPr>
        <w:pStyle w:val="DefaultText"/>
        <w:tabs>
          <w:tab w:val="left" w:pos="0"/>
          <w:tab w:val="left" w:pos="630"/>
          <w:tab w:val="left" w:pos="720"/>
        </w:tabs>
        <w:ind w:left="1440" w:hanging="1440"/>
        <w:rPr>
          <w:rStyle w:val="InitialStyle"/>
          <w:rFonts w:ascii="Arial" w:hAnsi="Arial" w:cs="Arial"/>
        </w:rPr>
      </w:pPr>
      <w:r w:rsidRPr="00493DF1">
        <w:rPr>
          <w:rStyle w:val="InitialStyle"/>
          <w:rFonts w:ascii="Arial" w:hAnsi="Arial" w:cs="Arial"/>
        </w:rPr>
        <w:tab/>
        <w:t>10.</w:t>
      </w:r>
      <w:r w:rsidRPr="00493DF1">
        <w:rPr>
          <w:rStyle w:val="InitialStyle"/>
          <w:rFonts w:ascii="Arial" w:hAnsi="Arial" w:cs="Arial"/>
        </w:rPr>
        <w:tab/>
        <w:t xml:space="preserve">Assist the </w:t>
      </w:r>
      <w:r>
        <w:rPr>
          <w:rStyle w:val="InitialStyle"/>
          <w:rFonts w:ascii="Arial" w:hAnsi="Arial" w:cs="Arial"/>
        </w:rPr>
        <w:t>Office</w:t>
      </w:r>
      <w:r w:rsidRPr="00493DF1">
        <w:rPr>
          <w:rStyle w:val="InitialStyle"/>
          <w:rFonts w:ascii="Arial" w:hAnsi="Arial" w:cs="Arial"/>
        </w:rPr>
        <w:t xml:space="preserve"> in the preparation of briefs, reply briefs, oral arguments, and exceptions before the </w:t>
      </w:r>
      <w:r>
        <w:rPr>
          <w:rStyle w:val="InitialStyle"/>
          <w:rFonts w:ascii="Arial" w:hAnsi="Arial" w:cs="Arial"/>
        </w:rPr>
        <w:t>MPUC</w:t>
      </w:r>
      <w:r w:rsidRPr="00493DF1">
        <w:rPr>
          <w:rStyle w:val="InitialStyle"/>
          <w:rFonts w:ascii="Arial" w:hAnsi="Arial" w:cs="Arial"/>
        </w:rPr>
        <w:t xml:space="preserve"> and its Hearing Examiners.</w:t>
      </w:r>
    </w:p>
    <w:p w14:paraId="1A338545" w14:textId="77777777" w:rsidR="001F6D31" w:rsidRPr="00493DF1" w:rsidRDefault="001F6D31" w:rsidP="001F6D31">
      <w:pPr>
        <w:pStyle w:val="DefaultText"/>
        <w:tabs>
          <w:tab w:val="left" w:pos="0"/>
          <w:tab w:val="left" w:pos="630"/>
          <w:tab w:val="left" w:pos="720"/>
        </w:tabs>
        <w:ind w:left="1440" w:hanging="1440"/>
        <w:rPr>
          <w:rStyle w:val="InitialStyle"/>
          <w:rFonts w:ascii="Arial" w:hAnsi="Arial" w:cs="Arial"/>
        </w:rPr>
      </w:pPr>
    </w:p>
    <w:p w14:paraId="458C5A0B" w14:textId="77777777" w:rsidR="001F6D31" w:rsidRPr="00493DF1" w:rsidRDefault="001F6D31" w:rsidP="001F6D31">
      <w:pPr>
        <w:pStyle w:val="DefaultText"/>
        <w:tabs>
          <w:tab w:val="left" w:pos="0"/>
          <w:tab w:val="left" w:pos="630"/>
          <w:tab w:val="left" w:pos="720"/>
        </w:tabs>
        <w:ind w:left="1440" w:hanging="1440"/>
        <w:rPr>
          <w:rStyle w:val="InitialStyle"/>
          <w:rFonts w:ascii="Arial" w:hAnsi="Arial" w:cs="Arial"/>
        </w:rPr>
      </w:pPr>
      <w:r w:rsidRPr="00493DF1">
        <w:rPr>
          <w:rStyle w:val="InitialStyle"/>
          <w:rFonts w:ascii="Arial" w:hAnsi="Arial" w:cs="Arial"/>
        </w:rPr>
        <w:tab/>
        <w:t>11.</w:t>
      </w:r>
      <w:r w:rsidRPr="00493DF1">
        <w:rPr>
          <w:rStyle w:val="InitialStyle"/>
          <w:rFonts w:ascii="Arial" w:hAnsi="Arial" w:cs="Arial"/>
        </w:rPr>
        <w:tab/>
        <w:t xml:space="preserve">To the extent, and only to the extent, that </w:t>
      </w:r>
      <w:r>
        <w:rPr>
          <w:rStyle w:val="InitialStyle"/>
          <w:rFonts w:ascii="Arial" w:hAnsi="Arial" w:cs="Arial"/>
        </w:rPr>
        <w:t>MPUC</w:t>
      </w:r>
      <w:r w:rsidRPr="00493DF1">
        <w:rPr>
          <w:rStyle w:val="InitialStyle"/>
          <w:rFonts w:ascii="Arial" w:hAnsi="Arial" w:cs="Arial"/>
        </w:rPr>
        <w:t xml:space="preserve"> practice permits, assist the </w:t>
      </w:r>
      <w:r>
        <w:rPr>
          <w:rStyle w:val="InitialStyle"/>
          <w:rFonts w:ascii="Arial" w:hAnsi="Arial" w:cs="Arial"/>
        </w:rPr>
        <w:t>Office</w:t>
      </w:r>
      <w:r w:rsidRPr="00493DF1">
        <w:rPr>
          <w:rStyle w:val="InitialStyle"/>
          <w:rFonts w:ascii="Arial" w:hAnsi="Arial" w:cs="Arial"/>
        </w:rPr>
        <w:t xml:space="preserve"> in presenting to the </w:t>
      </w:r>
      <w:r>
        <w:rPr>
          <w:rStyle w:val="InitialStyle"/>
          <w:rFonts w:ascii="Arial" w:hAnsi="Arial" w:cs="Arial"/>
        </w:rPr>
        <w:t>MPUC</w:t>
      </w:r>
      <w:r w:rsidRPr="00493DF1">
        <w:rPr>
          <w:rStyle w:val="InitialStyle"/>
          <w:rFonts w:ascii="Arial" w:hAnsi="Arial" w:cs="Arial"/>
        </w:rPr>
        <w:t xml:space="preserve"> such recommendations or technical adjustments as may be required in the drafting of the Examiner's Report and/or the </w:t>
      </w:r>
      <w:r>
        <w:rPr>
          <w:rStyle w:val="InitialStyle"/>
          <w:rFonts w:ascii="Arial" w:hAnsi="Arial" w:cs="Arial"/>
        </w:rPr>
        <w:t>MPUC</w:t>
      </w:r>
      <w:r w:rsidRPr="00493DF1">
        <w:rPr>
          <w:rStyle w:val="InitialStyle"/>
          <w:rFonts w:ascii="Arial" w:hAnsi="Arial" w:cs="Arial"/>
        </w:rPr>
        <w:t>'s Decision.</w:t>
      </w:r>
    </w:p>
    <w:p w14:paraId="346737C1" w14:textId="77777777" w:rsidR="001F6D31" w:rsidRPr="00493DF1" w:rsidRDefault="001F6D31" w:rsidP="001F6D31">
      <w:pPr>
        <w:pStyle w:val="DefaultText"/>
        <w:tabs>
          <w:tab w:val="left" w:pos="0"/>
          <w:tab w:val="left" w:pos="630"/>
          <w:tab w:val="left" w:pos="720"/>
        </w:tabs>
        <w:rPr>
          <w:rStyle w:val="InitialStyle"/>
          <w:rFonts w:ascii="Arial" w:hAnsi="Arial" w:cs="Arial"/>
        </w:rPr>
      </w:pPr>
    </w:p>
    <w:p w14:paraId="76D2C632" w14:textId="103AAFA6" w:rsidR="001F6D31" w:rsidRPr="00493DF1" w:rsidRDefault="001F6D31" w:rsidP="001F6D31">
      <w:pPr>
        <w:pStyle w:val="DefaultText"/>
        <w:tabs>
          <w:tab w:val="left" w:pos="0"/>
          <w:tab w:val="left" w:pos="540"/>
          <w:tab w:val="left" w:pos="720"/>
        </w:tabs>
        <w:ind w:left="990" w:hanging="1440"/>
        <w:rPr>
          <w:rStyle w:val="InitialStyle"/>
          <w:rFonts w:ascii="Arial" w:hAnsi="Arial" w:cs="Arial"/>
        </w:rPr>
      </w:pPr>
      <w:r w:rsidRPr="00493DF1">
        <w:rPr>
          <w:rStyle w:val="InitialStyle"/>
          <w:rFonts w:ascii="Arial" w:hAnsi="Arial" w:cs="Arial"/>
          <w:b/>
        </w:rPr>
        <w:tab/>
      </w:r>
      <w:r w:rsidRPr="00493DF1">
        <w:rPr>
          <w:rStyle w:val="InitialStyle"/>
          <w:rFonts w:ascii="Arial" w:hAnsi="Arial" w:cs="Arial"/>
          <w:b/>
        </w:rPr>
        <w:tab/>
        <w:t xml:space="preserve">C.   MANNER OF PERFORMANCE OF THE WORK.  </w:t>
      </w:r>
      <w:r w:rsidRPr="00493DF1">
        <w:rPr>
          <w:rStyle w:val="InitialStyle"/>
          <w:rFonts w:ascii="Arial" w:hAnsi="Arial" w:cs="Arial"/>
        </w:rPr>
        <w:t xml:space="preserve"> In performing Tasks in PART II B. 1 through 11 above, the </w:t>
      </w:r>
      <w:r w:rsidR="00913EE6">
        <w:rPr>
          <w:rStyle w:val="InitialStyle"/>
          <w:rFonts w:ascii="Arial" w:hAnsi="Arial" w:cs="Arial"/>
        </w:rPr>
        <w:t>consultant(s)</w:t>
      </w:r>
      <w:r w:rsidRPr="00493DF1">
        <w:rPr>
          <w:rStyle w:val="InitialStyle"/>
          <w:rFonts w:ascii="Arial" w:hAnsi="Arial" w:cs="Arial"/>
        </w:rPr>
        <w:t xml:space="preserve"> will be expected at all times to:</w:t>
      </w:r>
    </w:p>
    <w:p w14:paraId="0F0A5943" w14:textId="77777777" w:rsidR="001F6D31" w:rsidRPr="00493DF1" w:rsidRDefault="001F6D31" w:rsidP="001F6D31">
      <w:pPr>
        <w:pStyle w:val="DefaultText"/>
        <w:tabs>
          <w:tab w:val="left" w:pos="0"/>
          <w:tab w:val="left" w:pos="630"/>
          <w:tab w:val="left" w:pos="720"/>
        </w:tabs>
        <w:ind w:left="720"/>
        <w:rPr>
          <w:rStyle w:val="InitialStyle"/>
          <w:rFonts w:ascii="Arial" w:hAnsi="Arial" w:cs="Arial"/>
        </w:rPr>
      </w:pPr>
    </w:p>
    <w:p w14:paraId="1B0F24CD" w14:textId="77777777" w:rsidR="001F6D31" w:rsidRPr="00493DF1" w:rsidRDefault="001F6D31" w:rsidP="001F6D31">
      <w:pPr>
        <w:pStyle w:val="DefaultText"/>
        <w:widowControl/>
        <w:numPr>
          <w:ilvl w:val="0"/>
          <w:numId w:val="42"/>
        </w:numPr>
        <w:tabs>
          <w:tab w:val="left" w:pos="0"/>
          <w:tab w:val="left" w:pos="630"/>
          <w:tab w:val="left" w:pos="1440"/>
        </w:tabs>
        <w:overflowPunct w:val="0"/>
        <w:adjustRightInd w:val="0"/>
        <w:ind w:left="1440"/>
        <w:textAlignment w:val="baseline"/>
        <w:rPr>
          <w:rStyle w:val="InitialStyle"/>
          <w:rFonts w:ascii="Arial" w:hAnsi="Arial" w:cs="Arial"/>
        </w:rPr>
      </w:pPr>
      <w:r w:rsidRPr="00493DF1">
        <w:rPr>
          <w:rStyle w:val="InitialStyle"/>
          <w:rFonts w:ascii="Arial" w:hAnsi="Arial" w:cs="Arial"/>
        </w:rPr>
        <w:t xml:space="preserve">Communicate with the </w:t>
      </w:r>
      <w:r>
        <w:rPr>
          <w:rStyle w:val="InitialStyle"/>
          <w:rFonts w:ascii="Arial" w:hAnsi="Arial" w:cs="Arial"/>
        </w:rPr>
        <w:t>Office</w:t>
      </w:r>
      <w:r w:rsidRPr="00493DF1">
        <w:rPr>
          <w:rStyle w:val="InitialStyle"/>
          <w:rFonts w:ascii="Arial" w:hAnsi="Arial" w:cs="Arial"/>
        </w:rPr>
        <w:t xml:space="preserve"> on a </w:t>
      </w:r>
      <w:r>
        <w:rPr>
          <w:rStyle w:val="InitialStyle"/>
          <w:rFonts w:ascii="Arial" w:hAnsi="Arial" w:cs="Arial"/>
        </w:rPr>
        <w:t xml:space="preserve">schedule to be agreed on </w:t>
      </w:r>
      <w:r w:rsidRPr="00493DF1">
        <w:rPr>
          <w:rStyle w:val="InitialStyle"/>
          <w:rFonts w:ascii="Arial" w:hAnsi="Arial" w:cs="Arial"/>
        </w:rPr>
        <w:t>as to the progress of the work and the results of that work.</w:t>
      </w:r>
    </w:p>
    <w:p w14:paraId="2F038E90" w14:textId="77777777" w:rsidR="001F6D31" w:rsidRPr="00493DF1" w:rsidRDefault="001F6D31" w:rsidP="001F6D31">
      <w:pPr>
        <w:pStyle w:val="DefaultText"/>
        <w:widowControl/>
        <w:numPr>
          <w:ilvl w:val="0"/>
          <w:numId w:val="42"/>
        </w:numPr>
        <w:tabs>
          <w:tab w:val="left" w:pos="0"/>
          <w:tab w:val="left" w:pos="630"/>
          <w:tab w:val="left" w:pos="1440"/>
        </w:tabs>
        <w:overflowPunct w:val="0"/>
        <w:adjustRightInd w:val="0"/>
        <w:spacing w:before="240"/>
        <w:ind w:left="1440"/>
        <w:textAlignment w:val="baseline"/>
        <w:rPr>
          <w:rStyle w:val="InitialStyle"/>
          <w:rFonts w:ascii="Arial" w:hAnsi="Arial" w:cs="Arial"/>
        </w:rPr>
      </w:pPr>
      <w:r>
        <w:rPr>
          <w:rStyle w:val="InitialStyle"/>
          <w:rFonts w:ascii="Arial" w:hAnsi="Arial" w:cs="Arial"/>
        </w:rPr>
        <w:t>F</w:t>
      </w:r>
      <w:r w:rsidRPr="00493DF1">
        <w:rPr>
          <w:rStyle w:val="InitialStyle"/>
          <w:rFonts w:ascii="Arial" w:hAnsi="Arial" w:cs="Arial"/>
        </w:rPr>
        <w:t xml:space="preserve">or the </w:t>
      </w:r>
      <w:r>
        <w:rPr>
          <w:rStyle w:val="InitialStyle"/>
          <w:rFonts w:ascii="Arial" w:hAnsi="Arial" w:cs="Arial"/>
        </w:rPr>
        <w:t>Office</w:t>
      </w:r>
      <w:r w:rsidRPr="00493DF1">
        <w:rPr>
          <w:rStyle w:val="InitialStyle"/>
          <w:rFonts w:ascii="Arial" w:hAnsi="Arial" w:cs="Arial"/>
        </w:rPr>
        <w:t>'s review</w:t>
      </w:r>
      <w:r>
        <w:rPr>
          <w:rStyle w:val="InitialStyle"/>
          <w:rFonts w:ascii="Arial" w:hAnsi="Arial" w:cs="Arial"/>
        </w:rPr>
        <w:t>, prepare</w:t>
      </w:r>
      <w:r w:rsidRPr="00493DF1">
        <w:rPr>
          <w:rStyle w:val="InitialStyle"/>
          <w:rFonts w:ascii="Arial" w:hAnsi="Arial" w:cs="Arial"/>
        </w:rPr>
        <w:t xml:space="preserve"> drafts of all written materials to be employed in discovery or litigation, sufficiently in advance of the time that they must be submitted to the </w:t>
      </w:r>
      <w:r>
        <w:rPr>
          <w:rStyle w:val="InitialStyle"/>
          <w:rFonts w:ascii="Arial" w:hAnsi="Arial" w:cs="Arial"/>
        </w:rPr>
        <w:t>MPUC</w:t>
      </w:r>
      <w:r w:rsidRPr="00493DF1">
        <w:rPr>
          <w:rStyle w:val="InitialStyle"/>
          <w:rFonts w:ascii="Arial" w:hAnsi="Arial" w:cs="Arial"/>
        </w:rPr>
        <w:t xml:space="preserve"> to allow the </w:t>
      </w:r>
      <w:r>
        <w:rPr>
          <w:rStyle w:val="InitialStyle"/>
          <w:rFonts w:ascii="Arial" w:hAnsi="Arial" w:cs="Arial"/>
        </w:rPr>
        <w:t>Office</w:t>
      </w:r>
      <w:r w:rsidRPr="00493DF1">
        <w:rPr>
          <w:rStyle w:val="InitialStyle"/>
          <w:rFonts w:ascii="Arial" w:hAnsi="Arial" w:cs="Arial"/>
        </w:rPr>
        <w:t xml:space="preserve"> to review the work, pose additional questions, or discuss issues or problems in greater detail.</w:t>
      </w:r>
    </w:p>
    <w:p w14:paraId="3680E5BB" w14:textId="77777777" w:rsidR="001F6D31" w:rsidRPr="00493DF1" w:rsidRDefault="001F6D31" w:rsidP="001F6D31">
      <w:pPr>
        <w:pStyle w:val="DefaultText"/>
        <w:widowControl/>
        <w:numPr>
          <w:ilvl w:val="0"/>
          <w:numId w:val="42"/>
        </w:numPr>
        <w:tabs>
          <w:tab w:val="left" w:pos="0"/>
          <w:tab w:val="left" w:pos="630"/>
          <w:tab w:val="left" w:pos="1440"/>
        </w:tabs>
        <w:overflowPunct w:val="0"/>
        <w:adjustRightInd w:val="0"/>
        <w:spacing w:before="240"/>
        <w:ind w:left="1440"/>
        <w:textAlignment w:val="baseline"/>
        <w:rPr>
          <w:rStyle w:val="InitialStyle"/>
          <w:rFonts w:ascii="Arial" w:hAnsi="Arial" w:cs="Arial"/>
        </w:rPr>
      </w:pPr>
      <w:r w:rsidRPr="00493DF1">
        <w:rPr>
          <w:rStyle w:val="InitialStyle"/>
          <w:rFonts w:ascii="Arial" w:hAnsi="Arial" w:cs="Arial"/>
        </w:rPr>
        <w:t xml:space="preserve">Assist the </w:t>
      </w:r>
      <w:r>
        <w:rPr>
          <w:rStyle w:val="InitialStyle"/>
          <w:rFonts w:ascii="Arial" w:hAnsi="Arial" w:cs="Arial"/>
        </w:rPr>
        <w:t>Office</w:t>
      </w:r>
      <w:r w:rsidRPr="00493DF1">
        <w:rPr>
          <w:rStyle w:val="InitialStyle"/>
          <w:rFonts w:ascii="Arial" w:hAnsi="Arial" w:cs="Arial"/>
        </w:rPr>
        <w:t xml:space="preserve"> in proposing reasonable schedules and deadlines to the </w:t>
      </w:r>
      <w:r>
        <w:rPr>
          <w:rStyle w:val="InitialStyle"/>
          <w:rFonts w:ascii="Arial" w:hAnsi="Arial" w:cs="Arial"/>
        </w:rPr>
        <w:t>MPUC</w:t>
      </w:r>
      <w:r w:rsidRPr="00493DF1">
        <w:rPr>
          <w:rStyle w:val="InitialStyle"/>
          <w:rFonts w:ascii="Arial" w:hAnsi="Arial" w:cs="Arial"/>
        </w:rPr>
        <w:t xml:space="preserve"> for each stage of the proceedings, complete all work in accordance with such timetables or deadlines for the processing of the case as the </w:t>
      </w:r>
      <w:r>
        <w:rPr>
          <w:rStyle w:val="InitialStyle"/>
          <w:rFonts w:ascii="Arial" w:hAnsi="Arial" w:cs="Arial"/>
        </w:rPr>
        <w:t>MPUC</w:t>
      </w:r>
      <w:r w:rsidRPr="00493DF1">
        <w:rPr>
          <w:rStyle w:val="InitialStyle"/>
          <w:rFonts w:ascii="Arial" w:hAnsi="Arial" w:cs="Arial"/>
        </w:rPr>
        <w:t xml:space="preserve"> may impose.</w:t>
      </w: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583145E2" w:rsidR="000E1A07"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552D2D4" w14:textId="6BC98AD0" w:rsidR="00913EE6" w:rsidRDefault="00913EE6" w:rsidP="00913EE6">
      <w:pPr>
        <w:pStyle w:val="ListParagraph"/>
        <w:ind w:left="1080"/>
        <w:rPr>
          <w:rFonts w:ascii="Arial" w:hAnsi="Arial" w:cs="Arial"/>
          <w:sz w:val="24"/>
          <w:szCs w:val="24"/>
          <w:u w:val="single"/>
        </w:rPr>
      </w:pPr>
    </w:p>
    <w:p w14:paraId="2DDF32F1" w14:textId="77777777" w:rsidR="00913EE6" w:rsidRPr="00C97934" w:rsidRDefault="00913EE6" w:rsidP="00913EE6">
      <w:pPr>
        <w:pStyle w:val="ListParagraph"/>
        <w:ind w:left="1080"/>
        <w:rPr>
          <w:rFonts w:ascii="Arial" w:hAnsi="Arial" w:cs="Arial"/>
          <w:sz w:val="24"/>
          <w:szCs w:val="24"/>
        </w:rPr>
      </w:pP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C3A47BC"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227AA5">
        <w:rPr>
          <w:rFonts w:ascii="Arial" w:hAnsi="Arial" w:cs="Arial"/>
          <w:b/>
          <w:sz w:val="24"/>
          <w:szCs w:val="24"/>
        </w:rPr>
        <w:t xml:space="preserve"> 202401007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E722CC4" w:rsidR="00AC25CE" w:rsidRPr="00C97934" w:rsidRDefault="00B51518" w:rsidP="00D15916">
      <w:pPr>
        <w:pStyle w:val="ListParagraph"/>
        <w:ind w:left="1440"/>
        <w:rPr>
          <w:rFonts w:ascii="Arial" w:hAnsi="Arial" w:cs="Arial"/>
          <w:sz w:val="24"/>
          <w:szCs w:val="24"/>
        </w:rPr>
      </w:pPr>
      <w:r w:rsidRPr="00913EE6">
        <w:rPr>
          <w:rFonts w:ascii="Arial" w:hAnsi="Arial" w:cs="Arial"/>
          <w:i/>
          <w:sz w:val="24"/>
          <w:szCs w:val="24"/>
        </w:rPr>
        <w:t>PDF</w:t>
      </w:r>
      <w:r w:rsidR="00AC25CE" w:rsidRPr="00913EE6">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03FA4C23" w:rsidR="00362031" w:rsidRPr="00C97934" w:rsidRDefault="0055472F" w:rsidP="001615E3">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381EBF70" w:rsidR="00362031" w:rsidRPr="00C97934" w:rsidRDefault="007D3784" w:rsidP="003C7CC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E147270"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0A0287">
        <w:rPr>
          <w:rFonts w:ascii="Arial" w:hAnsi="Arial" w:cs="Arial"/>
          <w:sz w:val="24"/>
          <w:szCs w:val="24"/>
        </w:rPr>
        <w:t xml:space="preserve"> Initial Period of Performance</w:t>
      </w:r>
      <w:r w:rsidR="00942CF6" w:rsidRPr="00C97934">
        <w:rPr>
          <w:rFonts w:ascii="Arial" w:hAnsi="Arial" w:cs="Arial"/>
          <w:sz w:val="24"/>
          <w:szCs w:val="24"/>
        </w:rPr>
        <w:t xml:space="preserve"> starting</w:t>
      </w:r>
      <w:r w:rsidR="000A0287">
        <w:rPr>
          <w:rFonts w:ascii="Arial" w:hAnsi="Arial" w:cs="Arial"/>
          <w:sz w:val="24"/>
          <w:szCs w:val="24"/>
        </w:rPr>
        <w:t xml:space="preserve"> March 1, 2024</w:t>
      </w:r>
      <w:r w:rsidR="00942CF6" w:rsidRPr="00C97934">
        <w:rPr>
          <w:rFonts w:ascii="Arial" w:hAnsi="Arial" w:cs="Arial"/>
          <w:sz w:val="24"/>
          <w:szCs w:val="24"/>
        </w:rPr>
        <w:t xml:space="preserve"> and ending on</w:t>
      </w:r>
      <w:r w:rsidR="000A0287">
        <w:rPr>
          <w:rFonts w:ascii="Arial" w:hAnsi="Arial" w:cs="Arial"/>
          <w:sz w:val="24"/>
          <w:szCs w:val="24"/>
        </w:rPr>
        <w:t xml:space="preserve"> February 28, 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081AF6A2" w14:textId="37E553FD"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3C7CC8" w:rsidRPr="008B14D2">
        <w:rPr>
          <w:rFonts w:ascii="Arial" w:hAnsi="Arial" w:cs="Arial"/>
          <w:b/>
          <w:sz w:val="24"/>
          <w:szCs w:val="24"/>
        </w:rPr>
        <w:t>40</w:t>
      </w:r>
      <w:r w:rsidRPr="008B14D2">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57D626D"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3C7CC8" w:rsidRPr="008B14D2">
        <w:rPr>
          <w:rFonts w:ascii="Arial" w:hAnsi="Arial" w:cs="Arial"/>
          <w:b/>
          <w:sz w:val="24"/>
          <w:szCs w:val="24"/>
        </w:rPr>
        <w:t>30</w:t>
      </w:r>
      <w:r w:rsidRPr="008B14D2">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27E2840"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3C7CC8" w:rsidRPr="008B14D2">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5062FC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3C7CC8" w:rsidRPr="008B14D2">
        <w:rPr>
          <w:rFonts w:ascii="Arial" w:hAnsi="Arial" w:cs="Arial"/>
          <w:sz w:val="24"/>
          <w:szCs w:val="24"/>
          <w:u w:val="single"/>
        </w:rPr>
        <w:t>30</w:t>
      </w:r>
      <w:r w:rsidR="003C7CC8" w:rsidRPr="002C68C7">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B8D340E" w:rsidR="00351845" w:rsidRPr="00C97934" w:rsidRDefault="00F60F1A" w:rsidP="00B315FA">
      <w:pPr>
        <w:ind w:left="720"/>
        <w:rPr>
          <w:rFonts w:ascii="Arial" w:hAnsi="Arial" w:cs="Arial"/>
          <w:sz w:val="24"/>
          <w:szCs w:val="24"/>
        </w:rPr>
      </w:pPr>
      <w:r w:rsidRPr="00C97934">
        <w:rPr>
          <w:rFonts w:ascii="Arial" w:hAnsi="Arial" w:cs="Arial"/>
          <w:sz w:val="24"/>
          <w:szCs w:val="24"/>
        </w:rPr>
        <w:lastRenderedPageBreak/>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3C7CC8" w:rsidRPr="008B14D2">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1771991"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0A0287">
        <w:rPr>
          <w:rFonts w:ascii="Arial" w:hAnsi="Arial" w:cs="Arial"/>
          <w:sz w:val="24"/>
          <w:szCs w:val="24"/>
        </w:rPr>
        <w:t xml:space="preserve">Maine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513AC125" w14:textId="0D488B04" w:rsidR="000A0287"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r w:rsidR="008B14D2">
        <w:rPr>
          <w:rFonts w:ascii="Arial" w:hAnsi="Arial" w:cs="Arial"/>
          <w:sz w:val="24"/>
          <w:szCs w:val="24"/>
        </w:rPr>
        <w:t xml:space="preserve">  </w:t>
      </w:r>
      <w:r w:rsidR="000A0287" w:rsidRPr="00381154">
        <w:rPr>
          <w:rStyle w:val="InitialStyle"/>
          <w:rFonts w:ascii="Arial" w:hAnsi="Arial" w:cs="Arial"/>
          <w:sz w:val="24"/>
          <w:szCs w:val="24"/>
        </w:rPr>
        <w:t>Vendor shall provide at least one month’s notification to the Public Advocate by email when the balance remaining on this contract goes below $5,000.</w:t>
      </w:r>
    </w:p>
    <w:p w14:paraId="125A8EB4" w14:textId="12D96724" w:rsidR="006C712B" w:rsidRDefault="006C712B">
      <w:pPr>
        <w:widowControl/>
        <w:autoSpaceDE/>
        <w:autoSpaceDN/>
        <w:rPr>
          <w:rStyle w:val="InitialStyle"/>
          <w:rFonts w:ascii="Arial" w:hAnsi="Arial" w:cs="Arial"/>
        </w:rPr>
      </w:pPr>
    </w:p>
    <w:p w14:paraId="39567937" w14:textId="77777777" w:rsidR="000A0287" w:rsidRPr="00C97934" w:rsidRDefault="000A0287">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2EAD7B4" w:rsidR="00221A14" w:rsidRPr="00C97934" w:rsidRDefault="000A0287"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106C7A6"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227AA5">
        <w:rPr>
          <w:rFonts w:ascii="Arial" w:hAnsi="Arial" w:cs="Arial"/>
          <w:b/>
          <w:sz w:val="28"/>
          <w:szCs w:val="28"/>
        </w:rPr>
        <w:t xml:space="preserve"> 202401007</w:t>
      </w:r>
    </w:p>
    <w:p w14:paraId="7D01C6F7" w14:textId="6E3C4356" w:rsidR="00221A14" w:rsidRPr="00227AA5" w:rsidRDefault="000A0287" w:rsidP="00221A14">
      <w:pPr>
        <w:jc w:val="center"/>
        <w:rPr>
          <w:rFonts w:ascii="Arial" w:hAnsi="Arial" w:cs="Arial"/>
          <w:sz w:val="28"/>
          <w:szCs w:val="28"/>
          <w:u w:val="single"/>
        </w:rPr>
      </w:pPr>
      <w:r w:rsidRPr="00227AA5">
        <w:rPr>
          <w:rFonts w:ascii="Arial" w:hAnsi="Arial" w:cs="Arial"/>
          <w:b/>
          <w:sz w:val="28"/>
          <w:szCs w:val="28"/>
          <w:u w:val="single"/>
        </w:rPr>
        <w:t>Electric Rate Case Consultant for the Maine Public Advocate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0F381C2" w:rsidR="00A62F45" w:rsidRPr="00C97934" w:rsidRDefault="0019243C"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63924192" w14:textId="77777777" w:rsidR="00227AA5" w:rsidRPr="00C97934" w:rsidRDefault="00227AA5" w:rsidP="00227AA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202401007</w:t>
      </w:r>
    </w:p>
    <w:p w14:paraId="7CEA71F3" w14:textId="77777777" w:rsidR="00227AA5" w:rsidRPr="00227AA5" w:rsidRDefault="00227AA5" w:rsidP="00227AA5">
      <w:pPr>
        <w:jc w:val="center"/>
        <w:rPr>
          <w:rFonts w:ascii="Arial" w:hAnsi="Arial" w:cs="Arial"/>
          <w:sz w:val="28"/>
          <w:szCs w:val="28"/>
          <w:u w:val="single"/>
        </w:rPr>
      </w:pPr>
      <w:r w:rsidRPr="00227AA5">
        <w:rPr>
          <w:rFonts w:ascii="Arial" w:hAnsi="Arial" w:cs="Arial"/>
          <w:b/>
          <w:sz w:val="28"/>
          <w:szCs w:val="28"/>
          <w:u w:val="single"/>
        </w:rPr>
        <w:t>Electric Rate Case Consultant for the Maine Public Advocate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7FD771E" w:rsidR="003D5C04" w:rsidRPr="00C97934" w:rsidRDefault="0019243C"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1EB16308" w14:textId="77777777" w:rsidR="00227AA5" w:rsidRPr="00C97934" w:rsidRDefault="00227AA5" w:rsidP="00227AA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202401007</w:t>
      </w:r>
    </w:p>
    <w:p w14:paraId="1630DA3D" w14:textId="77777777" w:rsidR="00227AA5" w:rsidRPr="00227AA5" w:rsidRDefault="00227AA5" w:rsidP="00227AA5">
      <w:pPr>
        <w:jc w:val="center"/>
        <w:rPr>
          <w:rFonts w:ascii="Arial" w:hAnsi="Arial" w:cs="Arial"/>
          <w:sz w:val="28"/>
          <w:szCs w:val="28"/>
          <w:u w:val="single"/>
        </w:rPr>
      </w:pPr>
      <w:r w:rsidRPr="00227AA5">
        <w:rPr>
          <w:rFonts w:ascii="Arial" w:hAnsi="Arial" w:cs="Arial"/>
          <w:b/>
          <w:sz w:val="28"/>
          <w:szCs w:val="28"/>
          <w:u w:val="single"/>
        </w:rPr>
        <w:t>Electric Rate Case Consultant for the Maine Public Advocate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B9DC43C" w:rsidR="00221A14" w:rsidRPr="00C97934" w:rsidRDefault="0019243C"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6100EAA6" w14:textId="77777777" w:rsidR="00227AA5" w:rsidRPr="00C97934" w:rsidRDefault="00227AA5" w:rsidP="00227AA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202401007</w:t>
      </w:r>
    </w:p>
    <w:p w14:paraId="7B36C788" w14:textId="77777777" w:rsidR="00227AA5" w:rsidRPr="00227AA5" w:rsidRDefault="00227AA5" w:rsidP="00227AA5">
      <w:pPr>
        <w:jc w:val="center"/>
        <w:rPr>
          <w:rFonts w:ascii="Arial" w:hAnsi="Arial" w:cs="Arial"/>
          <w:sz w:val="28"/>
          <w:szCs w:val="28"/>
          <w:u w:val="single"/>
        </w:rPr>
      </w:pPr>
      <w:r w:rsidRPr="00227AA5">
        <w:rPr>
          <w:rFonts w:ascii="Arial" w:hAnsi="Arial" w:cs="Arial"/>
          <w:b/>
          <w:sz w:val="28"/>
          <w:szCs w:val="28"/>
          <w:u w:val="single"/>
        </w:rPr>
        <w:t>Electric Rate Case Consultant for the Maine Public Advocate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61715195"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D1BE75D" w14:textId="5A3334F0" w:rsidR="0019243C" w:rsidRDefault="0019243C" w:rsidP="00AB6BC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complete the tables below. The Total Project Cost </w:t>
      </w:r>
      <w:r w:rsidR="00354C17">
        <w:rPr>
          <w:rFonts w:ascii="Arial" w:hAnsi="Arial" w:cs="Arial"/>
          <w:sz w:val="24"/>
          <w:szCs w:val="24"/>
        </w:rPr>
        <w:t>must</w:t>
      </w:r>
      <w:r w:rsidR="002841BE">
        <w:rPr>
          <w:rFonts w:ascii="Arial" w:hAnsi="Arial" w:cs="Arial"/>
          <w:sz w:val="24"/>
          <w:szCs w:val="24"/>
        </w:rPr>
        <w:t xml:space="preserve"> cover the Initial Period of Performance as described in Part I</w:t>
      </w:r>
      <w:r w:rsidR="00354C17">
        <w:rPr>
          <w:rFonts w:ascii="Arial" w:hAnsi="Arial" w:cs="Arial"/>
          <w:sz w:val="24"/>
          <w:szCs w:val="24"/>
        </w:rPr>
        <w:t xml:space="preserve">, C </w:t>
      </w:r>
      <w:r w:rsidR="002841BE">
        <w:rPr>
          <w:rFonts w:ascii="Arial" w:hAnsi="Arial" w:cs="Arial"/>
          <w:sz w:val="24"/>
          <w:szCs w:val="24"/>
        </w:rPr>
        <w:t>and</w:t>
      </w:r>
      <w:r>
        <w:rPr>
          <w:rFonts w:ascii="Arial" w:hAnsi="Arial" w:cs="Arial"/>
          <w:sz w:val="24"/>
          <w:szCs w:val="24"/>
        </w:rPr>
        <w:t xml:space="preserve"> </w:t>
      </w:r>
      <w:r w:rsidR="0080554D">
        <w:rPr>
          <w:rFonts w:ascii="Arial" w:hAnsi="Arial" w:cs="Arial"/>
          <w:sz w:val="24"/>
          <w:szCs w:val="24"/>
        </w:rPr>
        <w:t>will be</w:t>
      </w:r>
      <w:r>
        <w:rPr>
          <w:rFonts w:ascii="Arial" w:hAnsi="Arial" w:cs="Arial"/>
          <w:sz w:val="24"/>
          <w:szCs w:val="24"/>
        </w:rPr>
        <w:t xml:space="preserve"> used in the scoring formula defined in Part V, </w:t>
      </w:r>
      <w:r w:rsidR="002841BE">
        <w:rPr>
          <w:rFonts w:ascii="Arial" w:hAnsi="Arial" w:cs="Arial"/>
          <w:sz w:val="24"/>
          <w:szCs w:val="24"/>
        </w:rPr>
        <w:t>B.3.</w:t>
      </w:r>
      <w:r>
        <w:rPr>
          <w:rFonts w:ascii="Arial" w:hAnsi="Arial" w:cs="Arial"/>
          <w:sz w:val="24"/>
          <w:szCs w:val="24"/>
        </w:rPr>
        <w:t xml:space="preserve"> of the RFP. </w:t>
      </w:r>
    </w:p>
    <w:p w14:paraId="7982CFEC" w14:textId="77777777" w:rsidR="00A2599B" w:rsidRPr="00AB6BC1" w:rsidRDefault="00A2599B" w:rsidP="00AB6BC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2C68C7" w:rsidRPr="002C68C7" w14:paraId="331D25E8" w14:textId="77777777" w:rsidTr="00A2599B">
        <w:tc>
          <w:tcPr>
            <w:tcW w:w="6925" w:type="dxa"/>
            <w:shd w:val="clear" w:color="auto" w:fill="C6D9F1"/>
            <w:vAlign w:val="center"/>
          </w:tcPr>
          <w:p w14:paraId="14A3A164" w14:textId="2D4BF193" w:rsidR="002C68C7" w:rsidRPr="002C68C7" w:rsidRDefault="002C68C7" w:rsidP="002C68C7">
            <w:pPr>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6473374B" w14:textId="797F8CDD" w:rsidR="002C68C7" w:rsidRPr="002C68C7" w:rsidRDefault="002C68C7" w:rsidP="002C68C7">
            <w:pPr>
              <w:jc w:val="center"/>
              <w:rPr>
                <w:rFonts w:ascii="Arial" w:hAnsi="Arial" w:cs="Arial"/>
                <w:sz w:val="24"/>
                <w:szCs w:val="24"/>
              </w:rPr>
            </w:pPr>
            <w:r w:rsidRPr="002C68C7">
              <w:rPr>
                <w:rFonts w:ascii="Arial" w:hAnsi="Arial" w:cs="Arial"/>
                <w:b/>
                <w:sz w:val="24"/>
                <w:szCs w:val="24"/>
              </w:rPr>
              <w:t>Projected Costs</w:t>
            </w:r>
          </w:p>
        </w:tc>
      </w:tr>
      <w:tr w:rsidR="0019243C" w:rsidRPr="002C68C7" w14:paraId="757FECF6" w14:textId="77777777" w:rsidTr="00A2599B">
        <w:tc>
          <w:tcPr>
            <w:tcW w:w="6925" w:type="dxa"/>
          </w:tcPr>
          <w:p w14:paraId="1287CCFB" w14:textId="77777777" w:rsidR="0019243C" w:rsidRPr="002C68C7" w:rsidRDefault="0019243C" w:rsidP="00CA2995">
            <w:pPr>
              <w:jc w:val="both"/>
              <w:rPr>
                <w:rFonts w:ascii="Arial" w:hAnsi="Arial" w:cs="Arial"/>
                <w:sz w:val="24"/>
                <w:szCs w:val="24"/>
              </w:rPr>
            </w:pPr>
          </w:p>
        </w:tc>
        <w:tc>
          <w:tcPr>
            <w:tcW w:w="3150" w:type="dxa"/>
          </w:tcPr>
          <w:p w14:paraId="7ECF65C3" w14:textId="77777777" w:rsidR="0019243C" w:rsidRPr="002C68C7" w:rsidRDefault="0019243C" w:rsidP="00CA2995">
            <w:pPr>
              <w:jc w:val="both"/>
              <w:rPr>
                <w:rFonts w:ascii="Arial" w:hAnsi="Arial" w:cs="Arial"/>
                <w:sz w:val="24"/>
                <w:szCs w:val="24"/>
              </w:rPr>
            </w:pPr>
          </w:p>
        </w:tc>
      </w:tr>
      <w:tr w:rsidR="0019243C" w:rsidRPr="002C68C7" w14:paraId="46C77687" w14:textId="77777777" w:rsidTr="00A2599B">
        <w:tc>
          <w:tcPr>
            <w:tcW w:w="6925" w:type="dxa"/>
          </w:tcPr>
          <w:p w14:paraId="4B2CA85D" w14:textId="77777777" w:rsidR="0019243C" w:rsidRPr="002C68C7" w:rsidRDefault="0019243C" w:rsidP="00CA2995">
            <w:pPr>
              <w:jc w:val="both"/>
              <w:rPr>
                <w:rFonts w:ascii="Arial" w:hAnsi="Arial" w:cs="Arial"/>
                <w:sz w:val="24"/>
                <w:szCs w:val="24"/>
              </w:rPr>
            </w:pPr>
          </w:p>
        </w:tc>
        <w:tc>
          <w:tcPr>
            <w:tcW w:w="3150" w:type="dxa"/>
          </w:tcPr>
          <w:p w14:paraId="0B43E57C" w14:textId="77777777" w:rsidR="0019243C" w:rsidRPr="002C68C7" w:rsidRDefault="0019243C" w:rsidP="00CA2995">
            <w:pPr>
              <w:jc w:val="both"/>
              <w:rPr>
                <w:rFonts w:ascii="Arial" w:hAnsi="Arial" w:cs="Arial"/>
                <w:sz w:val="24"/>
                <w:szCs w:val="24"/>
              </w:rPr>
            </w:pPr>
          </w:p>
        </w:tc>
      </w:tr>
      <w:tr w:rsidR="0019243C" w:rsidRPr="002C68C7" w14:paraId="7C88C32E" w14:textId="77777777" w:rsidTr="00A2599B">
        <w:tc>
          <w:tcPr>
            <w:tcW w:w="6925" w:type="dxa"/>
          </w:tcPr>
          <w:p w14:paraId="6D1AE086" w14:textId="77777777" w:rsidR="0019243C" w:rsidRPr="002C68C7" w:rsidRDefault="0019243C" w:rsidP="00CA2995">
            <w:pPr>
              <w:jc w:val="both"/>
              <w:rPr>
                <w:rFonts w:ascii="Arial" w:hAnsi="Arial" w:cs="Arial"/>
                <w:sz w:val="24"/>
                <w:szCs w:val="24"/>
              </w:rPr>
            </w:pPr>
          </w:p>
        </w:tc>
        <w:tc>
          <w:tcPr>
            <w:tcW w:w="3150" w:type="dxa"/>
          </w:tcPr>
          <w:p w14:paraId="3B245975" w14:textId="77777777" w:rsidR="0019243C" w:rsidRPr="002C68C7" w:rsidRDefault="0019243C" w:rsidP="00CA2995">
            <w:pPr>
              <w:jc w:val="both"/>
              <w:rPr>
                <w:rFonts w:ascii="Arial" w:hAnsi="Arial" w:cs="Arial"/>
                <w:sz w:val="24"/>
                <w:szCs w:val="24"/>
              </w:rPr>
            </w:pPr>
          </w:p>
        </w:tc>
      </w:tr>
      <w:tr w:rsidR="0019243C" w:rsidRPr="002C68C7" w14:paraId="5AB7105B" w14:textId="77777777" w:rsidTr="00A2599B">
        <w:tc>
          <w:tcPr>
            <w:tcW w:w="6925" w:type="dxa"/>
          </w:tcPr>
          <w:p w14:paraId="25B4A836" w14:textId="77777777" w:rsidR="0019243C" w:rsidRPr="002C68C7" w:rsidRDefault="0019243C" w:rsidP="006207BF">
            <w:pPr>
              <w:jc w:val="right"/>
              <w:rPr>
                <w:rFonts w:ascii="Arial" w:hAnsi="Arial" w:cs="Arial"/>
                <w:b/>
                <w:sz w:val="24"/>
                <w:szCs w:val="24"/>
              </w:rPr>
            </w:pPr>
            <w:r w:rsidRPr="002C68C7">
              <w:rPr>
                <w:rFonts w:ascii="Arial" w:hAnsi="Arial" w:cs="Arial"/>
                <w:b/>
                <w:sz w:val="24"/>
                <w:szCs w:val="24"/>
              </w:rPr>
              <w:t>Total Staff Costs</w:t>
            </w:r>
          </w:p>
        </w:tc>
        <w:tc>
          <w:tcPr>
            <w:tcW w:w="3150" w:type="dxa"/>
          </w:tcPr>
          <w:p w14:paraId="1EA5D3B2"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bl>
    <w:p w14:paraId="337F9CB1" w14:textId="22A10D09" w:rsidR="0019243C" w:rsidRPr="002C68C7" w:rsidRDefault="0019243C" w:rsidP="0019243C">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D316C3" w:rsidRPr="002C68C7" w14:paraId="3014372B" w14:textId="77777777" w:rsidTr="00A2599B">
        <w:tc>
          <w:tcPr>
            <w:tcW w:w="6925" w:type="dxa"/>
            <w:shd w:val="clear" w:color="auto" w:fill="C6D9F1"/>
          </w:tcPr>
          <w:p w14:paraId="2887F911" w14:textId="5E0779CF" w:rsidR="00D316C3" w:rsidRPr="002C68C7" w:rsidRDefault="00D316C3" w:rsidP="00D316C3">
            <w:pPr>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036AB7A7" w14:textId="695230BC" w:rsidR="00D316C3" w:rsidRPr="002C68C7" w:rsidRDefault="00D316C3" w:rsidP="00D316C3">
            <w:pPr>
              <w:jc w:val="center"/>
              <w:rPr>
                <w:rFonts w:ascii="Arial" w:hAnsi="Arial" w:cs="Arial"/>
                <w:b/>
                <w:sz w:val="24"/>
                <w:szCs w:val="24"/>
              </w:rPr>
            </w:pPr>
            <w:r w:rsidRPr="002C68C7">
              <w:rPr>
                <w:rFonts w:ascii="Arial" w:hAnsi="Arial" w:cs="Arial"/>
                <w:b/>
                <w:sz w:val="24"/>
                <w:szCs w:val="24"/>
              </w:rPr>
              <w:t>Projected Costs</w:t>
            </w:r>
          </w:p>
        </w:tc>
      </w:tr>
      <w:tr w:rsidR="0019243C" w:rsidRPr="002C68C7" w14:paraId="09A626D4" w14:textId="77777777" w:rsidTr="00A2599B">
        <w:tc>
          <w:tcPr>
            <w:tcW w:w="6925" w:type="dxa"/>
          </w:tcPr>
          <w:p w14:paraId="41AB083E"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Consultants (including travel, etc.)</w:t>
            </w:r>
          </w:p>
        </w:tc>
        <w:tc>
          <w:tcPr>
            <w:tcW w:w="3150" w:type="dxa"/>
          </w:tcPr>
          <w:p w14:paraId="59681979"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r w:rsidR="0019243C" w:rsidRPr="002C68C7" w14:paraId="75530B32" w14:textId="77777777" w:rsidTr="00A2599B">
        <w:tc>
          <w:tcPr>
            <w:tcW w:w="6925" w:type="dxa"/>
          </w:tcPr>
          <w:p w14:paraId="462C4DC2"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Other (Describe)</w:t>
            </w:r>
          </w:p>
        </w:tc>
        <w:tc>
          <w:tcPr>
            <w:tcW w:w="3150" w:type="dxa"/>
          </w:tcPr>
          <w:p w14:paraId="2CAFF4E7"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r w:rsidR="0019243C" w:rsidRPr="002C68C7" w14:paraId="2E83F973" w14:textId="77777777" w:rsidTr="00A2599B">
        <w:tc>
          <w:tcPr>
            <w:tcW w:w="6925" w:type="dxa"/>
          </w:tcPr>
          <w:p w14:paraId="0DE16FBC" w14:textId="77777777" w:rsidR="0019243C" w:rsidRPr="002C68C7" w:rsidRDefault="0019243C" w:rsidP="00CA2995">
            <w:pPr>
              <w:jc w:val="both"/>
              <w:rPr>
                <w:rFonts w:ascii="Arial" w:hAnsi="Arial" w:cs="Arial"/>
                <w:b/>
                <w:sz w:val="24"/>
                <w:szCs w:val="24"/>
              </w:rPr>
            </w:pPr>
          </w:p>
        </w:tc>
        <w:tc>
          <w:tcPr>
            <w:tcW w:w="3150" w:type="dxa"/>
          </w:tcPr>
          <w:p w14:paraId="1C88286F" w14:textId="77777777" w:rsidR="0019243C" w:rsidRPr="002C68C7" w:rsidRDefault="0019243C" w:rsidP="00CA2995">
            <w:pPr>
              <w:jc w:val="both"/>
              <w:rPr>
                <w:rFonts w:ascii="Arial" w:hAnsi="Arial" w:cs="Arial"/>
                <w:b/>
                <w:sz w:val="24"/>
                <w:szCs w:val="24"/>
              </w:rPr>
            </w:pPr>
          </w:p>
        </w:tc>
      </w:tr>
      <w:tr w:rsidR="0019243C" w:rsidRPr="002C68C7" w14:paraId="70FF536C" w14:textId="77777777" w:rsidTr="00A2599B">
        <w:tc>
          <w:tcPr>
            <w:tcW w:w="6925" w:type="dxa"/>
            <w:tcBorders>
              <w:bottom w:val="single" w:sz="4" w:space="0" w:color="auto"/>
            </w:tcBorders>
          </w:tcPr>
          <w:p w14:paraId="1805836D" w14:textId="77777777" w:rsidR="0019243C" w:rsidRPr="002C68C7" w:rsidRDefault="0019243C" w:rsidP="00CA2995">
            <w:pPr>
              <w:jc w:val="both"/>
              <w:rPr>
                <w:rFonts w:ascii="Arial" w:hAnsi="Arial" w:cs="Arial"/>
                <w:b/>
                <w:sz w:val="24"/>
                <w:szCs w:val="24"/>
              </w:rPr>
            </w:pPr>
          </w:p>
        </w:tc>
        <w:tc>
          <w:tcPr>
            <w:tcW w:w="3150" w:type="dxa"/>
            <w:tcBorders>
              <w:bottom w:val="single" w:sz="4" w:space="0" w:color="auto"/>
            </w:tcBorders>
          </w:tcPr>
          <w:p w14:paraId="268FAD7D" w14:textId="77777777" w:rsidR="0019243C" w:rsidRPr="002C68C7" w:rsidRDefault="0019243C" w:rsidP="00CA2995">
            <w:pPr>
              <w:jc w:val="both"/>
              <w:rPr>
                <w:rFonts w:ascii="Arial" w:hAnsi="Arial" w:cs="Arial"/>
                <w:b/>
                <w:sz w:val="24"/>
                <w:szCs w:val="24"/>
              </w:rPr>
            </w:pPr>
          </w:p>
        </w:tc>
      </w:tr>
      <w:tr w:rsidR="0019243C" w:rsidRPr="002C68C7" w14:paraId="5B543A42" w14:textId="77777777" w:rsidTr="00A2599B">
        <w:tc>
          <w:tcPr>
            <w:tcW w:w="6925" w:type="dxa"/>
            <w:tcBorders>
              <w:bottom w:val="single" w:sz="4" w:space="0" w:color="auto"/>
            </w:tcBorders>
          </w:tcPr>
          <w:p w14:paraId="0E304D39" w14:textId="77777777" w:rsidR="0019243C" w:rsidRPr="002C68C7" w:rsidRDefault="0019243C" w:rsidP="006207BF">
            <w:pPr>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6E0F4844"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r w:rsidR="00AB6BC1" w:rsidRPr="002C68C7" w14:paraId="2FC09057" w14:textId="77777777" w:rsidTr="00A2599B">
        <w:trPr>
          <w:trHeight w:val="170"/>
        </w:trPr>
        <w:tc>
          <w:tcPr>
            <w:tcW w:w="6925" w:type="dxa"/>
            <w:tcBorders>
              <w:top w:val="single" w:sz="4" w:space="0" w:color="auto"/>
              <w:left w:val="nil"/>
              <w:bottom w:val="single" w:sz="4" w:space="0" w:color="auto"/>
              <w:right w:val="nil"/>
            </w:tcBorders>
          </w:tcPr>
          <w:p w14:paraId="0D71BC1A" w14:textId="77777777" w:rsidR="00AB6BC1" w:rsidRPr="002C68C7" w:rsidRDefault="00AB6BC1" w:rsidP="00A2599B">
            <w:pPr>
              <w:rPr>
                <w:rFonts w:ascii="Arial" w:hAnsi="Arial" w:cs="Arial"/>
                <w:b/>
                <w:sz w:val="24"/>
                <w:szCs w:val="24"/>
              </w:rPr>
            </w:pPr>
          </w:p>
        </w:tc>
        <w:tc>
          <w:tcPr>
            <w:tcW w:w="3150" w:type="dxa"/>
            <w:tcBorders>
              <w:top w:val="single" w:sz="4" w:space="0" w:color="auto"/>
              <w:left w:val="nil"/>
              <w:bottom w:val="single" w:sz="4" w:space="0" w:color="auto"/>
              <w:right w:val="nil"/>
            </w:tcBorders>
          </w:tcPr>
          <w:p w14:paraId="5F49DD6D" w14:textId="77777777" w:rsidR="00AB6BC1" w:rsidRPr="002C68C7" w:rsidRDefault="00AB6BC1" w:rsidP="00CA2995">
            <w:pPr>
              <w:jc w:val="both"/>
              <w:rPr>
                <w:rFonts w:ascii="Arial" w:hAnsi="Arial" w:cs="Arial"/>
                <w:b/>
                <w:sz w:val="24"/>
                <w:szCs w:val="24"/>
              </w:rPr>
            </w:pPr>
          </w:p>
        </w:tc>
      </w:tr>
      <w:tr w:rsidR="00AB6BC1" w:rsidRPr="002C68C7" w14:paraId="66238418" w14:textId="77777777" w:rsidTr="00A2599B">
        <w:tc>
          <w:tcPr>
            <w:tcW w:w="6925" w:type="dxa"/>
            <w:tcBorders>
              <w:top w:val="single" w:sz="4" w:space="0" w:color="auto"/>
              <w:left w:val="single" w:sz="4" w:space="0" w:color="auto"/>
              <w:bottom w:val="single" w:sz="4" w:space="0" w:color="auto"/>
              <w:right w:val="single" w:sz="4" w:space="0" w:color="auto"/>
            </w:tcBorders>
            <w:shd w:val="clear" w:color="auto" w:fill="C6D9F1"/>
          </w:tcPr>
          <w:p w14:paraId="5A054A91" w14:textId="72C2E4C8" w:rsidR="00AB6BC1" w:rsidRPr="002C68C7" w:rsidRDefault="00AB6BC1" w:rsidP="00AB6BC1">
            <w:pPr>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180A81D5" w14:textId="02FA32CB" w:rsidR="00AB6BC1" w:rsidRPr="002C68C7" w:rsidRDefault="00AB6BC1" w:rsidP="00AB6BC1">
            <w:pPr>
              <w:jc w:val="both"/>
              <w:rPr>
                <w:rFonts w:ascii="Arial" w:hAnsi="Arial" w:cs="Arial"/>
                <w:b/>
                <w:sz w:val="24"/>
                <w:szCs w:val="24"/>
              </w:rPr>
            </w:pPr>
            <w:r>
              <w:rPr>
                <w:rFonts w:ascii="Arial" w:hAnsi="Arial" w:cs="Arial"/>
                <w:b/>
                <w:sz w:val="24"/>
                <w:szCs w:val="24"/>
              </w:rPr>
              <w:t xml:space="preserve">          </w:t>
            </w:r>
            <w:r w:rsidRPr="002C68C7">
              <w:rPr>
                <w:rFonts w:ascii="Arial" w:hAnsi="Arial" w:cs="Arial"/>
                <w:b/>
                <w:sz w:val="24"/>
                <w:szCs w:val="24"/>
              </w:rPr>
              <w:t>Projected Costs</w:t>
            </w:r>
          </w:p>
        </w:tc>
      </w:tr>
      <w:tr w:rsidR="00AB6BC1" w:rsidRPr="002C68C7" w14:paraId="51ED3542" w14:textId="77777777" w:rsidTr="00A2599B">
        <w:tc>
          <w:tcPr>
            <w:tcW w:w="6925" w:type="dxa"/>
            <w:tcBorders>
              <w:top w:val="single" w:sz="4" w:space="0" w:color="auto"/>
              <w:left w:val="single" w:sz="4" w:space="0" w:color="auto"/>
              <w:bottom w:val="single" w:sz="4" w:space="0" w:color="auto"/>
              <w:right w:val="single" w:sz="4" w:space="0" w:color="auto"/>
            </w:tcBorders>
          </w:tcPr>
          <w:p w14:paraId="7B8F8400" w14:textId="33A6F3EA" w:rsidR="00AB6BC1" w:rsidRPr="002C68C7" w:rsidRDefault="00AB6BC1" w:rsidP="00AB6BC1">
            <w:pPr>
              <w:rPr>
                <w:rFonts w:ascii="Arial" w:hAnsi="Arial" w:cs="Arial"/>
                <w:b/>
                <w:sz w:val="24"/>
                <w:szCs w:val="24"/>
              </w:rPr>
            </w:pPr>
            <w:r>
              <w:rPr>
                <w:rFonts w:ascii="Arial" w:hAnsi="Arial" w:cs="Arial"/>
                <w:b/>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4BC7FACC" w14:textId="2C155FBA" w:rsidR="00AB6BC1" w:rsidRPr="002C68C7" w:rsidRDefault="00AB6BC1" w:rsidP="002D1A8C">
            <w:pPr>
              <w:jc w:val="both"/>
              <w:rPr>
                <w:rFonts w:ascii="Arial" w:hAnsi="Arial" w:cs="Arial"/>
                <w:b/>
                <w:sz w:val="24"/>
                <w:szCs w:val="24"/>
              </w:rPr>
            </w:pPr>
            <w:r>
              <w:rPr>
                <w:rFonts w:ascii="Arial" w:hAnsi="Arial" w:cs="Arial"/>
                <w:b/>
                <w:sz w:val="24"/>
                <w:szCs w:val="24"/>
              </w:rPr>
              <w:t>%_______</w:t>
            </w:r>
          </w:p>
        </w:tc>
      </w:tr>
      <w:tr w:rsidR="00AB6BC1" w:rsidRPr="002C68C7" w14:paraId="3CE9F1D3" w14:textId="77777777" w:rsidTr="00A2599B">
        <w:tc>
          <w:tcPr>
            <w:tcW w:w="6925" w:type="dxa"/>
            <w:tcBorders>
              <w:top w:val="single" w:sz="4" w:space="0" w:color="auto"/>
              <w:left w:val="single" w:sz="4" w:space="0" w:color="auto"/>
              <w:bottom w:val="single" w:sz="4" w:space="0" w:color="auto"/>
              <w:right w:val="single" w:sz="4" w:space="0" w:color="auto"/>
            </w:tcBorders>
          </w:tcPr>
          <w:p w14:paraId="1420F3F4" w14:textId="23669729" w:rsidR="00AB6BC1" w:rsidRPr="002C68C7" w:rsidRDefault="00AB6BC1" w:rsidP="00A2599B">
            <w:pPr>
              <w:rPr>
                <w:rFonts w:ascii="Arial" w:hAnsi="Arial" w:cs="Arial"/>
                <w:b/>
                <w:sz w:val="24"/>
                <w:szCs w:val="24"/>
              </w:rPr>
            </w:pPr>
            <w:r>
              <w:rPr>
                <w:rFonts w:ascii="Arial" w:hAnsi="Arial" w:cs="Arial"/>
                <w:b/>
                <w:sz w:val="24"/>
                <w:szCs w:val="24"/>
              </w:rPr>
              <w:t>Total Non-Employee Service Items &amp; Incidental</w:t>
            </w:r>
            <w:r w:rsidR="00A2599B">
              <w:rPr>
                <w:rFonts w:ascii="Arial" w:hAnsi="Arial" w:cs="Arial"/>
                <w:b/>
                <w:sz w:val="24"/>
                <w:szCs w:val="24"/>
              </w:rPr>
              <w:t xml:space="preserve"> </w:t>
            </w:r>
            <w:r>
              <w:rPr>
                <w:rFonts w:ascii="Arial" w:hAnsi="Arial" w:cs="Arial"/>
                <w:b/>
                <w:sz w:val="24"/>
                <w:szCs w:val="24"/>
              </w:rPr>
              <w:t>Expenses</w:t>
            </w:r>
          </w:p>
        </w:tc>
        <w:tc>
          <w:tcPr>
            <w:tcW w:w="3150" w:type="dxa"/>
            <w:tcBorders>
              <w:top w:val="single" w:sz="4" w:space="0" w:color="auto"/>
              <w:left w:val="single" w:sz="4" w:space="0" w:color="auto"/>
              <w:bottom w:val="single" w:sz="4" w:space="0" w:color="auto"/>
              <w:right w:val="single" w:sz="4" w:space="0" w:color="auto"/>
            </w:tcBorders>
          </w:tcPr>
          <w:p w14:paraId="4F3B9C59" w14:textId="77777777" w:rsidR="00AB6BC1" w:rsidRPr="002C68C7" w:rsidRDefault="00AB6BC1" w:rsidP="002D1A8C">
            <w:pPr>
              <w:jc w:val="both"/>
              <w:rPr>
                <w:rFonts w:ascii="Arial" w:hAnsi="Arial" w:cs="Arial"/>
                <w:b/>
                <w:sz w:val="24"/>
                <w:szCs w:val="24"/>
              </w:rPr>
            </w:pPr>
            <w:r w:rsidRPr="002C68C7">
              <w:rPr>
                <w:rFonts w:ascii="Arial" w:hAnsi="Arial" w:cs="Arial"/>
                <w:b/>
                <w:sz w:val="24"/>
                <w:szCs w:val="24"/>
              </w:rPr>
              <w:t>$</w:t>
            </w:r>
          </w:p>
        </w:tc>
      </w:tr>
    </w:tbl>
    <w:p w14:paraId="7F50357D" w14:textId="177DC766" w:rsidR="0019243C" w:rsidRPr="002C68C7" w:rsidRDefault="0019243C" w:rsidP="0019243C">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07BF" w:rsidRPr="002C68C7" w14:paraId="044692CC" w14:textId="77777777" w:rsidTr="00A2599B">
        <w:tc>
          <w:tcPr>
            <w:tcW w:w="6925" w:type="dxa"/>
            <w:shd w:val="clear" w:color="auto" w:fill="C6D9F1"/>
            <w:vAlign w:val="center"/>
          </w:tcPr>
          <w:p w14:paraId="3461D407" w14:textId="0D5284D8" w:rsidR="006207BF" w:rsidRPr="002C68C7" w:rsidRDefault="006207BF" w:rsidP="006207BF">
            <w:pPr>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280FE164" w14:textId="2B3CA200" w:rsidR="006207BF" w:rsidRPr="002C68C7" w:rsidRDefault="006207BF" w:rsidP="006207BF">
            <w:pPr>
              <w:jc w:val="center"/>
              <w:rPr>
                <w:rFonts w:ascii="Arial" w:hAnsi="Arial" w:cs="Arial"/>
                <w:b/>
                <w:sz w:val="24"/>
                <w:szCs w:val="24"/>
              </w:rPr>
            </w:pPr>
            <w:r w:rsidRPr="002C68C7">
              <w:rPr>
                <w:rFonts w:ascii="Arial" w:hAnsi="Arial" w:cs="Arial"/>
                <w:b/>
                <w:sz w:val="24"/>
                <w:szCs w:val="24"/>
              </w:rPr>
              <w:t>Projected Costs</w:t>
            </w:r>
          </w:p>
        </w:tc>
      </w:tr>
      <w:tr w:rsidR="0019243C" w:rsidRPr="002C68C7" w14:paraId="13504DAA" w14:textId="77777777" w:rsidTr="00A2599B">
        <w:tc>
          <w:tcPr>
            <w:tcW w:w="6925" w:type="dxa"/>
          </w:tcPr>
          <w:p w14:paraId="4320E8FB"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Supplies and Materials</w:t>
            </w:r>
          </w:p>
        </w:tc>
        <w:tc>
          <w:tcPr>
            <w:tcW w:w="3145" w:type="dxa"/>
          </w:tcPr>
          <w:p w14:paraId="6096C6AA"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r w:rsidR="0019243C" w:rsidRPr="002C68C7" w14:paraId="3A177C3C" w14:textId="77777777" w:rsidTr="00A2599B">
        <w:tc>
          <w:tcPr>
            <w:tcW w:w="6925" w:type="dxa"/>
          </w:tcPr>
          <w:p w14:paraId="0AC02770"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Employee Travel</w:t>
            </w:r>
          </w:p>
        </w:tc>
        <w:tc>
          <w:tcPr>
            <w:tcW w:w="3145" w:type="dxa"/>
          </w:tcPr>
          <w:p w14:paraId="08B59B67"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r w:rsidR="0019243C" w:rsidRPr="002C68C7" w14:paraId="2C7F990E" w14:textId="77777777" w:rsidTr="00A2599B">
        <w:tc>
          <w:tcPr>
            <w:tcW w:w="6925" w:type="dxa"/>
          </w:tcPr>
          <w:p w14:paraId="3205DE04" w14:textId="77777777" w:rsidR="0019243C" w:rsidRPr="002C68C7" w:rsidRDefault="0019243C" w:rsidP="00CA2995">
            <w:pPr>
              <w:jc w:val="both"/>
              <w:rPr>
                <w:rFonts w:ascii="Arial" w:hAnsi="Arial" w:cs="Arial"/>
                <w:b/>
                <w:sz w:val="24"/>
                <w:szCs w:val="24"/>
              </w:rPr>
            </w:pPr>
          </w:p>
        </w:tc>
        <w:tc>
          <w:tcPr>
            <w:tcW w:w="3145" w:type="dxa"/>
          </w:tcPr>
          <w:p w14:paraId="26231F97" w14:textId="77777777" w:rsidR="0019243C" w:rsidRPr="002C68C7" w:rsidRDefault="0019243C" w:rsidP="00CA2995">
            <w:pPr>
              <w:jc w:val="both"/>
              <w:rPr>
                <w:rFonts w:ascii="Arial" w:hAnsi="Arial" w:cs="Arial"/>
                <w:b/>
                <w:sz w:val="24"/>
                <w:szCs w:val="24"/>
              </w:rPr>
            </w:pPr>
          </w:p>
        </w:tc>
      </w:tr>
      <w:tr w:rsidR="0019243C" w:rsidRPr="002C68C7" w14:paraId="65CFCCEC" w14:textId="77777777" w:rsidTr="00A2599B">
        <w:tc>
          <w:tcPr>
            <w:tcW w:w="6925" w:type="dxa"/>
          </w:tcPr>
          <w:p w14:paraId="361F8694" w14:textId="77777777" w:rsidR="0019243C" w:rsidRPr="002C68C7" w:rsidRDefault="0019243C" w:rsidP="00CA2995">
            <w:pPr>
              <w:jc w:val="both"/>
              <w:rPr>
                <w:rFonts w:ascii="Arial" w:hAnsi="Arial" w:cs="Arial"/>
                <w:b/>
                <w:sz w:val="24"/>
                <w:szCs w:val="24"/>
              </w:rPr>
            </w:pPr>
          </w:p>
        </w:tc>
        <w:tc>
          <w:tcPr>
            <w:tcW w:w="3145" w:type="dxa"/>
          </w:tcPr>
          <w:p w14:paraId="727AA318" w14:textId="77777777" w:rsidR="0019243C" w:rsidRPr="002C68C7" w:rsidRDefault="0019243C" w:rsidP="00CA2995">
            <w:pPr>
              <w:jc w:val="both"/>
              <w:rPr>
                <w:rFonts w:ascii="Arial" w:hAnsi="Arial" w:cs="Arial"/>
                <w:b/>
                <w:sz w:val="24"/>
                <w:szCs w:val="24"/>
              </w:rPr>
            </w:pPr>
          </w:p>
        </w:tc>
      </w:tr>
      <w:tr w:rsidR="0019243C" w:rsidRPr="002C68C7" w14:paraId="078A8D25" w14:textId="77777777" w:rsidTr="00A2599B">
        <w:tc>
          <w:tcPr>
            <w:tcW w:w="6925" w:type="dxa"/>
          </w:tcPr>
          <w:p w14:paraId="6FF567A7" w14:textId="77777777" w:rsidR="0019243C" w:rsidRPr="002C68C7" w:rsidRDefault="0019243C" w:rsidP="006207BF">
            <w:pPr>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34965D6A"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bl>
    <w:p w14:paraId="0D0BF963" w14:textId="636998FF" w:rsidR="0019243C" w:rsidRPr="002C68C7" w:rsidRDefault="0019243C" w:rsidP="0019243C">
      <w:pPr>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07BF" w:rsidRPr="002C68C7" w14:paraId="19A00AC6" w14:textId="77777777" w:rsidTr="00A2599B">
        <w:tc>
          <w:tcPr>
            <w:tcW w:w="6925" w:type="dxa"/>
            <w:shd w:val="clear" w:color="auto" w:fill="C6D9F1"/>
          </w:tcPr>
          <w:p w14:paraId="471B34CB" w14:textId="651F58BC" w:rsidR="006207BF" w:rsidRPr="002C68C7" w:rsidRDefault="006207BF" w:rsidP="006207BF">
            <w:pPr>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79C51ABF" w14:textId="4CE7D5B5" w:rsidR="006207BF" w:rsidRPr="002C68C7" w:rsidRDefault="006207BF" w:rsidP="006207BF">
            <w:pPr>
              <w:jc w:val="center"/>
              <w:rPr>
                <w:rFonts w:ascii="Arial" w:hAnsi="Arial" w:cs="Arial"/>
                <w:b/>
                <w:sz w:val="24"/>
                <w:szCs w:val="24"/>
              </w:rPr>
            </w:pPr>
            <w:r w:rsidRPr="002C68C7">
              <w:rPr>
                <w:rFonts w:ascii="Arial" w:hAnsi="Arial" w:cs="Arial"/>
                <w:b/>
                <w:sz w:val="24"/>
                <w:szCs w:val="24"/>
              </w:rPr>
              <w:t>Projected Costs</w:t>
            </w:r>
          </w:p>
        </w:tc>
      </w:tr>
      <w:tr w:rsidR="0019243C" w:rsidRPr="002C68C7" w14:paraId="378FF2AB" w14:textId="77777777" w:rsidTr="00A2599B">
        <w:tc>
          <w:tcPr>
            <w:tcW w:w="6925" w:type="dxa"/>
          </w:tcPr>
          <w:p w14:paraId="1F6AF36E" w14:textId="77777777" w:rsidR="0019243C" w:rsidRPr="002C68C7" w:rsidRDefault="0019243C" w:rsidP="006207BF">
            <w:pPr>
              <w:rPr>
                <w:rFonts w:ascii="Arial" w:hAnsi="Arial" w:cs="Arial"/>
                <w:b/>
                <w:sz w:val="24"/>
                <w:szCs w:val="24"/>
              </w:rPr>
            </w:pPr>
            <w:r w:rsidRPr="002C68C7">
              <w:rPr>
                <w:rFonts w:ascii="Arial" w:hAnsi="Arial" w:cs="Arial"/>
                <w:b/>
                <w:sz w:val="24"/>
                <w:szCs w:val="24"/>
              </w:rPr>
              <w:t>Indirect Costs (Rate____%)</w:t>
            </w:r>
          </w:p>
        </w:tc>
        <w:tc>
          <w:tcPr>
            <w:tcW w:w="3145" w:type="dxa"/>
          </w:tcPr>
          <w:p w14:paraId="650979BB"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bl>
    <w:p w14:paraId="2351D4B6" w14:textId="176EDE77" w:rsidR="0019243C" w:rsidRPr="002C68C7" w:rsidRDefault="0019243C" w:rsidP="0019243C">
      <w:pPr>
        <w:jc w:val="both"/>
        <w:rPr>
          <w:rFonts w:ascii="Arial" w:hAnsi="Arial" w:cs="Arial"/>
          <w:b/>
          <w:sz w:val="24"/>
          <w:szCs w:val="24"/>
        </w:rPr>
      </w:pP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07BF" w:rsidRPr="002C68C7" w14:paraId="39B68629" w14:textId="77777777" w:rsidTr="006207BF">
        <w:tc>
          <w:tcPr>
            <w:tcW w:w="10070" w:type="dxa"/>
            <w:gridSpan w:val="2"/>
            <w:shd w:val="clear" w:color="auto" w:fill="C6D9F1"/>
            <w:vAlign w:val="center"/>
          </w:tcPr>
          <w:p w14:paraId="1726772C" w14:textId="154952F7" w:rsidR="006207BF" w:rsidRPr="002C68C7" w:rsidRDefault="006207BF" w:rsidP="006207BF">
            <w:pPr>
              <w:jc w:val="center"/>
              <w:rPr>
                <w:rFonts w:ascii="Arial" w:hAnsi="Arial" w:cs="Arial"/>
                <w:b/>
                <w:sz w:val="24"/>
                <w:szCs w:val="24"/>
              </w:rPr>
            </w:pPr>
            <w:r w:rsidRPr="002C68C7">
              <w:rPr>
                <w:rFonts w:ascii="Arial" w:hAnsi="Arial" w:cs="Arial"/>
                <w:b/>
                <w:sz w:val="24"/>
                <w:szCs w:val="24"/>
              </w:rPr>
              <w:t>Total Cost</w:t>
            </w:r>
          </w:p>
        </w:tc>
      </w:tr>
      <w:tr w:rsidR="0019243C" w:rsidRPr="002C68C7" w14:paraId="29BB9FFB" w14:textId="77777777" w:rsidTr="00A2599B">
        <w:tc>
          <w:tcPr>
            <w:tcW w:w="6925" w:type="dxa"/>
          </w:tcPr>
          <w:p w14:paraId="155A1460"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3BCC5A93" w14:textId="77777777" w:rsidR="0019243C" w:rsidRPr="002C68C7" w:rsidRDefault="0019243C" w:rsidP="00CA2995">
            <w:pPr>
              <w:jc w:val="both"/>
              <w:rPr>
                <w:rFonts w:ascii="Arial" w:hAnsi="Arial" w:cs="Arial"/>
                <w:b/>
                <w:sz w:val="24"/>
                <w:szCs w:val="24"/>
              </w:rPr>
            </w:pPr>
            <w:r w:rsidRPr="002C68C7">
              <w:rPr>
                <w:rFonts w:ascii="Arial" w:hAnsi="Arial" w:cs="Arial"/>
                <w:b/>
                <w:sz w:val="24"/>
                <w:szCs w:val="24"/>
              </w:rPr>
              <w:t>$</w:t>
            </w:r>
          </w:p>
        </w:tc>
      </w:tr>
    </w:tbl>
    <w:p w14:paraId="1DF52D36" w14:textId="77777777" w:rsidR="0019243C" w:rsidRPr="002C68C7" w:rsidRDefault="0019243C" w:rsidP="0019243C">
      <w:pPr>
        <w:jc w:val="both"/>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E9D832F" w:rsidR="00FE4BEB" w:rsidRPr="00C97934" w:rsidRDefault="002841BE"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467855E6" w14:textId="77777777" w:rsidR="00227AA5" w:rsidRPr="00C97934" w:rsidRDefault="00227AA5" w:rsidP="00227AA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202401007</w:t>
      </w:r>
    </w:p>
    <w:p w14:paraId="11842775" w14:textId="77777777" w:rsidR="00227AA5" w:rsidRPr="00227AA5" w:rsidRDefault="00227AA5" w:rsidP="00227AA5">
      <w:pPr>
        <w:jc w:val="center"/>
        <w:rPr>
          <w:rFonts w:ascii="Arial" w:hAnsi="Arial" w:cs="Arial"/>
          <w:sz w:val="28"/>
          <w:szCs w:val="28"/>
          <w:u w:val="single"/>
        </w:rPr>
      </w:pPr>
      <w:r w:rsidRPr="00227AA5">
        <w:rPr>
          <w:rFonts w:ascii="Arial" w:hAnsi="Arial" w:cs="Arial"/>
          <w:b/>
          <w:sz w:val="28"/>
          <w:szCs w:val="28"/>
          <w:u w:val="single"/>
        </w:rPr>
        <w:t>Electric Rate Case Consultant for the Maine Public Advocate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D809" w14:textId="77777777" w:rsidR="00607A94" w:rsidRDefault="00607A94">
      <w:r>
        <w:separator/>
      </w:r>
    </w:p>
  </w:endnote>
  <w:endnote w:type="continuationSeparator" w:id="0">
    <w:p w14:paraId="2E2293D8" w14:textId="77777777" w:rsidR="00607A94" w:rsidRDefault="00607A94">
      <w:r>
        <w:continuationSeparator/>
      </w:r>
    </w:p>
  </w:endnote>
  <w:endnote w:type="continuationNotice" w:id="1">
    <w:p w14:paraId="1ACACAAC" w14:textId="77777777" w:rsidR="00607A94" w:rsidRDefault="0060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5B8458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227AA5">
      <w:rPr>
        <w:rFonts w:ascii="Arial" w:hAnsi="Arial" w:cs="Arial"/>
      </w:rPr>
      <w:t xml:space="preserve"> 202401007</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55FF" w14:textId="77777777" w:rsidR="00607A94" w:rsidRDefault="00607A94">
      <w:r>
        <w:separator/>
      </w:r>
    </w:p>
  </w:footnote>
  <w:footnote w:type="continuationSeparator" w:id="0">
    <w:p w14:paraId="772F744B" w14:textId="77777777" w:rsidR="00607A94" w:rsidRDefault="00607A94">
      <w:r>
        <w:continuationSeparator/>
      </w:r>
    </w:p>
  </w:footnote>
  <w:footnote w:type="continuationNotice" w:id="1">
    <w:p w14:paraId="342E128B" w14:textId="77777777" w:rsidR="00607A94" w:rsidRDefault="00607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16319C9"/>
    <w:multiLevelType w:val="singleLevel"/>
    <w:tmpl w:val="4C805294"/>
    <w:lvl w:ilvl="0">
      <w:start w:val="1"/>
      <w:numFmt w:val="decimal"/>
      <w:lvlText w:val="%1."/>
      <w:legacy w:legacy="1" w:legacySpace="0" w:legacyIndent="720"/>
      <w:lvlJc w:val="left"/>
      <w:pPr>
        <w:ind w:left="1530" w:hanging="720"/>
      </w:pPr>
      <w:rPr>
        <w:rFonts w:ascii="Arial" w:hAnsi="Arial" w:cs="Arial" w:hint="default"/>
      </w:r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9621D"/>
    <w:multiLevelType w:val="hybridMultilevel"/>
    <w:tmpl w:val="FC7237DC"/>
    <w:lvl w:ilvl="0" w:tplc="3FF4C6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2"/>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8"/>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676887183">
    <w:abstractNumId w:val="14"/>
  </w:num>
  <w:num w:numId="43" w16cid:durableId="7263188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7E1F"/>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0287"/>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47F3"/>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15E3"/>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243C"/>
    <w:rsid w:val="001958B4"/>
    <w:rsid w:val="00196985"/>
    <w:rsid w:val="00197669"/>
    <w:rsid w:val="001978E0"/>
    <w:rsid w:val="001A1037"/>
    <w:rsid w:val="001A350D"/>
    <w:rsid w:val="001A644E"/>
    <w:rsid w:val="001A77C8"/>
    <w:rsid w:val="001B139C"/>
    <w:rsid w:val="001B1B8B"/>
    <w:rsid w:val="001B270F"/>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D3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AA5"/>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841BE"/>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68C7"/>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25D3"/>
    <w:rsid w:val="00343063"/>
    <w:rsid w:val="00343B30"/>
    <w:rsid w:val="00344CC3"/>
    <w:rsid w:val="0034665C"/>
    <w:rsid w:val="00346DBE"/>
    <w:rsid w:val="003471C0"/>
    <w:rsid w:val="0034728B"/>
    <w:rsid w:val="0035046A"/>
    <w:rsid w:val="00351845"/>
    <w:rsid w:val="00354B01"/>
    <w:rsid w:val="00354C17"/>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C7CC8"/>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33CF"/>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B7C0B"/>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3CB2"/>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07A94"/>
    <w:rsid w:val="00611901"/>
    <w:rsid w:val="00613954"/>
    <w:rsid w:val="00615389"/>
    <w:rsid w:val="00616DCB"/>
    <w:rsid w:val="00617DB5"/>
    <w:rsid w:val="006207BF"/>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515"/>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1FD6"/>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54D"/>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091"/>
    <w:rsid w:val="008A753C"/>
    <w:rsid w:val="008A7B35"/>
    <w:rsid w:val="008A7C6B"/>
    <w:rsid w:val="008B00D8"/>
    <w:rsid w:val="008B1414"/>
    <w:rsid w:val="008B143A"/>
    <w:rsid w:val="008B14D2"/>
    <w:rsid w:val="008B1834"/>
    <w:rsid w:val="008B33B5"/>
    <w:rsid w:val="008B4E4F"/>
    <w:rsid w:val="008B7843"/>
    <w:rsid w:val="008B7BCE"/>
    <w:rsid w:val="008B7E61"/>
    <w:rsid w:val="008C257A"/>
    <w:rsid w:val="008C3095"/>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3EE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43FF"/>
    <w:rsid w:val="00A25046"/>
    <w:rsid w:val="00A2599B"/>
    <w:rsid w:val="00A26D9B"/>
    <w:rsid w:val="00A27244"/>
    <w:rsid w:val="00A32638"/>
    <w:rsid w:val="00A341A2"/>
    <w:rsid w:val="00A366E8"/>
    <w:rsid w:val="00A41ABA"/>
    <w:rsid w:val="00A42426"/>
    <w:rsid w:val="00A4353B"/>
    <w:rsid w:val="00A43565"/>
    <w:rsid w:val="00A44001"/>
    <w:rsid w:val="00A46A52"/>
    <w:rsid w:val="00A470A8"/>
    <w:rsid w:val="00A47707"/>
    <w:rsid w:val="00A50F2B"/>
    <w:rsid w:val="00A52E3F"/>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BC1"/>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16C3"/>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6F3"/>
    <w:rsid w:val="00DA3F2F"/>
    <w:rsid w:val="00DA6F97"/>
    <w:rsid w:val="00DA7932"/>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B26"/>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58E"/>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AA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andrew.landry@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331B0CC1-BCE2-4929-8CE6-94D4B25A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5722</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2024-01-18T20:45:00Z</cp:lastPrinted>
  <dcterms:created xsi:type="dcterms:W3CDTF">2024-01-18T21:14:00Z</dcterms:created>
  <dcterms:modified xsi:type="dcterms:W3CDTF">2024-01-18T21:17:00Z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