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FEA" w14:textId="50C44921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 xml:space="preserve">STATE OF MAINE REQUEST FOR </w:t>
      </w:r>
      <w:r w:rsidR="00070C54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APPLICATIONS</w:t>
      </w:r>
    </w:p>
    <w:p w14:paraId="1DE8F9B9" w14:textId="413B9AD1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</w:t>
      </w:r>
      <w:r w:rsidR="00226F18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A</w:t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</w:t>
      </w:r>
      <w:r w:rsidR="00CC4AD5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2625D008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226F18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NUMBER AND TITLE:</w:t>
            </w:r>
          </w:p>
        </w:tc>
        <w:tc>
          <w:tcPr>
            <w:tcW w:w="6570" w:type="dxa"/>
            <w:vAlign w:val="center"/>
          </w:tcPr>
          <w:p w14:paraId="29CAA445" w14:textId="6CAB2D17" w:rsidR="00B02C35" w:rsidRPr="00226F18" w:rsidRDefault="00226F18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226F18">
              <w:rPr>
                <w:rFonts w:ascii="Arial" w:hAnsi="Arial" w:cs="Arial"/>
                <w:sz w:val="24"/>
                <w:szCs w:val="24"/>
              </w:rPr>
              <w:t>RFA#202312239</w:t>
            </w:r>
            <w:r w:rsidR="00CC4AD5">
              <w:rPr>
                <w:rFonts w:ascii="Arial" w:hAnsi="Arial" w:cs="Arial"/>
                <w:sz w:val="24"/>
                <w:szCs w:val="24"/>
              </w:rPr>
              <w:t xml:space="preserve"> – Maine Grid Resilience Grant Program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0ED9D046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226F18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ISSUED BY:</w:t>
            </w:r>
          </w:p>
        </w:tc>
        <w:tc>
          <w:tcPr>
            <w:tcW w:w="6570" w:type="dxa"/>
            <w:vAlign w:val="center"/>
          </w:tcPr>
          <w:p w14:paraId="1C852198" w14:textId="364F3FDC" w:rsidR="00B531C0" w:rsidRPr="00226F18" w:rsidRDefault="00226F18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226F18">
              <w:rPr>
                <w:rFonts w:ascii="Arial" w:hAnsi="Arial" w:cs="Arial"/>
                <w:sz w:val="24"/>
                <w:szCs w:val="24"/>
              </w:rPr>
              <w:t>Governor’s Energy Office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024B3C09" w:rsidR="00B02C35" w:rsidRPr="00226F18" w:rsidRDefault="00CC4AD5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2/27/2024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1A3AD020" w:rsidR="00B02C35" w:rsidRPr="00226F18" w:rsidRDefault="00226F18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226F18">
              <w:rPr>
                <w:rFonts w:ascii="Arial" w:hAnsi="Arial" w:cs="Arial"/>
                <w:sz w:val="24"/>
                <w:szCs w:val="24"/>
              </w:rPr>
              <w:t>3/28/2024</w:t>
            </w:r>
            <w:r w:rsidR="00CC4AD5">
              <w:rPr>
                <w:rFonts w:ascii="Arial" w:hAnsi="Arial" w:cs="Arial"/>
                <w:sz w:val="24"/>
                <w:szCs w:val="24"/>
              </w:rPr>
              <w:t xml:space="preserve"> no later than 11:59 p.m., local time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CC4AD5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3CDCD602" w:rsidR="00B02C35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</w:t>
            </w:r>
            <w:r w:rsidR="00226F18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CC4AD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D351CF3" w14:textId="77777777" w:rsidR="00CC0F43" w:rsidRDefault="00CC0F43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B688E5" w14:textId="49E21A9D" w:rsidR="00B02C35" w:rsidRPr="00CC4AD5" w:rsidRDefault="00CC0F43" w:rsidP="00CC4AD5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C4A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6F18" w:rsidRPr="00CC4AD5">
              <w:rPr>
                <w:rFonts w:ascii="Arial" w:hAnsi="Arial" w:cs="Arial"/>
                <w:sz w:val="24"/>
                <w:szCs w:val="24"/>
              </w:rPr>
              <w:t>The link to “Davis Bacon Act” guidance on page 4 of the RFA Application Form is broken (final sentence in Davis Bacon paragraph</w:t>
            </w:r>
            <w:r w:rsidR="00CC4AD5" w:rsidRPr="00CC4AD5">
              <w:rPr>
                <w:rFonts w:ascii="Arial" w:hAnsi="Arial" w:cs="Arial"/>
                <w:sz w:val="24"/>
                <w:szCs w:val="24"/>
              </w:rPr>
              <w:t>) and is replaced with the PDF embedded below.</w:t>
            </w:r>
          </w:p>
          <w:p w14:paraId="1EAE7E5A" w14:textId="77777777" w:rsidR="00B02C35" w:rsidRDefault="00B02C35" w:rsidP="00CC4A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7DCB1D" w14:textId="7AE4D2B2" w:rsidR="00CC0F43" w:rsidRPr="00CC4AD5" w:rsidRDefault="0043197F" w:rsidP="00CC4AD5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C4AD5">
              <w:rPr>
                <w:rFonts w:ascii="Arial" w:hAnsi="Arial" w:cs="Arial"/>
                <w:sz w:val="24"/>
                <w:szCs w:val="24"/>
              </w:rPr>
              <w:t>The original</w:t>
            </w:r>
            <w:r w:rsidR="00252D45" w:rsidRPr="00CC4A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AD5" w:rsidRPr="00CC4AD5">
              <w:rPr>
                <w:rFonts w:ascii="Arial" w:hAnsi="Arial" w:cs="Arial"/>
                <w:sz w:val="24"/>
                <w:szCs w:val="24"/>
              </w:rPr>
              <w:t xml:space="preserve">Budget Justification </w:t>
            </w:r>
            <w:r w:rsidR="00252D45" w:rsidRPr="00CC4AD5">
              <w:rPr>
                <w:rFonts w:ascii="Arial" w:hAnsi="Arial" w:cs="Arial"/>
                <w:sz w:val="24"/>
                <w:szCs w:val="24"/>
              </w:rPr>
              <w:t>link</w:t>
            </w:r>
            <w:r w:rsidRPr="00CC4AD5">
              <w:rPr>
                <w:rFonts w:ascii="Arial" w:hAnsi="Arial" w:cs="Arial"/>
                <w:sz w:val="24"/>
                <w:szCs w:val="24"/>
              </w:rPr>
              <w:t xml:space="preserve"> that was posted to the DOE webpage automatically calculated “Cost Share” instead of “Cost Match.” </w:t>
            </w:r>
            <w:r w:rsidR="00CC4AD5" w:rsidRPr="00CC4AD5">
              <w:rPr>
                <w:rFonts w:ascii="Arial" w:hAnsi="Arial" w:cs="Arial"/>
                <w:sz w:val="24"/>
                <w:szCs w:val="24"/>
              </w:rPr>
              <w:t xml:space="preserve">This link as shown </w:t>
            </w:r>
            <w:r w:rsidRPr="00CC4AD5">
              <w:rPr>
                <w:rFonts w:ascii="Arial" w:hAnsi="Arial" w:cs="Arial"/>
                <w:sz w:val="24"/>
                <w:szCs w:val="24"/>
              </w:rPr>
              <w:t>on pg</w:t>
            </w:r>
            <w:r w:rsidR="00CC4AD5" w:rsidRPr="00CC4AD5">
              <w:rPr>
                <w:rFonts w:ascii="Arial" w:hAnsi="Arial" w:cs="Arial"/>
                <w:sz w:val="24"/>
                <w:szCs w:val="24"/>
              </w:rPr>
              <w:t>.</w:t>
            </w:r>
            <w:r w:rsidRPr="00CC4AD5">
              <w:rPr>
                <w:rFonts w:ascii="Arial" w:hAnsi="Arial" w:cs="Arial"/>
                <w:sz w:val="24"/>
                <w:szCs w:val="24"/>
              </w:rPr>
              <w:t xml:space="preserve"> 13 in the RFA under “Budget Justification,” and on pg</w:t>
            </w:r>
            <w:r w:rsidR="00CC4AD5" w:rsidRPr="00CC4AD5">
              <w:rPr>
                <w:rFonts w:ascii="Arial" w:hAnsi="Arial" w:cs="Arial"/>
                <w:sz w:val="24"/>
                <w:szCs w:val="24"/>
              </w:rPr>
              <w:t>.</w:t>
            </w:r>
            <w:r w:rsidRPr="00CC4AD5">
              <w:rPr>
                <w:rFonts w:ascii="Arial" w:hAnsi="Arial" w:cs="Arial"/>
                <w:sz w:val="24"/>
                <w:szCs w:val="24"/>
              </w:rPr>
              <w:t xml:space="preserve"> 13 under Criteria 4.1a in the </w:t>
            </w:r>
            <w:r w:rsidR="00CC4AD5" w:rsidRPr="00CC4AD5">
              <w:rPr>
                <w:rFonts w:ascii="Arial" w:hAnsi="Arial" w:cs="Arial"/>
                <w:sz w:val="24"/>
                <w:szCs w:val="24"/>
              </w:rPr>
              <w:t>A</w:t>
            </w:r>
            <w:r w:rsidRPr="00CC4AD5">
              <w:rPr>
                <w:rFonts w:ascii="Arial" w:hAnsi="Arial" w:cs="Arial"/>
                <w:sz w:val="24"/>
                <w:szCs w:val="24"/>
              </w:rPr>
              <w:t xml:space="preserve">pplication </w:t>
            </w:r>
            <w:r w:rsidR="00CC4AD5" w:rsidRPr="00CC4AD5">
              <w:rPr>
                <w:rFonts w:ascii="Arial" w:hAnsi="Arial" w:cs="Arial"/>
                <w:sz w:val="24"/>
                <w:szCs w:val="24"/>
              </w:rPr>
              <w:t>F</w:t>
            </w:r>
            <w:r w:rsidRPr="00CC4AD5">
              <w:rPr>
                <w:rFonts w:ascii="Arial" w:hAnsi="Arial" w:cs="Arial"/>
                <w:sz w:val="24"/>
                <w:szCs w:val="24"/>
              </w:rPr>
              <w:t>orm</w:t>
            </w:r>
            <w:r w:rsidR="00CC4AD5" w:rsidRPr="00CC4AD5">
              <w:rPr>
                <w:rFonts w:ascii="Arial" w:hAnsi="Arial" w:cs="Arial"/>
                <w:sz w:val="24"/>
                <w:szCs w:val="24"/>
              </w:rPr>
              <w:t xml:space="preserve"> is replaced with the link below</w:t>
            </w:r>
            <w:r w:rsidRPr="00CC4AD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CC4AD5">
        <w:trPr>
          <w:trHeight w:val="3302"/>
        </w:trPr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0766403D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</w:t>
            </w:r>
            <w:r w:rsidR="00226F18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CC4AD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F14FE" w14:textId="2FAE3715" w:rsidR="00B02C35" w:rsidRPr="00CC4AD5" w:rsidRDefault="00CC4AD5" w:rsidP="00CC4AD5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David Bacon Act guidance:</w:t>
            </w:r>
          </w:p>
          <w:p w14:paraId="5B75494F" w14:textId="6DF71F93" w:rsidR="00B02C35" w:rsidRPr="00C118CB" w:rsidRDefault="00CC4AD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1287" w:dyaOrig="832" w14:anchorId="26FF75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64.5pt;height:41.25pt" o:ole="">
                  <v:imagedata r:id="rId12" o:title=""/>
                </v:shape>
                <o:OLEObject Type="Embed" ProgID="AcroExch.Document.DC" ShapeID="_x0000_i1049" DrawAspect="Icon" ObjectID="_1770549684" r:id="rId13"/>
              </w:object>
            </w:r>
          </w:p>
          <w:p w14:paraId="44F38836" w14:textId="03982B23" w:rsidR="00B02C35" w:rsidRPr="00226F18" w:rsidRDefault="00CC4AD5" w:rsidP="00226F18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Corrected link to the Budget Justification:</w:t>
            </w:r>
            <w:r w:rsidRPr="0043197F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4" w:history="1">
              <w:r w:rsidRPr="0043197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https://netl.doe.gov/si</w:t>
              </w:r>
              <w:r w:rsidRPr="0043197F">
                <w:rPr>
                  <w:rStyle w:val="Hyperlink"/>
                  <w:rFonts w:ascii="Arial" w:hAnsi="Arial" w:cs="Arial"/>
                  <w:sz w:val="24"/>
                  <w:szCs w:val="24"/>
                </w:rPr>
                <w:t>t</w:t>
              </w:r>
              <w:r w:rsidRPr="0043197F">
                <w:rPr>
                  <w:rStyle w:val="Hyperlink"/>
                  <w:rFonts w:ascii="Arial" w:hAnsi="Arial" w:cs="Arial"/>
                  <w:sz w:val="24"/>
                  <w:szCs w:val="24"/>
                </w:rPr>
                <w:t>es/default/files/2023-09/Budget-Justification-BIL%2040101d%20(14).xlsx</w:t>
              </w:r>
            </w:hyperlink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943C43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</w:t>
            </w:r>
            <w:r w:rsidR="00226F18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85C82" w14:textId="77777777" w:rsidR="00D0358E" w:rsidRDefault="00D0358E" w:rsidP="009A0B7F">
      <w:pPr>
        <w:spacing w:after="0" w:line="240" w:lineRule="auto"/>
      </w:pPr>
      <w:r>
        <w:separator/>
      </w:r>
    </w:p>
  </w:endnote>
  <w:endnote w:type="continuationSeparator" w:id="0">
    <w:p w14:paraId="03E4515B" w14:textId="77777777" w:rsidR="00D0358E" w:rsidRDefault="00D0358E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91353" w14:textId="77777777" w:rsidR="00D0358E" w:rsidRDefault="00D0358E" w:rsidP="009A0B7F">
      <w:pPr>
        <w:spacing w:after="0" w:line="240" w:lineRule="auto"/>
      </w:pPr>
      <w:r>
        <w:separator/>
      </w:r>
    </w:p>
  </w:footnote>
  <w:footnote w:type="continuationSeparator" w:id="0">
    <w:p w14:paraId="79597D65" w14:textId="77777777" w:rsidR="00D0358E" w:rsidRDefault="00D0358E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953E7"/>
    <w:multiLevelType w:val="hybridMultilevel"/>
    <w:tmpl w:val="408CC98C"/>
    <w:lvl w:ilvl="0" w:tplc="E22E8936">
      <w:start w:val="1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AF57B5"/>
    <w:multiLevelType w:val="hybridMultilevel"/>
    <w:tmpl w:val="22C8B8EC"/>
    <w:lvl w:ilvl="0" w:tplc="E22E893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879029">
    <w:abstractNumId w:val="0"/>
  </w:num>
  <w:num w:numId="2" w16cid:durableId="66191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70C54"/>
    <w:rsid w:val="00132246"/>
    <w:rsid w:val="00226F18"/>
    <w:rsid w:val="00252D45"/>
    <w:rsid w:val="00284492"/>
    <w:rsid w:val="003A0ED9"/>
    <w:rsid w:val="003C664A"/>
    <w:rsid w:val="0043197F"/>
    <w:rsid w:val="004955F2"/>
    <w:rsid w:val="004F30B3"/>
    <w:rsid w:val="00521F49"/>
    <w:rsid w:val="007351DF"/>
    <w:rsid w:val="0081650E"/>
    <w:rsid w:val="0088109F"/>
    <w:rsid w:val="008A3C2E"/>
    <w:rsid w:val="008C3A77"/>
    <w:rsid w:val="008D17F1"/>
    <w:rsid w:val="00990843"/>
    <w:rsid w:val="009A0B7F"/>
    <w:rsid w:val="00B02C35"/>
    <w:rsid w:val="00B25987"/>
    <w:rsid w:val="00B531C0"/>
    <w:rsid w:val="00C118CB"/>
    <w:rsid w:val="00C16C68"/>
    <w:rsid w:val="00CC0F43"/>
    <w:rsid w:val="00CC4AD5"/>
    <w:rsid w:val="00D0358E"/>
    <w:rsid w:val="00D60B3F"/>
    <w:rsid w:val="00D75239"/>
    <w:rsid w:val="00DA2A5D"/>
    <w:rsid w:val="00DE5EC6"/>
    <w:rsid w:val="00E1042E"/>
    <w:rsid w:val="00E25FC1"/>
    <w:rsid w:val="00EC4A98"/>
    <w:rsid w:val="00FC0BED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97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C4A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4AD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C4A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etl.doe.gov/sites/default/files/2023-09/Budget-Justification-BIL%2040101d%20(14)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608dcb361ebbf12a5a62e21bbf6ef2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a946e0bd979b610c241c3ce8db154ba0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  <ds:schemaRef ds:uri="fd444f0f-23ee-456f-a466-b998a3b365e4"/>
    <ds:schemaRef ds:uri="b38f7e8a-b47d-4ece-ab4c-3021a3a5e2e0"/>
    <ds:schemaRef ds:uri="41de8388-7aee-41a0-8fb6-a645ed4fca16"/>
    <ds:schemaRef ds:uri="c7067620-3c93-4237-9659-10f06bb47240"/>
  </ds:schemaRefs>
</ds:datastoreItem>
</file>

<file path=customXml/itemProps2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7D23D-920C-41B7-B697-82775C180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Kendall, Lindsey</cp:lastModifiedBy>
  <cp:revision>2</cp:revision>
  <dcterms:created xsi:type="dcterms:W3CDTF">2024-02-27T19:35:00Z</dcterms:created>
  <dcterms:modified xsi:type="dcterms:W3CDTF">2024-02-27T19:35:00Z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