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78FEA" w14:textId="33EF5E5E" w:rsidR="00E25FC1" w:rsidRPr="00C118CB" w:rsidRDefault="00E25FC1" w:rsidP="00E25FC1">
      <w:pPr>
        <w:keepNext/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2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C118CB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E46ED98" wp14:editId="7215B975">
            <wp:simplePos x="0" y="0"/>
            <wp:positionH relativeFrom="column">
              <wp:posOffset>44450</wp:posOffset>
            </wp:positionH>
            <wp:positionV relativeFrom="paragraph">
              <wp:posOffset>-232410</wp:posOffset>
            </wp:positionV>
            <wp:extent cx="622935" cy="622935"/>
            <wp:effectExtent l="0" t="0" r="5715" b="5715"/>
            <wp:wrapNone/>
            <wp:docPr id="4" name="Picture 4" descr="seal_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_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STATE OF MAINE REQUEST FOR </w:t>
      </w:r>
      <w:r w:rsidR="002040CE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APPLICATIONS</w:t>
      </w:r>
    </w:p>
    <w:p w14:paraId="1DE8F9B9" w14:textId="2DCBB5E2" w:rsidR="00E25FC1" w:rsidRPr="002040CE" w:rsidRDefault="00E25FC1" w:rsidP="00E25FC1">
      <w:pPr>
        <w:jc w:val="center"/>
        <w:rPr>
          <w:rFonts w:ascii="Arial" w:eastAsia="Times New Roman" w:hAnsi="Arial" w:cs="Arial"/>
          <w:b/>
          <w:snapToGrid w:val="0"/>
          <w:sz w:val="24"/>
          <w:szCs w:val="24"/>
          <w:u w:val="single"/>
        </w:rPr>
      </w:pP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>RF</w:t>
      </w:r>
      <w:r w:rsidR="002040CE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>A</w:t>
      </w: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 xml:space="preserve"> AMENDMENT</w:t>
      </w:r>
      <w:r w:rsidR="008A3C2E"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 xml:space="preserve"> #</w:t>
      </w:r>
      <w:r w:rsidR="002040CE">
        <w:rPr>
          <w:rFonts w:ascii="Arial" w:eastAsia="Times New Roman" w:hAnsi="Arial" w:cs="Arial"/>
          <w:b/>
          <w:snapToGrid w:val="0"/>
          <w:sz w:val="24"/>
          <w:szCs w:val="24"/>
          <w:u w:val="single"/>
        </w:rPr>
        <w:t>1</w:t>
      </w:r>
    </w:p>
    <w:tbl>
      <w:tblPr>
        <w:tblStyle w:val="TableGrid"/>
        <w:tblW w:w="10562" w:type="dxa"/>
        <w:tblInd w:w="-162" w:type="dxa"/>
        <w:tblLook w:val="04A0" w:firstRow="1" w:lastRow="0" w:firstColumn="1" w:lastColumn="0" w:noHBand="0" w:noVBand="1"/>
      </w:tblPr>
      <w:tblGrid>
        <w:gridCol w:w="3925"/>
        <w:gridCol w:w="6637"/>
      </w:tblGrid>
      <w:tr w:rsidR="00B02C35" w:rsidRPr="00C118CB" w14:paraId="5E0CB11F" w14:textId="77777777" w:rsidTr="00B64A7C">
        <w:tc>
          <w:tcPr>
            <w:tcW w:w="3925" w:type="dxa"/>
          </w:tcPr>
          <w:p w14:paraId="3DACD094" w14:textId="5CA08796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RF</w:t>
            </w:r>
            <w:r w:rsidR="002040CE">
              <w:rPr>
                <w:rFonts w:ascii="Arial" w:hAnsi="Arial" w:cs="Arial"/>
                <w:b/>
                <w:color w:val="000000"/>
                <w:sz w:val="24"/>
                <w:szCs w:val="24"/>
              </w:rPr>
              <w:t>A</w:t>
            </w: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NUMBER AND TITLE:</w:t>
            </w:r>
          </w:p>
        </w:tc>
        <w:tc>
          <w:tcPr>
            <w:tcW w:w="6637" w:type="dxa"/>
            <w:vAlign w:val="center"/>
          </w:tcPr>
          <w:p w14:paraId="29CAA445" w14:textId="7FDA1C4C" w:rsidR="00B02C35" w:rsidRPr="00C118CB" w:rsidRDefault="002040CE" w:rsidP="00B02C3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202003056 - </w:t>
            </w:r>
            <w:r w:rsidRPr="002040CE">
              <w:rPr>
                <w:rFonts w:ascii="Arial" w:hAnsi="Arial" w:cs="Arial"/>
                <w:sz w:val="24"/>
                <w:szCs w:val="24"/>
              </w:rPr>
              <w:t>Grants for Nonpoint Source Pollution Control Projects Watershed-Based Plan Implementation</w:t>
            </w:r>
          </w:p>
        </w:tc>
      </w:tr>
      <w:tr w:rsidR="00B531C0" w:rsidRPr="00C118CB" w14:paraId="3A667632" w14:textId="77777777" w:rsidTr="00B64A7C">
        <w:tc>
          <w:tcPr>
            <w:tcW w:w="3925" w:type="dxa"/>
          </w:tcPr>
          <w:p w14:paraId="47622DD5" w14:textId="42264C29" w:rsidR="00B531C0" w:rsidRPr="00C118CB" w:rsidRDefault="00B531C0" w:rsidP="00B531C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RF</w:t>
            </w:r>
            <w:r w:rsidR="002040CE">
              <w:rPr>
                <w:rFonts w:ascii="Arial" w:hAnsi="Arial" w:cs="Arial"/>
                <w:b/>
                <w:color w:val="000000"/>
                <w:sz w:val="24"/>
                <w:szCs w:val="24"/>
              </w:rPr>
              <w:t>A</w:t>
            </w: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ISSUED BY:</w:t>
            </w:r>
          </w:p>
        </w:tc>
        <w:tc>
          <w:tcPr>
            <w:tcW w:w="6637" w:type="dxa"/>
            <w:vAlign w:val="center"/>
          </w:tcPr>
          <w:p w14:paraId="1C852198" w14:textId="1A16452A" w:rsidR="00B531C0" w:rsidRPr="00C118CB" w:rsidRDefault="00D361C0" w:rsidP="00D361C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DEP - </w:t>
            </w:r>
            <w:r w:rsidR="002040CE" w:rsidRPr="002040CE">
              <w:rPr>
                <w:rFonts w:ascii="Arial" w:hAnsi="Arial" w:cs="Arial"/>
                <w:sz w:val="24"/>
                <w:szCs w:val="24"/>
              </w:rPr>
              <w:t>Bureau of Water Quality</w:t>
            </w:r>
          </w:p>
        </w:tc>
      </w:tr>
      <w:tr w:rsidR="00B02C35" w:rsidRPr="00C118CB" w14:paraId="6AC79E99" w14:textId="77777777" w:rsidTr="00B64A7C">
        <w:tc>
          <w:tcPr>
            <w:tcW w:w="3925" w:type="dxa"/>
          </w:tcPr>
          <w:p w14:paraId="27F3EC19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AMENDMENT DATE:</w:t>
            </w:r>
          </w:p>
        </w:tc>
        <w:tc>
          <w:tcPr>
            <w:tcW w:w="6637" w:type="dxa"/>
          </w:tcPr>
          <w:p w14:paraId="53B53BE5" w14:textId="6997AC74" w:rsidR="00B02C35" w:rsidRPr="002040CE" w:rsidRDefault="002040CE" w:rsidP="00B02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 2</w:t>
            </w:r>
            <w:r w:rsidR="007F7D35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, 202</w:t>
            </w:r>
            <w:r w:rsidR="007F7D3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02C35" w:rsidRPr="00C118CB" w14:paraId="073513B1" w14:textId="77777777" w:rsidTr="00B64A7C">
        <w:tc>
          <w:tcPr>
            <w:tcW w:w="3925" w:type="dxa"/>
          </w:tcPr>
          <w:p w14:paraId="23DC02A1" w14:textId="0CEA13AB" w:rsidR="00B02C35" w:rsidRPr="00C118CB" w:rsidRDefault="002040CE" w:rsidP="00B02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APPLICATION</w:t>
            </w:r>
            <w:r w:rsidR="00B02C35"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DUE DATE:</w:t>
            </w:r>
          </w:p>
        </w:tc>
        <w:tc>
          <w:tcPr>
            <w:tcW w:w="6637" w:type="dxa"/>
          </w:tcPr>
          <w:p w14:paraId="4A5DAFFB" w14:textId="2017922A" w:rsidR="00B02C35" w:rsidRPr="002040CE" w:rsidRDefault="002040CE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40CE">
              <w:rPr>
                <w:rFonts w:ascii="Arial" w:hAnsi="Arial" w:cs="Arial"/>
                <w:sz w:val="24"/>
                <w:szCs w:val="24"/>
              </w:rPr>
              <w:t>3rd Friday in May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7D35" w:rsidRPr="007F7D35">
              <w:rPr>
                <w:rFonts w:ascii="Arial" w:hAnsi="Arial" w:cs="Arial"/>
                <w:bCs/>
                <w:sz w:val="24"/>
                <w:szCs w:val="24"/>
              </w:rPr>
              <w:t>(May 21, 2021)</w:t>
            </w:r>
          </w:p>
        </w:tc>
      </w:tr>
      <w:tr w:rsidR="00B02C35" w:rsidRPr="00C118CB" w14:paraId="0B7EB2CF" w14:textId="77777777" w:rsidTr="00B64A7C">
        <w:tc>
          <w:tcPr>
            <w:tcW w:w="3925" w:type="dxa"/>
          </w:tcPr>
          <w:p w14:paraId="04766E33" w14:textId="336A3DDE" w:rsidR="00B02C35" w:rsidRPr="00C118CB" w:rsidRDefault="00D361C0" w:rsidP="00B02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APPLICATION</w:t>
            </w:r>
            <w:r w:rsidR="00B02C35"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DUE TO:</w:t>
            </w:r>
          </w:p>
        </w:tc>
        <w:tc>
          <w:tcPr>
            <w:tcW w:w="6637" w:type="dxa"/>
            <w:vAlign w:val="center"/>
          </w:tcPr>
          <w:p w14:paraId="33C0EE32" w14:textId="565940C8" w:rsidR="00B02C35" w:rsidRPr="00C118CB" w:rsidRDefault="00D3011A" w:rsidP="00B02C35">
            <w:pPr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B531C0" w:rsidRPr="00B51518">
                <w:rPr>
                  <w:rStyle w:val="Hyperlink"/>
                  <w:rFonts w:ascii="Arial" w:hAnsi="Arial" w:cs="Arial"/>
                  <w:sz w:val="24"/>
                  <w:szCs w:val="24"/>
                </w:rPr>
                <w:t>Proposals@maine.gov</w:t>
              </w:r>
            </w:hyperlink>
          </w:p>
        </w:tc>
      </w:tr>
      <w:tr w:rsidR="00B02C35" w:rsidRPr="00C118CB" w14:paraId="57843C41" w14:textId="77777777" w:rsidTr="00B64A7C">
        <w:tc>
          <w:tcPr>
            <w:tcW w:w="10562" w:type="dxa"/>
            <w:gridSpan w:val="2"/>
          </w:tcPr>
          <w:p w14:paraId="169E5CFC" w14:textId="77777777" w:rsidR="00B02C35" w:rsidRPr="00B64A7C" w:rsidRDefault="00B02C35" w:rsidP="00B02C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461E259" w14:textId="50246BB2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sz w:val="24"/>
                <w:szCs w:val="24"/>
              </w:rPr>
              <w:t>DESCRIPTION OF CHANGES IN RF</w:t>
            </w:r>
            <w:r w:rsidR="007F7D35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C118C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7A4B8191" w14:textId="77777777" w:rsidR="00B02C35" w:rsidRPr="00B64A7C" w:rsidRDefault="00B02C35" w:rsidP="00B02C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3951C741" w14:textId="51C70328" w:rsidR="003A3013" w:rsidRDefault="003A3013" w:rsidP="003A30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RFA C</w:t>
            </w:r>
            <w:r w:rsidR="003D6B18">
              <w:rPr>
                <w:rFonts w:ascii="Arial" w:hAnsi="Arial" w:cs="Arial"/>
                <w:b/>
                <w:bCs/>
                <w:sz w:val="24"/>
                <w:szCs w:val="24"/>
              </w:rPr>
              <w:t>over Page</w:t>
            </w:r>
          </w:p>
          <w:p w14:paraId="7D05F01D" w14:textId="7CD4017C" w:rsidR="00B02C35" w:rsidRDefault="003A3013" w:rsidP="003A301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Provided adjusted d</w:t>
            </w:r>
            <w:r w:rsidR="007F7D35" w:rsidRPr="003A3013">
              <w:rPr>
                <w:rFonts w:ascii="Arial" w:hAnsi="Arial" w:cs="Arial"/>
                <w:sz w:val="24"/>
                <w:szCs w:val="24"/>
              </w:rPr>
              <w:t xml:space="preserve">ates associated with </w:t>
            </w:r>
            <w:r w:rsidRPr="003A3013">
              <w:rPr>
                <w:rFonts w:ascii="Arial" w:hAnsi="Arial" w:cs="Arial"/>
                <w:sz w:val="24"/>
                <w:szCs w:val="24"/>
              </w:rPr>
              <w:t>annual</w:t>
            </w:r>
            <w:r w:rsidR="007F7D35" w:rsidRPr="003A3013">
              <w:rPr>
                <w:rFonts w:ascii="Arial" w:hAnsi="Arial" w:cs="Arial"/>
                <w:sz w:val="24"/>
                <w:szCs w:val="24"/>
              </w:rPr>
              <w:t xml:space="preserve"> application release, submitted questions deadline, and application submittal deadline</w:t>
            </w:r>
            <w:r>
              <w:rPr>
                <w:rFonts w:ascii="Arial" w:hAnsi="Arial" w:cs="Arial"/>
                <w:sz w:val="24"/>
                <w:szCs w:val="24"/>
              </w:rPr>
              <w:t xml:space="preserve">. (Corrected dates highlighted </w:t>
            </w:r>
            <w:r w:rsidR="007F7D35" w:rsidRPr="003A3013">
              <w:rPr>
                <w:rFonts w:ascii="Arial" w:hAnsi="Arial" w:cs="Arial"/>
                <w:sz w:val="24"/>
                <w:szCs w:val="24"/>
              </w:rPr>
              <w:t>below.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7F7D35" w:rsidRPr="003A301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A37979E" w14:textId="77777777" w:rsidR="003A3013" w:rsidRDefault="003A3013" w:rsidP="003A30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87286FD" w14:textId="4E5C9F60" w:rsidR="00761D7A" w:rsidRDefault="003A3013" w:rsidP="003A30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="003D6B18">
              <w:rPr>
                <w:rFonts w:ascii="Arial" w:hAnsi="Arial" w:cs="Arial"/>
                <w:b/>
                <w:bCs/>
                <w:sz w:val="24"/>
                <w:szCs w:val="24"/>
              </w:rPr>
              <w:t>art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I. I</w:t>
            </w:r>
            <w:r w:rsidR="003D6B18">
              <w:rPr>
                <w:rFonts w:ascii="Arial" w:hAnsi="Arial" w:cs="Arial"/>
                <w:b/>
                <w:bCs/>
                <w:sz w:val="24"/>
                <w:szCs w:val="24"/>
              </w:rPr>
              <w:t>ntroduction</w:t>
            </w:r>
            <w:r w:rsidR="00761D7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632FAAEE" w14:textId="25910B7D" w:rsidR="003A3013" w:rsidRDefault="003A3013" w:rsidP="003A30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Section E. Grant Funds Available and Number of Awards</w:t>
            </w:r>
          </w:p>
          <w:p w14:paraId="36BD61B9" w14:textId="363B069A" w:rsidR="003A3013" w:rsidRPr="00761D7A" w:rsidRDefault="00375C33" w:rsidP="003A301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Adjusted</w:t>
            </w:r>
            <w:r w:rsidR="003A3013">
              <w:rPr>
                <w:rFonts w:ascii="Arial" w:hAnsi="Arial" w:cs="Arial"/>
                <w:sz w:val="24"/>
                <w:szCs w:val="24"/>
              </w:rPr>
              <w:t xml:space="preserve"> estimated </w:t>
            </w:r>
            <w:r>
              <w:rPr>
                <w:rFonts w:ascii="Arial" w:hAnsi="Arial" w:cs="Arial"/>
                <w:sz w:val="24"/>
                <w:szCs w:val="24"/>
              </w:rPr>
              <w:t xml:space="preserve">total </w:t>
            </w:r>
            <w:r w:rsidR="003A3013">
              <w:rPr>
                <w:rFonts w:ascii="Arial" w:hAnsi="Arial" w:cs="Arial"/>
                <w:sz w:val="24"/>
                <w:szCs w:val="24"/>
              </w:rPr>
              <w:t xml:space="preserve">funding </w:t>
            </w:r>
            <w:r>
              <w:rPr>
                <w:rFonts w:ascii="Arial" w:hAnsi="Arial" w:cs="Arial"/>
                <w:sz w:val="24"/>
                <w:szCs w:val="24"/>
              </w:rPr>
              <w:t xml:space="preserve">and amounts available for restoration and protection projects </w:t>
            </w:r>
            <w:r w:rsidR="003A3013">
              <w:rPr>
                <w:rFonts w:ascii="Arial" w:hAnsi="Arial" w:cs="Arial"/>
                <w:sz w:val="24"/>
                <w:szCs w:val="24"/>
              </w:rPr>
              <w:t>through Section 319 of the Federal Clean Water Act. (Change</w:t>
            </w:r>
            <w:r w:rsidR="00761D7A">
              <w:rPr>
                <w:rFonts w:ascii="Arial" w:hAnsi="Arial" w:cs="Arial"/>
                <w:sz w:val="24"/>
                <w:szCs w:val="24"/>
              </w:rPr>
              <w:t>s</w:t>
            </w:r>
            <w:r w:rsidR="003A3013">
              <w:rPr>
                <w:rFonts w:ascii="Arial" w:hAnsi="Arial" w:cs="Arial"/>
                <w:sz w:val="24"/>
                <w:szCs w:val="24"/>
              </w:rPr>
              <w:t xml:space="preserve"> highlighted below.)</w:t>
            </w:r>
          </w:p>
          <w:p w14:paraId="11790E9A" w14:textId="47AF43E5" w:rsidR="00761D7A" w:rsidRDefault="00761D7A" w:rsidP="00761D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3101C53" w14:textId="0858840A" w:rsidR="00761D7A" w:rsidRDefault="00761D7A" w:rsidP="00761D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5C2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="003D6B18">
              <w:rPr>
                <w:rFonts w:ascii="Arial" w:hAnsi="Arial" w:cs="Arial"/>
                <w:b/>
                <w:bCs/>
                <w:sz w:val="24"/>
                <w:szCs w:val="24"/>
              </w:rPr>
              <w:t>art</w:t>
            </w:r>
            <w:r w:rsidRPr="00E905C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II. 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cope of Services to be Provided</w:t>
            </w:r>
          </w:p>
          <w:p w14:paraId="4CA5B4A3" w14:textId="1F4D08EA" w:rsidR="000B1524" w:rsidRDefault="000B1524" w:rsidP="00761D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Section C. Eligible and Ineligible Activities</w:t>
            </w:r>
          </w:p>
          <w:p w14:paraId="695BB2DA" w14:textId="52ED4D2A" w:rsidR="000B1524" w:rsidRPr="000B1524" w:rsidRDefault="000B1524" w:rsidP="000B152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Included guidance about use of riprap for shoreline stabilization. (New text highlighted below.)</w:t>
            </w:r>
          </w:p>
          <w:p w14:paraId="7FBE8B88" w14:textId="77777777" w:rsidR="000B1524" w:rsidRPr="000B1524" w:rsidRDefault="000B1524" w:rsidP="000B15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CC70CC" w14:textId="1E30AE91" w:rsidR="00761D7A" w:rsidRPr="00761D7A" w:rsidRDefault="00761D7A" w:rsidP="00761D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5C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Section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G</w:t>
            </w:r>
            <w:r w:rsidRPr="00E905C2">
              <w:rPr>
                <w:rFonts w:ascii="Arial" w:hAnsi="Arial" w:cs="Arial"/>
                <w:b/>
                <w:bCs/>
                <w:sz w:val="24"/>
                <w:szCs w:val="24"/>
              </w:rPr>
              <w:t>. Environmental Data Quality Assurance</w:t>
            </w:r>
          </w:p>
          <w:p w14:paraId="238BA510" w14:textId="66C604A2" w:rsidR="000B1524" w:rsidRPr="000B1524" w:rsidRDefault="00761D7A" w:rsidP="000B152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Provided m</w:t>
            </w:r>
            <w:r w:rsidRPr="00E905C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ore detailed instructions about the 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project </w:t>
            </w:r>
            <w:r w:rsidRPr="00E905C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requirements related to 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collection and use of environmental data, specifically </w:t>
            </w:r>
            <w:r w:rsidRPr="00E905C2">
              <w:rPr>
                <w:rFonts w:ascii="Arial" w:hAnsi="Arial" w:cs="Arial"/>
                <w:bCs/>
                <w:iCs/>
                <w:sz w:val="24"/>
                <w:szCs w:val="24"/>
              </w:rPr>
              <w:t>QAPPs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and </w:t>
            </w:r>
            <w:r w:rsidRPr="00E905C2">
              <w:rPr>
                <w:rFonts w:ascii="Arial" w:hAnsi="Arial" w:cs="Arial"/>
                <w:bCs/>
                <w:iCs/>
                <w:sz w:val="24"/>
                <w:szCs w:val="24"/>
              </w:rPr>
              <w:t>SAPs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. (New language highlighted below.</w:t>
            </w:r>
            <w:r w:rsidR="000F7FA6">
              <w:rPr>
                <w:rFonts w:ascii="Arial" w:hAnsi="Arial" w:cs="Arial"/>
                <w:bCs/>
                <w:iCs/>
                <w:sz w:val="24"/>
                <w:szCs w:val="24"/>
              </w:rPr>
              <w:t>)</w:t>
            </w:r>
          </w:p>
          <w:p w14:paraId="72502EB5" w14:textId="77777777" w:rsidR="00761D7A" w:rsidRDefault="00761D7A" w:rsidP="003A301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7F3687" w14:textId="5556BEDA" w:rsidR="00761D7A" w:rsidRPr="006C5864" w:rsidRDefault="00761D7A" w:rsidP="00761D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5864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="003D6B18">
              <w:rPr>
                <w:rFonts w:ascii="Arial" w:hAnsi="Arial" w:cs="Arial"/>
                <w:b/>
                <w:bCs/>
                <w:sz w:val="24"/>
                <w:szCs w:val="24"/>
              </w:rPr>
              <w:t>art</w:t>
            </w:r>
            <w:r w:rsidRPr="006C586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V. Scope of Services to be Provided</w:t>
            </w:r>
          </w:p>
          <w:p w14:paraId="6F5B9E46" w14:textId="3BE956A0" w:rsidR="00761D7A" w:rsidRDefault="00761D7A" w:rsidP="00761D7A">
            <w:pPr>
              <w:rPr>
                <w:rFonts w:ascii="Arial" w:hAnsi="Arial" w:cs="Arial"/>
                <w:sz w:val="24"/>
                <w:szCs w:val="24"/>
              </w:rPr>
            </w:pPr>
            <w:r w:rsidRPr="006C5864">
              <w:rPr>
                <w:rFonts w:ascii="Arial" w:hAnsi="Arial" w:cs="Arial"/>
                <w:b/>
                <w:bCs/>
                <w:sz w:val="24"/>
                <w:szCs w:val="24"/>
              </w:rPr>
              <w:t>Section B. Scoring Weights and Process</w:t>
            </w:r>
          </w:p>
          <w:p w14:paraId="1CBB464A" w14:textId="41575F3C" w:rsidR="003A3013" w:rsidRPr="00B64A7C" w:rsidRDefault="00761D7A" w:rsidP="003A301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B64A7C">
              <w:rPr>
                <w:rFonts w:ascii="Arial" w:hAnsi="Arial" w:cs="Arial"/>
                <w:sz w:val="24"/>
                <w:szCs w:val="24"/>
              </w:rPr>
              <w:t>Added additional consideration</w:t>
            </w:r>
            <w:r w:rsidR="00491483">
              <w:rPr>
                <w:rFonts w:ascii="Arial" w:hAnsi="Arial" w:cs="Arial"/>
                <w:sz w:val="24"/>
                <w:szCs w:val="24"/>
              </w:rPr>
              <w:t>s</w:t>
            </w:r>
            <w:r w:rsidRPr="00B64A7C">
              <w:rPr>
                <w:rFonts w:ascii="Arial" w:hAnsi="Arial" w:cs="Arial"/>
                <w:sz w:val="24"/>
                <w:szCs w:val="24"/>
              </w:rPr>
              <w:t xml:space="preserve"> to the Feasibility for Success criteria. </w:t>
            </w:r>
            <w:r w:rsidRPr="00B64A7C">
              <w:rPr>
                <w:rFonts w:ascii="Arial" w:hAnsi="Arial" w:cs="Arial"/>
                <w:bCs/>
                <w:iCs/>
                <w:sz w:val="24"/>
                <w:szCs w:val="24"/>
              </w:rPr>
              <w:t>(Changes highlighted below.)</w:t>
            </w:r>
          </w:p>
        </w:tc>
      </w:tr>
      <w:tr w:rsidR="00B02C35" w:rsidRPr="00C118CB" w14:paraId="4DBD4680" w14:textId="77777777" w:rsidTr="00B64A7C">
        <w:tc>
          <w:tcPr>
            <w:tcW w:w="10562" w:type="dxa"/>
            <w:gridSpan w:val="2"/>
          </w:tcPr>
          <w:p w14:paraId="07086C5F" w14:textId="77777777" w:rsidR="00B02C35" w:rsidRPr="00B64A7C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9323B6C" w14:textId="12E17514" w:rsidR="00B02C35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sz w:val="24"/>
                <w:szCs w:val="24"/>
              </w:rPr>
              <w:t>REVISED LANGUAGE IN RF</w:t>
            </w:r>
            <w:r w:rsidR="007F7D35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C118C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6E5534A3" w14:textId="4377307C" w:rsidR="00761D7A" w:rsidRPr="00B64A7C" w:rsidRDefault="00761D7A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pPr w:leftFromText="180" w:rightFromText="180" w:vertAnchor="text" w:horzAnchor="margin" w:tblpY="447"/>
              <w:tblOverlap w:val="never"/>
              <w:tblW w:w="1031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5"/>
              <w:gridCol w:w="8531"/>
            </w:tblGrid>
            <w:tr w:rsidR="00B64A7C" w14:paraId="480A6D67" w14:textId="77777777" w:rsidTr="00B64A7C">
              <w:trPr>
                <w:trHeight w:val="693"/>
              </w:trPr>
              <w:tc>
                <w:tcPr>
                  <w:tcW w:w="178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6D9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C8DE668" w14:textId="77777777" w:rsidR="00B64A7C" w:rsidRPr="00B64A7C" w:rsidRDefault="00B64A7C" w:rsidP="00B64A7C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B64A7C">
                    <w:rPr>
                      <w:rFonts w:ascii="Arial" w:hAnsi="Arial" w:cs="Arial"/>
                      <w:b/>
                      <w:bCs/>
                    </w:rPr>
                    <w:t>RFA Release Dates</w:t>
                  </w:r>
                </w:p>
              </w:tc>
              <w:tc>
                <w:tcPr>
                  <w:tcW w:w="8531" w:type="dxa"/>
                  <w:tcBorders>
                    <w:top w:val="double" w:sz="4" w:space="0" w:color="auto"/>
                    <w:left w:val="nil"/>
                    <w:bottom w:val="double" w:sz="4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ACD10CE" w14:textId="561B6C81" w:rsidR="00B64A7C" w:rsidRPr="00B64A7C" w:rsidRDefault="00B64A7C" w:rsidP="00B64A7C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B64A7C">
                    <w:rPr>
                      <w:rFonts w:ascii="Arial" w:hAnsi="Arial" w:cs="Arial"/>
                      <w:i/>
                      <w:iCs/>
                    </w:rPr>
                    <w:t xml:space="preserve">Each year, a new grant application will be available at </w:t>
                  </w:r>
                  <w:hyperlink r:id="rId9" w:history="1">
                    <w:r w:rsidRPr="00B64A7C">
                      <w:rPr>
                        <w:rStyle w:val="Hyperlink"/>
                        <w:rFonts w:ascii="Arial" w:hAnsi="Arial" w:cs="Arial"/>
                        <w:i/>
                        <w:iCs/>
                      </w:rPr>
                      <w:t>https://www.maine.gov/dafs/bbm/procurementservices/vendors/grants</w:t>
                    </w:r>
                  </w:hyperlink>
                  <w:r w:rsidRPr="00B64A7C">
                    <w:rPr>
                      <w:rFonts w:ascii="Arial" w:hAnsi="Arial" w:cs="Arial"/>
                      <w:i/>
                      <w:iCs/>
                    </w:rPr>
                    <w:t xml:space="preserve">.The official release date will be the </w:t>
                  </w:r>
                  <w:r w:rsidRPr="00B64A7C">
                    <w:rPr>
                      <w:rFonts w:ascii="Arial" w:hAnsi="Arial" w:cs="Arial"/>
                      <w:b/>
                      <w:bCs/>
                      <w:i/>
                      <w:iCs/>
                      <w:highlight w:val="yellow"/>
                      <w:u w:val="single"/>
                    </w:rPr>
                    <w:t>4</w:t>
                  </w:r>
                  <w:r w:rsidRPr="00B64A7C">
                    <w:rPr>
                      <w:rFonts w:ascii="Arial" w:hAnsi="Arial" w:cs="Arial"/>
                      <w:b/>
                      <w:bCs/>
                      <w:i/>
                      <w:iCs/>
                      <w:highlight w:val="yellow"/>
                      <w:u w:val="single"/>
                      <w:vertAlign w:val="superscript"/>
                    </w:rPr>
                    <w:t>th</w:t>
                  </w:r>
                  <w:r w:rsidRPr="00B64A7C">
                    <w:rPr>
                      <w:rFonts w:ascii="Arial" w:hAnsi="Arial" w:cs="Arial"/>
                      <w:b/>
                      <w:bCs/>
                      <w:i/>
                      <w:iCs/>
                      <w:highlight w:val="yellow"/>
                      <w:u w:val="single"/>
                    </w:rPr>
                    <w:t xml:space="preserve"> Friday in Mar</w:t>
                  </w:r>
                  <w:r w:rsidRPr="003D6B18">
                    <w:rPr>
                      <w:rFonts w:ascii="Arial" w:hAnsi="Arial" w:cs="Arial"/>
                      <w:b/>
                      <w:bCs/>
                      <w:i/>
                      <w:iCs/>
                      <w:highlight w:val="yellow"/>
                      <w:u w:val="single"/>
                    </w:rPr>
                    <w:t>ch</w:t>
                  </w:r>
                  <w:r w:rsidR="003D6B18" w:rsidRPr="003D6B18">
                    <w:rPr>
                      <w:rFonts w:ascii="Arial" w:hAnsi="Arial" w:cs="Arial"/>
                      <w:b/>
                      <w:bCs/>
                      <w:i/>
                      <w:iCs/>
                      <w:highlight w:val="yellow"/>
                      <w:u w:val="single"/>
                    </w:rPr>
                    <w:t xml:space="preserve"> (March</w:t>
                  </w:r>
                  <w:r w:rsidR="003D6B18">
                    <w:rPr>
                      <w:rFonts w:ascii="Arial" w:hAnsi="Arial" w:cs="Arial"/>
                      <w:b/>
                      <w:bCs/>
                      <w:i/>
                      <w:iCs/>
                      <w:highlight w:val="yellow"/>
                      <w:u w:val="single"/>
                    </w:rPr>
                    <w:t xml:space="preserve"> </w:t>
                  </w:r>
                  <w:r w:rsidR="003D6B18" w:rsidRPr="003D6B18">
                    <w:rPr>
                      <w:rFonts w:ascii="Arial" w:hAnsi="Arial" w:cs="Arial"/>
                      <w:b/>
                      <w:bCs/>
                      <w:i/>
                      <w:iCs/>
                      <w:highlight w:val="yellow"/>
                      <w:u w:val="single"/>
                    </w:rPr>
                    <w:t>26, 2021)</w:t>
                  </w:r>
                  <w:r w:rsidRPr="00B64A7C">
                    <w:rPr>
                      <w:rFonts w:ascii="Arial" w:hAnsi="Arial" w:cs="Arial"/>
                    </w:rPr>
                    <w:t>.</w:t>
                  </w:r>
                </w:p>
              </w:tc>
            </w:tr>
            <w:tr w:rsidR="00B64A7C" w14:paraId="0B3E052D" w14:textId="77777777" w:rsidTr="003D6B18">
              <w:trPr>
                <w:trHeight w:val="882"/>
              </w:trPr>
              <w:tc>
                <w:tcPr>
                  <w:tcW w:w="1785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6D9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313D598" w14:textId="77777777" w:rsidR="00B64A7C" w:rsidRPr="00B64A7C" w:rsidRDefault="00B64A7C" w:rsidP="00B64A7C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B64A7C">
                    <w:rPr>
                      <w:rFonts w:ascii="Arial" w:hAnsi="Arial" w:cs="Arial"/>
                      <w:b/>
                      <w:bCs/>
                    </w:rPr>
                    <w:t>Submitted Questions Due</w:t>
                  </w:r>
                </w:p>
              </w:tc>
              <w:tc>
                <w:tcPr>
                  <w:tcW w:w="853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AF60581" w14:textId="68E8D3C1" w:rsidR="00B64A7C" w:rsidRPr="00B64A7C" w:rsidRDefault="00B64A7C" w:rsidP="00B64A7C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B64A7C">
                    <w:rPr>
                      <w:rFonts w:ascii="Arial" w:hAnsi="Arial" w:cs="Arial"/>
                      <w:i/>
                      <w:iCs/>
                    </w:rPr>
                    <w:t xml:space="preserve">All questions </w:t>
                  </w:r>
                  <w:r w:rsidRPr="00B64A7C">
                    <w:rPr>
                      <w:rFonts w:ascii="Arial" w:hAnsi="Arial" w:cs="Arial"/>
                      <w:i/>
                      <w:iCs/>
                      <w:u w:val="single"/>
                    </w:rPr>
                    <w:t>must</w:t>
                  </w:r>
                  <w:r w:rsidRPr="00B64A7C">
                    <w:rPr>
                      <w:rFonts w:ascii="Arial" w:hAnsi="Arial" w:cs="Arial"/>
                      <w:i/>
                      <w:iCs/>
                    </w:rPr>
                    <w:t xml:space="preserve"> be submitted to the email address identified above. Please include </w:t>
                  </w:r>
                  <w:r w:rsidRPr="00B64A7C">
                    <w:rPr>
                      <w:rFonts w:ascii="Arial" w:hAnsi="Arial" w:cs="Arial"/>
                      <w:b/>
                      <w:bCs/>
                    </w:rPr>
                    <w:t xml:space="preserve">“RFA# </w:t>
                  </w:r>
                  <w:r w:rsidRPr="00B64A7C">
                    <w:rPr>
                      <w:rStyle w:val="InitialStyle"/>
                      <w:rFonts w:ascii="Arial" w:hAnsi="Arial" w:cs="Arial"/>
                      <w:b/>
                      <w:bCs/>
                    </w:rPr>
                    <w:t xml:space="preserve">202003056” </w:t>
                  </w:r>
                  <w:r w:rsidRPr="00B64A7C">
                    <w:rPr>
                      <w:rStyle w:val="InitialStyle"/>
                      <w:rFonts w:ascii="Arial" w:hAnsi="Arial" w:cs="Arial"/>
                      <w:i/>
                      <w:iCs/>
                    </w:rPr>
                    <w:t>in the subject line of your email. Each year, s</w:t>
                  </w:r>
                  <w:r w:rsidRPr="00B64A7C">
                    <w:rPr>
                      <w:rFonts w:ascii="Arial" w:hAnsi="Arial" w:cs="Arial"/>
                      <w:i/>
                      <w:iCs/>
                    </w:rPr>
                    <w:t xml:space="preserve">ubmitted questions are due by </w:t>
                  </w:r>
                  <w:r w:rsidRPr="00B64A7C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 xml:space="preserve">11:59 p.m. on the </w:t>
                  </w:r>
                  <w:r w:rsidRPr="00B64A7C">
                    <w:rPr>
                      <w:rFonts w:ascii="Arial" w:hAnsi="Arial" w:cs="Arial"/>
                      <w:b/>
                      <w:bCs/>
                      <w:i/>
                      <w:iCs/>
                      <w:highlight w:val="yellow"/>
                      <w:u w:val="single"/>
                    </w:rPr>
                    <w:t>1</w:t>
                  </w:r>
                  <w:r w:rsidRPr="00B64A7C">
                    <w:rPr>
                      <w:rFonts w:ascii="Arial" w:hAnsi="Arial" w:cs="Arial"/>
                      <w:b/>
                      <w:bCs/>
                      <w:i/>
                      <w:iCs/>
                      <w:highlight w:val="yellow"/>
                      <w:u w:val="single"/>
                      <w:vertAlign w:val="superscript"/>
                    </w:rPr>
                    <w:t>st</w:t>
                  </w:r>
                  <w:r w:rsidRPr="00B64A7C">
                    <w:rPr>
                      <w:rFonts w:ascii="Arial" w:hAnsi="Arial" w:cs="Arial"/>
                      <w:b/>
                      <w:bCs/>
                      <w:i/>
                      <w:iCs/>
                      <w:highlight w:val="yellow"/>
                      <w:u w:val="single"/>
                    </w:rPr>
                    <w:t xml:space="preserve"> Monday in Ma</w:t>
                  </w:r>
                  <w:r w:rsidRPr="003D6B18">
                    <w:rPr>
                      <w:rFonts w:ascii="Arial" w:hAnsi="Arial" w:cs="Arial"/>
                      <w:b/>
                      <w:bCs/>
                      <w:i/>
                      <w:iCs/>
                      <w:highlight w:val="yellow"/>
                      <w:u w:val="single"/>
                    </w:rPr>
                    <w:t>y</w:t>
                  </w:r>
                  <w:r w:rsidR="003D6B18" w:rsidRPr="003D6B18">
                    <w:rPr>
                      <w:rFonts w:ascii="Arial" w:hAnsi="Arial" w:cs="Arial"/>
                      <w:b/>
                      <w:bCs/>
                      <w:i/>
                      <w:iCs/>
                      <w:highlight w:val="yellow"/>
                      <w:u w:val="single"/>
                    </w:rPr>
                    <w:t xml:space="preserve"> (May 3, 2021)</w:t>
                  </w:r>
                  <w:r w:rsidRPr="00B64A7C">
                    <w:rPr>
                      <w:rFonts w:ascii="Arial" w:hAnsi="Arial" w:cs="Arial"/>
                      <w:b/>
                      <w:bCs/>
                      <w:i/>
                      <w:iCs/>
                      <w:u w:val="single"/>
                    </w:rPr>
                    <w:t>.</w:t>
                  </w:r>
                  <w:r w:rsidRPr="00B64A7C">
                    <w:rPr>
                      <w:rFonts w:ascii="Arial" w:hAnsi="Arial" w:cs="Arial"/>
                      <w:i/>
                      <w:iCs/>
                    </w:rPr>
                    <w:t xml:space="preserve"> </w:t>
                  </w:r>
                </w:p>
              </w:tc>
            </w:tr>
            <w:tr w:rsidR="00B64A7C" w14:paraId="2046B8EC" w14:textId="77777777" w:rsidTr="003D6B18">
              <w:trPr>
                <w:trHeight w:val="792"/>
              </w:trPr>
              <w:tc>
                <w:tcPr>
                  <w:tcW w:w="178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6D9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559449F" w14:textId="77777777" w:rsidR="00B64A7C" w:rsidRPr="00B64A7C" w:rsidRDefault="00B64A7C" w:rsidP="00B64A7C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B64A7C">
                    <w:rPr>
                      <w:rFonts w:ascii="Arial" w:hAnsi="Arial" w:cs="Arial"/>
                      <w:b/>
                      <w:bCs/>
                    </w:rPr>
                    <w:t>Annual Application Submittals</w:t>
                  </w:r>
                </w:p>
              </w:tc>
              <w:tc>
                <w:tcPr>
                  <w:tcW w:w="8531" w:type="dxa"/>
                  <w:tcBorders>
                    <w:top w:val="double" w:sz="4" w:space="0" w:color="auto"/>
                    <w:left w:val="nil"/>
                    <w:bottom w:val="double" w:sz="4" w:space="0" w:color="auto"/>
                    <w:right w:val="doub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CAA6739" w14:textId="0FF7CF45" w:rsidR="00B64A7C" w:rsidRPr="00B64A7C" w:rsidRDefault="00B64A7C" w:rsidP="00B64A7C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u w:val="single"/>
                    </w:rPr>
                  </w:pPr>
                  <w:r w:rsidRPr="00B64A7C">
                    <w:rPr>
                      <w:rFonts w:ascii="Arial" w:hAnsi="Arial" w:cs="Arial"/>
                      <w:i/>
                      <w:iCs/>
                    </w:rPr>
                    <w:t xml:space="preserve">Application evaluations will be held on an annual basis. Application submission deadlines will be </w:t>
                  </w:r>
                  <w:r w:rsidRPr="00B64A7C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 xml:space="preserve">11:59 p.m. on the </w:t>
                  </w:r>
                  <w:r w:rsidRPr="00B64A7C">
                    <w:rPr>
                      <w:rFonts w:ascii="Arial" w:hAnsi="Arial" w:cs="Arial"/>
                      <w:b/>
                      <w:bCs/>
                      <w:i/>
                      <w:iCs/>
                      <w:highlight w:val="yellow"/>
                      <w:u w:val="single"/>
                    </w:rPr>
                    <w:t>3</w:t>
                  </w:r>
                  <w:r w:rsidRPr="00B64A7C">
                    <w:rPr>
                      <w:rFonts w:ascii="Arial" w:hAnsi="Arial" w:cs="Arial"/>
                      <w:b/>
                      <w:bCs/>
                      <w:i/>
                      <w:iCs/>
                      <w:highlight w:val="yellow"/>
                      <w:u w:val="single"/>
                      <w:vertAlign w:val="superscript"/>
                    </w:rPr>
                    <w:t>rd</w:t>
                  </w:r>
                  <w:r w:rsidRPr="00B64A7C">
                    <w:rPr>
                      <w:rFonts w:ascii="Arial" w:hAnsi="Arial" w:cs="Arial"/>
                      <w:b/>
                      <w:bCs/>
                      <w:i/>
                      <w:iCs/>
                      <w:highlight w:val="yellow"/>
                      <w:u w:val="single"/>
                    </w:rPr>
                    <w:t xml:space="preserve"> Friday in Ma</w:t>
                  </w:r>
                  <w:r w:rsidRPr="003D6B18">
                    <w:rPr>
                      <w:rFonts w:ascii="Arial" w:hAnsi="Arial" w:cs="Arial"/>
                      <w:b/>
                      <w:bCs/>
                      <w:i/>
                      <w:iCs/>
                      <w:highlight w:val="yellow"/>
                      <w:u w:val="single"/>
                    </w:rPr>
                    <w:t>y</w:t>
                  </w:r>
                  <w:r w:rsidR="003D6B18" w:rsidRPr="003D6B18">
                    <w:rPr>
                      <w:rFonts w:ascii="Arial" w:hAnsi="Arial" w:cs="Arial"/>
                      <w:b/>
                      <w:bCs/>
                      <w:i/>
                      <w:iCs/>
                      <w:highlight w:val="yellow"/>
                      <w:u w:val="single"/>
                    </w:rPr>
                    <w:t xml:space="preserve"> (May 21, 2021)</w:t>
                  </w:r>
                  <w:r w:rsidRPr="00B64A7C">
                    <w:rPr>
                      <w:rFonts w:ascii="Arial" w:hAnsi="Arial" w:cs="Arial"/>
                      <w:i/>
                      <w:iCs/>
                    </w:rPr>
                    <w:t xml:space="preserve"> while the RFA is active. </w:t>
                  </w:r>
                </w:p>
              </w:tc>
            </w:tr>
          </w:tbl>
          <w:p w14:paraId="68C4272F" w14:textId="5BAF5159" w:rsidR="00761D7A" w:rsidRDefault="00761D7A" w:rsidP="00761D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RFA C</w:t>
            </w:r>
            <w:r w:rsidR="003D6B18">
              <w:rPr>
                <w:rFonts w:ascii="Arial" w:hAnsi="Arial" w:cs="Arial"/>
                <w:b/>
                <w:bCs/>
                <w:sz w:val="24"/>
                <w:szCs w:val="24"/>
              </w:rPr>
              <w:t>over Page</w:t>
            </w:r>
          </w:p>
          <w:p w14:paraId="48202664" w14:textId="77777777" w:rsidR="00761D7A" w:rsidRDefault="00761D7A" w:rsidP="00761D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610398" w14:textId="4EDA434F" w:rsidR="00375C33" w:rsidRPr="00375C33" w:rsidRDefault="00375C33" w:rsidP="00375C33">
            <w:pPr>
              <w:pStyle w:val="Heading2"/>
              <w:spacing w:before="0" w:after="0"/>
              <w:outlineLvl w:val="1"/>
            </w:pPr>
            <w:bookmarkStart w:id="0" w:name="_Toc367174722"/>
            <w:bookmarkStart w:id="1" w:name="_Toc397069190"/>
            <w:r w:rsidRPr="00375C33">
              <w:t>P</w:t>
            </w:r>
            <w:r w:rsidR="003D6B18">
              <w:t>art</w:t>
            </w:r>
            <w:r w:rsidRPr="00375C33">
              <w:t xml:space="preserve"> I</w:t>
            </w:r>
            <w:r w:rsidR="00B64A7C">
              <w:t xml:space="preserve">. </w:t>
            </w:r>
            <w:bookmarkEnd w:id="0"/>
            <w:bookmarkEnd w:id="1"/>
            <w:r w:rsidR="00B64A7C">
              <w:t>I</w:t>
            </w:r>
            <w:r w:rsidR="003D6B18">
              <w:t>ntroduction</w:t>
            </w:r>
          </w:p>
          <w:p w14:paraId="759B6045" w14:textId="5EA0C15A" w:rsidR="00375C33" w:rsidRPr="00B51518" w:rsidRDefault="00375C33" w:rsidP="00375C33">
            <w:pPr>
              <w:pStyle w:val="Heading2"/>
              <w:spacing w:before="0" w:after="0"/>
              <w:outlineLvl w:val="1"/>
              <w:rPr>
                <w:rStyle w:val="InitialStyle"/>
                <w:rFonts w:eastAsiaTheme="majorEastAsia"/>
              </w:rPr>
            </w:pPr>
            <w:r>
              <w:rPr>
                <w:rStyle w:val="InitialStyle"/>
              </w:rPr>
              <w:t xml:space="preserve">Section E. </w:t>
            </w:r>
            <w:r>
              <w:rPr>
                <w:rStyle w:val="InitialStyle"/>
                <w:rFonts w:eastAsiaTheme="majorEastAsia"/>
              </w:rPr>
              <w:t xml:space="preserve">Grant Funds Available and </w:t>
            </w:r>
            <w:r w:rsidRPr="00B51518">
              <w:rPr>
                <w:rStyle w:val="InitialStyle"/>
                <w:rFonts w:eastAsiaTheme="majorEastAsia"/>
              </w:rPr>
              <w:t>Number of Awards</w:t>
            </w:r>
          </w:p>
          <w:p w14:paraId="2CC9D5EB" w14:textId="6126A2F0" w:rsidR="00375C33" w:rsidRPr="000D2B15" w:rsidRDefault="00375C33" w:rsidP="00375C33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  <w:r w:rsidRPr="000D2B15">
              <w:rPr>
                <w:rFonts w:ascii="Arial" w:hAnsi="Arial" w:cs="Arial"/>
                <w:bCs/>
                <w:sz w:val="24"/>
                <w:szCs w:val="24"/>
              </w:rPr>
              <w:t xml:space="preserve">Approximately </w:t>
            </w:r>
            <w:r w:rsidRPr="0091487D">
              <w:rPr>
                <w:rFonts w:ascii="Arial" w:hAnsi="Arial" w:cs="Arial"/>
                <w:bCs/>
                <w:sz w:val="24"/>
                <w:szCs w:val="24"/>
              </w:rPr>
              <w:t>$</w:t>
            </w:r>
            <w:r w:rsidRPr="00A9418F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1,200</w:t>
            </w:r>
            <w:r w:rsidRPr="00375C33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,000</w:t>
            </w:r>
            <w:r w:rsidRPr="000D2B1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375C33">
              <w:rPr>
                <w:rFonts w:ascii="Arial" w:hAnsi="Arial" w:cs="Arial"/>
                <w:bCs/>
                <w:strike/>
                <w:sz w:val="24"/>
                <w:szCs w:val="24"/>
              </w:rPr>
              <w:t>$1,000,000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D2B15">
              <w:rPr>
                <w:rFonts w:ascii="Arial" w:hAnsi="Arial" w:cs="Arial"/>
                <w:bCs/>
                <w:sz w:val="24"/>
                <w:szCs w:val="24"/>
              </w:rPr>
              <w:t>will be available for implementation projects, pending EPA and State approvals and federal budget appropriation consistent with recent years. DEP anticipates the following funding allotments will be made:</w:t>
            </w:r>
          </w:p>
          <w:p w14:paraId="5620719C" w14:textId="157704D2" w:rsidR="00375C33" w:rsidRPr="00375C33" w:rsidRDefault="00375C33" w:rsidP="00375C33">
            <w:pPr>
              <w:numPr>
                <w:ilvl w:val="0"/>
                <w:numId w:val="7"/>
              </w:num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75C33">
              <w:rPr>
                <w:rFonts w:ascii="Arial" w:hAnsi="Arial" w:cs="Arial"/>
                <w:bCs/>
                <w:sz w:val="24"/>
                <w:szCs w:val="24"/>
              </w:rPr>
              <w:t xml:space="preserve">At least </w:t>
            </w:r>
            <w:r w:rsidRPr="00375C33">
              <w:rPr>
                <w:rFonts w:ascii="Arial" w:hAnsi="Arial" w:cs="Arial"/>
                <w:bCs/>
                <w:strike/>
                <w:sz w:val="24"/>
                <w:szCs w:val="24"/>
              </w:rPr>
              <w:t>50%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375C33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$750,000</w:t>
            </w:r>
            <w:r w:rsidRPr="00375C33">
              <w:rPr>
                <w:rFonts w:ascii="Arial" w:hAnsi="Arial" w:cs="Arial"/>
                <w:bCs/>
                <w:sz w:val="24"/>
                <w:szCs w:val="24"/>
              </w:rPr>
              <w:t xml:space="preserve"> of the Section 319 funds </w:t>
            </w:r>
            <w:r w:rsidRPr="00375C33">
              <w:rPr>
                <w:rFonts w:ascii="Arial" w:hAnsi="Arial" w:cs="Arial"/>
                <w:bCs/>
                <w:strike/>
                <w:sz w:val="24"/>
                <w:szCs w:val="24"/>
              </w:rPr>
              <w:t>($500,000)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375C33">
              <w:rPr>
                <w:rFonts w:ascii="Arial" w:hAnsi="Arial" w:cs="Arial"/>
                <w:bCs/>
                <w:sz w:val="24"/>
                <w:szCs w:val="24"/>
              </w:rPr>
              <w:t>will be for grants to help restore impaired waters; and</w:t>
            </w:r>
          </w:p>
          <w:p w14:paraId="35B35453" w14:textId="44EDBE5B" w:rsidR="00375C33" w:rsidRPr="0091487D" w:rsidRDefault="00375C33" w:rsidP="00375C33">
            <w:pPr>
              <w:numPr>
                <w:ilvl w:val="0"/>
                <w:numId w:val="7"/>
              </w:num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75C33">
              <w:rPr>
                <w:rFonts w:ascii="Arial" w:hAnsi="Arial" w:cs="Arial"/>
                <w:bCs/>
                <w:sz w:val="24"/>
                <w:szCs w:val="24"/>
              </w:rPr>
              <w:t xml:space="preserve">No more than </w:t>
            </w:r>
            <w:r w:rsidRPr="00375C33">
              <w:rPr>
                <w:rFonts w:ascii="Arial" w:hAnsi="Arial" w:cs="Arial"/>
                <w:bCs/>
                <w:strike/>
                <w:sz w:val="24"/>
                <w:szCs w:val="24"/>
              </w:rPr>
              <w:t xml:space="preserve">50% </w:t>
            </w:r>
            <w:r w:rsidRPr="00375C33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$450,000</w:t>
            </w:r>
            <w:r w:rsidRPr="00375C33">
              <w:rPr>
                <w:rFonts w:ascii="Arial" w:hAnsi="Arial" w:cs="Arial"/>
                <w:bCs/>
                <w:sz w:val="24"/>
                <w:szCs w:val="24"/>
              </w:rPr>
              <w:t xml:space="preserve">of the Section 319 funds </w:t>
            </w:r>
            <w:r w:rsidRPr="00375C33">
              <w:rPr>
                <w:rFonts w:ascii="Arial" w:hAnsi="Arial" w:cs="Arial"/>
                <w:bCs/>
                <w:strike/>
                <w:sz w:val="24"/>
                <w:szCs w:val="24"/>
              </w:rPr>
              <w:t>($500,000)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375C33">
              <w:rPr>
                <w:rFonts w:ascii="Arial" w:hAnsi="Arial" w:cs="Arial"/>
                <w:bCs/>
                <w:sz w:val="24"/>
                <w:szCs w:val="24"/>
              </w:rPr>
              <w:t>will be for grants to protect unimpaired waters.</w:t>
            </w:r>
            <w:r w:rsidRPr="0091487D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</w:p>
          <w:p w14:paraId="6ABA2030" w14:textId="2B0B88D0" w:rsidR="00375C33" w:rsidRDefault="00375C33" w:rsidP="003A30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A07D1B5" w14:textId="577A314C" w:rsidR="00761D7A" w:rsidRDefault="00761D7A" w:rsidP="00761D7A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5C2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="003D6B18">
              <w:rPr>
                <w:rFonts w:ascii="Arial" w:hAnsi="Arial" w:cs="Arial"/>
                <w:b/>
                <w:bCs/>
                <w:sz w:val="24"/>
                <w:szCs w:val="24"/>
              </w:rPr>
              <w:t>art</w:t>
            </w:r>
            <w:r w:rsidRPr="00E905C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II. </w:t>
            </w:r>
            <w:r w:rsidR="00B64A7C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3D6B18">
              <w:rPr>
                <w:rFonts w:ascii="Arial" w:hAnsi="Arial" w:cs="Arial"/>
                <w:b/>
                <w:bCs/>
                <w:sz w:val="24"/>
                <w:szCs w:val="24"/>
              </w:rPr>
              <w:t>cope of Services to be Provided</w:t>
            </w:r>
          </w:p>
          <w:p w14:paraId="4A850C76" w14:textId="77777777" w:rsidR="000B1524" w:rsidRDefault="000B1524" w:rsidP="000B15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Section C. Eligible and Ineligible Activities</w:t>
            </w:r>
          </w:p>
          <w:p w14:paraId="669A5A3F" w14:textId="3889CA04" w:rsidR="000B1524" w:rsidRPr="000B1524" w:rsidRDefault="000B1524" w:rsidP="000B1524">
            <w:pPr>
              <w:pStyle w:val="ListParagraph"/>
              <w:numPr>
                <w:ilvl w:val="0"/>
                <w:numId w:val="8"/>
              </w:num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1524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DEP’s NPS Program is developing a policy to significantly limit or restrict the use of 319 grant funding (</w:t>
            </w:r>
            <w:r w:rsidR="00B64A7C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and</w:t>
            </w:r>
            <w:r w:rsidRPr="000B1524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 xml:space="preserve"> match) for shoreline stabilization projects using stone riprap. Applicants are encouraged to pursue </w:t>
            </w:r>
            <w:r w:rsidR="005F77EF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riprap alternatives</w:t>
            </w:r>
            <w:r w:rsidR="005F77EF" w:rsidRPr="000B1524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 xml:space="preserve"> </w:t>
            </w:r>
            <w:r w:rsidR="005F77EF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 xml:space="preserve">or </w:t>
            </w:r>
            <w:r w:rsidRPr="000B1524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alternative NPS sites for the Candidate NPS Site</w:t>
            </w:r>
            <w:r w:rsidR="005F77EF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 xml:space="preserve"> list</w:t>
            </w:r>
            <w:r w:rsidRPr="000B1524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.</w:t>
            </w:r>
          </w:p>
          <w:p w14:paraId="2D5D29F4" w14:textId="77777777" w:rsidR="000B1524" w:rsidRDefault="000B1524" w:rsidP="00761D7A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904F3A2" w14:textId="2FA4F6BC" w:rsidR="00761D7A" w:rsidRDefault="00761D7A" w:rsidP="00761D7A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E905C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Section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G</w:t>
            </w:r>
            <w:r w:rsidRPr="00E905C2">
              <w:rPr>
                <w:rFonts w:ascii="Arial" w:hAnsi="Arial" w:cs="Arial"/>
                <w:b/>
                <w:bCs/>
                <w:sz w:val="24"/>
                <w:szCs w:val="24"/>
              </w:rPr>
              <w:t>. Environmental Data Quality Assurance</w:t>
            </w:r>
          </w:p>
          <w:p w14:paraId="762201DF" w14:textId="199BC372" w:rsidR="00761D7A" w:rsidRPr="00486CF6" w:rsidRDefault="00761D7A" w:rsidP="00761D7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486CF6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Project applications must identify the existing QAPP that will be utilized or describe preparation of a new QAPP as a task. In addition, a Sampling and Analysis Plan (SAP) needs to be submitted and approved by DEP prior to monitoring each year.</w:t>
            </w:r>
          </w:p>
          <w:p w14:paraId="41A535A5" w14:textId="77777777" w:rsidR="00761D7A" w:rsidRDefault="00761D7A" w:rsidP="003A30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EE877C5" w14:textId="1C485556" w:rsidR="003A3013" w:rsidRPr="006C5864" w:rsidRDefault="003A3013" w:rsidP="003A30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5864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="003D6B18">
              <w:rPr>
                <w:rFonts w:ascii="Arial" w:hAnsi="Arial" w:cs="Arial"/>
                <w:b/>
                <w:bCs/>
                <w:sz w:val="24"/>
                <w:szCs w:val="24"/>
              </w:rPr>
              <w:t>art</w:t>
            </w:r>
            <w:r w:rsidRPr="006C586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V. </w:t>
            </w:r>
            <w:r w:rsidR="00B64A7C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3D6B18">
              <w:rPr>
                <w:rFonts w:ascii="Arial" w:hAnsi="Arial" w:cs="Arial"/>
                <w:b/>
                <w:bCs/>
                <w:sz w:val="24"/>
                <w:szCs w:val="24"/>
              </w:rPr>
              <w:t>pplication Evaluation and Selection</w:t>
            </w:r>
          </w:p>
          <w:p w14:paraId="6747A1BF" w14:textId="77777777" w:rsidR="003A3013" w:rsidRDefault="003A3013" w:rsidP="003A3013">
            <w:pPr>
              <w:tabs>
                <w:tab w:val="left" w:pos="1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5864">
              <w:rPr>
                <w:rFonts w:ascii="Arial" w:hAnsi="Arial" w:cs="Arial"/>
                <w:b/>
                <w:bCs/>
                <w:sz w:val="24"/>
                <w:szCs w:val="24"/>
              </w:rPr>
              <w:t>Section B. Scoring Weights and Process</w:t>
            </w:r>
          </w:p>
          <w:p w14:paraId="42150CDB" w14:textId="77777777" w:rsidR="003A3013" w:rsidRDefault="003A3013" w:rsidP="003A3013">
            <w:pPr>
              <w:pStyle w:val="ListParagraph"/>
              <w:numPr>
                <w:ilvl w:val="0"/>
                <w:numId w:val="3"/>
              </w:numPr>
              <w:tabs>
                <w:tab w:val="left" w:pos="405"/>
              </w:tabs>
              <w:ind w:left="405"/>
              <w:rPr>
                <w:rFonts w:ascii="Arial" w:hAnsi="Arial" w:cs="Arial"/>
                <w:bCs/>
                <w:sz w:val="24"/>
                <w:szCs w:val="24"/>
              </w:rPr>
            </w:pPr>
            <w:r w:rsidRPr="006C5864">
              <w:rPr>
                <w:rFonts w:ascii="Arial" w:hAnsi="Arial" w:cs="Arial"/>
                <w:b/>
                <w:sz w:val="24"/>
                <w:szCs w:val="24"/>
              </w:rPr>
              <w:t xml:space="preserve">Feasibility for Success (25 points)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3C9AF9B0" w14:textId="276FA8B9" w:rsidR="003A3013" w:rsidRPr="00491483" w:rsidRDefault="003A3013" w:rsidP="00491483">
            <w:pPr>
              <w:tabs>
                <w:tab w:val="left" w:pos="1260"/>
              </w:tabs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6C5864">
              <w:rPr>
                <w:rFonts w:ascii="Arial" w:hAnsi="Arial" w:cs="Arial"/>
                <w:bCs/>
                <w:sz w:val="24"/>
                <w:szCs w:val="24"/>
              </w:rPr>
              <w:t xml:space="preserve">Likelihood that the project will be successfully completed as proposed and that the waterbody can be successfully restored or protected. Considerations: adequate information and capacity to determine actions needed restore or protect the waterbody; </w:t>
            </w:r>
            <w:r w:rsidR="007D47CE" w:rsidRPr="00E31741">
              <w:rPr>
                <w:rFonts w:ascii="Arial" w:hAnsi="Arial" w:cs="Arial"/>
                <w:sz w:val="24"/>
                <w:szCs w:val="24"/>
                <w:highlight w:val="yellow"/>
              </w:rPr>
              <w:t xml:space="preserve">proposed </w:t>
            </w:r>
            <w:r w:rsidR="007D47CE">
              <w:rPr>
                <w:rFonts w:ascii="Arial" w:hAnsi="Arial" w:cs="Arial"/>
                <w:sz w:val="24"/>
                <w:szCs w:val="24"/>
                <w:highlight w:val="yellow"/>
              </w:rPr>
              <w:t>tasks</w:t>
            </w:r>
            <w:r w:rsidR="007D47CE" w:rsidRPr="00E31741">
              <w:rPr>
                <w:rFonts w:ascii="Arial" w:hAnsi="Arial" w:cs="Arial"/>
                <w:sz w:val="24"/>
                <w:szCs w:val="24"/>
                <w:highlight w:val="yellow"/>
              </w:rPr>
              <w:t xml:space="preserve">/BMPs </w:t>
            </w:r>
            <w:r w:rsidR="007D47CE">
              <w:rPr>
                <w:rFonts w:ascii="Arial" w:hAnsi="Arial" w:cs="Arial"/>
                <w:sz w:val="24"/>
                <w:szCs w:val="24"/>
                <w:highlight w:val="yellow"/>
              </w:rPr>
              <w:t xml:space="preserve">address the primary water quality stressors and </w:t>
            </w:r>
            <w:r w:rsidR="007D47CE" w:rsidRPr="00E31741">
              <w:rPr>
                <w:rFonts w:ascii="Arial" w:hAnsi="Arial" w:cs="Arial"/>
                <w:sz w:val="24"/>
                <w:szCs w:val="24"/>
                <w:highlight w:val="yellow"/>
              </w:rPr>
              <w:t xml:space="preserve">pollutants </w:t>
            </w:r>
            <w:r w:rsidR="007D47CE">
              <w:rPr>
                <w:rFonts w:ascii="Arial" w:hAnsi="Arial" w:cs="Arial"/>
                <w:sz w:val="24"/>
                <w:szCs w:val="24"/>
                <w:highlight w:val="yellow"/>
              </w:rPr>
              <w:t>of concern</w:t>
            </w:r>
            <w:r w:rsidR="00A90A59" w:rsidRPr="00A90A59">
              <w:rPr>
                <w:rFonts w:ascii="Arial" w:hAnsi="Arial" w:cs="Arial"/>
                <w:sz w:val="24"/>
                <w:szCs w:val="24"/>
                <w:highlight w:val="yellow"/>
              </w:rPr>
              <w:t>, as well as impacts associated with climate change</w:t>
            </w:r>
            <w:r w:rsidRPr="006C5864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;</w:t>
            </w:r>
            <w:r w:rsidRPr="006C5864">
              <w:rPr>
                <w:rFonts w:ascii="Arial" w:hAnsi="Arial" w:cs="Arial"/>
                <w:bCs/>
                <w:sz w:val="24"/>
                <w:szCs w:val="24"/>
              </w:rPr>
              <w:t xml:space="preserve"> effective well-sequenced tasks; contribution or participation by appropriate stakeholders and municipal government; leveraged with other previous or concurrent efforts; extent of community support to restore or protect the waterbody</w:t>
            </w:r>
            <w:r w:rsidR="00A90A59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44F38836" w14:textId="5F5195A0" w:rsidR="003A3013" w:rsidRPr="00C118CB" w:rsidRDefault="003A3013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C35" w:rsidRPr="00C118CB" w14:paraId="1B1391DD" w14:textId="77777777" w:rsidTr="00B64A7C">
        <w:trPr>
          <w:trHeight w:val="683"/>
        </w:trPr>
        <w:tc>
          <w:tcPr>
            <w:tcW w:w="10562" w:type="dxa"/>
            <w:gridSpan w:val="2"/>
          </w:tcPr>
          <w:p w14:paraId="71466FE4" w14:textId="77777777" w:rsidR="00B02C35" w:rsidRPr="003D6B18" w:rsidRDefault="00B02C35" w:rsidP="00B02C3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DC71F96" w14:textId="61D052DD" w:rsidR="00B02C35" w:rsidRPr="00C118CB" w:rsidRDefault="00B02C35" w:rsidP="00204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All other provisions and clauses of the RF</w:t>
            </w:r>
            <w:r w:rsidR="00D3011A">
              <w:rPr>
                <w:rFonts w:ascii="Arial" w:hAnsi="Arial" w:cs="Arial"/>
                <w:b/>
                <w:color w:val="000000"/>
                <w:sz w:val="24"/>
                <w:szCs w:val="24"/>
              </w:rPr>
              <w:t>A</w:t>
            </w:r>
            <w:bookmarkStart w:id="2" w:name="_GoBack"/>
            <w:bookmarkEnd w:id="2"/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remain unchanged.</w:t>
            </w:r>
          </w:p>
        </w:tc>
      </w:tr>
    </w:tbl>
    <w:p w14:paraId="677E49F9" w14:textId="77777777" w:rsidR="00C118CB" w:rsidRPr="00C118CB" w:rsidRDefault="00C118CB">
      <w:pPr>
        <w:rPr>
          <w:rFonts w:ascii="Arial" w:hAnsi="Arial" w:cs="Arial"/>
        </w:rPr>
      </w:pPr>
    </w:p>
    <w:sectPr w:rsidR="00C118CB" w:rsidRPr="00C118C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6FC6E" w14:textId="77777777" w:rsidR="00B84D2B" w:rsidRDefault="00B84D2B" w:rsidP="009A0B7F">
      <w:pPr>
        <w:spacing w:after="0" w:line="240" w:lineRule="auto"/>
      </w:pPr>
      <w:r>
        <w:separator/>
      </w:r>
    </w:p>
  </w:endnote>
  <w:endnote w:type="continuationSeparator" w:id="0">
    <w:p w14:paraId="6891C5A6" w14:textId="77777777" w:rsidR="00B84D2B" w:rsidRDefault="00B84D2B" w:rsidP="009A0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36FD0" w14:textId="48EBB2C0" w:rsidR="009A0B7F" w:rsidRPr="00DA2A5D" w:rsidRDefault="00B02C35">
    <w:pPr>
      <w:pStyle w:val="Footer"/>
      <w:rPr>
        <w:rFonts w:ascii="Arial" w:hAnsi="Arial" w:cs="Arial"/>
      </w:rPr>
    </w:pPr>
    <w:r w:rsidRPr="00DA2A5D">
      <w:rPr>
        <w:rFonts w:ascii="Arial" w:hAnsi="Arial" w:cs="Arial"/>
      </w:rPr>
      <w:t xml:space="preserve">Rev. </w:t>
    </w:r>
    <w:r w:rsidR="00DA2A5D">
      <w:rPr>
        <w:rFonts w:ascii="Arial" w:hAnsi="Arial" w:cs="Arial"/>
      </w:rPr>
      <w:t>7/15/2019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D4C34" w14:textId="77777777" w:rsidR="00B84D2B" w:rsidRDefault="00B84D2B" w:rsidP="009A0B7F">
      <w:pPr>
        <w:spacing w:after="0" w:line="240" w:lineRule="auto"/>
      </w:pPr>
      <w:r>
        <w:separator/>
      </w:r>
    </w:p>
  </w:footnote>
  <w:footnote w:type="continuationSeparator" w:id="0">
    <w:p w14:paraId="0DC86754" w14:textId="77777777" w:rsidR="00B84D2B" w:rsidRDefault="00B84D2B" w:rsidP="009A0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85F7C"/>
    <w:multiLevelType w:val="hybridMultilevel"/>
    <w:tmpl w:val="DA4EA6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3D0CE4"/>
    <w:multiLevelType w:val="hybridMultilevel"/>
    <w:tmpl w:val="70CA6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C87855"/>
    <w:multiLevelType w:val="hybridMultilevel"/>
    <w:tmpl w:val="F16ED1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BF2B08"/>
    <w:multiLevelType w:val="hybridMultilevel"/>
    <w:tmpl w:val="CDCE02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3C02D8"/>
    <w:multiLevelType w:val="hybridMultilevel"/>
    <w:tmpl w:val="69BE286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51F44E2A"/>
    <w:multiLevelType w:val="hybridMultilevel"/>
    <w:tmpl w:val="77DE13B2"/>
    <w:lvl w:ilvl="0" w:tplc="AD3A3C44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i w:val="0"/>
        <w:spacing w:val="-1"/>
        <w:w w:val="1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A05867"/>
    <w:multiLevelType w:val="hybridMultilevel"/>
    <w:tmpl w:val="97F634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334645"/>
    <w:multiLevelType w:val="hybridMultilevel"/>
    <w:tmpl w:val="878C679A"/>
    <w:lvl w:ilvl="0" w:tplc="FA4CCD26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C1"/>
    <w:rsid w:val="000B1524"/>
    <w:rsid w:val="000F7FA6"/>
    <w:rsid w:val="00132246"/>
    <w:rsid w:val="002040CE"/>
    <w:rsid w:val="00284492"/>
    <w:rsid w:val="00326D8D"/>
    <w:rsid w:val="00375C33"/>
    <w:rsid w:val="003A0ED9"/>
    <w:rsid w:val="003A3013"/>
    <w:rsid w:val="003C664A"/>
    <w:rsid w:val="003D6B18"/>
    <w:rsid w:val="004076C6"/>
    <w:rsid w:val="00491483"/>
    <w:rsid w:val="004F30B3"/>
    <w:rsid w:val="00521F49"/>
    <w:rsid w:val="005F77EF"/>
    <w:rsid w:val="007351DF"/>
    <w:rsid w:val="00761D7A"/>
    <w:rsid w:val="007D47CE"/>
    <w:rsid w:val="007F7D35"/>
    <w:rsid w:val="0081650E"/>
    <w:rsid w:val="008A3C2E"/>
    <w:rsid w:val="008C3A77"/>
    <w:rsid w:val="008D17F1"/>
    <w:rsid w:val="00990843"/>
    <w:rsid w:val="009A0B7F"/>
    <w:rsid w:val="009C6B89"/>
    <w:rsid w:val="00A90A59"/>
    <w:rsid w:val="00B02C35"/>
    <w:rsid w:val="00B531C0"/>
    <w:rsid w:val="00B64A7C"/>
    <w:rsid w:val="00B84D2B"/>
    <w:rsid w:val="00C118CB"/>
    <w:rsid w:val="00D3011A"/>
    <w:rsid w:val="00D361C0"/>
    <w:rsid w:val="00D60B3F"/>
    <w:rsid w:val="00DA2A5D"/>
    <w:rsid w:val="00DE5EC6"/>
    <w:rsid w:val="00E1042E"/>
    <w:rsid w:val="00E25FC1"/>
    <w:rsid w:val="00EC4A98"/>
    <w:rsid w:val="00F101F8"/>
    <w:rsid w:val="00FC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01882"/>
  <w15:docId w15:val="{891F0743-5AE9-4D5C-92D7-C501E64E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5C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qFormat/>
    <w:rsid w:val="00375C33"/>
    <w:pPr>
      <w:widowControl w:val="0"/>
      <w:autoSpaceDE w:val="0"/>
      <w:autoSpaceDN w:val="0"/>
      <w:spacing w:before="120" w:after="12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25F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5FC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C1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C3A7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B7F"/>
  </w:style>
  <w:style w:type="paragraph" w:styleId="Footer">
    <w:name w:val="footer"/>
    <w:basedOn w:val="Normal"/>
    <w:link w:val="Foot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B7F"/>
  </w:style>
  <w:style w:type="character" w:styleId="Hyperlink">
    <w:name w:val="Hyperlink"/>
    <w:uiPriority w:val="99"/>
    <w:rsid w:val="00B531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40CE"/>
    <w:pPr>
      <w:ind w:left="720"/>
      <w:contextualSpacing/>
    </w:pPr>
  </w:style>
  <w:style w:type="character" w:customStyle="1" w:styleId="InitialStyle">
    <w:name w:val="InitialStyle"/>
    <w:basedOn w:val="DefaultParagraphFont"/>
    <w:rsid w:val="002040CE"/>
  </w:style>
  <w:style w:type="character" w:customStyle="1" w:styleId="Heading2Char">
    <w:name w:val="Heading 2 Char"/>
    <w:basedOn w:val="DefaultParagraphFont"/>
    <w:link w:val="Heading2"/>
    <w:rsid w:val="00375C33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75C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1F8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1F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osals@maine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nam03.safelinks.protection.outlook.com/?url=https%3A%2F%2Fwww.maine.gov%2Fdafs%2Fbbm%2Fprocurementservices%2Fvendors%2Fgrants&amp;data=02%7C01%7CJeff.Cotnoir%40maine.gov%7Cfd233858c737402fac4808d7d24e91da%7C413fa8ab207d4b629bcdea1a8f2f864e%7C0%7C0%7C637209107690757781&amp;sdata=3r9tNvZ6SHaleezWU1pXOhwjAxamZjsTmyhGoBEo%2BUs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Baron, Denice M</dc:creator>
  <cp:lastModifiedBy>Garland, Wendy</cp:lastModifiedBy>
  <cp:revision>3</cp:revision>
  <dcterms:created xsi:type="dcterms:W3CDTF">2021-03-09T19:33:00Z</dcterms:created>
  <dcterms:modified xsi:type="dcterms:W3CDTF">2021-03-09T19:33:00Z</dcterms:modified>
</cp:coreProperties>
</file>