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61E3" w14:textId="31893D17" w:rsidR="00644221" w:rsidRPr="00644221" w:rsidRDefault="00644221" w:rsidP="00644221">
      <w:pPr>
        <w:spacing w:after="0" w:line="240" w:lineRule="auto"/>
        <w:jc w:val="center"/>
        <w:rPr>
          <w:rFonts w:ascii="Arial" w:eastAsia="Aptos" w:hAnsi="Arial" w:cs="Arial"/>
          <w:b/>
          <w:bCs/>
          <w:kern w:val="0"/>
          <w:sz w:val="20"/>
          <w:szCs w:val="20"/>
          <w14:ligatures w14:val="none"/>
        </w:rPr>
      </w:pPr>
      <w:r w:rsidRPr="00644221">
        <w:rPr>
          <w:rFonts w:ascii="Arial" w:eastAsia="Aptos" w:hAnsi="Arial" w:cs="Arial"/>
          <w:b/>
          <w:bCs/>
          <w:kern w:val="0"/>
          <w:sz w:val="20"/>
          <w:szCs w:val="20"/>
          <w14:ligatures w14:val="none"/>
        </w:rPr>
        <w:t>Code of Conduct Report</w:t>
      </w:r>
      <w:r>
        <w:rPr>
          <w:rFonts w:ascii="Arial" w:eastAsia="Aptos" w:hAnsi="Arial" w:cs="Arial"/>
          <w:b/>
          <w:bCs/>
          <w:kern w:val="0"/>
          <w:sz w:val="20"/>
          <w:szCs w:val="20"/>
          <w14:ligatures w14:val="none"/>
        </w:rPr>
        <w:t xml:space="preserve"> 2024</w:t>
      </w:r>
    </w:p>
    <w:p w14:paraId="36E21F0D" w14:textId="77777777" w:rsidR="00644221" w:rsidRPr="00644221" w:rsidRDefault="00644221" w:rsidP="00644221">
      <w:pPr>
        <w:spacing w:after="0" w:line="240" w:lineRule="auto"/>
        <w:rPr>
          <w:rFonts w:ascii="Arial" w:eastAsia="Aptos" w:hAnsi="Arial" w:cs="Arial"/>
          <w:kern w:val="0"/>
          <w:sz w:val="20"/>
          <w:szCs w:val="20"/>
          <w:u w:val="single"/>
          <w14:ligatures w14:val="none"/>
        </w:rPr>
      </w:pPr>
    </w:p>
    <w:p w14:paraId="1BCE0A8B"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 xml:space="preserve">The law requires a report to the Committee regarding the administrative and fiscal impact of the Code of Conduct for the supply of apparel, footwear, or textiles, and the degree of compliance with the Code of Conduct law. The law aims to ensure that certain standards are met by vendors who sell apparel, footwear or textiles to the State. Employers should fairly compensate hard work, protect the health and safety of working people, and not tolerate any form of unlawful discrimination or abuse. The State of Maine, in its role as a market participant procuring goods and services, enforces the Code of Conduct to safeguard the basic tenets of ethical business practices and protect against purchases involving “sweatshops”. The State of Maine makes a </w:t>
      </w:r>
      <w:proofErr w:type="gramStart"/>
      <w:r w:rsidRPr="00644221">
        <w:rPr>
          <w:rFonts w:ascii="Arial" w:eastAsia="Arial" w:hAnsi="Arial" w:cs="Arial"/>
          <w:kern w:val="0"/>
          <w:sz w:val="20"/>
          <w:szCs w:val="20"/>
          <w14:ligatures w14:val="none"/>
        </w:rPr>
        <w:t>good faith</w:t>
      </w:r>
      <w:proofErr w:type="gramEnd"/>
      <w:r w:rsidRPr="00644221">
        <w:rPr>
          <w:rFonts w:ascii="Arial" w:eastAsia="Arial" w:hAnsi="Arial" w:cs="Arial"/>
          <w:kern w:val="0"/>
          <w:sz w:val="20"/>
          <w:szCs w:val="20"/>
          <w14:ligatures w14:val="none"/>
        </w:rPr>
        <w:t xml:space="preserve"> effort to ensure that vendors and suppliers adhere to the Code of Conduct. </w:t>
      </w:r>
    </w:p>
    <w:p w14:paraId="4A7741A6"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 xml:space="preserve">  </w:t>
      </w:r>
    </w:p>
    <w:p w14:paraId="5C1E5E43"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The State of Maine expended $1,120,110.48 on clothing related items in calendar year 2024. Of that total, $825,173.41 (74%) was expended with Code of Conduct compliant vendors.  This data is based on the “object code” of the materials purchased rather than the vendor. The data is dependent on each agency using the correct object code.</w:t>
      </w:r>
    </w:p>
    <w:p w14:paraId="14130BD5" w14:textId="77777777" w:rsidR="00644221" w:rsidRPr="00644221" w:rsidRDefault="00644221" w:rsidP="00644221">
      <w:pPr>
        <w:spacing w:after="0" w:line="240" w:lineRule="auto"/>
        <w:rPr>
          <w:rFonts w:ascii="Arial" w:eastAsia="Arial" w:hAnsi="Arial" w:cs="Arial"/>
          <w:kern w:val="0"/>
          <w:sz w:val="20"/>
          <w:szCs w:val="20"/>
          <w14:ligatures w14:val="none"/>
        </w:rPr>
      </w:pPr>
    </w:p>
    <w:p w14:paraId="39B9958A"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 xml:space="preserve">The following is a list of vendors the State of Maine holds (or held in calendar year 2024) with a Master Agreement for clothing-related items compliant with the Code of Conduct law.  Please note, if a vendor is on the list below, it does not mean that the vendor’s entire line of products is Code of Conduct compliant. </w:t>
      </w:r>
    </w:p>
    <w:p w14:paraId="1FAA9A97" w14:textId="77777777" w:rsidR="00644221" w:rsidRPr="00644221" w:rsidRDefault="00644221" w:rsidP="00644221">
      <w:pPr>
        <w:spacing w:after="0" w:line="240" w:lineRule="auto"/>
        <w:rPr>
          <w:rFonts w:ascii="Arial" w:eastAsia="Arial" w:hAnsi="Arial" w:cs="Arial"/>
          <w:kern w:val="0"/>
          <w:sz w:val="20"/>
          <w:szCs w:val="20"/>
          <w14:ligatures w14:val="none"/>
        </w:rPr>
      </w:pPr>
    </w:p>
    <w:tbl>
      <w:tblPr>
        <w:tblW w:w="0" w:type="auto"/>
        <w:jc w:val="center"/>
        <w:tblLayout w:type="fixed"/>
        <w:tblLook w:val="04A0" w:firstRow="1" w:lastRow="0" w:firstColumn="1" w:lastColumn="0" w:noHBand="0" w:noVBand="1"/>
      </w:tblPr>
      <w:tblGrid>
        <w:gridCol w:w="5835"/>
        <w:gridCol w:w="1755"/>
        <w:gridCol w:w="960"/>
      </w:tblGrid>
      <w:tr w:rsidR="00644221" w:rsidRPr="00644221" w14:paraId="1FA5CA15" w14:textId="77777777" w:rsidTr="00D615A4">
        <w:trPr>
          <w:jc w:val="center"/>
        </w:trPr>
        <w:tc>
          <w:tcPr>
            <w:tcW w:w="5835" w:type="dxa"/>
            <w:tcBorders>
              <w:top w:val="outset" w:sz="18" w:space="0" w:color="000000"/>
              <w:left w:val="outset" w:sz="18" w:space="0" w:color="000000"/>
              <w:bottom w:val="outset" w:sz="18" w:space="0" w:color="000000"/>
              <w:right w:val="outset" w:sz="18" w:space="0" w:color="000000"/>
            </w:tcBorders>
            <w:shd w:val="clear" w:color="auto" w:fill="C0C0C0"/>
            <w:vAlign w:val="center"/>
          </w:tcPr>
          <w:p w14:paraId="6EF942F5" w14:textId="77777777" w:rsidR="00644221" w:rsidRPr="00644221" w:rsidRDefault="00644221" w:rsidP="00644221">
            <w:pPr>
              <w:spacing w:after="0" w:line="240" w:lineRule="auto"/>
              <w:jc w:val="center"/>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VENDOR</w:t>
            </w:r>
          </w:p>
        </w:tc>
        <w:tc>
          <w:tcPr>
            <w:tcW w:w="1755" w:type="dxa"/>
            <w:tcBorders>
              <w:top w:val="outset" w:sz="18" w:space="0" w:color="000000"/>
              <w:left w:val="outset" w:sz="18" w:space="0" w:color="000000"/>
              <w:bottom w:val="outset" w:sz="18" w:space="0" w:color="000000"/>
              <w:right w:val="outset" w:sz="18" w:space="0" w:color="000000"/>
            </w:tcBorders>
            <w:shd w:val="clear" w:color="auto" w:fill="C0C0C0"/>
            <w:vAlign w:val="center"/>
          </w:tcPr>
          <w:p w14:paraId="6B8AA25E" w14:textId="77777777" w:rsidR="00644221" w:rsidRPr="00644221" w:rsidRDefault="00644221" w:rsidP="00644221">
            <w:pPr>
              <w:spacing w:after="0" w:line="240" w:lineRule="auto"/>
              <w:jc w:val="center"/>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CITY</w:t>
            </w:r>
          </w:p>
        </w:tc>
        <w:tc>
          <w:tcPr>
            <w:tcW w:w="960" w:type="dxa"/>
            <w:tcBorders>
              <w:top w:val="outset" w:sz="18" w:space="0" w:color="000000"/>
              <w:left w:val="outset" w:sz="18" w:space="0" w:color="000000"/>
              <w:bottom w:val="outset" w:sz="18" w:space="0" w:color="000000"/>
              <w:right w:val="outset" w:sz="18" w:space="0" w:color="000000"/>
            </w:tcBorders>
            <w:shd w:val="clear" w:color="auto" w:fill="C0C0C0"/>
            <w:vAlign w:val="center"/>
          </w:tcPr>
          <w:p w14:paraId="4083E99C" w14:textId="77777777" w:rsidR="00644221" w:rsidRPr="00644221" w:rsidRDefault="00644221" w:rsidP="00644221">
            <w:pPr>
              <w:spacing w:after="0" w:line="240" w:lineRule="auto"/>
              <w:jc w:val="center"/>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STATE</w:t>
            </w:r>
          </w:p>
        </w:tc>
      </w:tr>
      <w:tr w:rsidR="00644221" w:rsidRPr="00644221" w14:paraId="45DCE21D"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36465B40"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Admiral Fire &amp; Safety Inc.</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44277500"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Scarborough</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38C0572B"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r w:rsidR="00644221" w:rsidRPr="00644221" w14:paraId="23B523A2"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45DB560A" w14:textId="77777777" w:rsidR="00644221" w:rsidRPr="00644221" w:rsidRDefault="00644221" w:rsidP="00644221">
            <w:pPr>
              <w:spacing w:after="0" w:line="240" w:lineRule="auto"/>
              <w:rPr>
                <w:rFonts w:ascii="Arial" w:eastAsia="Arial" w:hAnsi="Arial" w:cs="Arial"/>
                <w:kern w:val="0"/>
                <w:sz w:val="20"/>
                <w:szCs w:val="20"/>
                <w14:ligatures w14:val="none"/>
              </w:rPr>
            </w:pPr>
            <w:proofErr w:type="spellStart"/>
            <w:r w:rsidRPr="00644221">
              <w:rPr>
                <w:rFonts w:ascii="Arial" w:eastAsia="Arial" w:hAnsi="Arial" w:cs="Arial"/>
                <w:kern w:val="0"/>
                <w:sz w:val="20"/>
                <w:szCs w:val="20"/>
                <w14:ligatures w14:val="none"/>
              </w:rPr>
              <w:t>Arborwear</w:t>
            </w:r>
            <w:proofErr w:type="spellEnd"/>
            <w:r w:rsidRPr="00644221">
              <w:rPr>
                <w:rFonts w:ascii="Arial" w:eastAsia="Arial" w:hAnsi="Arial" w:cs="Arial"/>
                <w:kern w:val="0"/>
                <w:sz w:val="20"/>
                <w:szCs w:val="20"/>
                <w14:ligatures w14:val="none"/>
              </w:rPr>
              <w:t xml:space="preserve"> LLC</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0A809FDE"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Chagrin Falls</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0381C026"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OH</w:t>
            </w:r>
          </w:p>
        </w:tc>
      </w:tr>
      <w:tr w:rsidR="00644221" w:rsidRPr="00644221" w14:paraId="2468143C"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7724CFAC"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Atlantic Tactical</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5A3FE0CF"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New Cumberland</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5FA0519E"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PA</w:t>
            </w:r>
          </w:p>
        </w:tc>
      </w:tr>
      <w:tr w:rsidR="00644221" w:rsidRPr="00644221" w14:paraId="18DE7A10"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47DD029C"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Bob Barker Co. Inc.</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04B9F916"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Charlotte</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6D956F5F"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NC</w:t>
            </w:r>
          </w:p>
        </w:tc>
      </w:tr>
      <w:tr w:rsidR="00644221" w:rsidRPr="00644221" w14:paraId="7F3FC2F0"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29FD76AE"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Bob Barker Co. Inc.</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7BBEB3E5"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Fuquay Varina</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5E084B5B"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NC</w:t>
            </w:r>
          </w:p>
        </w:tc>
      </w:tr>
      <w:tr w:rsidR="00644221" w:rsidRPr="00644221" w14:paraId="16C5544F"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4C266C12"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Cintas Corp</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790CC42E"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Westbrook</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79CF0A26"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r w:rsidR="00644221" w:rsidRPr="00644221" w14:paraId="6B4A6002"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2B4021F5"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HAH Inc Harry's Motor Sport</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566383E0"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Presque Isle</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42C71A57"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r w:rsidR="00644221" w:rsidRPr="00644221" w14:paraId="4C81F7B0"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1F5215DA"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Hanging By A Thread</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2B1D200B"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Portland</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1763034A"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r w:rsidR="00644221" w:rsidRPr="00644221" w14:paraId="08C402C6"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3107F18E"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1842, LLC DBA Johnson Woolen</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18CAAD87"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Johnson</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326FDED3"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VT</w:t>
            </w:r>
          </w:p>
        </w:tc>
      </w:tr>
      <w:tr w:rsidR="00644221" w:rsidRPr="00644221" w14:paraId="7AFE9F09"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62AB094B"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LT's Inc.</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56907842"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Portland</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7F625909"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r w:rsidR="00644221" w:rsidRPr="00644221" w14:paraId="0238DA91"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15280459"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Maine-ly Red Wing Inc</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3B3B8959"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Brewer</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7610EBF4"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r w:rsidR="00644221" w:rsidRPr="00644221" w14:paraId="2C9FE1BF"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5A25A7F1"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Masterman's LLP</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71A8BC64"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Auburn</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71503220"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MA</w:t>
            </w:r>
          </w:p>
        </w:tc>
      </w:tr>
      <w:tr w:rsidR="00644221" w:rsidRPr="00644221" w14:paraId="023F2618"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0CA43A6D"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Neptune Uniforms &amp; Equip</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13621981"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Haverhill</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35791C4A"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MA</w:t>
            </w:r>
          </w:p>
        </w:tc>
      </w:tr>
      <w:tr w:rsidR="00644221" w:rsidRPr="00644221" w14:paraId="6604D227"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4BA506B6"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OSDBA Creations-LTs</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14FF6377"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Portland</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24979390"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r w:rsidR="00644221" w:rsidRPr="00644221" w14:paraId="33475DC7"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61FF1003"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 xml:space="preserve">Pacific Crest Uniform Co., </w:t>
            </w:r>
            <w:proofErr w:type="gramStart"/>
            <w:r w:rsidRPr="00644221">
              <w:rPr>
                <w:rFonts w:ascii="Arial" w:eastAsia="Arial" w:hAnsi="Arial" w:cs="Arial"/>
                <w:kern w:val="0"/>
                <w:sz w:val="20"/>
                <w:szCs w:val="20"/>
                <w14:ligatures w14:val="none"/>
              </w:rPr>
              <w:t>dba</w:t>
            </w:r>
            <w:proofErr w:type="gramEnd"/>
            <w:r w:rsidRPr="00644221">
              <w:rPr>
                <w:rFonts w:ascii="Arial" w:eastAsia="Arial" w:hAnsi="Arial" w:cs="Arial"/>
                <w:kern w:val="0"/>
                <w:sz w:val="20"/>
                <w:szCs w:val="20"/>
                <w14:ligatures w14:val="none"/>
              </w:rPr>
              <w:t xml:space="preserve"> Mountain Uniforms</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111627DF"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Incline Village</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1A045541"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NV</w:t>
            </w:r>
          </w:p>
        </w:tc>
      </w:tr>
      <w:tr w:rsidR="00644221" w:rsidRPr="00644221" w14:paraId="2FF8D20A"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53E579DA"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Trident Armory</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258082E1"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Hermon</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4E29ADAE"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r w:rsidR="00644221" w:rsidRPr="00644221" w14:paraId="06C6B53A"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779E9DB3"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Unifirst Corp.</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1B14D497"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Portland</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092C6260"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r w:rsidR="00644221" w:rsidRPr="00644221" w14:paraId="70952D28" w14:textId="77777777" w:rsidTr="00D615A4">
        <w:trPr>
          <w:jc w:val="center"/>
        </w:trPr>
        <w:tc>
          <w:tcPr>
            <w:tcW w:w="5835" w:type="dxa"/>
            <w:tcBorders>
              <w:top w:val="outset" w:sz="18" w:space="0" w:color="D0D7E5"/>
              <w:left w:val="outset" w:sz="18" w:space="0" w:color="D0D7E5"/>
              <w:bottom w:val="outset" w:sz="18" w:space="0" w:color="D0D7E5"/>
              <w:right w:val="outset" w:sz="18" w:space="0" w:color="D0D7E5"/>
            </w:tcBorders>
            <w:shd w:val="clear" w:color="auto" w:fill="FFFFFF"/>
          </w:tcPr>
          <w:p w14:paraId="102315F7"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Unifirst Corp.</w:t>
            </w:r>
          </w:p>
        </w:tc>
        <w:tc>
          <w:tcPr>
            <w:tcW w:w="1755" w:type="dxa"/>
            <w:tcBorders>
              <w:top w:val="outset" w:sz="18" w:space="0" w:color="D0D7E5"/>
              <w:left w:val="outset" w:sz="18" w:space="0" w:color="D0D7E5"/>
              <w:bottom w:val="outset" w:sz="18" w:space="0" w:color="D0D7E5"/>
              <w:right w:val="outset" w:sz="18" w:space="0" w:color="D0D7E5"/>
            </w:tcBorders>
            <w:shd w:val="clear" w:color="auto" w:fill="FFFFFF"/>
          </w:tcPr>
          <w:p w14:paraId="2D0E586F"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Bangor</w:t>
            </w:r>
          </w:p>
        </w:tc>
        <w:tc>
          <w:tcPr>
            <w:tcW w:w="960" w:type="dxa"/>
            <w:tcBorders>
              <w:top w:val="outset" w:sz="18" w:space="0" w:color="D0D7E5"/>
              <w:left w:val="outset" w:sz="18" w:space="0" w:color="D0D7E5"/>
              <w:bottom w:val="outset" w:sz="18" w:space="0" w:color="D0D7E5"/>
              <w:right w:val="outset" w:sz="18" w:space="0" w:color="D0D7E5"/>
            </w:tcBorders>
            <w:shd w:val="clear" w:color="auto" w:fill="FFFFFF"/>
          </w:tcPr>
          <w:p w14:paraId="1A635A8A"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ME</w:t>
            </w:r>
          </w:p>
        </w:tc>
      </w:tr>
    </w:tbl>
    <w:p w14:paraId="25F24D3F" w14:textId="77777777" w:rsidR="00644221" w:rsidRPr="00644221" w:rsidRDefault="00644221" w:rsidP="00644221">
      <w:pPr>
        <w:spacing w:after="0" w:line="240" w:lineRule="auto"/>
        <w:rPr>
          <w:rFonts w:ascii="Calibri" w:eastAsia="Calibri" w:hAnsi="Calibri" w:cs="Calibri"/>
          <w:kern w:val="0"/>
          <w14:ligatures w14:val="none"/>
        </w:rPr>
      </w:pPr>
    </w:p>
    <w:p w14:paraId="5B8A2B26" w14:textId="77777777" w:rsidR="00644221" w:rsidRPr="00644221" w:rsidRDefault="00644221" w:rsidP="00644221">
      <w:pPr>
        <w:spacing w:after="0" w:line="240" w:lineRule="auto"/>
        <w:rPr>
          <w:rFonts w:ascii="Arial" w:eastAsia="Arial" w:hAnsi="Arial" w:cs="Arial"/>
          <w:kern w:val="0"/>
          <w:sz w:val="20"/>
          <w:szCs w:val="20"/>
          <w14:ligatures w14:val="none"/>
        </w:rPr>
      </w:pPr>
      <w:r w:rsidRPr="00644221">
        <w:rPr>
          <w:rFonts w:ascii="Arial" w:eastAsia="Arial" w:hAnsi="Arial" w:cs="Arial"/>
          <w:kern w:val="0"/>
          <w:sz w:val="20"/>
          <w:szCs w:val="20"/>
          <w14:ligatures w14:val="none"/>
        </w:rPr>
        <w:t>The methods of purchase comprising the $1,120,110.48 total were: $ 286,220.61 via a State of Maine Procurement Card, $ 825,173.41 via the more standard “Delivery Order” purchasing process, and $8,716.46 in under $5,000 purchase orders at the agency level.</w:t>
      </w:r>
    </w:p>
    <w:p w14:paraId="5EA632A9" w14:textId="77777777" w:rsidR="00644221" w:rsidRPr="00644221" w:rsidRDefault="00644221" w:rsidP="00644221">
      <w:pPr>
        <w:spacing w:after="0" w:line="240" w:lineRule="auto"/>
        <w:rPr>
          <w:rFonts w:ascii="Arial" w:eastAsia="Arial" w:hAnsi="Arial" w:cs="Arial"/>
          <w:kern w:val="0"/>
          <w:sz w:val="20"/>
          <w:szCs w:val="20"/>
          <w14:ligatures w14:val="none"/>
        </w:rPr>
      </w:pPr>
    </w:p>
    <w:p w14:paraId="28F25FC7" w14:textId="77777777" w:rsidR="00644221" w:rsidRPr="00644221" w:rsidRDefault="00644221" w:rsidP="00644221">
      <w:pPr>
        <w:spacing w:after="0" w:line="240" w:lineRule="auto"/>
        <w:rPr>
          <w:rFonts w:ascii="Arial" w:eastAsia="Aptos" w:hAnsi="Arial" w:cs="Arial"/>
          <w:kern w:val="0"/>
          <w:sz w:val="20"/>
          <w:szCs w:val="20"/>
          <w14:ligatures w14:val="none"/>
        </w:rPr>
      </w:pPr>
      <w:r w:rsidRPr="00644221">
        <w:rPr>
          <w:rFonts w:ascii="Arial" w:eastAsia="Aptos" w:hAnsi="Arial" w:cs="Arial"/>
          <w:b/>
          <w:bCs/>
          <w:kern w:val="0"/>
          <w:sz w:val="20"/>
          <w:szCs w:val="20"/>
          <w14:ligatures w14:val="none"/>
        </w:rPr>
        <w:t>M.R.S. 1825-B (13) Code of Conduct - Vendor's Fee (SLG)</w:t>
      </w:r>
    </w:p>
    <w:p w14:paraId="75511BB9" w14:textId="77777777" w:rsidR="00644221" w:rsidRPr="00644221" w:rsidRDefault="00644221" w:rsidP="00644221">
      <w:pPr>
        <w:spacing w:after="0" w:line="240" w:lineRule="auto"/>
        <w:rPr>
          <w:rFonts w:ascii="Arial" w:eastAsia="Aptos" w:hAnsi="Arial" w:cs="Arial"/>
          <w:kern w:val="0"/>
          <w:sz w:val="20"/>
          <w:szCs w:val="20"/>
          <w14:ligatures w14:val="none"/>
        </w:rPr>
      </w:pPr>
    </w:p>
    <w:p w14:paraId="43A17E85" w14:textId="77777777" w:rsidR="00644221" w:rsidRPr="00644221" w:rsidRDefault="00644221" w:rsidP="00644221">
      <w:pPr>
        <w:spacing w:after="0" w:line="240" w:lineRule="auto"/>
        <w:rPr>
          <w:rFonts w:ascii="Arial" w:eastAsia="Aptos" w:hAnsi="Arial" w:cs="Arial"/>
          <w:kern w:val="0"/>
          <w:sz w:val="20"/>
          <w:szCs w:val="20"/>
          <w14:ligatures w14:val="none"/>
        </w:rPr>
      </w:pPr>
      <w:r w:rsidRPr="00644221">
        <w:rPr>
          <w:rFonts w:ascii="Arial" w:eastAsia="Aptos" w:hAnsi="Arial" w:cs="Arial"/>
          <w:kern w:val="0"/>
          <w:sz w:val="20"/>
          <w:szCs w:val="20"/>
          <w14:ligatures w14:val="none"/>
        </w:rPr>
        <w:t xml:space="preserve">The Code of Conduct fee is 1% of sales to the State and assessed based on the State's </w:t>
      </w:r>
      <w:proofErr w:type="gramStart"/>
      <w:r w:rsidRPr="00644221">
        <w:rPr>
          <w:rFonts w:ascii="Arial" w:eastAsia="Aptos" w:hAnsi="Arial" w:cs="Arial"/>
          <w:kern w:val="0"/>
          <w:sz w:val="20"/>
          <w:szCs w:val="20"/>
          <w14:ligatures w14:val="none"/>
        </w:rPr>
        <w:t>spend</w:t>
      </w:r>
      <w:proofErr w:type="gramEnd"/>
      <w:r w:rsidRPr="00644221">
        <w:rPr>
          <w:rFonts w:ascii="Arial" w:eastAsia="Aptos" w:hAnsi="Arial" w:cs="Arial"/>
          <w:kern w:val="0"/>
          <w:sz w:val="20"/>
          <w:szCs w:val="20"/>
          <w14:ligatures w14:val="none"/>
        </w:rPr>
        <w:t xml:space="preserve"> through each Master Agreement. The fees are paid quarterly by vendors.</w:t>
      </w:r>
    </w:p>
    <w:p w14:paraId="257F86F7" w14:textId="77777777" w:rsidR="00644221" w:rsidRPr="00644221" w:rsidRDefault="00644221" w:rsidP="00644221">
      <w:pPr>
        <w:spacing w:after="0" w:line="240" w:lineRule="auto"/>
        <w:rPr>
          <w:rFonts w:ascii="Arial" w:eastAsia="Aptos" w:hAnsi="Arial" w:cs="Arial"/>
          <w:kern w:val="0"/>
          <w:sz w:val="20"/>
          <w:szCs w:val="20"/>
          <w14:ligatures w14:val="none"/>
        </w:rPr>
      </w:pPr>
    </w:p>
    <w:p w14:paraId="40A22C73" w14:textId="28AE6AE8" w:rsidR="00B94D48" w:rsidRPr="008F0839" w:rsidRDefault="00644221" w:rsidP="008F0839">
      <w:pPr>
        <w:spacing w:after="0" w:line="240" w:lineRule="auto"/>
        <w:rPr>
          <w:rFonts w:ascii="Arial" w:eastAsia="Calibri" w:hAnsi="Arial" w:cs="Arial"/>
          <w:kern w:val="0"/>
          <w:sz w:val="20"/>
          <w:szCs w:val="20"/>
          <w14:ligatures w14:val="none"/>
        </w:rPr>
      </w:pPr>
      <w:r w:rsidRPr="00644221">
        <w:rPr>
          <w:rFonts w:ascii="Arial" w:eastAsia="Aptos" w:hAnsi="Arial" w:cs="Arial"/>
          <w:kern w:val="0"/>
          <w:sz w:val="20"/>
          <w:szCs w:val="20"/>
          <w14:ligatures w14:val="none"/>
        </w:rPr>
        <w:t xml:space="preserve">The Office of State Procurement Services received Code of Conduct fees totaling $9,646.51 during 2024. </w:t>
      </w:r>
    </w:p>
    <w:sectPr w:rsidR="00B94D48" w:rsidRPr="008F0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21"/>
    <w:rsid w:val="002555A9"/>
    <w:rsid w:val="002771E4"/>
    <w:rsid w:val="00644221"/>
    <w:rsid w:val="008B19B6"/>
    <w:rsid w:val="008F0839"/>
    <w:rsid w:val="00980E80"/>
    <w:rsid w:val="00B94D48"/>
    <w:rsid w:val="00DB7EA9"/>
    <w:rsid w:val="00DE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DBEE"/>
  <w15:chartTrackingRefBased/>
  <w15:docId w15:val="{B11841AB-9837-4927-A299-71DB3581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221"/>
    <w:rPr>
      <w:rFonts w:eastAsiaTheme="majorEastAsia" w:cstheme="majorBidi"/>
      <w:color w:val="272727" w:themeColor="text1" w:themeTint="D8"/>
    </w:rPr>
  </w:style>
  <w:style w:type="paragraph" w:styleId="Title">
    <w:name w:val="Title"/>
    <w:basedOn w:val="Normal"/>
    <w:next w:val="Normal"/>
    <w:link w:val="TitleChar"/>
    <w:uiPriority w:val="10"/>
    <w:qFormat/>
    <w:rsid w:val="0064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221"/>
    <w:pPr>
      <w:spacing w:before="160"/>
      <w:jc w:val="center"/>
    </w:pPr>
    <w:rPr>
      <w:i/>
      <w:iCs/>
      <w:color w:val="404040" w:themeColor="text1" w:themeTint="BF"/>
    </w:rPr>
  </w:style>
  <w:style w:type="character" w:customStyle="1" w:styleId="QuoteChar">
    <w:name w:val="Quote Char"/>
    <w:basedOn w:val="DefaultParagraphFont"/>
    <w:link w:val="Quote"/>
    <w:uiPriority w:val="29"/>
    <w:rsid w:val="00644221"/>
    <w:rPr>
      <w:i/>
      <w:iCs/>
      <w:color w:val="404040" w:themeColor="text1" w:themeTint="BF"/>
    </w:rPr>
  </w:style>
  <w:style w:type="paragraph" w:styleId="ListParagraph">
    <w:name w:val="List Paragraph"/>
    <w:basedOn w:val="Normal"/>
    <w:uiPriority w:val="34"/>
    <w:qFormat/>
    <w:rsid w:val="00644221"/>
    <w:pPr>
      <w:ind w:left="720"/>
      <w:contextualSpacing/>
    </w:pPr>
  </w:style>
  <w:style w:type="character" w:styleId="IntenseEmphasis">
    <w:name w:val="Intense Emphasis"/>
    <w:basedOn w:val="DefaultParagraphFont"/>
    <w:uiPriority w:val="21"/>
    <w:qFormat/>
    <w:rsid w:val="00644221"/>
    <w:rPr>
      <w:i/>
      <w:iCs/>
      <w:color w:val="0F4761" w:themeColor="accent1" w:themeShade="BF"/>
    </w:rPr>
  </w:style>
  <w:style w:type="paragraph" w:styleId="IntenseQuote">
    <w:name w:val="Intense Quote"/>
    <w:basedOn w:val="Normal"/>
    <w:next w:val="Normal"/>
    <w:link w:val="IntenseQuoteChar"/>
    <w:uiPriority w:val="30"/>
    <w:qFormat/>
    <w:rsid w:val="0064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221"/>
    <w:rPr>
      <w:i/>
      <w:iCs/>
      <w:color w:val="0F4761" w:themeColor="accent1" w:themeShade="BF"/>
    </w:rPr>
  </w:style>
  <w:style w:type="character" w:styleId="IntenseReference">
    <w:name w:val="Intense Reference"/>
    <w:basedOn w:val="DefaultParagraphFont"/>
    <w:uiPriority w:val="32"/>
    <w:qFormat/>
    <w:rsid w:val="00644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David</dc:creator>
  <cp:keywords/>
  <dc:description/>
  <cp:lastModifiedBy>Sturies, Christopher</cp:lastModifiedBy>
  <cp:revision>2</cp:revision>
  <dcterms:created xsi:type="dcterms:W3CDTF">2025-12-18T21:24:00Z</dcterms:created>
  <dcterms:modified xsi:type="dcterms:W3CDTF">2025-12-18T21:30:00Z</dcterms:modified>
</cp:coreProperties>
</file>