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DD57A" w14:textId="77777777" w:rsidR="000D2B33" w:rsidRDefault="000D2B33" w:rsidP="000D2B33">
      <w:pPr>
        <w:tabs>
          <w:tab w:val="center" w:pos="5256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MAINE HISTORIC PRESERVATION COMMISSION</w:t>
      </w:r>
    </w:p>
    <w:p w14:paraId="39939FA2" w14:textId="77777777" w:rsidR="000D2B33" w:rsidRDefault="000D2B33" w:rsidP="000D2B33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F5FDC6C" w14:textId="77777777" w:rsidR="000D2B33" w:rsidRDefault="000D2B33" w:rsidP="000D2B33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4B97FB84" w14:textId="77777777" w:rsidR="000D2B33" w:rsidRDefault="000D2B33" w:rsidP="000D2B33">
      <w:pPr>
        <w:tabs>
          <w:tab w:val="center" w:pos="5256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Inventory Data for Municipal Growth Management Plans</w:t>
      </w:r>
    </w:p>
    <w:p w14:paraId="2098E088" w14:textId="77777777" w:rsidR="000D2B33" w:rsidRDefault="000D2B33" w:rsidP="000D2B33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3EA7243" w14:textId="77777777" w:rsidR="000D2B33" w:rsidRDefault="000D2B33" w:rsidP="000D2B33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42E384C" w14:textId="77777777" w:rsidR="000D2B33" w:rsidRDefault="000D2B33" w:rsidP="000D2B33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C32B226" w14:textId="77777777" w:rsidR="000D2B33" w:rsidRDefault="000D2B33" w:rsidP="000D2B33">
      <w:pPr>
        <w:tabs>
          <w:tab w:val="left" w:pos="-1440"/>
        </w:tabs>
        <w:ind w:left="1440" w:hanging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Resource: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Prehistoric Archaeological Sites: Arthur Spiess</w:t>
      </w:r>
    </w:p>
    <w:p w14:paraId="2FE91D12" w14:textId="77777777" w:rsidR="000D2B33" w:rsidRDefault="000D2B33" w:rsidP="000D2B33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D0CF709" w14:textId="50BC2053" w:rsidR="000D2B33" w:rsidRDefault="000D2B33" w:rsidP="000D2B33">
      <w:pPr>
        <w:ind w:firstLine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Historic Archaeological Sites: Le</w:t>
      </w:r>
      <w:r>
        <w:rPr>
          <w:rFonts w:ascii="Times New Roman" w:hAnsi="Times New Roman" w:cs="Times New Roman"/>
          <w:sz w:val="26"/>
          <w:szCs w:val="26"/>
        </w:rPr>
        <w:t>ith Smith</w:t>
      </w:r>
    </w:p>
    <w:p w14:paraId="156DD04A" w14:textId="77777777" w:rsidR="000D2B33" w:rsidRDefault="000D2B33" w:rsidP="000D2B33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0DC6D51" w14:textId="77777777" w:rsidR="000D2B33" w:rsidRDefault="000D2B33" w:rsidP="000D2B33">
      <w:pPr>
        <w:ind w:firstLine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X  </w:t>
      </w:r>
      <w:r>
        <w:rPr>
          <w:rFonts w:ascii="Times New Roman" w:hAnsi="Times New Roman" w:cs="Times New Roman"/>
          <w:sz w:val="26"/>
          <w:szCs w:val="26"/>
        </w:rPr>
        <w:t xml:space="preserve">  Historic Buildings/Structures/Objects: Kirk Mohney</w:t>
      </w:r>
    </w:p>
    <w:p w14:paraId="135A8C61" w14:textId="77777777" w:rsidR="000D2B33" w:rsidRDefault="000D2B33" w:rsidP="000D2B33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3C81173" w14:textId="77777777" w:rsidR="000D2B33" w:rsidRDefault="000D2B33" w:rsidP="000D2B33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D5222B2" w14:textId="77777777" w:rsidR="000D2B33" w:rsidRDefault="000D2B33" w:rsidP="000D2B33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Municipality: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   Windsor    </w:t>
      </w:r>
    </w:p>
    <w:p w14:paraId="5309F02A" w14:textId="77777777" w:rsidR="000D2B33" w:rsidRDefault="000D2B33" w:rsidP="000D2B33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                                                                                                                                         </w:t>
      </w:r>
    </w:p>
    <w:p w14:paraId="3F4F4B82" w14:textId="77777777" w:rsidR="000D2B33" w:rsidRDefault="000D2B33" w:rsidP="000D2B33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010824E" w14:textId="2E0133C3" w:rsidR="000D2B33" w:rsidRDefault="000D2B33" w:rsidP="000D2B33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Inventory data as of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  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March, 2025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 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:</w:t>
      </w:r>
      <w:proofErr w:type="gramEnd"/>
    </w:p>
    <w:p w14:paraId="7463E07F" w14:textId="77777777" w:rsidR="000D2B33" w:rsidRDefault="000D2B33" w:rsidP="000D2B33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6A85323" w14:textId="77777777" w:rsidR="000D2B33" w:rsidRDefault="000D2B33" w:rsidP="000D2B33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28A27E0" w14:textId="65F81F16" w:rsidR="000D2B33" w:rsidRDefault="000D2B33" w:rsidP="000D2B33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No properties in Windsor are listed in the National Register of Historic Places.</w:t>
      </w:r>
    </w:p>
    <w:p w14:paraId="3928A520" w14:textId="77777777" w:rsidR="000D2B33" w:rsidRDefault="000D2B33" w:rsidP="000D2B33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7539410" w14:textId="77777777" w:rsidR="000D2B33" w:rsidRDefault="000D2B33" w:rsidP="000D2B33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C64290B" w14:textId="77777777" w:rsidR="000D2B33" w:rsidRDefault="000D2B33" w:rsidP="000D2B33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757482A" w14:textId="77777777" w:rsidR="000D2B33" w:rsidRPr="00C86AFF" w:rsidRDefault="000D2B33" w:rsidP="000D2B33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A786513" w14:textId="77777777" w:rsidR="000D2B33" w:rsidRPr="00C86AFF" w:rsidRDefault="000D2B33" w:rsidP="000D2B33">
      <w:pPr>
        <w:jc w:val="both"/>
        <w:rPr>
          <w:rFonts w:ascii="Times New Roman" w:hAnsi="Times New Roman" w:cs="Times New Roman"/>
          <w:sz w:val="26"/>
          <w:szCs w:val="26"/>
        </w:rPr>
      </w:pPr>
      <w:r w:rsidRPr="00C86AFF">
        <w:rPr>
          <w:rFonts w:ascii="Times New Roman" w:hAnsi="Times New Roman" w:cs="Times New Roman"/>
          <w:sz w:val="26"/>
          <w:szCs w:val="26"/>
        </w:rPr>
        <w:t>To see if other properties in your community have been determined eligible for listing in the National Register, please refer to the CARMA Sheet that is included in the data packet.</w:t>
      </w:r>
    </w:p>
    <w:p w14:paraId="07CA6060" w14:textId="77777777" w:rsidR="000D2B33" w:rsidRDefault="000D2B33" w:rsidP="000D2B33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9DFE783" w14:textId="77777777" w:rsidR="000D2B33" w:rsidRDefault="000D2B33" w:rsidP="000D2B33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DC185FA" w14:textId="77777777" w:rsidR="000D2B33" w:rsidRDefault="000D2B33" w:rsidP="000D2B33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D61FC7B" w14:textId="77777777" w:rsidR="000D2B33" w:rsidRDefault="000D2B33" w:rsidP="000D2B33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47CC922" w14:textId="37A46129" w:rsidR="000D2B33" w:rsidRDefault="000D2B33" w:rsidP="000D2B33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                                                                                                                                        </w:t>
      </w:r>
    </w:p>
    <w:p w14:paraId="5CE76137" w14:textId="77777777" w:rsidR="000D2B33" w:rsidRDefault="000D2B33" w:rsidP="000D2B33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Needs for further survey, inventory, and analy</w:t>
      </w:r>
      <w:r>
        <w:rPr>
          <w:rFonts w:ascii="Times New Roman" w:hAnsi="Times New Roman" w:cs="Times New Roman"/>
          <w:sz w:val="26"/>
          <w:szCs w:val="26"/>
        </w:rPr>
        <w:t>sis:</w:t>
      </w:r>
    </w:p>
    <w:p w14:paraId="29B8F7C7" w14:textId="77777777" w:rsidR="000D2B33" w:rsidRDefault="000D2B33" w:rsidP="000D2B33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6119328" w14:textId="77777777" w:rsidR="000D2B33" w:rsidRDefault="000D2B33" w:rsidP="000D2B33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60A8047" w14:textId="4358FED0" w:rsidR="000D2B33" w:rsidRDefault="000D2B33" w:rsidP="000D2B33">
      <w:pPr>
        <w:jc w:val="both"/>
        <w:rPr>
          <w:rFonts w:ascii="Times New Roman" w:hAnsi="Times New Roman" w:cs="Times New Roman"/>
          <w:sz w:val="26"/>
          <w:szCs w:val="26"/>
        </w:rPr>
        <w:sectPr w:rsidR="000D2B33" w:rsidSect="000D2B33">
          <w:pgSz w:w="12240" w:h="15840"/>
          <w:pgMar w:top="1440" w:right="1008" w:bottom="720" w:left="720" w:header="1440" w:footer="720" w:gutter="0"/>
          <w:cols w:space="720"/>
          <w:noEndnote/>
        </w:sectPr>
      </w:pPr>
      <w:r>
        <w:rPr>
          <w:rFonts w:ascii="Times New Roman" w:hAnsi="Times New Roman" w:cs="Times New Roman"/>
          <w:sz w:val="26"/>
          <w:szCs w:val="26"/>
        </w:rPr>
        <w:t xml:space="preserve">A comprehensive survey of Windsor’s above-ground historic resources needs to be conducted </w:t>
      </w:r>
      <w:proofErr w:type="gramStart"/>
      <w:r>
        <w:rPr>
          <w:rFonts w:ascii="Times New Roman" w:hAnsi="Times New Roman" w:cs="Times New Roman"/>
          <w:sz w:val="26"/>
          <w:szCs w:val="26"/>
        </w:rPr>
        <w:t>in order to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identify properties </w:t>
      </w:r>
      <w:r>
        <w:rPr>
          <w:rFonts w:ascii="Times New Roman" w:hAnsi="Times New Roman" w:cs="Times New Roman"/>
          <w:sz w:val="26"/>
          <w:szCs w:val="26"/>
        </w:rPr>
        <w:t>that</w:t>
      </w:r>
      <w:r>
        <w:rPr>
          <w:rFonts w:ascii="Times New Roman" w:hAnsi="Times New Roman" w:cs="Times New Roman"/>
          <w:sz w:val="26"/>
          <w:szCs w:val="26"/>
        </w:rPr>
        <w:t xml:space="preserve"> may be eligible for nomination to the National Register of Historic Places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7A0B535E" w14:textId="77777777" w:rsidR="000D2B33" w:rsidRDefault="000D2B33" w:rsidP="00B35F1A"/>
    <w:sectPr w:rsidR="000D2B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avanese Text">
    <w:panose1 w:val="02000000000000000000"/>
    <w:charset w:val="00"/>
    <w:family w:val="auto"/>
    <w:pitch w:val="variable"/>
    <w:sig w:usb0="80000003" w:usb1="00002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B33"/>
    <w:rsid w:val="000D2B33"/>
    <w:rsid w:val="00421671"/>
    <w:rsid w:val="00B35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AEC2F"/>
  <w15:chartTrackingRefBased/>
  <w15:docId w15:val="{87002E52-E174-4E5E-A7FA-55A315789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2B33"/>
    <w:pPr>
      <w:widowControl w:val="0"/>
      <w:autoSpaceDE w:val="0"/>
      <w:autoSpaceDN w:val="0"/>
      <w:adjustRightInd w:val="0"/>
      <w:spacing w:after="0" w:line="240" w:lineRule="auto"/>
    </w:pPr>
    <w:rPr>
      <w:rFonts w:ascii="Javanese Text" w:eastAsiaTheme="minorEastAsia" w:hAnsi="Javanese Text"/>
      <w:kern w:val="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D2B33"/>
    <w:pPr>
      <w:keepNext/>
      <w:keepLines/>
      <w:widowControl/>
      <w:autoSpaceDE/>
      <w:autoSpaceDN/>
      <w:adjustRightInd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D2B33"/>
    <w:pPr>
      <w:keepNext/>
      <w:keepLines/>
      <w:widowControl/>
      <w:autoSpaceDE/>
      <w:autoSpaceDN/>
      <w:adjustRightInd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D2B33"/>
    <w:pPr>
      <w:keepNext/>
      <w:keepLines/>
      <w:widowControl/>
      <w:autoSpaceDE/>
      <w:autoSpaceDN/>
      <w:adjustRightInd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D2B33"/>
    <w:pPr>
      <w:keepNext/>
      <w:keepLines/>
      <w:widowControl/>
      <w:autoSpaceDE/>
      <w:autoSpaceDN/>
      <w:adjustRightInd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2B33"/>
    <w:pPr>
      <w:keepNext/>
      <w:keepLines/>
      <w:widowControl/>
      <w:autoSpaceDE/>
      <w:autoSpaceDN/>
      <w:adjustRightInd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2B33"/>
    <w:pPr>
      <w:keepNext/>
      <w:keepLines/>
      <w:widowControl/>
      <w:autoSpaceDE/>
      <w:autoSpaceDN/>
      <w:adjustRightInd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2B33"/>
    <w:pPr>
      <w:keepNext/>
      <w:keepLines/>
      <w:widowControl/>
      <w:autoSpaceDE/>
      <w:autoSpaceDN/>
      <w:adjustRightInd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2B33"/>
    <w:pPr>
      <w:keepNext/>
      <w:keepLines/>
      <w:widowControl/>
      <w:autoSpaceDE/>
      <w:autoSpaceDN/>
      <w:adjustRightInd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2B33"/>
    <w:pPr>
      <w:keepNext/>
      <w:keepLines/>
      <w:widowControl/>
      <w:autoSpaceDE/>
      <w:autoSpaceDN/>
      <w:adjustRightInd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2B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D2B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D2B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2B3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2B3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2B3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D2B3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2B3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2B3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D2B33"/>
    <w:pPr>
      <w:widowControl/>
      <w:autoSpaceDE/>
      <w:autoSpaceDN/>
      <w:adjustRightInd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D2B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D2B33"/>
    <w:pPr>
      <w:widowControl/>
      <w:numPr>
        <w:ilvl w:val="1"/>
      </w:numPr>
      <w:autoSpaceDE/>
      <w:autoSpaceDN/>
      <w:adjustRightInd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D2B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D2B33"/>
    <w:pPr>
      <w:widowControl/>
      <w:autoSpaceDE/>
      <w:autoSpaceDN/>
      <w:adjustRightInd/>
      <w:spacing w:before="160" w:after="160" w:line="278" w:lineRule="auto"/>
      <w:jc w:val="center"/>
    </w:pPr>
    <w:rPr>
      <w:rFonts w:asciiTheme="minorHAnsi" w:eastAsiaTheme="minorHAnsi" w:hAnsiTheme="minorHAnsi"/>
      <w:i/>
      <w:iCs/>
      <w:color w:val="404040" w:themeColor="text1" w:themeTint="BF"/>
      <w:kern w:val="2"/>
    </w:rPr>
  </w:style>
  <w:style w:type="character" w:customStyle="1" w:styleId="QuoteChar">
    <w:name w:val="Quote Char"/>
    <w:basedOn w:val="DefaultParagraphFont"/>
    <w:link w:val="Quote"/>
    <w:uiPriority w:val="29"/>
    <w:rsid w:val="000D2B3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D2B33"/>
    <w:pPr>
      <w:widowControl/>
      <w:autoSpaceDE/>
      <w:autoSpaceDN/>
      <w:adjustRightInd/>
      <w:spacing w:after="160" w:line="278" w:lineRule="auto"/>
      <w:ind w:left="720"/>
      <w:contextualSpacing/>
    </w:pPr>
    <w:rPr>
      <w:rFonts w:asciiTheme="minorHAnsi" w:eastAsiaTheme="minorHAnsi" w:hAnsiTheme="minorHAnsi"/>
      <w:kern w:val="2"/>
    </w:rPr>
  </w:style>
  <w:style w:type="character" w:styleId="IntenseEmphasis">
    <w:name w:val="Intense Emphasis"/>
    <w:basedOn w:val="DefaultParagraphFont"/>
    <w:uiPriority w:val="21"/>
    <w:qFormat/>
    <w:rsid w:val="000D2B3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D2B33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adjustRightInd/>
      <w:spacing w:before="360" w:after="360" w:line="278" w:lineRule="auto"/>
      <w:ind w:left="864" w:right="864"/>
      <w:jc w:val="center"/>
    </w:pPr>
    <w:rPr>
      <w:rFonts w:asciiTheme="minorHAnsi" w:eastAsiaTheme="minorHAnsi" w:hAnsiTheme="minorHAnsi"/>
      <w:i/>
      <w:iCs/>
      <w:color w:val="0F4761" w:themeColor="accent1" w:themeShade="BF"/>
      <w:kern w:val="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D2B3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D2B3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184</Words>
  <Characters>1055</Characters>
  <Application>Microsoft Office Word</Application>
  <DocSecurity>0</DocSecurity>
  <Lines>8</Lines>
  <Paragraphs>2</Paragraphs>
  <ScaleCrop>false</ScaleCrop>
  <Company>State of Maine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2</cp:revision>
  <dcterms:created xsi:type="dcterms:W3CDTF">2025-03-11T17:20:00Z</dcterms:created>
  <dcterms:modified xsi:type="dcterms:W3CDTF">2025-03-11T17:24:00Z</dcterms:modified>
</cp:coreProperties>
</file>