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BF880" w14:textId="77777777" w:rsidR="008D67A9" w:rsidRDefault="008D67A9">
      <w:r>
        <w:rPr>
          <w:noProof/>
        </w:rPr>
        <w:drawing>
          <wp:inline distT="0" distB="0" distL="0" distR="0" wp14:anchorId="03ACCF2B" wp14:editId="17945135">
            <wp:extent cx="5943600" cy="745250"/>
            <wp:effectExtent l="0" t="0" r="0" b="0"/>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45250"/>
                    </a:xfrm>
                    <a:prstGeom prst="rect">
                      <a:avLst/>
                    </a:prstGeom>
                    <a:noFill/>
                    <a:ln>
                      <a:noFill/>
                    </a:ln>
                  </pic:spPr>
                </pic:pic>
              </a:graphicData>
            </a:graphic>
          </wp:inline>
        </w:drawing>
      </w:r>
    </w:p>
    <w:p w14:paraId="369943B5" w14:textId="77777777" w:rsidR="008D67A9" w:rsidRPr="008D67A9" w:rsidRDefault="008D67A9" w:rsidP="008D67A9"/>
    <w:p w14:paraId="30C73E50" w14:textId="77777777" w:rsidR="00763334" w:rsidRDefault="00763334" w:rsidP="008D67A9">
      <w:pPr>
        <w:jc w:val="center"/>
        <w:rPr>
          <w:b/>
          <w:sz w:val="32"/>
          <w:szCs w:val="32"/>
        </w:rPr>
      </w:pPr>
    </w:p>
    <w:p w14:paraId="66AE4872" w14:textId="77777777" w:rsidR="005F281A" w:rsidRDefault="005F281A" w:rsidP="008D67A9">
      <w:pPr>
        <w:jc w:val="center"/>
        <w:rPr>
          <w:b/>
          <w:sz w:val="32"/>
          <w:szCs w:val="32"/>
        </w:rPr>
      </w:pPr>
    </w:p>
    <w:p w14:paraId="471E1EE5" w14:textId="77777777" w:rsidR="005F281A" w:rsidRDefault="005F281A" w:rsidP="008D67A9">
      <w:pPr>
        <w:jc w:val="center"/>
        <w:rPr>
          <w:b/>
          <w:sz w:val="32"/>
          <w:szCs w:val="32"/>
        </w:rPr>
      </w:pPr>
    </w:p>
    <w:p w14:paraId="69941D17" w14:textId="77777777" w:rsidR="005F281A" w:rsidRDefault="005F281A" w:rsidP="008D67A9">
      <w:pPr>
        <w:jc w:val="center"/>
        <w:rPr>
          <w:b/>
          <w:sz w:val="32"/>
          <w:szCs w:val="32"/>
        </w:rPr>
      </w:pPr>
    </w:p>
    <w:p w14:paraId="722CFCC1" w14:textId="77777777" w:rsidR="005F281A" w:rsidRDefault="005F281A" w:rsidP="007E6966">
      <w:pPr>
        <w:rPr>
          <w:b/>
          <w:sz w:val="32"/>
          <w:szCs w:val="32"/>
        </w:rPr>
      </w:pPr>
    </w:p>
    <w:p w14:paraId="42E96C8D" w14:textId="77777777" w:rsidR="005F281A" w:rsidRDefault="005F281A" w:rsidP="00174C9A">
      <w:pPr>
        <w:rPr>
          <w:b/>
          <w:sz w:val="32"/>
          <w:szCs w:val="32"/>
        </w:rPr>
      </w:pPr>
    </w:p>
    <w:p w14:paraId="0FF6418E" w14:textId="77777777" w:rsidR="007E6966" w:rsidRDefault="007E6966" w:rsidP="00174C9A">
      <w:pPr>
        <w:rPr>
          <w:b/>
          <w:sz w:val="32"/>
          <w:szCs w:val="32"/>
        </w:rPr>
      </w:pPr>
    </w:p>
    <w:p w14:paraId="753DA060" w14:textId="77777777" w:rsidR="005F281A" w:rsidRDefault="005F281A" w:rsidP="002F00C4">
      <w:pPr>
        <w:jc w:val="center"/>
        <w:rPr>
          <w:b/>
          <w:sz w:val="32"/>
          <w:szCs w:val="32"/>
        </w:rPr>
      </w:pPr>
    </w:p>
    <w:p w14:paraId="583E8121" w14:textId="77777777" w:rsidR="002F00C4" w:rsidRDefault="00C05AE6" w:rsidP="002D1843">
      <w:pPr>
        <w:pStyle w:val="Default"/>
        <w:jc w:val="center"/>
      </w:pPr>
      <w:r>
        <w:rPr>
          <w:rFonts w:ascii="Source Sans Pro" w:hAnsi="Source Sans Pro" w:cs="Arial"/>
          <w:noProof/>
          <w:color w:val="0000FF"/>
          <w:bdr w:val="none" w:sz="0" w:space="0" w:color="auto" w:frame="1"/>
        </w:rPr>
        <w:drawing>
          <wp:inline distT="0" distB="0" distL="0" distR="0" wp14:anchorId="10AFC072" wp14:editId="6BB90671">
            <wp:extent cx="4930140" cy="1557618"/>
            <wp:effectExtent l="0" t="0" r="3810" b="5080"/>
            <wp:docPr id="4" name="Picture 4" descr="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4135" cy="1562040"/>
                    </a:xfrm>
                    <a:prstGeom prst="rect">
                      <a:avLst/>
                    </a:prstGeom>
                    <a:noFill/>
                    <a:ln>
                      <a:noFill/>
                    </a:ln>
                  </pic:spPr>
                </pic:pic>
              </a:graphicData>
            </a:graphic>
          </wp:inline>
        </w:drawing>
      </w:r>
    </w:p>
    <w:p w14:paraId="70ECAB5F" w14:textId="77777777" w:rsidR="00174C9A" w:rsidRDefault="00174C9A" w:rsidP="00174C9A">
      <w:pPr>
        <w:rPr>
          <w:b/>
          <w:sz w:val="32"/>
          <w:szCs w:val="32"/>
        </w:rPr>
      </w:pPr>
    </w:p>
    <w:p w14:paraId="42775A4A" w14:textId="4311A390" w:rsidR="00174C9A" w:rsidRDefault="00174C9A" w:rsidP="00174C9A">
      <w:pPr>
        <w:rPr>
          <w:b/>
          <w:sz w:val="32"/>
          <w:szCs w:val="32"/>
        </w:rPr>
      </w:pPr>
    </w:p>
    <w:p w14:paraId="16BCA5C1" w14:textId="5E2F99CE" w:rsidR="004E2176" w:rsidRDefault="004E2176" w:rsidP="00174C9A">
      <w:pPr>
        <w:rPr>
          <w:b/>
          <w:sz w:val="32"/>
          <w:szCs w:val="32"/>
        </w:rPr>
      </w:pPr>
    </w:p>
    <w:p w14:paraId="632C529E" w14:textId="77777777" w:rsidR="004E2176" w:rsidRDefault="004E2176" w:rsidP="00174C9A">
      <w:pPr>
        <w:rPr>
          <w:b/>
          <w:sz w:val="32"/>
          <w:szCs w:val="32"/>
        </w:rPr>
      </w:pPr>
    </w:p>
    <w:p w14:paraId="5EF9A468" w14:textId="72A6EDB8" w:rsidR="008D67A9" w:rsidRPr="00763334" w:rsidRDefault="00D26744" w:rsidP="008D67A9">
      <w:pPr>
        <w:jc w:val="center"/>
        <w:rPr>
          <w:b/>
          <w:sz w:val="32"/>
          <w:szCs w:val="32"/>
        </w:rPr>
      </w:pPr>
      <w:r>
        <w:rPr>
          <w:b/>
          <w:sz w:val="32"/>
          <w:szCs w:val="32"/>
        </w:rPr>
        <w:t>ANNUAL MONITORING REPORT 2018-2019</w:t>
      </w:r>
    </w:p>
    <w:p w14:paraId="2A251288" w14:textId="310088FB" w:rsidR="008D67A9" w:rsidRDefault="008D67A9" w:rsidP="008D67A9">
      <w:pPr>
        <w:jc w:val="center"/>
        <w:rPr>
          <w:b/>
          <w:sz w:val="32"/>
          <w:szCs w:val="32"/>
        </w:rPr>
      </w:pPr>
    </w:p>
    <w:p w14:paraId="7C93DD39" w14:textId="4F9ABDF4" w:rsidR="00090403" w:rsidRDefault="00090403" w:rsidP="008D67A9">
      <w:pPr>
        <w:jc w:val="center"/>
        <w:rPr>
          <w:b/>
          <w:sz w:val="32"/>
          <w:szCs w:val="32"/>
        </w:rPr>
      </w:pPr>
    </w:p>
    <w:p w14:paraId="7E76295B" w14:textId="366A6EFC" w:rsidR="00090403" w:rsidRDefault="00090403" w:rsidP="008D67A9">
      <w:pPr>
        <w:jc w:val="center"/>
        <w:rPr>
          <w:b/>
          <w:sz w:val="32"/>
          <w:szCs w:val="32"/>
        </w:rPr>
      </w:pPr>
    </w:p>
    <w:p w14:paraId="2C308F7E" w14:textId="5DFD955C" w:rsidR="004E2176" w:rsidRDefault="004E2176" w:rsidP="008D67A9">
      <w:pPr>
        <w:jc w:val="center"/>
        <w:rPr>
          <w:b/>
          <w:sz w:val="32"/>
          <w:szCs w:val="32"/>
        </w:rPr>
      </w:pPr>
    </w:p>
    <w:p w14:paraId="6457DA4A" w14:textId="77777777" w:rsidR="004E2176" w:rsidRDefault="004E2176" w:rsidP="008D67A9">
      <w:pPr>
        <w:jc w:val="center"/>
        <w:rPr>
          <w:b/>
          <w:sz w:val="32"/>
          <w:szCs w:val="32"/>
        </w:rPr>
      </w:pPr>
    </w:p>
    <w:p w14:paraId="05016FAD" w14:textId="2325EFF4" w:rsidR="00090403" w:rsidRDefault="00090403" w:rsidP="008D67A9">
      <w:pPr>
        <w:jc w:val="center"/>
        <w:rPr>
          <w:b/>
          <w:sz w:val="32"/>
          <w:szCs w:val="32"/>
        </w:rPr>
      </w:pPr>
    </w:p>
    <w:p w14:paraId="3AD142F6" w14:textId="77777777" w:rsidR="00090403" w:rsidRDefault="00090403" w:rsidP="0097141B">
      <w:pPr>
        <w:jc w:val="center"/>
        <w:rPr>
          <w:b/>
          <w:i/>
        </w:rPr>
      </w:pPr>
      <w:r>
        <w:rPr>
          <w:b/>
          <w:i/>
        </w:rPr>
        <w:t>The Maine State Charter School Commission will provide thoughtful stewardship in authorizing and monitoring public charter schools consistent with State statutes to create unique, high-quality learning options for Maine students.</w:t>
      </w:r>
    </w:p>
    <w:p w14:paraId="01732EA6" w14:textId="03573646" w:rsidR="00090403" w:rsidRDefault="00090403" w:rsidP="008D67A9">
      <w:pPr>
        <w:jc w:val="center"/>
        <w:rPr>
          <w:b/>
          <w:sz w:val="32"/>
          <w:szCs w:val="32"/>
        </w:rPr>
      </w:pPr>
    </w:p>
    <w:p w14:paraId="79BB2ED4" w14:textId="77777777" w:rsidR="00090403" w:rsidRPr="00763334" w:rsidRDefault="00090403" w:rsidP="008D67A9">
      <w:pPr>
        <w:jc w:val="center"/>
        <w:rPr>
          <w:b/>
          <w:sz w:val="32"/>
          <w:szCs w:val="32"/>
        </w:rPr>
      </w:pPr>
    </w:p>
    <w:p w14:paraId="6B44C2B2" w14:textId="140EFD3E" w:rsidR="008D67A9" w:rsidRDefault="00443662" w:rsidP="008D67A9">
      <w:pPr>
        <w:rPr>
          <w:b/>
        </w:rPr>
      </w:pPr>
      <w:r>
        <w:rPr>
          <w:b/>
        </w:rPr>
        <w:lastRenderedPageBreak/>
        <w:t>February 2020</w:t>
      </w:r>
    </w:p>
    <w:p w14:paraId="47EE17F5" w14:textId="77777777" w:rsidR="008E2823" w:rsidRPr="008E2823" w:rsidRDefault="008E2823" w:rsidP="008D67A9">
      <w:pPr>
        <w:rPr>
          <w:b/>
        </w:rPr>
      </w:pPr>
    </w:p>
    <w:p w14:paraId="46E7AB6D" w14:textId="5F9AE91C" w:rsidR="007C29B5" w:rsidRPr="008D67A9" w:rsidRDefault="008E2823" w:rsidP="00903152">
      <w:pPr>
        <w:jc w:val="both"/>
        <w:rPr>
          <w:sz w:val="24"/>
          <w:szCs w:val="24"/>
        </w:rPr>
      </w:pPr>
      <w:r>
        <w:rPr>
          <w:sz w:val="24"/>
          <w:szCs w:val="24"/>
        </w:rPr>
        <w:t xml:space="preserve">On </w:t>
      </w:r>
      <w:r w:rsidR="003D5CB5" w:rsidRPr="00092264">
        <w:rPr>
          <w:bCs/>
          <w:sz w:val="24"/>
          <w:szCs w:val="24"/>
        </w:rPr>
        <w:t>August 1</w:t>
      </w:r>
      <w:r w:rsidR="00443662">
        <w:rPr>
          <w:bCs/>
          <w:sz w:val="24"/>
          <w:szCs w:val="24"/>
        </w:rPr>
        <w:t xml:space="preserve">9, 2019 </w:t>
      </w:r>
      <w:r w:rsidR="008D67A9" w:rsidRPr="00092264">
        <w:rPr>
          <w:bCs/>
          <w:sz w:val="24"/>
          <w:szCs w:val="24"/>
        </w:rPr>
        <w:t>an announce</w:t>
      </w:r>
      <w:r w:rsidR="005A291B" w:rsidRPr="00092264">
        <w:rPr>
          <w:bCs/>
          <w:sz w:val="24"/>
          <w:szCs w:val="24"/>
        </w:rPr>
        <w:t>d on-site visit was made to Harpswell Coastal Academy</w:t>
      </w:r>
      <w:r w:rsidR="008D67A9" w:rsidRPr="00092264">
        <w:rPr>
          <w:bCs/>
          <w:sz w:val="24"/>
          <w:szCs w:val="24"/>
        </w:rPr>
        <w:t>.</w:t>
      </w:r>
      <w:r w:rsidR="00A5138C" w:rsidRPr="00092264">
        <w:rPr>
          <w:bCs/>
          <w:sz w:val="24"/>
          <w:szCs w:val="24"/>
        </w:rPr>
        <w:t xml:space="preserve"> </w:t>
      </w:r>
      <w:r w:rsidR="008D67A9" w:rsidRPr="00092264">
        <w:rPr>
          <w:bCs/>
          <w:sz w:val="24"/>
          <w:szCs w:val="24"/>
        </w:rPr>
        <w:t>Main</w:t>
      </w:r>
      <w:r w:rsidR="008D67A9" w:rsidRPr="00897869">
        <w:rPr>
          <w:sz w:val="24"/>
          <w:szCs w:val="24"/>
        </w:rPr>
        <w:t xml:space="preserve">e Charter School Commission (MCSC) </w:t>
      </w:r>
      <w:r w:rsidR="00A5138C" w:rsidRPr="00897869">
        <w:rPr>
          <w:sz w:val="24"/>
          <w:szCs w:val="24"/>
        </w:rPr>
        <w:t>s</w:t>
      </w:r>
      <w:r w:rsidR="00A5138C">
        <w:rPr>
          <w:sz w:val="24"/>
          <w:szCs w:val="24"/>
        </w:rPr>
        <w:t>taff</w:t>
      </w:r>
      <w:r w:rsidR="00C379BA">
        <w:rPr>
          <w:sz w:val="24"/>
          <w:szCs w:val="24"/>
        </w:rPr>
        <w:t xml:space="preserve">, Liaison, and MDOE Special Services team member </w:t>
      </w:r>
      <w:r w:rsidR="008D67A9" w:rsidRPr="008D67A9">
        <w:rPr>
          <w:sz w:val="24"/>
          <w:szCs w:val="24"/>
        </w:rPr>
        <w:t>held interviews with school leadership</w:t>
      </w:r>
      <w:r w:rsidR="00C379BA">
        <w:rPr>
          <w:sz w:val="24"/>
          <w:szCs w:val="24"/>
        </w:rPr>
        <w:t xml:space="preserve"> </w:t>
      </w:r>
      <w:r w:rsidR="008D67A9" w:rsidRPr="008D67A9">
        <w:rPr>
          <w:sz w:val="24"/>
          <w:szCs w:val="24"/>
        </w:rPr>
        <w:t>and the school’s Governing Board. They also reviewed data provided by the school. Documents provided by the school are available from the MCSC office. Information gathered from documents, interviews and on-site observation was used to determine the extent to which the school has met its contracted performance targets.</w:t>
      </w:r>
      <w:r w:rsidR="007C29B5">
        <w:rPr>
          <w:sz w:val="24"/>
          <w:szCs w:val="24"/>
        </w:rPr>
        <w:t xml:space="preserve"> This report addresses the school’s performance relative to the performance framework. Attachment A is the site visit report, which includes observation and discussion notes from the site visit.</w:t>
      </w:r>
    </w:p>
    <w:p w14:paraId="2CD91596" w14:textId="77777777" w:rsidR="008D67A9" w:rsidRPr="008D67A9" w:rsidRDefault="008D67A9" w:rsidP="008D67A9">
      <w:pPr>
        <w:jc w:val="both"/>
        <w:rPr>
          <w:sz w:val="24"/>
          <w:szCs w:val="24"/>
        </w:rPr>
      </w:pPr>
    </w:p>
    <w:tbl>
      <w:tblPr>
        <w:tblStyle w:val="TableGrid"/>
        <w:tblW w:w="0" w:type="auto"/>
        <w:tblLook w:val="04A0" w:firstRow="1" w:lastRow="0" w:firstColumn="1" w:lastColumn="0" w:noHBand="0" w:noVBand="1"/>
      </w:tblPr>
      <w:tblGrid>
        <w:gridCol w:w="4675"/>
        <w:gridCol w:w="4675"/>
      </w:tblGrid>
      <w:tr w:rsidR="008D67A9" w:rsidRPr="008D67A9" w14:paraId="1DDDD531" w14:textId="77777777" w:rsidTr="008D67A9">
        <w:tc>
          <w:tcPr>
            <w:tcW w:w="4675" w:type="dxa"/>
            <w:shd w:val="clear" w:color="auto" w:fill="BDD6EE" w:themeFill="accent1" w:themeFillTint="66"/>
          </w:tcPr>
          <w:p w14:paraId="1F1DF183" w14:textId="27646871" w:rsidR="008D67A9" w:rsidRPr="008D67A9" w:rsidRDefault="003D5CB5" w:rsidP="008D67A9">
            <w:pPr>
              <w:rPr>
                <w:sz w:val="24"/>
                <w:szCs w:val="24"/>
              </w:rPr>
            </w:pPr>
            <w:r>
              <w:rPr>
                <w:sz w:val="24"/>
                <w:szCs w:val="24"/>
              </w:rPr>
              <w:t>School Liaison</w:t>
            </w:r>
          </w:p>
        </w:tc>
        <w:tc>
          <w:tcPr>
            <w:tcW w:w="4675" w:type="dxa"/>
          </w:tcPr>
          <w:p w14:paraId="5AC6F625" w14:textId="77E55C59" w:rsidR="008D67A9" w:rsidRPr="008D67A9" w:rsidRDefault="003D5CB5" w:rsidP="008D67A9">
            <w:pPr>
              <w:jc w:val="center"/>
              <w:rPr>
                <w:sz w:val="24"/>
                <w:szCs w:val="24"/>
              </w:rPr>
            </w:pPr>
            <w:r>
              <w:rPr>
                <w:sz w:val="24"/>
                <w:szCs w:val="24"/>
              </w:rPr>
              <w:t>Shelley Reed</w:t>
            </w:r>
          </w:p>
        </w:tc>
      </w:tr>
      <w:tr w:rsidR="008D67A9" w:rsidRPr="008D67A9" w14:paraId="4BA56B88" w14:textId="77777777" w:rsidTr="008D67A9">
        <w:tc>
          <w:tcPr>
            <w:tcW w:w="4675" w:type="dxa"/>
            <w:shd w:val="clear" w:color="auto" w:fill="BDD6EE" w:themeFill="accent1" w:themeFillTint="66"/>
          </w:tcPr>
          <w:p w14:paraId="7C06DAEE" w14:textId="77777777" w:rsidR="008D67A9" w:rsidRPr="008D67A9" w:rsidRDefault="008D67A9" w:rsidP="008D67A9">
            <w:pPr>
              <w:rPr>
                <w:sz w:val="24"/>
                <w:szCs w:val="24"/>
              </w:rPr>
            </w:pPr>
            <w:r w:rsidRPr="008D67A9">
              <w:rPr>
                <w:sz w:val="24"/>
                <w:szCs w:val="24"/>
              </w:rPr>
              <w:t>MCSC Executive Director</w:t>
            </w:r>
          </w:p>
        </w:tc>
        <w:tc>
          <w:tcPr>
            <w:tcW w:w="4675" w:type="dxa"/>
          </w:tcPr>
          <w:p w14:paraId="2E09DE64" w14:textId="77777777" w:rsidR="008D67A9" w:rsidRPr="008D67A9" w:rsidRDefault="005A291B" w:rsidP="008D67A9">
            <w:pPr>
              <w:jc w:val="center"/>
              <w:rPr>
                <w:sz w:val="24"/>
                <w:szCs w:val="24"/>
              </w:rPr>
            </w:pPr>
            <w:r>
              <w:rPr>
                <w:sz w:val="24"/>
                <w:szCs w:val="24"/>
              </w:rPr>
              <w:t>Bob Kautz</w:t>
            </w:r>
          </w:p>
        </w:tc>
      </w:tr>
      <w:tr w:rsidR="008D67A9" w:rsidRPr="008D67A9" w14:paraId="18ADB36E" w14:textId="77777777" w:rsidTr="008D67A9">
        <w:tc>
          <w:tcPr>
            <w:tcW w:w="4675" w:type="dxa"/>
            <w:shd w:val="clear" w:color="auto" w:fill="BDD6EE" w:themeFill="accent1" w:themeFillTint="66"/>
          </w:tcPr>
          <w:p w14:paraId="241B2C01" w14:textId="77777777" w:rsidR="008D67A9" w:rsidRPr="008D67A9" w:rsidRDefault="008D67A9" w:rsidP="008D67A9">
            <w:pPr>
              <w:rPr>
                <w:sz w:val="24"/>
                <w:szCs w:val="24"/>
              </w:rPr>
            </w:pPr>
            <w:r w:rsidRPr="008D67A9">
              <w:rPr>
                <w:sz w:val="24"/>
                <w:szCs w:val="24"/>
              </w:rPr>
              <w:t>MCSC Director of Program Management</w:t>
            </w:r>
          </w:p>
        </w:tc>
        <w:tc>
          <w:tcPr>
            <w:tcW w:w="4675" w:type="dxa"/>
          </w:tcPr>
          <w:p w14:paraId="4173F5E9" w14:textId="77777777" w:rsidR="008D67A9" w:rsidRPr="008D67A9" w:rsidRDefault="005A291B" w:rsidP="008D67A9">
            <w:pPr>
              <w:jc w:val="center"/>
              <w:rPr>
                <w:sz w:val="24"/>
                <w:szCs w:val="24"/>
              </w:rPr>
            </w:pPr>
            <w:r>
              <w:rPr>
                <w:sz w:val="24"/>
                <w:szCs w:val="24"/>
              </w:rPr>
              <w:t>Gina Post</w:t>
            </w:r>
          </w:p>
        </w:tc>
      </w:tr>
      <w:tr w:rsidR="000E62E3" w:rsidRPr="008D67A9" w14:paraId="220C53A9" w14:textId="77777777" w:rsidTr="0097141B">
        <w:tc>
          <w:tcPr>
            <w:tcW w:w="4675" w:type="dxa"/>
            <w:shd w:val="clear" w:color="auto" w:fill="BDD6EE" w:themeFill="accent1" w:themeFillTint="66"/>
          </w:tcPr>
          <w:p w14:paraId="1C172F9F" w14:textId="01E3D945" w:rsidR="000E62E3" w:rsidRPr="008D67A9" w:rsidRDefault="00603B33" w:rsidP="0097141B">
            <w:pPr>
              <w:rPr>
                <w:sz w:val="24"/>
                <w:szCs w:val="24"/>
              </w:rPr>
            </w:pPr>
            <w:r w:rsidRPr="00897869">
              <w:rPr>
                <w:sz w:val="24"/>
                <w:szCs w:val="24"/>
              </w:rPr>
              <w:t>C</w:t>
            </w:r>
            <w:r>
              <w:rPr>
                <w:sz w:val="24"/>
                <w:szCs w:val="24"/>
              </w:rPr>
              <w:t xml:space="preserve">onsultant </w:t>
            </w:r>
          </w:p>
        </w:tc>
        <w:tc>
          <w:tcPr>
            <w:tcW w:w="4675" w:type="dxa"/>
          </w:tcPr>
          <w:p w14:paraId="408AA5ED" w14:textId="3E878893" w:rsidR="000E62E3" w:rsidRPr="008D67A9" w:rsidRDefault="000E62E3" w:rsidP="0097141B">
            <w:pPr>
              <w:jc w:val="center"/>
              <w:rPr>
                <w:sz w:val="24"/>
                <w:szCs w:val="24"/>
              </w:rPr>
            </w:pPr>
            <w:r>
              <w:rPr>
                <w:sz w:val="24"/>
                <w:szCs w:val="24"/>
              </w:rPr>
              <w:t>Joe Drago</w:t>
            </w:r>
            <w:r w:rsidR="007C29B5">
              <w:rPr>
                <w:sz w:val="24"/>
                <w:szCs w:val="24"/>
              </w:rPr>
              <w:t>, CPA</w:t>
            </w:r>
          </w:p>
        </w:tc>
      </w:tr>
      <w:tr w:rsidR="000E62E3" w:rsidRPr="008D67A9" w14:paraId="3DAE0310" w14:textId="77777777" w:rsidTr="0097141B">
        <w:tc>
          <w:tcPr>
            <w:tcW w:w="4675" w:type="dxa"/>
            <w:shd w:val="clear" w:color="auto" w:fill="BDD6EE" w:themeFill="accent1" w:themeFillTint="66"/>
          </w:tcPr>
          <w:p w14:paraId="4DF236B6" w14:textId="506B6F4E" w:rsidR="000E62E3" w:rsidRPr="008D67A9" w:rsidRDefault="00897869" w:rsidP="0097141B">
            <w:pPr>
              <w:rPr>
                <w:sz w:val="24"/>
                <w:szCs w:val="24"/>
              </w:rPr>
            </w:pPr>
            <w:r>
              <w:rPr>
                <w:sz w:val="24"/>
                <w:szCs w:val="24"/>
              </w:rPr>
              <w:t>C</w:t>
            </w:r>
            <w:r w:rsidR="00603B33">
              <w:rPr>
                <w:sz w:val="24"/>
                <w:szCs w:val="24"/>
              </w:rPr>
              <w:t>onsultant</w:t>
            </w:r>
          </w:p>
        </w:tc>
        <w:tc>
          <w:tcPr>
            <w:tcW w:w="4675" w:type="dxa"/>
          </w:tcPr>
          <w:p w14:paraId="6029C66C" w14:textId="7866B1D0" w:rsidR="000E62E3" w:rsidRPr="008D67A9" w:rsidRDefault="000E62E3" w:rsidP="0097141B">
            <w:pPr>
              <w:jc w:val="center"/>
              <w:rPr>
                <w:sz w:val="24"/>
                <w:szCs w:val="24"/>
              </w:rPr>
            </w:pPr>
            <w:r>
              <w:rPr>
                <w:sz w:val="24"/>
                <w:szCs w:val="24"/>
              </w:rPr>
              <w:t>Dr. Joe Mattos</w:t>
            </w:r>
          </w:p>
        </w:tc>
      </w:tr>
      <w:tr w:rsidR="000E62E3" w:rsidRPr="008D67A9" w14:paraId="36714513" w14:textId="77777777" w:rsidTr="008D67A9">
        <w:tc>
          <w:tcPr>
            <w:tcW w:w="4675" w:type="dxa"/>
            <w:shd w:val="clear" w:color="auto" w:fill="BDD6EE" w:themeFill="accent1" w:themeFillTint="66"/>
          </w:tcPr>
          <w:p w14:paraId="106564E1" w14:textId="35ACA53D" w:rsidR="000E62E3" w:rsidRPr="008D67A9" w:rsidRDefault="000E62E3" w:rsidP="008D67A9">
            <w:pPr>
              <w:rPr>
                <w:sz w:val="24"/>
                <w:szCs w:val="24"/>
              </w:rPr>
            </w:pPr>
            <w:r>
              <w:rPr>
                <w:sz w:val="24"/>
                <w:szCs w:val="24"/>
              </w:rPr>
              <w:t>DOE Special Services</w:t>
            </w:r>
          </w:p>
        </w:tc>
        <w:tc>
          <w:tcPr>
            <w:tcW w:w="4675" w:type="dxa"/>
          </w:tcPr>
          <w:p w14:paraId="1CDBC715" w14:textId="0F819561" w:rsidR="000E62E3" w:rsidRDefault="000E62E3" w:rsidP="008D67A9">
            <w:pPr>
              <w:jc w:val="center"/>
              <w:rPr>
                <w:sz w:val="24"/>
                <w:szCs w:val="24"/>
              </w:rPr>
            </w:pPr>
            <w:r>
              <w:rPr>
                <w:sz w:val="24"/>
                <w:szCs w:val="24"/>
              </w:rPr>
              <w:t>Leora Byras</w:t>
            </w:r>
          </w:p>
        </w:tc>
      </w:tr>
    </w:tbl>
    <w:p w14:paraId="5AC936E3" w14:textId="77777777" w:rsidR="008D67A9" w:rsidRPr="008D67A9" w:rsidRDefault="008D67A9" w:rsidP="008D67A9">
      <w:pPr>
        <w:jc w:val="center"/>
        <w:rPr>
          <w:sz w:val="24"/>
          <w:szCs w:val="24"/>
        </w:rPr>
      </w:pPr>
    </w:p>
    <w:p w14:paraId="744B7795" w14:textId="77777777" w:rsidR="008D67A9" w:rsidRDefault="008D67A9" w:rsidP="008D67A9">
      <w:pPr>
        <w:jc w:val="center"/>
      </w:pPr>
    </w:p>
    <w:tbl>
      <w:tblPr>
        <w:tblStyle w:val="TableGrid"/>
        <w:tblW w:w="0" w:type="auto"/>
        <w:tblLook w:val="04A0" w:firstRow="1" w:lastRow="0" w:firstColumn="1" w:lastColumn="0" w:noHBand="0" w:noVBand="1"/>
      </w:tblPr>
      <w:tblGrid>
        <w:gridCol w:w="4675"/>
        <w:gridCol w:w="4675"/>
      </w:tblGrid>
      <w:tr w:rsidR="005F281A" w14:paraId="6148BC38" w14:textId="77777777" w:rsidTr="005F281A">
        <w:tc>
          <w:tcPr>
            <w:tcW w:w="4675" w:type="dxa"/>
            <w:shd w:val="clear" w:color="auto" w:fill="BDD6EE" w:themeFill="accent1" w:themeFillTint="66"/>
          </w:tcPr>
          <w:p w14:paraId="0E377629" w14:textId="77777777" w:rsidR="005F281A" w:rsidRDefault="005F281A" w:rsidP="005F281A">
            <w:r>
              <w:t>School’s Mission</w:t>
            </w:r>
          </w:p>
        </w:tc>
        <w:tc>
          <w:tcPr>
            <w:tcW w:w="4675" w:type="dxa"/>
          </w:tcPr>
          <w:p w14:paraId="00BCAD15" w14:textId="77777777" w:rsidR="005F281A" w:rsidRPr="007C29B5" w:rsidRDefault="007B592F" w:rsidP="007B592F">
            <w:pPr>
              <w:jc w:val="both"/>
              <w:rPr>
                <w:iCs/>
                <w:sz w:val="24"/>
                <w:szCs w:val="24"/>
              </w:rPr>
            </w:pPr>
            <w:r w:rsidRPr="007C29B5">
              <w:rPr>
                <w:iCs/>
                <w:sz w:val="24"/>
                <w:szCs w:val="24"/>
              </w:rPr>
              <w:t>To offer a rigorous, personalized, project-based education to mid-coast Maine students in grades 6-12.</w:t>
            </w:r>
          </w:p>
        </w:tc>
      </w:tr>
      <w:tr w:rsidR="005F281A" w14:paraId="56F4E5B7" w14:textId="77777777" w:rsidTr="005F281A">
        <w:tc>
          <w:tcPr>
            <w:tcW w:w="4675" w:type="dxa"/>
            <w:shd w:val="clear" w:color="auto" w:fill="BDD6EE" w:themeFill="accent1" w:themeFillTint="66"/>
          </w:tcPr>
          <w:p w14:paraId="3E699606" w14:textId="77777777" w:rsidR="005F281A" w:rsidRDefault="005F281A" w:rsidP="005F281A">
            <w:r>
              <w:t>School’s Vision</w:t>
            </w:r>
          </w:p>
        </w:tc>
        <w:tc>
          <w:tcPr>
            <w:tcW w:w="4675" w:type="dxa"/>
          </w:tcPr>
          <w:p w14:paraId="73AD35C6" w14:textId="77777777" w:rsidR="005F281A" w:rsidRPr="007C29B5" w:rsidRDefault="007B592F" w:rsidP="007B592F">
            <w:pPr>
              <w:jc w:val="both"/>
              <w:rPr>
                <w:iCs/>
                <w:sz w:val="24"/>
                <w:szCs w:val="24"/>
              </w:rPr>
            </w:pPr>
            <w:r w:rsidRPr="007C29B5">
              <w:rPr>
                <w:iCs/>
                <w:sz w:val="24"/>
                <w:szCs w:val="24"/>
              </w:rPr>
              <w:t>To use Maine’s shorelines, working waterfronts, forests, and farms as classrooms. To partner with local organizations and businesses, entrepreneurs, and community members who are committed to our goal of preparing caring, creative, resilient citizen-scholars who will flourish in a rapidly changing economy.</w:t>
            </w:r>
          </w:p>
        </w:tc>
      </w:tr>
    </w:tbl>
    <w:p w14:paraId="0C1D6FD5" w14:textId="77777777" w:rsidR="008D67A9" w:rsidRDefault="008D67A9" w:rsidP="008D67A9">
      <w:pPr>
        <w:jc w:val="center"/>
      </w:pPr>
    </w:p>
    <w:p w14:paraId="6057E364" w14:textId="77777777" w:rsidR="008D67A9" w:rsidRDefault="008D67A9" w:rsidP="007B592F"/>
    <w:p w14:paraId="26BB6931" w14:textId="77777777" w:rsidR="008D67A9" w:rsidRDefault="008D67A9" w:rsidP="008D67A9">
      <w:pPr>
        <w:jc w:val="center"/>
      </w:pPr>
    </w:p>
    <w:p w14:paraId="7EBF4BEC" w14:textId="77777777" w:rsidR="008D67A9" w:rsidRDefault="008D67A9" w:rsidP="008D67A9"/>
    <w:p w14:paraId="0BD095BF" w14:textId="77777777" w:rsidR="00763334" w:rsidRDefault="00763334" w:rsidP="008D67A9"/>
    <w:p w14:paraId="5C0D8159" w14:textId="77777777" w:rsidR="005F281A" w:rsidRDefault="005F281A" w:rsidP="008D67A9"/>
    <w:p w14:paraId="0D281FAF" w14:textId="77777777" w:rsidR="005F281A" w:rsidRDefault="005F281A" w:rsidP="008D67A9"/>
    <w:p w14:paraId="575422B6" w14:textId="77777777" w:rsidR="005A291B" w:rsidRDefault="005A291B" w:rsidP="008D67A9"/>
    <w:p w14:paraId="51C48B6A" w14:textId="77777777" w:rsidR="005A291B" w:rsidRDefault="005A291B" w:rsidP="008D67A9"/>
    <w:p w14:paraId="7C253F8A" w14:textId="77777777" w:rsidR="005A291B" w:rsidRDefault="005A291B" w:rsidP="008D67A9"/>
    <w:p w14:paraId="3C038FC3" w14:textId="77777777" w:rsidR="005A291B" w:rsidRDefault="005A291B" w:rsidP="008D67A9"/>
    <w:p w14:paraId="6FAF04C7" w14:textId="77777777" w:rsidR="005F281A" w:rsidRDefault="005F281A" w:rsidP="008D67A9"/>
    <w:p w14:paraId="28573770" w14:textId="77777777" w:rsidR="005F281A" w:rsidRDefault="005F281A" w:rsidP="008D67A9"/>
    <w:p w14:paraId="34F681F4" w14:textId="77777777" w:rsidR="008D67A9" w:rsidRDefault="008D67A9" w:rsidP="005F281A"/>
    <w:p w14:paraId="72EFBF74" w14:textId="77777777" w:rsidR="00090403" w:rsidRPr="005F281A" w:rsidRDefault="00090403" w:rsidP="007C29B5">
      <w:pPr>
        <w:rPr>
          <w:b/>
          <w:i/>
        </w:rPr>
      </w:pPr>
    </w:p>
    <w:tbl>
      <w:tblPr>
        <w:tblStyle w:val="TableGrid"/>
        <w:tblW w:w="0" w:type="auto"/>
        <w:tblLook w:val="04A0" w:firstRow="1" w:lastRow="0" w:firstColumn="1" w:lastColumn="0" w:noHBand="0" w:noVBand="1"/>
      </w:tblPr>
      <w:tblGrid>
        <w:gridCol w:w="9350"/>
      </w:tblGrid>
      <w:tr w:rsidR="008D67A9" w14:paraId="2C3982FF" w14:textId="77777777" w:rsidTr="00FF4A56">
        <w:tc>
          <w:tcPr>
            <w:tcW w:w="9350" w:type="dxa"/>
            <w:shd w:val="clear" w:color="auto" w:fill="800000"/>
          </w:tcPr>
          <w:p w14:paraId="76A17CB1" w14:textId="77777777" w:rsidR="008D67A9" w:rsidRDefault="008D67A9" w:rsidP="00FF4A56">
            <w:pPr>
              <w:jc w:val="center"/>
              <w:rPr>
                <w:rFonts w:cs="Arial"/>
                <w:sz w:val="28"/>
                <w:szCs w:val="28"/>
              </w:rPr>
            </w:pPr>
            <w:r>
              <w:rPr>
                <w:rFonts w:cs="Arial"/>
                <w:sz w:val="28"/>
                <w:szCs w:val="28"/>
              </w:rPr>
              <w:lastRenderedPageBreak/>
              <w:t>School Information</w:t>
            </w:r>
          </w:p>
        </w:tc>
      </w:tr>
    </w:tbl>
    <w:p w14:paraId="35632B4E" w14:textId="77777777" w:rsidR="008D67A9" w:rsidRPr="008F0410" w:rsidRDefault="008D67A9" w:rsidP="008D67A9">
      <w:pPr>
        <w:rPr>
          <w:rFonts w:cs="Arial"/>
          <w:sz w:val="24"/>
          <w:szCs w:val="24"/>
        </w:rPr>
      </w:pPr>
    </w:p>
    <w:p w14:paraId="388131CB"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2245"/>
        <w:gridCol w:w="7105"/>
      </w:tblGrid>
      <w:tr w:rsidR="008D67A9" w:rsidRPr="008F0410" w14:paraId="603D38CC" w14:textId="77777777" w:rsidTr="00FF4A56">
        <w:tc>
          <w:tcPr>
            <w:tcW w:w="2245" w:type="dxa"/>
            <w:shd w:val="clear" w:color="auto" w:fill="800000"/>
          </w:tcPr>
          <w:p w14:paraId="4F600625" w14:textId="77777777" w:rsidR="008D67A9" w:rsidRPr="008F0410" w:rsidRDefault="008D67A9" w:rsidP="00FF4A56">
            <w:pPr>
              <w:rPr>
                <w:rFonts w:cs="Arial"/>
                <w:sz w:val="24"/>
                <w:szCs w:val="24"/>
              </w:rPr>
            </w:pPr>
            <w:r w:rsidRPr="008F0410">
              <w:rPr>
                <w:rFonts w:cs="Arial"/>
                <w:sz w:val="24"/>
                <w:szCs w:val="24"/>
              </w:rPr>
              <w:t>School Name</w:t>
            </w:r>
          </w:p>
        </w:tc>
        <w:tc>
          <w:tcPr>
            <w:tcW w:w="7105" w:type="dxa"/>
          </w:tcPr>
          <w:p w14:paraId="31D8ABA2" w14:textId="77777777" w:rsidR="008D67A9" w:rsidRPr="008F0410" w:rsidRDefault="005A291B" w:rsidP="00FF4A56">
            <w:pPr>
              <w:rPr>
                <w:rFonts w:cs="Arial"/>
                <w:sz w:val="24"/>
                <w:szCs w:val="24"/>
              </w:rPr>
            </w:pPr>
            <w:r>
              <w:rPr>
                <w:rFonts w:cs="Arial"/>
                <w:sz w:val="24"/>
                <w:szCs w:val="24"/>
              </w:rPr>
              <w:t>Harpswell Coastal Academy</w:t>
            </w:r>
          </w:p>
        </w:tc>
      </w:tr>
      <w:tr w:rsidR="008D67A9" w:rsidRPr="008F0410" w14:paraId="2C97EF67" w14:textId="77777777" w:rsidTr="00FF4A56">
        <w:tc>
          <w:tcPr>
            <w:tcW w:w="2245" w:type="dxa"/>
            <w:shd w:val="clear" w:color="auto" w:fill="800000"/>
          </w:tcPr>
          <w:p w14:paraId="27B8C6DF" w14:textId="77777777" w:rsidR="008D67A9" w:rsidRPr="008F0410" w:rsidRDefault="008D67A9" w:rsidP="00FF4A56">
            <w:pPr>
              <w:rPr>
                <w:rFonts w:cs="Arial"/>
                <w:sz w:val="24"/>
                <w:szCs w:val="24"/>
              </w:rPr>
            </w:pPr>
            <w:r w:rsidRPr="008F0410">
              <w:rPr>
                <w:rFonts w:cs="Arial"/>
                <w:sz w:val="24"/>
                <w:szCs w:val="24"/>
              </w:rPr>
              <w:t>Address</w:t>
            </w:r>
          </w:p>
        </w:tc>
        <w:tc>
          <w:tcPr>
            <w:tcW w:w="7105" w:type="dxa"/>
          </w:tcPr>
          <w:p w14:paraId="76B22DE7" w14:textId="77777777" w:rsidR="008D67A9" w:rsidRPr="008F0410" w:rsidRDefault="008D67A9" w:rsidP="00FF4A56">
            <w:pPr>
              <w:rPr>
                <w:rFonts w:cs="Arial"/>
                <w:sz w:val="24"/>
                <w:szCs w:val="24"/>
              </w:rPr>
            </w:pPr>
          </w:p>
        </w:tc>
      </w:tr>
    </w:tbl>
    <w:p w14:paraId="5BC81F41" w14:textId="77777777" w:rsidR="008D67A9" w:rsidRPr="008F0410" w:rsidRDefault="008D67A9" w:rsidP="008D67A9">
      <w:pPr>
        <w:rPr>
          <w:rFonts w:cs="Arial"/>
          <w:sz w:val="24"/>
          <w:szCs w:val="24"/>
        </w:rPr>
      </w:pPr>
    </w:p>
    <w:p w14:paraId="2763DC7A" w14:textId="78B718D6"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2245"/>
        <w:gridCol w:w="7105"/>
      </w:tblGrid>
      <w:tr w:rsidR="008D67A9" w:rsidRPr="008F0410" w14:paraId="74739556" w14:textId="77777777" w:rsidTr="00FF4A56">
        <w:tc>
          <w:tcPr>
            <w:tcW w:w="2245" w:type="dxa"/>
            <w:shd w:val="clear" w:color="auto" w:fill="800000"/>
          </w:tcPr>
          <w:p w14:paraId="3D0E0252" w14:textId="77777777" w:rsidR="008D67A9" w:rsidRPr="008F0410" w:rsidRDefault="008D67A9" w:rsidP="00FF4A56">
            <w:pPr>
              <w:rPr>
                <w:rFonts w:cs="Arial"/>
                <w:sz w:val="24"/>
                <w:szCs w:val="24"/>
              </w:rPr>
            </w:pPr>
            <w:r w:rsidRPr="008F0410">
              <w:rPr>
                <w:rFonts w:cs="Arial"/>
                <w:sz w:val="24"/>
                <w:szCs w:val="24"/>
              </w:rPr>
              <w:t xml:space="preserve">Board </w:t>
            </w:r>
            <w:r w:rsidR="005A291B">
              <w:rPr>
                <w:rFonts w:cs="Arial"/>
                <w:sz w:val="24"/>
                <w:szCs w:val="24"/>
              </w:rPr>
              <w:t>Chair</w:t>
            </w:r>
          </w:p>
        </w:tc>
        <w:tc>
          <w:tcPr>
            <w:tcW w:w="7105" w:type="dxa"/>
          </w:tcPr>
          <w:p w14:paraId="5D7BE100" w14:textId="19FB83A4" w:rsidR="008D67A9" w:rsidRPr="00214A66" w:rsidRDefault="00214A66" w:rsidP="00FF4A56">
            <w:pPr>
              <w:rPr>
                <w:rFonts w:cs="Arial"/>
                <w:sz w:val="24"/>
                <w:szCs w:val="24"/>
              </w:rPr>
            </w:pPr>
            <w:r>
              <w:rPr>
                <w:rFonts w:cs="Arial"/>
                <w:sz w:val="24"/>
                <w:szCs w:val="24"/>
              </w:rPr>
              <w:t>Cynthia Shelmerdine</w:t>
            </w:r>
          </w:p>
        </w:tc>
      </w:tr>
      <w:tr w:rsidR="008D67A9" w:rsidRPr="008F0410" w14:paraId="0F8BA17D" w14:textId="77777777" w:rsidTr="00FF4A56">
        <w:tc>
          <w:tcPr>
            <w:tcW w:w="2245" w:type="dxa"/>
            <w:shd w:val="clear" w:color="auto" w:fill="800000"/>
          </w:tcPr>
          <w:p w14:paraId="11350A5E" w14:textId="77777777" w:rsidR="008D67A9" w:rsidRPr="008F0410" w:rsidRDefault="005A291B" w:rsidP="00FF4A56">
            <w:pPr>
              <w:rPr>
                <w:rFonts w:cs="Arial"/>
                <w:sz w:val="24"/>
                <w:szCs w:val="24"/>
              </w:rPr>
            </w:pPr>
            <w:r>
              <w:rPr>
                <w:rFonts w:cs="Arial"/>
                <w:sz w:val="24"/>
                <w:szCs w:val="24"/>
              </w:rPr>
              <w:t>Board Vice Chair</w:t>
            </w:r>
          </w:p>
        </w:tc>
        <w:tc>
          <w:tcPr>
            <w:tcW w:w="7105" w:type="dxa"/>
          </w:tcPr>
          <w:p w14:paraId="3ADB7105" w14:textId="77777777" w:rsidR="008D67A9" w:rsidRPr="00214A66" w:rsidRDefault="005A291B" w:rsidP="00FF4A56">
            <w:pPr>
              <w:rPr>
                <w:rFonts w:cs="Arial"/>
                <w:sz w:val="24"/>
                <w:szCs w:val="24"/>
              </w:rPr>
            </w:pPr>
            <w:r w:rsidRPr="00214A66">
              <w:rPr>
                <w:rFonts w:cs="Arial"/>
                <w:sz w:val="24"/>
                <w:szCs w:val="24"/>
              </w:rPr>
              <w:t>Ed Harris</w:t>
            </w:r>
          </w:p>
        </w:tc>
      </w:tr>
      <w:tr w:rsidR="008D67A9" w:rsidRPr="008F0410" w14:paraId="17011EE5" w14:textId="77777777" w:rsidTr="00FF4A56">
        <w:tc>
          <w:tcPr>
            <w:tcW w:w="2245" w:type="dxa"/>
            <w:shd w:val="clear" w:color="auto" w:fill="800000"/>
          </w:tcPr>
          <w:p w14:paraId="7ABEF5A0" w14:textId="77777777" w:rsidR="008D67A9" w:rsidRPr="008F0410" w:rsidRDefault="008D67A9" w:rsidP="00FF4A56">
            <w:pPr>
              <w:rPr>
                <w:rFonts w:cs="Arial"/>
                <w:sz w:val="24"/>
                <w:szCs w:val="24"/>
              </w:rPr>
            </w:pPr>
            <w:r w:rsidRPr="008F0410">
              <w:rPr>
                <w:rFonts w:cs="Arial"/>
                <w:sz w:val="24"/>
                <w:szCs w:val="24"/>
              </w:rPr>
              <w:t>Board Treasurer</w:t>
            </w:r>
          </w:p>
        </w:tc>
        <w:tc>
          <w:tcPr>
            <w:tcW w:w="7105" w:type="dxa"/>
          </w:tcPr>
          <w:p w14:paraId="0AE1E454" w14:textId="54E60F32" w:rsidR="008D67A9" w:rsidRPr="00214A66" w:rsidRDefault="007A2ADC" w:rsidP="00FF4A56">
            <w:pPr>
              <w:rPr>
                <w:rFonts w:cs="Arial"/>
                <w:sz w:val="24"/>
                <w:szCs w:val="24"/>
              </w:rPr>
            </w:pPr>
            <w:r>
              <w:rPr>
                <w:rFonts w:cs="Arial"/>
                <w:sz w:val="24"/>
                <w:szCs w:val="24"/>
              </w:rPr>
              <w:t>David</w:t>
            </w:r>
            <w:r w:rsidR="005A291B">
              <w:rPr>
                <w:rFonts w:cs="Arial"/>
                <w:sz w:val="24"/>
                <w:szCs w:val="24"/>
              </w:rPr>
              <w:t xml:space="preserve"> Jean</w:t>
            </w:r>
          </w:p>
        </w:tc>
      </w:tr>
      <w:tr w:rsidR="008D67A9" w:rsidRPr="008F0410" w14:paraId="708F03FE" w14:textId="77777777" w:rsidTr="00FF4A56">
        <w:tc>
          <w:tcPr>
            <w:tcW w:w="2245" w:type="dxa"/>
            <w:shd w:val="clear" w:color="auto" w:fill="800000"/>
          </w:tcPr>
          <w:p w14:paraId="210AE965" w14:textId="77777777" w:rsidR="008D67A9" w:rsidRPr="008F0410" w:rsidRDefault="005A291B" w:rsidP="00FF4A56">
            <w:pPr>
              <w:rPr>
                <w:rFonts w:cs="Arial"/>
                <w:sz w:val="24"/>
                <w:szCs w:val="24"/>
              </w:rPr>
            </w:pPr>
            <w:r>
              <w:rPr>
                <w:rFonts w:cs="Arial"/>
                <w:sz w:val="24"/>
                <w:szCs w:val="24"/>
              </w:rPr>
              <w:t>Board Secretary</w:t>
            </w:r>
          </w:p>
        </w:tc>
        <w:tc>
          <w:tcPr>
            <w:tcW w:w="7105" w:type="dxa"/>
          </w:tcPr>
          <w:p w14:paraId="3AA895FE" w14:textId="1D72F9F7" w:rsidR="008D67A9" w:rsidRPr="00214A66" w:rsidRDefault="007A2ADC" w:rsidP="00FF4A56">
            <w:pPr>
              <w:rPr>
                <w:rFonts w:cs="Arial"/>
                <w:sz w:val="24"/>
                <w:szCs w:val="24"/>
              </w:rPr>
            </w:pPr>
            <w:r>
              <w:rPr>
                <w:rFonts w:cs="Arial"/>
                <w:sz w:val="24"/>
                <w:szCs w:val="24"/>
              </w:rPr>
              <w:t>Sally Mackenzie</w:t>
            </w:r>
          </w:p>
        </w:tc>
      </w:tr>
      <w:tr w:rsidR="008D67A9" w:rsidRPr="008F0410" w14:paraId="153F37C7" w14:textId="77777777" w:rsidTr="00FF4A56">
        <w:tc>
          <w:tcPr>
            <w:tcW w:w="2245" w:type="dxa"/>
            <w:shd w:val="clear" w:color="auto" w:fill="800000"/>
          </w:tcPr>
          <w:p w14:paraId="3999157E" w14:textId="77777777" w:rsidR="008D67A9" w:rsidRPr="008F0410" w:rsidRDefault="008D67A9" w:rsidP="00FF4A56">
            <w:pPr>
              <w:rPr>
                <w:rFonts w:cs="Arial"/>
                <w:sz w:val="24"/>
                <w:szCs w:val="24"/>
              </w:rPr>
            </w:pPr>
            <w:r w:rsidRPr="008F0410">
              <w:rPr>
                <w:rFonts w:cs="Arial"/>
                <w:sz w:val="24"/>
                <w:szCs w:val="24"/>
              </w:rPr>
              <w:t>Board Member</w:t>
            </w:r>
          </w:p>
        </w:tc>
        <w:tc>
          <w:tcPr>
            <w:tcW w:w="7105" w:type="dxa"/>
          </w:tcPr>
          <w:p w14:paraId="40DA641B" w14:textId="3047D22A" w:rsidR="008D67A9" w:rsidRPr="00214A66" w:rsidRDefault="007A2ADC" w:rsidP="00FF4A56">
            <w:pPr>
              <w:rPr>
                <w:rFonts w:cs="Arial"/>
                <w:sz w:val="24"/>
                <w:szCs w:val="24"/>
              </w:rPr>
            </w:pPr>
            <w:r>
              <w:rPr>
                <w:rFonts w:cs="Arial"/>
                <w:sz w:val="24"/>
                <w:szCs w:val="24"/>
              </w:rPr>
              <w:t>Nancy Andersen</w:t>
            </w:r>
          </w:p>
        </w:tc>
      </w:tr>
      <w:tr w:rsidR="005A291B" w:rsidRPr="008F0410" w14:paraId="1ED136C7" w14:textId="77777777" w:rsidTr="00FF4A56">
        <w:tc>
          <w:tcPr>
            <w:tcW w:w="2245" w:type="dxa"/>
            <w:shd w:val="clear" w:color="auto" w:fill="800000"/>
          </w:tcPr>
          <w:p w14:paraId="354B8A36" w14:textId="77777777" w:rsidR="005A291B" w:rsidRPr="008F0410" w:rsidRDefault="005A291B" w:rsidP="00FF4A56">
            <w:pPr>
              <w:rPr>
                <w:rFonts w:cs="Arial"/>
                <w:sz w:val="24"/>
                <w:szCs w:val="24"/>
              </w:rPr>
            </w:pPr>
            <w:r>
              <w:rPr>
                <w:rFonts w:cs="Arial"/>
                <w:sz w:val="24"/>
                <w:szCs w:val="24"/>
              </w:rPr>
              <w:t>Board Member</w:t>
            </w:r>
          </w:p>
        </w:tc>
        <w:tc>
          <w:tcPr>
            <w:tcW w:w="7105" w:type="dxa"/>
          </w:tcPr>
          <w:p w14:paraId="2E0206F2" w14:textId="1C14FB3F" w:rsidR="005A291B" w:rsidRPr="00214A66" w:rsidRDefault="007A2ADC" w:rsidP="00FF4A56">
            <w:pPr>
              <w:rPr>
                <w:rFonts w:cs="Arial"/>
                <w:sz w:val="24"/>
                <w:szCs w:val="24"/>
              </w:rPr>
            </w:pPr>
            <w:r>
              <w:rPr>
                <w:rFonts w:cs="Arial"/>
                <w:sz w:val="24"/>
                <w:szCs w:val="24"/>
              </w:rPr>
              <w:t xml:space="preserve">Alan </w:t>
            </w:r>
            <w:proofErr w:type="spellStart"/>
            <w:r>
              <w:rPr>
                <w:rFonts w:cs="Arial"/>
                <w:sz w:val="24"/>
                <w:szCs w:val="24"/>
              </w:rPr>
              <w:t>Yuodsnukis</w:t>
            </w:r>
            <w:proofErr w:type="spellEnd"/>
          </w:p>
        </w:tc>
      </w:tr>
      <w:tr w:rsidR="005A291B" w:rsidRPr="008F0410" w14:paraId="540DC598" w14:textId="77777777" w:rsidTr="00FF4A56">
        <w:tc>
          <w:tcPr>
            <w:tcW w:w="2245" w:type="dxa"/>
            <w:shd w:val="clear" w:color="auto" w:fill="800000"/>
          </w:tcPr>
          <w:p w14:paraId="5B2F20FF" w14:textId="77777777" w:rsidR="005A291B" w:rsidRDefault="005A291B" w:rsidP="00FF4A56">
            <w:pPr>
              <w:rPr>
                <w:rFonts w:cs="Arial"/>
                <w:sz w:val="24"/>
                <w:szCs w:val="24"/>
              </w:rPr>
            </w:pPr>
            <w:r>
              <w:rPr>
                <w:rFonts w:cs="Arial"/>
                <w:sz w:val="24"/>
                <w:szCs w:val="24"/>
              </w:rPr>
              <w:t>Board Member</w:t>
            </w:r>
          </w:p>
        </w:tc>
        <w:tc>
          <w:tcPr>
            <w:tcW w:w="7105" w:type="dxa"/>
          </w:tcPr>
          <w:p w14:paraId="3A11B306" w14:textId="3E9EF06F" w:rsidR="005A291B" w:rsidRPr="00214A66" w:rsidRDefault="007A2ADC" w:rsidP="00FF4A56">
            <w:pPr>
              <w:rPr>
                <w:rFonts w:cs="Arial"/>
                <w:sz w:val="24"/>
                <w:szCs w:val="24"/>
              </w:rPr>
            </w:pPr>
            <w:r>
              <w:rPr>
                <w:rFonts w:cs="Arial"/>
                <w:sz w:val="24"/>
                <w:szCs w:val="24"/>
              </w:rPr>
              <w:t>Sue Priest</w:t>
            </w:r>
          </w:p>
        </w:tc>
      </w:tr>
      <w:tr w:rsidR="005A291B" w:rsidRPr="008F0410" w14:paraId="446312D8" w14:textId="77777777" w:rsidTr="00FF4A56">
        <w:tc>
          <w:tcPr>
            <w:tcW w:w="2245" w:type="dxa"/>
            <w:shd w:val="clear" w:color="auto" w:fill="800000"/>
          </w:tcPr>
          <w:p w14:paraId="2F623EF2" w14:textId="77777777" w:rsidR="005A291B" w:rsidRDefault="005A291B" w:rsidP="00FF4A56">
            <w:pPr>
              <w:rPr>
                <w:rFonts w:cs="Arial"/>
                <w:sz w:val="24"/>
                <w:szCs w:val="24"/>
              </w:rPr>
            </w:pPr>
            <w:r>
              <w:rPr>
                <w:rFonts w:cs="Arial"/>
                <w:sz w:val="24"/>
                <w:szCs w:val="24"/>
              </w:rPr>
              <w:t>Board Member</w:t>
            </w:r>
          </w:p>
        </w:tc>
        <w:tc>
          <w:tcPr>
            <w:tcW w:w="7105" w:type="dxa"/>
          </w:tcPr>
          <w:p w14:paraId="6715A4E0" w14:textId="7578594F" w:rsidR="005A291B" w:rsidRPr="00214A66" w:rsidRDefault="007A2ADC" w:rsidP="00FF4A56">
            <w:pPr>
              <w:rPr>
                <w:rFonts w:cs="Arial"/>
                <w:sz w:val="24"/>
                <w:szCs w:val="24"/>
              </w:rPr>
            </w:pPr>
            <w:r>
              <w:rPr>
                <w:rFonts w:cs="Arial"/>
                <w:sz w:val="24"/>
                <w:szCs w:val="24"/>
              </w:rPr>
              <w:t>Barbara Merson</w:t>
            </w:r>
          </w:p>
        </w:tc>
      </w:tr>
      <w:tr w:rsidR="007A2ADC" w:rsidRPr="008F0410" w14:paraId="19DA6E78" w14:textId="77777777" w:rsidTr="00FF4A56">
        <w:tc>
          <w:tcPr>
            <w:tcW w:w="2245" w:type="dxa"/>
            <w:shd w:val="clear" w:color="auto" w:fill="800000"/>
          </w:tcPr>
          <w:p w14:paraId="1BA273AB" w14:textId="2DD7E527" w:rsidR="007A2ADC" w:rsidRDefault="007A2ADC" w:rsidP="00FF4A56">
            <w:pPr>
              <w:rPr>
                <w:rFonts w:cs="Arial"/>
                <w:sz w:val="24"/>
                <w:szCs w:val="24"/>
              </w:rPr>
            </w:pPr>
            <w:r>
              <w:rPr>
                <w:rFonts w:cs="Arial"/>
                <w:sz w:val="24"/>
                <w:szCs w:val="24"/>
              </w:rPr>
              <w:t>Board Member</w:t>
            </w:r>
          </w:p>
        </w:tc>
        <w:tc>
          <w:tcPr>
            <w:tcW w:w="7105" w:type="dxa"/>
          </w:tcPr>
          <w:p w14:paraId="423C2EC1" w14:textId="24373852" w:rsidR="007A2ADC" w:rsidRDefault="007A2ADC" w:rsidP="00FF4A56">
            <w:pPr>
              <w:rPr>
                <w:rFonts w:cs="Arial"/>
                <w:sz w:val="24"/>
                <w:szCs w:val="24"/>
              </w:rPr>
            </w:pPr>
            <w:r>
              <w:rPr>
                <w:rFonts w:cs="Arial"/>
                <w:sz w:val="24"/>
                <w:szCs w:val="24"/>
              </w:rPr>
              <w:t>Peggy Muir</w:t>
            </w:r>
          </w:p>
        </w:tc>
      </w:tr>
    </w:tbl>
    <w:p w14:paraId="27D6D0C5" w14:textId="77777777" w:rsidR="008D67A9" w:rsidRPr="008F0410" w:rsidRDefault="008D67A9" w:rsidP="008D67A9">
      <w:pPr>
        <w:rPr>
          <w:rFonts w:cs="Arial"/>
          <w:sz w:val="24"/>
          <w:szCs w:val="24"/>
        </w:rPr>
      </w:pPr>
    </w:p>
    <w:p w14:paraId="7713E968"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3505"/>
        <w:gridCol w:w="5845"/>
      </w:tblGrid>
      <w:tr w:rsidR="008D67A9" w:rsidRPr="008F0410" w14:paraId="677ED826" w14:textId="77777777" w:rsidTr="00FF4A56">
        <w:tc>
          <w:tcPr>
            <w:tcW w:w="3505" w:type="dxa"/>
            <w:shd w:val="clear" w:color="auto" w:fill="800000"/>
          </w:tcPr>
          <w:p w14:paraId="51EE44CC" w14:textId="59585601" w:rsidR="008D67A9" w:rsidRPr="008F0410" w:rsidRDefault="00580677" w:rsidP="00FF4A56">
            <w:pPr>
              <w:rPr>
                <w:rFonts w:cs="Arial"/>
                <w:sz w:val="24"/>
                <w:szCs w:val="24"/>
              </w:rPr>
            </w:pPr>
            <w:r>
              <w:rPr>
                <w:rFonts w:cs="Arial"/>
                <w:sz w:val="24"/>
                <w:szCs w:val="24"/>
              </w:rPr>
              <w:t>Head of School</w:t>
            </w:r>
          </w:p>
        </w:tc>
        <w:tc>
          <w:tcPr>
            <w:tcW w:w="5845" w:type="dxa"/>
          </w:tcPr>
          <w:p w14:paraId="3CD2366D" w14:textId="4E9FE302" w:rsidR="008D67A9" w:rsidRPr="008F0410" w:rsidRDefault="007A2ADC" w:rsidP="00FF4A56">
            <w:pPr>
              <w:rPr>
                <w:rFonts w:cs="Arial"/>
                <w:sz w:val="24"/>
                <w:szCs w:val="24"/>
              </w:rPr>
            </w:pPr>
            <w:r>
              <w:rPr>
                <w:rFonts w:cs="Arial"/>
                <w:sz w:val="24"/>
                <w:szCs w:val="24"/>
              </w:rPr>
              <w:t>Scott Barksdale</w:t>
            </w:r>
          </w:p>
        </w:tc>
      </w:tr>
      <w:tr w:rsidR="005A291B" w:rsidRPr="008F0410" w14:paraId="609A5C58" w14:textId="77777777" w:rsidTr="00FF4A56">
        <w:tc>
          <w:tcPr>
            <w:tcW w:w="3505" w:type="dxa"/>
            <w:shd w:val="clear" w:color="auto" w:fill="800000"/>
          </w:tcPr>
          <w:p w14:paraId="0E7E2F9A" w14:textId="77777777" w:rsidR="005A291B" w:rsidRDefault="005A291B" w:rsidP="00FF4A56">
            <w:pPr>
              <w:rPr>
                <w:rFonts w:cs="Arial"/>
                <w:sz w:val="24"/>
                <w:szCs w:val="24"/>
              </w:rPr>
            </w:pPr>
            <w:r>
              <w:rPr>
                <w:rFonts w:cs="Arial"/>
                <w:sz w:val="24"/>
                <w:szCs w:val="24"/>
              </w:rPr>
              <w:t>Special Education Director</w:t>
            </w:r>
          </w:p>
        </w:tc>
        <w:tc>
          <w:tcPr>
            <w:tcW w:w="5845" w:type="dxa"/>
          </w:tcPr>
          <w:p w14:paraId="19F4D4F4" w14:textId="77777777" w:rsidR="005A291B" w:rsidRDefault="005A291B" w:rsidP="00FF4A56">
            <w:pPr>
              <w:rPr>
                <w:rFonts w:cs="Arial"/>
                <w:sz w:val="24"/>
                <w:szCs w:val="24"/>
              </w:rPr>
            </w:pPr>
            <w:r>
              <w:rPr>
                <w:rFonts w:cs="Arial"/>
                <w:sz w:val="24"/>
                <w:szCs w:val="24"/>
              </w:rPr>
              <w:t>Deryl Holt</w:t>
            </w:r>
          </w:p>
        </w:tc>
      </w:tr>
      <w:tr w:rsidR="005A291B" w:rsidRPr="008F0410" w14:paraId="14BEAAF0" w14:textId="77777777" w:rsidTr="00FF4A56">
        <w:tc>
          <w:tcPr>
            <w:tcW w:w="3505" w:type="dxa"/>
            <w:shd w:val="clear" w:color="auto" w:fill="800000"/>
          </w:tcPr>
          <w:p w14:paraId="1CD595A8" w14:textId="77777777" w:rsidR="005A291B" w:rsidRDefault="005A291B" w:rsidP="00FF4A56">
            <w:pPr>
              <w:rPr>
                <w:rFonts w:cs="Arial"/>
                <w:sz w:val="24"/>
                <w:szCs w:val="24"/>
              </w:rPr>
            </w:pPr>
            <w:r>
              <w:rPr>
                <w:rFonts w:cs="Arial"/>
                <w:sz w:val="24"/>
                <w:szCs w:val="24"/>
              </w:rPr>
              <w:t>Business &amp; Finance Director</w:t>
            </w:r>
          </w:p>
        </w:tc>
        <w:tc>
          <w:tcPr>
            <w:tcW w:w="5845" w:type="dxa"/>
          </w:tcPr>
          <w:p w14:paraId="48DB00E8" w14:textId="77777777" w:rsidR="005A291B" w:rsidRDefault="005A291B" w:rsidP="00FF4A56">
            <w:pPr>
              <w:rPr>
                <w:rFonts w:cs="Arial"/>
                <w:sz w:val="24"/>
                <w:szCs w:val="24"/>
              </w:rPr>
            </w:pPr>
            <w:r>
              <w:rPr>
                <w:rFonts w:cs="Arial"/>
                <w:sz w:val="24"/>
                <w:szCs w:val="24"/>
              </w:rPr>
              <w:t>Andrew Smaha</w:t>
            </w:r>
          </w:p>
        </w:tc>
      </w:tr>
    </w:tbl>
    <w:p w14:paraId="71B066D1" w14:textId="77777777" w:rsidR="008D67A9" w:rsidRPr="008F0410" w:rsidRDefault="008D67A9" w:rsidP="008D67A9">
      <w:pPr>
        <w:rPr>
          <w:rFonts w:cs="Arial"/>
          <w:sz w:val="24"/>
          <w:szCs w:val="24"/>
        </w:rPr>
      </w:pPr>
    </w:p>
    <w:p w14:paraId="17655185" w14:textId="77777777" w:rsidR="008D67A9" w:rsidRPr="008F0410" w:rsidRDefault="008D67A9" w:rsidP="008D67A9">
      <w:pPr>
        <w:rPr>
          <w:rFonts w:cs="Arial"/>
          <w:sz w:val="24"/>
          <w:szCs w:val="24"/>
        </w:rPr>
      </w:pPr>
    </w:p>
    <w:tbl>
      <w:tblPr>
        <w:tblStyle w:val="TableGrid"/>
        <w:tblW w:w="0" w:type="auto"/>
        <w:tblLook w:val="04A0" w:firstRow="1" w:lastRow="0" w:firstColumn="1" w:lastColumn="0" w:noHBand="0" w:noVBand="1"/>
      </w:tblPr>
      <w:tblGrid>
        <w:gridCol w:w="2605"/>
        <w:gridCol w:w="6745"/>
      </w:tblGrid>
      <w:tr w:rsidR="008D67A9" w:rsidRPr="008F0410" w14:paraId="4253CCB5" w14:textId="77777777" w:rsidTr="00FF4A56">
        <w:tc>
          <w:tcPr>
            <w:tcW w:w="2605" w:type="dxa"/>
            <w:shd w:val="clear" w:color="auto" w:fill="800000"/>
          </w:tcPr>
          <w:p w14:paraId="24F51CE1" w14:textId="77777777" w:rsidR="008D67A9" w:rsidRPr="008F0410" w:rsidRDefault="008D67A9" w:rsidP="00FF4A56">
            <w:pPr>
              <w:rPr>
                <w:rFonts w:cs="Arial"/>
                <w:sz w:val="24"/>
                <w:szCs w:val="24"/>
              </w:rPr>
            </w:pPr>
            <w:r w:rsidRPr="008F0410">
              <w:rPr>
                <w:rFonts w:cs="Arial"/>
                <w:sz w:val="24"/>
                <w:szCs w:val="24"/>
              </w:rPr>
              <w:t>Year Opened</w:t>
            </w:r>
          </w:p>
        </w:tc>
        <w:tc>
          <w:tcPr>
            <w:tcW w:w="6745" w:type="dxa"/>
          </w:tcPr>
          <w:p w14:paraId="6A61BB1A" w14:textId="77777777" w:rsidR="008D67A9" w:rsidRPr="008F0410" w:rsidRDefault="005A291B" w:rsidP="00FF4A56">
            <w:pPr>
              <w:rPr>
                <w:rFonts w:cs="Arial"/>
                <w:sz w:val="24"/>
                <w:szCs w:val="24"/>
              </w:rPr>
            </w:pPr>
            <w:r>
              <w:rPr>
                <w:rFonts w:cs="Arial"/>
                <w:sz w:val="24"/>
                <w:szCs w:val="24"/>
              </w:rPr>
              <w:t>2013</w:t>
            </w:r>
          </w:p>
        </w:tc>
      </w:tr>
      <w:tr w:rsidR="008D67A9" w:rsidRPr="008F0410" w14:paraId="4F2ADD59" w14:textId="77777777" w:rsidTr="00FF4A56">
        <w:tc>
          <w:tcPr>
            <w:tcW w:w="2605" w:type="dxa"/>
            <w:shd w:val="clear" w:color="auto" w:fill="800000"/>
          </w:tcPr>
          <w:p w14:paraId="23E103B0" w14:textId="77777777" w:rsidR="008D67A9" w:rsidRPr="008F0410" w:rsidRDefault="008D67A9" w:rsidP="00FF4A56">
            <w:pPr>
              <w:rPr>
                <w:rFonts w:cs="Arial"/>
                <w:sz w:val="24"/>
                <w:szCs w:val="24"/>
              </w:rPr>
            </w:pPr>
            <w:r w:rsidRPr="008F0410">
              <w:rPr>
                <w:rFonts w:cs="Arial"/>
                <w:sz w:val="24"/>
                <w:szCs w:val="24"/>
              </w:rPr>
              <w:t>Years in Operation</w:t>
            </w:r>
          </w:p>
        </w:tc>
        <w:tc>
          <w:tcPr>
            <w:tcW w:w="6745" w:type="dxa"/>
          </w:tcPr>
          <w:p w14:paraId="0A5738CE" w14:textId="0A52F334" w:rsidR="008D67A9" w:rsidRPr="008F0410" w:rsidRDefault="003A69C3" w:rsidP="00FF4A56">
            <w:pPr>
              <w:rPr>
                <w:rFonts w:cs="Arial"/>
                <w:sz w:val="24"/>
                <w:szCs w:val="24"/>
              </w:rPr>
            </w:pPr>
            <w:r>
              <w:rPr>
                <w:rFonts w:cs="Arial"/>
                <w:sz w:val="24"/>
                <w:szCs w:val="24"/>
              </w:rPr>
              <w:t>7</w:t>
            </w:r>
          </w:p>
        </w:tc>
      </w:tr>
      <w:tr w:rsidR="008D67A9" w:rsidRPr="008F0410" w14:paraId="0E701C16" w14:textId="77777777" w:rsidTr="00FF4A56">
        <w:tc>
          <w:tcPr>
            <w:tcW w:w="2605" w:type="dxa"/>
            <w:shd w:val="clear" w:color="auto" w:fill="800000"/>
          </w:tcPr>
          <w:p w14:paraId="3A7A871C" w14:textId="77777777" w:rsidR="008D67A9" w:rsidRPr="008F0410" w:rsidRDefault="008D67A9" w:rsidP="00FF4A56">
            <w:pPr>
              <w:rPr>
                <w:rFonts w:cs="Arial"/>
                <w:sz w:val="24"/>
                <w:szCs w:val="24"/>
              </w:rPr>
            </w:pPr>
            <w:r w:rsidRPr="008F0410">
              <w:rPr>
                <w:rFonts w:cs="Arial"/>
                <w:sz w:val="24"/>
                <w:szCs w:val="24"/>
              </w:rPr>
              <w:t>Number of Sending Districts</w:t>
            </w:r>
          </w:p>
        </w:tc>
        <w:tc>
          <w:tcPr>
            <w:tcW w:w="6745" w:type="dxa"/>
          </w:tcPr>
          <w:p w14:paraId="099E069B" w14:textId="4D02C1A2" w:rsidR="008D67A9" w:rsidRPr="008F0410" w:rsidRDefault="001D1B96" w:rsidP="00FF4A56">
            <w:pPr>
              <w:rPr>
                <w:rFonts w:cs="Arial"/>
                <w:sz w:val="24"/>
                <w:szCs w:val="24"/>
              </w:rPr>
            </w:pPr>
            <w:r>
              <w:rPr>
                <w:rFonts w:cs="Arial"/>
                <w:sz w:val="24"/>
                <w:szCs w:val="24"/>
              </w:rPr>
              <w:t>16</w:t>
            </w:r>
          </w:p>
        </w:tc>
      </w:tr>
      <w:tr w:rsidR="008D67A9" w:rsidRPr="008F0410" w14:paraId="13EF0F6A" w14:textId="77777777" w:rsidTr="00FF4A56">
        <w:tc>
          <w:tcPr>
            <w:tcW w:w="2605" w:type="dxa"/>
            <w:shd w:val="clear" w:color="auto" w:fill="800000"/>
          </w:tcPr>
          <w:p w14:paraId="7DF23F2C" w14:textId="77777777" w:rsidR="008D67A9" w:rsidRPr="008F0410" w:rsidRDefault="008D67A9" w:rsidP="00FF4A56">
            <w:pPr>
              <w:rPr>
                <w:rFonts w:cs="Arial"/>
                <w:sz w:val="24"/>
                <w:szCs w:val="24"/>
              </w:rPr>
            </w:pPr>
            <w:r w:rsidRPr="008F0410">
              <w:rPr>
                <w:rFonts w:cs="Arial"/>
                <w:sz w:val="24"/>
                <w:szCs w:val="24"/>
              </w:rPr>
              <w:t>Grades Served</w:t>
            </w:r>
          </w:p>
        </w:tc>
        <w:tc>
          <w:tcPr>
            <w:tcW w:w="6745" w:type="dxa"/>
          </w:tcPr>
          <w:p w14:paraId="516E6A41" w14:textId="77777777" w:rsidR="008D67A9" w:rsidRPr="008F0410" w:rsidRDefault="005A291B" w:rsidP="00FF4A56">
            <w:pPr>
              <w:rPr>
                <w:rFonts w:cs="Arial"/>
                <w:sz w:val="24"/>
                <w:szCs w:val="24"/>
              </w:rPr>
            </w:pPr>
            <w:r>
              <w:rPr>
                <w:rFonts w:cs="Arial"/>
                <w:sz w:val="24"/>
                <w:szCs w:val="24"/>
              </w:rPr>
              <w:t>6 - 12</w:t>
            </w:r>
          </w:p>
        </w:tc>
      </w:tr>
      <w:tr w:rsidR="008D67A9" w:rsidRPr="008F0410" w14:paraId="36655FB2" w14:textId="77777777" w:rsidTr="00FF4A56">
        <w:tc>
          <w:tcPr>
            <w:tcW w:w="2605" w:type="dxa"/>
            <w:shd w:val="clear" w:color="auto" w:fill="800000"/>
          </w:tcPr>
          <w:p w14:paraId="552F1A24" w14:textId="77777777" w:rsidR="008D67A9" w:rsidRPr="008F0410" w:rsidRDefault="008D67A9" w:rsidP="00FF4A56">
            <w:pPr>
              <w:rPr>
                <w:rFonts w:cs="Arial"/>
                <w:sz w:val="24"/>
                <w:szCs w:val="24"/>
              </w:rPr>
            </w:pPr>
            <w:r w:rsidRPr="008F0410">
              <w:rPr>
                <w:rFonts w:cs="Arial"/>
                <w:sz w:val="24"/>
                <w:szCs w:val="24"/>
              </w:rPr>
              <w:t>Current Enrollment</w:t>
            </w:r>
          </w:p>
        </w:tc>
        <w:tc>
          <w:tcPr>
            <w:tcW w:w="6745" w:type="dxa"/>
          </w:tcPr>
          <w:p w14:paraId="0B0ABF9B" w14:textId="50580713" w:rsidR="008D67A9" w:rsidRPr="008F0410" w:rsidRDefault="00B66C24" w:rsidP="00FF4A56">
            <w:pPr>
              <w:rPr>
                <w:rFonts w:cs="Arial"/>
                <w:sz w:val="24"/>
                <w:szCs w:val="24"/>
              </w:rPr>
            </w:pPr>
            <w:r>
              <w:rPr>
                <w:rFonts w:cs="Arial"/>
                <w:sz w:val="24"/>
                <w:szCs w:val="24"/>
              </w:rPr>
              <w:t>195</w:t>
            </w:r>
            <w:r w:rsidR="007B592F">
              <w:rPr>
                <w:rFonts w:cs="Arial"/>
                <w:sz w:val="24"/>
                <w:szCs w:val="24"/>
              </w:rPr>
              <w:t>*</w:t>
            </w:r>
          </w:p>
        </w:tc>
      </w:tr>
      <w:tr w:rsidR="008D67A9" w:rsidRPr="008F0410" w14:paraId="1F422FE1" w14:textId="77777777" w:rsidTr="00FF4A56">
        <w:tc>
          <w:tcPr>
            <w:tcW w:w="2605" w:type="dxa"/>
            <w:shd w:val="clear" w:color="auto" w:fill="800000"/>
          </w:tcPr>
          <w:p w14:paraId="6A1506F4" w14:textId="77777777" w:rsidR="008D67A9" w:rsidRPr="008F0410" w:rsidRDefault="008D67A9" w:rsidP="00FF4A56">
            <w:pPr>
              <w:rPr>
                <w:rFonts w:cs="Arial"/>
                <w:sz w:val="24"/>
                <w:szCs w:val="24"/>
              </w:rPr>
            </w:pPr>
            <w:r w:rsidRPr="008F0410">
              <w:rPr>
                <w:rFonts w:cs="Arial"/>
                <w:sz w:val="24"/>
                <w:szCs w:val="24"/>
              </w:rPr>
              <w:t>Students on Waiting List</w:t>
            </w:r>
          </w:p>
        </w:tc>
        <w:tc>
          <w:tcPr>
            <w:tcW w:w="6745" w:type="dxa"/>
          </w:tcPr>
          <w:p w14:paraId="43B8AFEF" w14:textId="0436B24D" w:rsidR="008D67A9" w:rsidRPr="008F0410" w:rsidRDefault="00961DE8" w:rsidP="00FF4A56">
            <w:pPr>
              <w:rPr>
                <w:rFonts w:cs="Arial"/>
                <w:sz w:val="24"/>
                <w:szCs w:val="24"/>
              </w:rPr>
            </w:pPr>
            <w:r>
              <w:rPr>
                <w:rFonts w:cs="Arial"/>
                <w:sz w:val="24"/>
                <w:szCs w:val="24"/>
              </w:rPr>
              <w:t>5</w:t>
            </w:r>
            <w:r w:rsidR="007B592F">
              <w:rPr>
                <w:rFonts w:cs="Arial"/>
                <w:sz w:val="24"/>
                <w:szCs w:val="24"/>
              </w:rPr>
              <w:t>*</w:t>
            </w:r>
          </w:p>
        </w:tc>
      </w:tr>
    </w:tbl>
    <w:p w14:paraId="49338C3A" w14:textId="77777777" w:rsidR="008D67A9" w:rsidRPr="008F0410" w:rsidRDefault="008D67A9" w:rsidP="008D67A9">
      <w:pPr>
        <w:rPr>
          <w:rFonts w:cs="Arial"/>
          <w:sz w:val="24"/>
          <w:szCs w:val="24"/>
        </w:rPr>
      </w:pPr>
    </w:p>
    <w:p w14:paraId="59975D78" w14:textId="376F3AC0" w:rsidR="008D67A9" w:rsidRPr="008F0410" w:rsidRDefault="007B592F" w:rsidP="007B592F">
      <w:pPr>
        <w:jc w:val="right"/>
        <w:rPr>
          <w:rFonts w:cs="Arial"/>
          <w:sz w:val="24"/>
          <w:szCs w:val="24"/>
        </w:rPr>
      </w:pPr>
      <w:r>
        <w:rPr>
          <w:rFonts w:cs="Arial"/>
          <w:sz w:val="24"/>
          <w:szCs w:val="24"/>
        </w:rPr>
        <w:t xml:space="preserve">*As of </w:t>
      </w:r>
      <w:r w:rsidR="005E6FCE">
        <w:rPr>
          <w:rFonts w:cs="Arial"/>
          <w:sz w:val="24"/>
          <w:szCs w:val="24"/>
        </w:rPr>
        <w:t>October 1, 201</w:t>
      </w:r>
      <w:r w:rsidR="007A2ADC">
        <w:rPr>
          <w:rFonts w:cs="Arial"/>
          <w:sz w:val="24"/>
          <w:szCs w:val="24"/>
        </w:rPr>
        <w:t>9</w:t>
      </w:r>
      <w:r w:rsidR="00B40183">
        <w:rPr>
          <w:rFonts w:cs="Arial"/>
          <w:sz w:val="24"/>
          <w:szCs w:val="24"/>
        </w:rPr>
        <w:t>,</w:t>
      </w:r>
      <w:r>
        <w:rPr>
          <w:rFonts w:cs="Arial"/>
          <w:sz w:val="24"/>
          <w:szCs w:val="24"/>
        </w:rPr>
        <w:t xml:space="preserve"> certified enrollment date</w:t>
      </w:r>
    </w:p>
    <w:p w14:paraId="1EE99A9D" w14:textId="77777777" w:rsidR="008D67A9" w:rsidRDefault="008D67A9" w:rsidP="008D67A9">
      <w:pPr>
        <w:rPr>
          <w:rFonts w:cs="Arial"/>
          <w:sz w:val="24"/>
          <w:szCs w:val="24"/>
        </w:rPr>
      </w:pPr>
    </w:p>
    <w:p w14:paraId="02DD4099" w14:textId="77777777" w:rsidR="005F281A" w:rsidRDefault="005F281A" w:rsidP="008D67A9">
      <w:pPr>
        <w:rPr>
          <w:rFonts w:cs="Arial"/>
          <w:sz w:val="24"/>
          <w:szCs w:val="24"/>
        </w:rPr>
      </w:pPr>
    </w:p>
    <w:p w14:paraId="7D03CC99" w14:textId="77777777" w:rsidR="008D67A9" w:rsidRDefault="008D67A9" w:rsidP="008E2823">
      <w:pPr>
        <w:rPr>
          <w:rFonts w:cs="Arial"/>
          <w:sz w:val="24"/>
          <w:szCs w:val="24"/>
        </w:rPr>
      </w:pPr>
    </w:p>
    <w:p w14:paraId="15CD116F" w14:textId="7AA8FA93" w:rsidR="008E2823" w:rsidRDefault="008E2823" w:rsidP="008E2823"/>
    <w:p w14:paraId="3FA1C141" w14:textId="51C39582" w:rsidR="00D26744" w:rsidRDefault="00D26744" w:rsidP="008E2823"/>
    <w:p w14:paraId="574B88B9" w14:textId="16820476" w:rsidR="00D26744" w:rsidRDefault="00D26744" w:rsidP="008E2823"/>
    <w:p w14:paraId="14F1D273" w14:textId="2DB26D57" w:rsidR="00D26744" w:rsidRDefault="00D26744" w:rsidP="008E2823"/>
    <w:p w14:paraId="5BC51D73" w14:textId="3FF74824" w:rsidR="00174C9A" w:rsidRDefault="00174C9A" w:rsidP="00090403"/>
    <w:p w14:paraId="0C9753E4" w14:textId="45D941FF" w:rsidR="0075337F" w:rsidRDefault="0075337F" w:rsidP="00090403"/>
    <w:p w14:paraId="3AC5B4AB" w14:textId="4DB0E694" w:rsidR="000976B4" w:rsidRDefault="000976B4" w:rsidP="00090403"/>
    <w:p w14:paraId="168A892B" w14:textId="77777777" w:rsidR="000976B4" w:rsidRDefault="000976B4" w:rsidP="00090403"/>
    <w:tbl>
      <w:tblPr>
        <w:tblStyle w:val="TableGrid"/>
        <w:tblW w:w="0" w:type="auto"/>
        <w:tblLook w:val="04A0" w:firstRow="1" w:lastRow="0" w:firstColumn="1" w:lastColumn="0" w:noHBand="0" w:noVBand="1"/>
      </w:tblPr>
      <w:tblGrid>
        <w:gridCol w:w="8712"/>
      </w:tblGrid>
      <w:tr w:rsidR="000976B4" w14:paraId="7D13C8B8" w14:textId="77777777" w:rsidTr="00385D06">
        <w:tc>
          <w:tcPr>
            <w:tcW w:w="8712" w:type="dxa"/>
            <w:shd w:val="clear" w:color="auto" w:fill="800000"/>
          </w:tcPr>
          <w:p w14:paraId="5BBD0272" w14:textId="413054BF" w:rsidR="000976B4" w:rsidRDefault="000976B4" w:rsidP="00385D06">
            <w:pPr>
              <w:rPr>
                <w:rFonts w:cs="Arial"/>
                <w:sz w:val="28"/>
                <w:szCs w:val="28"/>
              </w:rPr>
            </w:pPr>
            <w:r>
              <w:rPr>
                <w:rFonts w:cs="Arial"/>
                <w:sz w:val="28"/>
                <w:szCs w:val="28"/>
              </w:rPr>
              <w:lastRenderedPageBreak/>
              <w:t xml:space="preserve">Section </w:t>
            </w:r>
            <w:r w:rsidR="00443662">
              <w:rPr>
                <w:rFonts w:cs="Arial"/>
                <w:sz w:val="28"/>
                <w:szCs w:val="28"/>
              </w:rPr>
              <w:t>1</w:t>
            </w:r>
            <w:r>
              <w:rPr>
                <w:rFonts w:cs="Arial"/>
                <w:sz w:val="28"/>
                <w:szCs w:val="28"/>
              </w:rPr>
              <w:t>: Indicator Summary Table</w:t>
            </w:r>
          </w:p>
        </w:tc>
      </w:tr>
    </w:tbl>
    <w:p w14:paraId="08C0FB28" w14:textId="6C628E2D" w:rsidR="00600473" w:rsidRDefault="00600473" w:rsidP="00443662"/>
    <w:p w14:paraId="1BF533A9" w14:textId="77777777" w:rsidR="00CD351A" w:rsidRDefault="00CD351A" w:rsidP="00443662"/>
    <w:tbl>
      <w:tblPr>
        <w:tblStyle w:val="TableGrid"/>
        <w:tblW w:w="0" w:type="auto"/>
        <w:tblLook w:val="04A0" w:firstRow="1" w:lastRow="0" w:firstColumn="1" w:lastColumn="0" w:noHBand="0" w:noVBand="1"/>
      </w:tblPr>
      <w:tblGrid>
        <w:gridCol w:w="3190"/>
        <w:gridCol w:w="1167"/>
        <w:gridCol w:w="1117"/>
        <w:gridCol w:w="1176"/>
        <w:gridCol w:w="1088"/>
        <w:gridCol w:w="1612"/>
      </w:tblGrid>
      <w:tr w:rsidR="00325655" w14:paraId="5BCA5A23" w14:textId="77777777" w:rsidTr="00F36C13">
        <w:tc>
          <w:tcPr>
            <w:tcW w:w="3190" w:type="dxa"/>
            <w:shd w:val="clear" w:color="auto" w:fill="BDD6EE" w:themeFill="accent1" w:themeFillTint="66"/>
          </w:tcPr>
          <w:p w14:paraId="6F5C9464" w14:textId="77777777" w:rsidR="00325655" w:rsidRPr="00D77A2A" w:rsidRDefault="00325655" w:rsidP="00857373">
            <w:pPr>
              <w:jc w:val="center"/>
              <w:rPr>
                <w:b/>
              </w:rPr>
            </w:pPr>
            <w:r>
              <w:rPr>
                <w:b/>
              </w:rPr>
              <w:t>Indicator</w:t>
            </w:r>
          </w:p>
        </w:tc>
        <w:tc>
          <w:tcPr>
            <w:tcW w:w="1167" w:type="dxa"/>
            <w:shd w:val="clear" w:color="auto" w:fill="BDD6EE" w:themeFill="accent1" w:themeFillTint="66"/>
          </w:tcPr>
          <w:p w14:paraId="4DB5C24A" w14:textId="77777777" w:rsidR="00325655" w:rsidRDefault="00325655" w:rsidP="00857373">
            <w:pPr>
              <w:jc w:val="center"/>
              <w:rPr>
                <w:b/>
              </w:rPr>
            </w:pPr>
            <w:r>
              <w:rPr>
                <w:b/>
              </w:rPr>
              <w:t>Exceeds</w:t>
            </w:r>
          </w:p>
        </w:tc>
        <w:tc>
          <w:tcPr>
            <w:tcW w:w="1117" w:type="dxa"/>
            <w:shd w:val="clear" w:color="auto" w:fill="BDD6EE" w:themeFill="accent1" w:themeFillTint="66"/>
          </w:tcPr>
          <w:p w14:paraId="50EB8027" w14:textId="77777777" w:rsidR="00325655" w:rsidRPr="00D77A2A" w:rsidRDefault="00325655" w:rsidP="00857373">
            <w:pPr>
              <w:jc w:val="center"/>
              <w:rPr>
                <w:b/>
              </w:rPr>
            </w:pPr>
            <w:r>
              <w:rPr>
                <w:b/>
              </w:rPr>
              <w:t xml:space="preserve">Meets </w:t>
            </w:r>
          </w:p>
        </w:tc>
        <w:tc>
          <w:tcPr>
            <w:tcW w:w="1176" w:type="dxa"/>
            <w:shd w:val="clear" w:color="auto" w:fill="BDD6EE" w:themeFill="accent1" w:themeFillTint="66"/>
          </w:tcPr>
          <w:p w14:paraId="75A027E4" w14:textId="77777777" w:rsidR="00325655" w:rsidRPr="00D77A2A" w:rsidRDefault="00325655" w:rsidP="00857373">
            <w:pPr>
              <w:jc w:val="center"/>
              <w:rPr>
                <w:b/>
              </w:rPr>
            </w:pPr>
            <w:r>
              <w:rPr>
                <w:b/>
              </w:rPr>
              <w:t>Partially Meets</w:t>
            </w:r>
          </w:p>
        </w:tc>
        <w:tc>
          <w:tcPr>
            <w:tcW w:w="1088" w:type="dxa"/>
            <w:shd w:val="clear" w:color="auto" w:fill="BDD6EE" w:themeFill="accent1" w:themeFillTint="66"/>
          </w:tcPr>
          <w:p w14:paraId="1C2739DC" w14:textId="77777777" w:rsidR="00325655" w:rsidRPr="00D77A2A" w:rsidRDefault="00325655" w:rsidP="00857373">
            <w:pPr>
              <w:jc w:val="center"/>
              <w:rPr>
                <w:b/>
              </w:rPr>
            </w:pPr>
            <w:r>
              <w:rPr>
                <w:b/>
              </w:rPr>
              <w:t>Does Not Meet</w:t>
            </w:r>
          </w:p>
        </w:tc>
        <w:tc>
          <w:tcPr>
            <w:tcW w:w="1612" w:type="dxa"/>
            <w:shd w:val="clear" w:color="auto" w:fill="BDD6EE" w:themeFill="accent1" w:themeFillTint="66"/>
          </w:tcPr>
          <w:p w14:paraId="27E37348" w14:textId="77777777" w:rsidR="00325655" w:rsidRDefault="00325655" w:rsidP="00857373">
            <w:pPr>
              <w:jc w:val="center"/>
              <w:rPr>
                <w:b/>
              </w:rPr>
            </w:pPr>
            <w:r>
              <w:rPr>
                <w:b/>
              </w:rPr>
              <w:t>Other</w:t>
            </w:r>
          </w:p>
        </w:tc>
      </w:tr>
      <w:tr w:rsidR="00325655" w14:paraId="3C1EC0B1" w14:textId="77777777" w:rsidTr="00F36C13">
        <w:trPr>
          <w:trHeight w:val="234"/>
        </w:trPr>
        <w:tc>
          <w:tcPr>
            <w:tcW w:w="9350" w:type="dxa"/>
            <w:gridSpan w:val="6"/>
            <w:shd w:val="clear" w:color="auto" w:fill="BDD6EE" w:themeFill="accent1" w:themeFillTint="66"/>
          </w:tcPr>
          <w:p w14:paraId="7CF0C767" w14:textId="77777777" w:rsidR="00325655" w:rsidRDefault="00325655" w:rsidP="00857373">
            <w:pPr>
              <w:rPr>
                <w:b/>
              </w:rPr>
            </w:pPr>
            <w:r>
              <w:rPr>
                <w:b/>
              </w:rPr>
              <w:t>Student Academic Proficiency</w:t>
            </w:r>
          </w:p>
        </w:tc>
      </w:tr>
      <w:tr w:rsidR="00325655" w:rsidRPr="002E3F02" w14:paraId="3F067278" w14:textId="77777777" w:rsidTr="00F36C13">
        <w:tc>
          <w:tcPr>
            <w:tcW w:w="3190" w:type="dxa"/>
            <w:shd w:val="clear" w:color="auto" w:fill="auto"/>
          </w:tcPr>
          <w:p w14:paraId="02D30CF6" w14:textId="77777777" w:rsidR="00325655" w:rsidRPr="002E3F02" w:rsidRDefault="00325655" w:rsidP="00857373">
            <w:pPr>
              <w:jc w:val="right"/>
              <w:rPr>
                <w:bCs/>
              </w:rPr>
            </w:pPr>
            <w:r>
              <w:rPr>
                <w:bCs/>
              </w:rPr>
              <w:t>Target 1</w:t>
            </w:r>
          </w:p>
        </w:tc>
        <w:tc>
          <w:tcPr>
            <w:tcW w:w="1167" w:type="dxa"/>
            <w:shd w:val="clear" w:color="auto" w:fill="auto"/>
          </w:tcPr>
          <w:p w14:paraId="75A4F7DB" w14:textId="77777777" w:rsidR="00325655" w:rsidRPr="00CF6DB2" w:rsidRDefault="00325655" w:rsidP="00857373">
            <w:pPr>
              <w:jc w:val="center"/>
              <w:rPr>
                <w:b/>
              </w:rPr>
            </w:pPr>
          </w:p>
        </w:tc>
        <w:tc>
          <w:tcPr>
            <w:tcW w:w="1117" w:type="dxa"/>
            <w:shd w:val="clear" w:color="auto" w:fill="auto"/>
          </w:tcPr>
          <w:p w14:paraId="54C57922" w14:textId="15AB6373" w:rsidR="00325655" w:rsidRPr="00CF6DB2" w:rsidRDefault="00325655" w:rsidP="00857373">
            <w:pPr>
              <w:jc w:val="center"/>
              <w:rPr>
                <w:b/>
              </w:rPr>
            </w:pPr>
          </w:p>
        </w:tc>
        <w:tc>
          <w:tcPr>
            <w:tcW w:w="1176" w:type="dxa"/>
            <w:shd w:val="clear" w:color="auto" w:fill="auto"/>
          </w:tcPr>
          <w:p w14:paraId="36C4DF66" w14:textId="77777777" w:rsidR="00325655" w:rsidRPr="002E3F02" w:rsidRDefault="00325655" w:rsidP="00857373">
            <w:pPr>
              <w:jc w:val="center"/>
              <w:rPr>
                <w:bCs/>
              </w:rPr>
            </w:pPr>
          </w:p>
        </w:tc>
        <w:tc>
          <w:tcPr>
            <w:tcW w:w="1088" w:type="dxa"/>
            <w:shd w:val="clear" w:color="auto" w:fill="auto"/>
          </w:tcPr>
          <w:p w14:paraId="39BB21EC" w14:textId="3B2E9D0D" w:rsidR="00325655" w:rsidRPr="007E66A3" w:rsidRDefault="00991F17" w:rsidP="00857373">
            <w:pPr>
              <w:jc w:val="center"/>
              <w:rPr>
                <w:b/>
              </w:rPr>
            </w:pPr>
            <w:r w:rsidRPr="007E66A3">
              <w:rPr>
                <w:b/>
              </w:rPr>
              <w:t>X</w:t>
            </w:r>
          </w:p>
        </w:tc>
        <w:tc>
          <w:tcPr>
            <w:tcW w:w="1612" w:type="dxa"/>
          </w:tcPr>
          <w:p w14:paraId="5B113AB7" w14:textId="77777777" w:rsidR="00325655" w:rsidRPr="002E3F02" w:rsidRDefault="00325655" w:rsidP="00857373">
            <w:pPr>
              <w:jc w:val="center"/>
              <w:rPr>
                <w:bCs/>
              </w:rPr>
            </w:pPr>
          </w:p>
        </w:tc>
      </w:tr>
      <w:tr w:rsidR="00325655" w:rsidRPr="002E3F02" w14:paraId="27572709" w14:textId="77777777" w:rsidTr="00F36C13">
        <w:tc>
          <w:tcPr>
            <w:tcW w:w="3190" w:type="dxa"/>
            <w:shd w:val="clear" w:color="auto" w:fill="auto"/>
          </w:tcPr>
          <w:p w14:paraId="75624653" w14:textId="77777777" w:rsidR="00325655" w:rsidRPr="002E3F02" w:rsidRDefault="00325655" w:rsidP="00857373">
            <w:pPr>
              <w:jc w:val="right"/>
              <w:rPr>
                <w:bCs/>
              </w:rPr>
            </w:pPr>
            <w:r>
              <w:rPr>
                <w:bCs/>
              </w:rPr>
              <w:t>Target 2</w:t>
            </w:r>
          </w:p>
        </w:tc>
        <w:tc>
          <w:tcPr>
            <w:tcW w:w="1167" w:type="dxa"/>
            <w:shd w:val="clear" w:color="auto" w:fill="auto"/>
          </w:tcPr>
          <w:p w14:paraId="5630CB19" w14:textId="77777777" w:rsidR="00325655" w:rsidRPr="00CF6DB2" w:rsidRDefault="00325655" w:rsidP="00857373">
            <w:pPr>
              <w:jc w:val="center"/>
              <w:rPr>
                <w:b/>
              </w:rPr>
            </w:pPr>
          </w:p>
        </w:tc>
        <w:tc>
          <w:tcPr>
            <w:tcW w:w="1117" w:type="dxa"/>
            <w:shd w:val="clear" w:color="auto" w:fill="auto"/>
          </w:tcPr>
          <w:p w14:paraId="28EC5C1E" w14:textId="5C92A166" w:rsidR="00325655" w:rsidRPr="00CF6DB2" w:rsidRDefault="00325655" w:rsidP="00857373">
            <w:pPr>
              <w:jc w:val="center"/>
              <w:rPr>
                <w:b/>
              </w:rPr>
            </w:pPr>
          </w:p>
        </w:tc>
        <w:tc>
          <w:tcPr>
            <w:tcW w:w="1176" w:type="dxa"/>
            <w:shd w:val="clear" w:color="auto" w:fill="auto"/>
          </w:tcPr>
          <w:p w14:paraId="0E96C32B" w14:textId="77777777" w:rsidR="00325655" w:rsidRPr="002E3F02" w:rsidRDefault="00325655" w:rsidP="00857373">
            <w:pPr>
              <w:jc w:val="center"/>
              <w:rPr>
                <w:bCs/>
              </w:rPr>
            </w:pPr>
          </w:p>
        </w:tc>
        <w:tc>
          <w:tcPr>
            <w:tcW w:w="1088" w:type="dxa"/>
            <w:shd w:val="clear" w:color="auto" w:fill="auto"/>
          </w:tcPr>
          <w:p w14:paraId="48C9FB0C" w14:textId="77777777" w:rsidR="00325655" w:rsidRPr="002E3F02" w:rsidRDefault="00325655" w:rsidP="00857373">
            <w:pPr>
              <w:jc w:val="center"/>
              <w:rPr>
                <w:bCs/>
              </w:rPr>
            </w:pPr>
          </w:p>
        </w:tc>
        <w:tc>
          <w:tcPr>
            <w:tcW w:w="1612" w:type="dxa"/>
          </w:tcPr>
          <w:p w14:paraId="07B0DE91" w14:textId="2FFDEB0A" w:rsidR="00325655" w:rsidRPr="002E3F02" w:rsidRDefault="00991F17" w:rsidP="00857373">
            <w:pPr>
              <w:jc w:val="center"/>
              <w:rPr>
                <w:bCs/>
              </w:rPr>
            </w:pPr>
            <w:r>
              <w:rPr>
                <w:bCs/>
              </w:rPr>
              <w:t>NA</w:t>
            </w:r>
          </w:p>
        </w:tc>
      </w:tr>
      <w:tr w:rsidR="00325655" w:rsidRPr="002E3F02" w14:paraId="293B163B" w14:textId="77777777" w:rsidTr="00F36C13">
        <w:tc>
          <w:tcPr>
            <w:tcW w:w="3190" w:type="dxa"/>
            <w:shd w:val="clear" w:color="auto" w:fill="auto"/>
          </w:tcPr>
          <w:p w14:paraId="55814D40" w14:textId="77777777" w:rsidR="00325655" w:rsidRPr="002E3F02" w:rsidRDefault="00325655" w:rsidP="00857373">
            <w:pPr>
              <w:jc w:val="right"/>
              <w:rPr>
                <w:bCs/>
              </w:rPr>
            </w:pPr>
            <w:r>
              <w:rPr>
                <w:bCs/>
              </w:rPr>
              <w:t>Target 3</w:t>
            </w:r>
          </w:p>
        </w:tc>
        <w:tc>
          <w:tcPr>
            <w:tcW w:w="1167" w:type="dxa"/>
            <w:shd w:val="clear" w:color="auto" w:fill="auto"/>
          </w:tcPr>
          <w:p w14:paraId="5C7D66F1" w14:textId="77777777" w:rsidR="00325655" w:rsidRPr="00CF6DB2" w:rsidRDefault="00325655" w:rsidP="00857373">
            <w:pPr>
              <w:jc w:val="center"/>
              <w:rPr>
                <w:b/>
              </w:rPr>
            </w:pPr>
          </w:p>
        </w:tc>
        <w:tc>
          <w:tcPr>
            <w:tcW w:w="1117" w:type="dxa"/>
            <w:shd w:val="clear" w:color="auto" w:fill="auto"/>
          </w:tcPr>
          <w:p w14:paraId="51E30B75" w14:textId="064BC95A" w:rsidR="00325655" w:rsidRPr="00CF6DB2" w:rsidRDefault="00325655" w:rsidP="00991F17">
            <w:pPr>
              <w:rPr>
                <w:b/>
              </w:rPr>
            </w:pPr>
          </w:p>
        </w:tc>
        <w:tc>
          <w:tcPr>
            <w:tcW w:w="1176" w:type="dxa"/>
            <w:shd w:val="clear" w:color="auto" w:fill="auto"/>
          </w:tcPr>
          <w:p w14:paraId="0E3B7487" w14:textId="77777777" w:rsidR="00325655" w:rsidRPr="002E3F02" w:rsidRDefault="00325655" w:rsidP="00857373">
            <w:pPr>
              <w:jc w:val="center"/>
              <w:rPr>
                <w:bCs/>
              </w:rPr>
            </w:pPr>
          </w:p>
        </w:tc>
        <w:tc>
          <w:tcPr>
            <w:tcW w:w="1088" w:type="dxa"/>
            <w:shd w:val="clear" w:color="auto" w:fill="auto"/>
          </w:tcPr>
          <w:p w14:paraId="19F21D89" w14:textId="24783C11" w:rsidR="00325655" w:rsidRPr="007E66A3" w:rsidRDefault="00991F17" w:rsidP="00857373">
            <w:pPr>
              <w:jc w:val="center"/>
              <w:rPr>
                <w:b/>
              </w:rPr>
            </w:pPr>
            <w:r w:rsidRPr="007E66A3">
              <w:rPr>
                <w:b/>
              </w:rPr>
              <w:t>X</w:t>
            </w:r>
          </w:p>
        </w:tc>
        <w:tc>
          <w:tcPr>
            <w:tcW w:w="1612" w:type="dxa"/>
          </w:tcPr>
          <w:p w14:paraId="7863D6F9" w14:textId="77777777" w:rsidR="00325655" w:rsidRPr="002E3F02" w:rsidRDefault="00325655" w:rsidP="00857373">
            <w:pPr>
              <w:jc w:val="center"/>
              <w:rPr>
                <w:bCs/>
              </w:rPr>
            </w:pPr>
          </w:p>
        </w:tc>
      </w:tr>
      <w:tr w:rsidR="0032448E" w:rsidRPr="002E3F02" w14:paraId="076BF6F0" w14:textId="77777777" w:rsidTr="00F36C13">
        <w:tc>
          <w:tcPr>
            <w:tcW w:w="3190" w:type="dxa"/>
            <w:shd w:val="clear" w:color="auto" w:fill="auto"/>
          </w:tcPr>
          <w:p w14:paraId="24273BA3" w14:textId="67518FEB" w:rsidR="0032448E" w:rsidRDefault="00B71B3E" w:rsidP="00857373">
            <w:pPr>
              <w:jc w:val="right"/>
              <w:rPr>
                <w:bCs/>
              </w:rPr>
            </w:pPr>
            <w:r>
              <w:rPr>
                <w:bCs/>
              </w:rPr>
              <w:t>Target 4</w:t>
            </w:r>
          </w:p>
        </w:tc>
        <w:tc>
          <w:tcPr>
            <w:tcW w:w="1167" w:type="dxa"/>
            <w:shd w:val="clear" w:color="auto" w:fill="auto"/>
          </w:tcPr>
          <w:p w14:paraId="1027AA12" w14:textId="12793BAC" w:rsidR="0032448E" w:rsidRPr="00CF6DB2" w:rsidRDefault="002B769B" w:rsidP="00857373">
            <w:pPr>
              <w:jc w:val="center"/>
              <w:rPr>
                <w:b/>
              </w:rPr>
            </w:pPr>
            <w:r w:rsidRPr="00CF6DB2">
              <w:rPr>
                <w:b/>
              </w:rPr>
              <w:t>X</w:t>
            </w:r>
          </w:p>
        </w:tc>
        <w:tc>
          <w:tcPr>
            <w:tcW w:w="1117" w:type="dxa"/>
            <w:shd w:val="clear" w:color="auto" w:fill="auto"/>
          </w:tcPr>
          <w:p w14:paraId="5CB41D73" w14:textId="77777777" w:rsidR="0032448E" w:rsidRPr="00CF6DB2" w:rsidRDefault="0032448E" w:rsidP="00857373">
            <w:pPr>
              <w:jc w:val="center"/>
              <w:rPr>
                <w:b/>
              </w:rPr>
            </w:pPr>
          </w:p>
        </w:tc>
        <w:tc>
          <w:tcPr>
            <w:tcW w:w="1176" w:type="dxa"/>
            <w:shd w:val="clear" w:color="auto" w:fill="auto"/>
          </w:tcPr>
          <w:p w14:paraId="04DAA55D" w14:textId="77777777" w:rsidR="0032448E" w:rsidRPr="002E3F02" w:rsidRDefault="0032448E" w:rsidP="00857373">
            <w:pPr>
              <w:jc w:val="center"/>
              <w:rPr>
                <w:bCs/>
              </w:rPr>
            </w:pPr>
          </w:p>
        </w:tc>
        <w:tc>
          <w:tcPr>
            <w:tcW w:w="1088" w:type="dxa"/>
            <w:shd w:val="clear" w:color="auto" w:fill="auto"/>
          </w:tcPr>
          <w:p w14:paraId="5306996E" w14:textId="77777777" w:rsidR="0032448E" w:rsidRPr="002E3F02" w:rsidRDefault="0032448E" w:rsidP="00857373">
            <w:pPr>
              <w:jc w:val="center"/>
              <w:rPr>
                <w:bCs/>
              </w:rPr>
            </w:pPr>
          </w:p>
        </w:tc>
        <w:tc>
          <w:tcPr>
            <w:tcW w:w="1612" w:type="dxa"/>
          </w:tcPr>
          <w:p w14:paraId="3F38F717" w14:textId="77777777" w:rsidR="0032448E" w:rsidRPr="002E3F02" w:rsidRDefault="0032448E" w:rsidP="00857373">
            <w:pPr>
              <w:jc w:val="center"/>
              <w:rPr>
                <w:bCs/>
              </w:rPr>
            </w:pPr>
          </w:p>
        </w:tc>
      </w:tr>
      <w:tr w:rsidR="0032448E" w:rsidRPr="002E3F02" w14:paraId="19E49866" w14:textId="77777777" w:rsidTr="00F36C13">
        <w:tc>
          <w:tcPr>
            <w:tcW w:w="3190" w:type="dxa"/>
            <w:shd w:val="clear" w:color="auto" w:fill="auto"/>
          </w:tcPr>
          <w:p w14:paraId="46BB9E32" w14:textId="476B960C" w:rsidR="0032448E" w:rsidRDefault="00B71B3E" w:rsidP="00857373">
            <w:pPr>
              <w:jc w:val="right"/>
              <w:rPr>
                <w:bCs/>
              </w:rPr>
            </w:pPr>
            <w:r>
              <w:rPr>
                <w:bCs/>
              </w:rPr>
              <w:t>Target 5</w:t>
            </w:r>
          </w:p>
        </w:tc>
        <w:tc>
          <w:tcPr>
            <w:tcW w:w="1167" w:type="dxa"/>
            <w:shd w:val="clear" w:color="auto" w:fill="auto"/>
          </w:tcPr>
          <w:p w14:paraId="26B0B0D1" w14:textId="6580B3B1" w:rsidR="0032448E" w:rsidRPr="00CF6DB2" w:rsidRDefault="00CF6DB2" w:rsidP="00857373">
            <w:pPr>
              <w:jc w:val="center"/>
              <w:rPr>
                <w:b/>
              </w:rPr>
            </w:pPr>
            <w:r w:rsidRPr="00CF6DB2">
              <w:rPr>
                <w:b/>
              </w:rPr>
              <w:t>X</w:t>
            </w:r>
          </w:p>
        </w:tc>
        <w:tc>
          <w:tcPr>
            <w:tcW w:w="1117" w:type="dxa"/>
            <w:shd w:val="clear" w:color="auto" w:fill="auto"/>
          </w:tcPr>
          <w:p w14:paraId="637C14CB" w14:textId="77777777" w:rsidR="0032448E" w:rsidRPr="00CF6DB2" w:rsidRDefault="0032448E" w:rsidP="00857373">
            <w:pPr>
              <w:jc w:val="center"/>
              <w:rPr>
                <w:b/>
              </w:rPr>
            </w:pPr>
          </w:p>
        </w:tc>
        <w:tc>
          <w:tcPr>
            <w:tcW w:w="1176" w:type="dxa"/>
            <w:shd w:val="clear" w:color="auto" w:fill="auto"/>
          </w:tcPr>
          <w:p w14:paraId="2A36ABE7" w14:textId="77777777" w:rsidR="0032448E" w:rsidRPr="002E3F02" w:rsidRDefault="0032448E" w:rsidP="00857373">
            <w:pPr>
              <w:jc w:val="center"/>
              <w:rPr>
                <w:bCs/>
              </w:rPr>
            </w:pPr>
          </w:p>
        </w:tc>
        <w:tc>
          <w:tcPr>
            <w:tcW w:w="1088" w:type="dxa"/>
            <w:shd w:val="clear" w:color="auto" w:fill="auto"/>
          </w:tcPr>
          <w:p w14:paraId="0E6D95F0" w14:textId="77777777" w:rsidR="0032448E" w:rsidRPr="002E3F02" w:rsidRDefault="0032448E" w:rsidP="00857373">
            <w:pPr>
              <w:jc w:val="center"/>
              <w:rPr>
                <w:bCs/>
              </w:rPr>
            </w:pPr>
          </w:p>
        </w:tc>
        <w:tc>
          <w:tcPr>
            <w:tcW w:w="1612" w:type="dxa"/>
          </w:tcPr>
          <w:p w14:paraId="1D1DC393" w14:textId="77777777" w:rsidR="0032448E" w:rsidRPr="002E3F02" w:rsidRDefault="0032448E" w:rsidP="00857373">
            <w:pPr>
              <w:jc w:val="center"/>
              <w:rPr>
                <w:bCs/>
              </w:rPr>
            </w:pPr>
          </w:p>
        </w:tc>
      </w:tr>
      <w:tr w:rsidR="0032448E" w:rsidRPr="002E3F02" w14:paraId="55B79521" w14:textId="77777777" w:rsidTr="00F36C13">
        <w:tc>
          <w:tcPr>
            <w:tcW w:w="3190" w:type="dxa"/>
            <w:shd w:val="clear" w:color="auto" w:fill="auto"/>
          </w:tcPr>
          <w:p w14:paraId="7E88582B" w14:textId="0F99CE49" w:rsidR="0032448E" w:rsidRDefault="00B71B3E" w:rsidP="00857373">
            <w:pPr>
              <w:jc w:val="right"/>
              <w:rPr>
                <w:bCs/>
              </w:rPr>
            </w:pPr>
            <w:r>
              <w:rPr>
                <w:bCs/>
              </w:rPr>
              <w:t>Target 6</w:t>
            </w:r>
          </w:p>
        </w:tc>
        <w:tc>
          <w:tcPr>
            <w:tcW w:w="1167" w:type="dxa"/>
            <w:shd w:val="clear" w:color="auto" w:fill="auto"/>
          </w:tcPr>
          <w:p w14:paraId="4FAB7357" w14:textId="77777777" w:rsidR="0032448E" w:rsidRPr="00CF6DB2" w:rsidRDefault="0032448E" w:rsidP="00857373">
            <w:pPr>
              <w:jc w:val="center"/>
              <w:rPr>
                <w:b/>
              </w:rPr>
            </w:pPr>
          </w:p>
        </w:tc>
        <w:tc>
          <w:tcPr>
            <w:tcW w:w="1117" w:type="dxa"/>
            <w:shd w:val="clear" w:color="auto" w:fill="auto"/>
          </w:tcPr>
          <w:p w14:paraId="7F74A50C" w14:textId="77777777" w:rsidR="0032448E" w:rsidRPr="00CF6DB2" w:rsidRDefault="0032448E" w:rsidP="00857373">
            <w:pPr>
              <w:jc w:val="center"/>
              <w:rPr>
                <w:b/>
              </w:rPr>
            </w:pPr>
          </w:p>
        </w:tc>
        <w:tc>
          <w:tcPr>
            <w:tcW w:w="1176" w:type="dxa"/>
            <w:shd w:val="clear" w:color="auto" w:fill="auto"/>
          </w:tcPr>
          <w:p w14:paraId="38ECB266" w14:textId="77777777" w:rsidR="0032448E" w:rsidRPr="002E3F02" w:rsidRDefault="0032448E" w:rsidP="00857373">
            <w:pPr>
              <w:jc w:val="center"/>
              <w:rPr>
                <w:bCs/>
              </w:rPr>
            </w:pPr>
          </w:p>
        </w:tc>
        <w:tc>
          <w:tcPr>
            <w:tcW w:w="1088" w:type="dxa"/>
            <w:shd w:val="clear" w:color="auto" w:fill="auto"/>
          </w:tcPr>
          <w:p w14:paraId="6B84C267" w14:textId="77777777" w:rsidR="0032448E" w:rsidRPr="002E3F02" w:rsidRDefault="0032448E" w:rsidP="00857373">
            <w:pPr>
              <w:jc w:val="center"/>
              <w:rPr>
                <w:bCs/>
              </w:rPr>
            </w:pPr>
          </w:p>
        </w:tc>
        <w:tc>
          <w:tcPr>
            <w:tcW w:w="1612" w:type="dxa"/>
          </w:tcPr>
          <w:p w14:paraId="5F22D0F8" w14:textId="20DC7B95" w:rsidR="0032448E" w:rsidRPr="002E3F02" w:rsidRDefault="008B1E78" w:rsidP="00857373">
            <w:pPr>
              <w:jc w:val="center"/>
              <w:rPr>
                <w:bCs/>
              </w:rPr>
            </w:pPr>
            <w:r>
              <w:rPr>
                <w:bCs/>
              </w:rPr>
              <w:t>NA</w:t>
            </w:r>
          </w:p>
        </w:tc>
      </w:tr>
      <w:tr w:rsidR="00325655" w14:paraId="0DE49B87" w14:textId="77777777" w:rsidTr="00F36C13">
        <w:tc>
          <w:tcPr>
            <w:tcW w:w="9350" w:type="dxa"/>
            <w:gridSpan w:val="6"/>
            <w:shd w:val="clear" w:color="auto" w:fill="BDD6EE" w:themeFill="accent1" w:themeFillTint="66"/>
          </w:tcPr>
          <w:p w14:paraId="5AD08E01" w14:textId="77777777" w:rsidR="00325655" w:rsidRDefault="00325655" w:rsidP="00857373">
            <w:pPr>
              <w:rPr>
                <w:b/>
              </w:rPr>
            </w:pPr>
            <w:r>
              <w:rPr>
                <w:b/>
              </w:rPr>
              <w:t>Student Academic Growth</w:t>
            </w:r>
          </w:p>
        </w:tc>
      </w:tr>
      <w:tr w:rsidR="00325655" w:rsidRPr="002E3F02" w14:paraId="47638136" w14:textId="77777777" w:rsidTr="00F36C13">
        <w:tc>
          <w:tcPr>
            <w:tcW w:w="3190" w:type="dxa"/>
            <w:shd w:val="clear" w:color="auto" w:fill="auto"/>
          </w:tcPr>
          <w:p w14:paraId="162F3162" w14:textId="77777777" w:rsidR="00325655" w:rsidRPr="002E3F02" w:rsidRDefault="00325655" w:rsidP="00857373">
            <w:pPr>
              <w:jc w:val="right"/>
              <w:rPr>
                <w:bCs/>
              </w:rPr>
            </w:pPr>
            <w:r>
              <w:rPr>
                <w:bCs/>
              </w:rPr>
              <w:t>Target 1</w:t>
            </w:r>
          </w:p>
        </w:tc>
        <w:tc>
          <w:tcPr>
            <w:tcW w:w="1167" w:type="dxa"/>
            <w:shd w:val="clear" w:color="auto" w:fill="auto"/>
          </w:tcPr>
          <w:p w14:paraId="2B863DF1" w14:textId="77777777" w:rsidR="00325655" w:rsidRPr="002E3F02" w:rsidRDefault="00325655" w:rsidP="00857373">
            <w:pPr>
              <w:jc w:val="center"/>
              <w:rPr>
                <w:bCs/>
              </w:rPr>
            </w:pPr>
          </w:p>
        </w:tc>
        <w:tc>
          <w:tcPr>
            <w:tcW w:w="1117" w:type="dxa"/>
            <w:shd w:val="clear" w:color="auto" w:fill="auto"/>
          </w:tcPr>
          <w:p w14:paraId="58030903" w14:textId="0E54C03A" w:rsidR="00325655" w:rsidRPr="0091499C" w:rsidRDefault="002F344C" w:rsidP="00857373">
            <w:pPr>
              <w:jc w:val="center"/>
              <w:rPr>
                <w:b/>
              </w:rPr>
            </w:pPr>
            <w:r w:rsidRPr="0091499C">
              <w:rPr>
                <w:b/>
              </w:rPr>
              <w:t>X</w:t>
            </w:r>
          </w:p>
        </w:tc>
        <w:tc>
          <w:tcPr>
            <w:tcW w:w="1176" w:type="dxa"/>
            <w:shd w:val="clear" w:color="auto" w:fill="auto"/>
          </w:tcPr>
          <w:p w14:paraId="077D965A" w14:textId="77777777" w:rsidR="00325655" w:rsidRPr="0091499C" w:rsidRDefault="00325655" w:rsidP="00857373">
            <w:pPr>
              <w:jc w:val="center"/>
              <w:rPr>
                <w:b/>
              </w:rPr>
            </w:pPr>
          </w:p>
        </w:tc>
        <w:tc>
          <w:tcPr>
            <w:tcW w:w="1088" w:type="dxa"/>
            <w:shd w:val="clear" w:color="auto" w:fill="auto"/>
          </w:tcPr>
          <w:p w14:paraId="77FDC180" w14:textId="77777777" w:rsidR="00325655" w:rsidRPr="002E3F02" w:rsidRDefault="00325655" w:rsidP="00857373">
            <w:pPr>
              <w:jc w:val="center"/>
              <w:rPr>
                <w:bCs/>
              </w:rPr>
            </w:pPr>
          </w:p>
        </w:tc>
        <w:tc>
          <w:tcPr>
            <w:tcW w:w="1612" w:type="dxa"/>
          </w:tcPr>
          <w:p w14:paraId="5CF53E4A" w14:textId="77777777" w:rsidR="00325655" w:rsidRPr="002E3F02" w:rsidRDefault="00325655" w:rsidP="00857373">
            <w:pPr>
              <w:jc w:val="center"/>
              <w:rPr>
                <w:bCs/>
              </w:rPr>
            </w:pPr>
          </w:p>
        </w:tc>
      </w:tr>
      <w:tr w:rsidR="00325655" w:rsidRPr="002E3F02" w14:paraId="70CE92D0" w14:textId="77777777" w:rsidTr="00F36C13">
        <w:tc>
          <w:tcPr>
            <w:tcW w:w="3190" w:type="dxa"/>
            <w:shd w:val="clear" w:color="auto" w:fill="auto"/>
          </w:tcPr>
          <w:p w14:paraId="4F60D6C6" w14:textId="77777777" w:rsidR="00325655" w:rsidRPr="002E3F02" w:rsidRDefault="00325655" w:rsidP="00857373">
            <w:pPr>
              <w:jc w:val="right"/>
              <w:rPr>
                <w:bCs/>
              </w:rPr>
            </w:pPr>
            <w:r>
              <w:rPr>
                <w:bCs/>
              </w:rPr>
              <w:t>Target 2</w:t>
            </w:r>
          </w:p>
        </w:tc>
        <w:tc>
          <w:tcPr>
            <w:tcW w:w="1167" w:type="dxa"/>
            <w:shd w:val="clear" w:color="auto" w:fill="auto"/>
          </w:tcPr>
          <w:p w14:paraId="511C41D2" w14:textId="77777777" w:rsidR="00325655" w:rsidRPr="002E3F02" w:rsidRDefault="00325655" w:rsidP="00857373">
            <w:pPr>
              <w:jc w:val="center"/>
              <w:rPr>
                <w:bCs/>
              </w:rPr>
            </w:pPr>
          </w:p>
        </w:tc>
        <w:tc>
          <w:tcPr>
            <w:tcW w:w="1117" w:type="dxa"/>
            <w:shd w:val="clear" w:color="auto" w:fill="auto"/>
          </w:tcPr>
          <w:p w14:paraId="4415F19A" w14:textId="645F2A50" w:rsidR="00325655" w:rsidRPr="0091499C" w:rsidRDefault="002F344C" w:rsidP="00857373">
            <w:pPr>
              <w:jc w:val="center"/>
              <w:rPr>
                <w:b/>
              </w:rPr>
            </w:pPr>
            <w:r w:rsidRPr="0091499C">
              <w:rPr>
                <w:b/>
              </w:rPr>
              <w:t>X</w:t>
            </w:r>
          </w:p>
        </w:tc>
        <w:tc>
          <w:tcPr>
            <w:tcW w:w="1176" w:type="dxa"/>
            <w:shd w:val="clear" w:color="auto" w:fill="auto"/>
          </w:tcPr>
          <w:p w14:paraId="18E27265" w14:textId="77777777" w:rsidR="00325655" w:rsidRPr="0091499C" w:rsidRDefault="00325655" w:rsidP="00857373">
            <w:pPr>
              <w:jc w:val="center"/>
              <w:rPr>
                <w:b/>
              </w:rPr>
            </w:pPr>
          </w:p>
        </w:tc>
        <w:tc>
          <w:tcPr>
            <w:tcW w:w="1088" w:type="dxa"/>
            <w:shd w:val="clear" w:color="auto" w:fill="auto"/>
          </w:tcPr>
          <w:p w14:paraId="424B512D" w14:textId="77777777" w:rsidR="00325655" w:rsidRPr="002E3F02" w:rsidRDefault="00325655" w:rsidP="00857373">
            <w:pPr>
              <w:jc w:val="center"/>
              <w:rPr>
                <w:bCs/>
              </w:rPr>
            </w:pPr>
          </w:p>
        </w:tc>
        <w:tc>
          <w:tcPr>
            <w:tcW w:w="1612" w:type="dxa"/>
          </w:tcPr>
          <w:p w14:paraId="5E7605EF" w14:textId="77777777" w:rsidR="00325655" w:rsidRPr="002E3F02" w:rsidRDefault="00325655" w:rsidP="00857373">
            <w:pPr>
              <w:jc w:val="center"/>
              <w:rPr>
                <w:bCs/>
              </w:rPr>
            </w:pPr>
          </w:p>
        </w:tc>
      </w:tr>
      <w:tr w:rsidR="00325655" w:rsidRPr="002E3F02" w14:paraId="445BC47F" w14:textId="77777777" w:rsidTr="00F36C13">
        <w:tc>
          <w:tcPr>
            <w:tcW w:w="3190" w:type="dxa"/>
            <w:shd w:val="clear" w:color="auto" w:fill="auto"/>
          </w:tcPr>
          <w:p w14:paraId="3FE33278" w14:textId="77777777" w:rsidR="00325655" w:rsidRPr="002E3F02" w:rsidRDefault="00325655" w:rsidP="00857373">
            <w:pPr>
              <w:jc w:val="right"/>
              <w:rPr>
                <w:bCs/>
              </w:rPr>
            </w:pPr>
            <w:r>
              <w:rPr>
                <w:bCs/>
              </w:rPr>
              <w:t>Target 3</w:t>
            </w:r>
          </w:p>
        </w:tc>
        <w:tc>
          <w:tcPr>
            <w:tcW w:w="1167" w:type="dxa"/>
            <w:shd w:val="clear" w:color="auto" w:fill="auto"/>
          </w:tcPr>
          <w:p w14:paraId="0A13F7A5" w14:textId="77777777" w:rsidR="00325655" w:rsidRPr="002E3F02" w:rsidRDefault="00325655" w:rsidP="00857373">
            <w:pPr>
              <w:jc w:val="center"/>
              <w:rPr>
                <w:bCs/>
              </w:rPr>
            </w:pPr>
          </w:p>
        </w:tc>
        <w:tc>
          <w:tcPr>
            <w:tcW w:w="1117" w:type="dxa"/>
            <w:shd w:val="clear" w:color="auto" w:fill="auto"/>
          </w:tcPr>
          <w:p w14:paraId="3B102472" w14:textId="77777777" w:rsidR="00325655" w:rsidRPr="0091499C" w:rsidRDefault="00325655" w:rsidP="00857373">
            <w:pPr>
              <w:jc w:val="center"/>
              <w:rPr>
                <w:b/>
              </w:rPr>
            </w:pPr>
          </w:p>
        </w:tc>
        <w:tc>
          <w:tcPr>
            <w:tcW w:w="1176" w:type="dxa"/>
            <w:shd w:val="clear" w:color="auto" w:fill="auto"/>
          </w:tcPr>
          <w:p w14:paraId="75530965" w14:textId="4DEE71F2" w:rsidR="00325655" w:rsidRPr="0091499C" w:rsidRDefault="002F344C" w:rsidP="00857373">
            <w:pPr>
              <w:jc w:val="center"/>
              <w:rPr>
                <w:b/>
              </w:rPr>
            </w:pPr>
            <w:r w:rsidRPr="0091499C">
              <w:rPr>
                <w:b/>
              </w:rPr>
              <w:t>X</w:t>
            </w:r>
          </w:p>
        </w:tc>
        <w:tc>
          <w:tcPr>
            <w:tcW w:w="1088" w:type="dxa"/>
            <w:shd w:val="clear" w:color="auto" w:fill="auto"/>
          </w:tcPr>
          <w:p w14:paraId="0D9C5BAF" w14:textId="77777777" w:rsidR="00325655" w:rsidRPr="002E3F02" w:rsidRDefault="00325655" w:rsidP="00857373">
            <w:pPr>
              <w:jc w:val="center"/>
              <w:rPr>
                <w:bCs/>
              </w:rPr>
            </w:pPr>
          </w:p>
        </w:tc>
        <w:tc>
          <w:tcPr>
            <w:tcW w:w="1612" w:type="dxa"/>
          </w:tcPr>
          <w:p w14:paraId="427602F2" w14:textId="77777777" w:rsidR="00325655" w:rsidRPr="002E3F02" w:rsidRDefault="00325655" w:rsidP="00857373">
            <w:pPr>
              <w:jc w:val="center"/>
              <w:rPr>
                <w:bCs/>
              </w:rPr>
            </w:pPr>
          </w:p>
        </w:tc>
      </w:tr>
      <w:tr w:rsidR="00325655" w14:paraId="59892282" w14:textId="77777777" w:rsidTr="00F36C13">
        <w:tc>
          <w:tcPr>
            <w:tcW w:w="9350" w:type="dxa"/>
            <w:gridSpan w:val="6"/>
            <w:shd w:val="clear" w:color="auto" w:fill="BDD6EE" w:themeFill="accent1" w:themeFillTint="66"/>
          </w:tcPr>
          <w:p w14:paraId="0F8E1A06" w14:textId="77777777" w:rsidR="00325655" w:rsidRDefault="00325655" w:rsidP="00857373">
            <w:pPr>
              <w:rPr>
                <w:b/>
              </w:rPr>
            </w:pPr>
            <w:r>
              <w:rPr>
                <w:b/>
              </w:rPr>
              <w:t>Achievement Gaps</w:t>
            </w:r>
          </w:p>
        </w:tc>
      </w:tr>
      <w:tr w:rsidR="00325655" w:rsidRPr="002E3F02" w14:paraId="33B5AE79" w14:textId="77777777" w:rsidTr="00F36C13">
        <w:tc>
          <w:tcPr>
            <w:tcW w:w="3190" w:type="dxa"/>
            <w:shd w:val="clear" w:color="auto" w:fill="auto"/>
          </w:tcPr>
          <w:p w14:paraId="7CFDB641" w14:textId="77777777" w:rsidR="00325655" w:rsidRPr="002E3F02" w:rsidRDefault="00325655" w:rsidP="00857373">
            <w:pPr>
              <w:jc w:val="right"/>
              <w:rPr>
                <w:bCs/>
              </w:rPr>
            </w:pPr>
            <w:r>
              <w:rPr>
                <w:bCs/>
              </w:rPr>
              <w:t>Target 1</w:t>
            </w:r>
          </w:p>
        </w:tc>
        <w:tc>
          <w:tcPr>
            <w:tcW w:w="1167" w:type="dxa"/>
            <w:shd w:val="clear" w:color="auto" w:fill="auto"/>
          </w:tcPr>
          <w:p w14:paraId="2C45E46F" w14:textId="42C30D4C" w:rsidR="00325655" w:rsidRPr="006B6F04" w:rsidRDefault="006B6F04" w:rsidP="00857373">
            <w:pPr>
              <w:jc w:val="center"/>
              <w:rPr>
                <w:b/>
              </w:rPr>
            </w:pPr>
            <w:r w:rsidRPr="006B6F04">
              <w:rPr>
                <w:b/>
              </w:rPr>
              <w:t>X</w:t>
            </w:r>
          </w:p>
        </w:tc>
        <w:tc>
          <w:tcPr>
            <w:tcW w:w="1117" w:type="dxa"/>
            <w:shd w:val="clear" w:color="auto" w:fill="auto"/>
          </w:tcPr>
          <w:p w14:paraId="105943E1" w14:textId="77777777" w:rsidR="00325655" w:rsidRPr="006B6F04" w:rsidRDefault="00325655" w:rsidP="00857373">
            <w:pPr>
              <w:jc w:val="center"/>
              <w:rPr>
                <w:b/>
              </w:rPr>
            </w:pPr>
          </w:p>
        </w:tc>
        <w:tc>
          <w:tcPr>
            <w:tcW w:w="1176" w:type="dxa"/>
            <w:shd w:val="clear" w:color="auto" w:fill="auto"/>
          </w:tcPr>
          <w:p w14:paraId="4B8DC224" w14:textId="77777777" w:rsidR="00325655" w:rsidRPr="002E3F02" w:rsidRDefault="00325655" w:rsidP="00857373">
            <w:pPr>
              <w:jc w:val="center"/>
              <w:rPr>
                <w:bCs/>
              </w:rPr>
            </w:pPr>
          </w:p>
        </w:tc>
        <w:tc>
          <w:tcPr>
            <w:tcW w:w="1088" w:type="dxa"/>
            <w:shd w:val="clear" w:color="auto" w:fill="auto"/>
          </w:tcPr>
          <w:p w14:paraId="185DA9C9" w14:textId="77777777" w:rsidR="00325655" w:rsidRPr="002E3F02" w:rsidRDefault="00325655" w:rsidP="00857373">
            <w:pPr>
              <w:jc w:val="center"/>
              <w:rPr>
                <w:bCs/>
              </w:rPr>
            </w:pPr>
          </w:p>
        </w:tc>
        <w:tc>
          <w:tcPr>
            <w:tcW w:w="1612" w:type="dxa"/>
          </w:tcPr>
          <w:p w14:paraId="5C473B2A" w14:textId="77777777" w:rsidR="00325655" w:rsidRPr="002E3F02" w:rsidRDefault="00325655" w:rsidP="00857373">
            <w:pPr>
              <w:jc w:val="center"/>
              <w:rPr>
                <w:bCs/>
              </w:rPr>
            </w:pPr>
          </w:p>
        </w:tc>
      </w:tr>
      <w:tr w:rsidR="00325655" w:rsidRPr="002E3F02" w14:paraId="51E01926" w14:textId="77777777" w:rsidTr="00F36C13">
        <w:tc>
          <w:tcPr>
            <w:tcW w:w="3190" w:type="dxa"/>
            <w:shd w:val="clear" w:color="auto" w:fill="auto"/>
          </w:tcPr>
          <w:p w14:paraId="5BF3273B" w14:textId="77777777" w:rsidR="00325655" w:rsidRPr="002E3F02" w:rsidRDefault="00325655" w:rsidP="00857373">
            <w:pPr>
              <w:jc w:val="right"/>
              <w:rPr>
                <w:bCs/>
              </w:rPr>
            </w:pPr>
            <w:r>
              <w:rPr>
                <w:bCs/>
              </w:rPr>
              <w:t>Target 2</w:t>
            </w:r>
          </w:p>
        </w:tc>
        <w:tc>
          <w:tcPr>
            <w:tcW w:w="1167" w:type="dxa"/>
            <w:shd w:val="clear" w:color="auto" w:fill="auto"/>
          </w:tcPr>
          <w:p w14:paraId="1A34E305" w14:textId="77777777" w:rsidR="00325655" w:rsidRPr="006B6F04" w:rsidRDefault="00325655" w:rsidP="00857373">
            <w:pPr>
              <w:jc w:val="center"/>
              <w:rPr>
                <w:b/>
              </w:rPr>
            </w:pPr>
          </w:p>
        </w:tc>
        <w:tc>
          <w:tcPr>
            <w:tcW w:w="1117" w:type="dxa"/>
            <w:shd w:val="clear" w:color="auto" w:fill="auto"/>
          </w:tcPr>
          <w:p w14:paraId="79F5EF76" w14:textId="4FE1ECB5" w:rsidR="00325655" w:rsidRPr="006B6F04" w:rsidRDefault="006B6F04" w:rsidP="00857373">
            <w:pPr>
              <w:jc w:val="center"/>
              <w:rPr>
                <w:b/>
              </w:rPr>
            </w:pPr>
            <w:r w:rsidRPr="006B6F04">
              <w:rPr>
                <w:b/>
              </w:rPr>
              <w:t>X</w:t>
            </w:r>
          </w:p>
        </w:tc>
        <w:tc>
          <w:tcPr>
            <w:tcW w:w="1176" w:type="dxa"/>
            <w:shd w:val="clear" w:color="auto" w:fill="auto"/>
          </w:tcPr>
          <w:p w14:paraId="6AF067FE" w14:textId="77777777" w:rsidR="00325655" w:rsidRPr="002E3F02" w:rsidRDefault="00325655" w:rsidP="00857373">
            <w:pPr>
              <w:jc w:val="center"/>
              <w:rPr>
                <w:bCs/>
              </w:rPr>
            </w:pPr>
          </w:p>
        </w:tc>
        <w:tc>
          <w:tcPr>
            <w:tcW w:w="1088" w:type="dxa"/>
            <w:shd w:val="clear" w:color="auto" w:fill="auto"/>
          </w:tcPr>
          <w:p w14:paraId="23D26B4B" w14:textId="77777777" w:rsidR="00325655" w:rsidRPr="002E3F02" w:rsidRDefault="00325655" w:rsidP="00857373">
            <w:pPr>
              <w:jc w:val="center"/>
              <w:rPr>
                <w:bCs/>
              </w:rPr>
            </w:pPr>
          </w:p>
        </w:tc>
        <w:tc>
          <w:tcPr>
            <w:tcW w:w="1612" w:type="dxa"/>
          </w:tcPr>
          <w:p w14:paraId="5A6AE500" w14:textId="77777777" w:rsidR="00325655" w:rsidRPr="002E3F02" w:rsidRDefault="00325655" w:rsidP="00857373">
            <w:pPr>
              <w:jc w:val="center"/>
              <w:rPr>
                <w:bCs/>
              </w:rPr>
            </w:pPr>
          </w:p>
        </w:tc>
      </w:tr>
      <w:tr w:rsidR="00325655" w14:paraId="16AFCBCD" w14:textId="77777777" w:rsidTr="00F36C13">
        <w:tc>
          <w:tcPr>
            <w:tcW w:w="9350" w:type="dxa"/>
            <w:gridSpan w:val="6"/>
            <w:shd w:val="clear" w:color="auto" w:fill="BDD6EE" w:themeFill="accent1" w:themeFillTint="66"/>
          </w:tcPr>
          <w:p w14:paraId="1D31B314" w14:textId="77777777" w:rsidR="00325655" w:rsidRDefault="00325655" w:rsidP="00857373">
            <w:pPr>
              <w:rPr>
                <w:b/>
              </w:rPr>
            </w:pPr>
            <w:r>
              <w:rPr>
                <w:b/>
              </w:rPr>
              <w:t>Student Attendance</w:t>
            </w:r>
          </w:p>
        </w:tc>
      </w:tr>
      <w:tr w:rsidR="00325655" w:rsidRPr="002E3F02" w14:paraId="78019537" w14:textId="77777777" w:rsidTr="00F36C13">
        <w:tc>
          <w:tcPr>
            <w:tcW w:w="3190" w:type="dxa"/>
            <w:shd w:val="clear" w:color="auto" w:fill="auto"/>
          </w:tcPr>
          <w:p w14:paraId="712A4086" w14:textId="77777777" w:rsidR="00325655" w:rsidRPr="002E3F02" w:rsidRDefault="00325655" w:rsidP="00857373">
            <w:pPr>
              <w:jc w:val="right"/>
              <w:rPr>
                <w:bCs/>
              </w:rPr>
            </w:pPr>
            <w:r>
              <w:rPr>
                <w:bCs/>
              </w:rPr>
              <w:t>Target 1</w:t>
            </w:r>
          </w:p>
        </w:tc>
        <w:tc>
          <w:tcPr>
            <w:tcW w:w="1167" w:type="dxa"/>
            <w:shd w:val="clear" w:color="auto" w:fill="auto"/>
          </w:tcPr>
          <w:p w14:paraId="7CFA58B3" w14:textId="77777777" w:rsidR="00325655" w:rsidRPr="002E3F02" w:rsidRDefault="00325655" w:rsidP="00857373">
            <w:pPr>
              <w:jc w:val="center"/>
              <w:rPr>
                <w:bCs/>
              </w:rPr>
            </w:pPr>
          </w:p>
        </w:tc>
        <w:tc>
          <w:tcPr>
            <w:tcW w:w="1117" w:type="dxa"/>
            <w:shd w:val="clear" w:color="auto" w:fill="auto"/>
          </w:tcPr>
          <w:p w14:paraId="2B29CD54" w14:textId="6922ACCD" w:rsidR="00325655" w:rsidRPr="0091499C" w:rsidRDefault="006C02EA" w:rsidP="00857373">
            <w:pPr>
              <w:jc w:val="center"/>
              <w:rPr>
                <w:b/>
              </w:rPr>
            </w:pPr>
            <w:r w:rsidRPr="0091499C">
              <w:rPr>
                <w:b/>
              </w:rPr>
              <w:t>X</w:t>
            </w:r>
          </w:p>
        </w:tc>
        <w:tc>
          <w:tcPr>
            <w:tcW w:w="1176" w:type="dxa"/>
            <w:shd w:val="clear" w:color="auto" w:fill="auto"/>
          </w:tcPr>
          <w:p w14:paraId="7DB6E48E" w14:textId="77777777" w:rsidR="00325655" w:rsidRPr="002E3F02" w:rsidRDefault="00325655" w:rsidP="00857373">
            <w:pPr>
              <w:jc w:val="center"/>
              <w:rPr>
                <w:bCs/>
              </w:rPr>
            </w:pPr>
          </w:p>
        </w:tc>
        <w:tc>
          <w:tcPr>
            <w:tcW w:w="1088" w:type="dxa"/>
            <w:shd w:val="clear" w:color="auto" w:fill="auto"/>
          </w:tcPr>
          <w:p w14:paraId="6C6B2201" w14:textId="77777777" w:rsidR="00325655" w:rsidRPr="002E3F02" w:rsidRDefault="00325655" w:rsidP="00857373">
            <w:pPr>
              <w:jc w:val="center"/>
              <w:rPr>
                <w:bCs/>
              </w:rPr>
            </w:pPr>
          </w:p>
        </w:tc>
        <w:tc>
          <w:tcPr>
            <w:tcW w:w="1612" w:type="dxa"/>
          </w:tcPr>
          <w:p w14:paraId="65047B78" w14:textId="77777777" w:rsidR="00325655" w:rsidRPr="002E3F02" w:rsidRDefault="00325655" w:rsidP="00857373">
            <w:pPr>
              <w:jc w:val="center"/>
              <w:rPr>
                <w:bCs/>
              </w:rPr>
            </w:pPr>
          </w:p>
        </w:tc>
      </w:tr>
      <w:tr w:rsidR="00325655" w:rsidRPr="002E3F02" w14:paraId="6D92F777" w14:textId="77777777" w:rsidTr="00F36C13">
        <w:tc>
          <w:tcPr>
            <w:tcW w:w="3190" w:type="dxa"/>
            <w:shd w:val="clear" w:color="auto" w:fill="auto"/>
          </w:tcPr>
          <w:p w14:paraId="6FC64B06" w14:textId="77777777" w:rsidR="00325655" w:rsidRPr="002E3F02" w:rsidRDefault="00325655" w:rsidP="00857373">
            <w:pPr>
              <w:jc w:val="right"/>
              <w:rPr>
                <w:bCs/>
              </w:rPr>
            </w:pPr>
            <w:r>
              <w:rPr>
                <w:bCs/>
              </w:rPr>
              <w:t>Target 2</w:t>
            </w:r>
          </w:p>
        </w:tc>
        <w:tc>
          <w:tcPr>
            <w:tcW w:w="1167" w:type="dxa"/>
            <w:shd w:val="clear" w:color="auto" w:fill="auto"/>
          </w:tcPr>
          <w:p w14:paraId="253922B0" w14:textId="77777777" w:rsidR="00325655" w:rsidRPr="002E3F02" w:rsidRDefault="00325655" w:rsidP="00857373">
            <w:pPr>
              <w:jc w:val="center"/>
              <w:rPr>
                <w:bCs/>
              </w:rPr>
            </w:pPr>
          </w:p>
        </w:tc>
        <w:tc>
          <w:tcPr>
            <w:tcW w:w="1117" w:type="dxa"/>
            <w:shd w:val="clear" w:color="auto" w:fill="auto"/>
          </w:tcPr>
          <w:p w14:paraId="1BF47702" w14:textId="04E0E36A" w:rsidR="00325655" w:rsidRPr="0091499C" w:rsidRDefault="006C02EA" w:rsidP="00857373">
            <w:pPr>
              <w:jc w:val="center"/>
              <w:rPr>
                <w:b/>
              </w:rPr>
            </w:pPr>
            <w:r w:rsidRPr="0091499C">
              <w:rPr>
                <w:b/>
              </w:rPr>
              <w:t>X</w:t>
            </w:r>
          </w:p>
        </w:tc>
        <w:tc>
          <w:tcPr>
            <w:tcW w:w="1176" w:type="dxa"/>
            <w:shd w:val="clear" w:color="auto" w:fill="auto"/>
          </w:tcPr>
          <w:p w14:paraId="0C863CA1" w14:textId="77777777" w:rsidR="00325655" w:rsidRPr="002E3F02" w:rsidRDefault="00325655" w:rsidP="00857373">
            <w:pPr>
              <w:jc w:val="center"/>
              <w:rPr>
                <w:bCs/>
              </w:rPr>
            </w:pPr>
          </w:p>
        </w:tc>
        <w:tc>
          <w:tcPr>
            <w:tcW w:w="1088" w:type="dxa"/>
            <w:shd w:val="clear" w:color="auto" w:fill="auto"/>
          </w:tcPr>
          <w:p w14:paraId="14D0A91C" w14:textId="77777777" w:rsidR="00325655" w:rsidRPr="002E3F02" w:rsidRDefault="00325655" w:rsidP="00857373">
            <w:pPr>
              <w:jc w:val="center"/>
              <w:rPr>
                <w:bCs/>
              </w:rPr>
            </w:pPr>
          </w:p>
        </w:tc>
        <w:tc>
          <w:tcPr>
            <w:tcW w:w="1612" w:type="dxa"/>
          </w:tcPr>
          <w:p w14:paraId="23F448A0" w14:textId="77777777" w:rsidR="00325655" w:rsidRPr="002E3F02" w:rsidRDefault="00325655" w:rsidP="00857373">
            <w:pPr>
              <w:rPr>
                <w:bCs/>
              </w:rPr>
            </w:pPr>
          </w:p>
        </w:tc>
      </w:tr>
      <w:tr w:rsidR="00325655" w14:paraId="5A09EB84" w14:textId="77777777" w:rsidTr="00F36C13">
        <w:tc>
          <w:tcPr>
            <w:tcW w:w="9350" w:type="dxa"/>
            <w:gridSpan w:val="6"/>
            <w:shd w:val="clear" w:color="auto" w:fill="BDD6EE" w:themeFill="accent1" w:themeFillTint="66"/>
          </w:tcPr>
          <w:p w14:paraId="3A2C8C2A" w14:textId="77777777" w:rsidR="00325655" w:rsidRDefault="00325655" w:rsidP="00857373">
            <w:pPr>
              <w:rPr>
                <w:b/>
              </w:rPr>
            </w:pPr>
            <w:r>
              <w:rPr>
                <w:b/>
              </w:rPr>
              <w:t xml:space="preserve">Student Enrollment </w:t>
            </w:r>
          </w:p>
        </w:tc>
      </w:tr>
      <w:tr w:rsidR="00325655" w:rsidRPr="002E3F02" w14:paraId="6EF6719A" w14:textId="77777777" w:rsidTr="00F36C13">
        <w:tc>
          <w:tcPr>
            <w:tcW w:w="3190" w:type="dxa"/>
            <w:shd w:val="clear" w:color="auto" w:fill="auto"/>
          </w:tcPr>
          <w:p w14:paraId="499D1300" w14:textId="77777777" w:rsidR="00325655" w:rsidRPr="002E3F02" w:rsidRDefault="00325655" w:rsidP="00857373">
            <w:pPr>
              <w:jc w:val="right"/>
              <w:rPr>
                <w:bCs/>
              </w:rPr>
            </w:pPr>
            <w:r>
              <w:rPr>
                <w:bCs/>
              </w:rPr>
              <w:t>Target 1</w:t>
            </w:r>
          </w:p>
        </w:tc>
        <w:tc>
          <w:tcPr>
            <w:tcW w:w="1167" w:type="dxa"/>
            <w:shd w:val="clear" w:color="auto" w:fill="auto"/>
          </w:tcPr>
          <w:p w14:paraId="29EEBDFE" w14:textId="77777777" w:rsidR="00325655" w:rsidRPr="002E3F02" w:rsidRDefault="00325655" w:rsidP="00857373">
            <w:pPr>
              <w:jc w:val="center"/>
              <w:rPr>
                <w:bCs/>
              </w:rPr>
            </w:pPr>
          </w:p>
        </w:tc>
        <w:tc>
          <w:tcPr>
            <w:tcW w:w="1117" w:type="dxa"/>
            <w:shd w:val="clear" w:color="auto" w:fill="auto"/>
          </w:tcPr>
          <w:p w14:paraId="46FB8EB1" w14:textId="428106FD" w:rsidR="00325655" w:rsidRPr="0091499C" w:rsidRDefault="006C02EA" w:rsidP="00857373">
            <w:pPr>
              <w:jc w:val="center"/>
              <w:rPr>
                <w:b/>
              </w:rPr>
            </w:pPr>
            <w:r w:rsidRPr="0091499C">
              <w:rPr>
                <w:b/>
              </w:rPr>
              <w:t>X</w:t>
            </w:r>
          </w:p>
        </w:tc>
        <w:tc>
          <w:tcPr>
            <w:tcW w:w="1176" w:type="dxa"/>
            <w:shd w:val="clear" w:color="auto" w:fill="auto"/>
          </w:tcPr>
          <w:p w14:paraId="3B9DF8D6" w14:textId="77777777" w:rsidR="00325655" w:rsidRPr="002E3F02" w:rsidRDefault="00325655" w:rsidP="00857373">
            <w:pPr>
              <w:jc w:val="center"/>
              <w:rPr>
                <w:bCs/>
              </w:rPr>
            </w:pPr>
          </w:p>
        </w:tc>
        <w:tc>
          <w:tcPr>
            <w:tcW w:w="1088" w:type="dxa"/>
            <w:shd w:val="clear" w:color="auto" w:fill="auto"/>
          </w:tcPr>
          <w:p w14:paraId="36601018" w14:textId="77777777" w:rsidR="00325655" w:rsidRPr="002E3F02" w:rsidRDefault="00325655" w:rsidP="00857373">
            <w:pPr>
              <w:jc w:val="center"/>
              <w:rPr>
                <w:bCs/>
              </w:rPr>
            </w:pPr>
          </w:p>
        </w:tc>
        <w:tc>
          <w:tcPr>
            <w:tcW w:w="1612" w:type="dxa"/>
          </w:tcPr>
          <w:p w14:paraId="1E564735" w14:textId="77777777" w:rsidR="00325655" w:rsidRPr="002E3F02" w:rsidRDefault="00325655" w:rsidP="00857373">
            <w:pPr>
              <w:jc w:val="center"/>
              <w:rPr>
                <w:bCs/>
              </w:rPr>
            </w:pPr>
          </w:p>
        </w:tc>
      </w:tr>
      <w:tr w:rsidR="00325655" w14:paraId="2E34AD0A" w14:textId="77777777" w:rsidTr="00F36C13">
        <w:tc>
          <w:tcPr>
            <w:tcW w:w="9350" w:type="dxa"/>
            <w:gridSpan w:val="6"/>
            <w:shd w:val="clear" w:color="auto" w:fill="BDD6EE" w:themeFill="accent1" w:themeFillTint="66"/>
          </w:tcPr>
          <w:p w14:paraId="7F71075E" w14:textId="77777777" w:rsidR="00325655" w:rsidRDefault="00325655" w:rsidP="00857373">
            <w:pPr>
              <w:rPr>
                <w:b/>
              </w:rPr>
            </w:pPr>
            <w:r>
              <w:rPr>
                <w:b/>
              </w:rPr>
              <w:t>Post-Secondary Readiness</w:t>
            </w:r>
          </w:p>
        </w:tc>
      </w:tr>
      <w:tr w:rsidR="00325655" w:rsidRPr="002E3F02" w14:paraId="33661C3D" w14:textId="77777777" w:rsidTr="00F36C13">
        <w:tc>
          <w:tcPr>
            <w:tcW w:w="3190" w:type="dxa"/>
            <w:shd w:val="clear" w:color="auto" w:fill="auto"/>
          </w:tcPr>
          <w:p w14:paraId="35DF3745" w14:textId="77777777" w:rsidR="00325655" w:rsidRPr="002E3F02" w:rsidRDefault="00325655" w:rsidP="00857373">
            <w:pPr>
              <w:jc w:val="right"/>
              <w:rPr>
                <w:bCs/>
              </w:rPr>
            </w:pPr>
            <w:r>
              <w:rPr>
                <w:bCs/>
              </w:rPr>
              <w:t>Target 1</w:t>
            </w:r>
          </w:p>
        </w:tc>
        <w:tc>
          <w:tcPr>
            <w:tcW w:w="1167" w:type="dxa"/>
            <w:shd w:val="clear" w:color="auto" w:fill="auto"/>
          </w:tcPr>
          <w:p w14:paraId="4F58155A" w14:textId="77777777" w:rsidR="00325655" w:rsidRPr="002E3F02" w:rsidRDefault="00325655" w:rsidP="00857373">
            <w:pPr>
              <w:jc w:val="center"/>
              <w:rPr>
                <w:bCs/>
              </w:rPr>
            </w:pPr>
          </w:p>
        </w:tc>
        <w:tc>
          <w:tcPr>
            <w:tcW w:w="1117" w:type="dxa"/>
            <w:shd w:val="clear" w:color="auto" w:fill="auto"/>
          </w:tcPr>
          <w:p w14:paraId="0137FBE2" w14:textId="77777777" w:rsidR="00325655" w:rsidRPr="0091499C" w:rsidRDefault="00325655" w:rsidP="00857373">
            <w:pPr>
              <w:jc w:val="center"/>
              <w:rPr>
                <w:b/>
              </w:rPr>
            </w:pPr>
          </w:p>
        </w:tc>
        <w:tc>
          <w:tcPr>
            <w:tcW w:w="1176" w:type="dxa"/>
            <w:shd w:val="clear" w:color="auto" w:fill="auto"/>
          </w:tcPr>
          <w:p w14:paraId="5BC6CCF0" w14:textId="77777777" w:rsidR="00325655" w:rsidRPr="0091499C" w:rsidRDefault="00325655" w:rsidP="00857373">
            <w:pPr>
              <w:jc w:val="center"/>
              <w:rPr>
                <w:b/>
              </w:rPr>
            </w:pPr>
          </w:p>
        </w:tc>
        <w:tc>
          <w:tcPr>
            <w:tcW w:w="1088" w:type="dxa"/>
            <w:shd w:val="clear" w:color="auto" w:fill="auto"/>
          </w:tcPr>
          <w:p w14:paraId="74B10A19" w14:textId="6AF5FB90" w:rsidR="00325655" w:rsidRPr="0091499C" w:rsidRDefault="006C02EA" w:rsidP="00857373">
            <w:pPr>
              <w:jc w:val="center"/>
              <w:rPr>
                <w:b/>
              </w:rPr>
            </w:pPr>
            <w:r w:rsidRPr="0091499C">
              <w:rPr>
                <w:b/>
              </w:rPr>
              <w:t>X</w:t>
            </w:r>
          </w:p>
        </w:tc>
        <w:tc>
          <w:tcPr>
            <w:tcW w:w="1612" w:type="dxa"/>
          </w:tcPr>
          <w:p w14:paraId="46DD5080" w14:textId="77777777" w:rsidR="00325655" w:rsidRPr="00D046F6" w:rsidRDefault="00325655" w:rsidP="00857373">
            <w:pPr>
              <w:jc w:val="center"/>
              <w:rPr>
                <w:bCs/>
                <w:sz w:val="20"/>
                <w:szCs w:val="20"/>
              </w:rPr>
            </w:pPr>
          </w:p>
        </w:tc>
      </w:tr>
      <w:tr w:rsidR="00325655" w:rsidRPr="002E3F02" w14:paraId="7322FCE9" w14:textId="77777777" w:rsidTr="00F36C13">
        <w:tc>
          <w:tcPr>
            <w:tcW w:w="3190" w:type="dxa"/>
            <w:shd w:val="clear" w:color="auto" w:fill="auto"/>
          </w:tcPr>
          <w:p w14:paraId="6F560C8D" w14:textId="77777777" w:rsidR="00325655" w:rsidRPr="002E3F02" w:rsidRDefault="00325655" w:rsidP="00857373">
            <w:pPr>
              <w:jc w:val="right"/>
              <w:rPr>
                <w:bCs/>
              </w:rPr>
            </w:pPr>
            <w:r>
              <w:rPr>
                <w:bCs/>
              </w:rPr>
              <w:t>Target 2</w:t>
            </w:r>
          </w:p>
        </w:tc>
        <w:tc>
          <w:tcPr>
            <w:tcW w:w="1167" w:type="dxa"/>
            <w:shd w:val="clear" w:color="auto" w:fill="auto"/>
          </w:tcPr>
          <w:p w14:paraId="532C667F" w14:textId="77777777" w:rsidR="00325655" w:rsidRPr="002E3F02" w:rsidRDefault="00325655" w:rsidP="00857373">
            <w:pPr>
              <w:jc w:val="center"/>
              <w:rPr>
                <w:bCs/>
              </w:rPr>
            </w:pPr>
          </w:p>
        </w:tc>
        <w:tc>
          <w:tcPr>
            <w:tcW w:w="1117" w:type="dxa"/>
            <w:shd w:val="clear" w:color="auto" w:fill="auto"/>
          </w:tcPr>
          <w:p w14:paraId="6964F7EA" w14:textId="1E940C95" w:rsidR="00325655" w:rsidRPr="0091499C" w:rsidRDefault="005859A4" w:rsidP="00857373">
            <w:pPr>
              <w:jc w:val="center"/>
              <w:rPr>
                <w:b/>
              </w:rPr>
            </w:pPr>
            <w:r w:rsidRPr="0091499C">
              <w:rPr>
                <w:b/>
              </w:rPr>
              <w:t>X</w:t>
            </w:r>
          </w:p>
        </w:tc>
        <w:tc>
          <w:tcPr>
            <w:tcW w:w="1176" w:type="dxa"/>
            <w:shd w:val="clear" w:color="auto" w:fill="auto"/>
          </w:tcPr>
          <w:p w14:paraId="6187CDC8" w14:textId="77777777" w:rsidR="00325655" w:rsidRPr="0091499C" w:rsidRDefault="00325655" w:rsidP="00857373">
            <w:pPr>
              <w:jc w:val="center"/>
              <w:rPr>
                <w:b/>
              </w:rPr>
            </w:pPr>
          </w:p>
        </w:tc>
        <w:tc>
          <w:tcPr>
            <w:tcW w:w="1088" w:type="dxa"/>
            <w:shd w:val="clear" w:color="auto" w:fill="auto"/>
          </w:tcPr>
          <w:p w14:paraId="31EE6293" w14:textId="77777777" w:rsidR="00325655" w:rsidRPr="0091499C" w:rsidRDefault="00325655" w:rsidP="00857373">
            <w:pPr>
              <w:jc w:val="center"/>
              <w:rPr>
                <w:b/>
              </w:rPr>
            </w:pPr>
          </w:p>
        </w:tc>
        <w:tc>
          <w:tcPr>
            <w:tcW w:w="1612" w:type="dxa"/>
          </w:tcPr>
          <w:p w14:paraId="214870FA" w14:textId="77777777" w:rsidR="00325655" w:rsidRPr="002E3F02" w:rsidRDefault="00325655" w:rsidP="00857373">
            <w:pPr>
              <w:jc w:val="center"/>
              <w:rPr>
                <w:bCs/>
              </w:rPr>
            </w:pPr>
          </w:p>
        </w:tc>
      </w:tr>
      <w:tr w:rsidR="00325655" w:rsidRPr="002E3F02" w14:paraId="55739C1D" w14:textId="77777777" w:rsidTr="00F36C13">
        <w:tc>
          <w:tcPr>
            <w:tcW w:w="3190" w:type="dxa"/>
            <w:shd w:val="clear" w:color="auto" w:fill="auto"/>
          </w:tcPr>
          <w:p w14:paraId="204D6B89" w14:textId="77777777" w:rsidR="00325655" w:rsidRPr="002E3F02" w:rsidRDefault="00325655" w:rsidP="00857373">
            <w:pPr>
              <w:jc w:val="right"/>
              <w:rPr>
                <w:bCs/>
              </w:rPr>
            </w:pPr>
            <w:r>
              <w:rPr>
                <w:bCs/>
              </w:rPr>
              <w:t>Target 3</w:t>
            </w:r>
          </w:p>
        </w:tc>
        <w:tc>
          <w:tcPr>
            <w:tcW w:w="1167" w:type="dxa"/>
            <w:shd w:val="clear" w:color="auto" w:fill="auto"/>
          </w:tcPr>
          <w:p w14:paraId="55232808" w14:textId="77777777" w:rsidR="00325655" w:rsidRPr="002E3F02" w:rsidRDefault="00325655" w:rsidP="00857373">
            <w:pPr>
              <w:jc w:val="center"/>
              <w:rPr>
                <w:bCs/>
              </w:rPr>
            </w:pPr>
          </w:p>
        </w:tc>
        <w:tc>
          <w:tcPr>
            <w:tcW w:w="1117" w:type="dxa"/>
            <w:shd w:val="clear" w:color="auto" w:fill="auto"/>
          </w:tcPr>
          <w:p w14:paraId="40C39CC3" w14:textId="30B382ED" w:rsidR="00325655" w:rsidRPr="0091499C" w:rsidRDefault="005859A4" w:rsidP="00857373">
            <w:pPr>
              <w:jc w:val="center"/>
              <w:rPr>
                <w:b/>
              </w:rPr>
            </w:pPr>
            <w:r w:rsidRPr="0091499C">
              <w:rPr>
                <w:b/>
              </w:rPr>
              <w:t>X</w:t>
            </w:r>
          </w:p>
        </w:tc>
        <w:tc>
          <w:tcPr>
            <w:tcW w:w="1176" w:type="dxa"/>
            <w:shd w:val="clear" w:color="auto" w:fill="auto"/>
          </w:tcPr>
          <w:p w14:paraId="2B61C739" w14:textId="77777777" w:rsidR="00325655" w:rsidRPr="0091499C" w:rsidRDefault="00325655" w:rsidP="00857373">
            <w:pPr>
              <w:jc w:val="center"/>
              <w:rPr>
                <w:b/>
              </w:rPr>
            </w:pPr>
          </w:p>
        </w:tc>
        <w:tc>
          <w:tcPr>
            <w:tcW w:w="1088" w:type="dxa"/>
            <w:shd w:val="clear" w:color="auto" w:fill="auto"/>
          </w:tcPr>
          <w:p w14:paraId="61249C23" w14:textId="77777777" w:rsidR="00325655" w:rsidRPr="0091499C" w:rsidRDefault="00325655" w:rsidP="00857373">
            <w:pPr>
              <w:jc w:val="center"/>
              <w:rPr>
                <w:b/>
              </w:rPr>
            </w:pPr>
          </w:p>
        </w:tc>
        <w:tc>
          <w:tcPr>
            <w:tcW w:w="1612" w:type="dxa"/>
          </w:tcPr>
          <w:p w14:paraId="5486E107" w14:textId="77777777" w:rsidR="00325655" w:rsidRPr="002E3F02" w:rsidRDefault="00325655" w:rsidP="00857373">
            <w:pPr>
              <w:jc w:val="center"/>
              <w:rPr>
                <w:bCs/>
              </w:rPr>
            </w:pPr>
          </w:p>
        </w:tc>
      </w:tr>
      <w:tr w:rsidR="00325655" w:rsidRPr="002E3F02" w14:paraId="7DE74CE7" w14:textId="77777777" w:rsidTr="00F36C13">
        <w:tc>
          <w:tcPr>
            <w:tcW w:w="3190" w:type="dxa"/>
            <w:shd w:val="clear" w:color="auto" w:fill="auto"/>
          </w:tcPr>
          <w:p w14:paraId="4F38E4D1" w14:textId="77777777" w:rsidR="00325655" w:rsidRPr="002E3F02" w:rsidRDefault="00325655" w:rsidP="00857373">
            <w:pPr>
              <w:jc w:val="right"/>
              <w:rPr>
                <w:bCs/>
              </w:rPr>
            </w:pPr>
            <w:r>
              <w:rPr>
                <w:bCs/>
              </w:rPr>
              <w:t>Target 4</w:t>
            </w:r>
          </w:p>
        </w:tc>
        <w:tc>
          <w:tcPr>
            <w:tcW w:w="1167" w:type="dxa"/>
            <w:shd w:val="clear" w:color="auto" w:fill="auto"/>
          </w:tcPr>
          <w:p w14:paraId="54AF0F6D" w14:textId="77777777" w:rsidR="00325655" w:rsidRPr="002E3F02" w:rsidRDefault="00325655" w:rsidP="00857373">
            <w:pPr>
              <w:jc w:val="center"/>
              <w:rPr>
                <w:bCs/>
              </w:rPr>
            </w:pPr>
          </w:p>
        </w:tc>
        <w:tc>
          <w:tcPr>
            <w:tcW w:w="1117" w:type="dxa"/>
            <w:shd w:val="clear" w:color="auto" w:fill="auto"/>
          </w:tcPr>
          <w:p w14:paraId="5AEF98D8" w14:textId="2EDB3A76" w:rsidR="00325655" w:rsidRPr="0091499C" w:rsidRDefault="005859A4" w:rsidP="00857373">
            <w:pPr>
              <w:jc w:val="center"/>
              <w:rPr>
                <w:b/>
              </w:rPr>
            </w:pPr>
            <w:r w:rsidRPr="0091499C">
              <w:rPr>
                <w:b/>
              </w:rPr>
              <w:t>X</w:t>
            </w:r>
          </w:p>
        </w:tc>
        <w:tc>
          <w:tcPr>
            <w:tcW w:w="1176" w:type="dxa"/>
            <w:shd w:val="clear" w:color="auto" w:fill="auto"/>
          </w:tcPr>
          <w:p w14:paraId="34C784EA" w14:textId="77777777" w:rsidR="00325655" w:rsidRPr="0091499C" w:rsidRDefault="00325655" w:rsidP="00857373">
            <w:pPr>
              <w:jc w:val="center"/>
              <w:rPr>
                <w:b/>
              </w:rPr>
            </w:pPr>
          </w:p>
        </w:tc>
        <w:tc>
          <w:tcPr>
            <w:tcW w:w="1088" w:type="dxa"/>
            <w:shd w:val="clear" w:color="auto" w:fill="auto"/>
          </w:tcPr>
          <w:p w14:paraId="6542D4CE" w14:textId="77777777" w:rsidR="00325655" w:rsidRPr="0091499C" w:rsidRDefault="00325655" w:rsidP="00857373">
            <w:pPr>
              <w:jc w:val="center"/>
              <w:rPr>
                <w:b/>
              </w:rPr>
            </w:pPr>
          </w:p>
        </w:tc>
        <w:tc>
          <w:tcPr>
            <w:tcW w:w="1612" w:type="dxa"/>
          </w:tcPr>
          <w:p w14:paraId="4FEACDD5" w14:textId="77777777" w:rsidR="00325655" w:rsidRPr="002E3F02" w:rsidRDefault="00325655" w:rsidP="00857373">
            <w:pPr>
              <w:jc w:val="center"/>
              <w:rPr>
                <w:bCs/>
              </w:rPr>
            </w:pPr>
          </w:p>
        </w:tc>
      </w:tr>
      <w:tr w:rsidR="00325655" w:rsidRPr="002E3F02" w14:paraId="26E87ABE" w14:textId="77777777" w:rsidTr="00F36C13">
        <w:tc>
          <w:tcPr>
            <w:tcW w:w="3190" w:type="dxa"/>
            <w:shd w:val="clear" w:color="auto" w:fill="auto"/>
          </w:tcPr>
          <w:p w14:paraId="2D7E22AB" w14:textId="77777777" w:rsidR="00325655" w:rsidRDefault="00325655" w:rsidP="00857373">
            <w:pPr>
              <w:jc w:val="right"/>
              <w:rPr>
                <w:bCs/>
              </w:rPr>
            </w:pPr>
            <w:r>
              <w:rPr>
                <w:bCs/>
              </w:rPr>
              <w:t>Target 5</w:t>
            </w:r>
          </w:p>
        </w:tc>
        <w:tc>
          <w:tcPr>
            <w:tcW w:w="1167" w:type="dxa"/>
            <w:shd w:val="clear" w:color="auto" w:fill="auto"/>
          </w:tcPr>
          <w:p w14:paraId="5B04D190" w14:textId="77777777" w:rsidR="00325655" w:rsidRPr="002E3F02" w:rsidRDefault="00325655" w:rsidP="00857373">
            <w:pPr>
              <w:jc w:val="center"/>
              <w:rPr>
                <w:bCs/>
              </w:rPr>
            </w:pPr>
          </w:p>
        </w:tc>
        <w:tc>
          <w:tcPr>
            <w:tcW w:w="1117" w:type="dxa"/>
            <w:shd w:val="clear" w:color="auto" w:fill="auto"/>
          </w:tcPr>
          <w:p w14:paraId="62E85A2D" w14:textId="77777777" w:rsidR="00325655" w:rsidRPr="0091499C" w:rsidRDefault="00325655" w:rsidP="00857373">
            <w:pPr>
              <w:jc w:val="center"/>
              <w:rPr>
                <w:b/>
              </w:rPr>
            </w:pPr>
          </w:p>
        </w:tc>
        <w:tc>
          <w:tcPr>
            <w:tcW w:w="1176" w:type="dxa"/>
            <w:shd w:val="clear" w:color="auto" w:fill="auto"/>
          </w:tcPr>
          <w:p w14:paraId="06D85A86" w14:textId="6C9CF2D3" w:rsidR="00325655" w:rsidRPr="0091499C" w:rsidRDefault="008A2FAB" w:rsidP="00857373">
            <w:pPr>
              <w:jc w:val="center"/>
              <w:rPr>
                <w:b/>
              </w:rPr>
            </w:pPr>
            <w:r w:rsidRPr="0091499C">
              <w:rPr>
                <w:b/>
              </w:rPr>
              <w:t>X</w:t>
            </w:r>
          </w:p>
        </w:tc>
        <w:tc>
          <w:tcPr>
            <w:tcW w:w="1088" w:type="dxa"/>
            <w:shd w:val="clear" w:color="auto" w:fill="auto"/>
          </w:tcPr>
          <w:p w14:paraId="351588EB" w14:textId="77777777" w:rsidR="00325655" w:rsidRPr="0091499C" w:rsidRDefault="00325655" w:rsidP="00857373">
            <w:pPr>
              <w:jc w:val="center"/>
              <w:rPr>
                <w:b/>
              </w:rPr>
            </w:pPr>
          </w:p>
        </w:tc>
        <w:tc>
          <w:tcPr>
            <w:tcW w:w="1612" w:type="dxa"/>
          </w:tcPr>
          <w:p w14:paraId="163268BB" w14:textId="77777777" w:rsidR="00325655" w:rsidRPr="002E3F02" w:rsidRDefault="00325655" w:rsidP="00857373">
            <w:pPr>
              <w:jc w:val="center"/>
              <w:rPr>
                <w:bCs/>
              </w:rPr>
            </w:pPr>
          </w:p>
        </w:tc>
      </w:tr>
      <w:tr w:rsidR="00325655" w:rsidRPr="002E3F02" w14:paraId="37FF13DD" w14:textId="77777777" w:rsidTr="00F36C13">
        <w:tc>
          <w:tcPr>
            <w:tcW w:w="3190" w:type="dxa"/>
            <w:shd w:val="clear" w:color="auto" w:fill="auto"/>
          </w:tcPr>
          <w:p w14:paraId="3FB99654" w14:textId="77777777" w:rsidR="00325655" w:rsidRDefault="00325655" w:rsidP="00857373">
            <w:pPr>
              <w:jc w:val="right"/>
              <w:rPr>
                <w:bCs/>
              </w:rPr>
            </w:pPr>
            <w:r>
              <w:rPr>
                <w:bCs/>
              </w:rPr>
              <w:t>Target 6</w:t>
            </w:r>
          </w:p>
        </w:tc>
        <w:tc>
          <w:tcPr>
            <w:tcW w:w="1167" w:type="dxa"/>
            <w:shd w:val="clear" w:color="auto" w:fill="auto"/>
          </w:tcPr>
          <w:p w14:paraId="4DC8DD0C" w14:textId="77777777" w:rsidR="00325655" w:rsidRPr="002E3F02" w:rsidRDefault="00325655" w:rsidP="00857373">
            <w:pPr>
              <w:jc w:val="center"/>
              <w:rPr>
                <w:bCs/>
              </w:rPr>
            </w:pPr>
          </w:p>
        </w:tc>
        <w:tc>
          <w:tcPr>
            <w:tcW w:w="1117" w:type="dxa"/>
            <w:shd w:val="clear" w:color="auto" w:fill="auto"/>
          </w:tcPr>
          <w:p w14:paraId="2DD4E89B" w14:textId="5C1C852F" w:rsidR="00325655" w:rsidRPr="0091499C" w:rsidRDefault="008A2FAB" w:rsidP="00857373">
            <w:pPr>
              <w:jc w:val="center"/>
              <w:rPr>
                <w:b/>
              </w:rPr>
            </w:pPr>
            <w:r w:rsidRPr="0091499C">
              <w:rPr>
                <w:b/>
              </w:rPr>
              <w:t>X</w:t>
            </w:r>
          </w:p>
        </w:tc>
        <w:tc>
          <w:tcPr>
            <w:tcW w:w="1176" w:type="dxa"/>
            <w:shd w:val="clear" w:color="auto" w:fill="auto"/>
          </w:tcPr>
          <w:p w14:paraId="5BEC5494" w14:textId="77777777" w:rsidR="00325655" w:rsidRPr="0091499C" w:rsidRDefault="00325655" w:rsidP="00857373">
            <w:pPr>
              <w:jc w:val="center"/>
              <w:rPr>
                <w:b/>
              </w:rPr>
            </w:pPr>
          </w:p>
        </w:tc>
        <w:tc>
          <w:tcPr>
            <w:tcW w:w="1088" w:type="dxa"/>
            <w:shd w:val="clear" w:color="auto" w:fill="auto"/>
          </w:tcPr>
          <w:p w14:paraId="14759C8B" w14:textId="77777777" w:rsidR="00325655" w:rsidRPr="0091499C" w:rsidRDefault="00325655" w:rsidP="00857373">
            <w:pPr>
              <w:jc w:val="center"/>
              <w:rPr>
                <w:b/>
              </w:rPr>
            </w:pPr>
          </w:p>
        </w:tc>
        <w:tc>
          <w:tcPr>
            <w:tcW w:w="1612" w:type="dxa"/>
          </w:tcPr>
          <w:p w14:paraId="7F032DC0" w14:textId="77777777" w:rsidR="00325655" w:rsidRPr="002E3F02" w:rsidRDefault="00325655" w:rsidP="00857373">
            <w:pPr>
              <w:jc w:val="center"/>
              <w:rPr>
                <w:bCs/>
              </w:rPr>
            </w:pPr>
          </w:p>
        </w:tc>
      </w:tr>
      <w:tr w:rsidR="00325655" w14:paraId="4257A681" w14:textId="77777777" w:rsidTr="00F36C13">
        <w:tc>
          <w:tcPr>
            <w:tcW w:w="9350" w:type="dxa"/>
            <w:gridSpan w:val="6"/>
            <w:shd w:val="clear" w:color="auto" w:fill="BDD6EE" w:themeFill="accent1" w:themeFillTint="66"/>
          </w:tcPr>
          <w:p w14:paraId="4FA9DB87" w14:textId="77777777" w:rsidR="00325655" w:rsidRDefault="00325655" w:rsidP="00857373">
            <w:pPr>
              <w:rPr>
                <w:b/>
              </w:rPr>
            </w:pPr>
            <w:r>
              <w:rPr>
                <w:b/>
              </w:rPr>
              <w:t>Financial Performance and Stability</w:t>
            </w:r>
          </w:p>
        </w:tc>
      </w:tr>
      <w:tr w:rsidR="00325655" w:rsidRPr="002E3F02" w14:paraId="3CD80141" w14:textId="77777777" w:rsidTr="00F36C13">
        <w:tc>
          <w:tcPr>
            <w:tcW w:w="3190" w:type="dxa"/>
            <w:shd w:val="clear" w:color="auto" w:fill="auto"/>
          </w:tcPr>
          <w:p w14:paraId="379B823F" w14:textId="77777777" w:rsidR="00325655" w:rsidRPr="002E3F02" w:rsidRDefault="00325655" w:rsidP="00857373">
            <w:pPr>
              <w:jc w:val="right"/>
              <w:rPr>
                <w:bCs/>
              </w:rPr>
            </w:pPr>
            <w:r>
              <w:rPr>
                <w:bCs/>
              </w:rPr>
              <w:t>Target 1</w:t>
            </w:r>
          </w:p>
        </w:tc>
        <w:tc>
          <w:tcPr>
            <w:tcW w:w="1167" w:type="dxa"/>
            <w:shd w:val="clear" w:color="auto" w:fill="auto"/>
          </w:tcPr>
          <w:p w14:paraId="63E08D7E" w14:textId="77777777" w:rsidR="00325655" w:rsidRPr="002E3F02" w:rsidRDefault="00325655" w:rsidP="00857373">
            <w:pPr>
              <w:jc w:val="center"/>
              <w:rPr>
                <w:bCs/>
              </w:rPr>
            </w:pPr>
          </w:p>
        </w:tc>
        <w:tc>
          <w:tcPr>
            <w:tcW w:w="1117" w:type="dxa"/>
            <w:shd w:val="clear" w:color="auto" w:fill="auto"/>
          </w:tcPr>
          <w:p w14:paraId="38A0F61D" w14:textId="30958CC9" w:rsidR="00325655" w:rsidRPr="0091499C" w:rsidRDefault="00E95536" w:rsidP="00857373">
            <w:pPr>
              <w:jc w:val="center"/>
              <w:rPr>
                <w:b/>
              </w:rPr>
            </w:pPr>
            <w:r w:rsidRPr="0091499C">
              <w:rPr>
                <w:b/>
              </w:rPr>
              <w:t>X</w:t>
            </w:r>
          </w:p>
        </w:tc>
        <w:tc>
          <w:tcPr>
            <w:tcW w:w="1176" w:type="dxa"/>
            <w:shd w:val="clear" w:color="auto" w:fill="auto"/>
          </w:tcPr>
          <w:p w14:paraId="120E7A20" w14:textId="77777777" w:rsidR="00325655" w:rsidRPr="002E3F02" w:rsidRDefault="00325655" w:rsidP="00857373">
            <w:pPr>
              <w:jc w:val="center"/>
              <w:rPr>
                <w:bCs/>
              </w:rPr>
            </w:pPr>
          </w:p>
        </w:tc>
        <w:tc>
          <w:tcPr>
            <w:tcW w:w="1088" w:type="dxa"/>
            <w:shd w:val="clear" w:color="auto" w:fill="auto"/>
          </w:tcPr>
          <w:p w14:paraId="506FCAF5" w14:textId="77777777" w:rsidR="00325655" w:rsidRPr="002E3F02" w:rsidRDefault="00325655" w:rsidP="00857373">
            <w:pPr>
              <w:jc w:val="center"/>
              <w:rPr>
                <w:bCs/>
              </w:rPr>
            </w:pPr>
          </w:p>
        </w:tc>
        <w:tc>
          <w:tcPr>
            <w:tcW w:w="1612" w:type="dxa"/>
          </w:tcPr>
          <w:p w14:paraId="6BC9EEB8" w14:textId="77777777" w:rsidR="00325655" w:rsidRPr="002E3F02" w:rsidRDefault="00325655" w:rsidP="00857373">
            <w:pPr>
              <w:jc w:val="center"/>
              <w:rPr>
                <w:bCs/>
              </w:rPr>
            </w:pPr>
          </w:p>
        </w:tc>
      </w:tr>
      <w:tr w:rsidR="00325655" w:rsidRPr="002E3F02" w14:paraId="712A1F8A" w14:textId="77777777" w:rsidTr="00F36C13">
        <w:tc>
          <w:tcPr>
            <w:tcW w:w="3190" w:type="dxa"/>
            <w:shd w:val="clear" w:color="auto" w:fill="auto"/>
          </w:tcPr>
          <w:p w14:paraId="45B4F08E" w14:textId="77777777" w:rsidR="00325655" w:rsidRPr="002E3F02" w:rsidRDefault="00325655" w:rsidP="00857373">
            <w:pPr>
              <w:jc w:val="right"/>
              <w:rPr>
                <w:bCs/>
              </w:rPr>
            </w:pPr>
            <w:r>
              <w:rPr>
                <w:bCs/>
              </w:rPr>
              <w:t>Target 2</w:t>
            </w:r>
          </w:p>
        </w:tc>
        <w:tc>
          <w:tcPr>
            <w:tcW w:w="1167" w:type="dxa"/>
            <w:shd w:val="clear" w:color="auto" w:fill="auto"/>
          </w:tcPr>
          <w:p w14:paraId="497D5E8A" w14:textId="77777777" w:rsidR="00325655" w:rsidRPr="002E3F02" w:rsidRDefault="00325655" w:rsidP="00857373">
            <w:pPr>
              <w:jc w:val="center"/>
              <w:rPr>
                <w:bCs/>
              </w:rPr>
            </w:pPr>
          </w:p>
        </w:tc>
        <w:tc>
          <w:tcPr>
            <w:tcW w:w="1117" w:type="dxa"/>
            <w:shd w:val="clear" w:color="auto" w:fill="auto"/>
          </w:tcPr>
          <w:p w14:paraId="69A09DA3" w14:textId="7446D8AD" w:rsidR="00325655" w:rsidRPr="0091499C" w:rsidRDefault="00E95536" w:rsidP="00857373">
            <w:pPr>
              <w:jc w:val="center"/>
              <w:rPr>
                <w:b/>
              </w:rPr>
            </w:pPr>
            <w:r w:rsidRPr="0091499C">
              <w:rPr>
                <w:b/>
              </w:rPr>
              <w:t>X</w:t>
            </w:r>
          </w:p>
        </w:tc>
        <w:tc>
          <w:tcPr>
            <w:tcW w:w="1176" w:type="dxa"/>
            <w:shd w:val="clear" w:color="auto" w:fill="auto"/>
          </w:tcPr>
          <w:p w14:paraId="51CC5752" w14:textId="77777777" w:rsidR="00325655" w:rsidRPr="002E3F02" w:rsidRDefault="00325655" w:rsidP="00857373">
            <w:pPr>
              <w:jc w:val="center"/>
              <w:rPr>
                <w:bCs/>
              </w:rPr>
            </w:pPr>
          </w:p>
        </w:tc>
        <w:tc>
          <w:tcPr>
            <w:tcW w:w="1088" w:type="dxa"/>
            <w:shd w:val="clear" w:color="auto" w:fill="auto"/>
          </w:tcPr>
          <w:p w14:paraId="273ECE37" w14:textId="77777777" w:rsidR="00325655" w:rsidRPr="002E3F02" w:rsidRDefault="00325655" w:rsidP="00857373">
            <w:pPr>
              <w:jc w:val="center"/>
              <w:rPr>
                <w:bCs/>
              </w:rPr>
            </w:pPr>
          </w:p>
        </w:tc>
        <w:tc>
          <w:tcPr>
            <w:tcW w:w="1612" w:type="dxa"/>
          </w:tcPr>
          <w:p w14:paraId="2F79DD43" w14:textId="77777777" w:rsidR="00325655" w:rsidRPr="002E3F02" w:rsidRDefault="00325655" w:rsidP="00857373">
            <w:pPr>
              <w:jc w:val="center"/>
              <w:rPr>
                <w:bCs/>
              </w:rPr>
            </w:pPr>
          </w:p>
        </w:tc>
      </w:tr>
      <w:tr w:rsidR="00325655" w14:paraId="088FB3E5" w14:textId="77777777" w:rsidTr="00F36C13">
        <w:tc>
          <w:tcPr>
            <w:tcW w:w="9350" w:type="dxa"/>
            <w:gridSpan w:val="6"/>
            <w:shd w:val="clear" w:color="auto" w:fill="BDD6EE" w:themeFill="accent1" w:themeFillTint="66"/>
          </w:tcPr>
          <w:p w14:paraId="7808E6EB" w14:textId="77777777" w:rsidR="00325655" w:rsidRDefault="00325655" w:rsidP="00857373">
            <w:pPr>
              <w:rPr>
                <w:b/>
              </w:rPr>
            </w:pPr>
            <w:r>
              <w:rPr>
                <w:b/>
              </w:rPr>
              <w:t>Governance Board Performance and Stewardship</w:t>
            </w:r>
          </w:p>
        </w:tc>
      </w:tr>
      <w:tr w:rsidR="00325655" w:rsidRPr="002E3F02" w14:paraId="08D515C5" w14:textId="77777777" w:rsidTr="00F36C13">
        <w:tc>
          <w:tcPr>
            <w:tcW w:w="3190" w:type="dxa"/>
            <w:shd w:val="clear" w:color="auto" w:fill="auto"/>
          </w:tcPr>
          <w:p w14:paraId="0BF508AC" w14:textId="77777777" w:rsidR="00325655" w:rsidRPr="002E3F02" w:rsidRDefault="00325655" w:rsidP="00857373">
            <w:pPr>
              <w:jc w:val="right"/>
              <w:rPr>
                <w:bCs/>
              </w:rPr>
            </w:pPr>
            <w:r>
              <w:rPr>
                <w:bCs/>
              </w:rPr>
              <w:t>Target 1</w:t>
            </w:r>
          </w:p>
        </w:tc>
        <w:tc>
          <w:tcPr>
            <w:tcW w:w="1167" w:type="dxa"/>
            <w:shd w:val="clear" w:color="auto" w:fill="auto"/>
          </w:tcPr>
          <w:p w14:paraId="525A75F7" w14:textId="77777777" w:rsidR="00325655" w:rsidRPr="002E3F02" w:rsidRDefault="00325655" w:rsidP="00857373">
            <w:pPr>
              <w:jc w:val="center"/>
              <w:rPr>
                <w:bCs/>
              </w:rPr>
            </w:pPr>
          </w:p>
        </w:tc>
        <w:tc>
          <w:tcPr>
            <w:tcW w:w="1117" w:type="dxa"/>
            <w:shd w:val="clear" w:color="auto" w:fill="auto"/>
          </w:tcPr>
          <w:p w14:paraId="736C6982" w14:textId="5CF366FF" w:rsidR="00325655" w:rsidRPr="0091499C" w:rsidRDefault="00E95536" w:rsidP="00857373">
            <w:pPr>
              <w:jc w:val="center"/>
              <w:rPr>
                <w:b/>
              </w:rPr>
            </w:pPr>
            <w:r w:rsidRPr="0091499C">
              <w:rPr>
                <w:b/>
              </w:rPr>
              <w:t>X</w:t>
            </w:r>
          </w:p>
        </w:tc>
        <w:tc>
          <w:tcPr>
            <w:tcW w:w="1176" w:type="dxa"/>
            <w:shd w:val="clear" w:color="auto" w:fill="auto"/>
          </w:tcPr>
          <w:p w14:paraId="211885D5" w14:textId="77777777" w:rsidR="00325655" w:rsidRPr="002E3F02" w:rsidRDefault="00325655" w:rsidP="00857373">
            <w:pPr>
              <w:jc w:val="center"/>
              <w:rPr>
                <w:bCs/>
              </w:rPr>
            </w:pPr>
          </w:p>
        </w:tc>
        <w:tc>
          <w:tcPr>
            <w:tcW w:w="1088" w:type="dxa"/>
            <w:shd w:val="clear" w:color="auto" w:fill="auto"/>
          </w:tcPr>
          <w:p w14:paraId="44D2FB8B" w14:textId="77777777" w:rsidR="00325655" w:rsidRPr="002E3F02" w:rsidRDefault="00325655" w:rsidP="00857373">
            <w:pPr>
              <w:jc w:val="center"/>
              <w:rPr>
                <w:bCs/>
              </w:rPr>
            </w:pPr>
          </w:p>
        </w:tc>
        <w:tc>
          <w:tcPr>
            <w:tcW w:w="1612" w:type="dxa"/>
          </w:tcPr>
          <w:p w14:paraId="6D08E20E" w14:textId="77777777" w:rsidR="00325655" w:rsidRPr="002E3F02" w:rsidRDefault="00325655" w:rsidP="00857373">
            <w:pPr>
              <w:jc w:val="center"/>
              <w:rPr>
                <w:bCs/>
              </w:rPr>
            </w:pPr>
          </w:p>
        </w:tc>
      </w:tr>
      <w:tr w:rsidR="00325655" w:rsidRPr="002E3F02" w14:paraId="5238B4CC" w14:textId="77777777" w:rsidTr="00F36C13">
        <w:tc>
          <w:tcPr>
            <w:tcW w:w="3190" w:type="dxa"/>
            <w:shd w:val="clear" w:color="auto" w:fill="auto"/>
          </w:tcPr>
          <w:p w14:paraId="71B0E295" w14:textId="77777777" w:rsidR="00325655" w:rsidRPr="002E3F02" w:rsidRDefault="00325655" w:rsidP="00857373">
            <w:pPr>
              <w:jc w:val="right"/>
              <w:rPr>
                <w:bCs/>
              </w:rPr>
            </w:pPr>
            <w:r>
              <w:rPr>
                <w:bCs/>
              </w:rPr>
              <w:t>Target 2</w:t>
            </w:r>
          </w:p>
        </w:tc>
        <w:tc>
          <w:tcPr>
            <w:tcW w:w="1167" w:type="dxa"/>
            <w:shd w:val="clear" w:color="auto" w:fill="auto"/>
          </w:tcPr>
          <w:p w14:paraId="29F15AED" w14:textId="77777777" w:rsidR="00325655" w:rsidRPr="002E3F02" w:rsidRDefault="00325655" w:rsidP="00857373">
            <w:pPr>
              <w:jc w:val="center"/>
              <w:rPr>
                <w:bCs/>
              </w:rPr>
            </w:pPr>
          </w:p>
        </w:tc>
        <w:tc>
          <w:tcPr>
            <w:tcW w:w="1117" w:type="dxa"/>
            <w:shd w:val="clear" w:color="auto" w:fill="auto"/>
          </w:tcPr>
          <w:p w14:paraId="2B3A060C" w14:textId="00C3321C" w:rsidR="00325655" w:rsidRPr="0091499C" w:rsidRDefault="00E95536" w:rsidP="00857373">
            <w:pPr>
              <w:jc w:val="center"/>
              <w:rPr>
                <w:b/>
              </w:rPr>
            </w:pPr>
            <w:r w:rsidRPr="0091499C">
              <w:rPr>
                <w:b/>
              </w:rPr>
              <w:t>X</w:t>
            </w:r>
          </w:p>
        </w:tc>
        <w:tc>
          <w:tcPr>
            <w:tcW w:w="1176" w:type="dxa"/>
            <w:shd w:val="clear" w:color="auto" w:fill="auto"/>
          </w:tcPr>
          <w:p w14:paraId="6C06CCEE" w14:textId="77777777" w:rsidR="00325655" w:rsidRPr="002E3F02" w:rsidRDefault="00325655" w:rsidP="00857373">
            <w:pPr>
              <w:jc w:val="center"/>
              <w:rPr>
                <w:bCs/>
              </w:rPr>
            </w:pPr>
          </w:p>
        </w:tc>
        <w:tc>
          <w:tcPr>
            <w:tcW w:w="1088" w:type="dxa"/>
            <w:shd w:val="clear" w:color="auto" w:fill="auto"/>
          </w:tcPr>
          <w:p w14:paraId="5BF0A6BE" w14:textId="77777777" w:rsidR="00325655" w:rsidRPr="002E3F02" w:rsidRDefault="00325655" w:rsidP="00857373">
            <w:pPr>
              <w:jc w:val="center"/>
              <w:rPr>
                <w:bCs/>
              </w:rPr>
            </w:pPr>
          </w:p>
        </w:tc>
        <w:tc>
          <w:tcPr>
            <w:tcW w:w="1612" w:type="dxa"/>
          </w:tcPr>
          <w:p w14:paraId="3A39B099" w14:textId="77777777" w:rsidR="00325655" w:rsidRPr="002E3F02" w:rsidRDefault="00325655" w:rsidP="00857373">
            <w:pPr>
              <w:jc w:val="center"/>
              <w:rPr>
                <w:bCs/>
              </w:rPr>
            </w:pPr>
          </w:p>
        </w:tc>
      </w:tr>
      <w:tr w:rsidR="00325655" w14:paraId="25BAD280" w14:textId="77777777" w:rsidTr="00F36C13">
        <w:tc>
          <w:tcPr>
            <w:tcW w:w="9350" w:type="dxa"/>
            <w:gridSpan w:val="6"/>
            <w:shd w:val="clear" w:color="auto" w:fill="BDD6EE" w:themeFill="accent1" w:themeFillTint="66"/>
          </w:tcPr>
          <w:p w14:paraId="647CE06E" w14:textId="77777777" w:rsidR="00325655" w:rsidRDefault="00325655" w:rsidP="00857373">
            <w:pPr>
              <w:rPr>
                <w:b/>
              </w:rPr>
            </w:pPr>
            <w:r>
              <w:rPr>
                <w:b/>
              </w:rPr>
              <w:t>Facilities</w:t>
            </w:r>
          </w:p>
        </w:tc>
      </w:tr>
      <w:tr w:rsidR="00325655" w:rsidRPr="002E3F02" w14:paraId="1B9B5FFA" w14:textId="77777777" w:rsidTr="00F36C13">
        <w:tc>
          <w:tcPr>
            <w:tcW w:w="3190" w:type="dxa"/>
            <w:shd w:val="clear" w:color="auto" w:fill="auto"/>
          </w:tcPr>
          <w:p w14:paraId="0B2A399E" w14:textId="77777777" w:rsidR="00325655" w:rsidRPr="002E3F02" w:rsidRDefault="00325655" w:rsidP="00857373">
            <w:pPr>
              <w:jc w:val="right"/>
              <w:rPr>
                <w:bCs/>
              </w:rPr>
            </w:pPr>
            <w:r>
              <w:rPr>
                <w:bCs/>
              </w:rPr>
              <w:t>Target 1</w:t>
            </w:r>
          </w:p>
        </w:tc>
        <w:tc>
          <w:tcPr>
            <w:tcW w:w="1167" w:type="dxa"/>
            <w:shd w:val="clear" w:color="auto" w:fill="auto"/>
          </w:tcPr>
          <w:p w14:paraId="6DF10FF4" w14:textId="77777777" w:rsidR="00325655" w:rsidRPr="002E3F02" w:rsidRDefault="00325655" w:rsidP="00857373">
            <w:pPr>
              <w:jc w:val="center"/>
              <w:rPr>
                <w:bCs/>
              </w:rPr>
            </w:pPr>
          </w:p>
        </w:tc>
        <w:tc>
          <w:tcPr>
            <w:tcW w:w="1117" w:type="dxa"/>
            <w:shd w:val="clear" w:color="auto" w:fill="auto"/>
          </w:tcPr>
          <w:p w14:paraId="53FDEE43" w14:textId="4F47CDA9" w:rsidR="00325655" w:rsidRPr="0091499C" w:rsidRDefault="00E34261" w:rsidP="00857373">
            <w:pPr>
              <w:jc w:val="center"/>
              <w:rPr>
                <w:b/>
              </w:rPr>
            </w:pPr>
            <w:r w:rsidRPr="0091499C">
              <w:rPr>
                <w:b/>
              </w:rPr>
              <w:t>X</w:t>
            </w:r>
          </w:p>
        </w:tc>
        <w:tc>
          <w:tcPr>
            <w:tcW w:w="1176" w:type="dxa"/>
            <w:shd w:val="clear" w:color="auto" w:fill="auto"/>
          </w:tcPr>
          <w:p w14:paraId="4FAA6C76" w14:textId="77777777" w:rsidR="00325655" w:rsidRPr="002E3F02" w:rsidRDefault="00325655" w:rsidP="00857373">
            <w:pPr>
              <w:jc w:val="center"/>
              <w:rPr>
                <w:bCs/>
              </w:rPr>
            </w:pPr>
          </w:p>
        </w:tc>
        <w:tc>
          <w:tcPr>
            <w:tcW w:w="1088" w:type="dxa"/>
            <w:shd w:val="clear" w:color="auto" w:fill="auto"/>
          </w:tcPr>
          <w:p w14:paraId="580FC8D3" w14:textId="77777777" w:rsidR="00325655" w:rsidRPr="002E3F02" w:rsidRDefault="00325655" w:rsidP="00857373">
            <w:pPr>
              <w:jc w:val="center"/>
              <w:rPr>
                <w:bCs/>
              </w:rPr>
            </w:pPr>
          </w:p>
        </w:tc>
        <w:tc>
          <w:tcPr>
            <w:tcW w:w="1612" w:type="dxa"/>
          </w:tcPr>
          <w:p w14:paraId="70983E4F" w14:textId="77777777" w:rsidR="00325655" w:rsidRPr="002E3F02" w:rsidRDefault="00325655" w:rsidP="00857373">
            <w:pPr>
              <w:jc w:val="center"/>
              <w:rPr>
                <w:bCs/>
              </w:rPr>
            </w:pPr>
          </w:p>
        </w:tc>
      </w:tr>
      <w:tr w:rsidR="00325655" w14:paraId="3306FEC3" w14:textId="77777777" w:rsidTr="00F36C13">
        <w:tc>
          <w:tcPr>
            <w:tcW w:w="9350" w:type="dxa"/>
            <w:gridSpan w:val="6"/>
            <w:shd w:val="clear" w:color="auto" w:fill="BDD6EE" w:themeFill="accent1" w:themeFillTint="66"/>
          </w:tcPr>
          <w:p w14:paraId="32BDB64A" w14:textId="77777777" w:rsidR="00325655" w:rsidRDefault="00325655" w:rsidP="00857373">
            <w:pPr>
              <w:rPr>
                <w:b/>
              </w:rPr>
            </w:pPr>
            <w:r>
              <w:rPr>
                <w:b/>
              </w:rPr>
              <w:t>School Climate</w:t>
            </w:r>
          </w:p>
        </w:tc>
      </w:tr>
      <w:tr w:rsidR="00325655" w:rsidRPr="002E3F02" w14:paraId="43D0E92A" w14:textId="77777777" w:rsidTr="00F36C13">
        <w:tc>
          <w:tcPr>
            <w:tcW w:w="3190" w:type="dxa"/>
            <w:shd w:val="clear" w:color="auto" w:fill="auto"/>
          </w:tcPr>
          <w:p w14:paraId="2E685C6D" w14:textId="77777777" w:rsidR="00325655" w:rsidRPr="002E3F02" w:rsidRDefault="00325655" w:rsidP="00857373">
            <w:pPr>
              <w:jc w:val="right"/>
              <w:rPr>
                <w:bCs/>
              </w:rPr>
            </w:pPr>
            <w:r>
              <w:rPr>
                <w:bCs/>
              </w:rPr>
              <w:t>Target 1</w:t>
            </w:r>
          </w:p>
        </w:tc>
        <w:tc>
          <w:tcPr>
            <w:tcW w:w="1167" w:type="dxa"/>
            <w:shd w:val="clear" w:color="auto" w:fill="auto"/>
          </w:tcPr>
          <w:p w14:paraId="74AE966A" w14:textId="77777777" w:rsidR="00325655" w:rsidRPr="002E3F02" w:rsidRDefault="00325655" w:rsidP="00857373">
            <w:pPr>
              <w:jc w:val="center"/>
              <w:rPr>
                <w:bCs/>
              </w:rPr>
            </w:pPr>
          </w:p>
        </w:tc>
        <w:tc>
          <w:tcPr>
            <w:tcW w:w="1117" w:type="dxa"/>
            <w:shd w:val="clear" w:color="auto" w:fill="auto"/>
          </w:tcPr>
          <w:p w14:paraId="68CD5206" w14:textId="10A9A4E3" w:rsidR="00325655" w:rsidRPr="0091499C" w:rsidRDefault="00E34261" w:rsidP="00857373">
            <w:pPr>
              <w:jc w:val="center"/>
              <w:rPr>
                <w:b/>
              </w:rPr>
            </w:pPr>
            <w:r w:rsidRPr="0091499C">
              <w:rPr>
                <w:b/>
              </w:rPr>
              <w:t>X</w:t>
            </w:r>
          </w:p>
        </w:tc>
        <w:tc>
          <w:tcPr>
            <w:tcW w:w="1176" w:type="dxa"/>
            <w:shd w:val="clear" w:color="auto" w:fill="auto"/>
          </w:tcPr>
          <w:p w14:paraId="27D09137" w14:textId="77777777" w:rsidR="00325655" w:rsidRPr="0091499C" w:rsidRDefault="00325655" w:rsidP="00857373">
            <w:pPr>
              <w:jc w:val="center"/>
              <w:rPr>
                <w:b/>
              </w:rPr>
            </w:pPr>
          </w:p>
        </w:tc>
        <w:tc>
          <w:tcPr>
            <w:tcW w:w="1088" w:type="dxa"/>
            <w:shd w:val="clear" w:color="auto" w:fill="auto"/>
          </w:tcPr>
          <w:p w14:paraId="075FA714" w14:textId="77777777" w:rsidR="00325655" w:rsidRPr="0091499C" w:rsidRDefault="00325655" w:rsidP="00857373">
            <w:pPr>
              <w:jc w:val="center"/>
              <w:rPr>
                <w:b/>
              </w:rPr>
            </w:pPr>
          </w:p>
        </w:tc>
        <w:tc>
          <w:tcPr>
            <w:tcW w:w="1612" w:type="dxa"/>
          </w:tcPr>
          <w:p w14:paraId="7B99514D" w14:textId="77777777" w:rsidR="00325655" w:rsidRPr="002E3F02" w:rsidRDefault="00325655" w:rsidP="00857373">
            <w:pPr>
              <w:jc w:val="center"/>
              <w:rPr>
                <w:bCs/>
              </w:rPr>
            </w:pPr>
          </w:p>
        </w:tc>
      </w:tr>
      <w:tr w:rsidR="00325655" w:rsidRPr="002E3F02" w14:paraId="5D6AE659" w14:textId="77777777" w:rsidTr="00F36C13">
        <w:tc>
          <w:tcPr>
            <w:tcW w:w="3190" w:type="dxa"/>
            <w:shd w:val="clear" w:color="auto" w:fill="auto"/>
          </w:tcPr>
          <w:p w14:paraId="408DC334" w14:textId="77777777" w:rsidR="00325655" w:rsidRPr="002E3F02" w:rsidRDefault="00325655" w:rsidP="00857373">
            <w:pPr>
              <w:jc w:val="right"/>
              <w:rPr>
                <w:bCs/>
              </w:rPr>
            </w:pPr>
            <w:r>
              <w:rPr>
                <w:bCs/>
              </w:rPr>
              <w:t>Target 2</w:t>
            </w:r>
          </w:p>
        </w:tc>
        <w:tc>
          <w:tcPr>
            <w:tcW w:w="1167" w:type="dxa"/>
            <w:shd w:val="clear" w:color="auto" w:fill="auto"/>
          </w:tcPr>
          <w:p w14:paraId="19867EA8" w14:textId="77777777" w:rsidR="00325655" w:rsidRPr="002E3F02" w:rsidRDefault="00325655" w:rsidP="00857373">
            <w:pPr>
              <w:jc w:val="center"/>
              <w:rPr>
                <w:bCs/>
              </w:rPr>
            </w:pPr>
          </w:p>
        </w:tc>
        <w:tc>
          <w:tcPr>
            <w:tcW w:w="1117" w:type="dxa"/>
            <w:shd w:val="clear" w:color="auto" w:fill="auto"/>
          </w:tcPr>
          <w:p w14:paraId="57B5A190" w14:textId="77777777" w:rsidR="00325655" w:rsidRPr="0091499C" w:rsidRDefault="00325655" w:rsidP="00857373">
            <w:pPr>
              <w:jc w:val="center"/>
              <w:rPr>
                <w:b/>
              </w:rPr>
            </w:pPr>
          </w:p>
        </w:tc>
        <w:tc>
          <w:tcPr>
            <w:tcW w:w="1176" w:type="dxa"/>
            <w:shd w:val="clear" w:color="auto" w:fill="auto"/>
          </w:tcPr>
          <w:p w14:paraId="6E03E36E" w14:textId="57275FCC" w:rsidR="00325655" w:rsidRPr="0091499C" w:rsidRDefault="00E34261" w:rsidP="00857373">
            <w:pPr>
              <w:jc w:val="center"/>
              <w:rPr>
                <w:b/>
              </w:rPr>
            </w:pPr>
            <w:r w:rsidRPr="0091499C">
              <w:rPr>
                <w:b/>
              </w:rPr>
              <w:t>X</w:t>
            </w:r>
          </w:p>
        </w:tc>
        <w:tc>
          <w:tcPr>
            <w:tcW w:w="1088" w:type="dxa"/>
            <w:shd w:val="clear" w:color="auto" w:fill="auto"/>
          </w:tcPr>
          <w:p w14:paraId="2638F62A" w14:textId="77777777" w:rsidR="00325655" w:rsidRPr="0091499C" w:rsidRDefault="00325655" w:rsidP="00857373">
            <w:pPr>
              <w:jc w:val="center"/>
              <w:rPr>
                <w:b/>
              </w:rPr>
            </w:pPr>
          </w:p>
        </w:tc>
        <w:tc>
          <w:tcPr>
            <w:tcW w:w="1612" w:type="dxa"/>
          </w:tcPr>
          <w:p w14:paraId="72485ED4" w14:textId="77777777" w:rsidR="00325655" w:rsidRPr="002E3F02" w:rsidRDefault="00325655" w:rsidP="00857373">
            <w:pPr>
              <w:jc w:val="center"/>
              <w:rPr>
                <w:bCs/>
              </w:rPr>
            </w:pPr>
          </w:p>
        </w:tc>
      </w:tr>
      <w:tr w:rsidR="00325655" w:rsidRPr="002E3F02" w14:paraId="7D7A594E" w14:textId="77777777" w:rsidTr="00F36C13">
        <w:tc>
          <w:tcPr>
            <w:tcW w:w="3190" w:type="dxa"/>
            <w:shd w:val="clear" w:color="auto" w:fill="auto"/>
          </w:tcPr>
          <w:p w14:paraId="6913BD92" w14:textId="77777777" w:rsidR="00325655" w:rsidRPr="002E3F02" w:rsidRDefault="00325655" w:rsidP="00857373">
            <w:pPr>
              <w:jc w:val="right"/>
              <w:rPr>
                <w:bCs/>
              </w:rPr>
            </w:pPr>
            <w:r>
              <w:rPr>
                <w:bCs/>
              </w:rPr>
              <w:t>Target 3</w:t>
            </w:r>
          </w:p>
        </w:tc>
        <w:tc>
          <w:tcPr>
            <w:tcW w:w="1167" w:type="dxa"/>
            <w:shd w:val="clear" w:color="auto" w:fill="auto"/>
          </w:tcPr>
          <w:p w14:paraId="355C70B1" w14:textId="77777777" w:rsidR="00325655" w:rsidRPr="002E3F02" w:rsidRDefault="00325655" w:rsidP="00857373">
            <w:pPr>
              <w:jc w:val="center"/>
              <w:rPr>
                <w:bCs/>
              </w:rPr>
            </w:pPr>
          </w:p>
        </w:tc>
        <w:tc>
          <w:tcPr>
            <w:tcW w:w="1117" w:type="dxa"/>
            <w:shd w:val="clear" w:color="auto" w:fill="auto"/>
          </w:tcPr>
          <w:p w14:paraId="365C0A4C" w14:textId="1C92EBF4" w:rsidR="00325655" w:rsidRPr="0091499C" w:rsidRDefault="00E34261" w:rsidP="00857373">
            <w:pPr>
              <w:jc w:val="center"/>
              <w:rPr>
                <w:b/>
              </w:rPr>
            </w:pPr>
            <w:r w:rsidRPr="0091499C">
              <w:rPr>
                <w:b/>
              </w:rPr>
              <w:t>X</w:t>
            </w:r>
          </w:p>
        </w:tc>
        <w:tc>
          <w:tcPr>
            <w:tcW w:w="1176" w:type="dxa"/>
            <w:shd w:val="clear" w:color="auto" w:fill="auto"/>
          </w:tcPr>
          <w:p w14:paraId="0403D0D7" w14:textId="77777777" w:rsidR="00325655" w:rsidRPr="0091499C" w:rsidRDefault="00325655" w:rsidP="00857373">
            <w:pPr>
              <w:jc w:val="center"/>
              <w:rPr>
                <w:b/>
              </w:rPr>
            </w:pPr>
          </w:p>
        </w:tc>
        <w:tc>
          <w:tcPr>
            <w:tcW w:w="1088" w:type="dxa"/>
            <w:shd w:val="clear" w:color="auto" w:fill="auto"/>
          </w:tcPr>
          <w:p w14:paraId="216F89AB" w14:textId="77777777" w:rsidR="00325655" w:rsidRPr="0091499C" w:rsidRDefault="00325655" w:rsidP="00857373">
            <w:pPr>
              <w:jc w:val="center"/>
              <w:rPr>
                <w:b/>
              </w:rPr>
            </w:pPr>
          </w:p>
        </w:tc>
        <w:tc>
          <w:tcPr>
            <w:tcW w:w="1612" w:type="dxa"/>
          </w:tcPr>
          <w:p w14:paraId="4F013C7D" w14:textId="77777777" w:rsidR="00325655" w:rsidRPr="002E3F02" w:rsidRDefault="00325655" w:rsidP="00857373">
            <w:pPr>
              <w:jc w:val="center"/>
              <w:rPr>
                <w:bCs/>
              </w:rPr>
            </w:pPr>
          </w:p>
        </w:tc>
      </w:tr>
      <w:tr w:rsidR="00325655" w:rsidRPr="002E3F02" w14:paraId="347F4DCF" w14:textId="77777777" w:rsidTr="00F36C13">
        <w:tc>
          <w:tcPr>
            <w:tcW w:w="3190" w:type="dxa"/>
            <w:shd w:val="clear" w:color="auto" w:fill="auto"/>
          </w:tcPr>
          <w:p w14:paraId="59C0F3A1" w14:textId="77777777" w:rsidR="00325655" w:rsidRDefault="00325655" w:rsidP="00857373">
            <w:pPr>
              <w:jc w:val="right"/>
              <w:rPr>
                <w:bCs/>
              </w:rPr>
            </w:pPr>
            <w:r>
              <w:rPr>
                <w:bCs/>
              </w:rPr>
              <w:t>Target 4</w:t>
            </w:r>
          </w:p>
        </w:tc>
        <w:tc>
          <w:tcPr>
            <w:tcW w:w="1167" w:type="dxa"/>
            <w:shd w:val="clear" w:color="auto" w:fill="auto"/>
          </w:tcPr>
          <w:p w14:paraId="5A4F4FB6" w14:textId="77777777" w:rsidR="00325655" w:rsidRPr="002E3F02" w:rsidRDefault="00325655" w:rsidP="00857373">
            <w:pPr>
              <w:jc w:val="center"/>
              <w:rPr>
                <w:bCs/>
              </w:rPr>
            </w:pPr>
          </w:p>
        </w:tc>
        <w:tc>
          <w:tcPr>
            <w:tcW w:w="1117" w:type="dxa"/>
            <w:shd w:val="clear" w:color="auto" w:fill="auto"/>
          </w:tcPr>
          <w:p w14:paraId="2FB1EC5C" w14:textId="77777777" w:rsidR="00325655" w:rsidRPr="0091499C" w:rsidRDefault="00325655" w:rsidP="00857373">
            <w:pPr>
              <w:jc w:val="center"/>
              <w:rPr>
                <w:b/>
              </w:rPr>
            </w:pPr>
          </w:p>
        </w:tc>
        <w:tc>
          <w:tcPr>
            <w:tcW w:w="1176" w:type="dxa"/>
            <w:shd w:val="clear" w:color="auto" w:fill="auto"/>
          </w:tcPr>
          <w:p w14:paraId="57C546D5" w14:textId="4B72B71F" w:rsidR="00325655" w:rsidRPr="0091499C" w:rsidRDefault="00E34261" w:rsidP="00857373">
            <w:pPr>
              <w:jc w:val="center"/>
              <w:rPr>
                <w:b/>
              </w:rPr>
            </w:pPr>
            <w:r w:rsidRPr="0091499C">
              <w:rPr>
                <w:b/>
              </w:rPr>
              <w:t>X</w:t>
            </w:r>
          </w:p>
        </w:tc>
        <w:tc>
          <w:tcPr>
            <w:tcW w:w="1088" w:type="dxa"/>
            <w:shd w:val="clear" w:color="auto" w:fill="auto"/>
          </w:tcPr>
          <w:p w14:paraId="463B492C" w14:textId="77777777" w:rsidR="00325655" w:rsidRPr="0091499C" w:rsidRDefault="00325655" w:rsidP="00857373">
            <w:pPr>
              <w:jc w:val="center"/>
              <w:rPr>
                <w:b/>
              </w:rPr>
            </w:pPr>
          </w:p>
        </w:tc>
        <w:tc>
          <w:tcPr>
            <w:tcW w:w="1612" w:type="dxa"/>
          </w:tcPr>
          <w:p w14:paraId="6B72F71F" w14:textId="77777777" w:rsidR="00325655" w:rsidRPr="002E3F02" w:rsidRDefault="00325655" w:rsidP="00857373">
            <w:pPr>
              <w:jc w:val="center"/>
              <w:rPr>
                <w:bCs/>
              </w:rPr>
            </w:pPr>
          </w:p>
        </w:tc>
      </w:tr>
      <w:tr w:rsidR="00325655" w:rsidRPr="002E3F02" w14:paraId="35921EC6" w14:textId="77777777" w:rsidTr="00F36C13">
        <w:tc>
          <w:tcPr>
            <w:tcW w:w="3190" w:type="dxa"/>
            <w:shd w:val="clear" w:color="auto" w:fill="auto"/>
          </w:tcPr>
          <w:p w14:paraId="12D8C742" w14:textId="77777777" w:rsidR="00325655" w:rsidRDefault="00325655" w:rsidP="00857373">
            <w:pPr>
              <w:jc w:val="right"/>
              <w:rPr>
                <w:bCs/>
              </w:rPr>
            </w:pPr>
            <w:r>
              <w:rPr>
                <w:bCs/>
              </w:rPr>
              <w:t>Target 5</w:t>
            </w:r>
          </w:p>
        </w:tc>
        <w:tc>
          <w:tcPr>
            <w:tcW w:w="1167" w:type="dxa"/>
            <w:shd w:val="clear" w:color="auto" w:fill="auto"/>
          </w:tcPr>
          <w:p w14:paraId="2160E647" w14:textId="77777777" w:rsidR="00325655" w:rsidRPr="002E3F02" w:rsidRDefault="00325655" w:rsidP="00857373">
            <w:pPr>
              <w:jc w:val="center"/>
              <w:rPr>
                <w:bCs/>
              </w:rPr>
            </w:pPr>
          </w:p>
        </w:tc>
        <w:tc>
          <w:tcPr>
            <w:tcW w:w="1117" w:type="dxa"/>
            <w:shd w:val="clear" w:color="auto" w:fill="auto"/>
          </w:tcPr>
          <w:p w14:paraId="1D6EE738" w14:textId="77777777" w:rsidR="00325655" w:rsidRPr="0091499C" w:rsidRDefault="00325655" w:rsidP="00857373">
            <w:pPr>
              <w:jc w:val="center"/>
              <w:rPr>
                <w:b/>
              </w:rPr>
            </w:pPr>
          </w:p>
        </w:tc>
        <w:tc>
          <w:tcPr>
            <w:tcW w:w="1176" w:type="dxa"/>
            <w:shd w:val="clear" w:color="auto" w:fill="auto"/>
          </w:tcPr>
          <w:p w14:paraId="42A91660" w14:textId="77777777" w:rsidR="00325655" w:rsidRPr="0091499C" w:rsidRDefault="00325655" w:rsidP="00857373">
            <w:pPr>
              <w:jc w:val="center"/>
              <w:rPr>
                <w:b/>
              </w:rPr>
            </w:pPr>
          </w:p>
        </w:tc>
        <w:tc>
          <w:tcPr>
            <w:tcW w:w="1088" w:type="dxa"/>
            <w:shd w:val="clear" w:color="auto" w:fill="auto"/>
          </w:tcPr>
          <w:p w14:paraId="6BCC4234" w14:textId="3BF5FD7D" w:rsidR="00325655" w:rsidRPr="0091499C" w:rsidRDefault="0091499C" w:rsidP="00857373">
            <w:pPr>
              <w:jc w:val="center"/>
              <w:rPr>
                <w:b/>
              </w:rPr>
            </w:pPr>
            <w:r w:rsidRPr="0091499C">
              <w:rPr>
                <w:b/>
              </w:rPr>
              <w:t>X</w:t>
            </w:r>
          </w:p>
        </w:tc>
        <w:tc>
          <w:tcPr>
            <w:tcW w:w="1612" w:type="dxa"/>
          </w:tcPr>
          <w:p w14:paraId="1614C339" w14:textId="77777777" w:rsidR="00325655" w:rsidRPr="002E3F02" w:rsidRDefault="00325655" w:rsidP="00857373">
            <w:pPr>
              <w:jc w:val="center"/>
              <w:rPr>
                <w:bCs/>
              </w:rPr>
            </w:pPr>
          </w:p>
        </w:tc>
      </w:tr>
      <w:tr w:rsidR="00325655" w:rsidRPr="002E3F02" w14:paraId="79CBE16A" w14:textId="77777777" w:rsidTr="00F36C13">
        <w:tc>
          <w:tcPr>
            <w:tcW w:w="3190" w:type="dxa"/>
            <w:shd w:val="clear" w:color="auto" w:fill="auto"/>
          </w:tcPr>
          <w:p w14:paraId="41B36D31" w14:textId="77777777" w:rsidR="00325655" w:rsidRDefault="00325655" w:rsidP="00857373">
            <w:pPr>
              <w:jc w:val="right"/>
              <w:rPr>
                <w:bCs/>
              </w:rPr>
            </w:pPr>
            <w:r>
              <w:rPr>
                <w:bCs/>
              </w:rPr>
              <w:t>Target 6</w:t>
            </w:r>
          </w:p>
        </w:tc>
        <w:tc>
          <w:tcPr>
            <w:tcW w:w="1167" w:type="dxa"/>
            <w:shd w:val="clear" w:color="auto" w:fill="auto"/>
          </w:tcPr>
          <w:p w14:paraId="1B70D3C9" w14:textId="77777777" w:rsidR="00325655" w:rsidRPr="002E3F02" w:rsidRDefault="00325655" w:rsidP="00857373">
            <w:pPr>
              <w:jc w:val="center"/>
              <w:rPr>
                <w:bCs/>
              </w:rPr>
            </w:pPr>
          </w:p>
        </w:tc>
        <w:tc>
          <w:tcPr>
            <w:tcW w:w="1117" w:type="dxa"/>
            <w:shd w:val="clear" w:color="auto" w:fill="auto"/>
          </w:tcPr>
          <w:p w14:paraId="52797779" w14:textId="77777777" w:rsidR="00325655" w:rsidRPr="0091499C" w:rsidRDefault="00325655" w:rsidP="00857373">
            <w:pPr>
              <w:jc w:val="center"/>
              <w:rPr>
                <w:b/>
              </w:rPr>
            </w:pPr>
          </w:p>
        </w:tc>
        <w:tc>
          <w:tcPr>
            <w:tcW w:w="1176" w:type="dxa"/>
            <w:shd w:val="clear" w:color="auto" w:fill="auto"/>
          </w:tcPr>
          <w:p w14:paraId="18E9324E" w14:textId="77777777" w:rsidR="00325655" w:rsidRPr="0091499C" w:rsidRDefault="00325655" w:rsidP="00857373">
            <w:pPr>
              <w:jc w:val="center"/>
              <w:rPr>
                <w:b/>
              </w:rPr>
            </w:pPr>
          </w:p>
        </w:tc>
        <w:tc>
          <w:tcPr>
            <w:tcW w:w="1088" w:type="dxa"/>
            <w:shd w:val="clear" w:color="auto" w:fill="auto"/>
          </w:tcPr>
          <w:p w14:paraId="453B898A" w14:textId="670A6931" w:rsidR="00325655" w:rsidRPr="0091499C" w:rsidRDefault="0091499C" w:rsidP="00857373">
            <w:pPr>
              <w:jc w:val="center"/>
              <w:rPr>
                <w:b/>
              </w:rPr>
            </w:pPr>
            <w:r w:rsidRPr="0091499C">
              <w:rPr>
                <w:b/>
              </w:rPr>
              <w:t>X</w:t>
            </w:r>
          </w:p>
        </w:tc>
        <w:tc>
          <w:tcPr>
            <w:tcW w:w="1612" w:type="dxa"/>
          </w:tcPr>
          <w:p w14:paraId="18185D9C" w14:textId="77777777" w:rsidR="00325655" w:rsidRPr="002E3F02" w:rsidRDefault="00325655" w:rsidP="00857373">
            <w:pPr>
              <w:jc w:val="center"/>
              <w:rPr>
                <w:bCs/>
              </w:rPr>
            </w:pPr>
          </w:p>
        </w:tc>
      </w:tr>
      <w:tr w:rsidR="00325655" w14:paraId="4431D18D" w14:textId="77777777" w:rsidTr="00F36C13">
        <w:tc>
          <w:tcPr>
            <w:tcW w:w="9350" w:type="dxa"/>
            <w:gridSpan w:val="6"/>
            <w:shd w:val="clear" w:color="auto" w:fill="BDD6EE" w:themeFill="accent1" w:themeFillTint="66"/>
          </w:tcPr>
          <w:p w14:paraId="1D93A51B" w14:textId="77777777" w:rsidR="00325655" w:rsidRDefault="00325655" w:rsidP="00857373">
            <w:pPr>
              <w:rPr>
                <w:b/>
              </w:rPr>
            </w:pPr>
            <w:r>
              <w:rPr>
                <w:b/>
              </w:rPr>
              <w:lastRenderedPageBreak/>
              <w:t>Parent &amp; Community Engagement</w:t>
            </w:r>
          </w:p>
        </w:tc>
      </w:tr>
      <w:tr w:rsidR="00325655" w:rsidRPr="002E3F02" w14:paraId="3A607E25" w14:textId="77777777" w:rsidTr="00F36C13">
        <w:tc>
          <w:tcPr>
            <w:tcW w:w="3190" w:type="dxa"/>
            <w:shd w:val="clear" w:color="auto" w:fill="auto"/>
          </w:tcPr>
          <w:p w14:paraId="4640F8C5" w14:textId="77777777" w:rsidR="00325655" w:rsidRDefault="00325655" w:rsidP="00857373">
            <w:pPr>
              <w:jc w:val="right"/>
              <w:rPr>
                <w:bCs/>
              </w:rPr>
            </w:pPr>
            <w:r>
              <w:rPr>
                <w:bCs/>
              </w:rPr>
              <w:t>Target 1</w:t>
            </w:r>
          </w:p>
        </w:tc>
        <w:tc>
          <w:tcPr>
            <w:tcW w:w="1167" w:type="dxa"/>
            <w:shd w:val="clear" w:color="auto" w:fill="auto"/>
          </w:tcPr>
          <w:p w14:paraId="459482A5" w14:textId="77777777" w:rsidR="00325655" w:rsidRPr="002E3F02" w:rsidRDefault="00325655" w:rsidP="00857373">
            <w:pPr>
              <w:jc w:val="center"/>
              <w:rPr>
                <w:bCs/>
              </w:rPr>
            </w:pPr>
          </w:p>
        </w:tc>
        <w:tc>
          <w:tcPr>
            <w:tcW w:w="1117" w:type="dxa"/>
            <w:shd w:val="clear" w:color="auto" w:fill="auto"/>
          </w:tcPr>
          <w:p w14:paraId="6D64CF0D" w14:textId="15727344" w:rsidR="00325655" w:rsidRPr="0091499C" w:rsidRDefault="0091499C" w:rsidP="00857373">
            <w:pPr>
              <w:jc w:val="center"/>
              <w:rPr>
                <w:b/>
              </w:rPr>
            </w:pPr>
            <w:r w:rsidRPr="0091499C">
              <w:rPr>
                <w:b/>
              </w:rPr>
              <w:t>X</w:t>
            </w:r>
          </w:p>
        </w:tc>
        <w:tc>
          <w:tcPr>
            <w:tcW w:w="1176" w:type="dxa"/>
            <w:shd w:val="clear" w:color="auto" w:fill="auto"/>
          </w:tcPr>
          <w:p w14:paraId="4F682121" w14:textId="77777777" w:rsidR="00325655" w:rsidRPr="0091499C" w:rsidRDefault="00325655" w:rsidP="00857373">
            <w:pPr>
              <w:jc w:val="center"/>
              <w:rPr>
                <w:b/>
              </w:rPr>
            </w:pPr>
          </w:p>
        </w:tc>
        <w:tc>
          <w:tcPr>
            <w:tcW w:w="1088" w:type="dxa"/>
            <w:shd w:val="clear" w:color="auto" w:fill="auto"/>
          </w:tcPr>
          <w:p w14:paraId="68CBCF1E" w14:textId="77777777" w:rsidR="00325655" w:rsidRPr="0091499C" w:rsidRDefault="00325655" w:rsidP="00857373">
            <w:pPr>
              <w:jc w:val="center"/>
              <w:rPr>
                <w:b/>
              </w:rPr>
            </w:pPr>
          </w:p>
        </w:tc>
        <w:tc>
          <w:tcPr>
            <w:tcW w:w="1612" w:type="dxa"/>
          </w:tcPr>
          <w:p w14:paraId="6DD5B3D2" w14:textId="77777777" w:rsidR="00325655" w:rsidRPr="002E3F02" w:rsidRDefault="00325655" w:rsidP="00857373">
            <w:pPr>
              <w:jc w:val="center"/>
              <w:rPr>
                <w:bCs/>
              </w:rPr>
            </w:pPr>
          </w:p>
        </w:tc>
      </w:tr>
      <w:tr w:rsidR="00325655" w:rsidRPr="002E3F02" w14:paraId="0C2D1C49" w14:textId="77777777" w:rsidTr="00F36C13">
        <w:tc>
          <w:tcPr>
            <w:tcW w:w="3190" w:type="dxa"/>
            <w:shd w:val="clear" w:color="auto" w:fill="auto"/>
          </w:tcPr>
          <w:p w14:paraId="22D418DA" w14:textId="77777777" w:rsidR="00325655" w:rsidRDefault="00325655" w:rsidP="00857373">
            <w:pPr>
              <w:jc w:val="right"/>
              <w:rPr>
                <w:bCs/>
              </w:rPr>
            </w:pPr>
            <w:r>
              <w:rPr>
                <w:bCs/>
              </w:rPr>
              <w:t>Target 2</w:t>
            </w:r>
          </w:p>
        </w:tc>
        <w:tc>
          <w:tcPr>
            <w:tcW w:w="1167" w:type="dxa"/>
            <w:shd w:val="clear" w:color="auto" w:fill="auto"/>
          </w:tcPr>
          <w:p w14:paraId="3DCA1AA5" w14:textId="77777777" w:rsidR="00325655" w:rsidRPr="002E3F02" w:rsidRDefault="00325655" w:rsidP="00857373">
            <w:pPr>
              <w:jc w:val="center"/>
              <w:rPr>
                <w:bCs/>
              </w:rPr>
            </w:pPr>
          </w:p>
        </w:tc>
        <w:tc>
          <w:tcPr>
            <w:tcW w:w="1117" w:type="dxa"/>
            <w:shd w:val="clear" w:color="auto" w:fill="auto"/>
          </w:tcPr>
          <w:p w14:paraId="0D6CEF4E" w14:textId="62BCB1D8" w:rsidR="00325655" w:rsidRPr="0091499C" w:rsidRDefault="0091499C" w:rsidP="00857373">
            <w:pPr>
              <w:jc w:val="center"/>
              <w:rPr>
                <w:b/>
              </w:rPr>
            </w:pPr>
            <w:r w:rsidRPr="0091499C">
              <w:rPr>
                <w:b/>
              </w:rPr>
              <w:t>X</w:t>
            </w:r>
          </w:p>
        </w:tc>
        <w:tc>
          <w:tcPr>
            <w:tcW w:w="1176" w:type="dxa"/>
            <w:shd w:val="clear" w:color="auto" w:fill="auto"/>
          </w:tcPr>
          <w:p w14:paraId="27254221" w14:textId="77777777" w:rsidR="00325655" w:rsidRPr="0091499C" w:rsidRDefault="00325655" w:rsidP="00857373">
            <w:pPr>
              <w:jc w:val="center"/>
              <w:rPr>
                <w:b/>
              </w:rPr>
            </w:pPr>
          </w:p>
        </w:tc>
        <w:tc>
          <w:tcPr>
            <w:tcW w:w="1088" w:type="dxa"/>
            <w:shd w:val="clear" w:color="auto" w:fill="auto"/>
          </w:tcPr>
          <w:p w14:paraId="5B66A7B4" w14:textId="77777777" w:rsidR="00325655" w:rsidRPr="0091499C" w:rsidRDefault="00325655" w:rsidP="00857373">
            <w:pPr>
              <w:jc w:val="center"/>
              <w:rPr>
                <w:b/>
              </w:rPr>
            </w:pPr>
          </w:p>
        </w:tc>
        <w:tc>
          <w:tcPr>
            <w:tcW w:w="1612" w:type="dxa"/>
          </w:tcPr>
          <w:p w14:paraId="0C3C9BAE" w14:textId="77777777" w:rsidR="00325655" w:rsidRPr="002E3F02" w:rsidRDefault="00325655" w:rsidP="00857373">
            <w:pPr>
              <w:jc w:val="center"/>
              <w:rPr>
                <w:bCs/>
              </w:rPr>
            </w:pPr>
          </w:p>
        </w:tc>
      </w:tr>
      <w:tr w:rsidR="00325655" w:rsidRPr="002E3F02" w14:paraId="18B7B614" w14:textId="77777777" w:rsidTr="00F36C13">
        <w:tc>
          <w:tcPr>
            <w:tcW w:w="3190" w:type="dxa"/>
            <w:shd w:val="clear" w:color="auto" w:fill="auto"/>
          </w:tcPr>
          <w:p w14:paraId="39A2C73B" w14:textId="77777777" w:rsidR="00325655" w:rsidRDefault="00325655" w:rsidP="00857373">
            <w:pPr>
              <w:jc w:val="right"/>
              <w:rPr>
                <w:bCs/>
              </w:rPr>
            </w:pPr>
            <w:r>
              <w:rPr>
                <w:bCs/>
              </w:rPr>
              <w:t>Target 3</w:t>
            </w:r>
          </w:p>
        </w:tc>
        <w:tc>
          <w:tcPr>
            <w:tcW w:w="1167" w:type="dxa"/>
            <w:shd w:val="clear" w:color="auto" w:fill="auto"/>
          </w:tcPr>
          <w:p w14:paraId="34C1EA71" w14:textId="77777777" w:rsidR="00325655" w:rsidRPr="002E3F02" w:rsidRDefault="00325655" w:rsidP="00857373">
            <w:pPr>
              <w:jc w:val="center"/>
              <w:rPr>
                <w:bCs/>
              </w:rPr>
            </w:pPr>
          </w:p>
        </w:tc>
        <w:tc>
          <w:tcPr>
            <w:tcW w:w="1117" w:type="dxa"/>
            <w:shd w:val="clear" w:color="auto" w:fill="auto"/>
          </w:tcPr>
          <w:p w14:paraId="0E4BB9E2" w14:textId="77777777" w:rsidR="00325655" w:rsidRPr="0091499C" w:rsidRDefault="00325655" w:rsidP="00857373">
            <w:pPr>
              <w:jc w:val="center"/>
              <w:rPr>
                <w:b/>
              </w:rPr>
            </w:pPr>
          </w:p>
        </w:tc>
        <w:tc>
          <w:tcPr>
            <w:tcW w:w="1176" w:type="dxa"/>
            <w:shd w:val="clear" w:color="auto" w:fill="auto"/>
          </w:tcPr>
          <w:p w14:paraId="0A26DBDC" w14:textId="77777777" w:rsidR="00325655" w:rsidRPr="0091499C" w:rsidRDefault="00325655" w:rsidP="00857373">
            <w:pPr>
              <w:jc w:val="center"/>
              <w:rPr>
                <w:b/>
              </w:rPr>
            </w:pPr>
          </w:p>
        </w:tc>
        <w:tc>
          <w:tcPr>
            <w:tcW w:w="1088" w:type="dxa"/>
            <w:shd w:val="clear" w:color="auto" w:fill="auto"/>
          </w:tcPr>
          <w:p w14:paraId="0FCD48B6" w14:textId="7BFFA9DF" w:rsidR="00325655" w:rsidRPr="0091499C" w:rsidRDefault="0091499C" w:rsidP="00857373">
            <w:pPr>
              <w:jc w:val="center"/>
              <w:rPr>
                <w:b/>
              </w:rPr>
            </w:pPr>
            <w:r w:rsidRPr="0091499C">
              <w:rPr>
                <w:b/>
              </w:rPr>
              <w:t>X</w:t>
            </w:r>
          </w:p>
        </w:tc>
        <w:tc>
          <w:tcPr>
            <w:tcW w:w="1612" w:type="dxa"/>
          </w:tcPr>
          <w:p w14:paraId="516B3406" w14:textId="77777777" w:rsidR="00325655" w:rsidRPr="002E3F02" w:rsidRDefault="00325655" w:rsidP="00857373">
            <w:pPr>
              <w:jc w:val="center"/>
              <w:rPr>
                <w:bCs/>
              </w:rPr>
            </w:pPr>
          </w:p>
        </w:tc>
      </w:tr>
      <w:tr w:rsidR="00325655" w:rsidRPr="002E3F02" w14:paraId="05DFF74A" w14:textId="77777777" w:rsidTr="00F36C13">
        <w:tc>
          <w:tcPr>
            <w:tcW w:w="3190" w:type="dxa"/>
            <w:shd w:val="clear" w:color="auto" w:fill="auto"/>
          </w:tcPr>
          <w:p w14:paraId="5AD0E652" w14:textId="77777777" w:rsidR="00325655" w:rsidRDefault="00325655" w:rsidP="00857373">
            <w:pPr>
              <w:jc w:val="right"/>
              <w:rPr>
                <w:bCs/>
              </w:rPr>
            </w:pPr>
            <w:r>
              <w:rPr>
                <w:bCs/>
              </w:rPr>
              <w:t>Target 4</w:t>
            </w:r>
          </w:p>
        </w:tc>
        <w:tc>
          <w:tcPr>
            <w:tcW w:w="1167" w:type="dxa"/>
            <w:shd w:val="clear" w:color="auto" w:fill="auto"/>
          </w:tcPr>
          <w:p w14:paraId="1B20B574" w14:textId="77777777" w:rsidR="00325655" w:rsidRPr="002E3F02" w:rsidRDefault="00325655" w:rsidP="00857373">
            <w:pPr>
              <w:jc w:val="center"/>
              <w:rPr>
                <w:bCs/>
              </w:rPr>
            </w:pPr>
          </w:p>
        </w:tc>
        <w:tc>
          <w:tcPr>
            <w:tcW w:w="1117" w:type="dxa"/>
            <w:shd w:val="clear" w:color="auto" w:fill="auto"/>
          </w:tcPr>
          <w:p w14:paraId="50DDD890" w14:textId="1A24BA43" w:rsidR="00325655" w:rsidRPr="0091499C" w:rsidRDefault="0091499C" w:rsidP="00857373">
            <w:pPr>
              <w:jc w:val="center"/>
              <w:rPr>
                <w:b/>
              </w:rPr>
            </w:pPr>
            <w:r w:rsidRPr="0091499C">
              <w:rPr>
                <w:b/>
              </w:rPr>
              <w:t>X</w:t>
            </w:r>
          </w:p>
        </w:tc>
        <w:tc>
          <w:tcPr>
            <w:tcW w:w="1176" w:type="dxa"/>
            <w:shd w:val="clear" w:color="auto" w:fill="auto"/>
          </w:tcPr>
          <w:p w14:paraId="69C9F9B5" w14:textId="77777777" w:rsidR="00325655" w:rsidRPr="0091499C" w:rsidRDefault="00325655" w:rsidP="00857373">
            <w:pPr>
              <w:jc w:val="center"/>
              <w:rPr>
                <w:b/>
              </w:rPr>
            </w:pPr>
          </w:p>
        </w:tc>
        <w:tc>
          <w:tcPr>
            <w:tcW w:w="1088" w:type="dxa"/>
            <w:shd w:val="clear" w:color="auto" w:fill="auto"/>
          </w:tcPr>
          <w:p w14:paraId="047D7617" w14:textId="77777777" w:rsidR="00325655" w:rsidRPr="0091499C" w:rsidRDefault="00325655" w:rsidP="00857373">
            <w:pPr>
              <w:jc w:val="center"/>
              <w:rPr>
                <w:b/>
              </w:rPr>
            </w:pPr>
          </w:p>
        </w:tc>
        <w:tc>
          <w:tcPr>
            <w:tcW w:w="1612" w:type="dxa"/>
          </w:tcPr>
          <w:p w14:paraId="5C2801F5" w14:textId="77777777" w:rsidR="00325655" w:rsidRPr="002E3F02" w:rsidRDefault="00325655" w:rsidP="00857373">
            <w:pPr>
              <w:jc w:val="center"/>
              <w:rPr>
                <w:bCs/>
              </w:rPr>
            </w:pPr>
          </w:p>
        </w:tc>
      </w:tr>
    </w:tbl>
    <w:p w14:paraId="6F1C96A0" w14:textId="4ACE52BF" w:rsidR="006955DC" w:rsidRDefault="006955DC" w:rsidP="00090403"/>
    <w:p w14:paraId="684943F9" w14:textId="77777777" w:rsidR="00C27942" w:rsidRDefault="00C27942" w:rsidP="00090403"/>
    <w:tbl>
      <w:tblPr>
        <w:tblStyle w:val="TableGrid"/>
        <w:tblW w:w="0" w:type="auto"/>
        <w:tblLook w:val="04A0" w:firstRow="1" w:lastRow="0" w:firstColumn="1" w:lastColumn="0" w:noHBand="0" w:noVBand="1"/>
      </w:tblPr>
      <w:tblGrid>
        <w:gridCol w:w="9350"/>
      </w:tblGrid>
      <w:tr w:rsidR="00D77A2A" w14:paraId="2ABD727A" w14:textId="77777777" w:rsidTr="00FF4A56">
        <w:tc>
          <w:tcPr>
            <w:tcW w:w="9350" w:type="dxa"/>
            <w:shd w:val="clear" w:color="auto" w:fill="800000"/>
          </w:tcPr>
          <w:p w14:paraId="282190D1" w14:textId="24537295" w:rsidR="00D77A2A" w:rsidRDefault="00D77A2A" w:rsidP="00FF4A56">
            <w:pPr>
              <w:rPr>
                <w:rFonts w:cs="Arial"/>
                <w:sz w:val="28"/>
                <w:szCs w:val="28"/>
              </w:rPr>
            </w:pPr>
            <w:r>
              <w:rPr>
                <w:rFonts w:cs="Arial"/>
                <w:sz w:val="28"/>
                <w:szCs w:val="28"/>
              </w:rPr>
              <w:t xml:space="preserve">Section </w:t>
            </w:r>
            <w:r w:rsidR="00CD351A">
              <w:rPr>
                <w:rFonts w:cs="Arial"/>
                <w:sz w:val="28"/>
                <w:szCs w:val="28"/>
              </w:rPr>
              <w:t>2</w:t>
            </w:r>
            <w:r>
              <w:rPr>
                <w:rFonts w:cs="Arial"/>
                <w:sz w:val="28"/>
                <w:szCs w:val="28"/>
              </w:rPr>
              <w:t>: Demographics</w:t>
            </w:r>
          </w:p>
        </w:tc>
      </w:tr>
    </w:tbl>
    <w:p w14:paraId="40DD6FE9" w14:textId="77777777" w:rsidR="00D77A2A" w:rsidRPr="008F0410" w:rsidRDefault="00D77A2A" w:rsidP="00D77A2A">
      <w:pPr>
        <w:rPr>
          <w:rFonts w:cs="Arial"/>
          <w:sz w:val="24"/>
          <w:szCs w:val="24"/>
        </w:rPr>
      </w:pPr>
    </w:p>
    <w:p w14:paraId="0A1B2353" w14:textId="7958B595" w:rsidR="00D77A2A" w:rsidRDefault="00B66C24" w:rsidP="008D67A9">
      <w:pPr>
        <w:jc w:val="center"/>
      </w:pPr>
      <w:r>
        <w:rPr>
          <w:noProof/>
        </w:rPr>
        <w:drawing>
          <wp:inline distT="0" distB="0" distL="0" distR="0" wp14:anchorId="5079D091" wp14:editId="6C43244A">
            <wp:extent cx="4572000" cy="2743200"/>
            <wp:effectExtent l="0" t="0" r="0" b="0"/>
            <wp:docPr id="1" name="Chart 1">
              <a:extLst xmlns:a="http://schemas.openxmlformats.org/drawingml/2006/main">
                <a:ext uri="{FF2B5EF4-FFF2-40B4-BE49-F238E27FC236}">
                  <a16:creationId xmlns:a16="http://schemas.microsoft.com/office/drawing/2014/main" id="{2FA5DD1D-02F9-4A6E-AED8-0BEC5C7C4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9043D2" w14:textId="305F8157" w:rsidR="00B66C24" w:rsidRDefault="00B66C24" w:rsidP="008D67A9">
      <w:pPr>
        <w:jc w:val="center"/>
      </w:pPr>
    </w:p>
    <w:p w14:paraId="5AF1BDD2" w14:textId="070C0B9E" w:rsidR="00CD351A" w:rsidRDefault="00CD351A" w:rsidP="008D67A9">
      <w:pPr>
        <w:jc w:val="center"/>
      </w:pPr>
    </w:p>
    <w:p w14:paraId="74265635" w14:textId="77777777" w:rsidR="00CD351A" w:rsidRDefault="00CD351A" w:rsidP="008D67A9">
      <w:pPr>
        <w:jc w:val="center"/>
      </w:pPr>
    </w:p>
    <w:p w14:paraId="1837D8F1" w14:textId="7241B576" w:rsidR="00B66C24" w:rsidRDefault="00E44EA7" w:rsidP="008D67A9">
      <w:pPr>
        <w:jc w:val="center"/>
      </w:pPr>
      <w:r>
        <w:rPr>
          <w:noProof/>
        </w:rPr>
        <w:drawing>
          <wp:inline distT="0" distB="0" distL="0" distR="0" wp14:anchorId="5C7FB529" wp14:editId="2A55E08E">
            <wp:extent cx="4572000" cy="2743200"/>
            <wp:effectExtent l="0" t="0" r="0" b="0"/>
            <wp:docPr id="3" name="Chart 3">
              <a:extLst xmlns:a="http://schemas.openxmlformats.org/drawingml/2006/main">
                <a:ext uri="{FF2B5EF4-FFF2-40B4-BE49-F238E27FC236}">
                  <a16:creationId xmlns:a16="http://schemas.microsoft.com/office/drawing/2014/main" id="{882945FE-B4CE-4899-AB44-F889D727B4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DB65BB" w14:textId="44DA9D10" w:rsidR="00E44EA7" w:rsidRDefault="00E44EA7" w:rsidP="008D67A9">
      <w:pPr>
        <w:jc w:val="center"/>
      </w:pPr>
    </w:p>
    <w:p w14:paraId="11C83865" w14:textId="41FE7572" w:rsidR="00E44EA7" w:rsidRDefault="00E44EA7" w:rsidP="008D67A9">
      <w:pPr>
        <w:jc w:val="center"/>
      </w:pPr>
      <w:r>
        <w:rPr>
          <w:noProof/>
        </w:rPr>
        <w:lastRenderedPageBreak/>
        <w:drawing>
          <wp:inline distT="0" distB="0" distL="0" distR="0" wp14:anchorId="37C3D5A3" wp14:editId="6EE792EC">
            <wp:extent cx="4572000" cy="2743200"/>
            <wp:effectExtent l="0" t="0" r="0" b="0"/>
            <wp:docPr id="5" name="Chart 5">
              <a:extLst xmlns:a="http://schemas.openxmlformats.org/drawingml/2006/main">
                <a:ext uri="{FF2B5EF4-FFF2-40B4-BE49-F238E27FC236}">
                  <a16:creationId xmlns:a16="http://schemas.microsoft.com/office/drawing/2014/main" id="{CFF3BE5D-149B-4AFF-9E04-54A6A9B19D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EC76D8" w14:textId="7DC616BA" w:rsidR="00E44EA7" w:rsidRDefault="00E44EA7" w:rsidP="008D67A9">
      <w:pPr>
        <w:jc w:val="center"/>
      </w:pPr>
    </w:p>
    <w:p w14:paraId="3362D7EE" w14:textId="720290C3" w:rsidR="00CD351A" w:rsidRDefault="00CD351A" w:rsidP="008D67A9">
      <w:pPr>
        <w:jc w:val="center"/>
      </w:pPr>
    </w:p>
    <w:p w14:paraId="677877BB" w14:textId="13963A8C" w:rsidR="00CD351A" w:rsidRDefault="00CD351A" w:rsidP="008D67A9">
      <w:pPr>
        <w:jc w:val="center"/>
      </w:pPr>
    </w:p>
    <w:p w14:paraId="0550B8C5" w14:textId="04CD21FB" w:rsidR="00CD351A" w:rsidRDefault="00CD351A" w:rsidP="008D67A9">
      <w:pPr>
        <w:jc w:val="center"/>
      </w:pPr>
    </w:p>
    <w:p w14:paraId="4C9D4771" w14:textId="48CA88CD" w:rsidR="00CD351A" w:rsidRDefault="00CD351A" w:rsidP="008D67A9">
      <w:pPr>
        <w:jc w:val="center"/>
      </w:pPr>
    </w:p>
    <w:p w14:paraId="1CEEF6A5" w14:textId="1678C713" w:rsidR="00CD351A" w:rsidRDefault="00CD351A" w:rsidP="008D67A9">
      <w:pPr>
        <w:jc w:val="center"/>
      </w:pPr>
    </w:p>
    <w:p w14:paraId="3279E10C" w14:textId="08BB453B" w:rsidR="00CD351A" w:rsidRDefault="00CD351A" w:rsidP="008D67A9">
      <w:pPr>
        <w:jc w:val="center"/>
      </w:pPr>
    </w:p>
    <w:p w14:paraId="135BA0EF" w14:textId="3D39A2A7" w:rsidR="00CD351A" w:rsidRDefault="00CD351A" w:rsidP="008D67A9">
      <w:pPr>
        <w:jc w:val="center"/>
      </w:pPr>
    </w:p>
    <w:p w14:paraId="6721B27D" w14:textId="12C94CBD" w:rsidR="00CD351A" w:rsidRDefault="00CD351A" w:rsidP="008D67A9">
      <w:pPr>
        <w:jc w:val="center"/>
      </w:pPr>
    </w:p>
    <w:p w14:paraId="4F91B4A4" w14:textId="23CBEA72" w:rsidR="00CD351A" w:rsidRDefault="00CD351A" w:rsidP="008D67A9">
      <w:pPr>
        <w:jc w:val="center"/>
      </w:pPr>
    </w:p>
    <w:p w14:paraId="60EDDC59" w14:textId="77777777" w:rsidR="00CD351A" w:rsidRDefault="00CD351A" w:rsidP="008D67A9">
      <w:pPr>
        <w:jc w:val="center"/>
      </w:pPr>
    </w:p>
    <w:p w14:paraId="70049CF2" w14:textId="79DF6FD5" w:rsidR="00E44EA7" w:rsidRDefault="00420D27" w:rsidP="008D67A9">
      <w:pPr>
        <w:jc w:val="center"/>
      </w:pPr>
      <w:r>
        <w:rPr>
          <w:noProof/>
        </w:rPr>
        <w:drawing>
          <wp:inline distT="0" distB="0" distL="0" distR="0" wp14:anchorId="0BD2257C" wp14:editId="17F4CE35">
            <wp:extent cx="4572000" cy="2743200"/>
            <wp:effectExtent l="0" t="0" r="0" b="0"/>
            <wp:docPr id="6" name="Chart 6">
              <a:extLst xmlns:a="http://schemas.openxmlformats.org/drawingml/2006/main">
                <a:ext uri="{FF2B5EF4-FFF2-40B4-BE49-F238E27FC236}">
                  <a16:creationId xmlns:a16="http://schemas.microsoft.com/office/drawing/2014/main" id="{4293A975-D522-44EA-BD7F-29A246C11D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26ED49" w14:textId="77777777" w:rsidR="00D77A2A" w:rsidRDefault="00D77A2A" w:rsidP="008D67A9">
      <w:pPr>
        <w:jc w:val="center"/>
      </w:pPr>
    </w:p>
    <w:p w14:paraId="4669E3F5" w14:textId="77777777" w:rsidR="00D77A2A" w:rsidRDefault="00D77A2A" w:rsidP="008D67A9">
      <w:pPr>
        <w:jc w:val="center"/>
      </w:pPr>
    </w:p>
    <w:p w14:paraId="675B110F" w14:textId="77777777" w:rsidR="00D77A2A" w:rsidRDefault="00D77A2A" w:rsidP="008D67A9">
      <w:pPr>
        <w:jc w:val="center"/>
      </w:pPr>
    </w:p>
    <w:p w14:paraId="2BAA4B3C" w14:textId="77777777" w:rsidR="00D77A2A" w:rsidRDefault="00D77A2A" w:rsidP="008D67A9">
      <w:pPr>
        <w:jc w:val="center"/>
      </w:pPr>
    </w:p>
    <w:p w14:paraId="0C4F74BF" w14:textId="77777777" w:rsidR="00D77A2A" w:rsidRDefault="00D77A2A" w:rsidP="00B622C7"/>
    <w:tbl>
      <w:tblPr>
        <w:tblStyle w:val="TableGrid"/>
        <w:tblW w:w="0" w:type="auto"/>
        <w:tblLook w:val="04A0" w:firstRow="1" w:lastRow="0" w:firstColumn="1" w:lastColumn="0" w:noHBand="0" w:noVBand="1"/>
      </w:tblPr>
      <w:tblGrid>
        <w:gridCol w:w="9350"/>
      </w:tblGrid>
      <w:tr w:rsidR="003666FE" w14:paraId="7CE990DB" w14:textId="77777777" w:rsidTr="00FF4A56">
        <w:tc>
          <w:tcPr>
            <w:tcW w:w="9350" w:type="dxa"/>
            <w:shd w:val="clear" w:color="auto" w:fill="800000"/>
          </w:tcPr>
          <w:p w14:paraId="5F3E87B8" w14:textId="0CEF00C2" w:rsidR="003666FE" w:rsidRDefault="003666FE" w:rsidP="00FF4A56">
            <w:pPr>
              <w:rPr>
                <w:rFonts w:cs="Arial"/>
                <w:sz w:val="28"/>
                <w:szCs w:val="28"/>
              </w:rPr>
            </w:pPr>
            <w:r>
              <w:rPr>
                <w:rFonts w:cs="Arial"/>
                <w:sz w:val="28"/>
                <w:szCs w:val="28"/>
              </w:rPr>
              <w:lastRenderedPageBreak/>
              <w:t xml:space="preserve">Section </w:t>
            </w:r>
            <w:r w:rsidR="00CD351A">
              <w:rPr>
                <w:rFonts w:cs="Arial"/>
                <w:sz w:val="28"/>
                <w:szCs w:val="28"/>
              </w:rPr>
              <w:t>3</w:t>
            </w:r>
            <w:r>
              <w:rPr>
                <w:rFonts w:cs="Arial"/>
                <w:sz w:val="28"/>
                <w:szCs w:val="28"/>
              </w:rPr>
              <w:t>: Academic</w:t>
            </w:r>
            <w:r w:rsidR="0075337F">
              <w:rPr>
                <w:rFonts w:cs="Arial"/>
                <w:sz w:val="28"/>
                <w:szCs w:val="28"/>
              </w:rPr>
              <w:t xml:space="preserve"> Proficiency</w:t>
            </w:r>
          </w:p>
        </w:tc>
      </w:tr>
    </w:tbl>
    <w:p w14:paraId="4A26B6FC" w14:textId="77777777" w:rsidR="00D77A2A" w:rsidRDefault="00D77A2A" w:rsidP="00D77A2A">
      <w:pPr>
        <w:jc w:val="both"/>
        <w:rPr>
          <w:b/>
          <w:sz w:val="24"/>
          <w:szCs w:val="24"/>
          <w:u w:val="single"/>
        </w:rPr>
      </w:pPr>
    </w:p>
    <w:tbl>
      <w:tblPr>
        <w:tblW w:w="1080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2977"/>
        <w:gridCol w:w="3157"/>
        <w:gridCol w:w="1678"/>
      </w:tblGrid>
      <w:tr w:rsidR="005D6222" w14:paraId="2118DDF5" w14:textId="77777777" w:rsidTr="00614276">
        <w:tc>
          <w:tcPr>
            <w:tcW w:w="2988" w:type="dxa"/>
            <w:shd w:val="clear" w:color="auto" w:fill="C96772"/>
          </w:tcPr>
          <w:p w14:paraId="75B1CD7B" w14:textId="77777777" w:rsidR="005D6222" w:rsidRDefault="005D6222" w:rsidP="00857373">
            <w:pPr>
              <w:jc w:val="center"/>
              <w:rPr>
                <w:b/>
                <w:sz w:val="24"/>
                <w:szCs w:val="24"/>
              </w:rPr>
            </w:pPr>
            <w:r>
              <w:rPr>
                <w:b/>
                <w:sz w:val="24"/>
                <w:szCs w:val="24"/>
              </w:rPr>
              <w:t>Measure</w:t>
            </w:r>
          </w:p>
        </w:tc>
        <w:tc>
          <w:tcPr>
            <w:tcW w:w="2977" w:type="dxa"/>
            <w:shd w:val="clear" w:color="auto" w:fill="C96772"/>
          </w:tcPr>
          <w:p w14:paraId="4124CDA9" w14:textId="77777777" w:rsidR="005D6222" w:rsidRDefault="005D6222" w:rsidP="00857373">
            <w:pPr>
              <w:jc w:val="center"/>
              <w:rPr>
                <w:b/>
                <w:sz w:val="24"/>
                <w:szCs w:val="24"/>
              </w:rPr>
            </w:pPr>
            <w:r>
              <w:rPr>
                <w:b/>
                <w:sz w:val="24"/>
                <w:szCs w:val="24"/>
              </w:rPr>
              <w:t>Target</w:t>
            </w:r>
          </w:p>
        </w:tc>
        <w:tc>
          <w:tcPr>
            <w:tcW w:w="3157" w:type="dxa"/>
            <w:shd w:val="clear" w:color="auto" w:fill="C96772"/>
          </w:tcPr>
          <w:p w14:paraId="3BF2AE7A" w14:textId="77777777" w:rsidR="005D6222" w:rsidRDefault="005D6222" w:rsidP="00857373">
            <w:pPr>
              <w:jc w:val="center"/>
              <w:rPr>
                <w:b/>
                <w:sz w:val="24"/>
                <w:szCs w:val="24"/>
              </w:rPr>
            </w:pPr>
            <w:r>
              <w:rPr>
                <w:b/>
                <w:sz w:val="24"/>
                <w:szCs w:val="24"/>
              </w:rPr>
              <w:t>Results</w:t>
            </w:r>
          </w:p>
        </w:tc>
        <w:tc>
          <w:tcPr>
            <w:tcW w:w="1678" w:type="dxa"/>
            <w:shd w:val="clear" w:color="auto" w:fill="C96772"/>
          </w:tcPr>
          <w:p w14:paraId="681C4F3E" w14:textId="77777777" w:rsidR="005D6222" w:rsidRDefault="005D6222" w:rsidP="00857373">
            <w:pPr>
              <w:jc w:val="center"/>
              <w:rPr>
                <w:b/>
                <w:sz w:val="24"/>
                <w:szCs w:val="24"/>
              </w:rPr>
            </w:pPr>
          </w:p>
        </w:tc>
      </w:tr>
      <w:tr w:rsidR="005D6222" w14:paraId="4B6BFEB6" w14:textId="77777777" w:rsidTr="00614276">
        <w:tc>
          <w:tcPr>
            <w:tcW w:w="2988" w:type="dxa"/>
          </w:tcPr>
          <w:p w14:paraId="5207D113" w14:textId="77777777" w:rsidR="005D6222" w:rsidRDefault="005D6222" w:rsidP="00857373">
            <w:pPr>
              <w:rPr>
                <w:sz w:val="24"/>
                <w:szCs w:val="24"/>
              </w:rPr>
            </w:pPr>
            <w:r>
              <w:rPr>
                <w:sz w:val="24"/>
                <w:szCs w:val="24"/>
              </w:rPr>
              <w:t>Proficiency on State Assessments in reading</w:t>
            </w:r>
          </w:p>
        </w:tc>
        <w:tc>
          <w:tcPr>
            <w:tcW w:w="2977" w:type="dxa"/>
          </w:tcPr>
          <w:p w14:paraId="10ECB446" w14:textId="1E224E54" w:rsidR="005D6222" w:rsidRDefault="005D6222" w:rsidP="00857373">
            <w:pPr>
              <w:rPr>
                <w:sz w:val="24"/>
                <w:szCs w:val="24"/>
              </w:rPr>
            </w:pPr>
            <w:r>
              <w:rPr>
                <w:sz w:val="24"/>
                <w:szCs w:val="24"/>
              </w:rPr>
              <w:t xml:space="preserve">Percentage of tested students </w:t>
            </w:r>
            <w:r w:rsidR="00447FC6">
              <w:rPr>
                <w:sz w:val="24"/>
                <w:szCs w:val="24"/>
              </w:rPr>
              <w:t>meeting or exceeding state expectations</w:t>
            </w:r>
            <w:r>
              <w:rPr>
                <w:sz w:val="24"/>
                <w:szCs w:val="24"/>
              </w:rPr>
              <w:t xml:space="preserve"> on the ELA portion on the MEA will increase annually, reaching 38% at Division 1 </w:t>
            </w:r>
            <w:r w:rsidR="00F025EC">
              <w:rPr>
                <w:sz w:val="24"/>
                <w:szCs w:val="24"/>
              </w:rPr>
              <w:t>by</w:t>
            </w:r>
            <w:r>
              <w:rPr>
                <w:sz w:val="24"/>
                <w:szCs w:val="24"/>
              </w:rPr>
              <w:t xml:space="preserve"> the end of 2021-22.</w:t>
            </w:r>
          </w:p>
        </w:tc>
        <w:tc>
          <w:tcPr>
            <w:tcW w:w="3157" w:type="dxa"/>
          </w:tcPr>
          <w:p w14:paraId="63CCAA42" w14:textId="77777777" w:rsidR="005D6222" w:rsidRDefault="005D6222" w:rsidP="00857373">
            <w:pPr>
              <w:rPr>
                <w:sz w:val="24"/>
                <w:szCs w:val="24"/>
                <w:u w:val="single"/>
              </w:rPr>
            </w:pPr>
            <w:r>
              <w:rPr>
                <w:sz w:val="24"/>
                <w:szCs w:val="24"/>
                <w:u w:val="single"/>
              </w:rPr>
              <w:t>Division 1:</w:t>
            </w:r>
          </w:p>
          <w:p w14:paraId="68EAE828" w14:textId="4CEECC86" w:rsidR="00261B6F" w:rsidRDefault="00261B6F" w:rsidP="00857373">
            <w:pPr>
              <w:rPr>
                <w:sz w:val="24"/>
                <w:szCs w:val="24"/>
              </w:rPr>
            </w:pPr>
            <w:r>
              <w:rPr>
                <w:sz w:val="24"/>
                <w:szCs w:val="24"/>
              </w:rPr>
              <w:t>C</w:t>
            </w:r>
            <w:r w:rsidR="005D6222">
              <w:rPr>
                <w:sz w:val="24"/>
                <w:szCs w:val="24"/>
              </w:rPr>
              <w:t>hange from 201</w:t>
            </w:r>
            <w:r w:rsidR="00A757FD">
              <w:rPr>
                <w:sz w:val="24"/>
                <w:szCs w:val="24"/>
              </w:rPr>
              <w:t>8</w:t>
            </w:r>
            <w:r w:rsidR="005D6222">
              <w:rPr>
                <w:sz w:val="24"/>
                <w:szCs w:val="24"/>
              </w:rPr>
              <w:t xml:space="preserve"> to 201</w:t>
            </w:r>
            <w:r w:rsidR="00FA67F4">
              <w:rPr>
                <w:sz w:val="24"/>
                <w:szCs w:val="24"/>
              </w:rPr>
              <w:t>9</w:t>
            </w:r>
            <w:r w:rsidR="005D6222">
              <w:rPr>
                <w:sz w:val="24"/>
                <w:szCs w:val="24"/>
              </w:rPr>
              <w:t xml:space="preserve"> MEA =</w:t>
            </w:r>
            <w:r>
              <w:rPr>
                <w:sz w:val="24"/>
                <w:szCs w:val="24"/>
              </w:rPr>
              <w:t xml:space="preserve"> -4</w:t>
            </w:r>
          </w:p>
          <w:p w14:paraId="64AEADEB" w14:textId="3F82F4A9" w:rsidR="005D6222" w:rsidRDefault="005D6222" w:rsidP="00857373">
            <w:pPr>
              <w:rPr>
                <w:sz w:val="24"/>
                <w:szCs w:val="24"/>
              </w:rPr>
            </w:pPr>
            <w:r>
              <w:rPr>
                <w:sz w:val="24"/>
                <w:szCs w:val="24"/>
              </w:rPr>
              <w:t xml:space="preserve">Total </w:t>
            </w:r>
            <w:r w:rsidR="00614276">
              <w:rPr>
                <w:sz w:val="24"/>
                <w:szCs w:val="24"/>
              </w:rPr>
              <w:t>meeting or exceeding</w:t>
            </w:r>
            <w:r w:rsidR="001F5196">
              <w:rPr>
                <w:sz w:val="24"/>
                <w:szCs w:val="24"/>
              </w:rPr>
              <w:t xml:space="preserve"> state expectations</w:t>
            </w:r>
            <w:r>
              <w:rPr>
                <w:sz w:val="24"/>
                <w:szCs w:val="24"/>
              </w:rPr>
              <w:t xml:space="preserve"> in 201</w:t>
            </w:r>
            <w:r w:rsidR="00A757FD">
              <w:rPr>
                <w:sz w:val="24"/>
                <w:szCs w:val="24"/>
              </w:rPr>
              <w:t>9</w:t>
            </w:r>
            <w:r>
              <w:rPr>
                <w:sz w:val="24"/>
                <w:szCs w:val="24"/>
              </w:rPr>
              <w:t xml:space="preserve">: </w:t>
            </w:r>
            <w:r w:rsidR="0066061A">
              <w:rPr>
                <w:sz w:val="24"/>
                <w:szCs w:val="24"/>
              </w:rPr>
              <w:t>32</w:t>
            </w:r>
            <w:r>
              <w:rPr>
                <w:sz w:val="24"/>
                <w:szCs w:val="24"/>
              </w:rPr>
              <w:t xml:space="preserve">% </w:t>
            </w:r>
          </w:p>
          <w:p w14:paraId="666BFEEC" w14:textId="6D595071" w:rsidR="005D6222" w:rsidRDefault="00614276" w:rsidP="00857373">
            <w:pPr>
              <w:rPr>
                <w:sz w:val="24"/>
                <w:szCs w:val="24"/>
              </w:rPr>
            </w:pPr>
            <w:r>
              <w:rPr>
                <w:sz w:val="24"/>
                <w:szCs w:val="24"/>
              </w:rPr>
              <w:t xml:space="preserve"> </w:t>
            </w:r>
          </w:p>
        </w:tc>
        <w:tc>
          <w:tcPr>
            <w:tcW w:w="1678" w:type="dxa"/>
          </w:tcPr>
          <w:p w14:paraId="581F7F85" w14:textId="59DD62CA" w:rsidR="005D6222" w:rsidRDefault="0066061A" w:rsidP="00857373">
            <w:pPr>
              <w:rPr>
                <w:sz w:val="24"/>
                <w:szCs w:val="24"/>
              </w:rPr>
            </w:pPr>
            <w:r>
              <w:rPr>
                <w:sz w:val="24"/>
                <w:szCs w:val="24"/>
              </w:rPr>
              <w:t>D</w:t>
            </w:r>
            <w:r w:rsidR="00B34DB0">
              <w:rPr>
                <w:sz w:val="24"/>
                <w:szCs w:val="24"/>
              </w:rPr>
              <w:t>id</w:t>
            </w:r>
            <w:r>
              <w:rPr>
                <w:sz w:val="24"/>
                <w:szCs w:val="24"/>
              </w:rPr>
              <w:t xml:space="preserve"> not meet</w:t>
            </w:r>
          </w:p>
        </w:tc>
      </w:tr>
      <w:tr w:rsidR="00F025EC" w14:paraId="7B147F49" w14:textId="77777777" w:rsidTr="00614276">
        <w:tc>
          <w:tcPr>
            <w:tcW w:w="2988" w:type="dxa"/>
          </w:tcPr>
          <w:p w14:paraId="29917419" w14:textId="77777777" w:rsidR="00F025EC" w:rsidRDefault="00F025EC" w:rsidP="00857373">
            <w:pPr>
              <w:rPr>
                <w:sz w:val="24"/>
                <w:szCs w:val="24"/>
              </w:rPr>
            </w:pPr>
          </w:p>
        </w:tc>
        <w:tc>
          <w:tcPr>
            <w:tcW w:w="2977" w:type="dxa"/>
          </w:tcPr>
          <w:p w14:paraId="4C1F9A87" w14:textId="75927EEC" w:rsidR="00F025EC" w:rsidRDefault="00F025EC" w:rsidP="00857373">
            <w:pPr>
              <w:rPr>
                <w:sz w:val="24"/>
                <w:szCs w:val="24"/>
              </w:rPr>
            </w:pPr>
            <w:r>
              <w:rPr>
                <w:sz w:val="24"/>
                <w:szCs w:val="24"/>
              </w:rPr>
              <w:t xml:space="preserve">Percentage of tested students meeting or exceeding state expectations on the ELA portion on the MEA will increase annually, reaching 38% at Division 2 </w:t>
            </w:r>
            <w:r w:rsidR="003E0ED9">
              <w:rPr>
                <w:sz w:val="24"/>
                <w:szCs w:val="24"/>
              </w:rPr>
              <w:t>by</w:t>
            </w:r>
            <w:r>
              <w:rPr>
                <w:sz w:val="24"/>
                <w:szCs w:val="24"/>
              </w:rPr>
              <w:t xml:space="preserve"> the end of 2021-22.</w:t>
            </w:r>
          </w:p>
        </w:tc>
        <w:tc>
          <w:tcPr>
            <w:tcW w:w="3157" w:type="dxa"/>
          </w:tcPr>
          <w:p w14:paraId="5E1F2C9D" w14:textId="77777777" w:rsidR="003E0ED9" w:rsidRDefault="003E0ED9" w:rsidP="003E0ED9">
            <w:pPr>
              <w:rPr>
                <w:sz w:val="24"/>
                <w:szCs w:val="24"/>
                <w:u w:val="single"/>
              </w:rPr>
            </w:pPr>
            <w:r>
              <w:rPr>
                <w:sz w:val="24"/>
                <w:szCs w:val="24"/>
                <w:u w:val="single"/>
              </w:rPr>
              <w:t>Division 2:</w:t>
            </w:r>
          </w:p>
          <w:p w14:paraId="7D1CD54A" w14:textId="529D271A" w:rsidR="00BC473C" w:rsidRDefault="003E0ED9" w:rsidP="003E0ED9">
            <w:pPr>
              <w:rPr>
                <w:sz w:val="24"/>
                <w:szCs w:val="24"/>
              </w:rPr>
            </w:pPr>
            <w:r>
              <w:rPr>
                <w:sz w:val="24"/>
                <w:szCs w:val="24"/>
              </w:rPr>
              <w:t xml:space="preserve">Change from 2018 to 2019 MEA = </w:t>
            </w:r>
            <w:r w:rsidR="00BC473C">
              <w:rPr>
                <w:sz w:val="24"/>
                <w:szCs w:val="24"/>
              </w:rPr>
              <w:t>Not Applicable- first year of data disaggregation by division</w:t>
            </w:r>
          </w:p>
          <w:p w14:paraId="737816C4" w14:textId="395CE8FA" w:rsidR="00F025EC" w:rsidRDefault="003E0ED9" w:rsidP="00857373">
            <w:pPr>
              <w:rPr>
                <w:sz w:val="24"/>
                <w:szCs w:val="24"/>
                <w:u w:val="single"/>
              </w:rPr>
            </w:pPr>
            <w:r>
              <w:rPr>
                <w:sz w:val="24"/>
                <w:szCs w:val="24"/>
              </w:rPr>
              <w:t>Total meeting or exceeding</w:t>
            </w:r>
            <w:r w:rsidR="00703C22">
              <w:rPr>
                <w:sz w:val="24"/>
                <w:szCs w:val="24"/>
              </w:rPr>
              <w:t xml:space="preserve"> state expectation</w:t>
            </w:r>
            <w:r>
              <w:rPr>
                <w:sz w:val="24"/>
                <w:szCs w:val="24"/>
              </w:rPr>
              <w:t xml:space="preserve"> in 2019: 27.6</w:t>
            </w:r>
            <w:r w:rsidR="001F5196">
              <w:rPr>
                <w:sz w:val="24"/>
                <w:szCs w:val="24"/>
              </w:rPr>
              <w:t>%</w:t>
            </w:r>
          </w:p>
        </w:tc>
        <w:tc>
          <w:tcPr>
            <w:tcW w:w="1678" w:type="dxa"/>
          </w:tcPr>
          <w:p w14:paraId="610E425B" w14:textId="4842B722" w:rsidR="00F025EC" w:rsidRDefault="00FE2CEC" w:rsidP="00857373">
            <w:pPr>
              <w:rPr>
                <w:sz w:val="24"/>
                <w:szCs w:val="24"/>
              </w:rPr>
            </w:pPr>
            <w:r>
              <w:rPr>
                <w:sz w:val="24"/>
                <w:szCs w:val="24"/>
              </w:rPr>
              <w:t>NA</w:t>
            </w:r>
          </w:p>
        </w:tc>
      </w:tr>
      <w:tr w:rsidR="00F025EC" w14:paraId="5EF53290" w14:textId="77777777" w:rsidTr="00614276">
        <w:tc>
          <w:tcPr>
            <w:tcW w:w="2988" w:type="dxa"/>
          </w:tcPr>
          <w:p w14:paraId="09176D74" w14:textId="77777777" w:rsidR="00F025EC" w:rsidRDefault="00F025EC" w:rsidP="00857373">
            <w:pPr>
              <w:rPr>
                <w:sz w:val="24"/>
                <w:szCs w:val="24"/>
              </w:rPr>
            </w:pPr>
            <w:r>
              <w:rPr>
                <w:sz w:val="24"/>
                <w:szCs w:val="24"/>
              </w:rPr>
              <w:t>Proficiency on State Assessments in math</w:t>
            </w:r>
          </w:p>
        </w:tc>
        <w:tc>
          <w:tcPr>
            <w:tcW w:w="2977" w:type="dxa"/>
          </w:tcPr>
          <w:p w14:paraId="62CEACBE" w14:textId="47FF27FA" w:rsidR="00F025EC" w:rsidRDefault="00F025EC" w:rsidP="00857373">
            <w:pPr>
              <w:rPr>
                <w:sz w:val="24"/>
                <w:szCs w:val="24"/>
              </w:rPr>
            </w:pPr>
            <w:r>
              <w:rPr>
                <w:sz w:val="24"/>
                <w:szCs w:val="24"/>
              </w:rPr>
              <w:t xml:space="preserve">Percentage of tested students meeting or exceeding state expectations on the math portion on the MEA will increase annually, reaching 16% at Division 1 </w:t>
            </w:r>
            <w:r w:rsidR="00D25296">
              <w:rPr>
                <w:sz w:val="24"/>
                <w:szCs w:val="24"/>
              </w:rPr>
              <w:t xml:space="preserve">by </w:t>
            </w:r>
            <w:r>
              <w:rPr>
                <w:sz w:val="24"/>
                <w:szCs w:val="24"/>
              </w:rPr>
              <w:t>the end of 2021-22.</w:t>
            </w:r>
          </w:p>
        </w:tc>
        <w:tc>
          <w:tcPr>
            <w:tcW w:w="3157" w:type="dxa"/>
          </w:tcPr>
          <w:p w14:paraId="2DC5D84E" w14:textId="77777777" w:rsidR="00F025EC" w:rsidRDefault="00F025EC" w:rsidP="00857373">
            <w:pPr>
              <w:rPr>
                <w:sz w:val="24"/>
                <w:szCs w:val="24"/>
                <w:u w:val="single"/>
              </w:rPr>
            </w:pPr>
            <w:r>
              <w:rPr>
                <w:sz w:val="24"/>
                <w:szCs w:val="24"/>
                <w:u w:val="single"/>
              </w:rPr>
              <w:t>Division 1:</w:t>
            </w:r>
          </w:p>
          <w:p w14:paraId="3D0A018A" w14:textId="4EC80AAC" w:rsidR="00F025EC" w:rsidRDefault="00F025EC" w:rsidP="00857373">
            <w:pPr>
              <w:rPr>
                <w:sz w:val="24"/>
                <w:szCs w:val="24"/>
              </w:rPr>
            </w:pPr>
            <w:r>
              <w:rPr>
                <w:sz w:val="24"/>
                <w:szCs w:val="24"/>
              </w:rPr>
              <w:t>Change from 2018 to 2019 MEA = -7</w:t>
            </w:r>
          </w:p>
          <w:p w14:paraId="405D6777" w14:textId="055D5561" w:rsidR="00F025EC" w:rsidRDefault="00F025EC" w:rsidP="00857373">
            <w:pPr>
              <w:rPr>
                <w:sz w:val="24"/>
                <w:szCs w:val="24"/>
              </w:rPr>
            </w:pPr>
            <w:r>
              <w:rPr>
                <w:sz w:val="24"/>
                <w:szCs w:val="24"/>
              </w:rPr>
              <w:t>Total meeting or exceeding</w:t>
            </w:r>
            <w:r w:rsidR="00703C22">
              <w:rPr>
                <w:sz w:val="24"/>
                <w:szCs w:val="24"/>
              </w:rPr>
              <w:t xml:space="preserve"> state expectation</w:t>
            </w:r>
            <w:r>
              <w:rPr>
                <w:sz w:val="24"/>
                <w:szCs w:val="24"/>
              </w:rPr>
              <w:t xml:space="preserve"> in 2019: 11% </w:t>
            </w:r>
          </w:p>
          <w:p w14:paraId="6B3774D8" w14:textId="557150E3" w:rsidR="00F025EC" w:rsidRDefault="00F025EC" w:rsidP="00857373">
            <w:pPr>
              <w:rPr>
                <w:sz w:val="24"/>
                <w:szCs w:val="24"/>
              </w:rPr>
            </w:pPr>
            <w:r>
              <w:rPr>
                <w:sz w:val="24"/>
                <w:szCs w:val="24"/>
              </w:rPr>
              <w:t xml:space="preserve"> </w:t>
            </w:r>
          </w:p>
        </w:tc>
        <w:tc>
          <w:tcPr>
            <w:tcW w:w="1678" w:type="dxa"/>
          </w:tcPr>
          <w:p w14:paraId="498A6FF0" w14:textId="63023C84" w:rsidR="00F025EC" w:rsidRDefault="00B34DB0" w:rsidP="00857373">
            <w:pPr>
              <w:rPr>
                <w:sz w:val="24"/>
                <w:szCs w:val="24"/>
              </w:rPr>
            </w:pPr>
            <w:r>
              <w:rPr>
                <w:sz w:val="24"/>
                <w:szCs w:val="24"/>
              </w:rPr>
              <w:t>Did</w:t>
            </w:r>
            <w:r w:rsidR="00E05F7D">
              <w:rPr>
                <w:sz w:val="24"/>
                <w:szCs w:val="24"/>
              </w:rPr>
              <w:t xml:space="preserve"> not meet</w:t>
            </w:r>
          </w:p>
        </w:tc>
      </w:tr>
      <w:tr w:rsidR="00BA7350" w14:paraId="4F91E2F4" w14:textId="77777777" w:rsidTr="00614276">
        <w:tc>
          <w:tcPr>
            <w:tcW w:w="2988" w:type="dxa"/>
          </w:tcPr>
          <w:p w14:paraId="09A0CF04" w14:textId="77777777" w:rsidR="00BA7350" w:rsidRDefault="00BA7350" w:rsidP="00857373">
            <w:pPr>
              <w:rPr>
                <w:sz w:val="24"/>
                <w:szCs w:val="24"/>
              </w:rPr>
            </w:pPr>
          </w:p>
        </w:tc>
        <w:tc>
          <w:tcPr>
            <w:tcW w:w="2977" w:type="dxa"/>
          </w:tcPr>
          <w:p w14:paraId="7932949B" w14:textId="72A16752" w:rsidR="00BA7350" w:rsidRDefault="00BA7350" w:rsidP="00857373">
            <w:pPr>
              <w:rPr>
                <w:sz w:val="24"/>
                <w:szCs w:val="24"/>
              </w:rPr>
            </w:pPr>
            <w:r>
              <w:rPr>
                <w:sz w:val="24"/>
                <w:szCs w:val="24"/>
              </w:rPr>
              <w:t xml:space="preserve">Percentage of tested students meeting or exceeding state expectations on the math portion on the MEA will increase annually, reaching 14% at Division 2 </w:t>
            </w:r>
            <w:r w:rsidR="00091F7C">
              <w:rPr>
                <w:sz w:val="24"/>
                <w:szCs w:val="24"/>
              </w:rPr>
              <w:t>by</w:t>
            </w:r>
            <w:r>
              <w:rPr>
                <w:sz w:val="24"/>
                <w:szCs w:val="24"/>
              </w:rPr>
              <w:t xml:space="preserve"> the end of 2021-22.</w:t>
            </w:r>
          </w:p>
        </w:tc>
        <w:tc>
          <w:tcPr>
            <w:tcW w:w="3157" w:type="dxa"/>
          </w:tcPr>
          <w:p w14:paraId="780269FF" w14:textId="77777777" w:rsidR="00091F7C" w:rsidRDefault="00091F7C" w:rsidP="00091F7C">
            <w:pPr>
              <w:rPr>
                <w:sz w:val="24"/>
                <w:szCs w:val="24"/>
                <w:u w:val="single"/>
              </w:rPr>
            </w:pPr>
            <w:r>
              <w:rPr>
                <w:sz w:val="24"/>
                <w:szCs w:val="24"/>
                <w:u w:val="single"/>
              </w:rPr>
              <w:t>Division 2:</w:t>
            </w:r>
          </w:p>
          <w:p w14:paraId="0A521EEC" w14:textId="77777777" w:rsidR="006273C4" w:rsidRDefault="00091F7C" w:rsidP="00385D06">
            <w:pPr>
              <w:rPr>
                <w:sz w:val="24"/>
                <w:szCs w:val="24"/>
              </w:rPr>
            </w:pPr>
            <w:r>
              <w:rPr>
                <w:sz w:val="24"/>
                <w:szCs w:val="24"/>
              </w:rPr>
              <w:t xml:space="preserve">Change from 2018 to 2019 MEA = </w:t>
            </w:r>
            <w:r w:rsidR="006273C4">
              <w:rPr>
                <w:sz w:val="24"/>
                <w:szCs w:val="24"/>
              </w:rPr>
              <w:t>Not Applicable- first year of data disaggregation by division</w:t>
            </w:r>
          </w:p>
          <w:p w14:paraId="247BFB71" w14:textId="0B790586" w:rsidR="00BA7350" w:rsidRDefault="00091F7C" w:rsidP="006273C4">
            <w:pPr>
              <w:rPr>
                <w:sz w:val="24"/>
                <w:szCs w:val="24"/>
                <w:u w:val="single"/>
              </w:rPr>
            </w:pPr>
            <w:r>
              <w:rPr>
                <w:sz w:val="24"/>
                <w:szCs w:val="24"/>
              </w:rPr>
              <w:t>Total meeting or exceeding</w:t>
            </w:r>
            <w:r w:rsidR="00703C22">
              <w:rPr>
                <w:sz w:val="24"/>
                <w:szCs w:val="24"/>
              </w:rPr>
              <w:t xml:space="preserve"> state expectation</w:t>
            </w:r>
            <w:r>
              <w:rPr>
                <w:sz w:val="24"/>
                <w:szCs w:val="24"/>
              </w:rPr>
              <w:t xml:space="preserve"> in 2019: 17.2</w:t>
            </w:r>
            <w:r w:rsidR="001F5196">
              <w:rPr>
                <w:sz w:val="24"/>
                <w:szCs w:val="24"/>
              </w:rPr>
              <w:t>%</w:t>
            </w:r>
          </w:p>
        </w:tc>
        <w:tc>
          <w:tcPr>
            <w:tcW w:w="1678" w:type="dxa"/>
          </w:tcPr>
          <w:p w14:paraId="4369DEB7" w14:textId="5D5E1809" w:rsidR="00BA7350" w:rsidRDefault="005A4B8D" w:rsidP="00857373">
            <w:pPr>
              <w:rPr>
                <w:sz w:val="24"/>
                <w:szCs w:val="24"/>
              </w:rPr>
            </w:pPr>
            <w:r>
              <w:rPr>
                <w:sz w:val="24"/>
                <w:szCs w:val="24"/>
              </w:rPr>
              <w:t>Exceed</w:t>
            </w:r>
            <w:r w:rsidR="00B34DB0">
              <w:rPr>
                <w:sz w:val="24"/>
                <w:szCs w:val="24"/>
              </w:rPr>
              <w:t>ed</w:t>
            </w:r>
          </w:p>
        </w:tc>
      </w:tr>
      <w:tr w:rsidR="00BA7350" w14:paraId="155ED9D9" w14:textId="77777777" w:rsidTr="00614276">
        <w:tc>
          <w:tcPr>
            <w:tcW w:w="2988" w:type="dxa"/>
          </w:tcPr>
          <w:p w14:paraId="7FA1991F" w14:textId="77777777" w:rsidR="00BA7350" w:rsidRDefault="00BA7350" w:rsidP="00857373">
            <w:pPr>
              <w:rPr>
                <w:sz w:val="24"/>
                <w:szCs w:val="24"/>
              </w:rPr>
            </w:pPr>
            <w:r>
              <w:rPr>
                <w:sz w:val="24"/>
                <w:szCs w:val="24"/>
              </w:rPr>
              <w:t>Proficiency on State Assessments in science</w:t>
            </w:r>
          </w:p>
        </w:tc>
        <w:tc>
          <w:tcPr>
            <w:tcW w:w="2977" w:type="dxa"/>
          </w:tcPr>
          <w:p w14:paraId="757C4028" w14:textId="5E79E225" w:rsidR="00BA7350" w:rsidRDefault="00BA7350" w:rsidP="00857373">
            <w:pPr>
              <w:rPr>
                <w:sz w:val="24"/>
                <w:szCs w:val="24"/>
              </w:rPr>
            </w:pPr>
            <w:r>
              <w:rPr>
                <w:sz w:val="24"/>
                <w:szCs w:val="24"/>
              </w:rPr>
              <w:t xml:space="preserve">Percentage of tested students scoring proficient on the science portion on the MEA will increase annually, reaching 57% at Division 1 </w:t>
            </w:r>
            <w:r w:rsidR="00C53C19">
              <w:rPr>
                <w:sz w:val="24"/>
                <w:szCs w:val="24"/>
              </w:rPr>
              <w:t xml:space="preserve">by </w:t>
            </w:r>
            <w:r>
              <w:rPr>
                <w:sz w:val="24"/>
                <w:szCs w:val="24"/>
              </w:rPr>
              <w:t>the end of 2021-22.</w:t>
            </w:r>
          </w:p>
        </w:tc>
        <w:tc>
          <w:tcPr>
            <w:tcW w:w="3157" w:type="dxa"/>
          </w:tcPr>
          <w:p w14:paraId="3AB62F26" w14:textId="77777777" w:rsidR="00BA7350" w:rsidRDefault="00BA7350" w:rsidP="00857373">
            <w:pPr>
              <w:rPr>
                <w:sz w:val="24"/>
                <w:szCs w:val="24"/>
                <w:u w:val="single"/>
              </w:rPr>
            </w:pPr>
            <w:r>
              <w:rPr>
                <w:sz w:val="24"/>
                <w:szCs w:val="24"/>
                <w:u w:val="single"/>
              </w:rPr>
              <w:t>Division 1:</w:t>
            </w:r>
          </w:p>
          <w:p w14:paraId="7A3B9EF1" w14:textId="0DDB8C13" w:rsidR="00BA7350" w:rsidRDefault="00BA7350" w:rsidP="00857373">
            <w:pPr>
              <w:rPr>
                <w:sz w:val="24"/>
                <w:szCs w:val="24"/>
              </w:rPr>
            </w:pPr>
            <w:r>
              <w:rPr>
                <w:sz w:val="24"/>
                <w:szCs w:val="24"/>
              </w:rPr>
              <w:t>Change from 2018 to 2019 MEA = +16</w:t>
            </w:r>
          </w:p>
          <w:p w14:paraId="6DD945B6" w14:textId="0913E1E7" w:rsidR="00BA7350" w:rsidRDefault="00BA7350" w:rsidP="00857373">
            <w:pPr>
              <w:rPr>
                <w:sz w:val="24"/>
                <w:szCs w:val="24"/>
              </w:rPr>
            </w:pPr>
            <w:r>
              <w:rPr>
                <w:sz w:val="24"/>
                <w:szCs w:val="24"/>
              </w:rPr>
              <w:t>Total meeting or exceeding</w:t>
            </w:r>
            <w:r w:rsidR="00703C22">
              <w:rPr>
                <w:sz w:val="24"/>
                <w:szCs w:val="24"/>
              </w:rPr>
              <w:t xml:space="preserve"> state expectation</w:t>
            </w:r>
            <w:r>
              <w:rPr>
                <w:sz w:val="24"/>
                <w:szCs w:val="24"/>
              </w:rPr>
              <w:t xml:space="preserve"> in 2019: 59%  </w:t>
            </w:r>
          </w:p>
        </w:tc>
        <w:tc>
          <w:tcPr>
            <w:tcW w:w="1678" w:type="dxa"/>
          </w:tcPr>
          <w:p w14:paraId="43545572" w14:textId="7DE94F95" w:rsidR="00BA7350" w:rsidRDefault="005A4B8D" w:rsidP="00857373">
            <w:pPr>
              <w:rPr>
                <w:sz w:val="24"/>
                <w:szCs w:val="24"/>
              </w:rPr>
            </w:pPr>
            <w:r>
              <w:rPr>
                <w:sz w:val="24"/>
                <w:szCs w:val="24"/>
              </w:rPr>
              <w:t>Exceed</w:t>
            </w:r>
            <w:r w:rsidR="00B34DB0">
              <w:rPr>
                <w:sz w:val="24"/>
                <w:szCs w:val="24"/>
              </w:rPr>
              <w:t>ed</w:t>
            </w:r>
          </w:p>
        </w:tc>
      </w:tr>
      <w:tr w:rsidR="00703C22" w14:paraId="7C40D16A" w14:textId="77777777" w:rsidTr="00614276">
        <w:tc>
          <w:tcPr>
            <w:tcW w:w="2988" w:type="dxa"/>
          </w:tcPr>
          <w:p w14:paraId="5FCB43DA" w14:textId="77777777" w:rsidR="00703C22" w:rsidRDefault="00703C22" w:rsidP="00857373">
            <w:pPr>
              <w:rPr>
                <w:sz w:val="24"/>
                <w:szCs w:val="24"/>
              </w:rPr>
            </w:pPr>
          </w:p>
        </w:tc>
        <w:tc>
          <w:tcPr>
            <w:tcW w:w="2977" w:type="dxa"/>
          </w:tcPr>
          <w:p w14:paraId="13F6E28E" w14:textId="5EC9BDC2" w:rsidR="00703C22" w:rsidRDefault="00703C22" w:rsidP="00857373">
            <w:pPr>
              <w:rPr>
                <w:sz w:val="24"/>
                <w:szCs w:val="24"/>
              </w:rPr>
            </w:pPr>
            <w:r>
              <w:rPr>
                <w:sz w:val="24"/>
                <w:szCs w:val="24"/>
              </w:rPr>
              <w:t xml:space="preserve">Percentage of tested students scoring proficient on the science portion on the MEA will increase annually, reaching 44% at Division 2 </w:t>
            </w:r>
            <w:r w:rsidR="00C53C19">
              <w:rPr>
                <w:sz w:val="24"/>
                <w:szCs w:val="24"/>
              </w:rPr>
              <w:t>by</w:t>
            </w:r>
            <w:r>
              <w:rPr>
                <w:sz w:val="24"/>
                <w:szCs w:val="24"/>
              </w:rPr>
              <w:t xml:space="preserve"> the end of 2021-22.</w:t>
            </w:r>
          </w:p>
        </w:tc>
        <w:tc>
          <w:tcPr>
            <w:tcW w:w="3157" w:type="dxa"/>
          </w:tcPr>
          <w:p w14:paraId="280FCDFE" w14:textId="77777777" w:rsidR="00C53C19" w:rsidRDefault="00C53C19" w:rsidP="00C53C19">
            <w:pPr>
              <w:rPr>
                <w:sz w:val="24"/>
                <w:szCs w:val="24"/>
                <w:u w:val="single"/>
              </w:rPr>
            </w:pPr>
            <w:r>
              <w:rPr>
                <w:sz w:val="24"/>
                <w:szCs w:val="24"/>
                <w:u w:val="single"/>
              </w:rPr>
              <w:t>Division 2:</w:t>
            </w:r>
          </w:p>
          <w:p w14:paraId="64247359" w14:textId="77777777" w:rsidR="006273C4" w:rsidRDefault="00C53C19" w:rsidP="00385D06">
            <w:pPr>
              <w:rPr>
                <w:sz w:val="24"/>
                <w:szCs w:val="24"/>
              </w:rPr>
            </w:pPr>
            <w:r>
              <w:rPr>
                <w:sz w:val="24"/>
                <w:szCs w:val="24"/>
              </w:rPr>
              <w:t xml:space="preserve">Change from 2018 to 2019 MEA = </w:t>
            </w:r>
            <w:r w:rsidR="006273C4">
              <w:rPr>
                <w:sz w:val="24"/>
                <w:szCs w:val="24"/>
              </w:rPr>
              <w:t>Not Applicable- first year of data disaggregation by division</w:t>
            </w:r>
          </w:p>
          <w:p w14:paraId="015E2BB2" w14:textId="656A1823" w:rsidR="00703C22" w:rsidRDefault="00C53C19" w:rsidP="006273C4">
            <w:pPr>
              <w:rPr>
                <w:sz w:val="24"/>
                <w:szCs w:val="24"/>
                <w:u w:val="single"/>
              </w:rPr>
            </w:pPr>
            <w:r>
              <w:rPr>
                <w:sz w:val="24"/>
                <w:szCs w:val="24"/>
              </w:rPr>
              <w:t>Total meeting or exceeding in 2019: 25.8</w:t>
            </w:r>
            <w:r w:rsidR="00F93CED">
              <w:rPr>
                <w:sz w:val="24"/>
                <w:szCs w:val="24"/>
              </w:rPr>
              <w:t>%</w:t>
            </w:r>
          </w:p>
        </w:tc>
        <w:tc>
          <w:tcPr>
            <w:tcW w:w="1678" w:type="dxa"/>
          </w:tcPr>
          <w:p w14:paraId="14BEF16E" w14:textId="7A65CFE8" w:rsidR="00703C22" w:rsidRDefault="00FE2CEC" w:rsidP="00857373">
            <w:pPr>
              <w:rPr>
                <w:sz w:val="24"/>
                <w:szCs w:val="24"/>
              </w:rPr>
            </w:pPr>
            <w:r>
              <w:rPr>
                <w:sz w:val="24"/>
                <w:szCs w:val="24"/>
              </w:rPr>
              <w:t>NA</w:t>
            </w:r>
          </w:p>
        </w:tc>
      </w:tr>
    </w:tbl>
    <w:p w14:paraId="0BD42224" w14:textId="77777777" w:rsidR="00092264" w:rsidRDefault="00092264" w:rsidP="003666FE">
      <w:pPr>
        <w:rPr>
          <w:b/>
          <w:sz w:val="24"/>
          <w:szCs w:val="24"/>
          <w:u w:val="single"/>
        </w:rPr>
      </w:pPr>
    </w:p>
    <w:p w14:paraId="5A889ADD" w14:textId="2F55DB8B" w:rsidR="00D77A2A" w:rsidRDefault="00A45B7A" w:rsidP="003666FE">
      <w:pPr>
        <w:rPr>
          <w:b/>
          <w:sz w:val="24"/>
          <w:szCs w:val="24"/>
          <w:u w:val="single"/>
        </w:rPr>
      </w:pPr>
      <w:r>
        <w:rPr>
          <w:b/>
          <w:sz w:val="24"/>
          <w:szCs w:val="24"/>
          <w:u w:val="single"/>
        </w:rPr>
        <w:t>Discussion</w:t>
      </w:r>
    </w:p>
    <w:p w14:paraId="45A9EFE5" w14:textId="2C2EC149" w:rsidR="003666FE" w:rsidRPr="00267D4F" w:rsidRDefault="00307C74" w:rsidP="003666FE">
      <w:pPr>
        <w:rPr>
          <w:bCs/>
          <w:sz w:val="24"/>
          <w:szCs w:val="24"/>
        </w:rPr>
      </w:pPr>
      <w:r>
        <w:rPr>
          <w:bCs/>
          <w:sz w:val="24"/>
          <w:szCs w:val="24"/>
        </w:rPr>
        <w:t>Harpswell Coastal Academy</w:t>
      </w:r>
      <w:r w:rsidR="00570105">
        <w:rPr>
          <w:bCs/>
          <w:sz w:val="24"/>
          <w:szCs w:val="24"/>
        </w:rPr>
        <w:t xml:space="preserve"> exceeded two </w:t>
      </w:r>
      <w:r>
        <w:rPr>
          <w:bCs/>
          <w:sz w:val="24"/>
          <w:szCs w:val="24"/>
        </w:rPr>
        <w:t>targets</w:t>
      </w:r>
      <w:r>
        <w:rPr>
          <w:bCs/>
          <w:sz w:val="24"/>
          <w:szCs w:val="24"/>
          <w:lang w:val="x-none"/>
        </w:rPr>
        <w:t xml:space="preserve"> </w:t>
      </w:r>
      <w:r w:rsidR="00C83C88">
        <w:rPr>
          <w:bCs/>
          <w:sz w:val="24"/>
          <w:szCs w:val="24"/>
        </w:rPr>
        <w:t xml:space="preserve">and did not meet </w:t>
      </w:r>
      <w:r w:rsidR="00B84231">
        <w:rPr>
          <w:bCs/>
          <w:sz w:val="24"/>
          <w:szCs w:val="24"/>
        </w:rPr>
        <w:t>two</w:t>
      </w:r>
      <w:r w:rsidR="00C83C88">
        <w:rPr>
          <w:bCs/>
          <w:sz w:val="24"/>
          <w:szCs w:val="24"/>
        </w:rPr>
        <w:t xml:space="preserve"> target</w:t>
      </w:r>
      <w:r w:rsidR="00B84231">
        <w:rPr>
          <w:bCs/>
          <w:sz w:val="24"/>
          <w:szCs w:val="24"/>
        </w:rPr>
        <w:t>s</w:t>
      </w:r>
      <w:r w:rsidR="00C83C88">
        <w:rPr>
          <w:bCs/>
          <w:sz w:val="24"/>
          <w:szCs w:val="24"/>
        </w:rPr>
        <w:t xml:space="preserve"> </w:t>
      </w:r>
      <w:r w:rsidR="00415ADC">
        <w:rPr>
          <w:bCs/>
          <w:sz w:val="24"/>
          <w:szCs w:val="24"/>
          <w:lang w:val="x-none"/>
        </w:rPr>
        <w:t>in the area of academic</w:t>
      </w:r>
      <w:r w:rsidR="00415ADC">
        <w:rPr>
          <w:bCs/>
          <w:sz w:val="24"/>
          <w:szCs w:val="24"/>
        </w:rPr>
        <w:t xml:space="preserve"> </w:t>
      </w:r>
      <w:r w:rsidR="00415ADC">
        <w:rPr>
          <w:bCs/>
          <w:sz w:val="24"/>
          <w:szCs w:val="24"/>
          <w:lang w:val="x-none"/>
        </w:rPr>
        <w:t>achievement</w:t>
      </w:r>
      <w:r w:rsidR="00C83C88">
        <w:rPr>
          <w:bCs/>
          <w:sz w:val="24"/>
          <w:szCs w:val="24"/>
        </w:rPr>
        <w:t xml:space="preserve">. </w:t>
      </w:r>
      <w:r w:rsidR="00267D4F">
        <w:rPr>
          <w:bCs/>
          <w:sz w:val="24"/>
          <w:szCs w:val="24"/>
          <w:lang w:val="x-none"/>
        </w:rPr>
        <w:t xml:space="preserve">For the other two targets the school has collected baseline data and will continue to examine achievement </w:t>
      </w:r>
      <w:r w:rsidR="006761BA">
        <w:rPr>
          <w:bCs/>
          <w:sz w:val="24"/>
          <w:szCs w:val="24"/>
        </w:rPr>
        <w:t>by</w:t>
      </w:r>
      <w:r w:rsidR="00267D4F">
        <w:rPr>
          <w:bCs/>
          <w:sz w:val="24"/>
          <w:szCs w:val="24"/>
          <w:lang w:val="x-none"/>
        </w:rPr>
        <w:t xml:space="preserve"> division.</w:t>
      </w:r>
    </w:p>
    <w:p w14:paraId="2364F557" w14:textId="77777777" w:rsidR="003666FE" w:rsidRDefault="003666FE" w:rsidP="003666FE">
      <w:pPr>
        <w:rPr>
          <w:b/>
          <w:sz w:val="24"/>
          <w:szCs w:val="24"/>
          <w:u w:val="single"/>
        </w:rPr>
      </w:pPr>
    </w:p>
    <w:p w14:paraId="2FA01A50" w14:textId="77777777" w:rsidR="003666FE" w:rsidRDefault="003666FE" w:rsidP="003666FE">
      <w:pPr>
        <w:rPr>
          <w:b/>
          <w:sz w:val="24"/>
          <w:szCs w:val="24"/>
          <w:u w:val="single"/>
        </w:rPr>
      </w:pPr>
    </w:p>
    <w:tbl>
      <w:tblPr>
        <w:tblStyle w:val="TableGrid"/>
        <w:tblW w:w="0" w:type="auto"/>
        <w:tblLook w:val="04A0" w:firstRow="1" w:lastRow="0" w:firstColumn="1" w:lastColumn="0" w:noHBand="0" w:noVBand="1"/>
      </w:tblPr>
      <w:tblGrid>
        <w:gridCol w:w="9350"/>
      </w:tblGrid>
      <w:tr w:rsidR="0075337F" w14:paraId="5644F449" w14:textId="77777777" w:rsidTr="0097141B">
        <w:tc>
          <w:tcPr>
            <w:tcW w:w="9350" w:type="dxa"/>
            <w:shd w:val="clear" w:color="auto" w:fill="800000"/>
          </w:tcPr>
          <w:p w14:paraId="57363966" w14:textId="45C78462" w:rsidR="0075337F" w:rsidRDefault="0075337F" w:rsidP="0097141B">
            <w:pPr>
              <w:rPr>
                <w:rFonts w:cs="Arial"/>
                <w:sz w:val="28"/>
                <w:szCs w:val="28"/>
              </w:rPr>
            </w:pPr>
            <w:r>
              <w:rPr>
                <w:rFonts w:cs="Arial"/>
                <w:sz w:val="28"/>
                <w:szCs w:val="28"/>
              </w:rPr>
              <w:t xml:space="preserve">Section </w:t>
            </w:r>
            <w:r w:rsidR="00CD351A">
              <w:rPr>
                <w:rFonts w:cs="Arial"/>
                <w:sz w:val="28"/>
                <w:szCs w:val="28"/>
              </w:rPr>
              <w:t>4</w:t>
            </w:r>
            <w:r>
              <w:rPr>
                <w:rFonts w:cs="Arial"/>
                <w:sz w:val="28"/>
                <w:szCs w:val="28"/>
              </w:rPr>
              <w:t>: Academic Growth</w:t>
            </w:r>
          </w:p>
        </w:tc>
      </w:tr>
    </w:tbl>
    <w:p w14:paraId="1DC91B28" w14:textId="7777777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555"/>
        <w:gridCol w:w="2978"/>
        <w:gridCol w:w="2470"/>
        <w:gridCol w:w="1797"/>
      </w:tblGrid>
      <w:tr w:rsidR="003666FE" w14:paraId="52BC6C67" w14:textId="77777777" w:rsidTr="00D62242">
        <w:tc>
          <w:tcPr>
            <w:tcW w:w="3555" w:type="dxa"/>
            <w:shd w:val="clear" w:color="auto" w:fill="C96772"/>
          </w:tcPr>
          <w:p w14:paraId="47239550" w14:textId="77777777" w:rsidR="003666FE" w:rsidRPr="003666FE" w:rsidRDefault="003666FE" w:rsidP="00FF4A56">
            <w:pPr>
              <w:jc w:val="center"/>
              <w:rPr>
                <w:b/>
                <w:sz w:val="24"/>
                <w:szCs w:val="24"/>
              </w:rPr>
            </w:pPr>
            <w:r>
              <w:rPr>
                <w:b/>
                <w:sz w:val="24"/>
                <w:szCs w:val="24"/>
              </w:rPr>
              <w:t>Measure</w:t>
            </w:r>
          </w:p>
        </w:tc>
        <w:tc>
          <w:tcPr>
            <w:tcW w:w="2978" w:type="dxa"/>
            <w:shd w:val="clear" w:color="auto" w:fill="C96772"/>
          </w:tcPr>
          <w:p w14:paraId="3B23F85A" w14:textId="77777777" w:rsidR="003666FE" w:rsidRPr="003666FE" w:rsidRDefault="003666FE" w:rsidP="00FF4A56">
            <w:pPr>
              <w:jc w:val="center"/>
              <w:rPr>
                <w:b/>
                <w:sz w:val="24"/>
                <w:szCs w:val="24"/>
              </w:rPr>
            </w:pPr>
            <w:r>
              <w:rPr>
                <w:b/>
                <w:sz w:val="24"/>
                <w:szCs w:val="24"/>
              </w:rPr>
              <w:t>Target</w:t>
            </w:r>
          </w:p>
        </w:tc>
        <w:tc>
          <w:tcPr>
            <w:tcW w:w="2470" w:type="dxa"/>
            <w:shd w:val="clear" w:color="auto" w:fill="C96772"/>
          </w:tcPr>
          <w:p w14:paraId="6DFB69D0" w14:textId="77777777" w:rsidR="003666FE" w:rsidRPr="003666FE" w:rsidRDefault="003666FE" w:rsidP="00FF4A56">
            <w:pPr>
              <w:jc w:val="center"/>
              <w:rPr>
                <w:b/>
                <w:sz w:val="24"/>
                <w:szCs w:val="24"/>
              </w:rPr>
            </w:pPr>
            <w:r>
              <w:rPr>
                <w:b/>
                <w:sz w:val="24"/>
                <w:szCs w:val="24"/>
              </w:rPr>
              <w:t>Results</w:t>
            </w:r>
          </w:p>
        </w:tc>
        <w:tc>
          <w:tcPr>
            <w:tcW w:w="1797" w:type="dxa"/>
            <w:shd w:val="clear" w:color="auto" w:fill="C96772"/>
          </w:tcPr>
          <w:p w14:paraId="61173796" w14:textId="750A4557" w:rsidR="003666FE" w:rsidRPr="003666FE" w:rsidRDefault="003666FE" w:rsidP="00FF4A56">
            <w:pPr>
              <w:jc w:val="center"/>
              <w:rPr>
                <w:b/>
                <w:sz w:val="24"/>
                <w:szCs w:val="24"/>
              </w:rPr>
            </w:pPr>
          </w:p>
        </w:tc>
      </w:tr>
      <w:tr w:rsidR="003666FE" w14:paraId="7BB73A77" w14:textId="77777777" w:rsidTr="00D62242">
        <w:tc>
          <w:tcPr>
            <w:tcW w:w="3555" w:type="dxa"/>
          </w:tcPr>
          <w:p w14:paraId="21978F60" w14:textId="7D93EFA7" w:rsidR="003666FE" w:rsidRPr="0087044C" w:rsidRDefault="00407358" w:rsidP="0087044C">
            <w:pPr>
              <w:rPr>
                <w:sz w:val="24"/>
                <w:szCs w:val="24"/>
              </w:rPr>
            </w:pPr>
            <w:r>
              <w:rPr>
                <w:sz w:val="24"/>
                <w:szCs w:val="24"/>
              </w:rPr>
              <w:t>Growth on NWEA in Reading</w:t>
            </w:r>
          </w:p>
        </w:tc>
        <w:tc>
          <w:tcPr>
            <w:tcW w:w="2978" w:type="dxa"/>
          </w:tcPr>
          <w:p w14:paraId="4E641530" w14:textId="2C7979C8" w:rsidR="003666FE" w:rsidRPr="0087044C" w:rsidRDefault="00946F24" w:rsidP="0087044C">
            <w:pPr>
              <w:rPr>
                <w:sz w:val="24"/>
                <w:szCs w:val="24"/>
              </w:rPr>
            </w:pPr>
            <w:r>
              <w:rPr>
                <w:sz w:val="24"/>
                <w:szCs w:val="24"/>
              </w:rPr>
              <w:t>50% of students will meet their annual growth goal in reading.</w:t>
            </w:r>
          </w:p>
        </w:tc>
        <w:tc>
          <w:tcPr>
            <w:tcW w:w="2470" w:type="dxa"/>
          </w:tcPr>
          <w:p w14:paraId="708DBEEE" w14:textId="256BD40E" w:rsidR="003666FE" w:rsidRPr="0087044C" w:rsidRDefault="00562520" w:rsidP="0087044C">
            <w:pPr>
              <w:rPr>
                <w:sz w:val="24"/>
                <w:szCs w:val="24"/>
              </w:rPr>
            </w:pPr>
            <w:r w:rsidRPr="00562520">
              <w:rPr>
                <w:sz w:val="24"/>
                <w:szCs w:val="24"/>
              </w:rPr>
              <w:t>56.4%</w:t>
            </w:r>
            <w:r w:rsidR="00EB3115">
              <w:rPr>
                <w:sz w:val="24"/>
                <w:szCs w:val="24"/>
              </w:rPr>
              <w:t xml:space="preserve"> of students met their annual growth goal in reading.</w:t>
            </w:r>
          </w:p>
        </w:tc>
        <w:tc>
          <w:tcPr>
            <w:tcW w:w="1797" w:type="dxa"/>
          </w:tcPr>
          <w:p w14:paraId="08E2B144" w14:textId="08FDD832" w:rsidR="003666FE" w:rsidRPr="0087044C" w:rsidRDefault="00C47563" w:rsidP="0087044C">
            <w:pPr>
              <w:rPr>
                <w:sz w:val="24"/>
                <w:szCs w:val="24"/>
              </w:rPr>
            </w:pPr>
            <w:r>
              <w:rPr>
                <w:sz w:val="24"/>
                <w:szCs w:val="24"/>
              </w:rPr>
              <w:t>Me</w:t>
            </w:r>
            <w:r w:rsidR="0007528F">
              <w:rPr>
                <w:sz w:val="24"/>
                <w:szCs w:val="24"/>
              </w:rPr>
              <w:t>t</w:t>
            </w:r>
          </w:p>
        </w:tc>
      </w:tr>
      <w:tr w:rsidR="00C6340B" w14:paraId="24E36F4A" w14:textId="77777777" w:rsidTr="00D62242">
        <w:tc>
          <w:tcPr>
            <w:tcW w:w="3555" w:type="dxa"/>
          </w:tcPr>
          <w:p w14:paraId="18CA09F6" w14:textId="2B2F01D4" w:rsidR="00C6340B" w:rsidRDefault="00C6340B" w:rsidP="0087044C">
            <w:pPr>
              <w:rPr>
                <w:sz w:val="24"/>
                <w:szCs w:val="24"/>
              </w:rPr>
            </w:pPr>
            <w:r>
              <w:rPr>
                <w:sz w:val="24"/>
                <w:szCs w:val="24"/>
              </w:rPr>
              <w:t>Growth on NWEA in Language Usage</w:t>
            </w:r>
          </w:p>
        </w:tc>
        <w:tc>
          <w:tcPr>
            <w:tcW w:w="2978" w:type="dxa"/>
          </w:tcPr>
          <w:p w14:paraId="19ECD253" w14:textId="4E473F68" w:rsidR="00C6340B" w:rsidRDefault="00C6340B" w:rsidP="0087044C">
            <w:pPr>
              <w:rPr>
                <w:sz w:val="24"/>
                <w:szCs w:val="24"/>
              </w:rPr>
            </w:pPr>
            <w:r>
              <w:rPr>
                <w:sz w:val="24"/>
                <w:szCs w:val="24"/>
              </w:rPr>
              <w:t xml:space="preserve">50% of students will meet their annual growth goal in </w:t>
            </w:r>
            <w:r w:rsidR="005305F8">
              <w:rPr>
                <w:sz w:val="24"/>
                <w:szCs w:val="24"/>
              </w:rPr>
              <w:t>language</w:t>
            </w:r>
            <w:r>
              <w:rPr>
                <w:sz w:val="24"/>
                <w:szCs w:val="24"/>
              </w:rPr>
              <w:t>.</w:t>
            </w:r>
          </w:p>
        </w:tc>
        <w:tc>
          <w:tcPr>
            <w:tcW w:w="2470" w:type="dxa"/>
          </w:tcPr>
          <w:p w14:paraId="2D4D7738" w14:textId="37AF6B88" w:rsidR="00C6340B" w:rsidRPr="0087044C" w:rsidRDefault="00EB3115" w:rsidP="0087044C">
            <w:pPr>
              <w:rPr>
                <w:sz w:val="24"/>
                <w:szCs w:val="24"/>
              </w:rPr>
            </w:pPr>
            <w:r w:rsidRPr="00EB3115">
              <w:rPr>
                <w:sz w:val="24"/>
                <w:szCs w:val="24"/>
              </w:rPr>
              <w:t>5</w:t>
            </w:r>
            <w:r>
              <w:rPr>
                <w:sz w:val="24"/>
                <w:szCs w:val="24"/>
              </w:rPr>
              <w:t xml:space="preserve">3.8% of students met their annual growth goal in </w:t>
            </w:r>
            <w:r w:rsidR="005305F8">
              <w:rPr>
                <w:sz w:val="24"/>
                <w:szCs w:val="24"/>
              </w:rPr>
              <w:t>language</w:t>
            </w:r>
            <w:r>
              <w:rPr>
                <w:sz w:val="24"/>
                <w:szCs w:val="24"/>
              </w:rPr>
              <w:t>.</w:t>
            </w:r>
          </w:p>
        </w:tc>
        <w:tc>
          <w:tcPr>
            <w:tcW w:w="1797" w:type="dxa"/>
          </w:tcPr>
          <w:p w14:paraId="0FE37A9C" w14:textId="06D330AC" w:rsidR="00C6340B" w:rsidRPr="0087044C" w:rsidRDefault="00C47563" w:rsidP="0087044C">
            <w:pPr>
              <w:rPr>
                <w:sz w:val="24"/>
                <w:szCs w:val="24"/>
              </w:rPr>
            </w:pPr>
            <w:r>
              <w:rPr>
                <w:sz w:val="24"/>
                <w:szCs w:val="24"/>
              </w:rPr>
              <w:t>Me</w:t>
            </w:r>
            <w:r w:rsidR="0007528F">
              <w:rPr>
                <w:sz w:val="24"/>
                <w:szCs w:val="24"/>
              </w:rPr>
              <w:t>t</w:t>
            </w:r>
          </w:p>
        </w:tc>
      </w:tr>
      <w:tr w:rsidR="00C6340B" w14:paraId="42AF374E" w14:textId="77777777" w:rsidTr="00D62242">
        <w:tc>
          <w:tcPr>
            <w:tcW w:w="3555" w:type="dxa"/>
          </w:tcPr>
          <w:p w14:paraId="177550C6" w14:textId="12029BE7" w:rsidR="00C6340B" w:rsidRDefault="00C6340B" w:rsidP="0087044C">
            <w:pPr>
              <w:rPr>
                <w:sz w:val="24"/>
                <w:szCs w:val="24"/>
              </w:rPr>
            </w:pPr>
            <w:r>
              <w:rPr>
                <w:sz w:val="24"/>
                <w:szCs w:val="24"/>
              </w:rPr>
              <w:t>Growth on NWEA in Math</w:t>
            </w:r>
          </w:p>
        </w:tc>
        <w:tc>
          <w:tcPr>
            <w:tcW w:w="2978" w:type="dxa"/>
          </w:tcPr>
          <w:p w14:paraId="0AA874CE" w14:textId="0FD1D86C" w:rsidR="00C6340B" w:rsidRDefault="00C6340B" w:rsidP="0087044C">
            <w:pPr>
              <w:rPr>
                <w:sz w:val="24"/>
                <w:szCs w:val="24"/>
              </w:rPr>
            </w:pPr>
            <w:r>
              <w:rPr>
                <w:sz w:val="24"/>
                <w:szCs w:val="24"/>
              </w:rPr>
              <w:t xml:space="preserve">50% of students will meet their annual growth goal in </w:t>
            </w:r>
            <w:r w:rsidR="005305F8">
              <w:rPr>
                <w:sz w:val="24"/>
                <w:szCs w:val="24"/>
              </w:rPr>
              <w:t>math</w:t>
            </w:r>
            <w:r>
              <w:rPr>
                <w:sz w:val="24"/>
                <w:szCs w:val="24"/>
              </w:rPr>
              <w:t>.</w:t>
            </w:r>
          </w:p>
        </w:tc>
        <w:tc>
          <w:tcPr>
            <w:tcW w:w="2470" w:type="dxa"/>
          </w:tcPr>
          <w:p w14:paraId="7B95B123" w14:textId="08B6080F" w:rsidR="00C6340B" w:rsidRPr="0087044C" w:rsidRDefault="00EB3115" w:rsidP="0087044C">
            <w:pPr>
              <w:rPr>
                <w:sz w:val="24"/>
                <w:szCs w:val="24"/>
              </w:rPr>
            </w:pPr>
            <w:r>
              <w:rPr>
                <w:sz w:val="24"/>
                <w:szCs w:val="24"/>
              </w:rPr>
              <w:t xml:space="preserve">42.4% of students met their annual growth goal in </w:t>
            </w:r>
            <w:r w:rsidR="005305F8">
              <w:rPr>
                <w:sz w:val="24"/>
                <w:szCs w:val="24"/>
              </w:rPr>
              <w:t>math</w:t>
            </w:r>
            <w:r>
              <w:rPr>
                <w:sz w:val="24"/>
                <w:szCs w:val="24"/>
              </w:rPr>
              <w:t>.</w:t>
            </w:r>
          </w:p>
        </w:tc>
        <w:tc>
          <w:tcPr>
            <w:tcW w:w="1797" w:type="dxa"/>
          </w:tcPr>
          <w:p w14:paraId="38B995A9" w14:textId="5B4CA9C1" w:rsidR="00C6340B" w:rsidRPr="0087044C" w:rsidRDefault="00C47563" w:rsidP="0087044C">
            <w:pPr>
              <w:rPr>
                <w:sz w:val="24"/>
                <w:szCs w:val="24"/>
              </w:rPr>
            </w:pPr>
            <w:r>
              <w:rPr>
                <w:sz w:val="24"/>
                <w:szCs w:val="24"/>
              </w:rPr>
              <w:t>Partially me</w:t>
            </w:r>
            <w:r w:rsidR="0007528F">
              <w:rPr>
                <w:sz w:val="24"/>
                <w:szCs w:val="24"/>
              </w:rPr>
              <w:t>t</w:t>
            </w:r>
          </w:p>
        </w:tc>
      </w:tr>
    </w:tbl>
    <w:p w14:paraId="562715B2" w14:textId="77777777" w:rsidR="003666FE" w:rsidRDefault="003666FE" w:rsidP="003666FE">
      <w:pPr>
        <w:jc w:val="both"/>
        <w:rPr>
          <w:b/>
          <w:sz w:val="24"/>
          <w:szCs w:val="24"/>
          <w:u w:val="single"/>
        </w:rPr>
      </w:pPr>
    </w:p>
    <w:p w14:paraId="34783597" w14:textId="05B2F8F1" w:rsidR="003666FE" w:rsidRDefault="00A45B7A" w:rsidP="003666FE">
      <w:pPr>
        <w:rPr>
          <w:b/>
          <w:sz w:val="24"/>
          <w:szCs w:val="24"/>
          <w:u w:val="single"/>
        </w:rPr>
      </w:pPr>
      <w:r>
        <w:rPr>
          <w:b/>
          <w:sz w:val="24"/>
          <w:szCs w:val="24"/>
          <w:u w:val="single"/>
        </w:rPr>
        <w:t>Discussion</w:t>
      </w:r>
    </w:p>
    <w:p w14:paraId="750FB663" w14:textId="6D308D90" w:rsidR="003666FE" w:rsidRPr="00A16729" w:rsidRDefault="00A16729" w:rsidP="003666FE">
      <w:pPr>
        <w:rPr>
          <w:bCs/>
          <w:sz w:val="24"/>
          <w:szCs w:val="24"/>
        </w:rPr>
      </w:pPr>
      <w:r>
        <w:rPr>
          <w:bCs/>
          <w:sz w:val="24"/>
          <w:szCs w:val="24"/>
        </w:rPr>
        <w:t xml:space="preserve">In the area of Academic Growth, HCA met two of its three targets and partially met one target </w:t>
      </w:r>
      <w:r w:rsidR="009D255B">
        <w:rPr>
          <w:bCs/>
          <w:sz w:val="24"/>
          <w:szCs w:val="24"/>
        </w:rPr>
        <w:t>(math)</w:t>
      </w:r>
      <w:r>
        <w:rPr>
          <w:bCs/>
          <w:sz w:val="24"/>
          <w:szCs w:val="24"/>
        </w:rPr>
        <w:t>.</w:t>
      </w:r>
    </w:p>
    <w:p w14:paraId="65E3030E" w14:textId="1F496A01" w:rsidR="00532D46" w:rsidRDefault="00532D46" w:rsidP="003666FE">
      <w:pPr>
        <w:rPr>
          <w:b/>
          <w:sz w:val="24"/>
          <w:szCs w:val="24"/>
          <w:u w:val="single"/>
        </w:rPr>
      </w:pPr>
    </w:p>
    <w:p w14:paraId="5E7463B4" w14:textId="77777777" w:rsidR="00A16729" w:rsidRDefault="00A16729" w:rsidP="003666FE">
      <w:pPr>
        <w:rPr>
          <w:b/>
          <w:sz w:val="24"/>
          <w:szCs w:val="24"/>
          <w:u w:val="single"/>
        </w:rPr>
      </w:pPr>
    </w:p>
    <w:tbl>
      <w:tblPr>
        <w:tblStyle w:val="TableGrid"/>
        <w:tblW w:w="0" w:type="auto"/>
        <w:tblLook w:val="04A0" w:firstRow="1" w:lastRow="0" w:firstColumn="1" w:lastColumn="0" w:noHBand="0" w:noVBand="1"/>
      </w:tblPr>
      <w:tblGrid>
        <w:gridCol w:w="9350"/>
      </w:tblGrid>
      <w:tr w:rsidR="00A45B7A" w14:paraId="775B77A9" w14:textId="77777777" w:rsidTr="0097141B">
        <w:tc>
          <w:tcPr>
            <w:tcW w:w="9350" w:type="dxa"/>
            <w:shd w:val="clear" w:color="auto" w:fill="800000"/>
          </w:tcPr>
          <w:p w14:paraId="600D3FF5" w14:textId="1D865E9A" w:rsidR="00A45B7A" w:rsidRDefault="00A45B7A" w:rsidP="0097141B">
            <w:pPr>
              <w:rPr>
                <w:rFonts w:cs="Arial"/>
                <w:sz w:val="28"/>
                <w:szCs w:val="28"/>
              </w:rPr>
            </w:pPr>
            <w:r>
              <w:rPr>
                <w:rFonts w:cs="Arial"/>
                <w:sz w:val="28"/>
                <w:szCs w:val="28"/>
              </w:rPr>
              <w:t xml:space="preserve">Section </w:t>
            </w:r>
            <w:r w:rsidR="00CD351A">
              <w:rPr>
                <w:rFonts w:cs="Arial"/>
                <w:sz w:val="28"/>
                <w:szCs w:val="28"/>
              </w:rPr>
              <w:t>5</w:t>
            </w:r>
            <w:r>
              <w:rPr>
                <w:rFonts w:cs="Arial"/>
                <w:sz w:val="28"/>
                <w:szCs w:val="28"/>
              </w:rPr>
              <w:t>: Achievement Gaps</w:t>
            </w:r>
          </w:p>
        </w:tc>
      </w:tr>
    </w:tbl>
    <w:p w14:paraId="398645BA" w14:textId="7777777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130"/>
        <w:gridCol w:w="2835"/>
        <w:gridCol w:w="3038"/>
        <w:gridCol w:w="1797"/>
      </w:tblGrid>
      <w:tr w:rsidR="003666FE" w14:paraId="47024F7E" w14:textId="77777777" w:rsidTr="000240C8">
        <w:tc>
          <w:tcPr>
            <w:tcW w:w="3130" w:type="dxa"/>
            <w:shd w:val="clear" w:color="auto" w:fill="C96772"/>
          </w:tcPr>
          <w:p w14:paraId="6F2DC696" w14:textId="77777777" w:rsidR="003666FE" w:rsidRPr="003666FE" w:rsidRDefault="003666FE" w:rsidP="00FF4A56">
            <w:pPr>
              <w:jc w:val="center"/>
              <w:rPr>
                <w:b/>
                <w:sz w:val="24"/>
                <w:szCs w:val="24"/>
              </w:rPr>
            </w:pPr>
            <w:r>
              <w:rPr>
                <w:b/>
                <w:sz w:val="24"/>
                <w:szCs w:val="24"/>
              </w:rPr>
              <w:t>Measure</w:t>
            </w:r>
          </w:p>
        </w:tc>
        <w:tc>
          <w:tcPr>
            <w:tcW w:w="2835" w:type="dxa"/>
            <w:shd w:val="clear" w:color="auto" w:fill="C96772"/>
          </w:tcPr>
          <w:p w14:paraId="4A285669" w14:textId="77777777" w:rsidR="003666FE" w:rsidRPr="003666FE" w:rsidRDefault="003666FE" w:rsidP="00FF4A56">
            <w:pPr>
              <w:jc w:val="center"/>
              <w:rPr>
                <w:b/>
                <w:sz w:val="24"/>
                <w:szCs w:val="24"/>
              </w:rPr>
            </w:pPr>
            <w:r>
              <w:rPr>
                <w:b/>
                <w:sz w:val="24"/>
                <w:szCs w:val="24"/>
              </w:rPr>
              <w:t>Target</w:t>
            </w:r>
          </w:p>
        </w:tc>
        <w:tc>
          <w:tcPr>
            <w:tcW w:w="3038" w:type="dxa"/>
            <w:shd w:val="clear" w:color="auto" w:fill="C96772"/>
          </w:tcPr>
          <w:p w14:paraId="0887E5F8" w14:textId="77777777" w:rsidR="003666FE" w:rsidRPr="003666FE" w:rsidRDefault="003666FE" w:rsidP="00FF4A56">
            <w:pPr>
              <w:jc w:val="center"/>
              <w:rPr>
                <w:b/>
                <w:sz w:val="24"/>
                <w:szCs w:val="24"/>
              </w:rPr>
            </w:pPr>
            <w:r>
              <w:rPr>
                <w:b/>
                <w:sz w:val="24"/>
                <w:szCs w:val="24"/>
              </w:rPr>
              <w:t>Results</w:t>
            </w:r>
          </w:p>
        </w:tc>
        <w:tc>
          <w:tcPr>
            <w:tcW w:w="1797" w:type="dxa"/>
            <w:shd w:val="clear" w:color="auto" w:fill="C96772"/>
          </w:tcPr>
          <w:p w14:paraId="608E1D2E" w14:textId="26131CC2" w:rsidR="003666FE" w:rsidRPr="003666FE" w:rsidRDefault="003666FE" w:rsidP="00FF4A56">
            <w:pPr>
              <w:jc w:val="center"/>
              <w:rPr>
                <w:b/>
                <w:sz w:val="24"/>
                <w:szCs w:val="24"/>
              </w:rPr>
            </w:pPr>
          </w:p>
        </w:tc>
      </w:tr>
      <w:tr w:rsidR="003666FE" w14:paraId="303172B3" w14:textId="77777777" w:rsidTr="000240C8">
        <w:tc>
          <w:tcPr>
            <w:tcW w:w="3130" w:type="dxa"/>
          </w:tcPr>
          <w:p w14:paraId="3EB07030" w14:textId="29139C8D" w:rsidR="003666FE" w:rsidRPr="007F1216" w:rsidRDefault="003956FD" w:rsidP="007F1216">
            <w:pPr>
              <w:rPr>
                <w:sz w:val="24"/>
                <w:szCs w:val="24"/>
              </w:rPr>
            </w:pPr>
            <w:r>
              <w:rPr>
                <w:sz w:val="24"/>
                <w:szCs w:val="24"/>
              </w:rPr>
              <w:t>G</w:t>
            </w:r>
            <w:r w:rsidR="0024536B">
              <w:rPr>
                <w:sz w:val="24"/>
                <w:szCs w:val="24"/>
              </w:rPr>
              <w:t>aps in proficiency and growth between major student subgroups on Maine State Assessment</w:t>
            </w:r>
            <w:r w:rsidR="000C7517">
              <w:rPr>
                <w:sz w:val="24"/>
                <w:szCs w:val="24"/>
              </w:rPr>
              <w:t>: Special Education</w:t>
            </w:r>
          </w:p>
        </w:tc>
        <w:tc>
          <w:tcPr>
            <w:tcW w:w="2835" w:type="dxa"/>
          </w:tcPr>
          <w:p w14:paraId="11CCABFF" w14:textId="4CEAE5EC" w:rsidR="003666FE" w:rsidRPr="007F1216" w:rsidRDefault="000C6F08" w:rsidP="007F1216">
            <w:pPr>
              <w:rPr>
                <w:sz w:val="24"/>
                <w:szCs w:val="24"/>
              </w:rPr>
            </w:pPr>
            <w:r>
              <w:rPr>
                <w:sz w:val="24"/>
                <w:szCs w:val="24"/>
              </w:rPr>
              <w:t xml:space="preserve">The percentage of students with an IEP scoring </w:t>
            </w:r>
            <w:r w:rsidR="00CA2EBC">
              <w:rPr>
                <w:sz w:val="24"/>
                <w:szCs w:val="24"/>
              </w:rPr>
              <w:t>well below expectations will decrease annually</w:t>
            </w:r>
            <w:r w:rsidR="00C31AF8">
              <w:rPr>
                <w:sz w:val="24"/>
                <w:szCs w:val="24"/>
              </w:rPr>
              <w:t xml:space="preserve">, reaching </w:t>
            </w:r>
            <w:r w:rsidR="00283980">
              <w:rPr>
                <w:sz w:val="24"/>
                <w:szCs w:val="24"/>
              </w:rPr>
              <w:t>42% for reading and 70% for math in Division 1 by 2021-2022</w:t>
            </w:r>
            <w:r w:rsidR="0005726E">
              <w:rPr>
                <w:sz w:val="24"/>
                <w:szCs w:val="24"/>
              </w:rPr>
              <w:t xml:space="preserve">. </w:t>
            </w:r>
          </w:p>
        </w:tc>
        <w:tc>
          <w:tcPr>
            <w:tcW w:w="3038" w:type="dxa"/>
          </w:tcPr>
          <w:p w14:paraId="15B59C1B" w14:textId="77777777" w:rsidR="0078647A" w:rsidRPr="0078647A" w:rsidRDefault="0078647A" w:rsidP="0078647A">
            <w:pPr>
              <w:rPr>
                <w:sz w:val="24"/>
                <w:szCs w:val="24"/>
              </w:rPr>
            </w:pPr>
            <w:r w:rsidRPr="0078647A">
              <w:rPr>
                <w:sz w:val="24"/>
                <w:szCs w:val="24"/>
              </w:rPr>
              <w:t>Division 1 Reading:</w:t>
            </w:r>
          </w:p>
          <w:p w14:paraId="733266C9" w14:textId="391C134E" w:rsidR="0078647A" w:rsidRPr="0078647A" w:rsidRDefault="0078647A" w:rsidP="0078647A">
            <w:pPr>
              <w:rPr>
                <w:sz w:val="24"/>
                <w:szCs w:val="24"/>
              </w:rPr>
            </w:pPr>
            <w:r w:rsidRPr="0078647A">
              <w:rPr>
                <w:sz w:val="24"/>
                <w:szCs w:val="24"/>
              </w:rPr>
              <w:t>Percent change from 201</w:t>
            </w:r>
            <w:r w:rsidR="00A70C57">
              <w:rPr>
                <w:sz w:val="24"/>
                <w:szCs w:val="24"/>
              </w:rPr>
              <w:t>8</w:t>
            </w:r>
            <w:r w:rsidRPr="0078647A">
              <w:rPr>
                <w:sz w:val="24"/>
                <w:szCs w:val="24"/>
              </w:rPr>
              <w:t xml:space="preserve"> to </w:t>
            </w:r>
            <w:r w:rsidR="00995CB5">
              <w:rPr>
                <w:sz w:val="24"/>
                <w:szCs w:val="24"/>
              </w:rPr>
              <w:t>20</w:t>
            </w:r>
            <w:r w:rsidR="009D3BB2">
              <w:rPr>
                <w:sz w:val="24"/>
                <w:szCs w:val="24"/>
              </w:rPr>
              <w:t>19</w:t>
            </w:r>
            <w:r w:rsidRPr="0078647A">
              <w:rPr>
                <w:sz w:val="24"/>
                <w:szCs w:val="24"/>
              </w:rPr>
              <w:t xml:space="preserve"> MEA = </w:t>
            </w:r>
            <w:r w:rsidR="009D3BB2">
              <w:rPr>
                <w:sz w:val="24"/>
                <w:szCs w:val="24"/>
              </w:rPr>
              <w:t>32.7</w:t>
            </w:r>
            <w:r w:rsidR="00995CB5">
              <w:rPr>
                <w:sz w:val="24"/>
                <w:szCs w:val="24"/>
              </w:rPr>
              <w:t>%</w:t>
            </w:r>
            <w:r w:rsidR="009D3BB2">
              <w:rPr>
                <w:sz w:val="24"/>
                <w:szCs w:val="24"/>
              </w:rPr>
              <w:t xml:space="preserve"> decrease</w:t>
            </w:r>
          </w:p>
          <w:p w14:paraId="2195DCE7" w14:textId="0680E753" w:rsidR="0078647A" w:rsidRPr="0078647A" w:rsidRDefault="0078647A" w:rsidP="0078647A">
            <w:pPr>
              <w:rPr>
                <w:sz w:val="24"/>
                <w:szCs w:val="24"/>
              </w:rPr>
            </w:pPr>
            <w:r w:rsidRPr="0078647A">
              <w:rPr>
                <w:sz w:val="24"/>
                <w:szCs w:val="24"/>
              </w:rPr>
              <w:t>Total “Well Below State Expectations” in 201</w:t>
            </w:r>
            <w:r w:rsidR="00A70C57">
              <w:rPr>
                <w:sz w:val="24"/>
                <w:szCs w:val="24"/>
              </w:rPr>
              <w:t>9</w:t>
            </w:r>
            <w:r w:rsidRPr="0078647A">
              <w:rPr>
                <w:sz w:val="24"/>
                <w:szCs w:val="24"/>
              </w:rPr>
              <w:t xml:space="preserve"> =</w:t>
            </w:r>
            <w:r w:rsidR="00FF14D0">
              <w:rPr>
                <w:sz w:val="24"/>
                <w:szCs w:val="24"/>
              </w:rPr>
              <w:t xml:space="preserve"> </w:t>
            </w:r>
            <w:r w:rsidR="00FF14D0" w:rsidRPr="00FF14D0">
              <w:rPr>
                <w:sz w:val="24"/>
                <w:szCs w:val="24"/>
              </w:rPr>
              <w:t>4</w:t>
            </w:r>
            <w:r w:rsidR="00FF14D0">
              <w:rPr>
                <w:sz w:val="24"/>
                <w:szCs w:val="24"/>
              </w:rPr>
              <w:t>1.2</w:t>
            </w:r>
            <w:r w:rsidRPr="0078647A">
              <w:rPr>
                <w:sz w:val="24"/>
                <w:szCs w:val="24"/>
              </w:rPr>
              <w:t>%</w:t>
            </w:r>
          </w:p>
          <w:p w14:paraId="0D484FAE" w14:textId="77777777" w:rsidR="0078647A" w:rsidRPr="0078647A" w:rsidRDefault="0078647A" w:rsidP="0078647A">
            <w:pPr>
              <w:rPr>
                <w:sz w:val="24"/>
                <w:szCs w:val="24"/>
              </w:rPr>
            </w:pPr>
            <w:r w:rsidRPr="0078647A">
              <w:rPr>
                <w:sz w:val="24"/>
                <w:szCs w:val="24"/>
              </w:rPr>
              <w:t>Division 1 Math:</w:t>
            </w:r>
          </w:p>
          <w:p w14:paraId="2A257DCF" w14:textId="5BAE9B49" w:rsidR="0078647A" w:rsidRPr="0078647A" w:rsidRDefault="0078647A" w:rsidP="0078647A">
            <w:pPr>
              <w:rPr>
                <w:sz w:val="24"/>
                <w:szCs w:val="24"/>
              </w:rPr>
            </w:pPr>
            <w:r w:rsidRPr="0078647A">
              <w:rPr>
                <w:sz w:val="24"/>
                <w:szCs w:val="24"/>
              </w:rPr>
              <w:lastRenderedPageBreak/>
              <w:t>Percent change from 201</w:t>
            </w:r>
            <w:r w:rsidR="00A70C57">
              <w:rPr>
                <w:sz w:val="24"/>
                <w:szCs w:val="24"/>
              </w:rPr>
              <w:t>8</w:t>
            </w:r>
            <w:r w:rsidRPr="0078647A">
              <w:rPr>
                <w:sz w:val="24"/>
                <w:szCs w:val="24"/>
              </w:rPr>
              <w:t xml:space="preserve"> to 201</w:t>
            </w:r>
            <w:r w:rsidR="00A70C57">
              <w:rPr>
                <w:sz w:val="24"/>
                <w:szCs w:val="24"/>
              </w:rPr>
              <w:t>9</w:t>
            </w:r>
            <w:r w:rsidRPr="0078647A">
              <w:rPr>
                <w:sz w:val="24"/>
                <w:szCs w:val="24"/>
              </w:rPr>
              <w:t xml:space="preserve"> MEA = </w:t>
            </w:r>
            <w:r w:rsidR="00995CB5" w:rsidRPr="00995CB5">
              <w:rPr>
                <w:sz w:val="24"/>
                <w:szCs w:val="24"/>
              </w:rPr>
              <w:t>8</w:t>
            </w:r>
            <w:r w:rsidR="00E655E5">
              <w:rPr>
                <w:sz w:val="24"/>
                <w:szCs w:val="24"/>
              </w:rPr>
              <w:t>%</w:t>
            </w:r>
            <w:r w:rsidR="00995CB5">
              <w:rPr>
                <w:sz w:val="24"/>
                <w:szCs w:val="24"/>
              </w:rPr>
              <w:t xml:space="preserve"> </w:t>
            </w:r>
            <w:r w:rsidRPr="0078647A">
              <w:rPr>
                <w:sz w:val="24"/>
                <w:szCs w:val="24"/>
              </w:rPr>
              <w:t>decrease</w:t>
            </w:r>
          </w:p>
          <w:p w14:paraId="73EEFED8" w14:textId="336A2C86" w:rsidR="003666FE" w:rsidRPr="007F1216" w:rsidRDefault="0078647A" w:rsidP="007F1216">
            <w:pPr>
              <w:rPr>
                <w:sz w:val="24"/>
                <w:szCs w:val="24"/>
              </w:rPr>
            </w:pPr>
            <w:r w:rsidRPr="0078647A">
              <w:rPr>
                <w:sz w:val="24"/>
                <w:szCs w:val="24"/>
              </w:rPr>
              <w:t>Total “Well Below State Expectations” in 201</w:t>
            </w:r>
            <w:r w:rsidR="00A70C57">
              <w:rPr>
                <w:sz w:val="24"/>
                <w:szCs w:val="24"/>
              </w:rPr>
              <w:t>9</w:t>
            </w:r>
            <w:r w:rsidRPr="0078647A">
              <w:rPr>
                <w:sz w:val="24"/>
                <w:szCs w:val="24"/>
              </w:rPr>
              <w:t xml:space="preserve"> = </w:t>
            </w:r>
            <w:r w:rsidR="00E655E5" w:rsidRPr="00E655E5">
              <w:rPr>
                <w:sz w:val="24"/>
                <w:szCs w:val="24"/>
              </w:rPr>
              <w:t>6</w:t>
            </w:r>
            <w:r w:rsidR="00E655E5">
              <w:rPr>
                <w:sz w:val="24"/>
                <w:szCs w:val="24"/>
              </w:rPr>
              <w:t>5</w:t>
            </w:r>
            <w:r w:rsidRPr="0078647A">
              <w:rPr>
                <w:sz w:val="24"/>
                <w:szCs w:val="24"/>
              </w:rPr>
              <w:t>%</w:t>
            </w:r>
          </w:p>
        </w:tc>
        <w:tc>
          <w:tcPr>
            <w:tcW w:w="1797" w:type="dxa"/>
          </w:tcPr>
          <w:p w14:paraId="32B3A0ED" w14:textId="7B5DF5D8" w:rsidR="003666FE" w:rsidRPr="007F1216" w:rsidRDefault="00A30670" w:rsidP="007F1216">
            <w:pPr>
              <w:rPr>
                <w:sz w:val="24"/>
                <w:szCs w:val="24"/>
              </w:rPr>
            </w:pPr>
            <w:r>
              <w:rPr>
                <w:sz w:val="24"/>
                <w:szCs w:val="24"/>
              </w:rPr>
              <w:lastRenderedPageBreak/>
              <w:t>Exceed</w:t>
            </w:r>
            <w:r w:rsidR="00B34DB0">
              <w:rPr>
                <w:sz w:val="24"/>
                <w:szCs w:val="24"/>
              </w:rPr>
              <w:t>ed</w:t>
            </w:r>
          </w:p>
        </w:tc>
      </w:tr>
      <w:tr w:rsidR="0005726E" w14:paraId="44DDE24E" w14:textId="77777777" w:rsidTr="000240C8">
        <w:tc>
          <w:tcPr>
            <w:tcW w:w="3130" w:type="dxa"/>
          </w:tcPr>
          <w:p w14:paraId="2D7B13DB" w14:textId="3660ECBD" w:rsidR="0005726E" w:rsidRDefault="0005726E" w:rsidP="007F1216">
            <w:pPr>
              <w:rPr>
                <w:sz w:val="24"/>
                <w:szCs w:val="24"/>
              </w:rPr>
            </w:pPr>
            <w:r>
              <w:rPr>
                <w:sz w:val="24"/>
                <w:szCs w:val="24"/>
              </w:rPr>
              <w:t>Gaps in proficiency and growth between major student subgroups on Maine State Assessment:</w:t>
            </w:r>
            <w:r w:rsidR="00F21012">
              <w:rPr>
                <w:sz w:val="24"/>
                <w:szCs w:val="24"/>
              </w:rPr>
              <w:t xml:space="preserve"> </w:t>
            </w:r>
            <w:r>
              <w:rPr>
                <w:sz w:val="24"/>
                <w:szCs w:val="24"/>
              </w:rPr>
              <w:t>Economically Disadvantaged.</w:t>
            </w:r>
          </w:p>
        </w:tc>
        <w:tc>
          <w:tcPr>
            <w:tcW w:w="2835" w:type="dxa"/>
          </w:tcPr>
          <w:p w14:paraId="65B58A87" w14:textId="514123C5" w:rsidR="0005726E" w:rsidRPr="007F1216" w:rsidRDefault="0005726E" w:rsidP="007F1216">
            <w:pPr>
              <w:rPr>
                <w:sz w:val="24"/>
                <w:szCs w:val="24"/>
              </w:rPr>
            </w:pPr>
            <w:r>
              <w:rPr>
                <w:sz w:val="24"/>
                <w:szCs w:val="24"/>
              </w:rPr>
              <w:t xml:space="preserve">The percentage of </w:t>
            </w:r>
            <w:r w:rsidR="00AC6F41">
              <w:rPr>
                <w:sz w:val="24"/>
                <w:szCs w:val="24"/>
              </w:rPr>
              <w:t xml:space="preserve">economically disadvantaged </w:t>
            </w:r>
            <w:r>
              <w:rPr>
                <w:sz w:val="24"/>
                <w:szCs w:val="24"/>
              </w:rPr>
              <w:t>students scoring well below expectations will decrease annually</w:t>
            </w:r>
            <w:r w:rsidR="008A1963">
              <w:rPr>
                <w:sz w:val="24"/>
                <w:szCs w:val="24"/>
              </w:rPr>
              <w:t>.</w:t>
            </w:r>
            <w:r w:rsidR="00AC6F41">
              <w:rPr>
                <w:sz w:val="24"/>
                <w:szCs w:val="24"/>
              </w:rPr>
              <w:t xml:space="preserve"> </w:t>
            </w:r>
          </w:p>
        </w:tc>
        <w:tc>
          <w:tcPr>
            <w:tcW w:w="3038" w:type="dxa"/>
          </w:tcPr>
          <w:p w14:paraId="5FD4A917" w14:textId="18DEE4EA" w:rsidR="00726CE6" w:rsidRPr="00726CE6" w:rsidRDefault="00726CE6" w:rsidP="00726CE6">
            <w:pPr>
              <w:rPr>
                <w:sz w:val="24"/>
                <w:szCs w:val="24"/>
              </w:rPr>
            </w:pPr>
            <w:r>
              <w:rPr>
                <w:sz w:val="24"/>
                <w:szCs w:val="24"/>
              </w:rPr>
              <w:t xml:space="preserve">SY </w:t>
            </w:r>
            <w:r w:rsidRPr="00726CE6">
              <w:rPr>
                <w:sz w:val="24"/>
                <w:szCs w:val="24"/>
              </w:rPr>
              <w:t>17</w:t>
            </w:r>
            <w:r>
              <w:rPr>
                <w:sz w:val="24"/>
                <w:szCs w:val="24"/>
              </w:rPr>
              <w:t>/18</w:t>
            </w:r>
            <w:r w:rsidRPr="00726CE6">
              <w:rPr>
                <w:sz w:val="24"/>
                <w:szCs w:val="24"/>
              </w:rPr>
              <w:t xml:space="preserve"> to </w:t>
            </w:r>
            <w:r>
              <w:rPr>
                <w:sz w:val="24"/>
                <w:szCs w:val="24"/>
              </w:rPr>
              <w:t>SY 18</w:t>
            </w:r>
            <w:r w:rsidRPr="00726CE6">
              <w:rPr>
                <w:sz w:val="24"/>
                <w:szCs w:val="24"/>
              </w:rPr>
              <w:t>/1</w:t>
            </w:r>
            <w:r>
              <w:rPr>
                <w:sz w:val="24"/>
                <w:szCs w:val="24"/>
              </w:rPr>
              <w:t>9</w:t>
            </w:r>
            <w:r w:rsidRPr="00726CE6">
              <w:rPr>
                <w:sz w:val="24"/>
                <w:szCs w:val="24"/>
              </w:rPr>
              <w:t>:</w:t>
            </w:r>
          </w:p>
          <w:p w14:paraId="7C67B04B" w14:textId="611F86A7" w:rsidR="00726CE6" w:rsidRPr="00726CE6" w:rsidRDefault="00726CE6" w:rsidP="00726CE6">
            <w:pPr>
              <w:rPr>
                <w:sz w:val="24"/>
                <w:szCs w:val="24"/>
              </w:rPr>
            </w:pPr>
            <w:r w:rsidRPr="00726CE6">
              <w:rPr>
                <w:sz w:val="24"/>
                <w:szCs w:val="24"/>
              </w:rPr>
              <w:t xml:space="preserve">Math: </w:t>
            </w:r>
            <w:r w:rsidR="004D7CF6">
              <w:rPr>
                <w:sz w:val="24"/>
                <w:szCs w:val="24"/>
              </w:rPr>
              <w:t>3</w:t>
            </w:r>
            <w:r w:rsidRPr="00726CE6">
              <w:rPr>
                <w:sz w:val="24"/>
                <w:szCs w:val="24"/>
              </w:rPr>
              <w:t>% decrease</w:t>
            </w:r>
          </w:p>
          <w:p w14:paraId="0090524F" w14:textId="572043A8" w:rsidR="0005726E" w:rsidRPr="007F1216" w:rsidRDefault="00726CE6" w:rsidP="007F1216">
            <w:pPr>
              <w:rPr>
                <w:sz w:val="24"/>
                <w:szCs w:val="24"/>
              </w:rPr>
            </w:pPr>
            <w:r w:rsidRPr="00726CE6">
              <w:rPr>
                <w:sz w:val="24"/>
                <w:szCs w:val="24"/>
              </w:rPr>
              <w:t xml:space="preserve">ELA: </w:t>
            </w:r>
            <w:r w:rsidR="007C5F8C">
              <w:rPr>
                <w:sz w:val="24"/>
                <w:szCs w:val="24"/>
              </w:rPr>
              <w:t>19</w:t>
            </w:r>
            <w:r w:rsidRPr="00726CE6">
              <w:rPr>
                <w:sz w:val="24"/>
                <w:szCs w:val="24"/>
              </w:rPr>
              <w:t xml:space="preserve">% </w:t>
            </w:r>
            <w:r w:rsidR="004D7CF6" w:rsidRPr="00726CE6">
              <w:rPr>
                <w:sz w:val="24"/>
                <w:szCs w:val="24"/>
              </w:rPr>
              <w:t>decrease</w:t>
            </w:r>
          </w:p>
        </w:tc>
        <w:tc>
          <w:tcPr>
            <w:tcW w:w="1797" w:type="dxa"/>
          </w:tcPr>
          <w:p w14:paraId="3BB25E71" w14:textId="117199E0" w:rsidR="0005726E" w:rsidRPr="007F1216" w:rsidRDefault="00AD368D" w:rsidP="007F1216">
            <w:pPr>
              <w:rPr>
                <w:sz w:val="24"/>
                <w:szCs w:val="24"/>
              </w:rPr>
            </w:pPr>
            <w:r>
              <w:rPr>
                <w:sz w:val="24"/>
                <w:szCs w:val="24"/>
              </w:rPr>
              <w:t xml:space="preserve">Met </w:t>
            </w:r>
          </w:p>
        </w:tc>
      </w:tr>
    </w:tbl>
    <w:p w14:paraId="6A85973E" w14:textId="77777777" w:rsidR="003666FE" w:rsidRDefault="003666FE" w:rsidP="003666FE">
      <w:pPr>
        <w:jc w:val="both"/>
        <w:rPr>
          <w:b/>
          <w:sz w:val="24"/>
          <w:szCs w:val="24"/>
          <w:u w:val="single"/>
        </w:rPr>
      </w:pPr>
    </w:p>
    <w:p w14:paraId="2208225B" w14:textId="60048557" w:rsidR="003666FE" w:rsidRDefault="00A45B7A" w:rsidP="003666FE">
      <w:pPr>
        <w:rPr>
          <w:b/>
          <w:sz w:val="24"/>
          <w:szCs w:val="24"/>
          <w:u w:val="single"/>
        </w:rPr>
      </w:pPr>
      <w:r>
        <w:rPr>
          <w:b/>
          <w:sz w:val="24"/>
          <w:szCs w:val="24"/>
          <w:u w:val="single"/>
        </w:rPr>
        <w:t>Discussion</w:t>
      </w:r>
    </w:p>
    <w:p w14:paraId="6E6860BD" w14:textId="61A087DD" w:rsidR="00E45FD8" w:rsidRPr="00410C0C" w:rsidRDefault="00410C0C" w:rsidP="003666FE">
      <w:pPr>
        <w:rPr>
          <w:bCs/>
          <w:sz w:val="24"/>
          <w:szCs w:val="24"/>
        </w:rPr>
      </w:pPr>
      <w:r>
        <w:rPr>
          <w:bCs/>
          <w:sz w:val="24"/>
          <w:szCs w:val="24"/>
        </w:rPr>
        <w:t xml:space="preserve">Harpswell Coastal Academy </w:t>
      </w:r>
      <w:r w:rsidR="00570105">
        <w:rPr>
          <w:bCs/>
          <w:sz w:val="24"/>
          <w:szCs w:val="24"/>
        </w:rPr>
        <w:t>met one of its achievement gap targets and exceeded the other.</w:t>
      </w:r>
      <w:r>
        <w:rPr>
          <w:bCs/>
          <w:sz w:val="24"/>
          <w:szCs w:val="24"/>
          <w:lang w:val="x-none"/>
        </w:rPr>
        <w:t xml:space="preserve"> </w:t>
      </w:r>
    </w:p>
    <w:p w14:paraId="0E2301DE" w14:textId="77777777" w:rsidR="00CB0131" w:rsidRDefault="00CB0131" w:rsidP="003666FE">
      <w:pPr>
        <w:rPr>
          <w:b/>
          <w:sz w:val="24"/>
          <w:szCs w:val="24"/>
          <w:u w:val="single"/>
        </w:rPr>
      </w:pPr>
    </w:p>
    <w:p w14:paraId="77E5B469" w14:textId="77777777" w:rsidR="00E45FD8" w:rsidRDefault="00E45FD8" w:rsidP="003666FE">
      <w:pPr>
        <w:rPr>
          <w:b/>
          <w:sz w:val="24"/>
          <w:szCs w:val="24"/>
          <w:u w:val="single"/>
        </w:rPr>
      </w:pPr>
    </w:p>
    <w:tbl>
      <w:tblPr>
        <w:tblStyle w:val="TableGrid"/>
        <w:tblW w:w="0" w:type="auto"/>
        <w:tblLook w:val="04A0" w:firstRow="1" w:lastRow="0" w:firstColumn="1" w:lastColumn="0" w:noHBand="0" w:noVBand="1"/>
      </w:tblPr>
      <w:tblGrid>
        <w:gridCol w:w="9350"/>
      </w:tblGrid>
      <w:tr w:rsidR="003666FE" w14:paraId="0A231606" w14:textId="77777777" w:rsidTr="00FF4A56">
        <w:tc>
          <w:tcPr>
            <w:tcW w:w="9350" w:type="dxa"/>
            <w:shd w:val="clear" w:color="auto" w:fill="800000"/>
          </w:tcPr>
          <w:p w14:paraId="19B32F1C" w14:textId="4EDBE83F" w:rsidR="003666FE" w:rsidRDefault="003666FE" w:rsidP="00FF4A56">
            <w:pPr>
              <w:rPr>
                <w:rFonts w:cs="Arial"/>
                <w:sz w:val="28"/>
                <w:szCs w:val="28"/>
              </w:rPr>
            </w:pPr>
            <w:r>
              <w:rPr>
                <w:rFonts w:cs="Arial"/>
                <w:sz w:val="28"/>
                <w:szCs w:val="28"/>
              </w:rPr>
              <w:t xml:space="preserve">Section </w:t>
            </w:r>
            <w:r w:rsidR="00CD351A">
              <w:rPr>
                <w:rFonts w:cs="Arial"/>
                <w:sz w:val="28"/>
                <w:szCs w:val="28"/>
              </w:rPr>
              <w:t>6</w:t>
            </w:r>
            <w:r>
              <w:rPr>
                <w:rFonts w:cs="Arial"/>
                <w:sz w:val="28"/>
                <w:szCs w:val="28"/>
              </w:rPr>
              <w:t>: Attendance</w:t>
            </w:r>
            <w:r w:rsidR="008803D6">
              <w:rPr>
                <w:rFonts w:cs="Arial"/>
                <w:sz w:val="28"/>
                <w:szCs w:val="28"/>
              </w:rPr>
              <w:t xml:space="preserve"> </w:t>
            </w:r>
          </w:p>
        </w:tc>
      </w:tr>
    </w:tbl>
    <w:p w14:paraId="6006EBE6" w14:textId="7777777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697"/>
        <w:gridCol w:w="2963"/>
        <w:gridCol w:w="2343"/>
        <w:gridCol w:w="1797"/>
      </w:tblGrid>
      <w:tr w:rsidR="003666FE" w14:paraId="5540D054" w14:textId="77777777" w:rsidTr="00D62242">
        <w:tc>
          <w:tcPr>
            <w:tcW w:w="3697" w:type="dxa"/>
            <w:shd w:val="clear" w:color="auto" w:fill="C96772"/>
          </w:tcPr>
          <w:p w14:paraId="0494BD36" w14:textId="77777777" w:rsidR="003666FE" w:rsidRPr="003666FE" w:rsidRDefault="003666FE" w:rsidP="00FF4A56">
            <w:pPr>
              <w:jc w:val="center"/>
              <w:rPr>
                <w:b/>
                <w:sz w:val="24"/>
                <w:szCs w:val="24"/>
              </w:rPr>
            </w:pPr>
            <w:r>
              <w:rPr>
                <w:b/>
                <w:sz w:val="24"/>
                <w:szCs w:val="24"/>
              </w:rPr>
              <w:t>Measure</w:t>
            </w:r>
          </w:p>
        </w:tc>
        <w:tc>
          <w:tcPr>
            <w:tcW w:w="2963" w:type="dxa"/>
            <w:shd w:val="clear" w:color="auto" w:fill="C96772"/>
          </w:tcPr>
          <w:p w14:paraId="592B6E3F" w14:textId="77777777" w:rsidR="003666FE" w:rsidRPr="003666FE" w:rsidRDefault="003666FE" w:rsidP="00FF4A56">
            <w:pPr>
              <w:jc w:val="center"/>
              <w:rPr>
                <w:b/>
                <w:sz w:val="24"/>
                <w:szCs w:val="24"/>
              </w:rPr>
            </w:pPr>
            <w:r>
              <w:rPr>
                <w:b/>
                <w:sz w:val="24"/>
                <w:szCs w:val="24"/>
              </w:rPr>
              <w:t>Target</w:t>
            </w:r>
          </w:p>
        </w:tc>
        <w:tc>
          <w:tcPr>
            <w:tcW w:w="2343" w:type="dxa"/>
            <w:shd w:val="clear" w:color="auto" w:fill="C96772"/>
          </w:tcPr>
          <w:p w14:paraId="7231587A" w14:textId="77777777" w:rsidR="003666FE" w:rsidRPr="003666FE" w:rsidRDefault="003666FE" w:rsidP="00FF4A56">
            <w:pPr>
              <w:jc w:val="center"/>
              <w:rPr>
                <w:b/>
                <w:sz w:val="24"/>
                <w:szCs w:val="24"/>
              </w:rPr>
            </w:pPr>
            <w:r>
              <w:rPr>
                <w:b/>
                <w:sz w:val="24"/>
                <w:szCs w:val="24"/>
              </w:rPr>
              <w:t>Results</w:t>
            </w:r>
          </w:p>
        </w:tc>
        <w:tc>
          <w:tcPr>
            <w:tcW w:w="1797" w:type="dxa"/>
            <w:shd w:val="clear" w:color="auto" w:fill="C96772"/>
          </w:tcPr>
          <w:p w14:paraId="6A1C283E" w14:textId="46430595" w:rsidR="003666FE" w:rsidRPr="003666FE" w:rsidRDefault="003666FE" w:rsidP="00FF4A56">
            <w:pPr>
              <w:jc w:val="center"/>
              <w:rPr>
                <w:b/>
                <w:sz w:val="24"/>
                <w:szCs w:val="24"/>
              </w:rPr>
            </w:pPr>
          </w:p>
        </w:tc>
      </w:tr>
      <w:tr w:rsidR="003666FE" w14:paraId="4CC34632" w14:textId="77777777" w:rsidTr="00D62242">
        <w:tc>
          <w:tcPr>
            <w:tcW w:w="3697" w:type="dxa"/>
          </w:tcPr>
          <w:p w14:paraId="3284FF62" w14:textId="5BF3ACD7" w:rsidR="003666FE" w:rsidRPr="0070603A" w:rsidRDefault="008A1963" w:rsidP="0070603A">
            <w:pPr>
              <w:rPr>
                <w:sz w:val="24"/>
                <w:szCs w:val="24"/>
              </w:rPr>
            </w:pPr>
            <w:r>
              <w:rPr>
                <w:sz w:val="24"/>
                <w:szCs w:val="24"/>
              </w:rPr>
              <w:t xml:space="preserve">Average Daily </w:t>
            </w:r>
            <w:r w:rsidR="0070603A">
              <w:rPr>
                <w:sz w:val="24"/>
                <w:szCs w:val="24"/>
              </w:rPr>
              <w:t>Attendance</w:t>
            </w:r>
            <w:r>
              <w:rPr>
                <w:sz w:val="24"/>
                <w:szCs w:val="24"/>
              </w:rPr>
              <w:t xml:space="preserve"> Rate</w:t>
            </w:r>
          </w:p>
        </w:tc>
        <w:tc>
          <w:tcPr>
            <w:tcW w:w="2963" w:type="dxa"/>
          </w:tcPr>
          <w:p w14:paraId="3346166A" w14:textId="529F91CE" w:rsidR="003666FE" w:rsidRPr="0070603A" w:rsidRDefault="00AC7CA2" w:rsidP="0070603A">
            <w:pPr>
              <w:rPr>
                <w:sz w:val="24"/>
                <w:szCs w:val="24"/>
              </w:rPr>
            </w:pPr>
            <w:r>
              <w:rPr>
                <w:sz w:val="24"/>
                <w:szCs w:val="24"/>
              </w:rPr>
              <w:t xml:space="preserve">Division 1 </w:t>
            </w:r>
            <w:r w:rsidR="00821771">
              <w:rPr>
                <w:sz w:val="24"/>
                <w:szCs w:val="24"/>
              </w:rPr>
              <w:t>Annually ADA rate of 90%</w:t>
            </w:r>
            <w:r>
              <w:rPr>
                <w:sz w:val="24"/>
                <w:szCs w:val="24"/>
              </w:rPr>
              <w:t>.</w:t>
            </w:r>
          </w:p>
        </w:tc>
        <w:tc>
          <w:tcPr>
            <w:tcW w:w="2343" w:type="dxa"/>
          </w:tcPr>
          <w:p w14:paraId="22D6A2BF" w14:textId="2ED4CB8B" w:rsidR="003666FE" w:rsidRPr="0070603A" w:rsidRDefault="00CA64E5" w:rsidP="0070603A">
            <w:pPr>
              <w:rPr>
                <w:sz w:val="24"/>
                <w:szCs w:val="24"/>
              </w:rPr>
            </w:pPr>
            <w:r>
              <w:rPr>
                <w:sz w:val="24"/>
                <w:szCs w:val="24"/>
              </w:rPr>
              <w:t>91%</w:t>
            </w:r>
            <w:r w:rsidR="00867952">
              <w:rPr>
                <w:sz w:val="24"/>
                <w:szCs w:val="24"/>
              </w:rPr>
              <w:t xml:space="preserve"> Division 1 ADA</w:t>
            </w:r>
          </w:p>
        </w:tc>
        <w:tc>
          <w:tcPr>
            <w:tcW w:w="1797" w:type="dxa"/>
          </w:tcPr>
          <w:p w14:paraId="1F2E42BE" w14:textId="1251697C" w:rsidR="003666FE" w:rsidRPr="0070603A" w:rsidRDefault="0082379D" w:rsidP="0070603A">
            <w:pPr>
              <w:rPr>
                <w:sz w:val="24"/>
                <w:szCs w:val="24"/>
              </w:rPr>
            </w:pPr>
            <w:r>
              <w:rPr>
                <w:sz w:val="24"/>
                <w:szCs w:val="24"/>
              </w:rPr>
              <w:t>Me</w:t>
            </w:r>
            <w:r w:rsidR="0007528F">
              <w:rPr>
                <w:sz w:val="24"/>
                <w:szCs w:val="24"/>
              </w:rPr>
              <w:t>t</w:t>
            </w:r>
          </w:p>
        </w:tc>
      </w:tr>
      <w:tr w:rsidR="001E42FA" w14:paraId="0A452715" w14:textId="77777777" w:rsidTr="00D62242">
        <w:tc>
          <w:tcPr>
            <w:tcW w:w="3697" w:type="dxa"/>
          </w:tcPr>
          <w:p w14:paraId="7A68B777" w14:textId="76BA13D5" w:rsidR="001E42FA" w:rsidRPr="0070603A" w:rsidRDefault="001E42FA" w:rsidP="0070603A">
            <w:pPr>
              <w:rPr>
                <w:sz w:val="24"/>
                <w:szCs w:val="24"/>
              </w:rPr>
            </w:pPr>
            <w:r>
              <w:rPr>
                <w:sz w:val="24"/>
                <w:szCs w:val="24"/>
              </w:rPr>
              <w:t>Average Daily Attendance Rate</w:t>
            </w:r>
          </w:p>
        </w:tc>
        <w:tc>
          <w:tcPr>
            <w:tcW w:w="2963" w:type="dxa"/>
          </w:tcPr>
          <w:p w14:paraId="51996C2B" w14:textId="77777777" w:rsidR="001E42FA" w:rsidRDefault="001E42FA" w:rsidP="0070603A">
            <w:pPr>
              <w:rPr>
                <w:sz w:val="24"/>
                <w:szCs w:val="24"/>
              </w:rPr>
            </w:pPr>
            <w:r>
              <w:rPr>
                <w:sz w:val="24"/>
                <w:szCs w:val="24"/>
              </w:rPr>
              <w:t>Division 2 and 3 targets increasing annually to 90% in 2022-23.</w:t>
            </w:r>
          </w:p>
          <w:p w14:paraId="1E533F20" w14:textId="22F6AC8D" w:rsidR="001E42FA" w:rsidRPr="0070603A" w:rsidRDefault="001E42FA" w:rsidP="0070603A">
            <w:pPr>
              <w:rPr>
                <w:sz w:val="24"/>
                <w:szCs w:val="24"/>
              </w:rPr>
            </w:pPr>
            <w:r>
              <w:rPr>
                <w:sz w:val="24"/>
                <w:szCs w:val="24"/>
              </w:rPr>
              <w:t>2018-19 target= 86%</w:t>
            </w:r>
          </w:p>
        </w:tc>
        <w:tc>
          <w:tcPr>
            <w:tcW w:w="2343" w:type="dxa"/>
          </w:tcPr>
          <w:p w14:paraId="7AA981DE" w14:textId="30B03E18" w:rsidR="001E42FA" w:rsidRPr="0070603A" w:rsidRDefault="001E42FA" w:rsidP="0070603A">
            <w:pPr>
              <w:rPr>
                <w:sz w:val="24"/>
                <w:szCs w:val="24"/>
              </w:rPr>
            </w:pPr>
            <w:r>
              <w:rPr>
                <w:sz w:val="24"/>
                <w:szCs w:val="24"/>
              </w:rPr>
              <w:t>89%</w:t>
            </w:r>
            <w:r w:rsidR="00867952">
              <w:rPr>
                <w:sz w:val="24"/>
                <w:szCs w:val="24"/>
              </w:rPr>
              <w:t xml:space="preserve"> Division 2/3 ADA</w:t>
            </w:r>
          </w:p>
        </w:tc>
        <w:tc>
          <w:tcPr>
            <w:tcW w:w="1797" w:type="dxa"/>
          </w:tcPr>
          <w:p w14:paraId="53E81A48" w14:textId="4E3D00BB" w:rsidR="001E42FA" w:rsidRPr="0070603A" w:rsidRDefault="001E42FA" w:rsidP="0070603A">
            <w:pPr>
              <w:rPr>
                <w:sz w:val="24"/>
                <w:szCs w:val="24"/>
              </w:rPr>
            </w:pPr>
            <w:r>
              <w:rPr>
                <w:sz w:val="24"/>
                <w:szCs w:val="24"/>
              </w:rPr>
              <w:t>Me</w:t>
            </w:r>
            <w:r w:rsidR="0007528F">
              <w:rPr>
                <w:sz w:val="24"/>
                <w:szCs w:val="24"/>
              </w:rPr>
              <w:t>t</w:t>
            </w:r>
          </w:p>
        </w:tc>
      </w:tr>
    </w:tbl>
    <w:p w14:paraId="11D99DA7" w14:textId="77777777" w:rsidR="003666FE" w:rsidRDefault="003666FE" w:rsidP="003666FE">
      <w:pPr>
        <w:jc w:val="both"/>
        <w:rPr>
          <w:b/>
          <w:sz w:val="24"/>
          <w:szCs w:val="24"/>
          <w:u w:val="single"/>
        </w:rPr>
      </w:pPr>
    </w:p>
    <w:p w14:paraId="6481CA09" w14:textId="40F49F93" w:rsidR="003666FE" w:rsidRDefault="00A45B7A" w:rsidP="003666FE">
      <w:pPr>
        <w:rPr>
          <w:b/>
          <w:sz w:val="24"/>
          <w:szCs w:val="24"/>
          <w:u w:val="single"/>
        </w:rPr>
      </w:pPr>
      <w:r>
        <w:rPr>
          <w:b/>
          <w:sz w:val="24"/>
          <w:szCs w:val="24"/>
          <w:u w:val="single"/>
        </w:rPr>
        <w:t>Discussion</w:t>
      </w:r>
    </w:p>
    <w:p w14:paraId="7FB223DD" w14:textId="798FD7EB" w:rsidR="003666FE" w:rsidRDefault="009D255B" w:rsidP="003666FE">
      <w:pPr>
        <w:rPr>
          <w:bCs/>
          <w:sz w:val="24"/>
          <w:szCs w:val="24"/>
        </w:rPr>
      </w:pPr>
      <w:r w:rsidRPr="009D255B">
        <w:rPr>
          <w:bCs/>
          <w:sz w:val="24"/>
          <w:szCs w:val="24"/>
        </w:rPr>
        <w:t>HCA met both of its attendance target</w:t>
      </w:r>
      <w:r w:rsidR="00AD4AEF">
        <w:rPr>
          <w:bCs/>
          <w:sz w:val="24"/>
          <w:szCs w:val="24"/>
        </w:rPr>
        <w:t xml:space="preserve"> of 90% at </w:t>
      </w:r>
      <w:r w:rsidR="00B432A8">
        <w:rPr>
          <w:bCs/>
          <w:sz w:val="24"/>
          <w:szCs w:val="24"/>
        </w:rPr>
        <w:t>division 1 and its target of 86% for division 2</w:t>
      </w:r>
      <w:r>
        <w:rPr>
          <w:bCs/>
          <w:sz w:val="24"/>
          <w:szCs w:val="24"/>
        </w:rPr>
        <w:t>.</w:t>
      </w:r>
    </w:p>
    <w:p w14:paraId="058B1953" w14:textId="77777777" w:rsidR="0083577E" w:rsidRPr="009D255B" w:rsidRDefault="0083577E" w:rsidP="003666FE">
      <w:pPr>
        <w:rPr>
          <w:bCs/>
          <w:sz w:val="24"/>
          <w:szCs w:val="24"/>
        </w:rPr>
      </w:pPr>
    </w:p>
    <w:p w14:paraId="7016C5FA" w14:textId="77777777" w:rsidR="003666FE" w:rsidRDefault="003666FE" w:rsidP="003666FE">
      <w:pPr>
        <w:rPr>
          <w:b/>
          <w:sz w:val="24"/>
          <w:szCs w:val="24"/>
          <w:u w:val="single"/>
        </w:rPr>
      </w:pPr>
    </w:p>
    <w:tbl>
      <w:tblPr>
        <w:tblStyle w:val="TableGrid"/>
        <w:tblW w:w="0" w:type="auto"/>
        <w:tblLook w:val="04A0" w:firstRow="1" w:lastRow="0" w:firstColumn="1" w:lastColumn="0" w:noHBand="0" w:noVBand="1"/>
      </w:tblPr>
      <w:tblGrid>
        <w:gridCol w:w="9350"/>
      </w:tblGrid>
      <w:tr w:rsidR="001617C6" w14:paraId="0189F1BC" w14:textId="77777777" w:rsidTr="0097141B">
        <w:tc>
          <w:tcPr>
            <w:tcW w:w="9350" w:type="dxa"/>
            <w:shd w:val="clear" w:color="auto" w:fill="800000"/>
          </w:tcPr>
          <w:p w14:paraId="7072DCB5" w14:textId="1CAD8C93" w:rsidR="001617C6" w:rsidRDefault="001617C6" w:rsidP="0097141B">
            <w:pPr>
              <w:rPr>
                <w:rFonts w:cs="Arial"/>
                <w:sz w:val="28"/>
                <w:szCs w:val="28"/>
              </w:rPr>
            </w:pPr>
            <w:r>
              <w:rPr>
                <w:rFonts w:cs="Arial"/>
                <w:sz w:val="28"/>
                <w:szCs w:val="28"/>
              </w:rPr>
              <w:t xml:space="preserve">Section </w:t>
            </w:r>
            <w:r w:rsidR="00CD351A">
              <w:rPr>
                <w:rFonts w:cs="Arial"/>
                <w:sz w:val="28"/>
                <w:szCs w:val="28"/>
              </w:rPr>
              <w:t>7</w:t>
            </w:r>
            <w:r>
              <w:rPr>
                <w:rFonts w:cs="Arial"/>
                <w:sz w:val="28"/>
                <w:szCs w:val="28"/>
              </w:rPr>
              <w:t>: Enrollment</w:t>
            </w:r>
          </w:p>
        </w:tc>
      </w:tr>
    </w:tbl>
    <w:p w14:paraId="0B362943" w14:textId="7777777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697"/>
        <w:gridCol w:w="3053"/>
        <w:gridCol w:w="2253"/>
        <w:gridCol w:w="1797"/>
      </w:tblGrid>
      <w:tr w:rsidR="003666FE" w14:paraId="637B214C" w14:textId="77777777" w:rsidTr="00D62242">
        <w:tc>
          <w:tcPr>
            <w:tcW w:w="3697" w:type="dxa"/>
            <w:shd w:val="clear" w:color="auto" w:fill="C96772"/>
          </w:tcPr>
          <w:p w14:paraId="37D99C4C" w14:textId="77777777" w:rsidR="003666FE" w:rsidRPr="003666FE" w:rsidRDefault="003666FE" w:rsidP="00FF4A56">
            <w:pPr>
              <w:jc w:val="center"/>
              <w:rPr>
                <w:b/>
                <w:sz w:val="24"/>
                <w:szCs w:val="24"/>
              </w:rPr>
            </w:pPr>
            <w:r>
              <w:rPr>
                <w:b/>
                <w:sz w:val="24"/>
                <w:szCs w:val="24"/>
              </w:rPr>
              <w:t>Measure</w:t>
            </w:r>
          </w:p>
        </w:tc>
        <w:tc>
          <w:tcPr>
            <w:tcW w:w="3053" w:type="dxa"/>
            <w:shd w:val="clear" w:color="auto" w:fill="C96772"/>
          </w:tcPr>
          <w:p w14:paraId="324DE8DA" w14:textId="77777777" w:rsidR="003666FE" w:rsidRPr="003666FE" w:rsidRDefault="003666FE" w:rsidP="00FF4A56">
            <w:pPr>
              <w:jc w:val="center"/>
              <w:rPr>
                <w:b/>
                <w:sz w:val="24"/>
                <w:szCs w:val="24"/>
              </w:rPr>
            </w:pPr>
            <w:r>
              <w:rPr>
                <w:b/>
                <w:sz w:val="24"/>
                <w:szCs w:val="24"/>
              </w:rPr>
              <w:t>Target</w:t>
            </w:r>
          </w:p>
        </w:tc>
        <w:tc>
          <w:tcPr>
            <w:tcW w:w="2253" w:type="dxa"/>
            <w:shd w:val="clear" w:color="auto" w:fill="C96772"/>
          </w:tcPr>
          <w:p w14:paraId="71EAB37B" w14:textId="77777777" w:rsidR="003666FE" w:rsidRPr="003666FE" w:rsidRDefault="003666FE" w:rsidP="00FF4A56">
            <w:pPr>
              <w:jc w:val="center"/>
              <w:rPr>
                <w:b/>
                <w:sz w:val="24"/>
                <w:szCs w:val="24"/>
              </w:rPr>
            </w:pPr>
            <w:r>
              <w:rPr>
                <w:b/>
                <w:sz w:val="24"/>
                <w:szCs w:val="24"/>
              </w:rPr>
              <w:t>Results</w:t>
            </w:r>
          </w:p>
        </w:tc>
        <w:tc>
          <w:tcPr>
            <w:tcW w:w="1797" w:type="dxa"/>
            <w:shd w:val="clear" w:color="auto" w:fill="C96772"/>
          </w:tcPr>
          <w:p w14:paraId="53F4700A" w14:textId="143A0D6F" w:rsidR="003666FE" w:rsidRPr="003666FE" w:rsidRDefault="003666FE" w:rsidP="00FF4A56">
            <w:pPr>
              <w:jc w:val="center"/>
              <w:rPr>
                <w:b/>
                <w:sz w:val="24"/>
                <w:szCs w:val="24"/>
              </w:rPr>
            </w:pPr>
          </w:p>
        </w:tc>
      </w:tr>
      <w:tr w:rsidR="00A27FBF" w14:paraId="3B763799" w14:textId="77777777" w:rsidTr="00DE56E2">
        <w:tc>
          <w:tcPr>
            <w:tcW w:w="3697" w:type="dxa"/>
          </w:tcPr>
          <w:p w14:paraId="576F0A1F" w14:textId="77777777" w:rsidR="00A27FBF" w:rsidRPr="003E1CC6" w:rsidRDefault="00A27FBF" w:rsidP="00DE56E2">
            <w:pPr>
              <w:rPr>
                <w:sz w:val="24"/>
                <w:szCs w:val="24"/>
              </w:rPr>
            </w:pPr>
            <w:r>
              <w:rPr>
                <w:sz w:val="24"/>
                <w:szCs w:val="24"/>
              </w:rPr>
              <w:t>Student enrollment from year to year</w:t>
            </w:r>
          </w:p>
        </w:tc>
        <w:tc>
          <w:tcPr>
            <w:tcW w:w="3053" w:type="dxa"/>
          </w:tcPr>
          <w:p w14:paraId="59E4237F" w14:textId="5A97EF99" w:rsidR="00A27FBF" w:rsidRPr="003E1CC6" w:rsidRDefault="00A27FBF" w:rsidP="00DE56E2">
            <w:pPr>
              <w:rPr>
                <w:sz w:val="24"/>
                <w:szCs w:val="24"/>
              </w:rPr>
            </w:pPr>
            <w:r>
              <w:rPr>
                <w:sz w:val="24"/>
                <w:szCs w:val="24"/>
              </w:rPr>
              <w:t xml:space="preserve">80% of eligible students enrolled on </w:t>
            </w:r>
            <w:r w:rsidR="00FE6E93">
              <w:rPr>
                <w:sz w:val="24"/>
                <w:szCs w:val="24"/>
              </w:rPr>
              <w:t xml:space="preserve">student count </w:t>
            </w:r>
            <w:r>
              <w:rPr>
                <w:sz w:val="24"/>
                <w:szCs w:val="24"/>
              </w:rPr>
              <w:t>day will indicate intent to reenroll for the following year.</w:t>
            </w:r>
          </w:p>
        </w:tc>
        <w:tc>
          <w:tcPr>
            <w:tcW w:w="2253" w:type="dxa"/>
          </w:tcPr>
          <w:p w14:paraId="2032AFFB" w14:textId="07D06EFF" w:rsidR="00A27FBF" w:rsidRPr="003E1CC6" w:rsidRDefault="00260547" w:rsidP="00DE56E2">
            <w:pPr>
              <w:rPr>
                <w:sz w:val="24"/>
                <w:szCs w:val="24"/>
              </w:rPr>
            </w:pPr>
            <w:r>
              <w:rPr>
                <w:sz w:val="24"/>
                <w:szCs w:val="24"/>
              </w:rPr>
              <w:t>80</w:t>
            </w:r>
            <w:r w:rsidRPr="00260547">
              <w:rPr>
                <w:sz w:val="24"/>
                <w:szCs w:val="24"/>
              </w:rPr>
              <w:t>% of eligible students re-enrolled.</w:t>
            </w:r>
          </w:p>
        </w:tc>
        <w:tc>
          <w:tcPr>
            <w:tcW w:w="1797" w:type="dxa"/>
          </w:tcPr>
          <w:p w14:paraId="5395F8CA" w14:textId="1D61DD2A" w:rsidR="00A27FBF" w:rsidRPr="003E1CC6" w:rsidRDefault="00260547" w:rsidP="00DE56E2">
            <w:pPr>
              <w:rPr>
                <w:sz w:val="24"/>
                <w:szCs w:val="24"/>
              </w:rPr>
            </w:pPr>
            <w:r>
              <w:rPr>
                <w:sz w:val="24"/>
                <w:szCs w:val="24"/>
              </w:rPr>
              <w:t>Me</w:t>
            </w:r>
            <w:r w:rsidR="0007528F">
              <w:rPr>
                <w:sz w:val="24"/>
                <w:szCs w:val="24"/>
              </w:rPr>
              <w:t>t</w:t>
            </w:r>
          </w:p>
        </w:tc>
      </w:tr>
    </w:tbl>
    <w:p w14:paraId="7B11CBB0" w14:textId="77777777" w:rsidR="003666FE" w:rsidRDefault="003666FE" w:rsidP="003666FE">
      <w:pPr>
        <w:jc w:val="both"/>
        <w:rPr>
          <w:b/>
          <w:sz w:val="24"/>
          <w:szCs w:val="24"/>
          <w:u w:val="single"/>
        </w:rPr>
      </w:pPr>
    </w:p>
    <w:p w14:paraId="0B357D9F" w14:textId="06D236FB" w:rsidR="003666FE" w:rsidRDefault="00A45B7A" w:rsidP="0077415E">
      <w:pPr>
        <w:rPr>
          <w:b/>
          <w:sz w:val="24"/>
          <w:szCs w:val="24"/>
          <w:u w:val="single"/>
        </w:rPr>
      </w:pPr>
      <w:r>
        <w:rPr>
          <w:b/>
          <w:sz w:val="24"/>
          <w:szCs w:val="24"/>
          <w:u w:val="single"/>
        </w:rPr>
        <w:t>Discussion</w:t>
      </w:r>
    </w:p>
    <w:p w14:paraId="6810B831" w14:textId="4E28EEFB" w:rsidR="009D255B" w:rsidRDefault="00E33E8A" w:rsidP="0077415E">
      <w:pPr>
        <w:rPr>
          <w:bCs/>
          <w:sz w:val="24"/>
          <w:szCs w:val="24"/>
        </w:rPr>
      </w:pPr>
      <w:r>
        <w:rPr>
          <w:bCs/>
          <w:sz w:val="24"/>
          <w:szCs w:val="24"/>
        </w:rPr>
        <w:t>HCA met is target for student reenrollment from year to year</w:t>
      </w:r>
      <w:r w:rsidR="00B432A8">
        <w:rPr>
          <w:bCs/>
          <w:sz w:val="24"/>
          <w:szCs w:val="24"/>
        </w:rPr>
        <w:t xml:space="preserve"> with 80% of eligible students re-enrolling. </w:t>
      </w:r>
    </w:p>
    <w:p w14:paraId="1364ED66" w14:textId="21F43035" w:rsidR="00AD368D" w:rsidRDefault="00AD368D" w:rsidP="0077415E">
      <w:pPr>
        <w:rPr>
          <w:bCs/>
          <w:sz w:val="24"/>
          <w:szCs w:val="24"/>
        </w:rPr>
      </w:pPr>
    </w:p>
    <w:p w14:paraId="2FEA260A" w14:textId="77777777" w:rsidR="00AD368D" w:rsidRPr="00073EF3" w:rsidRDefault="00AD368D" w:rsidP="0077415E">
      <w:pPr>
        <w:rPr>
          <w:bCs/>
          <w:sz w:val="24"/>
          <w:szCs w:val="24"/>
        </w:rPr>
      </w:pPr>
    </w:p>
    <w:tbl>
      <w:tblPr>
        <w:tblStyle w:val="TableGrid"/>
        <w:tblW w:w="0" w:type="auto"/>
        <w:tblLook w:val="04A0" w:firstRow="1" w:lastRow="0" w:firstColumn="1" w:lastColumn="0" w:noHBand="0" w:noVBand="1"/>
      </w:tblPr>
      <w:tblGrid>
        <w:gridCol w:w="9350"/>
      </w:tblGrid>
      <w:tr w:rsidR="001617C6" w14:paraId="7E28029B" w14:textId="77777777" w:rsidTr="0097141B">
        <w:tc>
          <w:tcPr>
            <w:tcW w:w="9350" w:type="dxa"/>
            <w:shd w:val="clear" w:color="auto" w:fill="800000"/>
          </w:tcPr>
          <w:p w14:paraId="2267AB6C" w14:textId="393A6E10" w:rsidR="001617C6" w:rsidRDefault="001617C6" w:rsidP="0097141B">
            <w:pPr>
              <w:rPr>
                <w:rFonts w:cs="Arial"/>
                <w:sz w:val="28"/>
                <w:szCs w:val="28"/>
              </w:rPr>
            </w:pPr>
            <w:r>
              <w:rPr>
                <w:rFonts w:cs="Arial"/>
                <w:sz w:val="28"/>
                <w:szCs w:val="28"/>
              </w:rPr>
              <w:lastRenderedPageBreak/>
              <w:t xml:space="preserve">Section </w:t>
            </w:r>
            <w:r w:rsidR="00CD351A">
              <w:rPr>
                <w:rFonts w:cs="Arial"/>
                <w:sz w:val="28"/>
                <w:szCs w:val="28"/>
              </w:rPr>
              <w:t>8</w:t>
            </w:r>
            <w:r>
              <w:rPr>
                <w:rFonts w:cs="Arial"/>
                <w:sz w:val="28"/>
                <w:szCs w:val="28"/>
              </w:rPr>
              <w:t>: Post-Secondary Readiness</w:t>
            </w:r>
          </w:p>
        </w:tc>
      </w:tr>
    </w:tbl>
    <w:p w14:paraId="737BC57F" w14:textId="77777777"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3690"/>
        <w:gridCol w:w="2843"/>
        <w:gridCol w:w="2470"/>
        <w:gridCol w:w="1797"/>
      </w:tblGrid>
      <w:tr w:rsidR="008803D6" w14:paraId="6FC36EE8" w14:textId="77777777" w:rsidTr="007442D6">
        <w:tc>
          <w:tcPr>
            <w:tcW w:w="3690" w:type="dxa"/>
            <w:shd w:val="clear" w:color="auto" w:fill="C96772"/>
          </w:tcPr>
          <w:p w14:paraId="6E549E6F" w14:textId="77777777" w:rsidR="008803D6" w:rsidRPr="003666FE" w:rsidRDefault="008803D6" w:rsidP="00FF4A56">
            <w:pPr>
              <w:jc w:val="center"/>
              <w:rPr>
                <w:b/>
                <w:sz w:val="24"/>
                <w:szCs w:val="24"/>
              </w:rPr>
            </w:pPr>
            <w:r>
              <w:rPr>
                <w:b/>
                <w:sz w:val="24"/>
                <w:szCs w:val="24"/>
              </w:rPr>
              <w:t>Measure</w:t>
            </w:r>
          </w:p>
        </w:tc>
        <w:tc>
          <w:tcPr>
            <w:tcW w:w="2843" w:type="dxa"/>
            <w:shd w:val="clear" w:color="auto" w:fill="C96772"/>
          </w:tcPr>
          <w:p w14:paraId="3F4EE78F" w14:textId="77777777" w:rsidR="008803D6" w:rsidRPr="003666FE" w:rsidRDefault="008803D6" w:rsidP="00FF4A56">
            <w:pPr>
              <w:jc w:val="center"/>
              <w:rPr>
                <w:b/>
                <w:sz w:val="24"/>
                <w:szCs w:val="24"/>
              </w:rPr>
            </w:pPr>
            <w:r>
              <w:rPr>
                <w:b/>
                <w:sz w:val="24"/>
                <w:szCs w:val="24"/>
              </w:rPr>
              <w:t>Target</w:t>
            </w:r>
          </w:p>
        </w:tc>
        <w:tc>
          <w:tcPr>
            <w:tcW w:w="2470" w:type="dxa"/>
            <w:shd w:val="clear" w:color="auto" w:fill="C96772"/>
          </w:tcPr>
          <w:p w14:paraId="51162DB1" w14:textId="77777777" w:rsidR="008803D6" w:rsidRPr="003666FE" w:rsidRDefault="008803D6" w:rsidP="00FF4A56">
            <w:pPr>
              <w:jc w:val="center"/>
              <w:rPr>
                <w:b/>
                <w:sz w:val="24"/>
                <w:szCs w:val="24"/>
              </w:rPr>
            </w:pPr>
            <w:r>
              <w:rPr>
                <w:b/>
                <w:sz w:val="24"/>
                <w:szCs w:val="24"/>
              </w:rPr>
              <w:t>Results</w:t>
            </w:r>
          </w:p>
        </w:tc>
        <w:tc>
          <w:tcPr>
            <w:tcW w:w="1797" w:type="dxa"/>
            <w:shd w:val="clear" w:color="auto" w:fill="C96772"/>
          </w:tcPr>
          <w:p w14:paraId="5AE3C9D9" w14:textId="122208CF" w:rsidR="008803D6" w:rsidRPr="003666FE" w:rsidRDefault="008803D6" w:rsidP="00FF4A56">
            <w:pPr>
              <w:jc w:val="center"/>
              <w:rPr>
                <w:b/>
                <w:sz w:val="24"/>
                <w:szCs w:val="24"/>
              </w:rPr>
            </w:pPr>
          </w:p>
        </w:tc>
      </w:tr>
      <w:tr w:rsidR="008803D6" w14:paraId="2944BF35" w14:textId="77777777" w:rsidTr="001D2322">
        <w:tc>
          <w:tcPr>
            <w:tcW w:w="3690" w:type="dxa"/>
          </w:tcPr>
          <w:p w14:paraId="3782BBC2" w14:textId="1E403651" w:rsidR="008803D6" w:rsidRPr="002C6326" w:rsidRDefault="002C6326" w:rsidP="002C6326">
            <w:pPr>
              <w:rPr>
                <w:sz w:val="24"/>
                <w:szCs w:val="24"/>
              </w:rPr>
            </w:pPr>
            <w:r>
              <w:rPr>
                <w:sz w:val="24"/>
                <w:szCs w:val="24"/>
              </w:rPr>
              <w:t>Federal Grad</w:t>
            </w:r>
            <w:r w:rsidR="003C4096">
              <w:rPr>
                <w:sz w:val="24"/>
                <w:szCs w:val="24"/>
              </w:rPr>
              <w:t>uation 4 year Adjusted Cohort Graduation Rate (ACGR)</w:t>
            </w:r>
          </w:p>
        </w:tc>
        <w:tc>
          <w:tcPr>
            <w:tcW w:w="2843" w:type="dxa"/>
          </w:tcPr>
          <w:p w14:paraId="2D69D686" w14:textId="00A65061" w:rsidR="008803D6" w:rsidRPr="002C6326" w:rsidRDefault="00D45DD7" w:rsidP="002C6326">
            <w:pPr>
              <w:rPr>
                <w:sz w:val="24"/>
                <w:szCs w:val="24"/>
              </w:rPr>
            </w:pPr>
            <w:r>
              <w:rPr>
                <w:sz w:val="24"/>
                <w:szCs w:val="24"/>
              </w:rPr>
              <w:t xml:space="preserve">Overall combined graduation rate (4, 5, and 6 year cohorts) </w:t>
            </w:r>
            <w:r w:rsidR="006A02A9">
              <w:rPr>
                <w:sz w:val="24"/>
                <w:szCs w:val="24"/>
              </w:rPr>
              <w:t>for students enrolled a minimum of 2 years will be 90%</w:t>
            </w:r>
          </w:p>
        </w:tc>
        <w:tc>
          <w:tcPr>
            <w:tcW w:w="2470" w:type="dxa"/>
          </w:tcPr>
          <w:p w14:paraId="50578C60" w14:textId="6CB1DA10" w:rsidR="008803D6" w:rsidRPr="002C6326" w:rsidRDefault="003955C5" w:rsidP="002C6326">
            <w:pPr>
              <w:rPr>
                <w:sz w:val="24"/>
                <w:szCs w:val="24"/>
              </w:rPr>
            </w:pPr>
            <w:r>
              <w:rPr>
                <w:sz w:val="24"/>
                <w:szCs w:val="24"/>
              </w:rPr>
              <w:t xml:space="preserve">64% overall combined </w:t>
            </w:r>
            <w:r w:rsidR="00A05FAA">
              <w:rPr>
                <w:sz w:val="24"/>
                <w:szCs w:val="24"/>
              </w:rPr>
              <w:t>graduation rate for students enrolled a minimum of 2 years</w:t>
            </w:r>
          </w:p>
        </w:tc>
        <w:tc>
          <w:tcPr>
            <w:tcW w:w="1797" w:type="dxa"/>
          </w:tcPr>
          <w:p w14:paraId="49B11378" w14:textId="7B0695AA" w:rsidR="008803D6" w:rsidRPr="002C6326" w:rsidRDefault="0007528F" w:rsidP="002C6326">
            <w:pPr>
              <w:rPr>
                <w:sz w:val="24"/>
                <w:szCs w:val="24"/>
              </w:rPr>
            </w:pPr>
            <w:r>
              <w:rPr>
                <w:sz w:val="24"/>
                <w:szCs w:val="24"/>
              </w:rPr>
              <w:t>Did</w:t>
            </w:r>
            <w:r w:rsidR="00181896">
              <w:rPr>
                <w:sz w:val="24"/>
                <w:szCs w:val="24"/>
              </w:rPr>
              <w:t xml:space="preserve"> not meet</w:t>
            </w:r>
          </w:p>
        </w:tc>
      </w:tr>
      <w:tr w:rsidR="008803D6" w14:paraId="4599974E" w14:textId="77777777" w:rsidTr="001D2322">
        <w:tc>
          <w:tcPr>
            <w:tcW w:w="3690" w:type="dxa"/>
          </w:tcPr>
          <w:p w14:paraId="4D681B36" w14:textId="1B5C363E" w:rsidR="008803D6" w:rsidRPr="002C6326" w:rsidRDefault="00D73FDB" w:rsidP="002C6326">
            <w:pPr>
              <w:rPr>
                <w:sz w:val="24"/>
                <w:szCs w:val="24"/>
              </w:rPr>
            </w:pPr>
            <w:r>
              <w:rPr>
                <w:sz w:val="24"/>
                <w:szCs w:val="24"/>
              </w:rPr>
              <w:t>Graduation Rate</w:t>
            </w:r>
          </w:p>
        </w:tc>
        <w:tc>
          <w:tcPr>
            <w:tcW w:w="2843" w:type="dxa"/>
          </w:tcPr>
          <w:p w14:paraId="738C4A81" w14:textId="77777777" w:rsidR="00A11571" w:rsidRDefault="00B200CD" w:rsidP="002C6326">
            <w:pPr>
              <w:rPr>
                <w:sz w:val="24"/>
                <w:szCs w:val="24"/>
              </w:rPr>
            </w:pPr>
            <w:r>
              <w:rPr>
                <w:sz w:val="24"/>
                <w:szCs w:val="24"/>
              </w:rPr>
              <w:t xml:space="preserve">4-year ACGR of 60% </w:t>
            </w:r>
          </w:p>
          <w:p w14:paraId="2DE8C0FB" w14:textId="794552F4" w:rsidR="008803D6" w:rsidRPr="002C6326" w:rsidRDefault="00B200CD" w:rsidP="002C6326">
            <w:pPr>
              <w:rPr>
                <w:sz w:val="24"/>
                <w:szCs w:val="24"/>
              </w:rPr>
            </w:pPr>
            <w:r>
              <w:rPr>
                <w:sz w:val="24"/>
                <w:szCs w:val="24"/>
              </w:rPr>
              <w:t xml:space="preserve"> </w:t>
            </w:r>
          </w:p>
        </w:tc>
        <w:tc>
          <w:tcPr>
            <w:tcW w:w="2470" w:type="dxa"/>
          </w:tcPr>
          <w:p w14:paraId="55403945" w14:textId="09F16A11" w:rsidR="008803D6" w:rsidRPr="002C6326" w:rsidRDefault="003955C5" w:rsidP="002C6326">
            <w:pPr>
              <w:rPr>
                <w:sz w:val="24"/>
                <w:szCs w:val="24"/>
              </w:rPr>
            </w:pPr>
            <w:r>
              <w:rPr>
                <w:sz w:val="24"/>
                <w:szCs w:val="24"/>
              </w:rPr>
              <w:t>73%</w:t>
            </w:r>
            <w:r w:rsidR="00A05FAA">
              <w:rPr>
                <w:sz w:val="24"/>
                <w:szCs w:val="24"/>
              </w:rPr>
              <w:t xml:space="preserve"> </w:t>
            </w:r>
            <w:r w:rsidR="00A11571">
              <w:rPr>
                <w:sz w:val="24"/>
                <w:szCs w:val="24"/>
              </w:rPr>
              <w:t xml:space="preserve">4–year ACGR </w:t>
            </w:r>
          </w:p>
        </w:tc>
        <w:tc>
          <w:tcPr>
            <w:tcW w:w="1797" w:type="dxa"/>
          </w:tcPr>
          <w:p w14:paraId="1BE1EEF9" w14:textId="5C89CBCE" w:rsidR="008803D6" w:rsidRPr="002C6326" w:rsidRDefault="00181896" w:rsidP="002C6326">
            <w:pPr>
              <w:rPr>
                <w:sz w:val="24"/>
                <w:szCs w:val="24"/>
              </w:rPr>
            </w:pPr>
            <w:r>
              <w:rPr>
                <w:sz w:val="24"/>
                <w:szCs w:val="24"/>
              </w:rPr>
              <w:t>Me</w:t>
            </w:r>
            <w:r w:rsidR="0007528F">
              <w:rPr>
                <w:sz w:val="24"/>
                <w:szCs w:val="24"/>
              </w:rPr>
              <w:t>t</w:t>
            </w:r>
          </w:p>
        </w:tc>
      </w:tr>
      <w:tr w:rsidR="008803D6" w14:paraId="6E05CE97" w14:textId="77777777" w:rsidTr="001D2322">
        <w:tc>
          <w:tcPr>
            <w:tcW w:w="3690" w:type="dxa"/>
          </w:tcPr>
          <w:p w14:paraId="304E64CD" w14:textId="6BD1A446" w:rsidR="008803D6" w:rsidRPr="002C6326" w:rsidRDefault="00812188" w:rsidP="002C6326">
            <w:pPr>
              <w:rPr>
                <w:sz w:val="24"/>
                <w:szCs w:val="24"/>
              </w:rPr>
            </w:pPr>
            <w:r>
              <w:rPr>
                <w:sz w:val="24"/>
                <w:szCs w:val="24"/>
              </w:rPr>
              <w:t xml:space="preserve">Percentage of students </w:t>
            </w:r>
            <w:r w:rsidR="002B1854">
              <w:rPr>
                <w:sz w:val="24"/>
                <w:szCs w:val="24"/>
              </w:rPr>
              <w:t>enrolling in</w:t>
            </w:r>
            <w:r>
              <w:rPr>
                <w:sz w:val="24"/>
                <w:szCs w:val="24"/>
              </w:rPr>
              <w:t xml:space="preserve"> </w:t>
            </w:r>
            <w:r w:rsidR="00FC1F4E">
              <w:rPr>
                <w:sz w:val="24"/>
                <w:szCs w:val="24"/>
              </w:rPr>
              <w:t>dual enrollment courses</w:t>
            </w:r>
          </w:p>
        </w:tc>
        <w:tc>
          <w:tcPr>
            <w:tcW w:w="2843" w:type="dxa"/>
          </w:tcPr>
          <w:p w14:paraId="4A7DE1AA" w14:textId="5AEB5888" w:rsidR="008803D6" w:rsidRPr="002C6326" w:rsidRDefault="00604A7A" w:rsidP="002C6326">
            <w:pPr>
              <w:rPr>
                <w:sz w:val="24"/>
                <w:szCs w:val="24"/>
              </w:rPr>
            </w:pPr>
            <w:r>
              <w:rPr>
                <w:sz w:val="24"/>
                <w:szCs w:val="24"/>
              </w:rPr>
              <w:t xml:space="preserve">70% of </w:t>
            </w:r>
            <w:r w:rsidR="001B29E9">
              <w:rPr>
                <w:sz w:val="24"/>
                <w:szCs w:val="24"/>
              </w:rPr>
              <w:t>eligible</w:t>
            </w:r>
            <w:r>
              <w:rPr>
                <w:sz w:val="24"/>
                <w:szCs w:val="24"/>
              </w:rPr>
              <w:t xml:space="preserve"> students will</w:t>
            </w:r>
            <w:r w:rsidR="00772F93">
              <w:rPr>
                <w:sz w:val="24"/>
                <w:szCs w:val="24"/>
              </w:rPr>
              <w:t xml:space="preserve"> enroll in a dual enrollment class.</w:t>
            </w:r>
          </w:p>
        </w:tc>
        <w:tc>
          <w:tcPr>
            <w:tcW w:w="2470" w:type="dxa"/>
          </w:tcPr>
          <w:p w14:paraId="5A4724C0" w14:textId="6E112778" w:rsidR="008803D6" w:rsidRPr="002C6326" w:rsidRDefault="003955C5" w:rsidP="002C6326">
            <w:pPr>
              <w:rPr>
                <w:sz w:val="24"/>
                <w:szCs w:val="24"/>
              </w:rPr>
            </w:pPr>
            <w:r>
              <w:rPr>
                <w:sz w:val="24"/>
                <w:szCs w:val="24"/>
              </w:rPr>
              <w:t>74%</w:t>
            </w:r>
            <w:r w:rsidR="009F4D4D">
              <w:rPr>
                <w:sz w:val="24"/>
                <w:szCs w:val="24"/>
              </w:rPr>
              <w:t xml:space="preserve"> of eligible students enrolled in a dual enrollment class.</w:t>
            </w:r>
          </w:p>
        </w:tc>
        <w:tc>
          <w:tcPr>
            <w:tcW w:w="1797" w:type="dxa"/>
          </w:tcPr>
          <w:p w14:paraId="7659CC76" w14:textId="3CF420F7" w:rsidR="008803D6" w:rsidRPr="002C6326" w:rsidRDefault="006C544B" w:rsidP="002C6326">
            <w:pPr>
              <w:rPr>
                <w:sz w:val="24"/>
                <w:szCs w:val="24"/>
              </w:rPr>
            </w:pPr>
            <w:r>
              <w:rPr>
                <w:sz w:val="24"/>
                <w:szCs w:val="24"/>
              </w:rPr>
              <w:t>Me</w:t>
            </w:r>
            <w:r w:rsidR="0007528F">
              <w:rPr>
                <w:sz w:val="24"/>
                <w:szCs w:val="24"/>
              </w:rPr>
              <w:t>t</w:t>
            </w:r>
          </w:p>
        </w:tc>
      </w:tr>
      <w:tr w:rsidR="00772F93" w14:paraId="11CC05A9" w14:textId="77777777" w:rsidTr="001D2322">
        <w:tc>
          <w:tcPr>
            <w:tcW w:w="3690" w:type="dxa"/>
          </w:tcPr>
          <w:p w14:paraId="585BC7C3" w14:textId="26B46A2C" w:rsidR="00772F93" w:rsidRDefault="002B1854" w:rsidP="002C6326">
            <w:pPr>
              <w:rPr>
                <w:sz w:val="24"/>
                <w:szCs w:val="24"/>
              </w:rPr>
            </w:pPr>
            <w:r>
              <w:rPr>
                <w:sz w:val="24"/>
                <w:szCs w:val="24"/>
              </w:rPr>
              <w:t xml:space="preserve">Percentage of students </w:t>
            </w:r>
            <w:r w:rsidR="00EC46F1">
              <w:rPr>
                <w:sz w:val="24"/>
                <w:szCs w:val="24"/>
              </w:rPr>
              <w:t xml:space="preserve">achieving a passing grade in </w:t>
            </w:r>
            <w:r>
              <w:rPr>
                <w:sz w:val="24"/>
                <w:szCs w:val="24"/>
              </w:rPr>
              <w:t>dual enrollment class</w:t>
            </w:r>
          </w:p>
        </w:tc>
        <w:tc>
          <w:tcPr>
            <w:tcW w:w="2843" w:type="dxa"/>
          </w:tcPr>
          <w:p w14:paraId="540B59DB" w14:textId="17F81FEA" w:rsidR="00772F93" w:rsidRDefault="00EC46F1" w:rsidP="002C6326">
            <w:pPr>
              <w:rPr>
                <w:sz w:val="24"/>
                <w:szCs w:val="24"/>
              </w:rPr>
            </w:pPr>
            <w:r>
              <w:rPr>
                <w:sz w:val="24"/>
                <w:szCs w:val="24"/>
              </w:rPr>
              <w:t xml:space="preserve">90% of students who take a dual enrollment class will </w:t>
            </w:r>
            <w:r w:rsidR="00394DDD">
              <w:rPr>
                <w:sz w:val="24"/>
                <w:szCs w:val="24"/>
              </w:rPr>
              <w:t>achieve a passing grade.</w:t>
            </w:r>
          </w:p>
        </w:tc>
        <w:tc>
          <w:tcPr>
            <w:tcW w:w="2470" w:type="dxa"/>
          </w:tcPr>
          <w:p w14:paraId="5283147A" w14:textId="0A614712" w:rsidR="00772F93" w:rsidRPr="002C6326" w:rsidRDefault="003955C5" w:rsidP="002C6326">
            <w:pPr>
              <w:rPr>
                <w:sz w:val="24"/>
                <w:szCs w:val="24"/>
              </w:rPr>
            </w:pPr>
            <w:r>
              <w:rPr>
                <w:sz w:val="24"/>
                <w:szCs w:val="24"/>
              </w:rPr>
              <w:t>94%</w:t>
            </w:r>
            <w:r w:rsidR="001E3713">
              <w:rPr>
                <w:sz w:val="24"/>
                <w:szCs w:val="24"/>
              </w:rPr>
              <w:t xml:space="preserve"> of students who took a dual enrollment class</w:t>
            </w:r>
            <w:r w:rsidR="00181896">
              <w:rPr>
                <w:sz w:val="24"/>
                <w:szCs w:val="24"/>
              </w:rPr>
              <w:t xml:space="preserve"> </w:t>
            </w:r>
            <w:r w:rsidR="001E3713">
              <w:rPr>
                <w:sz w:val="24"/>
                <w:szCs w:val="24"/>
              </w:rPr>
              <w:t>achieve</w:t>
            </w:r>
            <w:r w:rsidR="00181896">
              <w:rPr>
                <w:sz w:val="24"/>
                <w:szCs w:val="24"/>
              </w:rPr>
              <w:t>d</w:t>
            </w:r>
            <w:r w:rsidR="001E3713">
              <w:rPr>
                <w:sz w:val="24"/>
                <w:szCs w:val="24"/>
              </w:rPr>
              <w:t xml:space="preserve"> a passing grade</w:t>
            </w:r>
            <w:r w:rsidR="00181896">
              <w:rPr>
                <w:sz w:val="24"/>
                <w:szCs w:val="24"/>
              </w:rPr>
              <w:t>.</w:t>
            </w:r>
          </w:p>
        </w:tc>
        <w:tc>
          <w:tcPr>
            <w:tcW w:w="1797" w:type="dxa"/>
          </w:tcPr>
          <w:p w14:paraId="09B57812" w14:textId="703C097A" w:rsidR="00772F93" w:rsidRPr="002C6326" w:rsidRDefault="006C544B" w:rsidP="002C6326">
            <w:pPr>
              <w:rPr>
                <w:sz w:val="24"/>
                <w:szCs w:val="24"/>
              </w:rPr>
            </w:pPr>
            <w:r>
              <w:rPr>
                <w:sz w:val="24"/>
                <w:szCs w:val="24"/>
              </w:rPr>
              <w:t>Me</w:t>
            </w:r>
            <w:r w:rsidR="0007528F">
              <w:rPr>
                <w:sz w:val="24"/>
                <w:szCs w:val="24"/>
              </w:rPr>
              <w:t>t</w:t>
            </w:r>
          </w:p>
        </w:tc>
      </w:tr>
      <w:tr w:rsidR="00311433" w14:paraId="26F49CF7" w14:textId="77777777" w:rsidTr="001D2322">
        <w:tc>
          <w:tcPr>
            <w:tcW w:w="3690" w:type="dxa"/>
          </w:tcPr>
          <w:p w14:paraId="284D8D27" w14:textId="68FEE14E" w:rsidR="00311433" w:rsidRDefault="00394DDD" w:rsidP="002C6326">
            <w:pPr>
              <w:rPr>
                <w:sz w:val="24"/>
                <w:szCs w:val="24"/>
              </w:rPr>
            </w:pPr>
            <w:r>
              <w:rPr>
                <w:sz w:val="24"/>
                <w:szCs w:val="24"/>
              </w:rPr>
              <w:t xml:space="preserve">Percentage </w:t>
            </w:r>
            <w:r w:rsidR="00E700BB">
              <w:rPr>
                <w:sz w:val="24"/>
                <w:szCs w:val="24"/>
              </w:rPr>
              <w:t>of graduating students who are accepted into a p</w:t>
            </w:r>
            <w:r w:rsidR="00B175ED">
              <w:rPr>
                <w:sz w:val="24"/>
                <w:szCs w:val="24"/>
              </w:rPr>
              <w:t>ost</w:t>
            </w:r>
            <w:r w:rsidR="00E700BB">
              <w:rPr>
                <w:sz w:val="24"/>
                <w:szCs w:val="24"/>
              </w:rPr>
              <w:t>-</w:t>
            </w:r>
            <w:r w:rsidR="00B175ED">
              <w:rPr>
                <w:sz w:val="24"/>
                <w:szCs w:val="24"/>
              </w:rPr>
              <w:t xml:space="preserve">secondary </w:t>
            </w:r>
            <w:r w:rsidR="00EA553D">
              <w:rPr>
                <w:sz w:val="24"/>
                <w:szCs w:val="24"/>
              </w:rPr>
              <w:t>institution</w:t>
            </w:r>
          </w:p>
        </w:tc>
        <w:tc>
          <w:tcPr>
            <w:tcW w:w="2843" w:type="dxa"/>
          </w:tcPr>
          <w:p w14:paraId="422CE8E9" w14:textId="017613AE" w:rsidR="00D54BF6" w:rsidRDefault="00D54BF6" w:rsidP="002C6326">
            <w:pPr>
              <w:rPr>
                <w:sz w:val="24"/>
                <w:szCs w:val="24"/>
              </w:rPr>
            </w:pPr>
            <w:r>
              <w:rPr>
                <w:sz w:val="24"/>
                <w:szCs w:val="24"/>
              </w:rPr>
              <w:t>50% of students will be accepted into post-secondary institutions by graduation.</w:t>
            </w:r>
          </w:p>
        </w:tc>
        <w:tc>
          <w:tcPr>
            <w:tcW w:w="2470" w:type="dxa"/>
          </w:tcPr>
          <w:p w14:paraId="707061EF" w14:textId="77777777" w:rsidR="00311433" w:rsidRDefault="00D66ADD" w:rsidP="002C6326">
            <w:pPr>
              <w:rPr>
                <w:sz w:val="24"/>
                <w:szCs w:val="24"/>
              </w:rPr>
            </w:pPr>
            <w:r>
              <w:rPr>
                <w:sz w:val="24"/>
                <w:szCs w:val="24"/>
              </w:rPr>
              <w:t>43% enrolled in post-secondary institutions.</w:t>
            </w:r>
          </w:p>
          <w:p w14:paraId="58AEDF77" w14:textId="77777777" w:rsidR="00D66ADD" w:rsidRDefault="00D66ADD" w:rsidP="002C6326">
            <w:pPr>
              <w:rPr>
                <w:sz w:val="24"/>
                <w:szCs w:val="24"/>
              </w:rPr>
            </w:pPr>
          </w:p>
          <w:p w14:paraId="4FF00105" w14:textId="1F9FC49A" w:rsidR="00D66ADD" w:rsidRPr="002C6326" w:rsidRDefault="00D66ADD" w:rsidP="002C6326">
            <w:pPr>
              <w:rPr>
                <w:sz w:val="24"/>
                <w:szCs w:val="24"/>
              </w:rPr>
            </w:pPr>
          </w:p>
        </w:tc>
        <w:tc>
          <w:tcPr>
            <w:tcW w:w="1797" w:type="dxa"/>
          </w:tcPr>
          <w:p w14:paraId="4563F681" w14:textId="1D825843" w:rsidR="00311433" w:rsidRPr="002C6326" w:rsidRDefault="008A2FAB" w:rsidP="002C6326">
            <w:pPr>
              <w:rPr>
                <w:sz w:val="24"/>
                <w:szCs w:val="24"/>
              </w:rPr>
            </w:pPr>
            <w:r>
              <w:rPr>
                <w:sz w:val="24"/>
                <w:szCs w:val="24"/>
              </w:rPr>
              <w:t>Partially me</w:t>
            </w:r>
            <w:r w:rsidR="0007528F">
              <w:rPr>
                <w:sz w:val="24"/>
                <w:szCs w:val="24"/>
              </w:rPr>
              <w:t>t</w:t>
            </w:r>
            <w:r>
              <w:rPr>
                <w:sz w:val="24"/>
                <w:szCs w:val="24"/>
              </w:rPr>
              <w:t xml:space="preserve"> </w:t>
            </w:r>
          </w:p>
        </w:tc>
      </w:tr>
      <w:tr w:rsidR="00741D7B" w14:paraId="402641E7" w14:textId="77777777" w:rsidTr="001D2322">
        <w:tc>
          <w:tcPr>
            <w:tcW w:w="3690" w:type="dxa"/>
          </w:tcPr>
          <w:p w14:paraId="3D2D46E7" w14:textId="2F4773B6" w:rsidR="00741D7B" w:rsidRDefault="00741D7B" w:rsidP="002C6326">
            <w:pPr>
              <w:rPr>
                <w:sz w:val="24"/>
                <w:szCs w:val="24"/>
              </w:rPr>
            </w:pPr>
            <w:r>
              <w:rPr>
                <w:sz w:val="24"/>
                <w:szCs w:val="24"/>
              </w:rPr>
              <w:t>Percentage of graduating students who have secured full-time employment by graduation.</w:t>
            </w:r>
          </w:p>
        </w:tc>
        <w:tc>
          <w:tcPr>
            <w:tcW w:w="2843" w:type="dxa"/>
          </w:tcPr>
          <w:p w14:paraId="0D05E35D" w14:textId="46788E52" w:rsidR="00741D7B" w:rsidRDefault="00741D7B" w:rsidP="002C6326">
            <w:pPr>
              <w:rPr>
                <w:sz w:val="24"/>
                <w:szCs w:val="24"/>
              </w:rPr>
            </w:pPr>
            <w:r>
              <w:rPr>
                <w:sz w:val="24"/>
                <w:szCs w:val="24"/>
              </w:rPr>
              <w:t>Establish baseline in 2018-19 for full-time employment</w:t>
            </w:r>
          </w:p>
        </w:tc>
        <w:tc>
          <w:tcPr>
            <w:tcW w:w="2470" w:type="dxa"/>
          </w:tcPr>
          <w:p w14:paraId="35F0194A" w14:textId="4F46133F" w:rsidR="00741D7B" w:rsidRDefault="00741D7B" w:rsidP="002C6326">
            <w:pPr>
              <w:rPr>
                <w:sz w:val="24"/>
                <w:szCs w:val="24"/>
              </w:rPr>
            </w:pPr>
            <w:r>
              <w:rPr>
                <w:sz w:val="24"/>
                <w:szCs w:val="24"/>
              </w:rPr>
              <w:t>57% entering workforce</w:t>
            </w:r>
          </w:p>
        </w:tc>
        <w:tc>
          <w:tcPr>
            <w:tcW w:w="1797" w:type="dxa"/>
          </w:tcPr>
          <w:p w14:paraId="5706EFB1" w14:textId="1C267FE4" w:rsidR="00741D7B" w:rsidRPr="002C6326" w:rsidRDefault="00F43695" w:rsidP="002C6326">
            <w:pPr>
              <w:rPr>
                <w:sz w:val="24"/>
                <w:szCs w:val="24"/>
              </w:rPr>
            </w:pPr>
            <w:r>
              <w:rPr>
                <w:sz w:val="24"/>
                <w:szCs w:val="24"/>
              </w:rPr>
              <w:t>Me</w:t>
            </w:r>
            <w:r w:rsidR="0007528F">
              <w:rPr>
                <w:sz w:val="24"/>
                <w:szCs w:val="24"/>
              </w:rPr>
              <w:t>t</w:t>
            </w:r>
          </w:p>
        </w:tc>
      </w:tr>
    </w:tbl>
    <w:p w14:paraId="6FD35D48" w14:textId="77777777" w:rsidR="008803D6" w:rsidRDefault="008803D6" w:rsidP="008803D6">
      <w:pPr>
        <w:jc w:val="both"/>
        <w:rPr>
          <w:b/>
          <w:sz w:val="24"/>
          <w:szCs w:val="24"/>
          <w:u w:val="single"/>
        </w:rPr>
      </w:pPr>
    </w:p>
    <w:p w14:paraId="1AAE78B0" w14:textId="51E57D37" w:rsidR="008803D6" w:rsidRDefault="00A45B7A" w:rsidP="008803D6">
      <w:pPr>
        <w:rPr>
          <w:b/>
          <w:sz w:val="24"/>
          <w:szCs w:val="24"/>
          <w:u w:val="single"/>
        </w:rPr>
      </w:pPr>
      <w:r>
        <w:rPr>
          <w:b/>
          <w:sz w:val="24"/>
          <w:szCs w:val="24"/>
          <w:u w:val="single"/>
        </w:rPr>
        <w:t>Discussion</w:t>
      </w:r>
    </w:p>
    <w:p w14:paraId="3258B036" w14:textId="15E249F6" w:rsidR="003666FE" w:rsidRPr="005A59E7" w:rsidRDefault="00E33E8A" w:rsidP="00E33E8A">
      <w:pPr>
        <w:rPr>
          <w:sz w:val="24"/>
          <w:szCs w:val="24"/>
        </w:rPr>
      </w:pPr>
      <w:r w:rsidRPr="005A59E7">
        <w:rPr>
          <w:sz w:val="24"/>
          <w:szCs w:val="24"/>
        </w:rPr>
        <w:t>HCA met four of its six post-secondary readiness targets.</w:t>
      </w:r>
      <w:r w:rsidR="00F04BF6" w:rsidRPr="005A59E7">
        <w:rPr>
          <w:sz w:val="24"/>
          <w:szCs w:val="24"/>
        </w:rPr>
        <w:t xml:space="preserve"> The school met its 4-year graduation target, its dual enrollment target, success in dual enrollment courses target, </w:t>
      </w:r>
      <w:r w:rsidR="00467ADF" w:rsidRPr="005A59E7">
        <w:rPr>
          <w:sz w:val="24"/>
          <w:szCs w:val="24"/>
        </w:rPr>
        <w:t xml:space="preserve">and its post-graduation employment target. The </w:t>
      </w:r>
      <w:r w:rsidR="006E0486" w:rsidRPr="005A59E7">
        <w:rPr>
          <w:sz w:val="24"/>
          <w:szCs w:val="24"/>
        </w:rPr>
        <w:t xml:space="preserve">school did not meet its combined graduation rate target and it partially met its </w:t>
      </w:r>
      <w:r w:rsidR="009A2E5D" w:rsidRPr="005A59E7">
        <w:rPr>
          <w:sz w:val="24"/>
          <w:szCs w:val="24"/>
        </w:rPr>
        <w:t>post-secondary institution acceptance target.</w:t>
      </w:r>
    </w:p>
    <w:p w14:paraId="30E35204" w14:textId="1BCE2C70" w:rsidR="008726FE" w:rsidRDefault="008726FE" w:rsidP="008D67A9">
      <w:pPr>
        <w:jc w:val="center"/>
      </w:pPr>
    </w:p>
    <w:p w14:paraId="5BB0DE1A" w14:textId="77777777" w:rsidR="003666FE" w:rsidRDefault="003666FE" w:rsidP="002F4F04"/>
    <w:tbl>
      <w:tblPr>
        <w:tblStyle w:val="TableGrid"/>
        <w:tblW w:w="0" w:type="auto"/>
        <w:tblLook w:val="04A0" w:firstRow="1" w:lastRow="0" w:firstColumn="1" w:lastColumn="0" w:noHBand="0" w:noVBand="1"/>
      </w:tblPr>
      <w:tblGrid>
        <w:gridCol w:w="9350"/>
      </w:tblGrid>
      <w:tr w:rsidR="003666FE" w14:paraId="2225BDDB" w14:textId="77777777" w:rsidTr="00FF4A56">
        <w:tc>
          <w:tcPr>
            <w:tcW w:w="9350" w:type="dxa"/>
            <w:shd w:val="clear" w:color="auto" w:fill="800000"/>
          </w:tcPr>
          <w:p w14:paraId="2B4571A6" w14:textId="56BE5DBC" w:rsidR="003666FE" w:rsidRDefault="003666FE" w:rsidP="00FF4A56">
            <w:pPr>
              <w:rPr>
                <w:rFonts w:cs="Arial"/>
                <w:sz w:val="28"/>
                <w:szCs w:val="28"/>
              </w:rPr>
            </w:pPr>
            <w:r>
              <w:rPr>
                <w:rFonts w:cs="Arial"/>
                <w:sz w:val="28"/>
                <w:szCs w:val="28"/>
              </w:rPr>
              <w:t xml:space="preserve">Section </w:t>
            </w:r>
            <w:r w:rsidR="00CD351A">
              <w:rPr>
                <w:rFonts w:cs="Arial"/>
                <w:sz w:val="28"/>
                <w:szCs w:val="28"/>
              </w:rPr>
              <w:t>9</w:t>
            </w:r>
            <w:r>
              <w:rPr>
                <w:rFonts w:cs="Arial"/>
                <w:sz w:val="28"/>
                <w:szCs w:val="28"/>
              </w:rPr>
              <w:t xml:space="preserve">: </w:t>
            </w:r>
            <w:r w:rsidR="00A861D1">
              <w:rPr>
                <w:rFonts w:cs="Arial"/>
                <w:sz w:val="28"/>
                <w:szCs w:val="28"/>
              </w:rPr>
              <w:t>Finances</w:t>
            </w:r>
          </w:p>
        </w:tc>
      </w:tr>
    </w:tbl>
    <w:p w14:paraId="077D77DC" w14:textId="77777777"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3697"/>
        <w:gridCol w:w="3143"/>
        <w:gridCol w:w="2163"/>
        <w:gridCol w:w="1797"/>
      </w:tblGrid>
      <w:tr w:rsidR="008803D6" w14:paraId="19C09710" w14:textId="77777777" w:rsidTr="005B2849">
        <w:tc>
          <w:tcPr>
            <w:tcW w:w="3697" w:type="dxa"/>
            <w:shd w:val="clear" w:color="auto" w:fill="C96772"/>
          </w:tcPr>
          <w:p w14:paraId="736BEBB7" w14:textId="77777777" w:rsidR="008803D6" w:rsidRPr="003666FE" w:rsidRDefault="008803D6" w:rsidP="00FF4A56">
            <w:pPr>
              <w:jc w:val="center"/>
              <w:rPr>
                <w:b/>
                <w:sz w:val="24"/>
                <w:szCs w:val="24"/>
              </w:rPr>
            </w:pPr>
            <w:r>
              <w:rPr>
                <w:b/>
                <w:sz w:val="24"/>
                <w:szCs w:val="24"/>
              </w:rPr>
              <w:t>Measure</w:t>
            </w:r>
          </w:p>
        </w:tc>
        <w:tc>
          <w:tcPr>
            <w:tcW w:w="3143" w:type="dxa"/>
            <w:shd w:val="clear" w:color="auto" w:fill="C96772"/>
          </w:tcPr>
          <w:p w14:paraId="0E3EBF8C" w14:textId="77777777" w:rsidR="008803D6" w:rsidRPr="003666FE" w:rsidRDefault="008803D6" w:rsidP="00FF4A56">
            <w:pPr>
              <w:jc w:val="center"/>
              <w:rPr>
                <w:b/>
                <w:sz w:val="24"/>
                <w:szCs w:val="24"/>
              </w:rPr>
            </w:pPr>
            <w:r>
              <w:rPr>
                <w:b/>
                <w:sz w:val="24"/>
                <w:szCs w:val="24"/>
              </w:rPr>
              <w:t>Target</w:t>
            </w:r>
          </w:p>
        </w:tc>
        <w:tc>
          <w:tcPr>
            <w:tcW w:w="2163" w:type="dxa"/>
            <w:shd w:val="clear" w:color="auto" w:fill="C96772"/>
          </w:tcPr>
          <w:p w14:paraId="18471F46" w14:textId="77777777" w:rsidR="008803D6" w:rsidRPr="003666FE" w:rsidRDefault="008803D6" w:rsidP="00FF4A56">
            <w:pPr>
              <w:jc w:val="center"/>
              <w:rPr>
                <w:b/>
                <w:sz w:val="24"/>
                <w:szCs w:val="24"/>
              </w:rPr>
            </w:pPr>
            <w:r>
              <w:rPr>
                <w:b/>
                <w:sz w:val="24"/>
                <w:szCs w:val="24"/>
              </w:rPr>
              <w:t>Results</w:t>
            </w:r>
          </w:p>
        </w:tc>
        <w:tc>
          <w:tcPr>
            <w:tcW w:w="1797" w:type="dxa"/>
            <w:shd w:val="clear" w:color="auto" w:fill="C96772"/>
          </w:tcPr>
          <w:p w14:paraId="7B8789DB" w14:textId="3EB8AA7E" w:rsidR="008803D6" w:rsidRPr="003666FE" w:rsidRDefault="008803D6" w:rsidP="00FF4A56">
            <w:pPr>
              <w:jc w:val="center"/>
              <w:rPr>
                <w:b/>
                <w:sz w:val="24"/>
                <w:szCs w:val="24"/>
              </w:rPr>
            </w:pPr>
          </w:p>
        </w:tc>
      </w:tr>
      <w:tr w:rsidR="008803D6" w14:paraId="47229E87" w14:textId="77777777" w:rsidTr="005B2849">
        <w:tc>
          <w:tcPr>
            <w:tcW w:w="3697" w:type="dxa"/>
          </w:tcPr>
          <w:p w14:paraId="0C700813" w14:textId="2EB85885" w:rsidR="008803D6" w:rsidRPr="007B0D84" w:rsidRDefault="007B0D84" w:rsidP="007B0D84">
            <w:pPr>
              <w:rPr>
                <w:sz w:val="24"/>
                <w:szCs w:val="24"/>
              </w:rPr>
            </w:pPr>
            <w:r>
              <w:rPr>
                <w:sz w:val="24"/>
                <w:szCs w:val="24"/>
              </w:rPr>
              <w:t xml:space="preserve">Governance </w:t>
            </w:r>
            <w:r w:rsidR="00732076">
              <w:rPr>
                <w:sz w:val="24"/>
                <w:szCs w:val="24"/>
              </w:rPr>
              <w:t xml:space="preserve">Board </w:t>
            </w:r>
            <w:r w:rsidR="00433BDB">
              <w:rPr>
                <w:sz w:val="24"/>
                <w:szCs w:val="24"/>
              </w:rPr>
              <w:t xml:space="preserve">reviews budget and makes appropriate adjustments to ensure school remains financially </w:t>
            </w:r>
            <w:r w:rsidR="009A755F">
              <w:rPr>
                <w:sz w:val="24"/>
                <w:szCs w:val="24"/>
              </w:rPr>
              <w:t>healthy</w:t>
            </w:r>
            <w:r w:rsidR="009A2D11">
              <w:rPr>
                <w:sz w:val="24"/>
                <w:szCs w:val="24"/>
              </w:rPr>
              <w:t>.</w:t>
            </w:r>
            <w:r w:rsidR="009C1571">
              <w:rPr>
                <w:sz w:val="24"/>
                <w:szCs w:val="24"/>
              </w:rPr>
              <w:t xml:space="preserve"> </w:t>
            </w:r>
          </w:p>
        </w:tc>
        <w:tc>
          <w:tcPr>
            <w:tcW w:w="3143" w:type="dxa"/>
          </w:tcPr>
          <w:p w14:paraId="40F26A6A" w14:textId="7C523BC2" w:rsidR="008803D6" w:rsidRPr="007B0D84" w:rsidRDefault="00306C7E" w:rsidP="007B0D84">
            <w:pPr>
              <w:rPr>
                <w:sz w:val="24"/>
                <w:szCs w:val="24"/>
              </w:rPr>
            </w:pPr>
            <w:r>
              <w:rPr>
                <w:sz w:val="24"/>
                <w:szCs w:val="24"/>
              </w:rPr>
              <w:t xml:space="preserve">Board or Finance Committee review </w:t>
            </w:r>
            <w:r w:rsidR="001D790A">
              <w:rPr>
                <w:sz w:val="24"/>
                <w:szCs w:val="24"/>
              </w:rPr>
              <w:t>budget at least quarterly.</w:t>
            </w:r>
          </w:p>
        </w:tc>
        <w:tc>
          <w:tcPr>
            <w:tcW w:w="2163" w:type="dxa"/>
          </w:tcPr>
          <w:p w14:paraId="2EE9301D" w14:textId="2CDF0E0E" w:rsidR="008803D6" w:rsidRPr="007B0D84" w:rsidRDefault="00BD65C7" w:rsidP="007B0D84">
            <w:pPr>
              <w:rPr>
                <w:sz w:val="24"/>
                <w:szCs w:val="24"/>
              </w:rPr>
            </w:pPr>
            <w:r>
              <w:rPr>
                <w:sz w:val="24"/>
                <w:szCs w:val="24"/>
              </w:rPr>
              <w:t>Finance committee met monthly</w:t>
            </w:r>
          </w:p>
        </w:tc>
        <w:tc>
          <w:tcPr>
            <w:tcW w:w="1797" w:type="dxa"/>
          </w:tcPr>
          <w:p w14:paraId="42E78693" w14:textId="617544C2" w:rsidR="008803D6" w:rsidRPr="007B0D84" w:rsidRDefault="00BD65C7" w:rsidP="007B0D84">
            <w:pPr>
              <w:rPr>
                <w:sz w:val="24"/>
                <w:szCs w:val="24"/>
              </w:rPr>
            </w:pPr>
            <w:r>
              <w:rPr>
                <w:sz w:val="24"/>
                <w:szCs w:val="24"/>
              </w:rPr>
              <w:t>Me</w:t>
            </w:r>
            <w:r w:rsidR="0007528F">
              <w:rPr>
                <w:sz w:val="24"/>
                <w:szCs w:val="24"/>
              </w:rPr>
              <w:t>t</w:t>
            </w:r>
          </w:p>
        </w:tc>
      </w:tr>
      <w:tr w:rsidR="008803D6" w14:paraId="652D6A51" w14:textId="77777777" w:rsidTr="005B2849">
        <w:tc>
          <w:tcPr>
            <w:tcW w:w="3697" w:type="dxa"/>
          </w:tcPr>
          <w:p w14:paraId="162874D1" w14:textId="12DD02A4" w:rsidR="008803D6" w:rsidRPr="007B0D84" w:rsidRDefault="00693300" w:rsidP="007B0D84">
            <w:pPr>
              <w:rPr>
                <w:sz w:val="24"/>
                <w:szCs w:val="24"/>
              </w:rPr>
            </w:pPr>
            <w:r>
              <w:rPr>
                <w:sz w:val="24"/>
                <w:szCs w:val="24"/>
              </w:rPr>
              <w:t xml:space="preserve">School </w:t>
            </w:r>
            <w:r w:rsidR="00006A49">
              <w:rPr>
                <w:sz w:val="24"/>
                <w:szCs w:val="24"/>
              </w:rPr>
              <w:t xml:space="preserve">has </w:t>
            </w:r>
            <w:r>
              <w:rPr>
                <w:sz w:val="24"/>
                <w:szCs w:val="24"/>
              </w:rPr>
              <w:t xml:space="preserve">an external </w:t>
            </w:r>
            <w:r w:rsidR="00006A49">
              <w:rPr>
                <w:sz w:val="24"/>
                <w:szCs w:val="24"/>
              </w:rPr>
              <w:t xml:space="preserve">financial </w:t>
            </w:r>
            <w:r>
              <w:rPr>
                <w:sz w:val="24"/>
                <w:szCs w:val="24"/>
              </w:rPr>
              <w:t>audit</w:t>
            </w:r>
            <w:r w:rsidR="00006A49">
              <w:rPr>
                <w:sz w:val="24"/>
                <w:szCs w:val="24"/>
              </w:rPr>
              <w:t xml:space="preserve"> conducted</w:t>
            </w:r>
          </w:p>
        </w:tc>
        <w:tc>
          <w:tcPr>
            <w:tcW w:w="3143" w:type="dxa"/>
          </w:tcPr>
          <w:p w14:paraId="29162C40" w14:textId="1055C248" w:rsidR="008803D6" w:rsidRPr="007B0D84" w:rsidRDefault="009268AE" w:rsidP="007B0D84">
            <w:pPr>
              <w:rPr>
                <w:sz w:val="24"/>
                <w:szCs w:val="24"/>
              </w:rPr>
            </w:pPr>
            <w:r>
              <w:rPr>
                <w:sz w:val="24"/>
                <w:szCs w:val="24"/>
              </w:rPr>
              <w:t>Annual financial audit is completed and submitted to DOE and MCSC as required.</w:t>
            </w:r>
          </w:p>
        </w:tc>
        <w:tc>
          <w:tcPr>
            <w:tcW w:w="2163" w:type="dxa"/>
          </w:tcPr>
          <w:p w14:paraId="52AC612D" w14:textId="4118BB99" w:rsidR="008803D6" w:rsidRPr="007B0D84" w:rsidRDefault="002B7985" w:rsidP="007B0D84">
            <w:pPr>
              <w:rPr>
                <w:sz w:val="24"/>
                <w:szCs w:val="24"/>
              </w:rPr>
            </w:pPr>
            <w:r>
              <w:rPr>
                <w:sz w:val="24"/>
                <w:szCs w:val="24"/>
              </w:rPr>
              <w:t>FY 2018 financial audit</w:t>
            </w:r>
            <w:r w:rsidR="00E80B11">
              <w:rPr>
                <w:sz w:val="24"/>
                <w:szCs w:val="24"/>
              </w:rPr>
              <w:t xml:space="preserve"> c</w:t>
            </w:r>
            <w:r>
              <w:rPr>
                <w:sz w:val="24"/>
                <w:szCs w:val="24"/>
              </w:rPr>
              <w:t xml:space="preserve">ompleted </w:t>
            </w:r>
            <w:r>
              <w:rPr>
                <w:sz w:val="24"/>
                <w:szCs w:val="24"/>
              </w:rPr>
              <w:lastRenderedPageBreak/>
              <w:t>and submitted as required</w:t>
            </w:r>
          </w:p>
        </w:tc>
        <w:tc>
          <w:tcPr>
            <w:tcW w:w="1797" w:type="dxa"/>
          </w:tcPr>
          <w:p w14:paraId="3A18D197" w14:textId="568F02AD" w:rsidR="008803D6" w:rsidRPr="007B0D84" w:rsidRDefault="002B7985" w:rsidP="007B0D84">
            <w:pPr>
              <w:rPr>
                <w:sz w:val="24"/>
                <w:szCs w:val="24"/>
              </w:rPr>
            </w:pPr>
            <w:r>
              <w:rPr>
                <w:sz w:val="24"/>
                <w:szCs w:val="24"/>
              </w:rPr>
              <w:lastRenderedPageBreak/>
              <w:t>Me</w:t>
            </w:r>
            <w:r w:rsidR="0007528F">
              <w:rPr>
                <w:sz w:val="24"/>
                <w:szCs w:val="24"/>
              </w:rPr>
              <w:t>t</w:t>
            </w:r>
          </w:p>
        </w:tc>
      </w:tr>
    </w:tbl>
    <w:p w14:paraId="7CD30E08" w14:textId="77777777" w:rsidR="008803D6" w:rsidRDefault="008803D6" w:rsidP="008803D6">
      <w:pPr>
        <w:jc w:val="both"/>
        <w:rPr>
          <w:b/>
          <w:sz w:val="24"/>
          <w:szCs w:val="24"/>
          <w:u w:val="single"/>
        </w:rPr>
      </w:pPr>
    </w:p>
    <w:p w14:paraId="57F20B69" w14:textId="23EA0DCD" w:rsidR="003666FE" w:rsidRDefault="00A45B7A" w:rsidP="0077415E">
      <w:pPr>
        <w:rPr>
          <w:b/>
          <w:sz w:val="24"/>
          <w:szCs w:val="24"/>
          <w:u w:val="single"/>
        </w:rPr>
      </w:pPr>
      <w:r>
        <w:rPr>
          <w:b/>
          <w:sz w:val="24"/>
          <w:szCs w:val="24"/>
          <w:u w:val="single"/>
        </w:rPr>
        <w:t>Discussion</w:t>
      </w:r>
      <w:bookmarkStart w:id="0" w:name="_GoBack"/>
      <w:bookmarkEnd w:id="0"/>
    </w:p>
    <w:p w14:paraId="652026F8" w14:textId="5DC71F83" w:rsidR="00C13929" w:rsidRDefault="0083577E" w:rsidP="0077415E">
      <w:pPr>
        <w:rPr>
          <w:bCs/>
          <w:sz w:val="24"/>
          <w:szCs w:val="24"/>
        </w:rPr>
      </w:pPr>
      <w:r>
        <w:rPr>
          <w:bCs/>
          <w:sz w:val="24"/>
          <w:szCs w:val="24"/>
        </w:rPr>
        <w:t xml:space="preserve">HCA met </w:t>
      </w:r>
      <w:r w:rsidR="00CD75C3">
        <w:rPr>
          <w:bCs/>
          <w:sz w:val="24"/>
          <w:szCs w:val="24"/>
        </w:rPr>
        <w:t>i</w:t>
      </w:r>
      <w:r>
        <w:rPr>
          <w:bCs/>
          <w:sz w:val="24"/>
          <w:szCs w:val="24"/>
        </w:rPr>
        <w:t>ts financial target</w:t>
      </w:r>
      <w:r w:rsidR="00CD75C3">
        <w:rPr>
          <w:bCs/>
          <w:sz w:val="24"/>
          <w:szCs w:val="24"/>
        </w:rPr>
        <w:t xml:space="preserve"> for monthly review of the budget</w:t>
      </w:r>
      <w:r>
        <w:rPr>
          <w:bCs/>
          <w:sz w:val="24"/>
          <w:szCs w:val="24"/>
        </w:rPr>
        <w:t>.</w:t>
      </w:r>
      <w:r w:rsidR="006D589B">
        <w:rPr>
          <w:bCs/>
          <w:sz w:val="24"/>
          <w:szCs w:val="24"/>
        </w:rPr>
        <w:t xml:space="preserve"> It also met the target for having a</w:t>
      </w:r>
      <w:r w:rsidR="00971AC6">
        <w:rPr>
          <w:bCs/>
          <w:sz w:val="24"/>
          <w:szCs w:val="24"/>
        </w:rPr>
        <w:t>n</w:t>
      </w:r>
      <w:r w:rsidR="008E6843">
        <w:rPr>
          <w:bCs/>
          <w:sz w:val="24"/>
          <w:szCs w:val="24"/>
        </w:rPr>
        <w:t xml:space="preserve"> external </w:t>
      </w:r>
      <w:r w:rsidR="006D589B">
        <w:rPr>
          <w:bCs/>
          <w:sz w:val="24"/>
          <w:szCs w:val="24"/>
        </w:rPr>
        <w:t>financial audit completed.</w:t>
      </w:r>
    </w:p>
    <w:p w14:paraId="5E726932" w14:textId="77777777" w:rsidR="0083577E" w:rsidRPr="0083577E" w:rsidRDefault="0083577E" w:rsidP="0077415E">
      <w:pPr>
        <w:rPr>
          <w:bCs/>
          <w:sz w:val="24"/>
          <w:szCs w:val="24"/>
        </w:rPr>
      </w:pPr>
    </w:p>
    <w:p w14:paraId="691321B6" w14:textId="77777777" w:rsidR="00C13929" w:rsidRPr="0077415E" w:rsidRDefault="00C13929" w:rsidP="0077415E">
      <w:pPr>
        <w:rPr>
          <w:b/>
          <w:sz w:val="24"/>
          <w:szCs w:val="24"/>
          <w:u w:val="single"/>
        </w:rPr>
      </w:pPr>
    </w:p>
    <w:tbl>
      <w:tblPr>
        <w:tblStyle w:val="TableGrid"/>
        <w:tblW w:w="0" w:type="auto"/>
        <w:tblLook w:val="04A0" w:firstRow="1" w:lastRow="0" w:firstColumn="1" w:lastColumn="0" w:noHBand="0" w:noVBand="1"/>
      </w:tblPr>
      <w:tblGrid>
        <w:gridCol w:w="9350"/>
      </w:tblGrid>
      <w:tr w:rsidR="003666FE" w14:paraId="28B6A3E2" w14:textId="77777777" w:rsidTr="00FF4A56">
        <w:tc>
          <w:tcPr>
            <w:tcW w:w="9350" w:type="dxa"/>
            <w:shd w:val="clear" w:color="auto" w:fill="800000"/>
          </w:tcPr>
          <w:p w14:paraId="7BACA158" w14:textId="1CAC18F8" w:rsidR="003666FE" w:rsidRDefault="003666FE" w:rsidP="00FF4A56">
            <w:pPr>
              <w:rPr>
                <w:rFonts w:cs="Arial"/>
                <w:sz w:val="28"/>
                <w:szCs w:val="28"/>
              </w:rPr>
            </w:pPr>
            <w:r>
              <w:rPr>
                <w:rFonts w:cs="Arial"/>
                <w:sz w:val="28"/>
                <w:szCs w:val="28"/>
              </w:rPr>
              <w:t xml:space="preserve">Section </w:t>
            </w:r>
            <w:r w:rsidR="001617C6">
              <w:rPr>
                <w:rFonts w:cs="Arial"/>
                <w:sz w:val="28"/>
                <w:szCs w:val="28"/>
              </w:rPr>
              <w:t>1</w:t>
            </w:r>
            <w:r w:rsidR="00CD351A">
              <w:rPr>
                <w:rFonts w:cs="Arial"/>
                <w:sz w:val="28"/>
                <w:szCs w:val="28"/>
              </w:rPr>
              <w:t>0</w:t>
            </w:r>
            <w:r>
              <w:rPr>
                <w:rFonts w:cs="Arial"/>
                <w:sz w:val="28"/>
                <w:szCs w:val="28"/>
              </w:rPr>
              <w:t xml:space="preserve">: </w:t>
            </w:r>
            <w:r w:rsidR="00FA1BAA">
              <w:rPr>
                <w:rFonts w:cs="Arial"/>
                <w:sz w:val="28"/>
                <w:szCs w:val="28"/>
              </w:rPr>
              <w:t>Governance Board Performance and Stewardship</w:t>
            </w:r>
          </w:p>
        </w:tc>
      </w:tr>
    </w:tbl>
    <w:p w14:paraId="5F0369B8" w14:textId="20FB9608" w:rsidR="00432B81" w:rsidRDefault="00432B81" w:rsidP="004078E5">
      <w:pPr>
        <w:jc w:val="both"/>
        <w:rPr>
          <w:b/>
          <w:sz w:val="24"/>
          <w:szCs w:val="24"/>
          <w:u w:val="single"/>
        </w:rPr>
      </w:pPr>
    </w:p>
    <w:tbl>
      <w:tblPr>
        <w:tblStyle w:val="TableGrid"/>
        <w:tblW w:w="10800" w:type="dxa"/>
        <w:tblInd w:w="-725" w:type="dxa"/>
        <w:tblLook w:val="04A0" w:firstRow="1" w:lastRow="0" w:firstColumn="1" w:lastColumn="0" w:noHBand="0" w:noVBand="1"/>
      </w:tblPr>
      <w:tblGrid>
        <w:gridCol w:w="3272"/>
        <w:gridCol w:w="3261"/>
        <w:gridCol w:w="2470"/>
        <w:gridCol w:w="1797"/>
      </w:tblGrid>
      <w:tr w:rsidR="00432B81" w14:paraId="5FDFD256" w14:textId="77777777" w:rsidTr="007F7266">
        <w:tc>
          <w:tcPr>
            <w:tcW w:w="3272" w:type="dxa"/>
            <w:shd w:val="clear" w:color="auto" w:fill="C96772"/>
          </w:tcPr>
          <w:p w14:paraId="10C694BC" w14:textId="77777777" w:rsidR="00432B81" w:rsidRPr="003666FE" w:rsidRDefault="00432B81" w:rsidP="0021284E">
            <w:pPr>
              <w:jc w:val="center"/>
              <w:rPr>
                <w:b/>
                <w:sz w:val="24"/>
                <w:szCs w:val="24"/>
              </w:rPr>
            </w:pPr>
            <w:r>
              <w:rPr>
                <w:b/>
                <w:sz w:val="24"/>
                <w:szCs w:val="24"/>
              </w:rPr>
              <w:t>Measure</w:t>
            </w:r>
          </w:p>
        </w:tc>
        <w:tc>
          <w:tcPr>
            <w:tcW w:w="3261" w:type="dxa"/>
            <w:shd w:val="clear" w:color="auto" w:fill="C96772"/>
          </w:tcPr>
          <w:p w14:paraId="2D44AB1E" w14:textId="77777777" w:rsidR="00432B81" w:rsidRPr="003666FE" w:rsidRDefault="00432B81" w:rsidP="0021284E">
            <w:pPr>
              <w:jc w:val="center"/>
              <w:rPr>
                <w:b/>
                <w:sz w:val="24"/>
                <w:szCs w:val="24"/>
              </w:rPr>
            </w:pPr>
            <w:r>
              <w:rPr>
                <w:b/>
                <w:sz w:val="24"/>
                <w:szCs w:val="24"/>
              </w:rPr>
              <w:t>Target</w:t>
            </w:r>
          </w:p>
        </w:tc>
        <w:tc>
          <w:tcPr>
            <w:tcW w:w="2470" w:type="dxa"/>
            <w:shd w:val="clear" w:color="auto" w:fill="C96772"/>
          </w:tcPr>
          <w:p w14:paraId="3E6567EE" w14:textId="77777777" w:rsidR="00432B81" w:rsidRPr="003666FE" w:rsidRDefault="00432B81" w:rsidP="0021284E">
            <w:pPr>
              <w:jc w:val="center"/>
              <w:rPr>
                <w:b/>
                <w:sz w:val="24"/>
                <w:szCs w:val="24"/>
              </w:rPr>
            </w:pPr>
            <w:r>
              <w:rPr>
                <w:b/>
                <w:sz w:val="24"/>
                <w:szCs w:val="24"/>
              </w:rPr>
              <w:t>Results</w:t>
            </w:r>
          </w:p>
        </w:tc>
        <w:tc>
          <w:tcPr>
            <w:tcW w:w="1797" w:type="dxa"/>
            <w:shd w:val="clear" w:color="auto" w:fill="C96772"/>
          </w:tcPr>
          <w:p w14:paraId="5350DA9E" w14:textId="231D93B5" w:rsidR="00432B81" w:rsidRPr="003666FE" w:rsidRDefault="00432B81" w:rsidP="0021284E">
            <w:pPr>
              <w:jc w:val="center"/>
              <w:rPr>
                <w:b/>
                <w:sz w:val="24"/>
                <w:szCs w:val="24"/>
              </w:rPr>
            </w:pPr>
          </w:p>
        </w:tc>
      </w:tr>
      <w:tr w:rsidR="00AC4E2B" w14:paraId="0DCDAC02" w14:textId="77777777" w:rsidTr="007F7266">
        <w:tc>
          <w:tcPr>
            <w:tcW w:w="3272" w:type="dxa"/>
          </w:tcPr>
          <w:p w14:paraId="28951F82" w14:textId="216CBCF1" w:rsidR="00AC4E2B" w:rsidRPr="003058B9" w:rsidRDefault="00AC4E2B" w:rsidP="003058B9">
            <w:pPr>
              <w:rPr>
                <w:sz w:val="24"/>
                <w:szCs w:val="24"/>
              </w:rPr>
            </w:pPr>
            <w:r>
              <w:rPr>
                <w:sz w:val="24"/>
                <w:szCs w:val="24"/>
              </w:rPr>
              <w:t>Governance Board operates in a transparent, responsible, and legally compliant manner</w:t>
            </w:r>
          </w:p>
        </w:tc>
        <w:tc>
          <w:tcPr>
            <w:tcW w:w="3261" w:type="dxa"/>
          </w:tcPr>
          <w:p w14:paraId="7BE69823" w14:textId="445D4308" w:rsidR="00AC4E2B" w:rsidRPr="003058B9" w:rsidRDefault="00AC4E2B" w:rsidP="003058B9">
            <w:pPr>
              <w:rPr>
                <w:sz w:val="24"/>
                <w:szCs w:val="24"/>
              </w:rPr>
            </w:pPr>
            <w:r>
              <w:rPr>
                <w:sz w:val="24"/>
                <w:szCs w:val="24"/>
              </w:rPr>
              <w:t>Meeting notifications, agendas, and minutes are announced and posted to the school’s website.</w:t>
            </w:r>
          </w:p>
        </w:tc>
        <w:tc>
          <w:tcPr>
            <w:tcW w:w="2470" w:type="dxa"/>
          </w:tcPr>
          <w:p w14:paraId="586775B8" w14:textId="14877EDD" w:rsidR="00AC4E2B" w:rsidRPr="003058B9" w:rsidRDefault="00AC4E2B" w:rsidP="003058B9">
            <w:pPr>
              <w:rPr>
                <w:sz w:val="24"/>
                <w:szCs w:val="24"/>
              </w:rPr>
            </w:pPr>
            <w:r>
              <w:rPr>
                <w:sz w:val="24"/>
                <w:szCs w:val="24"/>
              </w:rPr>
              <w:t>Meeting notifications, agendas, and minutes were announced and posted to the school’s website.</w:t>
            </w:r>
          </w:p>
        </w:tc>
        <w:tc>
          <w:tcPr>
            <w:tcW w:w="1797" w:type="dxa"/>
          </w:tcPr>
          <w:p w14:paraId="141BE931" w14:textId="4DB3320F" w:rsidR="00AC4E2B" w:rsidRPr="003058B9" w:rsidRDefault="00F31F6D" w:rsidP="003058B9">
            <w:pPr>
              <w:rPr>
                <w:sz w:val="24"/>
                <w:szCs w:val="24"/>
              </w:rPr>
            </w:pPr>
            <w:r>
              <w:rPr>
                <w:sz w:val="24"/>
                <w:szCs w:val="24"/>
              </w:rPr>
              <w:t>Me</w:t>
            </w:r>
            <w:r w:rsidR="0007528F">
              <w:rPr>
                <w:sz w:val="24"/>
                <w:szCs w:val="24"/>
              </w:rPr>
              <w:t>t</w:t>
            </w:r>
          </w:p>
        </w:tc>
      </w:tr>
      <w:tr w:rsidR="00AC4E2B" w14:paraId="6AB96511" w14:textId="77777777" w:rsidTr="007F7266">
        <w:tc>
          <w:tcPr>
            <w:tcW w:w="3272" w:type="dxa"/>
          </w:tcPr>
          <w:p w14:paraId="264C8CD7" w14:textId="29CC1390" w:rsidR="00AC4E2B" w:rsidRPr="003058B9" w:rsidRDefault="00AC4E2B" w:rsidP="003058B9">
            <w:pPr>
              <w:rPr>
                <w:sz w:val="24"/>
                <w:szCs w:val="24"/>
              </w:rPr>
            </w:pPr>
            <w:r>
              <w:rPr>
                <w:sz w:val="24"/>
                <w:szCs w:val="24"/>
              </w:rPr>
              <w:t xml:space="preserve">Governance Board provides oversight of school leadership </w:t>
            </w:r>
          </w:p>
        </w:tc>
        <w:tc>
          <w:tcPr>
            <w:tcW w:w="3261" w:type="dxa"/>
          </w:tcPr>
          <w:p w14:paraId="61C3CBDA" w14:textId="3FE7EB54" w:rsidR="00AC4E2B" w:rsidRPr="003058B9" w:rsidRDefault="00AC4E2B" w:rsidP="003058B9">
            <w:pPr>
              <w:rPr>
                <w:sz w:val="24"/>
                <w:szCs w:val="24"/>
              </w:rPr>
            </w:pPr>
            <w:r>
              <w:rPr>
                <w:sz w:val="24"/>
                <w:szCs w:val="24"/>
              </w:rPr>
              <w:t xml:space="preserve">The governing </w:t>
            </w:r>
            <w:r w:rsidR="008A483C">
              <w:rPr>
                <w:sz w:val="24"/>
                <w:szCs w:val="24"/>
              </w:rPr>
              <w:t xml:space="preserve">board </w:t>
            </w:r>
            <w:r>
              <w:rPr>
                <w:sz w:val="24"/>
                <w:szCs w:val="24"/>
              </w:rPr>
              <w:t>will conduct an annual evaluation of the school’s leadership.</w:t>
            </w:r>
          </w:p>
        </w:tc>
        <w:tc>
          <w:tcPr>
            <w:tcW w:w="2470" w:type="dxa"/>
          </w:tcPr>
          <w:p w14:paraId="2F70496E" w14:textId="7FA0F058" w:rsidR="00AC4E2B" w:rsidRPr="003058B9" w:rsidRDefault="00F31F6D" w:rsidP="003058B9">
            <w:pPr>
              <w:rPr>
                <w:sz w:val="24"/>
                <w:szCs w:val="24"/>
              </w:rPr>
            </w:pPr>
            <w:r w:rsidRPr="00F31F6D">
              <w:rPr>
                <w:sz w:val="24"/>
                <w:szCs w:val="24"/>
              </w:rPr>
              <w:t>The Board conducted an evaluation of the Head of School at the end of the 2018-19 school year.</w:t>
            </w:r>
          </w:p>
        </w:tc>
        <w:tc>
          <w:tcPr>
            <w:tcW w:w="1797" w:type="dxa"/>
          </w:tcPr>
          <w:p w14:paraId="01BDD5A2" w14:textId="1B299082" w:rsidR="00AC4E2B" w:rsidRPr="003058B9" w:rsidRDefault="00F31F6D" w:rsidP="003058B9">
            <w:pPr>
              <w:rPr>
                <w:sz w:val="24"/>
                <w:szCs w:val="24"/>
              </w:rPr>
            </w:pPr>
            <w:r>
              <w:rPr>
                <w:sz w:val="24"/>
                <w:szCs w:val="24"/>
              </w:rPr>
              <w:t>Me</w:t>
            </w:r>
            <w:r w:rsidR="0007528F">
              <w:rPr>
                <w:sz w:val="24"/>
                <w:szCs w:val="24"/>
              </w:rPr>
              <w:t>t</w:t>
            </w:r>
          </w:p>
        </w:tc>
      </w:tr>
    </w:tbl>
    <w:p w14:paraId="6EB770BE" w14:textId="77777777" w:rsidR="00432B81" w:rsidRPr="004078E5" w:rsidRDefault="00432B81" w:rsidP="004078E5">
      <w:pPr>
        <w:jc w:val="both"/>
        <w:rPr>
          <w:b/>
          <w:sz w:val="24"/>
          <w:szCs w:val="24"/>
          <w:u w:val="single"/>
        </w:rPr>
      </w:pPr>
    </w:p>
    <w:p w14:paraId="34A48BD9" w14:textId="38A4F2AB" w:rsidR="008803D6" w:rsidRPr="00ED379C" w:rsidRDefault="00FC1BC5" w:rsidP="00ED379C">
      <w:pPr>
        <w:rPr>
          <w:b/>
          <w:sz w:val="24"/>
          <w:szCs w:val="24"/>
          <w:u w:val="single"/>
        </w:rPr>
      </w:pPr>
      <w:r>
        <w:rPr>
          <w:b/>
          <w:sz w:val="24"/>
          <w:szCs w:val="24"/>
          <w:u w:val="single"/>
        </w:rPr>
        <w:t>Discussion</w:t>
      </w:r>
    </w:p>
    <w:p w14:paraId="6D48B489" w14:textId="3BD873A6" w:rsidR="008803D6" w:rsidRPr="005A59E7" w:rsidRDefault="007F7266" w:rsidP="00FC1BC5">
      <w:pPr>
        <w:rPr>
          <w:sz w:val="24"/>
          <w:szCs w:val="24"/>
        </w:rPr>
      </w:pPr>
      <w:r w:rsidRPr="005A59E7">
        <w:rPr>
          <w:sz w:val="24"/>
          <w:szCs w:val="24"/>
        </w:rPr>
        <w:t>HCA met its Governance target</w:t>
      </w:r>
      <w:r w:rsidR="008E6843" w:rsidRPr="005A59E7">
        <w:rPr>
          <w:sz w:val="24"/>
          <w:szCs w:val="24"/>
        </w:rPr>
        <w:t xml:space="preserve"> for posting meeting agendas and minutes. It also met the target for </w:t>
      </w:r>
      <w:r w:rsidR="0030476F" w:rsidRPr="005A59E7">
        <w:rPr>
          <w:sz w:val="24"/>
          <w:szCs w:val="24"/>
        </w:rPr>
        <w:t>conducting an evaluation of the Head of School.</w:t>
      </w:r>
    </w:p>
    <w:p w14:paraId="4835AFD0" w14:textId="4EA69DCC" w:rsidR="0083577E" w:rsidRDefault="0083577E" w:rsidP="00FC1BC5"/>
    <w:p w14:paraId="64DA3C36" w14:textId="77777777" w:rsidR="0083577E" w:rsidRDefault="0083577E" w:rsidP="00FC1BC5"/>
    <w:tbl>
      <w:tblPr>
        <w:tblStyle w:val="TableGrid"/>
        <w:tblW w:w="0" w:type="auto"/>
        <w:tblLook w:val="04A0" w:firstRow="1" w:lastRow="0" w:firstColumn="1" w:lastColumn="0" w:noHBand="0" w:noVBand="1"/>
      </w:tblPr>
      <w:tblGrid>
        <w:gridCol w:w="9350"/>
      </w:tblGrid>
      <w:tr w:rsidR="008803D6" w14:paraId="3746C27F" w14:textId="77777777" w:rsidTr="00FF4A56">
        <w:tc>
          <w:tcPr>
            <w:tcW w:w="9350" w:type="dxa"/>
            <w:shd w:val="clear" w:color="auto" w:fill="800000"/>
          </w:tcPr>
          <w:p w14:paraId="1942EB3A" w14:textId="603A61CA" w:rsidR="008803D6" w:rsidRDefault="008803D6" w:rsidP="00FF4A56">
            <w:pPr>
              <w:rPr>
                <w:rFonts w:cs="Arial"/>
                <w:sz w:val="28"/>
                <w:szCs w:val="28"/>
              </w:rPr>
            </w:pPr>
            <w:r>
              <w:rPr>
                <w:rFonts w:cs="Arial"/>
                <w:sz w:val="28"/>
                <w:szCs w:val="28"/>
              </w:rPr>
              <w:t xml:space="preserve">Section </w:t>
            </w:r>
            <w:r w:rsidR="001617C6">
              <w:rPr>
                <w:rFonts w:cs="Arial"/>
                <w:sz w:val="28"/>
                <w:szCs w:val="28"/>
              </w:rPr>
              <w:t>1</w:t>
            </w:r>
            <w:r w:rsidR="00CD351A">
              <w:rPr>
                <w:rFonts w:cs="Arial"/>
                <w:sz w:val="28"/>
                <w:szCs w:val="28"/>
              </w:rPr>
              <w:t>1</w:t>
            </w:r>
            <w:r w:rsidR="001617C6">
              <w:rPr>
                <w:rFonts w:cs="Arial"/>
                <w:sz w:val="28"/>
                <w:szCs w:val="28"/>
              </w:rPr>
              <w:t>:</w:t>
            </w:r>
            <w:r>
              <w:rPr>
                <w:rFonts w:cs="Arial"/>
                <w:sz w:val="28"/>
                <w:szCs w:val="28"/>
              </w:rPr>
              <w:t xml:space="preserve"> </w:t>
            </w:r>
            <w:r w:rsidR="0082373B">
              <w:rPr>
                <w:rFonts w:cs="Arial"/>
                <w:sz w:val="28"/>
                <w:szCs w:val="28"/>
              </w:rPr>
              <w:t xml:space="preserve">Facilities </w:t>
            </w:r>
          </w:p>
        </w:tc>
      </w:tr>
    </w:tbl>
    <w:p w14:paraId="010A24EE" w14:textId="77777777"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3697"/>
        <w:gridCol w:w="2963"/>
        <w:gridCol w:w="2343"/>
        <w:gridCol w:w="1797"/>
      </w:tblGrid>
      <w:tr w:rsidR="008803D6" w14:paraId="14F43857" w14:textId="77777777" w:rsidTr="005B2849">
        <w:tc>
          <w:tcPr>
            <w:tcW w:w="3697" w:type="dxa"/>
            <w:shd w:val="clear" w:color="auto" w:fill="C96772"/>
          </w:tcPr>
          <w:p w14:paraId="7D375EC0" w14:textId="77777777" w:rsidR="008803D6" w:rsidRPr="003666FE" w:rsidRDefault="008803D6" w:rsidP="00FF4A56">
            <w:pPr>
              <w:jc w:val="center"/>
              <w:rPr>
                <w:b/>
                <w:sz w:val="24"/>
                <w:szCs w:val="24"/>
              </w:rPr>
            </w:pPr>
            <w:bookmarkStart w:id="1" w:name="_Hlk19791002"/>
            <w:r>
              <w:rPr>
                <w:b/>
                <w:sz w:val="24"/>
                <w:szCs w:val="24"/>
              </w:rPr>
              <w:t>Measure</w:t>
            </w:r>
          </w:p>
        </w:tc>
        <w:tc>
          <w:tcPr>
            <w:tcW w:w="2963" w:type="dxa"/>
            <w:shd w:val="clear" w:color="auto" w:fill="C96772"/>
          </w:tcPr>
          <w:p w14:paraId="503AF6F8" w14:textId="77777777" w:rsidR="008803D6" w:rsidRPr="003666FE" w:rsidRDefault="008803D6" w:rsidP="00FF4A56">
            <w:pPr>
              <w:jc w:val="center"/>
              <w:rPr>
                <w:b/>
                <w:sz w:val="24"/>
                <w:szCs w:val="24"/>
              </w:rPr>
            </w:pPr>
            <w:r>
              <w:rPr>
                <w:b/>
                <w:sz w:val="24"/>
                <w:szCs w:val="24"/>
              </w:rPr>
              <w:t>Target</w:t>
            </w:r>
          </w:p>
        </w:tc>
        <w:tc>
          <w:tcPr>
            <w:tcW w:w="2343" w:type="dxa"/>
            <w:shd w:val="clear" w:color="auto" w:fill="C96772"/>
          </w:tcPr>
          <w:p w14:paraId="012159D8" w14:textId="77777777" w:rsidR="008803D6" w:rsidRPr="003666FE" w:rsidRDefault="008803D6" w:rsidP="00FF4A56">
            <w:pPr>
              <w:jc w:val="center"/>
              <w:rPr>
                <w:b/>
                <w:sz w:val="24"/>
                <w:szCs w:val="24"/>
              </w:rPr>
            </w:pPr>
            <w:r>
              <w:rPr>
                <w:b/>
                <w:sz w:val="24"/>
                <w:szCs w:val="24"/>
              </w:rPr>
              <w:t>Results</w:t>
            </w:r>
          </w:p>
        </w:tc>
        <w:tc>
          <w:tcPr>
            <w:tcW w:w="1797" w:type="dxa"/>
            <w:shd w:val="clear" w:color="auto" w:fill="C96772"/>
          </w:tcPr>
          <w:p w14:paraId="77806D76" w14:textId="40B8488B" w:rsidR="008803D6" w:rsidRPr="003666FE" w:rsidRDefault="008803D6" w:rsidP="00FF4A56">
            <w:pPr>
              <w:jc w:val="center"/>
              <w:rPr>
                <w:b/>
                <w:sz w:val="24"/>
                <w:szCs w:val="24"/>
              </w:rPr>
            </w:pPr>
          </w:p>
        </w:tc>
      </w:tr>
      <w:tr w:rsidR="008803D6" w14:paraId="32B83D4B" w14:textId="77777777" w:rsidTr="005B2849">
        <w:tc>
          <w:tcPr>
            <w:tcW w:w="3697" w:type="dxa"/>
          </w:tcPr>
          <w:p w14:paraId="782212FB" w14:textId="170F1134" w:rsidR="008803D6" w:rsidRPr="00587DEF" w:rsidRDefault="00587DEF" w:rsidP="00587DEF">
            <w:pPr>
              <w:rPr>
                <w:sz w:val="24"/>
                <w:szCs w:val="24"/>
              </w:rPr>
            </w:pPr>
            <w:r>
              <w:rPr>
                <w:sz w:val="24"/>
                <w:szCs w:val="24"/>
              </w:rPr>
              <w:t>School facilities meet educational and health and safe</w:t>
            </w:r>
            <w:r w:rsidR="009049D5">
              <w:rPr>
                <w:sz w:val="24"/>
                <w:szCs w:val="24"/>
              </w:rPr>
              <w:t>ty standards.</w:t>
            </w:r>
          </w:p>
        </w:tc>
        <w:tc>
          <w:tcPr>
            <w:tcW w:w="2963" w:type="dxa"/>
          </w:tcPr>
          <w:p w14:paraId="4E3F1BEC" w14:textId="7046AFD8" w:rsidR="008803D6" w:rsidRPr="00587DEF" w:rsidRDefault="001510F6" w:rsidP="00587DEF">
            <w:pPr>
              <w:rPr>
                <w:sz w:val="24"/>
                <w:szCs w:val="24"/>
              </w:rPr>
            </w:pPr>
            <w:r>
              <w:rPr>
                <w:sz w:val="24"/>
                <w:szCs w:val="24"/>
              </w:rPr>
              <w:t>Board certifies that the facilities meet educational and health &amp; safety requirements</w:t>
            </w:r>
          </w:p>
        </w:tc>
        <w:tc>
          <w:tcPr>
            <w:tcW w:w="2343" w:type="dxa"/>
          </w:tcPr>
          <w:p w14:paraId="661F0692" w14:textId="685C2B50" w:rsidR="008803D6" w:rsidRPr="00587DEF" w:rsidRDefault="00F31F6D" w:rsidP="00587DEF">
            <w:pPr>
              <w:rPr>
                <w:sz w:val="24"/>
                <w:szCs w:val="24"/>
              </w:rPr>
            </w:pPr>
            <w:r>
              <w:rPr>
                <w:sz w:val="24"/>
                <w:szCs w:val="24"/>
              </w:rPr>
              <w:t xml:space="preserve">HCA certified that appropriate </w:t>
            </w:r>
            <w:r w:rsidR="0042016F">
              <w:rPr>
                <w:sz w:val="24"/>
                <w:szCs w:val="24"/>
              </w:rPr>
              <w:t>inspections and certifications were completed.</w:t>
            </w:r>
          </w:p>
        </w:tc>
        <w:tc>
          <w:tcPr>
            <w:tcW w:w="1797" w:type="dxa"/>
          </w:tcPr>
          <w:p w14:paraId="4F4C0713" w14:textId="7895AE4B" w:rsidR="008803D6" w:rsidRPr="00587DEF" w:rsidRDefault="0042016F" w:rsidP="00587DEF">
            <w:pPr>
              <w:rPr>
                <w:sz w:val="24"/>
                <w:szCs w:val="24"/>
              </w:rPr>
            </w:pPr>
            <w:r>
              <w:rPr>
                <w:sz w:val="24"/>
                <w:szCs w:val="24"/>
              </w:rPr>
              <w:t>Me</w:t>
            </w:r>
            <w:r w:rsidR="0007528F">
              <w:rPr>
                <w:sz w:val="24"/>
                <w:szCs w:val="24"/>
              </w:rPr>
              <w:t>t</w:t>
            </w:r>
          </w:p>
        </w:tc>
      </w:tr>
      <w:bookmarkEnd w:id="1"/>
    </w:tbl>
    <w:p w14:paraId="7020A243" w14:textId="77777777" w:rsidR="008803D6" w:rsidRDefault="008803D6" w:rsidP="008803D6">
      <w:pPr>
        <w:jc w:val="both"/>
        <w:rPr>
          <w:b/>
          <w:sz w:val="24"/>
          <w:szCs w:val="24"/>
          <w:u w:val="single"/>
        </w:rPr>
      </w:pPr>
    </w:p>
    <w:p w14:paraId="7D3E32C1" w14:textId="44CAD429" w:rsidR="008803D6" w:rsidRDefault="00A45B7A" w:rsidP="00D04EE4">
      <w:pPr>
        <w:rPr>
          <w:b/>
          <w:sz w:val="24"/>
          <w:szCs w:val="24"/>
          <w:u w:val="single"/>
        </w:rPr>
      </w:pPr>
      <w:r>
        <w:rPr>
          <w:b/>
          <w:sz w:val="24"/>
          <w:szCs w:val="24"/>
          <w:u w:val="single"/>
        </w:rPr>
        <w:t>Discussio</w:t>
      </w:r>
      <w:r w:rsidR="001C562B">
        <w:rPr>
          <w:b/>
          <w:sz w:val="24"/>
          <w:szCs w:val="24"/>
          <w:u w:val="single"/>
        </w:rPr>
        <w:t>n</w:t>
      </w:r>
    </w:p>
    <w:p w14:paraId="3439F433" w14:textId="152A388D" w:rsidR="00FB33C2" w:rsidRPr="00E11CC3" w:rsidRDefault="00E11CC3" w:rsidP="00D04EE4">
      <w:pPr>
        <w:rPr>
          <w:bCs/>
          <w:sz w:val="24"/>
          <w:szCs w:val="24"/>
        </w:rPr>
      </w:pPr>
      <w:r w:rsidRPr="00E11CC3">
        <w:rPr>
          <w:bCs/>
          <w:sz w:val="24"/>
          <w:szCs w:val="24"/>
        </w:rPr>
        <w:t>HCA met its facilities target</w:t>
      </w:r>
      <w:r w:rsidR="0030476F">
        <w:rPr>
          <w:bCs/>
          <w:sz w:val="24"/>
          <w:szCs w:val="24"/>
        </w:rPr>
        <w:t xml:space="preserve"> for certifying that inspections and certifications were complete.</w:t>
      </w:r>
    </w:p>
    <w:p w14:paraId="187479F2" w14:textId="5B4ECBF4" w:rsidR="00DB672A" w:rsidRDefault="00DB672A" w:rsidP="00D04EE4">
      <w:pPr>
        <w:rPr>
          <w:b/>
          <w:sz w:val="24"/>
          <w:szCs w:val="24"/>
          <w:u w:val="single"/>
        </w:rPr>
      </w:pPr>
    </w:p>
    <w:p w14:paraId="78F33B4F" w14:textId="26374694" w:rsidR="00AC5B81" w:rsidRDefault="00AC5B81" w:rsidP="00D04EE4">
      <w:pPr>
        <w:rPr>
          <w:b/>
          <w:sz w:val="24"/>
          <w:szCs w:val="24"/>
          <w:u w:val="single"/>
        </w:rPr>
      </w:pPr>
    </w:p>
    <w:p w14:paraId="319B5F6D" w14:textId="30A8B343" w:rsidR="00AC5B81" w:rsidRDefault="00AC5B81" w:rsidP="00D04EE4">
      <w:pPr>
        <w:rPr>
          <w:b/>
          <w:sz w:val="24"/>
          <w:szCs w:val="24"/>
          <w:u w:val="single"/>
        </w:rPr>
      </w:pPr>
    </w:p>
    <w:p w14:paraId="52F1E2F0" w14:textId="77777777" w:rsidR="00AC5B81" w:rsidRDefault="00AC5B81" w:rsidP="00D04EE4">
      <w:pPr>
        <w:rPr>
          <w:b/>
          <w:sz w:val="24"/>
          <w:szCs w:val="24"/>
          <w:u w:val="single"/>
        </w:rPr>
      </w:pPr>
    </w:p>
    <w:p w14:paraId="4529016F" w14:textId="77777777" w:rsidR="00E11CC3" w:rsidRPr="00D04EE4" w:rsidRDefault="00E11CC3" w:rsidP="00D04EE4">
      <w:pPr>
        <w:rPr>
          <w:b/>
          <w:sz w:val="24"/>
          <w:szCs w:val="24"/>
          <w:u w:val="single"/>
        </w:rPr>
      </w:pPr>
    </w:p>
    <w:tbl>
      <w:tblPr>
        <w:tblStyle w:val="TableGrid"/>
        <w:tblW w:w="0" w:type="auto"/>
        <w:tblLook w:val="04A0" w:firstRow="1" w:lastRow="0" w:firstColumn="1" w:lastColumn="0" w:noHBand="0" w:noVBand="1"/>
      </w:tblPr>
      <w:tblGrid>
        <w:gridCol w:w="9350"/>
      </w:tblGrid>
      <w:tr w:rsidR="008803D6" w14:paraId="40AAD824" w14:textId="77777777" w:rsidTr="00FF4A56">
        <w:tc>
          <w:tcPr>
            <w:tcW w:w="9350" w:type="dxa"/>
            <w:shd w:val="clear" w:color="auto" w:fill="800000"/>
          </w:tcPr>
          <w:p w14:paraId="562E1364" w14:textId="69CF25B8" w:rsidR="008803D6" w:rsidRDefault="008803D6" w:rsidP="00FF4A56">
            <w:pPr>
              <w:rPr>
                <w:rFonts w:cs="Arial"/>
                <w:sz w:val="28"/>
                <w:szCs w:val="28"/>
              </w:rPr>
            </w:pPr>
            <w:r>
              <w:rPr>
                <w:rFonts w:cs="Arial"/>
                <w:sz w:val="28"/>
                <w:szCs w:val="28"/>
              </w:rPr>
              <w:lastRenderedPageBreak/>
              <w:t xml:space="preserve">Section </w:t>
            </w:r>
            <w:r w:rsidR="002122C8">
              <w:rPr>
                <w:rFonts w:cs="Arial"/>
                <w:sz w:val="28"/>
                <w:szCs w:val="28"/>
              </w:rPr>
              <w:t>1</w:t>
            </w:r>
            <w:r w:rsidR="00CD351A">
              <w:rPr>
                <w:rFonts w:cs="Arial"/>
                <w:sz w:val="28"/>
                <w:szCs w:val="28"/>
              </w:rPr>
              <w:t>2</w:t>
            </w:r>
            <w:r>
              <w:rPr>
                <w:rFonts w:cs="Arial"/>
                <w:sz w:val="28"/>
                <w:szCs w:val="28"/>
              </w:rPr>
              <w:t>: School Climate</w:t>
            </w:r>
          </w:p>
        </w:tc>
      </w:tr>
    </w:tbl>
    <w:p w14:paraId="5AA72A05" w14:textId="77777777"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2988"/>
        <w:gridCol w:w="3119"/>
        <w:gridCol w:w="2896"/>
        <w:gridCol w:w="1797"/>
      </w:tblGrid>
      <w:tr w:rsidR="008803D6" w14:paraId="6E07899B" w14:textId="77777777" w:rsidTr="00516BBB">
        <w:tc>
          <w:tcPr>
            <w:tcW w:w="2988" w:type="dxa"/>
            <w:shd w:val="clear" w:color="auto" w:fill="C96772"/>
          </w:tcPr>
          <w:p w14:paraId="5A03F940" w14:textId="77777777" w:rsidR="008803D6" w:rsidRPr="003666FE" w:rsidRDefault="008803D6" w:rsidP="00FF4A56">
            <w:pPr>
              <w:jc w:val="center"/>
              <w:rPr>
                <w:b/>
                <w:sz w:val="24"/>
                <w:szCs w:val="24"/>
              </w:rPr>
            </w:pPr>
            <w:r>
              <w:rPr>
                <w:b/>
                <w:sz w:val="24"/>
                <w:szCs w:val="24"/>
              </w:rPr>
              <w:t>Measure</w:t>
            </w:r>
          </w:p>
        </w:tc>
        <w:tc>
          <w:tcPr>
            <w:tcW w:w="3119" w:type="dxa"/>
            <w:shd w:val="clear" w:color="auto" w:fill="C96772"/>
          </w:tcPr>
          <w:p w14:paraId="657DFA9E" w14:textId="77777777" w:rsidR="008803D6" w:rsidRPr="003666FE" w:rsidRDefault="008803D6" w:rsidP="00FF4A56">
            <w:pPr>
              <w:jc w:val="center"/>
              <w:rPr>
                <w:b/>
                <w:sz w:val="24"/>
                <w:szCs w:val="24"/>
              </w:rPr>
            </w:pPr>
            <w:r>
              <w:rPr>
                <w:b/>
                <w:sz w:val="24"/>
                <w:szCs w:val="24"/>
              </w:rPr>
              <w:t>Target</w:t>
            </w:r>
          </w:p>
        </w:tc>
        <w:tc>
          <w:tcPr>
            <w:tcW w:w="2896" w:type="dxa"/>
            <w:shd w:val="clear" w:color="auto" w:fill="C96772"/>
          </w:tcPr>
          <w:p w14:paraId="2D046E98" w14:textId="77777777" w:rsidR="008803D6" w:rsidRPr="003666FE" w:rsidRDefault="008803D6" w:rsidP="00FF4A56">
            <w:pPr>
              <w:jc w:val="center"/>
              <w:rPr>
                <w:b/>
                <w:sz w:val="24"/>
                <w:szCs w:val="24"/>
              </w:rPr>
            </w:pPr>
            <w:r>
              <w:rPr>
                <w:b/>
                <w:sz w:val="24"/>
                <w:szCs w:val="24"/>
              </w:rPr>
              <w:t>Results</w:t>
            </w:r>
          </w:p>
        </w:tc>
        <w:tc>
          <w:tcPr>
            <w:tcW w:w="1797" w:type="dxa"/>
            <w:shd w:val="clear" w:color="auto" w:fill="C96772"/>
          </w:tcPr>
          <w:p w14:paraId="1E1385FA" w14:textId="4D716D94" w:rsidR="008803D6" w:rsidRPr="003666FE" w:rsidRDefault="008803D6" w:rsidP="00FF4A56">
            <w:pPr>
              <w:jc w:val="center"/>
              <w:rPr>
                <w:b/>
                <w:sz w:val="24"/>
                <w:szCs w:val="24"/>
              </w:rPr>
            </w:pPr>
          </w:p>
        </w:tc>
      </w:tr>
      <w:tr w:rsidR="008803D6" w14:paraId="5A1525C5" w14:textId="77777777" w:rsidTr="00516BBB">
        <w:tc>
          <w:tcPr>
            <w:tcW w:w="2988" w:type="dxa"/>
          </w:tcPr>
          <w:p w14:paraId="3236EB95" w14:textId="36D56B63" w:rsidR="008803D6" w:rsidRPr="008C4ECE" w:rsidRDefault="008C4ECE" w:rsidP="008C4ECE">
            <w:pPr>
              <w:rPr>
                <w:sz w:val="24"/>
                <w:szCs w:val="24"/>
              </w:rPr>
            </w:pPr>
            <w:r>
              <w:rPr>
                <w:sz w:val="24"/>
                <w:szCs w:val="24"/>
              </w:rPr>
              <w:t>Instances of bullying</w:t>
            </w:r>
            <w:r w:rsidR="00394B7E">
              <w:rPr>
                <w:sz w:val="24"/>
                <w:szCs w:val="24"/>
              </w:rPr>
              <w:t>, harassment, or other abusive practices</w:t>
            </w:r>
          </w:p>
        </w:tc>
        <w:tc>
          <w:tcPr>
            <w:tcW w:w="3119" w:type="dxa"/>
          </w:tcPr>
          <w:p w14:paraId="7FF878BC" w14:textId="765A048A" w:rsidR="008803D6" w:rsidRPr="008C4ECE" w:rsidRDefault="007A0A2F" w:rsidP="008C4ECE">
            <w:pPr>
              <w:rPr>
                <w:sz w:val="24"/>
                <w:szCs w:val="24"/>
              </w:rPr>
            </w:pPr>
            <w:r>
              <w:rPr>
                <w:sz w:val="24"/>
                <w:szCs w:val="24"/>
              </w:rPr>
              <w:t>Fewer than 15 incidents reported annually</w:t>
            </w:r>
          </w:p>
        </w:tc>
        <w:tc>
          <w:tcPr>
            <w:tcW w:w="2896" w:type="dxa"/>
          </w:tcPr>
          <w:p w14:paraId="7A3CBAAE" w14:textId="6F6F3F11" w:rsidR="008803D6" w:rsidRPr="008C4ECE" w:rsidRDefault="0087516C" w:rsidP="008C4ECE">
            <w:pPr>
              <w:rPr>
                <w:sz w:val="24"/>
                <w:szCs w:val="24"/>
              </w:rPr>
            </w:pPr>
            <w:r>
              <w:rPr>
                <w:sz w:val="24"/>
                <w:szCs w:val="24"/>
              </w:rPr>
              <w:t xml:space="preserve">4 incidents </w:t>
            </w:r>
            <w:r w:rsidR="00987CB9">
              <w:rPr>
                <w:sz w:val="24"/>
                <w:szCs w:val="24"/>
              </w:rPr>
              <w:t>reported</w:t>
            </w:r>
          </w:p>
        </w:tc>
        <w:tc>
          <w:tcPr>
            <w:tcW w:w="1797" w:type="dxa"/>
          </w:tcPr>
          <w:p w14:paraId="06D2A51E" w14:textId="042C0462" w:rsidR="008803D6" w:rsidRPr="008C4ECE" w:rsidRDefault="00987CB9" w:rsidP="008C4ECE">
            <w:pPr>
              <w:rPr>
                <w:sz w:val="24"/>
                <w:szCs w:val="24"/>
              </w:rPr>
            </w:pPr>
            <w:r>
              <w:rPr>
                <w:sz w:val="24"/>
                <w:szCs w:val="24"/>
              </w:rPr>
              <w:t>Me</w:t>
            </w:r>
            <w:r w:rsidR="0007528F">
              <w:rPr>
                <w:sz w:val="24"/>
                <w:szCs w:val="24"/>
              </w:rPr>
              <w:t>t</w:t>
            </w:r>
          </w:p>
        </w:tc>
      </w:tr>
      <w:tr w:rsidR="008803D6" w14:paraId="20A42439" w14:textId="77777777" w:rsidTr="00516BBB">
        <w:tc>
          <w:tcPr>
            <w:tcW w:w="2988" w:type="dxa"/>
          </w:tcPr>
          <w:p w14:paraId="6B65D1C3" w14:textId="715E044C" w:rsidR="008803D6" w:rsidRPr="008C4ECE" w:rsidRDefault="00D424BC" w:rsidP="008C4ECE">
            <w:pPr>
              <w:rPr>
                <w:sz w:val="24"/>
                <w:szCs w:val="24"/>
              </w:rPr>
            </w:pPr>
            <w:r>
              <w:rPr>
                <w:sz w:val="24"/>
                <w:szCs w:val="24"/>
              </w:rPr>
              <w:t xml:space="preserve">Participation on </w:t>
            </w:r>
            <w:r w:rsidR="009D3E94">
              <w:rPr>
                <w:sz w:val="24"/>
                <w:szCs w:val="24"/>
              </w:rPr>
              <w:t>School Climate Survey</w:t>
            </w:r>
          </w:p>
        </w:tc>
        <w:tc>
          <w:tcPr>
            <w:tcW w:w="3119" w:type="dxa"/>
          </w:tcPr>
          <w:p w14:paraId="3C2D2931" w14:textId="01E92FFE" w:rsidR="008803D6" w:rsidRPr="008C4ECE" w:rsidRDefault="00DA13B7" w:rsidP="008C4ECE">
            <w:pPr>
              <w:rPr>
                <w:sz w:val="24"/>
                <w:szCs w:val="24"/>
              </w:rPr>
            </w:pPr>
            <w:r>
              <w:rPr>
                <w:sz w:val="24"/>
                <w:szCs w:val="24"/>
              </w:rPr>
              <w:t>90% of all students will participate in the school climate survey.</w:t>
            </w:r>
          </w:p>
        </w:tc>
        <w:tc>
          <w:tcPr>
            <w:tcW w:w="2896" w:type="dxa"/>
          </w:tcPr>
          <w:p w14:paraId="2B920050" w14:textId="5CB3A358" w:rsidR="008803D6" w:rsidRPr="008C4ECE" w:rsidRDefault="006408D0" w:rsidP="008C4ECE">
            <w:pPr>
              <w:rPr>
                <w:sz w:val="24"/>
                <w:szCs w:val="24"/>
              </w:rPr>
            </w:pPr>
            <w:r w:rsidRPr="006408D0">
              <w:rPr>
                <w:sz w:val="24"/>
                <w:szCs w:val="24"/>
              </w:rPr>
              <w:t>80% of students</w:t>
            </w:r>
            <w:r>
              <w:rPr>
                <w:sz w:val="24"/>
                <w:szCs w:val="24"/>
              </w:rPr>
              <w:t xml:space="preserve"> participated in the survey</w:t>
            </w:r>
            <w:r w:rsidR="00671856">
              <w:rPr>
                <w:sz w:val="24"/>
                <w:szCs w:val="24"/>
              </w:rPr>
              <w:t>.</w:t>
            </w:r>
          </w:p>
        </w:tc>
        <w:tc>
          <w:tcPr>
            <w:tcW w:w="1797" w:type="dxa"/>
          </w:tcPr>
          <w:p w14:paraId="1B22C9CB" w14:textId="2E7512FE" w:rsidR="008803D6" w:rsidRPr="008C4ECE" w:rsidRDefault="00671856" w:rsidP="008C4ECE">
            <w:pPr>
              <w:rPr>
                <w:sz w:val="24"/>
                <w:szCs w:val="24"/>
              </w:rPr>
            </w:pPr>
            <w:r>
              <w:rPr>
                <w:sz w:val="24"/>
                <w:szCs w:val="24"/>
              </w:rPr>
              <w:t>Partially me</w:t>
            </w:r>
            <w:r w:rsidR="0007528F">
              <w:rPr>
                <w:sz w:val="24"/>
                <w:szCs w:val="24"/>
              </w:rPr>
              <w:t>t</w:t>
            </w:r>
          </w:p>
        </w:tc>
      </w:tr>
      <w:tr w:rsidR="00671856" w14:paraId="7213D505" w14:textId="77777777" w:rsidTr="00516BBB">
        <w:tc>
          <w:tcPr>
            <w:tcW w:w="2988" w:type="dxa"/>
          </w:tcPr>
          <w:p w14:paraId="398A2AEF" w14:textId="77777777" w:rsidR="00671856" w:rsidRDefault="00671856" w:rsidP="008C4ECE">
            <w:pPr>
              <w:rPr>
                <w:sz w:val="24"/>
                <w:szCs w:val="24"/>
              </w:rPr>
            </w:pPr>
          </w:p>
        </w:tc>
        <w:tc>
          <w:tcPr>
            <w:tcW w:w="3119" w:type="dxa"/>
          </w:tcPr>
          <w:p w14:paraId="049DE493" w14:textId="02E3F193" w:rsidR="00671856" w:rsidRDefault="00671856" w:rsidP="008C4ECE">
            <w:pPr>
              <w:rPr>
                <w:sz w:val="24"/>
                <w:szCs w:val="24"/>
              </w:rPr>
            </w:pPr>
            <w:r>
              <w:rPr>
                <w:sz w:val="24"/>
                <w:szCs w:val="24"/>
              </w:rPr>
              <w:t>90% of all faculty will participate in the school climate survey.</w:t>
            </w:r>
          </w:p>
        </w:tc>
        <w:tc>
          <w:tcPr>
            <w:tcW w:w="2896" w:type="dxa"/>
          </w:tcPr>
          <w:p w14:paraId="38569566" w14:textId="2F39949E" w:rsidR="00671856" w:rsidRPr="006408D0" w:rsidRDefault="00671856" w:rsidP="008C4ECE">
            <w:pPr>
              <w:rPr>
                <w:sz w:val="24"/>
                <w:szCs w:val="24"/>
              </w:rPr>
            </w:pPr>
            <w:r>
              <w:rPr>
                <w:sz w:val="24"/>
                <w:szCs w:val="24"/>
              </w:rPr>
              <w:t>90</w:t>
            </w:r>
            <w:r w:rsidRPr="006408D0">
              <w:rPr>
                <w:sz w:val="24"/>
                <w:szCs w:val="24"/>
              </w:rPr>
              <w:t>% of faculty</w:t>
            </w:r>
            <w:r>
              <w:rPr>
                <w:sz w:val="24"/>
                <w:szCs w:val="24"/>
              </w:rPr>
              <w:t xml:space="preserve"> participated in the survey.</w:t>
            </w:r>
          </w:p>
        </w:tc>
        <w:tc>
          <w:tcPr>
            <w:tcW w:w="1797" w:type="dxa"/>
          </w:tcPr>
          <w:p w14:paraId="6CAE3428" w14:textId="4ED3B9EF" w:rsidR="00671856" w:rsidRPr="008C4ECE" w:rsidRDefault="00671856" w:rsidP="008C4ECE">
            <w:pPr>
              <w:rPr>
                <w:sz w:val="24"/>
                <w:szCs w:val="24"/>
              </w:rPr>
            </w:pPr>
            <w:r>
              <w:rPr>
                <w:sz w:val="24"/>
                <w:szCs w:val="24"/>
              </w:rPr>
              <w:t>Me</w:t>
            </w:r>
            <w:r w:rsidR="0007528F">
              <w:rPr>
                <w:sz w:val="24"/>
                <w:szCs w:val="24"/>
              </w:rPr>
              <w:t>t</w:t>
            </w:r>
          </w:p>
        </w:tc>
      </w:tr>
      <w:tr w:rsidR="00671856" w14:paraId="2257DAD8" w14:textId="77777777" w:rsidTr="00516BBB">
        <w:tc>
          <w:tcPr>
            <w:tcW w:w="2988" w:type="dxa"/>
          </w:tcPr>
          <w:p w14:paraId="08E0A3C8" w14:textId="2AFE5F51" w:rsidR="00671856" w:rsidRDefault="00671856" w:rsidP="008C4ECE">
            <w:pPr>
              <w:rPr>
                <w:sz w:val="24"/>
                <w:szCs w:val="24"/>
              </w:rPr>
            </w:pPr>
            <w:r>
              <w:rPr>
                <w:sz w:val="24"/>
                <w:szCs w:val="24"/>
              </w:rPr>
              <w:t>Percentage of respondent groups with favorable view of school climate.</w:t>
            </w:r>
          </w:p>
        </w:tc>
        <w:tc>
          <w:tcPr>
            <w:tcW w:w="3119" w:type="dxa"/>
          </w:tcPr>
          <w:p w14:paraId="2CF7DD10" w14:textId="1E274285" w:rsidR="00671856" w:rsidRDefault="007B586C" w:rsidP="008C4ECE">
            <w:pPr>
              <w:rPr>
                <w:sz w:val="24"/>
                <w:szCs w:val="24"/>
              </w:rPr>
            </w:pPr>
            <w:r>
              <w:rPr>
                <w:sz w:val="24"/>
                <w:szCs w:val="24"/>
              </w:rPr>
              <w:t>85% of parents will respond favorably</w:t>
            </w:r>
            <w:r w:rsidR="00671856">
              <w:rPr>
                <w:sz w:val="24"/>
                <w:szCs w:val="24"/>
              </w:rPr>
              <w:t xml:space="preserve"> </w:t>
            </w:r>
            <w:r>
              <w:rPr>
                <w:sz w:val="24"/>
                <w:szCs w:val="24"/>
              </w:rPr>
              <w:t xml:space="preserve">on </w:t>
            </w:r>
            <w:r w:rsidR="00671856">
              <w:rPr>
                <w:sz w:val="24"/>
                <w:szCs w:val="24"/>
              </w:rPr>
              <w:t>school climate</w:t>
            </w:r>
            <w:r>
              <w:rPr>
                <w:sz w:val="24"/>
                <w:szCs w:val="24"/>
              </w:rPr>
              <w:t xml:space="preserve"> scale</w:t>
            </w:r>
            <w:r w:rsidR="00671856">
              <w:rPr>
                <w:sz w:val="24"/>
                <w:szCs w:val="24"/>
              </w:rPr>
              <w:t xml:space="preserve"> o</w:t>
            </w:r>
            <w:r>
              <w:rPr>
                <w:sz w:val="24"/>
                <w:szCs w:val="24"/>
              </w:rPr>
              <w:t xml:space="preserve">f </w:t>
            </w:r>
            <w:r w:rsidR="00671856">
              <w:rPr>
                <w:sz w:val="24"/>
                <w:szCs w:val="24"/>
              </w:rPr>
              <w:t>survey.</w:t>
            </w:r>
          </w:p>
        </w:tc>
        <w:tc>
          <w:tcPr>
            <w:tcW w:w="2896" w:type="dxa"/>
          </w:tcPr>
          <w:p w14:paraId="3BE88B80" w14:textId="0FA7791F" w:rsidR="00671856" w:rsidRPr="008C4ECE" w:rsidRDefault="00AD488C" w:rsidP="008C4ECE">
            <w:pPr>
              <w:rPr>
                <w:sz w:val="24"/>
                <w:szCs w:val="24"/>
              </w:rPr>
            </w:pPr>
            <w:r>
              <w:rPr>
                <w:sz w:val="24"/>
                <w:szCs w:val="24"/>
              </w:rPr>
              <w:t>76%</w:t>
            </w:r>
            <w:r w:rsidR="00FE1ADC">
              <w:rPr>
                <w:sz w:val="24"/>
                <w:szCs w:val="24"/>
              </w:rPr>
              <w:t xml:space="preserve"> of parents responded favorably on the school climate scale of the survey.</w:t>
            </w:r>
          </w:p>
        </w:tc>
        <w:tc>
          <w:tcPr>
            <w:tcW w:w="1797" w:type="dxa"/>
          </w:tcPr>
          <w:p w14:paraId="633C7B6C" w14:textId="2427A0C1" w:rsidR="00671856" w:rsidRPr="008C4ECE" w:rsidRDefault="00516BBB" w:rsidP="008C4ECE">
            <w:pPr>
              <w:rPr>
                <w:sz w:val="24"/>
                <w:szCs w:val="24"/>
              </w:rPr>
            </w:pPr>
            <w:r>
              <w:rPr>
                <w:sz w:val="24"/>
                <w:szCs w:val="24"/>
              </w:rPr>
              <w:t>Partially me</w:t>
            </w:r>
            <w:r w:rsidR="0007528F">
              <w:rPr>
                <w:sz w:val="24"/>
                <w:szCs w:val="24"/>
              </w:rPr>
              <w:t>t</w:t>
            </w:r>
          </w:p>
        </w:tc>
      </w:tr>
      <w:tr w:rsidR="00EC0CE2" w14:paraId="289549B0" w14:textId="77777777" w:rsidTr="00516BBB">
        <w:tc>
          <w:tcPr>
            <w:tcW w:w="2988" w:type="dxa"/>
          </w:tcPr>
          <w:p w14:paraId="7B2B72FF" w14:textId="77777777" w:rsidR="00EC0CE2" w:rsidRDefault="00EC0CE2" w:rsidP="008C4ECE">
            <w:pPr>
              <w:rPr>
                <w:sz w:val="24"/>
                <w:szCs w:val="24"/>
              </w:rPr>
            </w:pPr>
          </w:p>
        </w:tc>
        <w:tc>
          <w:tcPr>
            <w:tcW w:w="3119" w:type="dxa"/>
          </w:tcPr>
          <w:p w14:paraId="4CE79A2C" w14:textId="1EBB2F39" w:rsidR="00EC0CE2" w:rsidRDefault="00EC0CE2" w:rsidP="008C4ECE">
            <w:pPr>
              <w:rPr>
                <w:sz w:val="24"/>
                <w:szCs w:val="24"/>
              </w:rPr>
            </w:pPr>
            <w:r>
              <w:rPr>
                <w:sz w:val="24"/>
                <w:szCs w:val="24"/>
              </w:rPr>
              <w:t>90%</w:t>
            </w:r>
            <w:r w:rsidR="006909AD">
              <w:rPr>
                <w:sz w:val="24"/>
                <w:szCs w:val="24"/>
              </w:rPr>
              <w:t xml:space="preserve"> of students will respond favorably on school climate scale of survey.</w:t>
            </w:r>
          </w:p>
        </w:tc>
        <w:tc>
          <w:tcPr>
            <w:tcW w:w="2896" w:type="dxa"/>
          </w:tcPr>
          <w:p w14:paraId="6C12556F" w14:textId="7E23E2EB" w:rsidR="00EC0CE2" w:rsidRPr="00EC0CE2" w:rsidRDefault="00AD488C" w:rsidP="00EC0CE2">
            <w:pPr>
              <w:rPr>
                <w:sz w:val="24"/>
                <w:szCs w:val="24"/>
              </w:rPr>
            </w:pPr>
            <w:r>
              <w:rPr>
                <w:sz w:val="24"/>
                <w:szCs w:val="24"/>
              </w:rPr>
              <w:t>45%</w:t>
            </w:r>
            <w:r w:rsidR="00FE1ADC">
              <w:rPr>
                <w:sz w:val="24"/>
                <w:szCs w:val="24"/>
              </w:rPr>
              <w:t xml:space="preserve"> percent of students responded favorably on the school climate scale of the survey</w:t>
            </w:r>
            <w:r w:rsidR="00516BBB">
              <w:rPr>
                <w:sz w:val="24"/>
                <w:szCs w:val="24"/>
              </w:rPr>
              <w:t>.</w:t>
            </w:r>
          </w:p>
        </w:tc>
        <w:tc>
          <w:tcPr>
            <w:tcW w:w="1797" w:type="dxa"/>
          </w:tcPr>
          <w:p w14:paraId="16648028" w14:textId="0680621B" w:rsidR="00EC0CE2" w:rsidRPr="008C4ECE" w:rsidRDefault="007C2957" w:rsidP="008C4ECE">
            <w:pPr>
              <w:rPr>
                <w:sz w:val="24"/>
                <w:szCs w:val="24"/>
              </w:rPr>
            </w:pPr>
            <w:r>
              <w:rPr>
                <w:sz w:val="24"/>
                <w:szCs w:val="24"/>
              </w:rPr>
              <w:t>Did</w:t>
            </w:r>
            <w:r w:rsidR="00516BBB">
              <w:rPr>
                <w:sz w:val="24"/>
                <w:szCs w:val="24"/>
              </w:rPr>
              <w:t xml:space="preserve"> not m</w:t>
            </w:r>
            <w:r>
              <w:rPr>
                <w:sz w:val="24"/>
                <w:szCs w:val="24"/>
              </w:rPr>
              <w:t>eet</w:t>
            </w:r>
          </w:p>
        </w:tc>
      </w:tr>
      <w:tr w:rsidR="00EC0CE2" w14:paraId="61825348" w14:textId="77777777" w:rsidTr="00516BBB">
        <w:tc>
          <w:tcPr>
            <w:tcW w:w="2988" w:type="dxa"/>
          </w:tcPr>
          <w:p w14:paraId="762761E1" w14:textId="77777777" w:rsidR="00EC0CE2" w:rsidRDefault="00EC0CE2" w:rsidP="008C4ECE">
            <w:pPr>
              <w:rPr>
                <w:sz w:val="24"/>
                <w:szCs w:val="24"/>
              </w:rPr>
            </w:pPr>
          </w:p>
        </w:tc>
        <w:tc>
          <w:tcPr>
            <w:tcW w:w="3119" w:type="dxa"/>
          </w:tcPr>
          <w:p w14:paraId="5FE2DC36" w14:textId="6D35D435" w:rsidR="00EC0CE2" w:rsidRDefault="00AD488C" w:rsidP="008C4ECE">
            <w:pPr>
              <w:rPr>
                <w:sz w:val="24"/>
                <w:szCs w:val="24"/>
              </w:rPr>
            </w:pPr>
            <w:r>
              <w:rPr>
                <w:sz w:val="24"/>
                <w:szCs w:val="24"/>
              </w:rPr>
              <w:t xml:space="preserve">90% of </w:t>
            </w:r>
            <w:r w:rsidR="00EC0CE2">
              <w:rPr>
                <w:sz w:val="24"/>
                <w:szCs w:val="24"/>
              </w:rPr>
              <w:t>Faculty/Staff</w:t>
            </w:r>
            <w:r>
              <w:rPr>
                <w:sz w:val="24"/>
                <w:szCs w:val="24"/>
              </w:rPr>
              <w:t xml:space="preserve"> will respond favorably on school climate scale of survey.</w:t>
            </w:r>
          </w:p>
        </w:tc>
        <w:tc>
          <w:tcPr>
            <w:tcW w:w="2896" w:type="dxa"/>
          </w:tcPr>
          <w:p w14:paraId="1D26FDFA" w14:textId="660C3A42" w:rsidR="00EC0CE2" w:rsidRPr="00EC0CE2" w:rsidRDefault="00AD488C" w:rsidP="00EC0CE2">
            <w:pPr>
              <w:rPr>
                <w:sz w:val="24"/>
                <w:szCs w:val="24"/>
              </w:rPr>
            </w:pPr>
            <w:r>
              <w:rPr>
                <w:sz w:val="24"/>
                <w:szCs w:val="24"/>
              </w:rPr>
              <w:t>57%</w:t>
            </w:r>
            <w:r w:rsidR="00516BBB">
              <w:rPr>
                <w:sz w:val="24"/>
                <w:szCs w:val="24"/>
              </w:rPr>
              <w:t xml:space="preserve"> of teachers/staff responded favorably on the school climate scale of the survey.</w:t>
            </w:r>
          </w:p>
        </w:tc>
        <w:tc>
          <w:tcPr>
            <w:tcW w:w="1797" w:type="dxa"/>
          </w:tcPr>
          <w:p w14:paraId="7BEA2B0C" w14:textId="55C666EC" w:rsidR="00EC0CE2" w:rsidRPr="008C4ECE" w:rsidRDefault="007C2957" w:rsidP="008C4ECE">
            <w:pPr>
              <w:rPr>
                <w:sz w:val="24"/>
                <w:szCs w:val="24"/>
              </w:rPr>
            </w:pPr>
            <w:r>
              <w:rPr>
                <w:sz w:val="24"/>
                <w:szCs w:val="24"/>
              </w:rPr>
              <w:t>Did</w:t>
            </w:r>
            <w:r w:rsidR="00516BBB">
              <w:rPr>
                <w:sz w:val="24"/>
                <w:szCs w:val="24"/>
              </w:rPr>
              <w:t xml:space="preserve"> not me</w:t>
            </w:r>
            <w:r>
              <w:rPr>
                <w:sz w:val="24"/>
                <w:szCs w:val="24"/>
              </w:rPr>
              <w:t>et</w:t>
            </w:r>
          </w:p>
        </w:tc>
      </w:tr>
    </w:tbl>
    <w:p w14:paraId="540E7061" w14:textId="77777777" w:rsidR="008803D6" w:rsidRDefault="008803D6" w:rsidP="008803D6">
      <w:pPr>
        <w:jc w:val="both"/>
        <w:rPr>
          <w:b/>
          <w:sz w:val="24"/>
          <w:szCs w:val="24"/>
          <w:u w:val="single"/>
        </w:rPr>
      </w:pPr>
    </w:p>
    <w:p w14:paraId="293C4B4D" w14:textId="78F443BD" w:rsidR="006C1776" w:rsidRDefault="00A45B7A" w:rsidP="00FB33C2">
      <w:pPr>
        <w:rPr>
          <w:b/>
          <w:sz w:val="24"/>
          <w:szCs w:val="24"/>
          <w:u w:val="single"/>
        </w:rPr>
      </w:pPr>
      <w:r>
        <w:rPr>
          <w:b/>
          <w:sz w:val="24"/>
          <w:szCs w:val="24"/>
          <w:u w:val="single"/>
        </w:rPr>
        <w:t>Discussio</w:t>
      </w:r>
      <w:r w:rsidR="005B2849">
        <w:rPr>
          <w:b/>
          <w:sz w:val="24"/>
          <w:szCs w:val="24"/>
          <w:u w:val="single"/>
        </w:rPr>
        <w:t>n</w:t>
      </w:r>
    </w:p>
    <w:p w14:paraId="4DD7A01F" w14:textId="518A48AE" w:rsidR="00D63B7A" w:rsidRPr="00D16818" w:rsidRDefault="00D16818" w:rsidP="00FB33C2">
      <w:pPr>
        <w:rPr>
          <w:bCs/>
          <w:sz w:val="24"/>
          <w:szCs w:val="24"/>
        </w:rPr>
      </w:pPr>
      <w:r>
        <w:rPr>
          <w:bCs/>
          <w:sz w:val="24"/>
          <w:szCs w:val="24"/>
        </w:rPr>
        <w:t xml:space="preserve">HCA met two of its six School Climate targets, partially met two targets (student participation in survey and </w:t>
      </w:r>
      <w:r w:rsidR="00E178BB">
        <w:rPr>
          <w:bCs/>
          <w:sz w:val="24"/>
          <w:szCs w:val="24"/>
        </w:rPr>
        <w:t>percent</w:t>
      </w:r>
      <w:r w:rsidR="00E73E6D">
        <w:rPr>
          <w:bCs/>
          <w:sz w:val="24"/>
          <w:szCs w:val="24"/>
        </w:rPr>
        <w:t>age</w:t>
      </w:r>
      <w:r w:rsidR="00E178BB">
        <w:rPr>
          <w:bCs/>
          <w:sz w:val="24"/>
          <w:szCs w:val="24"/>
        </w:rPr>
        <w:t xml:space="preserve"> </w:t>
      </w:r>
      <w:r w:rsidR="004679E2">
        <w:rPr>
          <w:bCs/>
          <w:sz w:val="24"/>
          <w:szCs w:val="24"/>
        </w:rPr>
        <w:t xml:space="preserve">of </w:t>
      </w:r>
      <w:r w:rsidR="00E178BB">
        <w:rPr>
          <w:bCs/>
          <w:sz w:val="24"/>
          <w:szCs w:val="24"/>
        </w:rPr>
        <w:t xml:space="preserve">favorable responses by parents). It did not meet the targets for </w:t>
      </w:r>
      <w:r w:rsidR="00E73E6D">
        <w:rPr>
          <w:bCs/>
          <w:sz w:val="24"/>
          <w:szCs w:val="24"/>
        </w:rPr>
        <w:t>percentage of</w:t>
      </w:r>
      <w:r w:rsidR="004679E2">
        <w:rPr>
          <w:bCs/>
          <w:sz w:val="24"/>
          <w:szCs w:val="24"/>
        </w:rPr>
        <w:t xml:space="preserve"> favorable responses by </w:t>
      </w:r>
      <w:r w:rsidR="00E73E6D">
        <w:rPr>
          <w:bCs/>
          <w:sz w:val="24"/>
          <w:szCs w:val="24"/>
        </w:rPr>
        <w:t xml:space="preserve">students and </w:t>
      </w:r>
      <w:r w:rsidR="004679E2">
        <w:rPr>
          <w:bCs/>
          <w:sz w:val="24"/>
          <w:szCs w:val="24"/>
        </w:rPr>
        <w:t xml:space="preserve">by </w:t>
      </w:r>
      <w:r w:rsidR="00E73E6D">
        <w:rPr>
          <w:bCs/>
          <w:sz w:val="24"/>
          <w:szCs w:val="24"/>
        </w:rPr>
        <w:t>teachers/staff</w:t>
      </w:r>
      <w:r w:rsidR="004679E2">
        <w:rPr>
          <w:bCs/>
          <w:sz w:val="24"/>
          <w:szCs w:val="24"/>
        </w:rPr>
        <w:t>.</w:t>
      </w:r>
    </w:p>
    <w:p w14:paraId="017079DE" w14:textId="77777777" w:rsidR="00EA3CB3" w:rsidRDefault="00EA3CB3" w:rsidP="00FB33C2">
      <w:pPr>
        <w:rPr>
          <w:b/>
          <w:sz w:val="24"/>
          <w:szCs w:val="24"/>
          <w:u w:val="single"/>
        </w:rPr>
      </w:pPr>
    </w:p>
    <w:p w14:paraId="7A7CD95B" w14:textId="77777777" w:rsidR="00D63B7A" w:rsidRPr="00FB33C2" w:rsidRDefault="00D63B7A" w:rsidP="00FB33C2">
      <w:pPr>
        <w:rPr>
          <w:b/>
          <w:sz w:val="24"/>
          <w:szCs w:val="24"/>
          <w:u w:val="single"/>
        </w:rPr>
      </w:pPr>
    </w:p>
    <w:tbl>
      <w:tblPr>
        <w:tblStyle w:val="TableGrid"/>
        <w:tblW w:w="0" w:type="auto"/>
        <w:tblLook w:val="04A0" w:firstRow="1" w:lastRow="0" w:firstColumn="1" w:lastColumn="0" w:noHBand="0" w:noVBand="1"/>
      </w:tblPr>
      <w:tblGrid>
        <w:gridCol w:w="9350"/>
      </w:tblGrid>
      <w:tr w:rsidR="008803D6" w14:paraId="56D9DD1F" w14:textId="77777777" w:rsidTr="00FF4A56">
        <w:tc>
          <w:tcPr>
            <w:tcW w:w="9350" w:type="dxa"/>
            <w:shd w:val="clear" w:color="auto" w:fill="800000"/>
          </w:tcPr>
          <w:p w14:paraId="72663A5C" w14:textId="16F8870F" w:rsidR="008803D6" w:rsidRDefault="008803D6" w:rsidP="00FF4A56">
            <w:pPr>
              <w:rPr>
                <w:rFonts w:cs="Arial"/>
                <w:sz w:val="28"/>
                <w:szCs w:val="28"/>
              </w:rPr>
            </w:pPr>
            <w:r>
              <w:rPr>
                <w:rFonts w:cs="Arial"/>
                <w:sz w:val="28"/>
                <w:szCs w:val="28"/>
              </w:rPr>
              <w:t xml:space="preserve">Section </w:t>
            </w:r>
            <w:r w:rsidR="002122C8">
              <w:rPr>
                <w:rFonts w:cs="Arial"/>
                <w:sz w:val="28"/>
                <w:szCs w:val="28"/>
              </w:rPr>
              <w:t>1</w:t>
            </w:r>
            <w:r w:rsidR="00CD351A">
              <w:rPr>
                <w:rFonts w:cs="Arial"/>
                <w:sz w:val="28"/>
                <w:szCs w:val="28"/>
              </w:rPr>
              <w:t>3</w:t>
            </w:r>
            <w:r>
              <w:rPr>
                <w:rFonts w:cs="Arial"/>
                <w:sz w:val="28"/>
                <w:szCs w:val="28"/>
              </w:rPr>
              <w:t xml:space="preserve">: </w:t>
            </w:r>
            <w:r w:rsidR="00551126">
              <w:rPr>
                <w:rFonts w:cs="Arial"/>
                <w:sz w:val="28"/>
                <w:szCs w:val="28"/>
              </w:rPr>
              <w:t>Parent and Community Engagement</w:t>
            </w:r>
          </w:p>
        </w:tc>
      </w:tr>
    </w:tbl>
    <w:p w14:paraId="7B70DFB8" w14:textId="77777777"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2988"/>
        <w:gridCol w:w="3672"/>
        <w:gridCol w:w="2343"/>
        <w:gridCol w:w="1797"/>
      </w:tblGrid>
      <w:tr w:rsidR="008803D6" w14:paraId="66CB5BF8" w14:textId="77777777" w:rsidTr="005A59E7">
        <w:tc>
          <w:tcPr>
            <w:tcW w:w="2988" w:type="dxa"/>
            <w:shd w:val="clear" w:color="auto" w:fill="C96772"/>
          </w:tcPr>
          <w:p w14:paraId="34438D5B" w14:textId="77777777" w:rsidR="008803D6" w:rsidRPr="003666FE" w:rsidRDefault="008803D6" w:rsidP="00FF4A56">
            <w:pPr>
              <w:jc w:val="center"/>
              <w:rPr>
                <w:b/>
                <w:sz w:val="24"/>
                <w:szCs w:val="24"/>
              </w:rPr>
            </w:pPr>
            <w:r>
              <w:rPr>
                <w:b/>
                <w:sz w:val="24"/>
                <w:szCs w:val="24"/>
              </w:rPr>
              <w:t>Measure</w:t>
            </w:r>
          </w:p>
        </w:tc>
        <w:tc>
          <w:tcPr>
            <w:tcW w:w="3672" w:type="dxa"/>
            <w:shd w:val="clear" w:color="auto" w:fill="C96772"/>
          </w:tcPr>
          <w:p w14:paraId="1E92AB1C" w14:textId="77777777" w:rsidR="008803D6" w:rsidRPr="003666FE" w:rsidRDefault="008803D6" w:rsidP="00FF4A56">
            <w:pPr>
              <w:jc w:val="center"/>
              <w:rPr>
                <w:b/>
                <w:sz w:val="24"/>
                <w:szCs w:val="24"/>
              </w:rPr>
            </w:pPr>
            <w:r>
              <w:rPr>
                <w:b/>
                <w:sz w:val="24"/>
                <w:szCs w:val="24"/>
              </w:rPr>
              <w:t>Target</w:t>
            </w:r>
          </w:p>
        </w:tc>
        <w:tc>
          <w:tcPr>
            <w:tcW w:w="2343" w:type="dxa"/>
            <w:shd w:val="clear" w:color="auto" w:fill="C96772"/>
          </w:tcPr>
          <w:p w14:paraId="7BBB1CD9" w14:textId="77777777" w:rsidR="008803D6" w:rsidRPr="003666FE" w:rsidRDefault="008803D6" w:rsidP="00FF4A56">
            <w:pPr>
              <w:jc w:val="center"/>
              <w:rPr>
                <w:b/>
                <w:sz w:val="24"/>
                <w:szCs w:val="24"/>
              </w:rPr>
            </w:pPr>
            <w:r>
              <w:rPr>
                <w:b/>
                <w:sz w:val="24"/>
                <w:szCs w:val="24"/>
              </w:rPr>
              <w:t>Results</w:t>
            </w:r>
          </w:p>
        </w:tc>
        <w:tc>
          <w:tcPr>
            <w:tcW w:w="1797" w:type="dxa"/>
            <w:shd w:val="clear" w:color="auto" w:fill="C96772"/>
          </w:tcPr>
          <w:p w14:paraId="544E9C34" w14:textId="13859D63" w:rsidR="008803D6" w:rsidRPr="003666FE" w:rsidRDefault="008803D6" w:rsidP="00FF4A56">
            <w:pPr>
              <w:jc w:val="center"/>
              <w:rPr>
                <w:b/>
                <w:sz w:val="24"/>
                <w:szCs w:val="24"/>
              </w:rPr>
            </w:pPr>
          </w:p>
        </w:tc>
      </w:tr>
      <w:tr w:rsidR="008803D6" w14:paraId="1CE43A2B" w14:textId="77777777" w:rsidTr="005A59E7">
        <w:tc>
          <w:tcPr>
            <w:tcW w:w="2988" w:type="dxa"/>
          </w:tcPr>
          <w:p w14:paraId="22941435" w14:textId="48249D15" w:rsidR="008803D6" w:rsidRPr="004111A5" w:rsidRDefault="004111A5" w:rsidP="004111A5">
            <w:pPr>
              <w:rPr>
                <w:sz w:val="24"/>
                <w:szCs w:val="24"/>
              </w:rPr>
            </w:pPr>
            <w:r>
              <w:rPr>
                <w:sz w:val="24"/>
                <w:szCs w:val="24"/>
              </w:rPr>
              <w:t xml:space="preserve">Student participation in activities </w:t>
            </w:r>
            <w:r w:rsidR="00D81FDC">
              <w:rPr>
                <w:sz w:val="24"/>
                <w:szCs w:val="24"/>
              </w:rPr>
              <w:t>provided by Community Partnerships</w:t>
            </w:r>
          </w:p>
        </w:tc>
        <w:tc>
          <w:tcPr>
            <w:tcW w:w="3672" w:type="dxa"/>
          </w:tcPr>
          <w:p w14:paraId="25D80A4D" w14:textId="05391430" w:rsidR="008803D6" w:rsidRPr="004111A5" w:rsidRDefault="00B04F90" w:rsidP="004111A5">
            <w:pPr>
              <w:rPr>
                <w:sz w:val="24"/>
                <w:szCs w:val="24"/>
              </w:rPr>
            </w:pPr>
            <w:r>
              <w:rPr>
                <w:sz w:val="24"/>
                <w:szCs w:val="24"/>
              </w:rPr>
              <w:t xml:space="preserve">95% of students will participate </w:t>
            </w:r>
            <w:r w:rsidR="003D5EBA">
              <w:rPr>
                <w:sz w:val="24"/>
                <w:szCs w:val="24"/>
              </w:rPr>
              <w:t>in at least one long</w:t>
            </w:r>
            <w:r w:rsidR="001958C8">
              <w:rPr>
                <w:sz w:val="24"/>
                <w:szCs w:val="24"/>
              </w:rPr>
              <w:t>-</w:t>
            </w:r>
            <w:r w:rsidR="003D5EBA">
              <w:rPr>
                <w:sz w:val="24"/>
                <w:szCs w:val="24"/>
              </w:rPr>
              <w:t>term workshop, club, or internship with a community partner.</w:t>
            </w:r>
          </w:p>
        </w:tc>
        <w:tc>
          <w:tcPr>
            <w:tcW w:w="2343" w:type="dxa"/>
          </w:tcPr>
          <w:p w14:paraId="6C0FE5AA" w14:textId="6D6318AA" w:rsidR="008803D6" w:rsidRPr="004111A5" w:rsidRDefault="00C97193" w:rsidP="004111A5">
            <w:pPr>
              <w:rPr>
                <w:sz w:val="24"/>
                <w:szCs w:val="24"/>
              </w:rPr>
            </w:pPr>
            <w:r>
              <w:rPr>
                <w:sz w:val="24"/>
                <w:szCs w:val="24"/>
              </w:rPr>
              <w:t xml:space="preserve">100% </w:t>
            </w:r>
            <w:r w:rsidR="00882EE5">
              <w:rPr>
                <w:sz w:val="24"/>
                <w:szCs w:val="24"/>
              </w:rPr>
              <w:t>of fully-enrolled students participated in at least one long-term workshop, club, or internship with a community partner</w:t>
            </w:r>
            <w:r w:rsidR="00782433">
              <w:rPr>
                <w:sz w:val="24"/>
                <w:szCs w:val="24"/>
              </w:rPr>
              <w:t>.</w:t>
            </w:r>
          </w:p>
        </w:tc>
        <w:tc>
          <w:tcPr>
            <w:tcW w:w="1797" w:type="dxa"/>
          </w:tcPr>
          <w:p w14:paraId="38EAA5B7" w14:textId="67CF6C55" w:rsidR="008803D6" w:rsidRPr="004111A5" w:rsidRDefault="00487C24" w:rsidP="004111A5">
            <w:pPr>
              <w:rPr>
                <w:sz w:val="24"/>
                <w:szCs w:val="24"/>
              </w:rPr>
            </w:pPr>
            <w:r>
              <w:rPr>
                <w:sz w:val="24"/>
                <w:szCs w:val="24"/>
              </w:rPr>
              <w:t>Me</w:t>
            </w:r>
            <w:r w:rsidR="007C2957">
              <w:rPr>
                <w:sz w:val="24"/>
                <w:szCs w:val="24"/>
              </w:rPr>
              <w:t>t</w:t>
            </w:r>
          </w:p>
        </w:tc>
      </w:tr>
      <w:tr w:rsidR="008803D6" w14:paraId="6A1FB4A0" w14:textId="77777777" w:rsidTr="005A59E7">
        <w:tc>
          <w:tcPr>
            <w:tcW w:w="2988" w:type="dxa"/>
          </w:tcPr>
          <w:p w14:paraId="4909E553" w14:textId="551AE8D5" w:rsidR="008803D6" w:rsidRPr="004111A5" w:rsidRDefault="00EB238F" w:rsidP="004111A5">
            <w:pPr>
              <w:rPr>
                <w:sz w:val="24"/>
                <w:szCs w:val="24"/>
              </w:rPr>
            </w:pPr>
            <w:r>
              <w:rPr>
                <w:sz w:val="24"/>
                <w:szCs w:val="24"/>
              </w:rPr>
              <w:t>Parent participation in their children’s education</w:t>
            </w:r>
            <w:r w:rsidR="00283629">
              <w:rPr>
                <w:sz w:val="24"/>
                <w:szCs w:val="24"/>
              </w:rPr>
              <w:t xml:space="preserve"> and </w:t>
            </w:r>
            <w:r w:rsidR="00283629">
              <w:rPr>
                <w:sz w:val="24"/>
                <w:szCs w:val="24"/>
              </w:rPr>
              <w:lastRenderedPageBreak/>
              <w:t>operation of school</w:t>
            </w:r>
            <w:r w:rsidR="00877437">
              <w:rPr>
                <w:sz w:val="24"/>
                <w:szCs w:val="24"/>
              </w:rPr>
              <w:t>: Division 1</w:t>
            </w:r>
          </w:p>
        </w:tc>
        <w:tc>
          <w:tcPr>
            <w:tcW w:w="3672" w:type="dxa"/>
          </w:tcPr>
          <w:p w14:paraId="1BAF8795" w14:textId="7C9F6DC1" w:rsidR="00A62FDB" w:rsidRPr="004111A5" w:rsidRDefault="00877437" w:rsidP="004111A5">
            <w:pPr>
              <w:rPr>
                <w:sz w:val="24"/>
                <w:szCs w:val="24"/>
              </w:rPr>
            </w:pPr>
            <w:r>
              <w:rPr>
                <w:sz w:val="24"/>
                <w:szCs w:val="24"/>
              </w:rPr>
              <w:lastRenderedPageBreak/>
              <w:t>9</w:t>
            </w:r>
            <w:r w:rsidR="00A90C27">
              <w:rPr>
                <w:sz w:val="24"/>
                <w:szCs w:val="24"/>
              </w:rPr>
              <w:t>0</w:t>
            </w:r>
            <w:r>
              <w:rPr>
                <w:sz w:val="24"/>
                <w:szCs w:val="24"/>
              </w:rPr>
              <w:t xml:space="preserve">% of students have parent participation </w:t>
            </w:r>
            <w:r w:rsidR="00E054E1">
              <w:rPr>
                <w:sz w:val="24"/>
                <w:szCs w:val="24"/>
              </w:rPr>
              <w:t>in at least one student-led conference.</w:t>
            </w:r>
          </w:p>
        </w:tc>
        <w:tc>
          <w:tcPr>
            <w:tcW w:w="2343" w:type="dxa"/>
          </w:tcPr>
          <w:p w14:paraId="37F11E38" w14:textId="018615CD" w:rsidR="008803D6" w:rsidRPr="004111A5" w:rsidRDefault="00DE4528" w:rsidP="004111A5">
            <w:pPr>
              <w:rPr>
                <w:sz w:val="24"/>
                <w:szCs w:val="24"/>
              </w:rPr>
            </w:pPr>
            <w:r>
              <w:rPr>
                <w:sz w:val="24"/>
                <w:szCs w:val="24"/>
              </w:rPr>
              <w:t>92% participation in SLCs</w:t>
            </w:r>
          </w:p>
        </w:tc>
        <w:tc>
          <w:tcPr>
            <w:tcW w:w="1797" w:type="dxa"/>
          </w:tcPr>
          <w:p w14:paraId="382121F0" w14:textId="6E6CD936" w:rsidR="008803D6" w:rsidRPr="004111A5" w:rsidRDefault="00487C24" w:rsidP="004111A5">
            <w:pPr>
              <w:rPr>
                <w:sz w:val="24"/>
                <w:szCs w:val="24"/>
              </w:rPr>
            </w:pPr>
            <w:r>
              <w:rPr>
                <w:sz w:val="24"/>
                <w:szCs w:val="24"/>
              </w:rPr>
              <w:t>Me</w:t>
            </w:r>
            <w:r w:rsidR="007C2957">
              <w:rPr>
                <w:sz w:val="24"/>
                <w:szCs w:val="24"/>
              </w:rPr>
              <w:t>t</w:t>
            </w:r>
          </w:p>
        </w:tc>
      </w:tr>
      <w:tr w:rsidR="00E054E1" w14:paraId="12D11D1C" w14:textId="77777777" w:rsidTr="005A59E7">
        <w:tc>
          <w:tcPr>
            <w:tcW w:w="2988" w:type="dxa"/>
          </w:tcPr>
          <w:p w14:paraId="3A035ECC" w14:textId="129349F0" w:rsidR="00E054E1" w:rsidRDefault="00E054E1" w:rsidP="004111A5">
            <w:pPr>
              <w:rPr>
                <w:sz w:val="24"/>
                <w:szCs w:val="24"/>
              </w:rPr>
            </w:pPr>
            <w:r>
              <w:rPr>
                <w:sz w:val="24"/>
                <w:szCs w:val="24"/>
              </w:rPr>
              <w:t>Parent participation in their children’s education and operation of school: Divisions 2 and 3</w:t>
            </w:r>
          </w:p>
        </w:tc>
        <w:tc>
          <w:tcPr>
            <w:tcW w:w="3672" w:type="dxa"/>
          </w:tcPr>
          <w:p w14:paraId="2E588609" w14:textId="645F2FC0" w:rsidR="00E054E1" w:rsidRPr="004111A5" w:rsidRDefault="009D415E" w:rsidP="004111A5">
            <w:pPr>
              <w:rPr>
                <w:sz w:val="24"/>
                <w:szCs w:val="24"/>
              </w:rPr>
            </w:pPr>
            <w:r>
              <w:rPr>
                <w:sz w:val="24"/>
                <w:szCs w:val="24"/>
              </w:rPr>
              <w:t>8</w:t>
            </w:r>
            <w:r w:rsidR="00E054E1">
              <w:rPr>
                <w:sz w:val="24"/>
                <w:szCs w:val="24"/>
              </w:rPr>
              <w:t>0% of students have parent participation in at least one student-led conference.</w:t>
            </w:r>
          </w:p>
        </w:tc>
        <w:tc>
          <w:tcPr>
            <w:tcW w:w="2343" w:type="dxa"/>
          </w:tcPr>
          <w:p w14:paraId="151ADD84" w14:textId="518FD601" w:rsidR="00E054E1" w:rsidRPr="004111A5" w:rsidRDefault="00DE4528" w:rsidP="004111A5">
            <w:pPr>
              <w:rPr>
                <w:sz w:val="24"/>
                <w:szCs w:val="24"/>
              </w:rPr>
            </w:pPr>
            <w:r>
              <w:rPr>
                <w:sz w:val="24"/>
                <w:szCs w:val="24"/>
              </w:rPr>
              <w:t>70% participation at SLC</w:t>
            </w:r>
            <w:r w:rsidR="00487C24">
              <w:rPr>
                <w:sz w:val="24"/>
                <w:szCs w:val="24"/>
              </w:rPr>
              <w:t>s</w:t>
            </w:r>
          </w:p>
        </w:tc>
        <w:tc>
          <w:tcPr>
            <w:tcW w:w="1797" w:type="dxa"/>
          </w:tcPr>
          <w:p w14:paraId="42B0C70D" w14:textId="2B826F35" w:rsidR="00E054E1" w:rsidRPr="004111A5" w:rsidRDefault="007C2957" w:rsidP="004111A5">
            <w:pPr>
              <w:rPr>
                <w:sz w:val="24"/>
                <w:szCs w:val="24"/>
              </w:rPr>
            </w:pPr>
            <w:r>
              <w:rPr>
                <w:sz w:val="24"/>
                <w:szCs w:val="24"/>
              </w:rPr>
              <w:t>Did</w:t>
            </w:r>
            <w:r w:rsidR="00EA4CB4">
              <w:rPr>
                <w:sz w:val="24"/>
                <w:szCs w:val="24"/>
              </w:rPr>
              <w:t xml:space="preserve"> not meet</w:t>
            </w:r>
          </w:p>
        </w:tc>
      </w:tr>
      <w:tr w:rsidR="00877437" w14:paraId="61653B3F" w14:textId="77777777" w:rsidTr="005A59E7">
        <w:tc>
          <w:tcPr>
            <w:tcW w:w="2988" w:type="dxa"/>
          </w:tcPr>
          <w:p w14:paraId="59B4C973" w14:textId="55D49EB9" w:rsidR="00877437" w:rsidRDefault="00877437" w:rsidP="004111A5">
            <w:pPr>
              <w:rPr>
                <w:sz w:val="24"/>
                <w:szCs w:val="24"/>
              </w:rPr>
            </w:pPr>
            <w:r>
              <w:rPr>
                <w:sz w:val="24"/>
                <w:szCs w:val="24"/>
              </w:rPr>
              <w:t xml:space="preserve">Celebration of Learning &amp; Passages </w:t>
            </w:r>
          </w:p>
        </w:tc>
        <w:tc>
          <w:tcPr>
            <w:tcW w:w="3672" w:type="dxa"/>
          </w:tcPr>
          <w:p w14:paraId="07A12470" w14:textId="203C88EC" w:rsidR="00877437" w:rsidRDefault="009D415E" w:rsidP="004111A5">
            <w:pPr>
              <w:rPr>
                <w:sz w:val="24"/>
                <w:szCs w:val="24"/>
              </w:rPr>
            </w:pPr>
            <w:r>
              <w:rPr>
                <w:sz w:val="24"/>
                <w:szCs w:val="24"/>
              </w:rPr>
              <w:t xml:space="preserve">90% of students who are enrolled for a full year </w:t>
            </w:r>
            <w:r w:rsidR="006C1776">
              <w:rPr>
                <w:sz w:val="24"/>
                <w:szCs w:val="24"/>
              </w:rPr>
              <w:t>present to the school community at least once each year.</w:t>
            </w:r>
          </w:p>
        </w:tc>
        <w:tc>
          <w:tcPr>
            <w:tcW w:w="2343" w:type="dxa"/>
          </w:tcPr>
          <w:p w14:paraId="4BFF8021" w14:textId="2002DBB0" w:rsidR="00877437" w:rsidRPr="004111A5" w:rsidRDefault="00487C24" w:rsidP="004111A5">
            <w:pPr>
              <w:rPr>
                <w:sz w:val="24"/>
                <w:szCs w:val="24"/>
              </w:rPr>
            </w:pPr>
            <w:r>
              <w:rPr>
                <w:sz w:val="24"/>
                <w:szCs w:val="24"/>
              </w:rPr>
              <w:t>95% of fully-enrolled students participated.</w:t>
            </w:r>
          </w:p>
        </w:tc>
        <w:tc>
          <w:tcPr>
            <w:tcW w:w="1797" w:type="dxa"/>
          </w:tcPr>
          <w:p w14:paraId="23E3489C" w14:textId="5E51C851" w:rsidR="00877437" w:rsidRPr="004111A5" w:rsidRDefault="00487C24" w:rsidP="004111A5">
            <w:pPr>
              <w:rPr>
                <w:sz w:val="24"/>
                <w:szCs w:val="24"/>
              </w:rPr>
            </w:pPr>
            <w:r>
              <w:rPr>
                <w:sz w:val="24"/>
                <w:szCs w:val="24"/>
              </w:rPr>
              <w:t>Me</w:t>
            </w:r>
            <w:r w:rsidR="007C2957">
              <w:rPr>
                <w:sz w:val="24"/>
                <w:szCs w:val="24"/>
              </w:rPr>
              <w:t>t</w:t>
            </w:r>
          </w:p>
        </w:tc>
      </w:tr>
    </w:tbl>
    <w:p w14:paraId="5D61400E" w14:textId="77777777" w:rsidR="008803D6" w:rsidRDefault="008803D6" w:rsidP="008803D6">
      <w:pPr>
        <w:jc w:val="both"/>
        <w:rPr>
          <w:b/>
          <w:sz w:val="24"/>
          <w:szCs w:val="24"/>
          <w:u w:val="single"/>
        </w:rPr>
      </w:pPr>
    </w:p>
    <w:p w14:paraId="18FE550B" w14:textId="79CAF7E0" w:rsidR="008803D6" w:rsidRDefault="00A45B7A" w:rsidP="00FC630C">
      <w:pPr>
        <w:rPr>
          <w:b/>
          <w:sz w:val="24"/>
          <w:szCs w:val="24"/>
          <w:u w:val="single"/>
        </w:rPr>
      </w:pPr>
      <w:r>
        <w:rPr>
          <w:b/>
          <w:sz w:val="24"/>
          <w:szCs w:val="24"/>
          <w:u w:val="single"/>
        </w:rPr>
        <w:t>Discussion</w:t>
      </w:r>
    </w:p>
    <w:p w14:paraId="25F406B9" w14:textId="4220B21D" w:rsidR="00954457" w:rsidRDefault="00954457" w:rsidP="00FC630C">
      <w:pPr>
        <w:rPr>
          <w:bCs/>
          <w:sz w:val="24"/>
          <w:szCs w:val="24"/>
        </w:rPr>
      </w:pPr>
      <w:r>
        <w:rPr>
          <w:bCs/>
          <w:sz w:val="24"/>
          <w:szCs w:val="24"/>
        </w:rPr>
        <w:t>HCA met three of its four Engagement targets.</w:t>
      </w:r>
      <w:r w:rsidR="00223779">
        <w:rPr>
          <w:bCs/>
          <w:sz w:val="24"/>
          <w:szCs w:val="24"/>
        </w:rPr>
        <w:t xml:space="preserve"> It met the targets </w:t>
      </w:r>
      <w:r w:rsidR="00140DB7">
        <w:rPr>
          <w:bCs/>
          <w:sz w:val="24"/>
          <w:szCs w:val="24"/>
        </w:rPr>
        <w:t>f</w:t>
      </w:r>
      <w:r w:rsidR="00223779">
        <w:rPr>
          <w:bCs/>
          <w:sz w:val="24"/>
          <w:szCs w:val="24"/>
        </w:rPr>
        <w:t>or participation in a long</w:t>
      </w:r>
      <w:r w:rsidR="00140DB7">
        <w:rPr>
          <w:bCs/>
          <w:sz w:val="24"/>
          <w:szCs w:val="24"/>
        </w:rPr>
        <w:t>-</w:t>
      </w:r>
      <w:r w:rsidR="00223779">
        <w:rPr>
          <w:bCs/>
          <w:sz w:val="24"/>
          <w:szCs w:val="24"/>
        </w:rPr>
        <w:t>term workshop, club, or internship</w:t>
      </w:r>
      <w:r w:rsidR="00140DB7">
        <w:rPr>
          <w:bCs/>
          <w:sz w:val="24"/>
          <w:szCs w:val="24"/>
        </w:rPr>
        <w:t>; partic</w:t>
      </w:r>
      <w:r w:rsidR="00075DE8">
        <w:rPr>
          <w:bCs/>
          <w:sz w:val="24"/>
          <w:szCs w:val="24"/>
        </w:rPr>
        <w:t xml:space="preserve">ipation in student conferences; and </w:t>
      </w:r>
      <w:r w:rsidR="00C83CEB">
        <w:rPr>
          <w:bCs/>
          <w:sz w:val="24"/>
          <w:szCs w:val="24"/>
        </w:rPr>
        <w:t>completing a presen</w:t>
      </w:r>
      <w:r w:rsidR="00075DE8">
        <w:rPr>
          <w:bCs/>
          <w:sz w:val="24"/>
          <w:szCs w:val="24"/>
        </w:rPr>
        <w:t>tation to the school</w:t>
      </w:r>
      <w:r w:rsidR="00C83CEB">
        <w:rPr>
          <w:bCs/>
          <w:sz w:val="24"/>
          <w:szCs w:val="24"/>
        </w:rPr>
        <w:t>.</w:t>
      </w:r>
      <w:r w:rsidR="00223779">
        <w:rPr>
          <w:bCs/>
          <w:sz w:val="24"/>
          <w:szCs w:val="24"/>
        </w:rPr>
        <w:t xml:space="preserve"> </w:t>
      </w:r>
      <w:r>
        <w:rPr>
          <w:bCs/>
          <w:sz w:val="24"/>
          <w:szCs w:val="24"/>
        </w:rPr>
        <w:t xml:space="preserve"> It did not meet the target for parent participation in student conferences.</w:t>
      </w:r>
    </w:p>
    <w:p w14:paraId="7B5DEC68" w14:textId="249BE39C" w:rsidR="00073EF3" w:rsidRDefault="00073EF3" w:rsidP="00FC630C">
      <w:pPr>
        <w:rPr>
          <w:bCs/>
          <w:sz w:val="24"/>
          <w:szCs w:val="24"/>
        </w:rPr>
      </w:pPr>
    </w:p>
    <w:p w14:paraId="0B77AA06" w14:textId="77777777" w:rsidR="00AC5B81" w:rsidRPr="005A59E7" w:rsidRDefault="00AC5B81" w:rsidP="00FC630C">
      <w:pPr>
        <w:rPr>
          <w:bCs/>
          <w:sz w:val="24"/>
          <w:szCs w:val="24"/>
        </w:rPr>
      </w:pPr>
    </w:p>
    <w:tbl>
      <w:tblPr>
        <w:tblStyle w:val="TableGrid"/>
        <w:tblW w:w="0" w:type="auto"/>
        <w:tblLook w:val="04A0" w:firstRow="1" w:lastRow="0" w:firstColumn="1" w:lastColumn="0" w:noHBand="0" w:noVBand="1"/>
      </w:tblPr>
      <w:tblGrid>
        <w:gridCol w:w="9350"/>
      </w:tblGrid>
      <w:tr w:rsidR="000D6695" w14:paraId="56BBF381" w14:textId="77777777" w:rsidTr="0097141B">
        <w:tc>
          <w:tcPr>
            <w:tcW w:w="9350" w:type="dxa"/>
            <w:shd w:val="clear" w:color="auto" w:fill="800000"/>
          </w:tcPr>
          <w:p w14:paraId="72F9082F" w14:textId="65853CB3" w:rsidR="000D6695" w:rsidRDefault="000D6695" w:rsidP="0097141B">
            <w:pPr>
              <w:rPr>
                <w:rFonts w:cs="Arial"/>
                <w:sz w:val="28"/>
                <w:szCs w:val="28"/>
              </w:rPr>
            </w:pPr>
            <w:r>
              <w:rPr>
                <w:rFonts w:cs="Arial"/>
                <w:sz w:val="28"/>
                <w:szCs w:val="28"/>
              </w:rPr>
              <w:t>Section 1</w:t>
            </w:r>
            <w:r w:rsidR="00CD351A">
              <w:rPr>
                <w:rFonts w:cs="Arial"/>
                <w:sz w:val="28"/>
                <w:szCs w:val="28"/>
              </w:rPr>
              <w:t>4</w:t>
            </w:r>
            <w:r>
              <w:rPr>
                <w:rFonts w:cs="Arial"/>
                <w:sz w:val="28"/>
                <w:szCs w:val="28"/>
              </w:rPr>
              <w:t>: Mission and Vision Implementation Evidence and Results</w:t>
            </w:r>
          </w:p>
        </w:tc>
      </w:tr>
    </w:tbl>
    <w:p w14:paraId="20CDB7D5" w14:textId="67BC4F6C" w:rsidR="008803D6" w:rsidRDefault="008803D6" w:rsidP="007E397D">
      <w:pPr>
        <w:rPr>
          <w:rFonts w:cs="Arial"/>
          <w:i/>
          <w:sz w:val="20"/>
          <w:szCs w:val="20"/>
        </w:rPr>
      </w:pPr>
    </w:p>
    <w:p w14:paraId="7C940EB1" w14:textId="67B8EE02" w:rsidR="004263D9" w:rsidRDefault="00723203" w:rsidP="004263D9">
      <w:pPr>
        <w:rPr>
          <w:rFonts w:cs="Arial"/>
          <w:sz w:val="24"/>
          <w:szCs w:val="24"/>
        </w:rPr>
      </w:pPr>
      <w:r w:rsidRPr="000F64CD">
        <w:rPr>
          <w:rFonts w:cs="Arial"/>
          <w:sz w:val="24"/>
          <w:szCs w:val="24"/>
        </w:rPr>
        <w:t xml:space="preserve">The </w:t>
      </w:r>
      <w:r w:rsidR="0031788B">
        <w:rPr>
          <w:rFonts w:cs="Arial"/>
          <w:sz w:val="24"/>
          <w:szCs w:val="24"/>
        </w:rPr>
        <w:t>mission</w:t>
      </w:r>
      <w:r w:rsidRPr="000F64CD">
        <w:rPr>
          <w:rFonts w:cs="Arial"/>
          <w:sz w:val="24"/>
          <w:szCs w:val="24"/>
        </w:rPr>
        <w:t xml:space="preserve">​ of HCA is to educate and develop critical thinkers, leaders, and lifelong learners who are actively engaged in their community and the broader world. </w:t>
      </w:r>
    </w:p>
    <w:p w14:paraId="1B581DA9" w14:textId="77777777" w:rsidR="007E397D" w:rsidRPr="000F64CD" w:rsidRDefault="007E397D" w:rsidP="004263D9">
      <w:pPr>
        <w:rPr>
          <w:rFonts w:cs="Arial"/>
          <w:sz w:val="24"/>
          <w:szCs w:val="24"/>
        </w:rPr>
      </w:pPr>
    </w:p>
    <w:p w14:paraId="5704862C" w14:textId="28BCCC79" w:rsidR="00723203" w:rsidRPr="000F64CD" w:rsidRDefault="0078708B" w:rsidP="000F64CD">
      <w:pPr>
        <w:rPr>
          <w:rFonts w:cs="Arial"/>
          <w:sz w:val="24"/>
          <w:szCs w:val="24"/>
        </w:rPr>
      </w:pPr>
      <w:r>
        <w:rPr>
          <w:rFonts w:cs="Arial"/>
          <w:sz w:val="24"/>
          <w:szCs w:val="24"/>
        </w:rPr>
        <w:t>In the 2018-19 school year the school implemented the following initiatives:</w:t>
      </w:r>
    </w:p>
    <w:p w14:paraId="639C3926" w14:textId="1EC95E57" w:rsidR="00723203" w:rsidRPr="004A6574" w:rsidRDefault="00723203" w:rsidP="003554EF">
      <w:pPr>
        <w:pStyle w:val="ListParagraph"/>
        <w:numPr>
          <w:ilvl w:val="0"/>
          <w:numId w:val="26"/>
        </w:numPr>
        <w:ind w:left="360"/>
        <w:rPr>
          <w:rFonts w:cs="Arial"/>
          <w:sz w:val="24"/>
          <w:szCs w:val="24"/>
        </w:rPr>
      </w:pPr>
      <w:r w:rsidRPr="004A6574">
        <w:rPr>
          <w:rFonts w:cs="Arial"/>
          <w:sz w:val="24"/>
          <w:szCs w:val="24"/>
        </w:rPr>
        <w:t>A full year Professional Development focus for faculty on Restorative Justice and trauma-informed practices, in partnership with the Restorative Justice Institute of Maine.</w:t>
      </w:r>
    </w:p>
    <w:p w14:paraId="7B49479C" w14:textId="64A1AEC5" w:rsidR="00723203" w:rsidRPr="004A6574" w:rsidRDefault="00723203" w:rsidP="003554EF">
      <w:pPr>
        <w:pStyle w:val="ListParagraph"/>
        <w:numPr>
          <w:ilvl w:val="0"/>
          <w:numId w:val="26"/>
        </w:numPr>
        <w:ind w:left="360"/>
        <w:rPr>
          <w:rFonts w:cs="Arial"/>
          <w:sz w:val="24"/>
          <w:szCs w:val="24"/>
        </w:rPr>
      </w:pPr>
      <w:r w:rsidRPr="004A6574">
        <w:rPr>
          <w:rFonts w:cs="Arial"/>
          <w:sz w:val="24"/>
          <w:szCs w:val="24"/>
        </w:rPr>
        <w:t xml:space="preserve">A comprehensive review of </w:t>
      </w:r>
      <w:r w:rsidR="007E397D">
        <w:rPr>
          <w:rFonts w:cs="Arial"/>
          <w:sz w:val="24"/>
          <w:szCs w:val="24"/>
        </w:rPr>
        <w:t>its</w:t>
      </w:r>
      <w:r w:rsidRPr="004A6574">
        <w:rPr>
          <w:rFonts w:cs="Arial"/>
          <w:sz w:val="24"/>
          <w:szCs w:val="24"/>
        </w:rPr>
        <w:t xml:space="preserve"> PEPG plan resulting in a Board-approved revision of the policy to bring the system in line with best practices around the improvement of teaching practices and how those fit into the HCA model.</w:t>
      </w:r>
    </w:p>
    <w:p w14:paraId="454D1F96" w14:textId="29BAAA9D" w:rsidR="00723203" w:rsidRPr="004A6574" w:rsidRDefault="00723203" w:rsidP="003554EF">
      <w:pPr>
        <w:pStyle w:val="ListParagraph"/>
        <w:numPr>
          <w:ilvl w:val="0"/>
          <w:numId w:val="26"/>
        </w:numPr>
        <w:ind w:left="360"/>
        <w:rPr>
          <w:rFonts w:cs="Arial"/>
          <w:sz w:val="24"/>
          <w:szCs w:val="24"/>
        </w:rPr>
      </w:pPr>
      <w:r w:rsidRPr="004A6574">
        <w:rPr>
          <w:rFonts w:cs="Arial"/>
          <w:sz w:val="24"/>
          <w:szCs w:val="24"/>
        </w:rPr>
        <w:t>A review of school policies and the creation of one comprehensive school policy book to bring clarity to students, parents and faculty moving forward.</w:t>
      </w:r>
    </w:p>
    <w:p w14:paraId="3AC19755" w14:textId="11E6C9B8" w:rsidR="00723203" w:rsidRPr="004A6574" w:rsidRDefault="00723203" w:rsidP="003554EF">
      <w:pPr>
        <w:pStyle w:val="ListParagraph"/>
        <w:numPr>
          <w:ilvl w:val="0"/>
          <w:numId w:val="26"/>
        </w:numPr>
        <w:ind w:left="360"/>
        <w:rPr>
          <w:rFonts w:cs="Arial"/>
          <w:sz w:val="24"/>
          <w:szCs w:val="24"/>
        </w:rPr>
      </w:pPr>
      <w:r w:rsidRPr="004A6574">
        <w:rPr>
          <w:rFonts w:cs="Arial"/>
          <w:sz w:val="24"/>
          <w:szCs w:val="24"/>
        </w:rPr>
        <w:t>A focus on improving investigations (courses) across all divisions and content areas, with consistent support from the Director of Teaching &amp; Learning.</w:t>
      </w:r>
    </w:p>
    <w:p w14:paraId="2FD7698D" w14:textId="5374A39D" w:rsidR="00723203" w:rsidRPr="00B51F1F" w:rsidRDefault="00723203" w:rsidP="003554EF">
      <w:pPr>
        <w:pStyle w:val="ListParagraph"/>
        <w:numPr>
          <w:ilvl w:val="0"/>
          <w:numId w:val="27"/>
        </w:numPr>
        <w:ind w:left="360"/>
        <w:rPr>
          <w:rFonts w:cs="Arial"/>
          <w:iCs/>
          <w:sz w:val="24"/>
          <w:szCs w:val="24"/>
        </w:rPr>
      </w:pPr>
      <w:r w:rsidRPr="00B51F1F">
        <w:rPr>
          <w:rFonts w:cs="Arial"/>
          <w:iCs/>
          <w:sz w:val="24"/>
          <w:szCs w:val="24"/>
        </w:rPr>
        <w:t>Further establishment of structures supporting students in passage from one division to another.</w:t>
      </w:r>
    </w:p>
    <w:p w14:paraId="713E9842" w14:textId="3CCBFFDA" w:rsidR="00723203" w:rsidRPr="00B01F05" w:rsidRDefault="00723203" w:rsidP="003554EF">
      <w:pPr>
        <w:pStyle w:val="ListParagraph"/>
        <w:numPr>
          <w:ilvl w:val="0"/>
          <w:numId w:val="27"/>
        </w:numPr>
        <w:ind w:left="360"/>
        <w:rPr>
          <w:rFonts w:cs="Arial"/>
          <w:iCs/>
          <w:sz w:val="24"/>
          <w:szCs w:val="24"/>
        </w:rPr>
      </w:pPr>
      <w:r w:rsidRPr="00B51F1F">
        <w:rPr>
          <w:rFonts w:cs="Arial"/>
          <w:iCs/>
          <w:sz w:val="24"/>
          <w:szCs w:val="24"/>
        </w:rPr>
        <w:t>A focus on honoring student achievement through Celebrations of Learning at the end of each trimester and acknowledgements of</w:t>
      </w:r>
      <w:r w:rsidR="00B01F05">
        <w:rPr>
          <w:rFonts w:cs="Arial"/>
          <w:iCs/>
          <w:sz w:val="24"/>
          <w:szCs w:val="24"/>
        </w:rPr>
        <w:t xml:space="preserve"> </w:t>
      </w:r>
      <w:r w:rsidRPr="00B01F05">
        <w:rPr>
          <w:rFonts w:cs="Arial"/>
          <w:iCs/>
          <w:sz w:val="24"/>
          <w:szCs w:val="24"/>
        </w:rPr>
        <w:t>students who met their NWEA goals.</w:t>
      </w:r>
    </w:p>
    <w:p w14:paraId="09640E19" w14:textId="5D2D42C7" w:rsidR="00723203" w:rsidRPr="00B51F1F" w:rsidRDefault="00723203" w:rsidP="003554EF">
      <w:pPr>
        <w:pStyle w:val="ListParagraph"/>
        <w:numPr>
          <w:ilvl w:val="0"/>
          <w:numId w:val="27"/>
        </w:numPr>
        <w:ind w:left="360"/>
        <w:rPr>
          <w:rFonts w:cs="Arial"/>
          <w:iCs/>
          <w:sz w:val="24"/>
          <w:szCs w:val="24"/>
        </w:rPr>
      </w:pPr>
      <w:r w:rsidRPr="00B51F1F">
        <w:rPr>
          <w:rFonts w:cs="Arial"/>
          <w:iCs/>
          <w:sz w:val="24"/>
          <w:szCs w:val="24"/>
        </w:rPr>
        <w:t>Student engagement in building an inclusive school culture, in particular with</w:t>
      </w:r>
      <w:r w:rsidR="00B01F05">
        <w:rPr>
          <w:rFonts w:cs="Arial"/>
          <w:iCs/>
          <w:sz w:val="24"/>
          <w:szCs w:val="24"/>
        </w:rPr>
        <w:t xml:space="preserve"> </w:t>
      </w:r>
      <w:r w:rsidRPr="00B51F1F">
        <w:rPr>
          <w:rFonts w:cs="Arial"/>
          <w:iCs/>
          <w:sz w:val="24"/>
          <w:szCs w:val="24"/>
        </w:rPr>
        <w:t>Division 1 Sexuality and Gender Alliance group.</w:t>
      </w:r>
    </w:p>
    <w:p w14:paraId="0EDBBF6C" w14:textId="30B43E86" w:rsidR="00723203" w:rsidRPr="00603EEC" w:rsidRDefault="00723203" w:rsidP="003554EF">
      <w:pPr>
        <w:pStyle w:val="ListParagraph"/>
        <w:numPr>
          <w:ilvl w:val="0"/>
          <w:numId w:val="27"/>
        </w:numPr>
        <w:ind w:left="360"/>
        <w:rPr>
          <w:rFonts w:cs="Arial"/>
          <w:iCs/>
          <w:sz w:val="24"/>
          <w:szCs w:val="24"/>
        </w:rPr>
      </w:pPr>
      <w:r w:rsidRPr="00B51F1F">
        <w:rPr>
          <w:rFonts w:cs="Arial"/>
          <w:iCs/>
          <w:sz w:val="24"/>
          <w:szCs w:val="24"/>
        </w:rPr>
        <w:t xml:space="preserve">Establishment of an ‘All School Read’ program, with the novel ​Refuge​ that was tied to </w:t>
      </w:r>
      <w:r w:rsidR="00603EEC">
        <w:rPr>
          <w:rFonts w:cs="Arial"/>
          <w:iCs/>
          <w:sz w:val="24"/>
          <w:szCs w:val="24"/>
        </w:rPr>
        <w:t>the</w:t>
      </w:r>
      <w:r w:rsidRPr="00B51F1F">
        <w:rPr>
          <w:rFonts w:cs="Arial"/>
          <w:iCs/>
          <w:sz w:val="24"/>
          <w:szCs w:val="24"/>
        </w:rPr>
        <w:t xml:space="preserve"> “What does it mean to be an American?”</w:t>
      </w:r>
      <w:r w:rsidR="00603EEC">
        <w:rPr>
          <w:rFonts w:cs="Arial"/>
          <w:iCs/>
          <w:sz w:val="24"/>
          <w:szCs w:val="24"/>
        </w:rPr>
        <w:t xml:space="preserve"> </w:t>
      </w:r>
      <w:r w:rsidRPr="00603EEC">
        <w:rPr>
          <w:rFonts w:cs="Arial"/>
          <w:iCs/>
          <w:sz w:val="24"/>
          <w:szCs w:val="24"/>
        </w:rPr>
        <w:t>Investigation at Division 1.</w:t>
      </w:r>
    </w:p>
    <w:p w14:paraId="73445993" w14:textId="036ABB95" w:rsidR="00FB33C2" w:rsidRDefault="00603EEC" w:rsidP="00B51F1F">
      <w:pPr>
        <w:pStyle w:val="ListParagraph"/>
        <w:numPr>
          <w:ilvl w:val="0"/>
          <w:numId w:val="27"/>
        </w:numPr>
        <w:ind w:left="360"/>
        <w:rPr>
          <w:rFonts w:cs="Arial"/>
          <w:iCs/>
          <w:sz w:val="24"/>
          <w:szCs w:val="24"/>
        </w:rPr>
      </w:pPr>
      <w:r>
        <w:rPr>
          <w:rFonts w:cs="Arial"/>
          <w:iCs/>
          <w:sz w:val="24"/>
          <w:szCs w:val="24"/>
        </w:rPr>
        <w:lastRenderedPageBreak/>
        <w:t>P</w:t>
      </w:r>
      <w:r w:rsidR="00723203" w:rsidRPr="00B51F1F">
        <w:rPr>
          <w:rFonts w:cs="Arial"/>
          <w:iCs/>
          <w:sz w:val="24"/>
          <w:szCs w:val="24"/>
        </w:rPr>
        <w:t xml:space="preserve">artnership with TechSpace for </w:t>
      </w:r>
      <w:r>
        <w:rPr>
          <w:rFonts w:cs="Arial"/>
          <w:iCs/>
          <w:sz w:val="24"/>
          <w:szCs w:val="24"/>
        </w:rPr>
        <w:t>the</w:t>
      </w:r>
      <w:r w:rsidR="00723203" w:rsidRPr="00B51F1F">
        <w:rPr>
          <w:rFonts w:cs="Arial"/>
          <w:iCs/>
          <w:sz w:val="24"/>
          <w:szCs w:val="24"/>
        </w:rPr>
        <w:t xml:space="preserve"> composites program that culminated with the completion of two student built composite boats that will be auctioned off to support the school.</w:t>
      </w:r>
    </w:p>
    <w:p w14:paraId="7F331080" w14:textId="3C9708BB" w:rsidR="00CD351A" w:rsidRDefault="00CD351A" w:rsidP="00CD351A">
      <w:pPr>
        <w:rPr>
          <w:rFonts w:cs="Arial"/>
          <w:i/>
          <w:sz w:val="20"/>
          <w:szCs w:val="20"/>
        </w:rPr>
      </w:pPr>
    </w:p>
    <w:p w14:paraId="0936C2E8" w14:textId="77777777" w:rsidR="00CD351A" w:rsidRDefault="00CD351A" w:rsidP="00CD351A">
      <w:pPr>
        <w:rPr>
          <w:rFonts w:cs="Arial"/>
          <w:i/>
          <w:sz w:val="20"/>
          <w:szCs w:val="20"/>
        </w:rPr>
      </w:pPr>
    </w:p>
    <w:tbl>
      <w:tblPr>
        <w:tblStyle w:val="TableGrid"/>
        <w:tblW w:w="0" w:type="auto"/>
        <w:tblLook w:val="04A0" w:firstRow="1" w:lastRow="0" w:firstColumn="1" w:lastColumn="0" w:noHBand="0" w:noVBand="1"/>
      </w:tblPr>
      <w:tblGrid>
        <w:gridCol w:w="9350"/>
      </w:tblGrid>
      <w:tr w:rsidR="00CD351A" w14:paraId="3DA85BBE" w14:textId="77777777" w:rsidTr="00933AAB">
        <w:tc>
          <w:tcPr>
            <w:tcW w:w="9350" w:type="dxa"/>
            <w:shd w:val="clear" w:color="auto" w:fill="800000"/>
          </w:tcPr>
          <w:p w14:paraId="650CF88E" w14:textId="6D5794F0" w:rsidR="00CD351A" w:rsidRDefault="00CD351A" w:rsidP="00933AAB">
            <w:pPr>
              <w:rPr>
                <w:rFonts w:cs="Arial"/>
                <w:sz w:val="28"/>
                <w:szCs w:val="28"/>
              </w:rPr>
            </w:pPr>
            <w:r>
              <w:rPr>
                <w:rFonts w:cs="Arial"/>
                <w:sz w:val="28"/>
                <w:szCs w:val="28"/>
              </w:rPr>
              <w:t>Section 15: Site Visit Report</w:t>
            </w:r>
          </w:p>
        </w:tc>
      </w:tr>
    </w:tbl>
    <w:p w14:paraId="7ED46109" w14:textId="77777777" w:rsidR="00CD351A" w:rsidRPr="008F0410" w:rsidRDefault="00CD351A" w:rsidP="00CD351A">
      <w:pPr>
        <w:rPr>
          <w:rFonts w:cs="Arial"/>
          <w:sz w:val="24"/>
          <w:szCs w:val="24"/>
        </w:rPr>
      </w:pPr>
    </w:p>
    <w:p w14:paraId="1C29102E" w14:textId="77777777" w:rsidR="00C36632" w:rsidRPr="00296C60" w:rsidRDefault="00C36632" w:rsidP="00C36632">
      <w:pPr>
        <w:jc w:val="center"/>
        <w:rPr>
          <w:b/>
          <w:color w:val="8D3640"/>
          <w:sz w:val="34"/>
          <w:szCs w:val="34"/>
        </w:rPr>
      </w:pPr>
      <w:r w:rsidRPr="00296C60">
        <w:rPr>
          <w:b/>
          <w:color w:val="8D3640"/>
          <w:sz w:val="34"/>
          <w:szCs w:val="34"/>
        </w:rPr>
        <w:t>Maine Charter School Commission</w:t>
      </w:r>
    </w:p>
    <w:p w14:paraId="6E5E7AC4" w14:textId="77777777" w:rsidR="00C36632" w:rsidRPr="00296C60" w:rsidRDefault="00C36632" w:rsidP="00C36632">
      <w:pPr>
        <w:jc w:val="center"/>
        <w:rPr>
          <w:b/>
          <w:sz w:val="30"/>
          <w:szCs w:val="30"/>
        </w:rPr>
      </w:pPr>
      <w:r w:rsidRPr="00296C60">
        <w:rPr>
          <w:b/>
          <w:sz w:val="30"/>
          <w:szCs w:val="30"/>
        </w:rPr>
        <w:t xml:space="preserve">Monitoring Site Visit Report </w:t>
      </w:r>
      <w:r>
        <w:rPr>
          <w:b/>
          <w:sz w:val="30"/>
          <w:szCs w:val="30"/>
        </w:rPr>
        <w:t>October 31, 2019</w:t>
      </w:r>
    </w:p>
    <w:p w14:paraId="3998AB0A" w14:textId="77777777" w:rsidR="00C36632" w:rsidRDefault="00C36632" w:rsidP="00C36632">
      <w:pPr>
        <w:rPr>
          <w:b/>
          <w:sz w:val="28"/>
          <w:szCs w:val="28"/>
        </w:rPr>
      </w:pPr>
    </w:p>
    <w:tbl>
      <w:tblPr>
        <w:tblStyle w:val="TableGrid"/>
        <w:tblW w:w="0" w:type="auto"/>
        <w:tblLook w:val="04A0" w:firstRow="1" w:lastRow="0" w:firstColumn="1" w:lastColumn="0" w:noHBand="0" w:noVBand="1"/>
      </w:tblPr>
      <w:tblGrid>
        <w:gridCol w:w="2263"/>
        <w:gridCol w:w="6379"/>
      </w:tblGrid>
      <w:tr w:rsidR="00C36632" w14:paraId="1DB0252E" w14:textId="77777777" w:rsidTr="00933AAB">
        <w:tc>
          <w:tcPr>
            <w:tcW w:w="2263" w:type="dxa"/>
          </w:tcPr>
          <w:p w14:paraId="30E65F99" w14:textId="77777777" w:rsidR="00C36632" w:rsidRPr="0093560C" w:rsidRDefault="00C36632" w:rsidP="00933AAB">
            <w:pPr>
              <w:rPr>
                <w:sz w:val="24"/>
                <w:szCs w:val="24"/>
              </w:rPr>
            </w:pPr>
            <w:r>
              <w:rPr>
                <w:sz w:val="24"/>
                <w:szCs w:val="24"/>
              </w:rPr>
              <w:t>REPORT DATE:</w:t>
            </w:r>
          </w:p>
        </w:tc>
        <w:tc>
          <w:tcPr>
            <w:tcW w:w="6379" w:type="dxa"/>
          </w:tcPr>
          <w:p w14:paraId="10EE3691" w14:textId="77777777" w:rsidR="00C36632" w:rsidRDefault="00C36632" w:rsidP="00933AAB">
            <w:pPr>
              <w:rPr>
                <w:sz w:val="28"/>
                <w:szCs w:val="28"/>
              </w:rPr>
            </w:pPr>
            <w:r>
              <w:rPr>
                <w:sz w:val="28"/>
                <w:szCs w:val="28"/>
              </w:rPr>
              <w:t>October 31, 2019</w:t>
            </w:r>
          </w:p>
        </w:tc>
      </w:tr>
      <w:tr w:rsidR="00C36632" w14:paraId="19D19417" w14:textId="77777777" w:rsidTr="00933AAB">
        <w:tc>
          <w:tcPr>
            <w:tcW w:w="2263" w:type="dxa"/>
          </w:tcPr>
          <w:p w14:paraId="098F1AA6" w14:textId="77777777" w:rsidR="00C36632" w:rsidRPr="0093560C" w:rsidRDefault="00C36632" w:rsidP="00933AAB">
            <w:pPr>
              <w:rPr>
                <w:sz w:val="24"/>
                <w:szCs w:val="24"/>
              </w:rPr>
            </w:pPr>
            <w:r>
              <w:rPr>
                <w:sz w:val="24"/>
                <w:szCs w:val="24"/>
              </w:rPr>
              <w:t>SCHOOL NAME:</w:t>
            </w:r>
          </w:p>
        </w:tc>
        <w:tc>
          <w:tcPr>
            <w:tcW w:w="6379" w:type="dxa"/>
          </w:tcPr>
          <w:p w14:paraId="51FE09FA" w14:textId="77777777" w:rsidR="00C36632" w:rsidRDefault="00C36632" w:rsidP="00933AAB">
            <w:pPr>
              <w:rPr>
                <w:sz w:val="28"/>
                <w:szCs w:val="28"/>
              </w:rPr>
            </w:pPr>
            <w:r>
              <w:rPr>
                <w:sz w:val="28"/>
                <w:szCs w:val="28"/>
              </w:rPr>
              <w:t>Harpswell Coastal Academy (HCA)</w:t>
            </w:r>
          </w:p>
        </w:tc>
      </w:tr>
      <w:tr w:rsidR="00C36632" w14:paraId="15399BA5" w14:textId="77777777" w:rsidTr="00933AAB">
        <w:tc>
          <w:tcPr>
            <w:tcW w:w="2263" w:type="dxa"/>
          </w:tcPr>
          <w:p w14:paraId="182AE8C9" w14:textId="77777777" w:rsidR="00C36632" w:rsidRPr="0093560C" w:rsidRDefault="00C36632" w:rsidP="00933AAB">
            <w:pPr>
              <w:rPr>
                <w:sz w:val="24"/>
                <w:szCs w:val="24"/>
              </w:rPr>
            </w:pPr>
            <w:r>
              <w:rPr>
                <w:sz w:val="24"/>
                <w:szCs w:val="24"/>
              </w:rPr>
              <w:t>ADDRESS:</w:t>
            </w:r>
          </w:p>
        </w:tc>
        <w:tc>
          <w:tcPr>
            <w:tcW w:w="6379" w:type="dxa"/>
          </w:tcPr>
          <w:p w14:paraId="413123DD" w14:textId="77777777" w:rsidR="00C36632" w:rsidRDefault="00C36632" w:rsidP="00933AAB">
            <w:pPr>
              <w:rPr>
                <w:sz w:val="28"/>
                <w:szCs w:val="28"/>
              </w:rPr>
            </w:pPr>
            <w:r>
              <w:rPr>
                <w:sz w:val="28"/>
                <w:szCs w:val="28"/>
              </w:rPr>
              <w:t>8 Leavitt Drive, Brunswick, Maine 04011</w:t>
            </w:r>
          </w:p>
        </w:tc>
      </w:tr>
      <w:tr w:rsidR="00C36632" w14:paraId="4EFD3281" w14:textId="77777777" w:rsidTr="00933AAB">
        <w:tc>
          <w:tcPr>
            <w:tcW w:w="2263" w:type="dxa"/>
          </w:tcPr>
          <w:p w14:paraId="5E14D1EC" w14:textId="77777777" w:rsidR="00C36632" w:rsidRPr="0093560C" w:rsidRDefault="00C36632" w:rsidP="00933AAB">
            <w:pPr>
              <w:rPr>
                <w:sz w:val="24"/>
                <w:szCs w:val="24"/>
              </w:rPr>
            </w:pPr>
            <w:r>
              <w:rPr>
                <w:sz w:val="24"/>
                <w:szCs w:val="24"/>
              </w:rPr>
              <w:t>GRADES SERVED:</w:t>
            </w:r>
          </w:p>
        </w:tc>
        <w:tc>
          <w:tcPr>
            <w:tcW w:w="6379" w:type="dxa"/>
          </w:tcPr>
          <w:p w14:paraId="5FC6216D" w14:textId="77777777" w:rsidR="00C36632" w:rsidRDefault="00C36632" w:rsidP="00933AAB">
            <w:pPr>
              <w:rPr>
                <w:sz w:val="28"/>
                <w:szCs w:val="28"/>
              </w:rPr>
            </w:pPr>
            <w:r>
              <w:rPr>
                <w:sz w:val="28"/>
                <w:szCs w:val="28"/>
              </w:rPr>
              <w:t>Grades 6 - 12</w:t>
            </w:r>
          </w:p>
        </w:tc>
      </w:tr>
      <w:tr w:rsidR="00C36632" w14:paraId="174BFA37" w14:textId="77777777" w:rsidTr="00933AAB">
        <w:tc>
          <w:tcPr>
            <w:tcW w:w="2263" w:type="dxa"/>
          </w:tcPr>
          <w:p w14:paraId="62876BE2" w14:textId="77777777" w:rsidR="00C36632" w:rsidRPr="0093560C" w:rsidRDefault="00C36632" w:rsidP="00933AAB">
            <w:pPr>
              <w:rPr>
                <w:sz w:val="24"/>
                <w:szCs w:val="24"/>
              </w:rPr>
            </w:pPr>
            <w:r>
              <w:rPr>
                <w:sz w:val="24"/>
                <w:szCs w:val="24"/>
              </w:rPr>
              <w:t>ENROLLMENT:</w:t>
            </w:r>
          </w:p>
        </w:tc>
        <w:tc>
          <w:tcPr>
            <w:tcW w:w="6379" w:type="dxa"/>
          </w:tcPr>
          <w:p w14:paraId="0042A1F6" w14:textId="77777777" w:rsidR="00C36632" w:rsidRDefault="00C36632" w:rsidP="00933AAB">
            <w:pPr>
              <w:rPr>
                <w:sz w:val="28"/>
                <w:szCs w:val="28"/>
              </w:rPr>
            </w:pPr>
            <w:r>
              <w:rPr>
                <w:sz w:val="28"/>
                <w:szCs w:val="28"/>
              </w:rPr>
              <w:t>200</w:t>
            </w:r>
          </w:p>
        </w:tc>
      </w:tr>
      <w:tr w:rsidR="00C36632" w14:paraId="608F5AEA" w14:textId="77777777" w:rsidTr="00933AAB">
        <w:tc>
          <w:tcPr>
            <w:tcW w:w="2263" w:type="dxa"/>
          </w:tcPr>
          <w:p w14:paraId="58CACB06" w14:textId="77777777" w:rsidR="00C36632" w:rsidRDefault="00C36632" w:rsidP="00933AAB">
            <w:pPr>
              <w:rPr>
                <w:sz w:val="24"/>
                <w:szCs w:val="24"/>
              </w:rPr>
            </w:pPr>
            <w:r>
              <w:rPr>
                <w:sz w:val="24"/>
                <w:szCs w:val="24"/>
              </w:rPr>
              <w:t>YEAR OPENED:</w:t>
            </w:r>
          </w:p>
        </w:tc>
        <w:tc>
          <w:tcPr>
            <w:tcW w:w="6379" w:type="dxa"/>
          </w:tcPr>
          <w:p w14:paraId="76DB927A" w14:textId="77777777" w:rsidR="00C36632" w:rsidRDefault="00C36632" w:rsidP="00933AAB">
            <w:pPr>
              <w:rPr>
                <w:sz w:val="28"/>
                <w:szCs w:val="28"/>
              </w:rPr>
            </w:pPr>
            <w:r>
              <w:rPr>
                <w:sz w:val="28"/>
                <w:szCs w:val="28"/>
              </w:rPr>
              <w:t>September 2013</w:t>
            </w:r>
          </w:p>
        </w:tc>
      </w:tr>
    </w:tbl>
    <w:p w14:paraId="769FA1F0" w14:textId="77777777" w:rsidR="00C36632" w:rsidRDefault="00C36632" w:rsidP="00C36632">
      <w:pPr>
        <w:rPr>
          <w:b/>
          <w:sz w:val="28"/>
          <w:szCs w:val="28"/>
        </w:rPr>
      </w:pPr>
    </w:p>
    <w:p w14:paraId="651479B5" w14:textId="77777777" w:rsidR="00C36632" w:rsidRPr="00763DF8" w:rsidRDefault="00C36632" w:rsidP="00C36632">
      <w:pPr>
        <w:rPr>
          <w:color w:val="FFFFFF" w:themeColor="background1"/>
          <w:sz w:val="24"/>
          <w:szCs w:val="24"/>
        </w:rPr>
      </w:pPr>
      <w:r w:rsidRPr="00763DF8">
        <w:rPr>
          <w:color w:val="FFFFFF" w:themeColor="background1"/>
          <w:sz w:val="24"/>
          <w:szCs w:val="24"/>
          <w:highlight w:val="darkRed"/>
        </w:rPr>
        <w:t>Monitoring Site Visit Purpose</w:t>
      </w:r>
    </w:p>
    <w:p w14:paraId="5D8E08F7" w14:textId="77777777" w:rsidR="00C36632" w:rsidRPr="002C6379" w:rsidRDefault="00C36632" w:rsidP="00C36632">
      <w:pPr>
        <w:rPr>
          <w:sz w:val="16"/>
          <w:szCs w:val="16"/>
        </w:rPr>
      </w:pPr>
    </w:p>
    <w:p w14:paraId="2CFAE15F" w14:textId="77777777" w:rsidR="00C36632" w:rsidRDefault="00C36632" w:rsidP="00C36632">
      <w:r w:rsidRPr="00631D8E">
        <w:t>The primary purpose of site visits is to inform authorizer decisions, both imminent, such</w:t>
      </w:r>
      <w:r>
        <w:t xml:space="preserve"> as</w:t>
      </w:r>
      <w:r w:rsidRPr="00631D8E">
        <w:t xml:space="preserve"> assessing a school’s readiness to open, and longitudinal, when a visit is undertaken mid-term as part of routine monitoring. </w:t>
      </w:r>
    </w:p>
    <w:p w14:paraId="2FA4B3BB" w14:textId="77777777" w:rsidR="00C36632" w:rsidRDefault="00C36632" w:rsidP="00C36632"/>
    <w:p w14:paraId="5C8FEBF1" w14:textId="77777777" w:rsidR="00C36632" w:rsidRDefault="00C36632" w:rsidP="00C36632">
      <w:r>
        <w:t>The purpose of m</w:t>
      </w:r>
      <w:r w:rsidRPr="007877D7">
        <w:t xml:space="preserve">onitoring visits </w:t>
      </w:r>
      <w:r>
        <w:t>is t</w:t>
      </w:r>
      <w:r w:rsidRPr="007877D7">
        <w:t>o gauge the overall progress a school is making toward the goals outlined in its charter. In most cases, the authorizer will already possess some quantitative data about that progress – test scores, attendance rates, and other annual outcomes, so a monitoring visit can help explain the context behind that data and explore the school’s fidelity to its approved program.</w:t>
      </w:r>
    </w:p>
    <w:p w14:paraId="185B62AE" w14:textId="77777777" w:rsidR="00C36632" w:rsidRDefault="00C36632" w:rsidP="00C36632"/>
    <w:p w14:paraId="04E576CB" w14:textId="77777777" w:rsidR="00C36632" w:rsidRDefault="00C36632" w:rsidP="00C36632">
      <w:r w:rsidRPr="00631D8E">
        <w:t xml:space="preserve">Site visits </w:t>
      </w:r>
      <w:r>
        <w:t>are</w:t>
      </w:r>
      <w:r w:rsidRPr="00631D8E">
        <w:t xml:space="preserve"> a mechanism for collecting additional evidence regarding a school’s performance against the expectations memorialized in its contract and contribute to the body of data authorizers utilize to ultimately make renewal recommendations. They also provide staff with the opportunity to review and analyze documentation that may be better understood on-site, such as factors impacting attendance, or rates of academic growth across subgroups. Site visits can also provide a basis for authorizer judgment or intervention where there is limited state assessment data yet available</w:t>
      </w:r>
      <w:r>
        <w:t xml:space="preserve">. </w:t>
      </w:r>
    </w:p>
    <w:p w14:paraId="720B0B75" w14:textId="77777777" w:rsidR="00C36632" w:rsidRDefault="00C36632" w:rsidP="00C36632"/>
    <w:p w14:paraId="2CC36CCF" w14:textId="77777777" w:rsidR="00C36632" w:rsidRPr="00763DF8" w:rsidRDefault="00C36632" w:rsidP="00C36632">
      <w:pPr>
        <w:rPr>
          <w:color w:val="FFFFFF" w:themeColor="background1"/>
          <w:sz w:val="24"/>
          <w:szCs w:val="24"/>
        </w:rPr>
      </w:pPr>
      <w:r w:rsidRPr="00763DF8">
        <w:rPr>
          <w:color w:val="FFFFFF" w:themeColor="background1"/>
          <w:sz w:val="24"/>
          <w:szCs w:val="24"/>
          <w:highlight w:val="darkRed"/>
        </w:rPr>
        <w:t>Monitoring Site Visit Process</w:t>
      </w:r>
    </w:p>
    <w:p w14:paraId="60320ADA" w14:textId="77777777" w:rsidR="00C36632" w:rsidRPr="002C6379" w:rsidRDefault="00C36632" w:rsidP="00C36632">
      <w:pPr>
        <w:rPr>
          <w:sz w:val="16"/>
          <w:szCs w:val="16"/>
        </w:rPr>
      </w:pPr>
    </w:p>
    <w:p w14:paraId="7AD73C3C" w14:textId="77777777" w:rsidR="00C36632" w:rsidRDefault="00C36632" w:rsidP="00C36632">
      <w:r>
        <w:t xml:space="preserve">Monitoring Site Visits are based on both the criteria set forth in the school’s performance framework and the school’s alignment with its mission. The categories in the performance framework are student achievement, school climate and family engagement, governance, and finance. </w:t>
      </w:r>
    </w:p>
    <w:p w14:paraId="2E2ED158" w14:textId="77777777" w:rsidR="00C36632" w:rsidRPr="00455ADE" w:rsidRDefault="00C36632" w:rsidP="00C36632">
      <w:pPr>
        <w:rPr>
          <w:sz w:val="18"/>
          <w:szCs w:val="18"/>
        </w:rPr>
      </w:pPr>
    </w:p>
    <w:p w14:paraId="5521E712" w14:textId="77777777" w:rsidR="00C36632" w:rsidRPr="005D7A73" w:rsidRDefault="00C36632" w:rsidP="00C36632">
      <w:r w:rsidRPr="005D7A73">
        <w:t>The following participants conducted the monitoring site visit:</w:t>
      </w:r>
    </w:p>
    <w:p w14:paraId="10AA9008" w14:textId="77777777" w:rsidR="00C36632" w:rsidRPr="005D7A73" w:rsidRDefault="00C36632" w:rsidP="00C36632">
      <w:pPr>
        <w:pStyle w:val="ListParagraph"/>
        <w:numPr>
          <w:ilvl w:val="0"/>
          <w:numId w:val="29"/>
        </w:numPr>
      </w:pPr>
      <w:r>
        <w:t>Bob Kautz, Executive Director</w:t>
      </w:r>
    </w:p>
    <w:p w14:paraId="7A644B5C" w14:textId="77777777" w:rsidR="00C36632" w:rsidRPr="005D7A73" w:rsidRDefault="00C36632" w:rsidP="00C36632">
      <w:pPr>
        <w:pStyle w:val="ListParagraph"/>
        <w:numPr>
          <w:ilvl w:val="0"/>
          <w:numId w:val="29"/>
        </w:numPr>
      </w:pPr>
      <w:r>
        <w:t>Gina Post, Director of Program Management</w:t>
      </w:r>
    </w:p>
    <w:p w14:paraId="74ABFB0F" w14:textId="77777777" w:rsidR="00C36632" w:rsidRPr="005D7A73" w:rsidRDefault="00C36632" w:rsidP="00C36632">
      <w:pPr>
        <w:pStyle w:val="ListParagraph"/>
        <w:numPr>
          <w:ilvl w:val="0"/>
          <w:numId w:val="29"/>
        </w:numPr>
      </w:pPr>
      <w:r>
        <w:lastRenderedPageBreak/>
        <w:t>Leora Byras, MDOE</w:t>
      </w:r>
    </w:p>
    <w:p w14:paraId="04CB6B5C" w14:textId="77777777" w:rsidR="00C36632" w:rsidRDefault="00C36632" w:rsidP="00C36632">
      <w:pPr>
        <w:pStyle w:val="ListParagraph"/>
        <w:numPr>
          <w:ilvl w:val="0"/>
          <w:numId w:val="29"/>
        </w:numPr>
      </w:pPr>
      <w:r>
        <w:t>Joe Drago, Consultant</w:t>
      </w:r>
    </w:p>
    <w:p w14:paraId="0AE2541C" w14:textId="77777777" w:rsidR="00C36632" w:rsidRPr="005D7A73" w:rsidRDefault="00C36632" w:rsidP="00C36632">
      <w:pPr>
        <w:pStyle w:val="ListParagraph"/>
        <w:numPr>
          <w:ilvl w:val="0"/>
          <w:numId w:val="29"/>
        </w:numPr>
      </w:pPr>
      <w:r>
        <w:t>Joe Mattos, Consultant</w:t>
      </w:r>
    </w:p>
    <w:p w14:paraId="27C165AE" w14:textId="77777777" w:rsidR="00C36632" w:rsidRPr="005D7A73" w:rsidRDefault="00C36632" w:rsidP="00C36632"/>
    <w:p w14:paraId="41667DD5" w14:textId="77777777" w:rsidR="00C36632" w:rsidRDefault="00C36632" w:rsidP="00C36632">
      <w:r w:rsidRPr="005D7A73">
        <w:t xml:space="preserve">The monitoring site visit was conducted on </w:t>
      </w:r>
      <w:r>
        <w:t xml:space="preserve">August 19, 2019 at Harpswell Coastal Academy Brunswick Landing campus. </w:t>
      </w:r>
      <w:r w:rsidRPr="005D7A73">
        <w:t xml:space="preserve">Team members used the Site Visit Manual to plan for and conduct the visit. Prior to the site visit, team members reviewed documents and other information related to </w:t>
      </w:r>
      <w:r>
        <w:t xml:space="preserve">the school’s mission and performance framework. </w:t>
      </w:r>
    </w:p>
    <w:p w14:paraId="13F62202" w14:textId="77777777" w:rsidR="00C36632" w:rsidRPr="005D7A73" w:rsidRDefault="00C36632" w:rsidP="00C36632">
      <w:r w:rsidRPr="005D7A73">
        <w:t>Key documents and other information reviewed by the team prior to and at the time of visiting include</w:t>
      </w:r>
      <w:r>
        <w:t>d (as applicable)</w:t>
      </w:r>
      <w:r w:rsidRPr="005D7A73">
        <w:t>:</w:t>
      </w:r>
    </w:p>
    <w:p w14:paraId="64836118" w14:textId="77777777" w:rsidR="00C36632" w:rsidRPr="005D7A73" w:rsidRDefault="00C36632" w:rsidP="00C36632">
      <w:pPr>
        <w:pStyle w:val="ListParagraph"/>
        <w:numPr>
          <w:ilvl w:val="0"/>
          <w:numId w:val="30"/>
        </w:numPr>
      </w:pPr>
      <w:r w:rsidRPr="005D7A73">
        <w:t>School calendar</w:t>
      </w:r>
    </w:p>
    <w:p w14:paraId="1F30C2AB" w14:textId="77777777" w:rsidR="00C36632" w:rsidRPr="005D7A73" w:rsidRDefault="00C36632" w:rsidP="00C36632">
      <w:pPr>
        <w:pStyle w:val="ListParagraph"/>
        <w:numPr>
          <w:ilvl w:val="0"/>
          <w:numId w:val="30"/>
        </w:numPr>
      </w:pPr>
      <w:r w:rsidRPr="005D7A73">
        <w:t>Current enrollment and demographics</w:t>
      </w:r>
    </w:p>
    <w:p w14:paraId="2CA8D1A5" w14:textId="77777777" w:rsidR="00C36632" w:rsidRPr="005D7A73" w:rsidRDefault="00C36632" w:rsidP="00C36632">
      <w:pPr>
        <w:pStyle w:val="ListParagraph"/>
        <w:numPr>
          <w:ilvl w:val="0"/>
          <w:numId w:val="30"/>
        </w:numPr>
      </w:pPr>
      <w:r w:rsidRPr="005D7A73">
        <w:t>Staff roster</w:t>
      </w:r>
    </w:p>
    <w:p w14:paraId="637F7145" w14:textId="77777777" w:rsidR="00C36632" w:rsidRPr="005D7A73" w:rsidRDefault="00C36632" w:rsidP="00C36632">
      <w:pPr>
        <w:pStyle w:val="ListParagraph"/>
        <w:numPr>
          <w:ilvl w:val="0"/>
          <w:numId w:val="30"/>
        </w:numPr>
      </w:pPr>
      <w:r w:rsidRPr="005D7A73">
        <w:t>Current organizational chart</w:t>
      </w:r>
    </w:p>
    <w:p w14:paraId="2B29451A" w14:textId="77777777" w:rsidR="00C36632" w:rsidRPr="005D7A73" w:rsidRDefault="00C36632" w:rsidP="00C36632">
      <w:pPr>
        <w:pStyle w:val="ListParagraph"/>
        <w:numPr>
          <w:ilvl w:val="0"/>
          <w:numId w:val="30"/>
        </w:numPr>
      </w:pPr>
      <w:r w:rsidRPr="005D7A73">
        <w:t>Board meeting minutes</w:t>
      </w:r>
    </w:p>
    <w:p w14:paraId="694CB289" w14:textId="77777777" w:rsidR="00C36632" w:rsidRPr="005D7A73" w:rsidRDefault="00C36632" w:rsidP="00C36632">
      <w:pPr>
        <w:pStyle w:val="ListParagraph"/>
        <w:numPr>
          <w:ilvl w:val="0"/>
          <w:numId w:val="30"/>
        </w:numPr>
      </w:pPr>
      <w:r w:rsidRPr="005D7A73">
        <w:t>Board member meeting attendance</w:t>
      </w:r>
    </w:p>
    <w:p w14:paraId="3E6A2589" w14:textId="77777777" w:rsidR="00C36632" w:rsidRPr="005D7A73" w:rsidRDefault="00C36632" w:rsidP="00C36632">
      <w:pPr>
        <w:pStyle w:val="ListParagraph"/>
        <w:numPr>
          <w:ilvl w:val="0"/>
          <w:numId w:val="30"/>
        </w:numPr>
      </w:pPr>
      <w:r w:rsidRPr="005D7A73">
        <w:t>School’s strategic plan</w:t>
      </w:r>
      <w:r>
        <w:t xml:space="preserve"> </w:t>
      </w:r>
    </w:p>
    <w:p w14:paraId="092EC49A" w14:textId="77777777" w:rsidR="00C36632" w:rsidRPr="005D7A73" w:rsidRDefault="00C36632" w:rsidP="00C36632">
      <w:pPr>
        <w:pStyle w:val="ListParagraph"/>
        <w:numPr>
          <w:ilvl w:val="0"/>
          <w:numId w:val="30"/>
        </w:numPr>
      </w:pPr>
      <w:r w:rsidRPr="005D7A73">
        <w:t>Current Education Service Provider contract</w:t>
      </w:r>
    </w:p>
    <w:p w14:paraId="6238F487" w14:textId="77777777" w:rsidR="00C36632" w:rsidRPr="005D7A73" w:rsidRDefault="00C36632" w:rsidP="00C36632">
      <w:pPr>
        <w:pStyle w:val="ListParagraph"/>
        <w:numPr>
          <w:ilvl w:val="0"/>
          <w:numId w:val="30"/>
        </w:numPr>
      </w:pPr>
      <w:r w:rsidRPr="005D7A73">
        <w:t>Professional Development calendar and agendas</w:t>
      </w:r>
    </w:p>
    <w:p w14:paraId="3E09BBCE" w14:textId="77777777" w:rsidR="00C36632" w:rsidRPr="005D7A73" w:rsidRDefault="00C36632" w:rsidP="00C36632">
      <w:pPr>
        <w:pStyle w:val="ListParagraph"/>
        <w:numPr>
          <w:ilvl w:val="0"/>
          <w:numId w:val="30"/>
        </w:numPr>
      </w:pPr>
      <w:r w:rsidRPr="005D7A73">
        <w:t>Staff evaluation tool</w:t>
      </w:r>
    </w:p>
    <w:p w14:paraId="1676A2BC" w14:textId="77777777" w:rsidR="00C36632" w:rsidRPr="005D7A73" w:rsidRDefault="00C36632" w:rsidP="00C36632">
      <w:pPr>
        <w:pStyle w:val="ListParagraph"/>
        <w:numPr>
          <w:ilvl w:val="0"/>
          <w:numId w:val="30"/>
        </w:numPr>
      </w:pPr>
      <w:r w:rsidRPr="005D7A73">
        <w:t>Administrator evaluation tool used by governing board</w:t>
      </w:r>
    </w:p>
    <w:p w14:paraId="604DB20E" w14:textId="77777777" w:rsidR="00C36632" w:rsidRPr="005D7A73" w:rsidRDefault="00C36632" w:rsidP="00C36632">
      <w:pPr>
        <w:pStyle w:val="ListParagraph"/>
        <w:numPr>
          <w:ilvl w:val="0"/>
          <w:numId w:val="30"/>
        </w:numPr>
      </w:pPr>
      <w:r w:rsidRPr="005D7A73">
        <w:t>Panorama school climate survey results</w:t>
      </w:r>
    </w:p>
    <w:p w14:paraId="1FB49FED" w14:textId="77777777" w:rsidR="00C36632" w:rsidRPr="005D7A73" w:rsidRDefault="00C36632" w:rsidP="00C36632">
      <w:pPr>
        <w:pStyle w:val="ListParagraph"/>
        <w:numPr>
          <w:ilvl w:val="0"/>
          <w:numId w:val="30"/>
        </w:numPr>
      </w:pPr>
      <w:r w:rsidRPr="005D7A73">
        <w:t>School’s self-assessment</w:t>
      </w:r>
    </w:p>
    <w:p w14:paraId="6F67FC98" w14:textId="77777777" w:rsidR="00C36632" w:rsidRPr="005D7A73" w:rsidRDefault="00C36632" w:rsidP="00C36632">
      <w:pPr>
        <w:pStyle w:val="ListParagraph"/>
        <w:numPr>
          <w:ilvl w:val="0"/>
          <w:numId w:val="30"/>
        </w:numPr>
      </w:pPr>
      <w:r w:rsidRPr="005D7A73">
        <w:t>Previous year’s monitoring report</w:t>
      </w:r>
    </w:p>
    <w:p w14:paraId="03524796" w14:textId="77777777" w:rsidR="00C36632" w:rsidRPr="005D7A73" w:rsidRDefault="00C36632" w:rsidP="00C36632">
      <w:pPr>
        <w:pStyle w:val="ListParagraph"/>
        <w:numPr>
          <w:ilvl w:val="0"/>
          <w:numId w:val="30"/>
        </w:numPr>
      </w:pPr>
      <w:r w:rsidRPr="005D7A73">
        <w:t>School’s performance framework</w:t>
      </w:r>
    </w:p>
    <w:p w14:paraId="0690FC6B" w14:textId="77777777" w:rsidR="00C36632" w:rsidRPr="005D7A73" w:rsidRDefault="00C36632" w:rsidP="00C36632">
      <w:pPr>
        <w:pStyle w:val="ListParagraph"/>
        <w:numPr>
          <w:ilvl w:val="0"/>
          <w:numId w:val="30"/>
        </w:numPr>
      </w:pPr>
      <w:r w:rsidRPr="005D7A73">
        <w:t>Copies of current recruitment materials</w:t>
      </w:r>
    </w:p>
    <w:p w14:paraId="03304DD3" w14:textId="77777777" w:rsidR="00C36632" w:rsidRPr="005D7A73" w:rsidRDefault="00C36632" w:rsidP="00C36632">
      <w:pPr>
        <w:pStyle w:val="ListParagraph"/>
        <w:numPr>
          <w:ilvl w:val="0"/>
          <w:numId w:val="30"/>
        </w:numPr>
      </w:pPr>
      <w:r w:rsidRPr="005D7A73">
        <w:t>Student enrollment application</w:t>
      </w:r>
    </w:p>
    <w:p w14:paraId="6F263D8E" w14:textId="77777777" w:rsidR="00C36632" w:rsidRPr="00D17A92" w:rsidRDefault="00C36632" w:rsidP="00C36632">
      <w:pPr>
        <w:pStyle w:val="ListParagraph"/>
        <w:ind w:left="1080"/>
      </w:pPr>
    </w:p>
    <w:p w14:paraId="29145E17" w14:textId="77777777" w:rsidR="00C36632" w:rsidRDefault="00C36632" w:rsidP="00C36632">
      <w:r>
        <w:t xml:space="preserve">Focus group interviews were held with groups at the school. Groups were asked a standard set of questions as well as school specific questions created for this visit. </w:t>
      </w:r>
    </w:p>
    <w:p w14:paraId="0D6A526E" w14:textId="77777777" w:rsidR="00C36632" w:rsidRPr="0047524C" w:rsidRDefault="00C36632" w:rsidP="00C36632">
      <w:pPr>
        <w:ind w:left="360"/>
      </w:pPr>
      <w:r w:rsidRPr="0047524C">
        <w:t>Focus group interviews held by the team:</w:t>
      </w:r>
    </w:p>
    <w:p w14:paraId="42E8F0AC" w14:textId="77777777" w:rsidR="00C36632" w:rsidRDefault="00C36632" w:rsidP="00C36632">
      <w:pPr>
        <w:pStyle w:val="ListParagraph"/>
        <w:numPr>
          <w:ilvl w:val="0"/>
          <w:numId w:val="31"/>
        </w:numPr>
        <w:ind w:left="1080"/>
      </w:pPr>
      <w:r w:rsidRPr="00DB337D">
        <w:t xml:space="preserve">Governing </w:t>
      </w:r>
      <w:r>
        <w:t>Board</w:t>
      </w:r>
    </w:p>
    <w:p w14:paraId="7D65BE7D" w14:textId="77777777" w:rsidR="00C36632" w:rsidRDefault="00C36632" w:rsidP="00C36632">
      <w:pPr>
        <w:pStyle w:val="ListParagraph"/>
        <w:numPr>
          <w:ilvl w:val="1"/>
          <w:numId w:val="31"/>
        </w:numPr>
      </w:pPr>
      <w:r>
        <w:t>Cynthia Shelmerdine, Chair</w:t>
      </w:r>
    </w:p>
    <w:p w14:paraId="4349B09B" w14:textId="77777777" w:rsidR="00C36632" w:rsidRDefault="00C36632" w:rsidP="00C36632">
      <w:pPr>
        <w:pStyle w:val="ListParagraph"/>
        <w:numPr>
          <w:ilvl w:val="1"/>
          <w:numId w:val="31"/>
        </w:numPr>
      </w:pPr>
      <w:r>
        <w:t>Ed Harris, Vice Chair</w:t>
      </w:r>
    </w:p>
    <w:p w14:paraId="7D08F310" w14:textId="77777777" w:rsidR="00C36632" w:rsidRDefault="00C36632" w:rsidP="00C36632">
      <w:pPr>
        <w:pStyle w:val="ListParagraph"/>
        <w:numPr>
          <w:ilvl w:val="1"/>
          <w:numId w:val="31"/>
        </w:numPr>
      </w:pPr>
      <w:r>
        <w:t>David Jean, Treasurer</w:t>
      </w:r>
    </w:p>
    <w:p w14:paraId="5B6194F6" w14:textId="77777777" w:rsidR="00C36632" w:rsidRDefault="00C36632" w:rsidP="00C36632">
      <w:pPr>
        <w:pStyle w:val="ListParagraph"/>
        <w:numPr>
          <w:ilvl w:val="1"/>
          <w:numId w:val="31"/>
        </w:numPr>
      </w:pPr>
      <w:r>
        <w:t xml:space="preserve">Sally </w:t>
      </w:r>
      <w:proofErr w:type="spellStart"/>
      <w:r>
        <w:t>MacKenzie</w:t>
      </w:r>
      <w:proofErr w:type="spellEnd"/>
      <w:r>
        <w:t>, Secretary</w:t>
      </w:r>
    </w:p>
    <w:p w14:paraId="499C8DCA" w14:textId="77777777" w:rsidR="00C36632" w:rsidRDefault="00C36632" w:rsidP="00C36632">
      <w:pPr>
        <w:pStyle w:val="ListParagraph"/>
        <w:numPr>
          <w:ilvl w:val="1"/>
          <w:numId w:val="31"/>
        </w:numPr>
      </w:pPr>
      <w:r>
        <w:t>Sue Priest</w:t>
      </w:r>
    </w:p>
    <w:p w14:paraId="15F851DB" w14:textId="77777777" w:rsidR="00C36632" w:rsidRDefault="00C36632" w:rsidP="00C36632">
      <w:pPr>
        <w:pStyle w:val="ListParagraph"/>
        <w:numPr>
          <w:ilvl w:val="1"/>
          <w:numId w:val="31"/>
        </w:numPr>
      </w:pPr>
      <w:r>
        <w:t>Peggy Muir</w:t>
      </w:r>
    </w:p>
    <w:p w14:paraId="7268FF5E" w14:textId="77777777" w:rsidR="00C36632" w:rsidRDefault="00C36632" w:rsidP="00C36632">
      <w:pPr>
        <w:pStyle w:val="ListParagraph"/>
        <w:numPr>
          <w:ilvl w:val="1"/>
          <w:numId w:val="31"/>
        </w:numPr>
      </w:pPr>
      <w:r>
        <w:t>Nancy Anderson</w:t>
      </w:r>
    </w:p>
    <w:p w14:paraId="4119BDEC" w14:textId="77777777" w:rsidR="00C36632" w:rsidRDefault="00C36632" w:rsidP="00C36632">
      <w:pPr>
        <w:pStyle w:val="ListParagraph"/>
        <w:numPr>
          <w:ilvl w:val="1"/>
          <w:numId w:val="31"/>
        </w:numPr>
      </w:pPr>
      <w:r>
        <w:t>Barbara Merson</w:t>
      </w:r>
    </w:p>
    <w:p w14:paraId="1397DB7B" w14:textId="77777777" w:rsidR="00C36632" w:rsidRDefault="00C36632" w:rsidP="00C36632">
      <w:pPr>
        <w:pStyle w:val="ListParagraph"/>
        <w:numPr>
          <w:ilvl w:val="0"/>
          <w:numId w:val="31"/>
        </w:numPr>
        <w:ind w:left="1080"/>
      </w:pPr>
      <w:r>
        <w:t>Executive Director</w:t>
      </w:r>
    </w:p>
    <w:p w14:paraId="43CBC1DE" w14:textId="77777777" w:rsidR="00C36632" w:rsidRDefault="00C36632" w:rsidP="00C36632">
      <w:pPr>
        <w:pStyle w:val="ListParagraph"/>
        <w:numPr>
          <w:ilvl w:val="1"/>
          <w:numId w:val="31"/>
        </w:numPr>
      </w:pPr>
      <w:r>
        <w:t xml:space="preserve">Scott Barksdale, Head of School </w:t>
      </w:r>
    </w:p>
    <w:p w14:paraId="7AD946B9" w14:textId="77777777" w:rsidR="00C36632" w:rsidRDefault="00C36632" w:rsidP="00C36632">
      <w:pPr>
        <w:pStyle w:val="ListParagraph"/>
        <w:numPr>
          <w:ilvl w:val="0"/>
          <w:numId w:val="31"/>
        </w:numPr>
        <w:ind w:left="1080"/>
      </w:pPr>
      <w:r>
        <w:t>Leadership Team</w:t>
      </w:r>
    </w:p>
    <w:p w14:paraId="7C7B28AE" w14:textId="77777777" w:rsidR="00C36632" w:rsidRDefault="00C36632" w:rsidP="00C36632">
      <w:pPr>
        <w:pStyle w:val="ListParagraph"/>
        <w:numPr>
          <w:ilvl w:val="1"/>
          <w:numId w:val="31"/>
        </w:numPr>
      </w:pPr>
      <w:r>
        <w:t>Andrew Smaha, Director of Finance</w:t>
      </w:r>
    </w:p>
    <w:p w14:paraId="1BD4969F" w14:textId="77777777" w:rsidR="00C36632" w:rsidRPr="00DB337D" w:rsidRDefault="00C36632" w:rsidP="00C36632">
      <w:pPr>
        <w:pStyle w:val="ListParagraph"/>
        <w:numPr>
          <w:ilvl w:val="1"/>
          <w:numId w:val="31"/>
        </w:numPr>
      </w:pPr>
      <w:r>
        <w:t>Deryl Holt, Special Education Director</w:t>
      </w:r>
    </w:p>
    <w:p w14:paraId="45A30B88" w14:textId="77777777" w:rsidR="00C36632" w:rsidRDefault="00C36632" w:rsidP="00C36632"/>
    <w:p w14:paraId="1AFE3BF9" w14:textId="77777777" w:rsidR="00C36632" w:rsidRDefault="00C36632" w:rsidP="00C36632"/>
    <w:p w14:paraId="264F7196" w14:textId="77777777" w:rsidR="00C36632" w:rsidRPr="00763DF8" w:rsidRDefault="00C36632" w:rsidP="00C36632">
      <w:pPr>
        <w:rPr>
          <w:color w:val="FFFFFF" w:themeColor="background1"/>
          <w:sz w:val="24"/>
          <w:szCs w:val="24"/>
        </w:rPr>
      </w:pPr>
      <w:r w:rsidRPr="00763DF8">
        <w:rPr>
          <w:color w:val="FFFFFF" w:themeColor="background1"/>
          <w:sz w:val="24"/>
          <w:szCs w:val="24"/>
          <w:highlight w:val="darkRed"/>
        </w:rPr>
        <w:lastRenderedPageBreak/>
        <w:t>Monitoring Site Visit Findings</w:t>
      </w:r>
    </w:p>
    <w:p w14:paraId="50C54ED3" w14:textId="77777777" w:rsidR="00C36632" w:rsidRPr="00FD4A39" w:rsidRDefault="00C36632" w:rsidP="00C36632">
      <w:pPr>
        <w:rPr>
          <w:sz w:val="16"/>
          <w:szCs w:val="16"/>
        </w:rPr>
      </w:pPr>
    </w:p>
    <w:p w14:paraId="3C6DCB7F" w14:textId="77777777" w:rsidR="00C36632" w:rsidRPr="008C1D0F" w:rsidRDefault="00C36632" w:rsidP="00C36632">
      <w:pPr>
        <w:pStyle w:val="ListParagraph"/>
        <w:numPr>
          <w:ilvl w:val="0"/>
          <w:numId w:val="32"/>
        </w:numPr>
        <w:rPr>
          <w:b/>
        </w:rPr>
      </w:pPr>
      <w:r w:rsidRPr="008C1D0F">
        <w:rPr>
          <w:b/>
        </w:rPr>
        <w:t xml:space="preserve">Mission Alignment </w:t>
      </w:r>
    </w:p>
    <w:p w14:paraId="5B248E9E" w14:textId="77777777" w:rsidR="00C36632" w:rsidRDefault="00C36632" w:rsidP="00C36632">
      <w:pPr>
        <w:pStyle w:val="ListParagraph"/>
        <w:numPr>
          <w:ilvl w:val="0"/>
          <w:numId w:val="34"/>
        </w:numPr>
      </w:pPr>
      <w:r>
        <w:t xml:space="preserve">There was not a consensus of understanding about HCA’s mission (purpose) and vision (how to achieve mission). HCA board members and school leaders were clear on how HCA was trying to achieve its vision via hands-on, project-based and place-based learning activities. However, neither group mentioned HCA’s mission’s outcomes as to “educate and develop critical thinkers, leaders, and lifelong learners.” </w:t>
      </w:r>
    </w:p>
    <w:p w14:paraId="2480282E" w14:textId="77777777" w:rsidR="00C36632" w:rsidRDefault="00C36632" w:rsidP="00C36632">
      <w:pPr>
        <w:pStyle w:val="ListParagraph"/>
        <w:numPr>
          <w:ilvl w:val="0"/>
          <w:numId w:val="34"/>
        </w:numPr>
      </w:pPr>
      <w:r>
        <w:t>HCA Leadership and Board members believe the HCA mission needs to be clarified in order to meet specific expectations for students’ learning, as well as being able to fund future student learning opportunities with adequate resources and facilities.  It was stated that HCA can’t be “everything to everyone.” It was also acknowledged that HCA was initially started as an inquiry-based school and now “it’s time to go back and revisit it.”</w:t>
      </w:r>
    </w:p>
    <w:p w14:paraId="63922BF3" w14:textId="77777777" w:rsidR="00C36632" w:rsidRDefault="00C36632" w:rsidP="00C36632">
      <w:pPr>
        <w:pStyle w:val="ListParagraph"/>
        <w:numPr>
          <w:ilvl w:val="0"/>
          <w:numId w:val="34"/>
        </w:numPr>
      </w:pPr>
      <w:r>
        <w:t>As part of HCA’s Board and School Leadership retreat and strategic planning, HCA’s mission and vision will be discussed and clarified.</w:t>
      </w:r>
    </w:p>
    <w:p w14:paraId="79ACEECD" w14:textId="77777777" w:rsidR="00C36632" w:rsidRPr="00044969" w:rsidRDefault="00C36632" w:rsidP="00C36632">
      <w:pPr>
        <w:pStyle w:val="ListParagraph"/>
        <w:ind w:left="1440"/>
      </w:pPr>
    </w:p>
    <w:p w14:paraId="7A523364" w14:textId="77777777" w:rsidR="00C36632" w:rsidRPr="00044969" w:rsidRDefault="00C36632" w:rsidP="00C36632">
      <w:pPr>
        <w:pStyle w:val="ListParagraph"/>
        <w:numPr>
          <w:ilvl w:val="0"/>
          <w:numId w:val="32"/>
        </w:numPr>
        <w:rPr>
          <w:b/>
        </w:rPr>
      </w:pPr>
      <w:r w:rsidRPr="00044969">
        <w:rPr>
          <w:b/>
        </w:rPr>
        <w:t>Student Achievement</w:t>
      </w:r>
    </w:p>
    <w:p w14:paraId="3E8A8C86" w14:textId="77777777" w:rsidR="00C36632" w:rsidRDefault="00C36632" w:rsidP="00C36632">
      <w:pPr>
        <w:pStyle w:val="ListParagraph"/>
        <w:numPr>
          <w:ilvl w:val="1"/>
          <w:numId w:val="32"/>
        </w:numPr>
      </w:pPr>
      <w:r>
        <w:t>An interdisciplinary, investigation-based curriculum is designed to meet HCA’s mission and vision. However, there was a lack of student performance information in respect to student’s growth in the areas of critical thinking, leadership, and students as lifelong learners, which are stated in HCA’s mission.  Also, there was little information regarding student performance of Habits of Work and Learning (HOWLs).</w:t>
      </w:r>
    </w:p>
    <w:p w14:paraId="643DBAA2" w14:textId="77777777" w:rsidR="00C36632" w:rsidRDefault="00C36632" w:rsidP="00C36632">
      <w:pPr>
        <w:pStyle w:val="ListParagraph"/>
        <w:numPr>
          <w:ilvl w:val="1"/>
          <w:numId w:val="32"/>
        </w:numPr>
      </w:pPr>
      <w:r>
        <w:t>Comparisons of student performance versus state performance on state assessments (MEA) show that HCA students are performing below standards in ELA and Math in grades 6-8. However, the gap between HCA’s performance and State expectations is decreasing.</w:t>
      </w:r>
    </w:p>
    <w:p w14:paraId="2F2DBD68" w14:textId="77777777" w:rsidR="00C36632" w:rsidRDefault="00C36632" w:rsidP="00C36632">
      <w:pPr>
        <w:pStyle w:val="ListParagraph"/>
        <w:numPr>
          <w:ilvl w:val="1"/>
          <w:numId w:val="32"/>
        </w:numPr>
      </w:pPr>
      <w:r>
        <w:t>Comparisons of student performance versus state performance on state assessments (MEA) shows HCA students exceeded the state average in ELA and Science on 2018 SAT and 11</w:t>
      </w:r>
      <w:r w:rsidRPr="007046A1">
        <w:rPr>
          <w:vertAlign w:val="superscript"/>
        </w:rPr>
        <w:t>th</w:t>
      </w:r>
      <w:r>
        <w:t xml:space="preserve"> grade MEA Science. HCA student performance on SAT Math was lower than the state average</w:t>
      </w:r>
      <w:r w:rsidRPr="00C12745">
        <w:t xml:space="preserve"> </w:t>
      </w:r>
      <w:r>
        <w:t xml:space="preserve">for grade 11 students, with only 16% of students at or above proficiency. </w:t>
      </w:r>
    </w:p>
    <w:p w14:paraId="08C80F7C" w14:textId="77777777" w:rsidR="00C36632" w:rsidRDefault="00C36632" w:rsidP="00C36632">
      <w:pPr>
        <w:pStyle w:val="ListParagraph"/>
        <w:numPr>
          <w:ilvl w:val="1"/>
          <w:numId w:val="32"/>
        </w:numPr>
      </w:pPr>
      <w:r>
        <w:t>Proficiency measures in 18/19 NWEA results show that although gains are being made in reading and math, students in grades 6 through 10 are not meeting projected growth standards. Proficiency standards were met in grade 11 for ELA and met in grades 10 and 11 for math.</w:t>
      </w:r>
    </w:p>
    <w:p w14:paraId="7E06AD35" w14:textId="77777777" w:rsidR="00C36632" w:rsidRDefault="00C36632" w:rsidP="00C36632">
      <w:pPr>
        <w:pStyle w:val="ListParagraph"/>
        <w:numPr>
          <w:ilvl w:val="1"/>
          <w:numId w:val="32"/>
        </w:numPr>
      </w:pPr>
      <w:r>
        <w:t>Chronic Absenteeism is above the 10% state standard: 28% at Division 1 (grades 6-8) and 34% at Division 2/3 (grades 9-12).</w:t>
      </w:r>
    </w:p>
    <w:p w14:paraId="612FCE0D" w14:textId="77777777" w:rsidR="00C36632" w:rsidRDefault="00C36632" w:rsidP="00C36632">
      <w:pPr>
        <w:pStyle w:val="ListParagraph"/>
        <w:ind w:left="1440"/>
      </w:pPr>
    </w:p>
    <w:p w14:paraId="0200B60C" w14:textId="77777777" w:rsidR="00C36632" w:rsidRPr="00196586" w:rsidRDefault="00C36632" w:rsidP="00C36632">
      <w:pPr>
        <w:pStyle w:val="ListParagraph"/>
        <w:numPr>
          <w:ilvl w:val="0"/>
          <w:numId w:val="32"/>
        </w:numPr>
        <w:rPr>
          <w:b/>
        </w:rPr>
      </w:pPr>
      <w:r w:rsidRPr="00196586">
        <w:rPr>
          <w:b/>
        </w:rPr>
        <w:t>School Climate and Family Engagement</w:t>
      </w:r>
    </w:p>
    <w:p w14:paraId="70549E5B" w14:textId="77777777" w:rsidR="00C36632" w:rsidRDefault="00C36632" w:rsidP="00C36632">
      <w:pPr>
        <w:pStyle w:val="ListParagraph"/>
        <w:numPr>
          <w:ilvl w:val="0"/>
          <w:numId w:val="35"/>
        </w:numPr>
      </w:pPr>
      <w:r>
        <w:t>This cycle of site visits did not include meeting with focus groups of students or parents. However, the Panorama Survey conducted at the end of the 18/19 school year did provide staff, teacher, parent, and student perceptions on School Climate and Family Engagement/Relationships. These perceptions included:</w:t>
      </w:r>
    </w:p>
    <w:p w14:paraId="794C0B82" w14:textId="77777777" w:rsidR="00C36632" w:rsidRDefault="00C36632" w:rsidP="00C36632">
      <w:pPr>
        <w:pStyle w:val="ListParagraph"/>
        <w:numPr>
          <w:ilvl w:val="1"/>
          <w:numId w:val="35"/>
        </w:numPr>
      </w:pPr>
      <w:r>
        <w:t>Parent Survey - High favorable responses for School Learning Climate (76%) and School Safety (79%).</w:t>
      </w:r>
    </w:p>
    <w:p w14:paraId="75627422" w14:textId="77777777" w:rsidR="00C36632" w:rsidRDefault="00C36632" w:rsidP="00C36632">
      <w:pPr>
        <w:pStyle w:val="ListParagraph"/>
        <w:numPr>
          <w:ilvl w:val="1"/>
          <w:numId w:val="35"/>
        </w:numPr>
      </w:pPr>
      <w:r>
        <w:t>Staff Survey – School Climate - 57% (30% decrease), Staff-Family Relationships (41%).</w:t>
      </w:r>
    </w:p>
    <w:p w14:paraId="5D0E2A92" w14:textId="77777777" w:rsidR="00C36632" w:rsidRDefault="00C36632" w:rsidP="00C36632">
      <w:pPr>
        <w:pStyle w:val="ListParagraph"/>
        <w:numPr>
          <w:ilvl w:val="1"/>
          <w:numId w:val="35"/>
        </w:numPr>
      </w:pPr>
      <w:r>
        <w:lastRenderedPageBreak/>
        <w:t>Teacher Survey – School Climate – 56% climate (20% decrease) and Staff and Family Relationships (33%)</w:t>
      </w:r>
    </w:p>
    <w:p w14:paraId="03840460" w14:textId="77777777" w:rsidR="00C36632" w:rsidRDefault="00C36632" w:rsidP="00C36632">
      <w:pPr>
        <w:pStyle w:val="ListParagraph"/>
        <w:numPr>
          <w:ilvl w:val="1"/>
          <w:numId w:val="35"/>
        </w:numPr>
      </w:pPr>
      <w:r>
        <w:t>Student Survey – School Climate 45% and School Safety at 63%</w:t>
      </w:r>
    </w:p>
    <w:p w14:paraId="48934859" w14:textId="61A979D7" w:rsidR="00C36632" w:rsidRDefault="00C36632" w:rsidP="00C36632">
      <w:pPr>
        <w:pStyle w:val="ListParagraph"/>
        <w:numPr>
          <w:ilvl w:val="0"/>
          <w:numId w:val="35"/>
        </w:numPr>
      </w:pPr>
      <w:r>
        <w:t>The area of Student Engagement was discussed as area of concern. Student Survey - 30%. Teacher Survey - Student Grit 7% (22% decrease).</w:t>
      </w:r>
    </w:p>
    <w:p w14:paraId="554B4A29" w14:textId="77777777" w:rsidR="00C36632" w:rsidRDefault="00C36632" w:rsidP="00C36632">
      <w:pPr>
        <w:pStyle w:val="ListParagraph"/>
        <w:ind w:left="1440"/>
      </w:pPr>
    </w:p>
    <w:p w14:paraId="4468D9D7" w14:textId="77777777" w:rsidR="00C36632" w:rsidRPr="008C1D0F" w:rsidRDefault="00C36632" w:rsidP="00C36632">
      <w:pPr>
        <w:pStyle w:val="ListParagraph"/>
        <w:numPr>
          <w:ilvl w:val="0"/>
          <w:numId w:val="32"/>
        </w:numPr>
        <w:rPr>
          <w:b/>
        </w:rPr>
      </w:pPr>
      <w:r w:rsidRPr="008C1D0F">
        <w:rPr>
          <w:b/>
        </w:rPr>
        <w:t xml:space="preserve">Governance </w:t>
      </w:r>
    </w:p>
    <w:p w14:paraId="0579E9DF" w14:textId="77777777" w:rsidR="00C36632" w:rsidRDefault="00C36632" w:rsidP="00C36632">
      <w:pPr>
        <w:pStyle w:val="ListParagraph"/>
        <w:numPr>
          <w:ilvl w:val="0"/>
          <w:numId w:val="33"/>
        </w:numPr>
      </w:pPr>
      <w:r>
        <w:t xml:space="preserve">The HCA Board of Directors is comprised of nine individuals, which has had very little board member turnover over the past years. The majority of board members have backgrounds as educators and see the need for a more balanced board with new board members having legal and business experience. </w:t>
      </w:r>
    </w:p>
    <w:p w14:paraId="310DBE8B" w14:textId="77777777" w:rsidR="00C36632" w:rsidRDefault="00C36632" w:rsidP="00C36632">
      <w:pPr>
        <w:pStyle w:val="ListParagraph"/>
        <w:numPr>
          <w:ilvl w:val="0"/>
          <w:numId w:val="33"/>
        </w:numPr>
      </w:pPr>
      <w:r>
        <w:t>The Board has a firm understanding of the pressures on school leadership (“leadership burnout”) and is committed to providing the Head of School with on-going support and resources to effectively perform his leadership responsibilities at HCA. It has approved the position of an Administrative Assistant in order to provide administrative support for the Head of School, and has established stipends in the budget for new teacher leadership positions.</w:t>
      </w:r>
    </w:p>
    <w:p w14:paraId="7753AC9D" w14:textId="77777777" w:rsidR="00C36632" w:rsidRDefault="00C36632" w:rsidP="00C36632">
      <w:pPr>
        <w:pStyle w:val="ListParagraph"/>
        <w:numPr>
          <w:ilvl w:val="0"/>
          <w:numId w:val="33"/>
        </w:numPr>
      </w:pPr>
      <w:r>
        <w:t xml:space="preserve">The Board believes it functions in an effective manner, regularly communicating with each other on HCA issues, while setting and evaluating its annual goals in a timely manner throughout the school year. </w:t>
      </w:r>
    </w:p>
    <w:p w14:paraId="6012063C" w14:textId="77777777" w:rsidR="00C36632" w:rsidRDefault="00C36632" w:rsidP="00C36632"/>
    <w:p w14:paraId="2E8607BC" w14:textId="77777777" w:rsidR="00C36632" w:rsidRPr="008C1D0F" w:rsidRDefault="00C36632" w:rsidP="00C36632">
      <w:pPr>
        <w:pStyle w:val="ListParagraph"/>
        <w:numPr>
          <w:ilvl w:val="0"/>
          <w:numId w:val="32"/>
        </w:numPr>
        <w:rPr>
          <w:b/>
        </w:rPr>
      </w:pPr>
      <w:r w:rsidRPr="008C1D0F">
        <w:rPr>
          <w:b/>
        </w:rPr>
        <w:t>School Leadership</w:t>
      </w:r>
    </w:p>
    <w:p w14:paraId="66E38C43" w14:textId="77777777" w:rsidR="00C36632" w:rsidRDefault="00C36632" w:rsidP="00C36632">
      <w:pPr>
        <w:pStyle w:val="ListParagraph"/>
        <w:numPr>
          <w:ilvl w:val="0"/>
          <w:numId w:val="33"/>
        </w:numPr>
      </w:pPr>
      <w:r>
        <w:t xml:space="preserve">Due to several leadership resignations, there will be significant changes in leadership roles and responsibilities at HCA in the 19/20 school year. A new Head of School position has been established. The 18/19 principal of HCA’s Division 1 will ascend to this position. The new Head of School’s responsibilities will incorporate the previous performance responsibilities of the Executive Director, Principal of Division 1, Principal of Division 2/3, as well as Director of Teaching and Learning. The new Head of School will be closely monitoring his ability and capacity to perform all of the performance responsibilities of these previous leadership positions. </w:t>
      </w:r>
    </w:p>
    <w:p w14:paraId="4288E5CB" w14:textId="77777777" w:rsidR="00C36632" w:rsidRDefault="00C36632" w:rsidP="00C36632">
      <w:pPr>
        <w:pStyle w:val="ListParagraph"/>
        <w:numPr>
          <w:ilvl w:val="0"/>
          <w:numId w:val="33"/>
        </w:numPr>
      </w:pPr>
      <w:r>
        <w:t>The new Head of School is aware of the multiple challenges that HCA must address in 19/20, which include promoting a school climate with higher expectations for students’ behavior and academic performance, clarifying and tracking important measures for student academic performance, and promoting open and collaborative communications with all stakeholder groups in defining HCA’s mission.</w:t>
      </w:r>
    </w:p>
    <w:p w14:paraId="18E47577" w14:textId="77777777" w:rsidR="00C36632" w:rsidRDefault="00C36632" w:rsidP="00C36632">
      <w:pPr>
        <w:pStyle w:val="ListParagraph"/>
        <w:numPr>
          <w:ilvl w:val="0"/>
          <w:numId w:val="33"/>
        </w:numPr>
      </w:pPr>
      <w:r>
        <w:t xml:space="preserve">The HCA Leadership Team is comprised of the Head of School, Director of Finance and the Special Education Director. An Administrative Assistant has been hired to provide administrative support for the Head of School. </w:t>
      </w:r>
    </w:p>
    <w:p w14:paraId="0F7B0C1B" w14:textId="77777777" w:rsidR="00C36632" w:rsidRDefault="00C36632" w:rsidP="00C36632">
      <w:pPr>
        <w:pStyle w:val="ListParagraph"/>
        <w:numPr>
          <w:ilvl w:val="0"/>
          <w:numId w:val="33"/>
        </w:numPr>
      </w:pPr>
      <w:r>
        <w:t>Teacher leadership positions have been created to address both school and student needs at HCA e.g.  a Team Leader at each campus, a Student Support Team Leader at each campus, a Certification Coordinator, and a Technology Coordinator.</w:t>
      </w:r>
    </w:p>
    <w:p w14:paraId="7E8C3249" w14:textId="77777777" w:rsidR="00C36632" w:rsidRDefault="00C36632" w:rsidP="00C36632">
      <w:pPr>
        <w:pStyle w:val="ListParagraph"/>
        <w:ind w:left="1440"/>
      </w:pPr>
    </w:p>
    <w:p w14:paraId="6372097D" w14:textId="77777777" w:rsidR="00C36632" w:rsidRPr="008C1D0F" w:rsidRDefault="00C36632" w:rsidP="00C36632">
      <w:pPr>
        <w:pStyle w:val="ListParagraph"/>
        <w:numPr>
          <w:ilvl w:val="0"/>
          <w:numId w:val="32"/>
        </w:numPr>
        <w:rPr>
          <w:b/>
        </w:rPr>
      </w:pPr>
      <w:r w:rsidRPr="008C1D0F">
        <w:rPr>
          <w:b/>
        </w:rPr>
        <w:t xml:space="preserve">Finance </w:t>
      </w:r>
    </w:p>
    <w:p w14:paraId="28E2DAB3" w14:textId="77777777" w:rsidR="00C36632" w:rsidRDefault="00C36632" w:rsidP="00C36632">
      <w:pPr>
        <w:pStyle w:val="ListParagraph"/>
        <w:numPr>
          <w:ilvl w:val="0"/>
          <w:numId w:val="33"/>
        </w:numPr>
      </w:pPr>
      <w:r>
        <w:t>The functioning of the active Board/Finance Committee will be improved with reporting that is comparative and provides key analysis in an accessible format.</w:t>
      </w:r>
    </w:p>
    <w:p w14:paraId="21ECDA26" w14:textId="77777777" w:rsidR="00C36632" w:rsidRPr="00B02316" w:rsidRDefault="00C36632" w:rsidP="00C36632">
      <w:pPr>
        <w:pStyle w:val="ListParagraph"/>
        <w:numPr>
          <w:ilvl w:val="0"/>
          <w:numId w:val="33"/>
        </w:numPr>
      </w:pPr>
      <w:r>
        <w:lastRenderedPageBreak/>
        <w:t>This year’s strategic planning initiative creates an occasion for long-term integrated planning and the assessment of whether resource allocation is aligned with the educational mission.</w:t>
      </w:r>
      <w:r w:rsidRPr="00713F97">
        <w:t xml:space="preserve"> </w:t>
      </w:r>
      <w:r>
        <w:t xml:space="preserve">It may also help define the basis for larger philanthropic support. </w:t>
      </w:r>
    </w:p>
    <w:p w14:paraId="30AAF8C7" w14:textId="243B3A9A" w:rsidR="003554EF" w:rsidRPr="00C56C76" w:rsidRDefault="003554EF" w:rsidP="00C56C76">
      <w:pPr>
        <w:rPr>
          <w:color w:val="FFFFFF" w:themeColor="background1"/>
          <w:sz w:val="24"/>
          <w:szCs w:val="24"/>
        </w:rPr>
      </w:pPr>
    </w:p>
    <w:p w14:paraId="2E1762B6" w14:textId="77777777" w:rsidR="008803D6" w:rsidRDefault="008803D6" w:rsidP="006F64C7">
      <w:pPr>
        <w:rPr>
          <w:rFonts w:cs="Arial"/>
          <w:i/>
          <w:sz w:val="20"/>
          <w:szCs w:val="20"/>
        </w:rPr>
      </w:pPr>
      <w:bookmarkStart w:id="2" w:name="_Hlk32058722"/>
    </w:p>
    <w:tbl>
      <w:tblPr>
        <w:tblStyle w:val="TableGrid"/>
        <w:tblW w:w="0" w:type="auto"/>
        <w:tblLook w:val="04A0" w:firstRow="1" w:lastRow="0" w:firstColumn="1" w:lastColumn="0" w:noHBand="0" w:noVBand="1"/>
      </w:tblPr>
      <w:tblGrid>
        <w:gridCol w:w="9350"/>
      </w:tblGrid>
      <w:tr w:rsidR="008803D6" w14:paraId="7A40B548" w14:textId="77777777" w:rsidTr="00FF4A56">
        <w:tc>
          <w:tcPr>
            <w:tcW w:w="9350" w:type="dxa"/>
            <w:shd w:val="clear" w:color="auto" w:fill="800000"/>
          </w:tcPr>
          <w:p w14:paraId="523299BC" w14:textId="52C1E06B" w:rsidR="008803D6" w:rsidRDefault="008803D6" w:rsidP="00FF4A56">
            <w:pPr>
              <w:rPr>
                <w:rFonts w:cs="Arial"/>
                <w:sz w:val="28"/>
                <w:szCs w:val="28"/>
              </w:rPr>
            </w:pPr>
            <w:r>
              <w:rPr>
                <w:rFonts w:cs="Arial"/>
                <w:sz w:val="28"/>
                <w:szCs w:val="28"/>
              </w:rPr>
              <w:t xml:space="preserve">Section </w:t>
            </w:r>
            <w:r w:rsidR="002122C8">
              <w:rPr>
                <w:rFonts w:cs="Arial"/>
                <w:sz w:val="28"/>
                <w:szCs w:val="28"/>
              </w:rPr>
              <w:t>1</w:t>
            </w:r>
            <w:r w:rsidR="00D04EE4">
              <w:rPr>
                <w:rFonts w:cs="Arial"/>
                <w:sz w:val="28"/>
                <w:szCs w:val="28"/>
              </w:rPr>
              <w:t>6</w:t>
            </w:r>
            <w:r>
              <w:rPr>
                <w:rFonts w:cs="Arial"/>
                <w:sz w:val="28"/>
                <w:szCs w:val="28"/>
              </w:rPr>
              <w:t xml:space="preserve">: Commendations and </w:t>
            </w:r>
            <w:r w:rsidR="002122C8">
              <w:rPr>
                <w:rFonts w:cs="Arial"/>
                <w:sz w:val="28"/>
                <w:szCs w:val="28"/>
              </w:rPr>
              <w:t>Consideration</w:t>
            </w:r>
            <w:r w:rsidR="006F64C7">
              <w:rPr>
                <w:rFonts w:cs="Arial"/>
                <w:sz w:val="28"/>
                <w:szCs w:val="28"/>
              </w:rPr>
              <w:t>s</w:t>
            </w:r>
          </w:p>
        </w:tc>
      </w:tr>
    </w:tbl>
    <w:p w14:paraId="1F779241" w14:textId="77777777" w:rsidR="008803D6" w:rsidRPr="008F0410" w:rsidRDefault="008803D6" w:rsidP="008803D6">
      <w:pPr>
        <w:rPr>
          <w:rFonts w:cs="Arial"/>
          <w:sz w:val="24"/>
          <w:szCs w:val="24"/>
        </w:rPr>
      </w:pPr>
    </w:p>
    <w:p w14:paraId="49328E45" w14:textId="77777777" w:rsidR="008803D6" w:rsidRDefault="008803D6" w:rsidP="008803D6">
      <w:pPr>
        <w:jc w:val="center"/>
        <w:rPr>
          <w:rFonts w:cs="Arial"/>
          <w:i/>
          <w:sz w:val="20"/>
          <w:szCs w:val="20"/>
        </w:rPr>
      </w:pPr>
    </w:p>
    <w:p w14:paraId="3388D1EC" w14:textId="77777777" w:rsidR="008803D6" w:rsidRDefault="008803D6" w:rsidP="008803D6">
      <w:pPr>
        <w:jc w:val="both"/>
        <w:rPr>
          <w:rFonts w:cs="Arial"/>
          <w:b/>
          <w:sz w:val="24"/>
          <w:szCs w:val="24"/>
          <w:u w:val="single"/>
        </w:rPr>
      </w:pPr>
      <w:r>
        <w:rPr>
          <w:rFonts w:cs="Arial"/>
          <w:b/>
          <w:sz w:val="24"/>
          <w:szCs w:val="24"/>
          <w:u w:val="single"/>
        </w:rPr>
        <w:t>Commendations</w:t>
      </w:r>
    </w:p>
    <w:p w14:paraId="0366BDE2" w14:textId="3C3FF00E" w:rsidR="008803D6" w:rsidRDefault="00937BF4" w:rsidP="00E12460">
      <w:pPr>
        <w:pStyle w:val="ListParagraph"/>
        <w:numPr>
          <w:ilvl w:val="0"/>
          <w:numId w:val="28"/>
        </w:numPr>
        <w:rPr>
          <w:rFonts w:cs="Arial"/>
          <w:bCs/>
          <w:sz w:val="24"/>
          <w:szCs w:val="24"/>
        </w:rPr>
      </w:pPr>
      <w:r>
        <w:rPr>
          <w:rFonts w:cs="Arial"/>
          <w:bCs/>
          <w:sz w:val="24"/>
          <w:szCs w:val="24"/>
        </w:rPr>
        <w:t>The board approve</w:t>
      </w:r>
      <w:r w:rsidR="00E12460">
        <w:rPr>
          <w:rFonts w:cs="Arial"/>
          <w:bCs/>
          <w:sz w:val="24"/>
          <w:szCs w:val="24"/>
        </w:rPr>
        <w:t>d</w:t>
      </w:r>
      <w:r>
        <w:rPr>
          <w:rFonts w:cs="Arial"/>
          <w:bCs/>
          <w:sz w:val="24"/>
          <w:szCs w:val="24"/>
        </w:rPr>
        <w:t xml:space="preserve"> a new position of Administrative Assistant to the Executive Director</w:t>
      </w:r>
      <w:r w:rsidR="00124665">
        <w:rPr>
          <w:rFonts w:cs="Arial"/>
          <w:bCs/>
          <w:sz w:val="24"/>
          <w:szCs w:val="24"/>
        </w:rPr>
        <w:t xml:space="preserve"> to allow the Executive Director </w:t>
      </w:r>
      <w:r w:rsidR="00E12460">
        <w:rPr>
          <w:rFonts w:cs="Arial"/>
          <w:bCs/>
          <w:sz w:val="24"/>
          <w:szCs w:val="24"/>
        </w:rPr>
        <w:t xml:space="preserve">more time </w:t>
      </w:r>
      <w:r w:rsidR="00124665">
        <w:rPr>
          <w:rFonts w:cs="Arial"/>
          <w:bCs/>
          <w:sz w:val="24"/>
          <w:szCs w:val="24"/>
        </w:rPr>
        <w:t xml:space="preserve">to focus on tasks that relate more directly to the </w:t>
      </w:r>
      <w:r w:rsidR="00E12460">
        <w:rPr>
          <w:rFonts w:cs="Arial"/>
          <w:bCs/>
          <w:sz w:val="24"/>
          <w:szCs w:val="24"/>
        </w:rPr>
        <w:t>improvement of student outcomes.</w:t>
      </w:r>
    </w:p>
    <w:p w14:paraId="7BE91B94" w14:textId="797B8F41" w:rsidR="00E12460" w:rsidRDefault="00E12460" w:rsidP="00E12460">
      <w:pPr>
        <w:pStyle w:val="ListParagraph"/>
        <w:numPr>
          <w:ilvl w:val="0"/>
          <w:numId w:val="28"/>
        </w:numPr>
        <w:rPr>
          <w:rFonts w:cs="Arial"/>
          <w:bCs/>
          <w:sz w:val="24"/>
          <w:szCs w:val="24"/>
        </w:rPr>
      </w:pPr>
      <w:r>
        <w:rPr>
          <w:rFonts w:cs="Arial"/>
          <w:bCs/>
          <w:sz w:val="24"/>
          <w:szCs w:val="24"/>
        </w:rPr>
        <w:t>The governing board has had little turnover</w:t>
      </w:r>
      <w:r w:rsidR="009E185B">
        <w:rPr>
          <w:rFonts w:cs="Arial"/>
          <w:bCs/>
          <w:sz w:val="24"/>
          <w:szCs w:val="24"/>
        </w:rPr>
        <w:t xml:space="preserve">, and has identified the need for more </w:t>
      </w:r>
      <w:r w:rsidR="00C27942">
        <w:rPr>
          <w:rFonts w:cs="Arial"/>
          <w:bCs/>
          <w:sz w:val="24"/>
          <w:szCs w:val="24"/>
        </w:rPr>
        <w:t xml:space="preserve">members with backgrounds in fields other than education. </w:t>
      </w:r>
    </w:p>
    <w:p w14:paraId="1B589307" w14:textId="77777777" w:rsidR="00EF5F48" w:rsidRPr="00EF5F48" w:rsidRDefault="00EF5F48" w:rsidP="00EF5F48">
      <w:pPr>
        <w:pStyle w:val="ListParagraph"/>
        <w:numPr>
          <w:ilvl w:val="0"/>
          <w:numId w:val="28"/>
        </w:numPr>
        <w:rPr>
          <w:sz w:val="24"/>
          <w:szCs w:val="24"/>
        </w:rPr>
      </w:pPr>
      <w:r w:rsidRPr="00EF5F48">
        <w:rPr>
          <w:sz w:val="24"/>
          <w:szCs w:val="24"/>
        </w:rPr>
        <w:t>At the most recent visit to the school, there appeared to be a lack of consensus between the board members and leadership team as to the school’s mission. The school has just recently undergone a rewrite of its mission.</w:t>
      </w:r>
    </w:p>
    <w:p w14:paraId="0E3865F2" w14:textId="77777777" w:rsidR="003554EF" w:rsidRPr="003554EF" w:rsidRDefault="003554EF" w:rsidP="008803D6">
      <w:pPr>
        <w:jc w:val="both"/>
        <w:rPr>
          <w:rFonts w:cs="Arial"/>
          <w:bCs/>
          <w:sz w:val="24"/>
          <w:szCs w:val="24"/>
        </w:rPr>
      </w:pPr>
    </w:p>
    <w:p w14:paraId="6B87FFCA" w14:textId="26E1C807" w:rsidR="008803D6" w:rsidRPr="008803D6" w:rsidRDefault="006F64C7" w:rsidP="008803D6">
      <w:pPr>
        <w:jc w:val="both"/>
        <w:rPr>
          <w:rFonts w:cs="Arial"/>
          <w:b/>
          <w:sz w:val="24"/>
          <w:szCs w:val="24"/>
          <w:u w:val="single"/>
        </w:rPr>
      </w:pPr>
      <w:r>
        <w:rPr>
          <w:rFonts w:cs="Arial"/>
          <w:b/>
          <w:sz w:val="24"/>
          <w:szCs w:val="24"/>
          <w:u w:val="single"/>
        </w:rPr>
        <w:t>Considerations</w:t>
      </w:r>
    </w:p>
    <w:p w14:paraId="5B6CE536" w14:textId="6DEBB141" w:rsidR="008803D6" w:rsidRPr="00EF5F48" w:rsidRDefault="009714A6" w:rsidP="00294F81">
      <w:pPr>
        <w:pStyle w:val="ListParagraph"/>
        <w:numPr>
          <w:ilvl w:val="0"/>
          <w:numId w:val="28"/>
        </w:numPr>
        <w:rPr>
          <w:sz w:val="24"/>
          <w:szCs w:val="24"/>
        </w:rPr>
      </w:pPr>
      <w:r w:rsidRPr="00EF5F48">
        <w:rPr>
          <w:sz w:val="24"/>
          <w:szCs w:val="24"/>
        </w:rPr>
        <w:t xml:space="preserve">The school should continue </w:t>
      </w:r>
      <w:r w:rsidR="00EC2BCF" w:rsidRPr="00EF5F48">
        <w:rPr>
          <w:sz w:val="24"/>
          <w:szCs w:val="24"/>
        </w:rPr>
        <w:t xml:space="preserve">its efforts </w:t>
      </w:r>
      <w:r w:rsidRPr="00EF5F48">
        <w:rPr>
          <w:sz w:val="24"/>
          <w:szCs w:val="24"/>
        </w:rPr>
        <w:t>to bring up student academic achievement results</w:t>
      </w:r>
      <w:r w:rsidR="00B308C2" w:rsidRPr="00EF5F48">
        <w:rPr>
          <w:sz w:val="24"/>
          <w:szCs w:val="24"/>
        </w:rPr>
        <w:t>, and increase the rate of</w:t>
      </w:r>
      <w:r w:rsidR="00EC2BCF" w:rsidRPr="00EF5F48">
        <w:rPr>
          <w:sz w:val="24"/>
          <w:szCs w:val="24"/>
        </w:rPr>
        <w:t xml:space="preserve"> academic</w:t>
      </w:r>
      <w:r w:rsidR="00B308C2" w:rsidRPr="00EF5F48">
        <w:rPr>
          <w:sz w:val="24"/>
          <w:szCs w:val="24"/>
        </w:rPr>
        <w:t xml:space="preserve"> growth</w:t>
      </w:r>
      <w:r w:rsidR="00EC2BCF" w:rsidRPr="00EF5F48">
        <w:rPr>
          <w:sz w:val="24"/>
          <w:szCs w:val="24"/>
        </w:rPr>
        <w:t>.</w:t>
      </w:r>
    </w:p>
    <w:p w14:paraId="6ABCF9E4" w14:textId="3941A939" w:rsidR="008D1A54" w:rsidRDefault="00D25A9F" w:rsidP="00294F81">
      <w:pPr>
        <w:pStyle w:val="ListParagraph"/>
        <w:numPr>
          <w:ilvl w:val="0"/>
          <w:numId w:val="28"/>
        </w:numPr>
        <w:rPr>
          <w:sz w:val="24"/>
          <w:szCs w:val="24"/>
        </w:rPr>
      </w:pPr>
      <w:r>
        <w:rPr>
          <w:sz w:val="24"/>
          <w:szCs w:val="24"/>
        </w:rPr>
        <w:t xml:space="preserve">The school should identify how it will measure </w:t>
      </w:r>
      <w:r w:rsidR="00337A4A">
        <w:rPr>
          <w:sz w:val="24"/>
          <w:szCs w:val="24"/>
        </w:rPr>
        <w:t xml:space="preserve">the </w:t>
      </w:r>
      <w:r>
        <w:rPr>
          <w:sz w:val="24"/>
          <w:szCs w:val="24"/>
        </w:rPr>
        <w:t>“21</w:t>
      </w:r>
      <w:r w:rsidRPr="00D25A9F">
        <w:rPr>
          <w:sz w:val="24"/>
          <w:szCs w:val="24"/>
          <w:vertAlign w:val="superscript"/>
        </w:rPr>
        <w:t>st</w:t>
      </w:r>
      <w:r>
        <w:rPr>
          <w:sz w:val="24"/>
          <w:szCs w:val="24"/>
        </w:rPr>
        <w:t xml:space="preserve"> century skills” in its mission.</w:t>
      </w:r>
    </w:p>
    <w:p w14:paraId="7106BDFD" w14:textId="5F545664" w:rsidR="00D25A9F" w:rsidRPr="00EF5F48" w:rsidRDefault="00337A4A" w:rsidP="00294F81">
      <w:pPr>
        <w:pStyle w:val="ListParagraph"/>
        <w:numPr>
          <w:ilvl w:val="0"/>
          <w:numId w:val="28"/>
        </w:numPr>
        <w:rPr>
          <w:sz w:val="24"/>
          <w:szCs w:val="24"/>
        </w:rPr>
      </w:pPr>
      <w:r>
        <w:rPr>
          <w:sz w:val="24"/>
          <w:szCs w:val="24"/>
        </w:rPr>
        <w:t xml:space="preserve">The school continues to have a high rate of chronic absenteeism. </w:t>
      </w:r>
    </w:p>
    <w:bookmarkEnd w:id="2"/>
    <w:p w14:paraId="7BA23A21" w14:textId="77777777" w:rsidR="008803D6" w:rsidRPr="008D67A9" w:rsidRDefault="008803D6" w:rsidP="008D67A9">
      <w:pPr>
        <w:jc w:val="center"/>
      </w:pPr>
    </w:p>
    <w:sectPr w:rsidR="008803D6" w:rsidRPr="008D67A9" w:rsidSect="00443662">
      <w:footerReference w:type="even" r:id="rId18"/>
      <w:footerReference w:type="default" r:id="rId19"/>
      <w:footerReference w:type="first" r:id="rId2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84E4E" w14:textId="77777777" w:rsidR="00215A23" w:rsidRDefault="00215A23" w:rsidP="00763334">
      <w:r>
        <w:separator/>
      </w:r>
    </w:p>
  </w:endnote>
  <w:endnote w:type="continuationSeparator" w:id="0">
    <w:p w14:paraId="76756E98" w14:textId="77777777" w:rsidR="00215A23" w:rsidRDefault="00215A23" w:rsidP="00763334">
      <w:r>
        <w:continuationSeparator/>
      </w:r>
    </w:p>
  </w:endnote>
  <w:endnote w:type="continuationNotice" w:id="1">
    <w:p w14:paraId="0AE4E305" w14:textId="77777777" w:rsidR="00215A23" w:rsidRDefault="00215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altName w:val="Bradley Hand"/>
    <w:panose1 w:val="03070402050302030203"/>
    <w:charset w:val="00"/>
    <w:family w:val="script"/>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5179482"/>
      <w:docPartObj>
        <w:docPartGallery w:val="Page Numbers (Bottom of Page)"/>
        <w:docPartUnique/>
      </w:docPartObj>
    </w:sdtPr>
    <w:sdtEndPr>
      <w:rPr>
        <w:rStyle w:val="PageNumber"/>
      </w:rPr>
    </w:sdtEndPr>
    <w:sdtContent>
      <w:p w14:paraId="0755586D" w14:textId="3036C437" w:rsidR="00B622C7" w:rsidRDefault="00B622C7" w:rsidP="00BD40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DB8BAA" w14:textId="77777777" w:rsidR="00B622C7" w:rsidRDefault="00B622C7" w:rsidP="00B62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8138410"/>
      <w:docPartObj>
        <w:docPartGallery w:val="Page Numbers (Bottom of Page)"/>
        <w:docPartUnique/>
      </w:docPartObj>
    </w:sdtPr>
    <w:sdtEndPr>
      <w:rPr>
        <w:rStyle w:val="PageNumber"/>
      </w:rPr>
    </w:sdtEndPr>
    <w:sdtContent>
      <w:p w14:paraId="5887B3CD" w14:textId="3E08AEBC" w:rsidR="00B622C7" w:rsidRDefault="00B622C7" w:rsidP="00BD40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5CB2B82" w14:textId="7D500B61" w:rsidR="00763334" w:rsidRDefault="00B81BAC" w:rsidP="00B81BAC">
    <w:pPr>
      <w:pStyle w:val="Footer"/>
      <w:ind w:right="360"/>
    </w:pPr>
    <w:r>
      <w:t>Annual Monitoring Report – Approved 2/11/20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3A10F" w14:textId="0189B4E2" w:rsidR="00443662" w:rsidRDefault="00B81BAC">
    <w:pPr>
      <w:pStyle w:val="Footer"/>
    </w:pPr>
    <w:r>
      <w:t>Annual Monitoring Report – Approved 2/11/20</w:t>
    </w:r>
  </w:p>
  <w:p w14:paraId="7C04B1BD" w14:textId="77777777" w:rsidR="00443662" w:rsidRDefault="00443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B4469" w14:textId="77777777" w:rsidR="00215A23" w:rsidRDefault="00215A23" w:rsidP="00763334">
      <w:r>
        <w:separator/>
      </w:r>
    </w:p>
  </w:footnote>
  <w:footnote w:type="continuationSeparator" w:id="0">
    <w:p w14:paraId="12D42185" w14:textId="77777777" w:rsidR="00215A23" w:rsidRDefault="00215A23" w:rsidP="00763334">
      <w:r>
        <w:continuationSeparator/>
      </w:r>
    </w:p>
  </w:footnote>
  <w:footnote w:type="continuationNotice" w:id="1">
    <w:p w14:paraId="548B6440" w14:textId="77777777" w:rsidR="00215A23" w:rsidRDefault="00215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4C640F"/>
    <w:multiLevelType w:val="hybridMultilevel"/>
    <w:tmpl w:val="9D460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04773E"/>
    <w:multiLevelType w:val="hybridMultilevel"/>
    <w:tmpl w:val="9D52B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A4D67"/>
    <w:multiLevelType w:val="hybridMultilevel"/>
    <w:tmpl w:val="7D22FA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F4662B"/>
    <w:multiLevelType w:val="hybridMultilevel"/>
    <w:tmpl w:val="4A7C10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480924"/>
    <w:multiLevelType w:val="hybridMultilevel"/>
    <w:tmpl w:val="42984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0944CB"/>
    <w:multiLevelType w:val="hybridMultilevel"/>
    <w:tmpl w:val="D3F4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156489A"/>
    <w:multiLevelType w:val="hybridMultilevel"/>
    <w:tmpl w:val="E89AE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AC0828"/>
    <w:multiLevelType w:val="hybridMultilevel"/>
    <w:tmpl w:val="4D16CFE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B285602"/>
    <w:multiLevelType w:val="hybridMultilevel"/>
    <w:tmpl w:val="AC0C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5EC509C"/>
    <w:multiLevelType w:val="hybridMultilevel"/>
    <w:tmpl w:val="4A7A9F10"/>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A01BD"/>
    <w:multiLevelType w:val="hybridMultilevel"/>
    <w:tmpl w:val="8F60F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2E24F8"/>
    <w:multiLevelType w:val="hybridMultilevel"/>
    <w:tmpl w:val="D7A4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7"/>
  </w:num>
  <w:num w:numId="2">
    <w:abstractNumId w:val="12"/>
  </w:num>
  <w:num w:numId="3">
    <w:abstractNumId w:val="10"/>
  </w:num>
  <w:num w:numId="4">
    <w:abstractNumId w:val="32"/>
  </w:num>
  <w:num w:numId="5">
    <w:abstractNumId w:val="13"/>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20"/>
  </w:num>
  <w:num w:numId="20">
    <w:abstractNumId w:val="29"/>
  </w:num>
  <w:num w:numId="21">
    <w:abstractNumId w:val="24"/>
  </w:num>
  <w:num w:numId="22">
    <w:abstractNumId w:val="11"/>
  </w:num>
  <w:num w:numId="23">
    <w:abstractNumId w:val="34"/>
  </w:num>
  <w:num w:numId="24">
    <w:abstractNumId w:val="15"/>
  </w:num>
  <w:num w:numId="25">
    <w:abstractNumId w:val="31"/>
  </w:num>
  <w:num w:numId="26">
    <w:abstractNumId w:val="28"/>
  </w:num>
  <w:num w:numId="27">
    <w:abstractNumId w:val="33"/>
  </w:num>
  <w:num w:numId="28">
    <w:abstractNumId w:val="25"/>
  </w:num>
  <w:num w:numId="29">
    <w:abstractNumId w:val="21"/>
  </w:num>
  <w:num w:numId="30">
    <w:abstractNumId w:val="16"/>
  </w:num>
  <w:num w:numId="31">
    <w:abstractNumId w:val="23"/>
  </w:num>
  <w:num w:numId="32">
    <w:abstractNumId w:val="30"/>
  </w:num>
  <w:num w:numId="33">
    <w:abstractNumId w:val="19"/>
  </w:num>
  <w:num w:numId="34">
    <w:abstractNumId w:val="1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8E"/>
    <w:rsid w:val="000019D8"/>
    <w:rsid w:val="00006A49"/>
    <w:rsid w:val="000240C8"/>
    <w:rsid w:val="000248C8"/>
    <w:rsid w:val="000367F4"/>
    <w:rsid w:val="00042C66"/>
    <w:rsid w:val="00045137"/>
    <w:rsid w:val="000549F0"/>
    <w:rsid w:val="0005726E"/>
    <w:rsid w:val="00073EF3"/>
    <w:rsid w:val="00074F7C"/>
    <w:rsid w:val="0007528F"/>
    <w:rsid w:val="00075DE8"/>
    <w:rsid w:val="00090403"/>
    <w:rsid w:val="00091F7C"/>
    <w:rsid w:val="00092264"/>
    <w:rsid w:val="000933C5"/>
    <w:rsid w:val="000976B4"/>
    <w:rsid w:val="000A1885"/>
    <w:rsid w:val="000A31D7"/>
    <w:rsid w:val="000A34B9"/>
    <w:rsid w:val="000A6D45"/>
    <w:rsid w:val="000A798A"/>
    <w:rsid w:val="000B7C58"/>
    <w:rsid w:val="000C6F08"/>
    <w:rsid w:val="000C7517"/>
    <w:rsid w:val="000D5D62"/>
    <w:rsid w:val="000D6695"/>
    <w:rsid w:val="000E124D"/>
    <w:rsid w:val="000E2CED"/>
    <w:rsid w:val="000E62E3"/>
    <w:rsid w:val="000F48BE"/>
    <w:rsid w:val="000F64CD"/>
    <w:rsid w:val="000F6C47"/>
    <w:rsid w:val="00124665"/>
    <w:rsid w:val="00134ECC"/>
    <w:rsid w:val="001362B3"/>
    <w:rsid w:val="00140DB7"/>
    <w:rsid w:val="001415CA"/>
    <w:rsid w:val="00144045"/>
    <w:rsid w:val="00144DE0"/>
    <w:rsid w:val="001468FC"/>
    <w:rsid w:val="001510F6"/>
    <w:rsid w:val="001617C6"/>
    <w:rsid w:val="00161870"/>
    <w:rsid w:val="00162353"/>
    <w:rsid w:val="001669CB"/>
    <w:rsid w:val="00174C9A"/>
    <w:rsid w:val="00175E59"/>
    <w:rsid w:val="00177B11"/>
    <w:rsid w:val="00181896"/>
    <w:rsid w:val="001910DD"/>
    <w:rsid w:val="001958C8"/>
    <w:rsid w:val="001B0A88"/>
    <w:rsid w:val="001B29E9"/>
    <w:rsid w:val="001C3795"/>
    <w:rsid w:val="001C562B"/>
    <w:rsid w:val="001C6E7F"/>
    <w:rsid w:val="001D1B96"/>
    <w:rsid w:val="001D2322"/>
    <w:rsid w:val="001D74DB"/>
    <w:rsid w:val="001D790A"/>
    <w:rsid w:val="001E3713"/>
    <w:rsid w:val="001E42FA"/>
    <w:rsid w:val="001E5D6B"/>
    <w:rsid w:val="001E676A"/>
    <w:rsid w:val="001F5196"/>
    <w:rsid w:val="00202D79"/>
    <w:rsid w:val="002122C8"/>
    <w:rsid w:val="00214A66"/>
    <w:rsid w:val="00215A23"/>
    <w:rsid w:val="00217738"/>
    <w:rsid w:val="00217FEF"/>
    <w:rsid w:val="00223779"/>
    <w:rsid w:val="002251ED"/>
    <w:rsid w:val="00226799"/>
    <w:rsid w:val="00227619"/>
    <w:rsid w:val="00245037"/>
    <w:rsid w:val="0024536B"/>
    <w:rsid w:val="00252B6B"/>
    <w:rsid w:val="00260547"/>
    <w:rsid w:val="00261B6F"/>
    <w:rsid w:val="00267D4F"/>
    <w:rsid w:val="00273133"/>
    <w:rsid w:val="00277561"/>
    <w:rsid w:val="00283629"/>
    <w:rsid w:val="00283980"/>
    <w:rsid w:val="00294F81"/>
    <w:rsid w:val="002B1854"/>
    <w:rsid w:val="002B4BEA"/>
    <w:rsid w:val="002B769B"/>
    <w:rsid w:val="002B7985"/>
    <w:rsid w:val="002C6326"/>
    <w:rsid w:val="002D1843"/>
    <w:rsid w:val="002E5B41"/>
    <w:rsid w:val="002F00C4"/>
    <w:rsid w:val="002F344C"/>
    <w:rsid w:val="002F4F04"/>
    <w:rsid w:val="0030476F"/>
    <w:rsid w:val="003058B9"/>
    <w:rsid w:val="00306C7E"/>
    <w:rsid w:val="00307C74"/>
    <w:rsid w:val="00311433"/>
    <w:rsid w:val="00314243"/>
    <w:rsid w:val="00316127"/>
    <w:rsid w:val="00317607"/>
    <w:rsid w:val="0031788B"/>
    <w:rsid w:val="0032448E"/>
    <w:rsid w:val="00325655"/>
    <w:rsid w:val="00327D58"/>
    <w:rsid w:val="0033273C"/>
    <w:rsid w:val="00333F43"/>
    <w:rsid w:val="00337A4A"/>
    <w:rsid w:val="003554EF"/>
    <w:rsid w:val="003666FE"/>
    <w:rsid w:val="00377BEE"/>
    <w:rsid w:val="003852A0"/>
    <w:rsid w:val="003902B7"/>
    <w:rsid w:val="00390AC5"/>
    <w:rsid w:val="003931FE"/>
    <w:rsid w:val="00393F2A"/>
    <w:rsid w:val="00394B7E"/>
    <w:rsid w:val="00394DDD"/>
    <w:rsid w:val="003955C5"/>
    <w:rsid w:val="003956FD"/>
    <w:rsid w:val="003969F5"/>
    <w:rsid w:val="003A69C3"/>
    <w:rsid w:val="003B51F3"/>
    <w:rsid w:val="003B734F"/>
    <w:rsid w:val="003C4096"/>
    <w:rsid w:val="003D5CB5"/>
    <w:rsid w:val="003D5EBA"/>
    <w:rsid w:val="003E0ED9"/>
    <w:rsid w:val="003E1CC6"/>
    <w:rsid w:val="003E28E3"/>
    <w:rsid w:val="004023F1"/>
    <w:rsid w:val="00407358"/>
    <w:rsid w:val="004078E5"/>
    <w:rsid w:val="00410C0C"/>
    <w:rsid w:val="004111A5"/>
    <w:rsid w:val="0041403E"/>
    <w:rsid w:val="00415ADC"/>
    <w:rsid w:val="0042016F"/>
    <w:rsid w:val="00420D27"/>
    <w:rsid w:val="00423149"/>
    <w:rsid w:val="00423433"/>
    <w:rsid w:val="004263D9"/>
    <w:rsid w:val="00432B81"/>
    <w:rsid w:val="00433BDB"/>
    <w:rsid w:val="0044211B"/>
    <w:rsid w:val="00443662"/>
    <w:rsid w:val="0044497F"/>
    <w:rsid w:val="00446A21"/>
    <w:rsid w:val="00447FC6"/>
    <w:rsid w:val="004522DE"/>
    <w:rsid w:val="004679E2"/>
    <w:rsid w:val="00467ADF"/>
    <w:rsid w:val="00482E47"/>
    <w:rsid w:val="00487C24"/>
    <w:rsid w:val="0049622B"/>
    <w:rsid w:val="004A2B13"/>
    <w:rsid w:val="004A6574"/>
    <w:rsid w:val="004C1016"/>
    <w:rsid w:val="004C1539"/>
    <w:rsid w:val="004D0AE9"/>
    <w:rsid w:val="004D374A"/>
    <w:rsid w:val="004D7CF6"/>
    <w:rsid w:val="004E2176"/>
    <w:rsid w:val="004E59FA"/>
    <w:rsid w:val="00516BBB"/>
    <w:rsid w:val="005305F8"/>
    <w:rsid w:val="00532D46"/>
    <w:rsid w:val="00535511"/>
    <w:rsid w:val="00551126"/>
    <w:rsid w:val="0055368B"/>
    <w:rsid w:val="00562520"/>
    <w:rsid w:val="00570105"/>
    <w:rsid w:val="00580677"/>
    <w:rsid w:val="00580D2A"/>
    <w:rsid w:val="00585573"/>
    <w:rsid w:val="005859A4"/>
    <w:rsid w:val="005869EE"/>
    <w:rsid w:val="00587DEF"/>
    <w:rsid w:val="005A291B"/>
    <w:rsid w:val="005A4B8D"/>
    <w:rsid w:val="005A5525"/>
    <w:rsid w:val="005A59E7"/>
    <w:rsid w:val="005B2849"/>
    <w:rsid w:val="005B3F2E"/>
    <w:rsid w:val="005D6222"/>
    <w:rsid w:val="005E0CDD"/>
    <w:rsid w:val="005E262C"/>
    <w:rsid w:val="005E3214"/>
    <w:rsid w:val="005E6FCE"/>
    <w:rsid w:val="005F281A"/>
    <w:rsid w:val="00600473"/>
    <w:rsid w:val="00600B88"/>
    <w:rsid w:val="00603B33"/>
    <w:rsid w:val="00603EEC"/>
    <w:rsid w:val="00604A7A"/>
    <w:rsid w:val="00614276"/>
    <w:rsid w:val="00622224"/>
    <w:rsid w:val="006273C4"/>
    <w:rsid w:val="00630B99"/>
    <w:rsid w:val="0063691B"/>
    <w:rsid w:val="006408D0"/>
    <w:rsid w:val="006424B4"/>
    <w:rsid w:val="00645252"/>
    <w:rsid w:val="0066061A"/>
    <w:rsid w:val="00660C8E"/>
    <w:rsid w:val="006668CB"/>
    <w:rsid w:val="00670136"/>
    <w:rsid w:val="00671856"/>
    <w:rsid w:val="00673EED"/>
    <w:rsid w:val="006761BA"/>
    <w:rsid w:val="0068485C"/>
    <w:rsid w:val="006909AD"/>
    <w:rsid w:val="0069318D"/>
    <w:rsid w:val="00693300"/>
    <w:rsid w:val="006955DC"/>
    <w:rsid w:val="00697392"/>
    <w:rsid w:val="00697AE0"/>
    <w:rsid w:val="006A02A9"/>
    <w:rsid w:val="006B6F04"/>
    <w:rsid w:val="006C02EA"/>
    <w:rsid w:val="006C1776"/>
    <w:rsid w:val="006C544B"/>
    <w:rsid w:val="006D3D74"/>
    <w:rsid w:val="006D589B"/>
    <w:rsid w:val="006E0486"/>
    <w:rsid w:val="006E2BBF"/>
    <w:rsid w:val="006E7944"/>
    <w:rsid w:val="006F647A"/>
    <w:rsid w:val="006F64C7"/>
    <w:rsid w:val="00703C22"/>
    <w:rsid w:val="0070603A"/>
    <w:rsid w:val="00710E54"/>
    <w:rsid w:val="00723203"/>
    <w:rsid w:val="007268AE"/>
    <w:rsid w:val="00726CE6"/>
    <w:rsid w:val="00731509"/>
    <w:rsid w:val="00732076"/>
    <w:rsid w:val="00741D7B"/>
    <w:rsid w:val="007442D6"/>
    <w:rsid w:val="0075337F"/>
    <w:rsid w:val="00763334"/>
    <w:rsid w:val="00772F93"/>
    <w:rsid w:val="0077415E"/>
    <w:rsid w:val="00775D1F"/>
    <w:rsid w:val="00780E17"/>
    <w:rsid w:val="00782433"/>
    <w:rsid w:val="0078647A"/>
    <w:rsid w:val="0078708B"/>
    <w:rsid w:val="00792200"/>
    <w:rsid w:val="00793F92"/>
    <w:rsid w:val="00794ABB"/>
    <w:rsid w:val="0079607F"/>
    <w:rsid w:val="007A00CC"/>
    <w:rsid w:val="007A0A2F"/>
    <w:rsid w:val="007A1094"/>
    <w:rsid w:val="007A2ADC"/>
    <w:rsid w:val="007A57D2"/>
    <w:rsid w:val="007B0D84"/>
    <w:rsid w:val="007B25E8"/>
    <w:rsid w:val="007B4644"/>
    <w:rsid w:val="007B586C"/>
    <w:rsid w:val="007B592F"/>
    <w:rsid w:val="007C2957"/>
    <w:rsid w:val="007C29B5"/>
    <w:rsid w:val="007C5031"/>
    <w:rsid w:val="007C5F8C"/>
    <w:rsid w:val="007D0070"/>
    <w:rsid w:val="007E397D"/>
    <w:rsid w:val="007E66A3"/>
    <w:rsid w:val="007E6966"/>
    <w:rsid w:val="007F1216"/>
    <w:rsid w:val="007F7266"/>
    <w:rsid w:val="00812188"/>
    <w:rsid w:val="00821771"/>
    <w:rsid w:val="00822435"/>
    <w:rsid w:val="0082373B"/>
    <w:rsid w:val="0082379D"/>
    <w:rsid w:val="0083577E"/>
    <w:rsid w:val="00841CAD"/>
    <w:rsid w:val="00867952"/>
    <w:rsid w:val="0087044C"/>
    <w:rsid w:val="0087216D"/>
    <w:rsid w:val="008726FE"/>
    <w:rsid w:val="0087516C"/>
    <w:rsid w:val="00877437"/>
    <w:rsid w:val="008803D6"/>
    <w:rsid w:val="00882EE5"/>
    <w:rsid w:val="00891585"/>
    <w:rsid w:val="00897869"/>
    <w:rsid w:val="008A1963"/>
    <w:rsid w:val="008A2517"/>
    <w:rsid w:val="008A2FAB"/>
    <w:rsid w:val="008A483C"/>
    <w:rsid w:val="008B1E78"/>
    <w:rsid w:val="008B2149"/>
    <w:rsid w:val="008C31CB"/>
    <w:rsid w:val="008C4ECE"/>
    <w:rsid w:val="008D1A54"/>
    <w:rsid w:val="008D2C6A"/>
    <w:rsid w:val="008D67A9"/>
    <w:rsid w:val="008E2823"/>
    <w:rsid w:val="008E4A47"/>
    <w:rsid w:val="008E6843"/>
    <w:rsid w:val="0090399A"/>
    <w:rsid w:val="009049D5"/>
    <w:rsid w:val="00906339"/>
    <w:rsid w:val="00907A49"/>
    <w:rsid w:val="0091499C"/>
    <w:rsid w:val="009204BC"/>
    <w:rsid w:val="00921BDA"/>
    <w:rsid w:val="00923C6F"/>
    <w:rsid w:val="009240BC"/>
    <w:rsid w:val="009268AE"/>
    <w:rsid w:val="00937BF4"/>
    <w:rsid w:val="00946F24"/>
    <w:rsid w:val="00954457"/>
    <w:rsid w:val="00961DE8"/>
    <w:rsid w:val="009714A6"/>
    <w:rsid w:val="00971AC6"/>
    <w:rsid w:val="00980C84"/>
    <w:rsid w:val="00987CB9"/>
    <w:rsid w:val="00991F17"/>
    <w:rsid w:val="00995CB5"/>
    <w:rsid w:val="009A2D11"/>
    <w:rsid w:val="009A2E5D"/>
    <w:rsid w:val="009A755F"/>
    <w:rsid w:val="009C1571"/>
    <w:rsid w:val="009D255B"/>
    <w:rsid w:val="009D3BB2"/>
    <w:rsid w:val="009D3E94"/>
    <w:rsid w:val="009D415E"/>
    <w:rsid w:val="009E185B"/>
    <w:rsid w:val="009F4D4D"/>
    <w:rsid w:val="009F72F4"/>
    <w:rsid w:val="00A05FAA"/>
    <w:rsid w:val="00A11571"/>
    <w:rsid w:val="00A16729"/>
    <w:rsid w:val="00A22F7E"/>
    <w:rsid w:val="00A2755B"/>
    <w:rsid w:val="00A27FBF"/>
    <w:rsid w:val="00A3056D"/>
    <w:rsid w:val="00A30670"/>
    <w:rsid w:val="00A45B7A"/>
    <w:rsid w:val="00A5138C"/>
    <w:rsid w:val="00A6007C"/>
    <w:rsid w:val="00A62FDB"/>
    <w:rsid w:val="00A70ACA"/>
    <w:rsid w:val="00A70C57"/>
    <w:rsid w:val="00A757FD"/>
    <w:rsid w:val="00A861D1"/>
    <w:rsid w:val="00A87C87"/>
    <w:rsid w:val="00A90C27"/>
    <w:rsid w:val="00A9204E"/>
    <w:rsid w:val="00A94152"/>
    <w:rsid w:val="00A950F5"/>
    <w:rsid w:val="00AC36BC"/>
    <w:rsid w:val="00AC4E2B"/>
    <w:rsid w:val="00AC550D"/>
    <w:rsid w:val="00AC5B81"/>
    <w:rsid w:val="00AC6F41"/>
    <w:rsid w:val="00AC7CA2"/>
    <w:rsid w:val="00AD368D"/>
    <w:rsid w:val="00AD488C"/>
    <w:rsid w:val="00AD4AEF"/>
    <w:rsid w:val="00AE391C"/>
    <w:rsid w:val="00AE584A"/>
    <w:rsid w:val="00B01F05"/>
    <w:rsid w:val="00B04F90"/>
    <w:rsid w:val="00B10AC8"/>
    <w:rsid w:val="00B165B8"/>
    <w:rsid w:val="00B175ED"/>
    <w:rsid w:val="00B200CD"/>
    <w:rsid w:val="00B21F81"/>
    <w:rsid w:val="00B23A73"/>
    <w:rsid w:val="00B308C2"/>
    <w:rsid w:val="00B34DB0"/>
    <w:rsid w:val="00B36941"/>
    <w:rsid w:val="00B40183"/>
    <w:rsid w:val="00B4234C"/>
    <w:rsid w:val="00B432A8"/>
    <w:rsid w:val="00B51F1F"/>
    <w:rsid w:val="00B601AE"/>
    <w:rsid w:val="00B622C7"/>
    <w:rsid w:val="00B65714"/>
    <w:rsid w:val="00B66C24"/>
    <w:rsid w:val="00B71B3E"/>
    <w:rsid w:val="00B81BAC"/>
    <w:rsid w:val="00B84231"/>
    <w:rsid w:val="00B96F82"/>
    <w:rsid w:val="00BA7350"/>
    <w:rsid w:val="00BB0F1E"/>
    <w:rsid w:val="00BB1F58"/>
    <w:rsid w:val="00BC473C"/>
    <w:rsid w:val="00BD56FA"/>
    <w:rsid w:val="00BD65C7"/>
    <w:rsid w:val="00BE0042"/>
    <w:rsid w:val="00BE0479"/>
    <w:rsid w:val="00BE1D87"/>
    <w:rsid w:val="00BF2320"/>
    <w:rsid w:val="00BF45DD"/>
    <w:rsid w:val="00C05AE6"/>
    <w:rsid w:val="00C06608"/>
    <w:rsid w:val="00C13929"/>
    <w:rsid w:val="00C27942"/>
    <w:rsid w:val="00C31AF8"/>
    <w:rsid w:val="00C31C68"/>
    <w:rsid w:val="00C32144"/>
    <w:rsid w:val="00C36632"/>
    <w:rsid w:val="00C379BA"/>
    <w:rsid w:val="00C47563"/>
    <w:rsid w:val="00C53C19"/>
    <w:rsid w:val="00C5407E"/>
    <w:rsid w:val="00C56C76"/>
    <w:rsid w:val="00C573EE"/>
    <w:rsid w:val="00C57F98"/>
    <w:rsid w:val="00C6340B"/>
    <w:rsid w:val="00C8284E"/>
    <w:rsid w:val="00C83863"/>
    <w:rsid w:val="00C83C88"/>
    <w:rsid w:val="00C83CEB"/>
    <w:rsid w:val="00C97193"/>
    <w:rsid w:val="00CA2139"/>
    <w:rsid w:val="00CA2EBC"/>
    <w:rsid w:val="00CA64E5"/>
    <w:rsid w:val="00CB0131"/>
    <w:rsid w:val="00CD351A"/>
    <w:rsid w:val="00CD3A8A"/>
    <w:rsid w:val="00CD75C3"/>
    <w:rsid w:val="00CE0605"/>
    <w:rsid w:val="00CF34CF"/>
    <w:rsid w:val="00CF6DB2"/>
    <w:rsid w:val="00D04EE4"/>
    <w:rsid w:val="00D16818"/>
    <w:rsid w:val="00D245D5"/>
    <w:rsid w:val="00D25296"/>
    <w:rsid w:val="00D25A9F"/>
    <w:rsid w:val="00D26744"/>
    <w:rsid w:val="00D3108D"/>
    <w:rsid w:val="00D31FC7"/>
    <w:rsid w:val="00D424BC"/>
    <w:rsid w:val="00D45DD7"/>
    <w:rsid w:val="00D537BA"/>
    <w:rsid w:val="00D54BF6"/>
    <w:rsid w:val="00D62242"/>
    <w:rsid w:val="00D63B7A"/>
    <w:rsid w:val="00D63D8A"/>
    <w:rsid w:val="00D657E2"/>
    <w:rsid w:val="00D66ADD"/>
    <w:rsid w:val="00D67FE5"/>
    <w:rsid w:val="00D73FDB"/>
    <w:rsid w:val="00D77A2A"/>
    <w:rsid w:val="00D81FDC"/>
    <w:rsid w:val="00D8339D"/>
    <w:rsid w:val="00D90C8C"/>
    <w:rsid w:val="00D91D04"/>
    <w:rsid w:val="00DA13B7"/>
    <w:rsid w:val="00DB3811"/>
    <w:rsid w:val="00DB672A"/>
    <w:rsid w:val="00DC5933"/>
    <w:rsid w:val="00DE4528"/>
    <w:rsid w:val="00DF72FC"/>
    <w:rsid w:val="00E054E1"/>
    <w:rsid w:val="00E05F57"/>
    <w:rsid w:val="00E05F7D"/>
    <w:rsid w:val="00E11CC3"/>
    <w:rsid w:val="00E12460"/>
    <w:rsid w:val="00E178BB"/>
    <w:rsid w:val="00E2038B"/>
    <w:rsid w:val="00E33026"/>
    <w:rsid w:val="00E33E8A"/>
    <w:rsid w:val="00E34261"/>
    <w:rsid w:val="00E44EA7"/>
    <w:rsid w:val="00E45FD8"/>
    <w:rsid w:val="00E56FAB"/>
    <w:rsid w:val="00E6376E"/>
    <w:rsid w:val="00E655E5"/>
    <w:rsid w:val="00E67CEC"/>
    <w:rsid w:val="00E700BB"/>
    <w:rsid w:val="00E7055E"/>
    <w:rsid w:val="00E725EF"/>
    <w:rsid w:val="00E73E6D"/>
    <w:rsid w:val="00E80B11"/>
    <w:rsid w:val="00E8137F"/>
    <w:rsid w:val="00E94AF0"/>
    <w:rsid w:val="00E95536"/>
    <w:rsid w:val="00E97EBA"/>
    <w:rsid w:val="00EA08D4"/>
    <w:rsid w:val="00EA26C4"/>
    <w:rsid w:val="00EA339D"/>
    <w:rsid w:val="00EA3CB3"/>
    <w:rsid w:val="00EA4CB4"/>
    <w:rsid w:val="00EA4DF9"/>
    <w:rsid w:val="00EA553D"/>
    <w:rsid w:val="00EA73E6"/>
    <w:rsid w:val="00EB238F"/>
    <w:rsid w:val="00EB3115"/>
    <w:rsid w:val="00EB4B07"/>
    <w:rsid w:val="00EB5071"/>
    <w:rsid w:val="00EB713D"/>
    <w:rsid w:val="00EC0CE2"/>
    <w:rsid w:val="00EC2BCF"/>
    <w:rsid w:val="00EC46F1"/>
    <w:rsid w:val="00EC6478"/>
    <w:rsid w:val="00ED379C"/>
    <w:rsid w:val="00EE6B9C"/>
    <w:rsid w:val="00EF15CB"/>
    <w:rsid w:val="00EF18BF"/>
    <w:rsid w:val="00EF2340"/>
    <w:rsid w:val="00EF3079"/>
    <w:rsid w:val="00EF5F48"/>
    <w:rsid w:val="00EF71D6"/>
    <w:rsid w:val="00F025EC"/>
    <w:rsid w:val="00F042D8"/>
    <w:rsid w:val="00F04BF6"/>
    <w:rsid w:val="00F05D12"/>
    <w:rsid w:val="00F100A3"/>
    <w:rsid w:val="00F10B57"/>
    <w:rsid w:val="00F21012"/>
    <w:rsid w:val="00F23B21"/>
    <w:rsid w:val="00F27DFF"/>
    <w:rsid w:val="00F31F6D"/>
    <w:rsid w:val="00F36C13"/>
    <w:rsid w:val="00F41DAC"/>
    <w:rsid w:val="00F429A7"/>
    <w:rsid w:val="00F43695"/>
    <w:rsid w:val="00F46F6C"/>
    <w:rsid w:val="00F60334"/>
    <w:rsid w:val="00F67229"/>
    <w:rsid w:val="00F74000"/>
    <w:rsid w:val="00F93CED"/>
    <w:rsid w:val="00F9706D"/>
    <w:rsid w:val="00FA1BAA"/>
    <w:rsid w:val="00FA67F4"/>
    <w:rsid w:val="00FB33C2"/>
    <w:rsid w:val="00FC1BC5"/>
    <w:rsid w:val="00FC1F4E"/>
    <w:rsid w:val="00FC630C"/>
    <w:rsid w:val="00FD53AB"/>
    <w:rsid w:val="00FE1ADC"/>
    <w:rsid w:val="00FE2CEC"/>
    <w:rsid w:val="00FE5043"/>
    <w:rsid w:val="00FE6A80"/>
    <w:rsid w:val="00FE6E93"/>
    <w:rsid w:val="00FE7F94"/>
    <w:rsid w:val="00FF14D0"/>
    <w:rsid w:val="00FF3053"/>
    <w:rsid w:val="00FF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F714"/>
  <w15:chartTrackingRefBased/>
  <w15:docId w15:val="{60B0D886-8C59-46E9-AF4B-A928D218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3C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8D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00C4"/>
    <w:pPr>
      <w:autoSpaceDE w:val="0"/>
      <w:autoSpaceDN w:val="0"/>
      <w:adjustRightInd w:val="0"/>
    </w:pPr>
    <w:rPr>
      <w:rFonts w:ascii="Bradley Hand ITC" w:hAnsi="Bradley Hand ITC" w:cs="Bradley Hand ITC"/>
      <w:color w:val="000000"/>
      <w:sz w:val="24"/>
      <w:szCs w:val="24"/>
    </w:rPr>
  </w:style>
  <w:style w:type="paragraph" w:styleId="ListParagraph">
    <w:name w:val="List Paragraph"/>
    <w:basedOn w:val="Normal"/>
    <w:uiPriority w:val="34"/>
    <w:unhideWhenUsed/>
    <w:qFormat/>
    <w:rsid w:val="00EF18BF"/>
    <w:pPr>
      <w:ind w:left="720"/>
      <w:contextualSpacing/>
    </w:pPr>
  </w:style>
  <w:style w:type="character" w:styleId="PageNumber">
    <w:name w:val="page number"/>
    <w:basedOn w:val="DefaultParagraphFont"/>
    <w:uiPriority w:val="99"/>
    <w:semiHidden/>
    <w:unhideWhenUsed/>
    <w:rsid w:val="00B62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harpswellcoastalacademy.org/" TargetMode="Externa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Allen\AppData\Roaming\Microsoft\Templates\Single%20spaced%20(blank).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Grade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Grade!$A$1</c:f>
              <c:strCache>
                <c:ptCount val="1"/>
                <c:pt idx="0">
                  <c:v>6th Grade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Grade!$B$1</c:f>
              <c:numCache>
                <c:formatCode>General</c:formatCode>
                <c:ptCount val="1"/>
                <c:pt idx="0">
                  <c:v>12</c:v>
                </c:pt>
              </c:numCache>
            </c:numRef>
          </c:val>
          <c:extLst>
            <c:ext xmlns:c16="http://schemas.microsoft.com/office/drawing/2014/chart" uri="{C3380CC4-5D6E-409C-BE32-E72D297353CC}">
              <c16:uniqueId val="{00000000-D69F-4862-B70F-A385F3677ED5}"/>
            </c:ext>
          </c:extLst>
        </c:ser>
        <c:ser>
          <c:idx val="1"/>
          <c:order val="1"/>
          <c:tx>
            <c:strRef>
              <c:f>Grade!$A$2</c:f>
              <c:strCache>
                <c:ptCount val="1"/>
                <c:pt idx="0">
                  <c:v>7th Grade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Grade!$B$2</c:f>
              <c:numCache>
                <c:formatCode>General</c:formatCode>
                <c:ptCount val="1"/>
                <c:pt idx="0">
                  <c:v>23</c:v>
                </c:pt>
              </c:numCache>
            </c:numRef>
          </c:val>
          <c:extLst>
            <c:ext xmlns:c16="http://schemas.microsoft.com/office/drawing/2014/chart" uri="{C3380CC4-5D6E-409C-BE32-E72D297353CC}">
              <c16:uniqueId val="{00000001-D69F-4862-B70F-A385F3677ED5}"/>
            </c:ext>
          </c:extLst>
        </c:ser>
        <c:ser>
          <c:idx val="2"/>
          <c:order val="2"/>
          <c:tx>
            <c:strRef>
              <c:f>Grade!$A$3</c:f>
              <c:strCache>
                <c:ptCount val="1"/>
                <c:pt idx="0">
                  <c:v>8th Grade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Grade!$B$3</c:f>
              <c:numCache>
                <c:formatCode>General</c:formatCode>
                <c:ptCount val="1"/>
                <c:pt idx="0">
                  <c:v>30</c:v>
                </c:pt>
              </c:numCache>
            </c:numRef>
          </c:val>
          <c:extLst>
            <c:ext xmlns:c16="http://schemas.microsoft.com/office/drawing/2014/chart" uri="{C3380CC4-5D6E-409C-BE32-E72D297353CC}">
              <c16:uniqueId val="{00000002-D69F-4862-B70F-A385F3677ED5}"/>
            </c:ext>
          </c:extLst>
        </c:ser>
        <c:ser>
          <c:idx val="3"/>
          <c:order val="3"/>
          <c:tx>
            <c:strRef>
              <c:f>Grade!$A$4</c:f>
              <c:strCache>
                <c:ptCount val="1"/>
                <c:pt idx="0">
                  <c:v>9th Grade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Grade!$B$4</c:f>
              <c:numCache>
                <c:formatCode>General</c:formatCode>
                <c:ptCount val="1"/>
                <c:pt idx="0">
                  <c:v>28</c:v>
                </c:pt>
              </c:numCache>
            </c:numRef>
          </c:val>
          <c:extLst>
            <c:ext xmlns:c16="http://schemas.microsoft.com/office/drawing/2014/chart" uri="{C3380CC4-5D6E-409C-BE32-E72D297353CC}">
              <c16:uniqueId val="{00000003-D69F-4862-B70F-A385F3677ED5}"/>
            </c:ext>
          </c:extLst>
        </c:ser>
        <c:ser>
          <c:idx val="4"/>
          <c:order val="4"/>
          <c:tx>
            <c:strRef>
              <c:f>Grade!$A$5</c:f>
              <c:strCache>
                <c:ptCount val="1"/>
                <c:pt idx="0">
                  <c:v>10th Grade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Grade!$B$5</c:f>
              <c:numCache>
                <c:formatCode>General</c:formatCode>
                <c:ptCount val="1"/>
                <c:pt idx="0">
                  <c:v>41</c:v>
                </c:pt>
              </c:numCache>
            </c:numRef>
          </c:val>
          <c:extLst>
            <c:ext xmlns:c16="http://schemas.microsoft.com/office/drawing/2014/chart" uri="{C3380CC4-5D6E-409C-BE32-E72D297353CC}">
              <c16:uniqueId val="{00000004-D69F-4862-B70F-A385F3677ED5}"/>
            </c:ext>
          </c:extLst>
        </c:ser>
        <c:ser>
          <c:idx val="5"/>
          <c:order val="5"/>
          <c:tx>
            <c:strRef>
              <c:f>Grade!$A$6</c:f>
              <c:strCache>
                <c:ptCount val="1"/>
                <c:pt idx="0">
                  <c:v>11th Grade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Grade!$B$6</c:f>
              <c:numCache>
                <c:formatCode>General</c:formatCode>
                <c:ptCount val="1"/>
                <c:pt idx="0">
                  <c:v>30</c:v>
                </c:pt>
              </c:numCache>
            </c:numRef>
          </c:val>
          <c:extLst>
            <c:ext xmlns:c16="http://schemas.microsoft.com/office/drawing/2014/chart" uri="{C3380CC4-5D6E-409C-BE32-E72D297353CC}">
              <c16:uniqueId val="{00000005-D69F-4862-B70F-A385F3677ED5}"/>
            </c:ext>
          </c:extLst>
        </c:ser>
        <c:ser>
          <c:idx val="6"/>
          <c:order val="6"/>
          <c:tx>
            <c:strRef>
              <c:f>Grade!$A$7</c:f>
              <c:strCache>
                <c:ptCount val="1"/>
                <c:pt idx="0">
                  <c:v>12th Grade</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Grade!$B$7</c:f>
              <c:numCache>
                <c:formatCode>General</c:formatCode>
                <c:ptCount val="1"/>
                <c:pt idx="0">
                  <c:v>31</c:v>
                </c:pt>
              </c:numCache>
            </c:numRef>
          </c:val>
          <c:extLst>
            <c:ext xmlns:c16="http://schemas.microsoft.com/office/drawing/2014/chart" uri="{C3380CC4-5D6E-409C-BE32-E72D297353CC}">
              <c16:uniqueId val="{00000006-D69F-4862-B70F-A385F3677ED5}"/>
            </c:ext>
          </c:extLst>
        </c:ser>
        <c:dLbls>
          <c:showLegendKey val="0"/>
          <c:showVal val="0"/>
          <c:showCatName val="0"/>
          <c:showSerName val="0"/>
          <c:showPercent val="0"/>
          <c:showBubbleSize val="0"/>
        </c:dLbls>
        <c:gapWidth val="219"/>
        <c:overlap val="-27"/>
        <c:axId val="480416192"/>
        <c:axId val="480419472"/>
      </c:barChart>
      <c:catAx>
        <c:axId val="480416192"/>
        <c:scaling>
          <c:orientation val="minMax"/>
        </c:scaling>
        <c:delete val="1"/>
        <c:axPos val="b"/>
        <c:numFmt formatCode="General" sourceLinked="1"/>
        <c:majorTickMark val="none"/>
        <c:minorTickMark val="none"/>
        <c:tickLblPos val="nextTo"/>
        <c:crossAx val="480419472"/>
        <c:crosses val="autoZero"/>
        <c:auto val="1"/>
        <c:lblAlgn val="ctr"/>
        <c:lblOffset val="100"/>
        <c:noMultiLvlLbl val="0"/>
      </c:catAx>
      <c:valAx>
        <c:axId val="480419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416192"/>
        <c:crosses val="autoZero"/>
        <c:crossBetween val="between"/>
      </c:valAx>
      <c:spPr>
        <a:noFill/>
        <a:ln>
          <a:noFill/>
        </a:ln>
        <a:effectLst/>
      </c:spPr>
    </c:plotArea>
    <c:legend>
      <c:legendPos val="b"/>
      <c:layout>
        <c:manualLayout>
          <c:xMode val="edge"/>
          <c:yMode val="edge"/>
          <c:x val="3.241557305336832E-2"/>
          <c:y val="0.78931904345290171"/>
          <c:w val="0.93516885389326332"/>
          <c:h val="0.182903178769320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Gender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F68-4B6E-89FF-D4C5C5A6E042}"/>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AF68-4B6E-89FF-D4C5C5A6E042}"/>
              </c:ext>
            </c:extLst>
          </c:dPt>
          <c:dLbls>
            <c:dLbl>
              <c:idx val="0"/>
              <c:layout>
                <c:manualLayout>
                  <c:x val="-1.3446631671041119E-2"/>
                  <c:y val="6.2135462233887433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68-4B6E-89FF-D4C5C5A6E042}"/>
                </c:ext>
              </c:extLst>
            </c:dLbl>
            <c:dLbl>
              <c:idx val="1"/>
              <c:layout>
                <c:manualLayout>
                  <c:x val="3.0595800524934384E-2"/>
                  <c:y val="-0.10311424613589967"/>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F68-4B6E-89FF-D4C5C5A6E04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Gender!$A$1:$A$2</c:f>
              <c:strCache>
                <c:ptCount val="2"/>
                <c:pt idx="0">
                  <c:v>Male</c:v>
                </c:pt>
                <c:pt idx="1">
                  <c:v>Female</c:v>
                </c:pt>
              </c:strCache>
            </c:strRef>
          </c:cat>
          <c:val>
            <c:numRef>
              <c:f>Gender!$B$1:$B$2</c:f>
              <c:numCache>
                <c:formatCode>General</c:formatCode>
                <c:ptCount val="2"/>
                <c:pt idx="0">
                  <c:v>115</c:v>
                </c:pt>
                <c:pt idx="1">
                  <c:v>80</c:v>
                </c:pt>
              </c:numCache>
            </c:numRef>
          </c:val>
          <c:extLst>
            <c:ext xmlns:c16="http://schemas.microsoft.com/office/drawing/2014/chart" uri="{C3380CC4-5D6E-409C-BE32-E72D297353CC}">
              <c16:uniqueId val="{00000004-AF68-4B6E-89FF-D4C5C5A6E04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Economically Disadvantaged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574B-4E35-B035-864A960632B1}"/>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574B-4E35-B035-864A960632B1}"/>
              </c:ext>
            </c:extLst>
          </c:dPt>
          <c:dLbls>
            <c:dLbl>
              <c:idx val="0"/>
              <c:layout>
                <c:manualLayout>
                  <c:x val="-1.7543963254593176E-2"/>
                  <c:y val="9.6936060075823852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4B-4E35-B035-864A960632B1}"/>
                </c:ext>
              </c:extLst>
            </c:dLbl>
            <c:dLbl>
              <c:idx val="1"/>
              <c:layout>
                <c:manualLayout>
                  <c:x val="4.3026465441819775E-2"/>
                  <c:y val="-0.1564329979585885"/>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4B-4E35-B035-864A960632B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'Economically Disadvantaged'!$A$1:$A$2</c:f>
              <c:strCache>
                <c:ptCount val="2"/>
                <c:pt idx="0">
                  <c:v>Yes</c:v>
                </c:pt>
                <c:pt idx="1">
                  <c:v>No</c:v>
                </c:pt>
              </c:strCache>
            </c:strRef>
          </c:cat>
          <c:val>
            <c:numRef>
              <c:f>'Economically Disadvantaged'!$B$1:$B$2</c:f>
              <c:numCache>
                <c:formatCode>General</c:formatCode>
                <c:ptCount val="2"/>
                <c:pt idx="0">
                  <c:v>110</c:v>
                </c:pt>
                <c:pt idx="1">
                  <c:v>85</c:v>
                </c:pt>
              </c:numCache>
            </c:numRef>
          </c:val>
          <c:extLst>
            <c:ext xmlns:c16="http://schemas.microsoft.com/office/drawing/2014/chart" uri="{C3380CC4-5D6E-409C-BE32-E72D297353CC}">
              <c16:uniqueId val="{00000004-574B-4E35-B035-864A960632B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Special Education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371-4ABD-914F-F92EEE508CF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F371-4ABD-914F-F92EEE508CFC}"/>
              </c:ext>
            </c:extLst>
          </c:dPt>
          <c:dLbls>
            <c:dLbl>
              <c:idx val="0"/>
              <c:layout>
                <c:manualLayout>
                  <c:x val="-3.1129265091863517E-2"/>
                  <c:y val="-5.4460848643919507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71-4ABD-914F-F92EEE508CFC}"/>
                </c:ext>
              </c:extLst>
            </c:dLbl>
            <c:dLbl>
              <c:idx val="1"/>
              <c:layout>
                <c:manualLayout>
                  <c:x val="1.5365048118985127E-2"/>
                  <c:y val="3.3158355205599385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371-4ABD-914F-F92EEE508CF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'Special Education'!$A$1:$A$2</c:f>
              <c:strCache>
                <c:ptCount val="2"/>
                <c:pt idx="0">
                  <c:v>Yes</c:v>
                </c:pt>
                <c:pt idx="1">
                  <c:v>No</c:v>
                </c:pt>
              </c:strCache>
            </c:strRef>
          </c:cat>
          <c:val>
            <c:numRef>
              <c:f>'Special Education'!$B$1:$B$2</c:f>
              <c:numCache>
                <c:formatCode>General</c:formatCode>
                <c:ptCount val="2"/>
                <c:pt idx="0">
                  <c:v>63</c:v>
                </c:pt>
                <c:pt idx="1">
                  <c:v>132</c:v>
                </c:pt>
              </c:numCache>
            </c:numRef>
          </c:val>
          <c:extLst>
            <c:ext xmlns:c16="http://schemas.microsoft.com/office/drawing/2014/chart" uri="{C3380CC4-5D6E-409C-BE32-E72D297353CC}">
              <c16:uniqueId val="{00000004-F371-4ABD-914F-F92EEE508CF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reation xmlns="ca542eda-9bbe-4daa-aea7-fbd02749a7e4" xsi:nil="true"/>
    <Creation_x0020_Date xmlns="ca542eda-9bbe-4daa-aea7-fbd02749a7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2EEE4ADFB5BB4C8FA56836E3B9D136" ma:contentTypeVersion="14" ma:contentTypeDescription="Create a new document." ma:contentTypeScope="" ma:versionID="a697a6087b95c4c8140772f43ba61abb">
  <xsd:schema xmlns:xsd="http://www.w3.org/2001/XMLSchema" xmlns:xs="http://www.w3.org/2001/XMLSchema" xmlns:p="http://schemas.microsoft.com/office/2006/metadata/properties" xmlns:ns2="ca542eda-9bbe-4daa-aea7-fbd02749a7e4" xmlns:ns3="4ce7085a-4b98-444d-82d6-ba2d134b35ab" targetNamespace="http://schemas.microsoft.com/office/2006/metadata/properties" ma:root="true" ma:fieldsID="85d3eccc72472b406b923ea1910e4438" ns2:_="" ns3:_="">
    <xsd:import namespace="ca542eda-9bbe-4daa-aea7-fbd02749a7e4"/>
    <xsd:import namespace="4ce7085a-4b98-444d-82d6-ba2d134b35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Creation_x0020_Date" minOccurs="0"/>
                <xsd:element ref="ns2:Cre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42eda-9bbe-4daa-aea7-fbd02749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Creation_x0020_Date" ma:index="16" nillable="true" ma:displayName="Creation Date" ma:format="DateOnly" ma:internalName="Creation_x0020_Date">
      <xsd:simpleType>
        <xsd:restriction base="dms:DateTime"/>
      </xsd:simpleType>
    </xsd:element>
    <xsd:element name="Creation" ma:index="17" nillable="true" ma:displayName="Creation" ma:format="DateOnly" ma:internalName="Creation">
      <xsd:simpleType>
        <xsd:restriction base="dms:DateTim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7085a-4b98-444d-82d6-ba2d134b35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C2743-8B63-4010-8870-436268F80900}">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ca542eda-9bbe-4daa-aea7-fbd02749a7e4"/>
  </ds:schemaRefs>
</ds:datastoreItem>
</file>

<file path=customXml/itemProps3.xml><?xml version="1.0" encoding="utf-8"?>
<ds:datastoreItem xmlns:ds="http://schemas.openxmlformats.org/officeDocument/2006/customXml" ds:itemID="{8A07BDBA-7E74-4574-8637-CA928B9A3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42eda-9bbe-4daa-aea7-fbd02749a7e4"/>
    <ds:schemaRef ds:uri="4ce7085a-4b98-444d-82d6-ba2d134b3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3F928-9A80-4767-9FB6-76510A18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521</TotalTime>
  <Pages>18</Pages>
  <Words>3950</Words>
  <Characters>22519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Amy L</dc:creator>
  <cp:keywords/>
  <dc:description/>
  <cp:lastModifiedBy>Allen, Amy L</cp:lastModifiedBy>
  <cp:revision>501</cp:revision>
  <dcterms:created xsi:type="dcterms:W3CDTF">2018-05-18T11:47:00Z</dcterms:created>
  <dcterms:modified xsi:type="dcterms:W3CDTF">2020-02-13T21:00:00Z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0x010100232EEE4ADFB5BB4C8FA56836E3B9D136</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