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774" w:rsidRDefault="00DE4774" w:rsidP="00DE4774">
      <w:pPr>
        <w:pStyle w:val="DefaultText"/>
        <w:jc w:val="center"/>
        <w:rPr>
          <w:rStyle w:val="InitialStyle"/>
          <w:rFonts w:ascii="Univers ( 1)" w:hAnsi="Univers ( 1)"/>
          <w:sz w:val="14"/>
        </w:rPr>
      </w:pPr>
      <w:bookmarkStart w:id="0" w:name="_GoBack"/>
      <w:bookmarkEnd w:id="0"/>
      <w:r>
        <w:rPr>
          <w:noProof/>
          <w:sz w:val="20"/>
        </w:rPr>
        <w:drawing>
          <wp:anchor distT="0" distB="0" distL="114300" distR="114300" simplePos="0" relativeHeight="251702272" behindDoc="0" locked="0" layoutInCell="1" allowOverlap="1">
            <wp:simplePos x="0" y="0"/>
            <wp:positionH relativeFrom="column">
              <wp:posOffset>2108835</wp:posOffset>
            </wp:positionH>
            <wp:positionV relativeFrom="paragraph">
              <wp:posOffset>-134620</wp:posOffset>
            </wp:positionV>
            <wp:extent cx="1879600" cy="1257300"/>
            <wp:effectExtent l="0" t="0" r="0" b="0"/>
            <wp:wrapSquare wrapText="bothSides"/>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r="-8000" b="12666"/>
                    <a:stretch>
                      <a:fillRect/>
                    </a:stretch>
                  </pic:blipFill>
                  <pic:spPr bwMode="auto">
                    <a:xfrm>
                      <a:off x="0" y="0"/>
                      <a:ext cx="18796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4774" w:rsidRDefault="00DE4774" w:rsidP="00DE4774">
      <w:pPr>
        <w:pStyle w:val="DefaultText"/>
        <w:rPr>
          <w:rStyle w:val="InitialStyle"/>
          <w:rFonts w:ascii="Univers ( 1)" w:hAnsi="Univers ( 1)"/>
          <w:sz w:val="14"/>
        </w:rPr>
      </w:pPr>
    </w:p>
    <w:p w:rsidR="00DE4774" w:rsidRDefault="00DE4774" w:rsidP="00DE4774">
      <w:pPr>
        <w:pStyle w:val="DefaultText"/>
        <w:rPr>
          <w:rStyle w:val="InitialStyle"/>
          <w:rFonts w:ascii="Univers ( 1)" w:hAnsi="Univers ( 1)"/>
          <w:sz w:val="14"/>
        </w:rPr>
      </w:pPr>
    </w:p>
    <w:p w:rsidR="00DE4774" w:rsidRDefault="00DE4774" w:rsidP="00DE4774">
      <w:pPr>
        <w:pStyle w:val="DefaultText"/>
        <w:rPr>
          <w:rStyle w:val="InitialStyle"/>
          <w:rFonts w:ascii="Univers ( 1)" w:hAnsi="Univers ( 1)"/>
          <w:sz w:val="14"/>
        </w:rPr>
      </w:pPr>
    </w:p>
    <w:p w:rsidR="00DE4774" w:rsidRDefault="00DE4774" w:rsidP="00DE4774">
      <w:pPr>
        <w:pStyle w:val="DefaultText"/>
        <w:rPr>
          <w:rStyle w:val="InitialStyle"/>
          <w:rFonts w:ascii="Univers ( 1)" w:hAnsi="Univers ( 1)"/>
          <w:sz w:val="14"/>
        </w:rPr>
      </w:pPr>
    </w:p>
    <w:p w:rsidR="00DE4774" w:rsidRDefault="00DE4774" w:rsidP="00DE4774">
      <w:pPr>
        <w:pStyle w:val="DefaultText"/>
        <w:jc w:val="center"/>
        <w:rPr>
          <w:rStyle w:val="InitialStyle"/>
          <w:rFonts w:ascii="Arial" w:hAnsi="Arial"/>
          <w:sz w:val="14"/>
        </w:rPr>
      </w:pPr>
    </w:p>
    <w:p w:rsidR="00DE4774" w:rsidRDefault="00DE4774" w:rsidP="00DE4774">
      <w:pPr>
        <w:pStyle w:val="DefaultText"/>
        <w:ind w:left="1440"/>
        <w:rPr>
          <w:rStyle w:val="InitialStyle"/>
          <w:rFonts w:ascii="Arial" w:hAnsi="Arial"/>
          <w:sz w:val="14"/>
        </w:rPr>
      </w:pPr>
    </w:p>
    <w:p w:rsidR="00DE4774" w:rsidRDefault="00DE4774" w:rsidP="00DE4774">
      <w:pPr>
        <w:pStyle w:val="DefaultText"/>
        <w:ind w:left="1440"/>
        <w:rPr>
          <w:rStyle w:val="InitialStyle"/>
          <w:rFonts w:ascii="Arial" w:hAnsi="Arial"/>
          <w:sz w:val="14"/>
        </w:rPr>
      </w:pPr>
    </w:p>
    <w:p w:rsidR="00DE4774" w:rsidRDefault="00DE4774" w:rsidP="00DE4774">
      <w:pPr>
        <w:pStyle w:val="DefaultText"/>
        <w:ind w:left="3600"/>
        <w:rPr>
          <w:rStyle w:val="InitialStyle"/>
          <w:rFonts w:ascii="Arial" w:hAnsi="Arial"/>
          <w:sz w:val="14"/>
        </w:rPr>
      </w:pPr>
      <w:r>
        <w:rPr>
          <w:rStyle w:val="InitialStyle"/>
          <w:rFonts w:ascii="Arial" w:hAnsi="Arial"/>
          <w:sz w:val="14"/>
        </w:rPr>
        <w:t xml:space="preserve">         </w:t>
      </w:r>
    </w:p>
    <w:p w:rsidR="00DE4774" w:rsidRDefault="00DE4774" w:rsidP="00DE4774">
      <w:pPr>
        <w:pStyle w:val="DefaultText"/>
        <w:ind w:left="3600"/>
        <w:rPr>
          <w:rStyle w:val="InitialStyle"/>
          <w:rFonts w:ascii="Arial" w:hAnsi="Arial"/>
          <w:sz w:val="14"/>
        </w:rPr>
      </w:pPr>
    </w:p>
    <w:p w:rsidR="00DE4774" w:rsidRDefault="00DE4774" w:rsidP="00DE4774">
      <w:pPr>
        <w:pStyle w:val="DefaultText"/>
        <w:ind w:left="3600"/>
        <w:rPr>
          <w:rStyle w:val="InitialStyle"/>
          <w:rFonts w:ascii="Arial" w:hAnsi="Arial"/>
          <w:sz w:val="14"/>
        </w:rPr>
      </w:pPr>
    </w:p>
    <w:p w:rsidR="00DE4774" w:rsidRDefault="00DE4774" w:rsidP="00DE4774">
      <w:pPr>
        <w:pStyle w:val="DefaultText"/>
        <w:ind w:left="3600"/>
        <w:rPr>
          <w:rStyle w:val="InitialStyle"/>
          <w:rFonts w:ascii="Arial" w:hAnsi="Arial"/>
          <w:sz w:val="14"/>
        </w:rPr>
      </w:pPr>
      <w:r>
        <w:rPr>
          <w:rStyle w:val="InitialStyle"/>
          <w:rFonts w:ascii="Arial" w:hAnsi="Arial"/>
          <w:sz w:val="14"/>
        </w:rPr>
        <w:t xml:space="preserve">        </w:t>
      </w:r>
    </w:p>
    <w:p w:rsidR="00DE4774" w:rsidRDefault="00DE4774" w:rsidP="00DE4774">
      <w:pPr>
        <w:jc w:val="center"/>
        <w:rPr>
          <w:rStyle w:val="InitialStyle"/>
          <w:rFonts w:ascii="Arial Black" w:hAnsi="Arial Black"/>
          <w:sz w:val="14"/>
        </w:rPr>
      </w:pPr>
      <w:r>
        <w:rPr>
          <w:rStyle w:val="InitialStyle"/>
          <w:rFonts w:ascii="Arial" w:hAnsi="Arial"/>
          <w:sz w:val="14"/>
        </w:rPr>
        <w:t xml:space="preserve">STATE OF </w:t>
      </w:r>
      <w:smartTag w:uri="urn:schemas-microsoft-com:office:smarttags" w:element="place">
        <w:smartTag w:uri="urn:schemas-microsoft-com:office:smarttags" w:element="State">
          <w:r>
            <w:rPr>
              <w:rStyle w:val="InitialStyle"/>
              <w:rFonts w:ascii="Arial" w:hAnsi="Arial"/>
              <w:sz w:val="14"/>
            </w:rPr>
            <w:t>MAINE</w:t>
          </w:r>
        </w:smartTag>
      </w:smartTag>
    </w:p>
    <w:p w:rsidR="00DE4774" w:rsidRDefault="00DE4774" w:rsidP="00DE4774">
      <w:pPr>
        <w:pStyle w:val="DefaultText"/>
        <w:rPr>
          <w:rStyle w:val="InitialStyle"/>
          <w:rFonts w:ascii="Univers ( 1)" w:hAnsi="Univers ( 1)"/>
          <w:b/>
          <w:sz w:val="20"/>
        </w:rPr>
      </w:pPr>
      <w:r>
        <w:rPr>
          <w:rStyle w:val="InitialStyle"/>
          <w:rFonts w:ascii="Univers ( 1)" w:hAnsi="Univers ( 1)"/>
        </w:rPr>
        <w:tab/>
      </w:r>
    </w:p>
    <w:p w:rsidR="00DE4774" w:rsidRDefault="00DE4774" w:rsidP="00DE4774">
      <w:pPr>
        <w:jc w:val="center"/>
        <w:rPr>
          <w:rStyle w:val="InitialStyle"/>
          <w:rFonts w:ascii="Univers ( 1)" w:hAnsi="Univers ( 1)"/>
          <w:b/>
          <w:sz w:val="20"/>
        </w:rPr>
      </w:pPr>
      <w:r>
        <w:rPr>
          <w:rStyle w:val="InitialStyle"/>
          <w:rFonts w:ascii="Univers ( 1)" w:hAnsi="Univers ( 1)"/>
          <w:b/>
          <w:sz w:val="20"/>
        </w:rPr>
        <w:t>DEPARTMENT OF ADMINISTRATIVE &amp; FINANCIAL SERVICES</w:t>
      </w:r>
    </w:p>
    <w:p w:rsidR="00DE4774" w:rsidRDefault="00DE4774" w:rsidP="00DE4774">
      <w:pPr>
        <w:pStyle w:val="DefaultText"/>
        <w:jc w:val="center"/>
        <w:rPr>
          <w:rStyle w:val="InitialStyle"/>
          <w:rFonts w:ascii="Arial" w:hAnsi="Arial"/>
          <w:b/>
          <w:sz w:val="16"/>
        </w:rPr>
      </w:pPr>
      <w:r>
        <w:rPr>
          <w:rStyle w:val="InitialStyle"/>
          <w:rFonts w:ascii="Arial" w:hAnsi="Arial"/>
          <w:b/>
          <w:sz w:val="16"/>
        </w:rPr>
        <w:t>Bureau of the Budget</w:t>
      </w:r>
    </w:p>
    <w:p w:rsidR="00DE4774" w:rsidRDefault="00DE4774" w:rsidP="00DE4774">
      <w:pPr>
        <w:pStyle w:val="DefaultText"/>
        <w:jc w:val="center"/>
        <w:rPr>
          <w:rStyle w:val="InitialStyle"/>
          <w:rFonts w:ascii="Arial" w:hAnsi="Arial"/>
          <w:sz w:val="14"/>
        </w:rPr>
      </w:pPr>
      <w:r>
        <w:rPr>
          <w:rStyle w:val="InitialStyle"/>
          <w:rFonts w:ascii="Arial" w:hAnsi="Arial"/>
          <w:sz w:val="14"/>
        </w:rPr>
        <w:t>State House Station #58</w:t>
      </w:r>
    </w:p>
    <w:p w:rsidR="00DE4774" w:rsidRDefault="00DE4774" w:rsidP="00DE4774">
      <w:pPr>
        <w:pStyle w:val="DefaultText"/>
        <w:jc w:val="center"/>
        <w:rPr>
          <w:rStyle w:val="InitialStyle"/>
          <w:rFonts w:ascii="Arial" w:hAnsi="Arial"/>
          <w:sz w:val="14"/>
        </w:rPr>
      </w:pPr>
      <w:smartTag w:uri="urn:schemas-microsoft-com:office:smarttags" w:element="place">
        <w:smartTag w:uri="urn:schemas-microsoft-com:office:smarttags" w:element="City">
          <w:r>
            <w:rPr>
              <w:rStyle w:val="InitialStyle"/>
              <w:rFonts w:ascii="Arial" w:hAnsi="Arial"/>
              <w:sz w:val="14"/>
            </w:rPr>
            <w:t>Augusta</w:t>
          </w:r>
        </w:smartTag>
        <w:r>
          <w:rPr>
            <w:rStyle w:val="InitialStyle"/>
            <w:rFonts w:ascii="Arial" w:hAnsi="Arial"/>
            <w:sz w:val="14"/>
          </w:rPr>
          <w:t xml:space="preserve">, </w:t>
        </w:r>
        <w:smartTag w:uri="urn:schemas-microsoft-com:office:smarttags" w:element="State">
          <w:r>
            <w:rPr>
              <w:rStyle w:val="InitialStyle"/>
              <w:rFonts w:ascii="Arial" w:hAnsi="Arial"/>
              <w:sz w:val="14"/>
            </w:rPr>
            <w:t>Maine</w:t>
          </w:r>
        </w:smartTag>
        <w:r>
          <w:rPr>
            <w:rStyle w:val="InitialStyle"/>
            <w:rFonts w:ascii="Arial" w:hAnsi="Arial"/>
            <w:sz w:val="14"/>
          </w:rPr>
          <w:t xml:space="preserve"> </w:t>
        </w:r>
        <w:smartTag w:uri="urn:schemas-microsoft-com:office:smarttags" w:element="PostalCode">
          <w:r>
            <w:rPr>
              <w:rStyle w:val="InitialStyle"/>
              <w:rFonts w:ascii="Arial" w:hAnsi="Arial"/>
              <w:sz w:val="14"/>
            </w:rPr>
            <w:t>04333</w:t>
          </w:r>
        </w:smartTag>
      </w:smartTag>
    </w:p>
    <w:p w:rsidR="00DE4774" w:rsidRDefault="00DE4774" w:rsidP="00DE4774">
      <w:pPr>
        <w:pStyle w:val="DefaultText"/>
        <w:rPr>
          <w:rStyle w:val="InitialStyle"/>
          <w:rFonts w:ascii="Arial" w:hAnsi="Arial"/>
          <w:sz w:val="14"/>
        </w:rPr>
      </w:pPr>
    </w:p>
    <w:p w:rsidR="00DE4774" w:rsidRDefault="00DE4774" w:rsidP="00DE4774">
      <w:pPr>
        <w:pStyle w:val="DefaultText"/>
        <w:rPr>
          <w:rStyle w:val="InitialStyle"/>
          <w:rFonts w:ascii="Univers ( 1)" w:hAnsi="Univers ( 1)"/>
          <w:sz w:val="14"/>
        </w:rPr>
      </w:pPr>
    </w:p>
    <w:p w:rsidR="00DE4774" w:rsidRDefault="00DE4774" w:rsidP="00DE4774">
      <w:pPr>
        <w:pStyle w:val="DefaultText"/>
        <w:rPr>
          <w:rStyle w:val="InitialStyle"/>
          <w:rFonts w:ascii="Univers ( 1)" w:hAnsi="Univers ( 1)"/>
          <w:sz w:val="14"/>
        </w:rPr>
      </w:pPr>
    </w:p>
    <w:p w:rsidR="00DE4774" w:rsidRDefault="00DE4774" w:rsidP="00DE4774">
      <w:pPr>
        <w:pStyle w:val="DefaultText"/>
        <w:rPr>
          <w:rStyle w:val="InitialStyle"/>
          <w:rFonts w:ascii="Univers ( 1)" w:hAnsi="Univers ( 1)"/>
          <w:sz w:val="14"/>
        </w:rPr>
      </w:pPr>
    </w:p>
    <w:p w:rsidR="00DE4774" w:rsidRDefault="00DE4774" w:rsidP="00DE4774">
      <w:pPr>
        <w:pStyle w:val="DefaultText"/>
        <w:rPr>
          <w:rStyle w:val="InitialStyle"/>
          <w:rFonts w:ascii="CG Times" w:hAnsi="CG Times"/>
        </w:rPr>
      </w:pPr>
      <w:r>
        <w:rPr>
          <w:rStyle w:val="InitialStyle"/>
          <w:rFonts w:ascii="CG Times" w:hAnsi="CG Times"/>
          <w:b/>
        </w:rPr>
        <w:t>Date:</w:t>
      </w:r>
      <w:r w:rsidR="00C36B2B">
        <w:rPr>
          <w:rStyle w:val="InitialStyle"/>
          <w:rFonts w:ascii="CG Times" w:hAnsi="CG Times"/>
        </w:rPr>
        <w:t xml:space="preserve"> </w:t>
      </w:r>
      <w:r w:rsidR="00C36B2B">
        <w:rPr>
          <w:rStyle w:val="InitialStyle"/>
          <w:rFonts w:ascii="CG Times" w:hAnsi="CG Times"/>
        </w:rPr>
        <w:tab/>
        <w:t>September 28</w:t>
      </w:r>
      <w:r>
        <w:rPr>
          <w:rStyle w:val="InitialStyle"/>
          <w:rFonts w:ascii="CG Times" w:hAnsi="CG Times"/>
        </w:rPr>
        <w:t>, 2012</w:t>
      </w:r>
    </w:p>
    <w:p w:rsidR="00DE4774" w:rsidRDefault="00DE4774" w:rsidP="00DE4774">
      <w:pPr>
        <w:pStyle w:val="DefaultText"/>
        <w:rPr>
          <w:rStyle w:val="InitialStyle"/>
          <w:rFonts w:ascii="CG Times" w:hAnsi="CG Times"/>
        </w:rPr>
      </w:pPr>
    </w:p>
    <w:p w:rsidR="00DE4774" w:rsidRPr="00437888" w:rsidRDefault="00DE4774" w:rsidP="00DE4774">
      <w:pPr>
        <w:pStyle w:val="DefaultText"/>
      </w:pPr>
      <w:r w:rsidRPr="00437888">
        <w:rPr>
          <w:rStyle w:val="InitialStyle"/>
          <w:rFonts w:ascii="CG Times" w:hAnsi="CG Times"/>
          <w:b/>
        </w:rPr>
        <w:t>T</w:t>
      </w:r>
      <w:r w:rsidRPr="00437888">
        <w:rPr>
          <w:b/>
        </w:rPr>
        <w:t>o:</w:t>
      </w:r>
      <w:r>
        <w:t xml:space="preserve"> </w:t>
      </w:r>
      <w:r>
        <w:tab/>
        <w:t>Honorable Paul R. LePage</w:t>
      </w:r>
      <w:r w:rsidRPr="00437888">
        <w:t>, Governor</w:t>
      </w:r>
    </w:p>
    <w:p w:rsidR="00DE4774" w:rsidRPr="00025DFF" w:rsidRDefault="00DE4774" w:rsidP="00DE4774">
      <w:pPr>
        <w:pStyle w:val="DefaultText"/>
        <w:ind w:firstLine="360"/>
      </w:pPr>
      <w:r w:rsidRPr="00025DFF">
        <w:t xml:space="preserve">      Honorable </w:t>
      </w:r>
      <w:r>
        <w:t>Kevin L. Raye</w:t>
      </w:r>
      <w:r w:rsidRPr="00025DFF">
        <w:t>, President of the Senate</w:t>
      </w:r>
    </w:p>
    <w:p w:rsidR="00DE4774" w:rsidRPr="00ED79E8" w:rsidRDefault="00DE4774" w:rsidP="00DE4774">
      <w:pPr>
        <w:pStyle w:val="DefaultText"/>
        <w:ind w:firstLine="360"/>
      </w:pPr>
      <w:r w:rsidRPr="00ED79E8">
        <w:t xml:space="preserve">      Honorable </w:t>
      </w:r>
      <w:r>
        <w:t>Robert W. Nutting</w:t>
      </w:r>
      <w:r w:rsidRPr="00ED79E8">
        <w:t>, Speaker of the House</w:t>
      </w:r>
    </w:p>
    <w:p w:rsidR="00DE4774" w:rsidRPr="00A2640A" w:rsidRDefault="00DE4774" w:rsidP="00DE4774">
      <w:pPr>
        <w:pStyle w:val="DefaultText"/>
        <w:ind w:firstLine="360"/>
      </w:pPr>
      <w:r w:rsidRPr="00A2640A">
        <w:t xml:space="preserve">      Honorable </w:t>
      </w:r>
      <w:r>
        <w:t>Richard W. Rosen</w:t>
      </w:r>
      <w:r w:rsidRPr="00A2640A">
        <w:t>, Senate Chair</w:t>
      </w:r>
    </w:p>
    <w:p w:rsidR="00DE4774" w:rsidRPr="00222600" w:rsidRDefault="00DE4774" w:rsidP="00DE4774">
      <w:pPr>
        <w:pStyle w:val="DefaultText"/>
        <w:ind w:firstLine="360"/>
      </w:pPr>
      <w:r w:rsidRPr="00222600">
        <w:t xml:space="preserve">      Honorable </w:t>
      </w:r>
      <w:r>
        <w:t>Patrick S. A. Flood</w:t>
      </w:r>
      <w:r w:rsidRPr="00222600">
        <w:t>, House Chair</w:t>
      </w:r>
    </w:p>
    <w:p w:rsidR="00DE4774" w:rsidRPr="009E36AB" w:rsidRDefault="00DE4774" w:rsidP="00DE4774">
      <w:pPr>
        <w:pStyle w:val="DefaultText"/>
        <w:ind w:firstLine="360"/>
      </w:pPr>
      <w:r w:rsidRPr="009E36AB">
        <w:t xml:space="preserve">      Members, Joint Standing Committee on Appropriations and Financial Affairs</w:t>
      </w:r>
    </w:p>
    <w:p w:rsidR="00DE4774" w:rsidRDefault="00DE4774" w:rsidP="00DE4774">
      <w:pPr>
        <w:pStyle w:val="DefaultText"/>
      </w:pPr>
      <w:r>
        <w:t xml:space="preserve">      </w:t>
      </w:r>
    </w:p>
    <w:p w:rsidR="00DE4774" w:rsidRPr="00AD2B2E" w:rsidRDefault="00DE4774" w:rsidP="00DE4774">
      <w:pPr>
        <w:rPr>
          <w:sz w:val="24"/>
          <w:szCs w:val="24"/>
        </w:rPr>
      </w:pPr>
      <w:r w:rsidRPr="00AD2B2E">
        <w:rPr>
          <w:b/>
          <w:sz w:val="24"/>
          <w:szCs w:val="24"/>
        </w:rPr>
        <w:t>From:</w:t>
      </w:r>
      <w:r w:rsidRPr="00AD2B2E">
        <w:rPr>
          <w:sz w:val="24"/>
          <w:szCs w:val="24"/>
        </w:rPr>
        <w:t xml:space="preserve"> </w:t>
      </w:r>
      <w:r>
        <w:rPr>
          <w:sz w:val="24"/>
          <w:szCs w:val="24"/>
        </w:rPr>
        <w:t>Shirrin L. Blaisdell</w:t>
      </w:r>
      <w:r w:rsidRPr="00AD2B2E">
        <w:rPr>
          <w:sz w:val="24"/>
          <w:szCs w:val="24"/>
        </w:rPr>
        <w:t>, Acting State Budget Officer</w:t>
      </w:r>
    </w:p>
    <w:p w:rsidR="00DE4774" w:rsidRDefault="00DE4774" w:rsidP="00DE4774">
      <w:pPr>
        <w:pStyle w:val="DefaultText"/>
      </w:pPr>
    </w:p>
    <w:p w:rsidR="00DE4774" w:rsidRDefault="00DE4774" w:rsidP="00DE4774">
      <w:pPr>
        <w:pStyle w:val="DefaultText"/>
        <w:jc w:val="both"/>
      </w:pPr>
      <w:r>
        <w:rPr>
          <w:b/>
        </w:rPr>
        <w:t>Subject:</w:t>
      </w:r>
      <w:r>
        <w:t xml:space="preserve"> Report on the forecast of revenues and expenditures for the General Fund and the Highway Fund for the 2012-2013 biennium and the 2014-201</w:t>
      </w:r>
      <w:r w:rsidR="00E54D1D">
        <w:t>5</w:t>
      </w:r>
      <w:r>
        <w:t xml:space="preserve"> biennium in accordance with Title 5 § 1665.</w:t>
      </w:r>
    </w:p>
    <w:p w:rsidR="00DE4774" w:rsidRDefault="00DE4774" w:rsidP="00DE4774">
      <w:pPr>
        <w:pStyle w:val="DefaultText"/>
        <w:jc w:val="both"/>
      </w:pPr>
    </w:p>
    <w:p w:rsidR="00DE4774" w:rsidRDefault="00DE4774" w:rsidP="00DE4774">
      <w:pPr>
        <w:pStyle w:val="DefaultText"/>
        <w:jc w:val="both"/>
      </w:pPr>
      <w:r>
        <w:t xml:space="preserve">  ************************************************************************</w:t>
      </w:r>
    </w:p>
    <w:p w:rsidR="00DE4774" w:rsidRDefault="00DE4774" w:rsidP="00DE4774">
      <w:pPr>
        <w:pStyle w:val="DefaultText"/>
      </w:pPr>
    </w:p>
    <w:p w:rsidR="00DE4774" w:rsidRDefault="00DE4774" w:rsidP="00DE4774">
      <w:pPr>
        <w:pStyle w:val="DefaultText"/>
        <w:ind w:firstLine="720"/>
        <w:jc w:val="both"/>
      </w:pPr>
      <w:r>
        <w:t>The Bureau of the Budget is presenting its budget forecast for the General Fund and the Highway Fund for the 2012-2013 biennium and the 2014-2015 biennium in accordance with Title 5 §1665.  This effort was initiated and passed into law by the 117</w:t>
      </w:r>
      <w:r w:rsidRPr="0015209F">
        <w:rPr>
          <w:vertAlign w:val="superscript"/>
        </w:rPr>
        <w:t>th</w:t>
      </w:r>
      <w:r>
        <w:t xml:space="preserve"> Legislature as fulfillment of one of the recommendations of the Special Commission on Governmental Restructuring to provide a platform for long term financial planning.</w:t>
      </w:r>
    </w:p>
    <w:p w:rsidR="00DE4774" w:rsidRDefault="00DE4774" w:rsidP="00DE4774">
      <w:pPr>
        <w:pStyle w:val="DefaultText"/>
        <w:jc w:val="both"/>
      </w:pPr>
    </w:p>
    <w:p w:rsidR="00DE4774" w:rsidRDefault="00DE4774" w:rsidP="00DE4774">
      <w:pPr>
        <w:pStyle w:val="DefaultText"/>
        <w:jc w:val="both"/>
      </w:pPr>
      <w:r>
        <w:tab/>
        <w:t xml:space="preserve">This budget forecast is based on the current structure of state revenues and expenditures for both the General Fund and the Highway Fund as required by Title 5 § 1665, subsection 7. </w:t>
      </w:r>
      <w:r w:rsidRPr="00285861">
        <w:rPr>
          <w:szCs w:val="24"/>
        </w:rPr>
        <w:t>T</w:t>
      </w:r>
      <w:r>
        <w:t xml:space="preserve">his budget forecast should provide the most consistent view of revenue and expenditure trends over the long term as a basis for financial planning and decision making.     </w:t>
      </w:r>
    </w:p>
    <w:p w:rsidR="00DE4774" w:rsidRDefault="00DE4774" w:rsidP="00DE4774">
      <w:pPr>
        <w:pStyle w:val="DefaultText"/>
        <w:jc w:val="both"/>
      </w:pPr>
    </w:p>
    <w:p w:rsidR="00DE4774" w:rsidRDefault="00DE4774" w:rsidP="00DE4774">
      <w:pPr>
        <w:pStyle w:val="DefaultText"/>
        <w:jc w:val="both"/>
      </w:pPr>
    </w:p>
    <w:p w:rsidR="00DE4774" w:rsidRDefault="00DE4774" w:rsidP="00DE4774">
      <w:pPr>
        <w:pStyle w:val="DefaultText"/>
      </w:pPr>
      <w:r>
        <w:t xml:space="preserve">cc:  H. Sawin Millett, Commissioner, Department of Administrative and Financial Services  </w:t>
      </w:r>
    </w:p>
    <w:p w:rsidR="00ED3C2B" w:rsidRDefault="00DE4774" w:rsidP="00DE4774">
      <w:pPr>
        <w:pStyle w:val="DefaultText"/>
        <w:ind w:left="450" w:hanging="450"/>
        <w:jc w:val="both"/>
      </w:pPr>
      <w:r>
        <w:t xml:space="preserve">      Grant Pennoyer, Director, Office of Fiscal &amp; Program Review</w:t>
      </w:r>
      <w:r>
        <w:tab/>
      </w:r>
    </w:p>
    <w:p w:rsidR="00ED3C2B" w:rsidRDefault="00ED3C2B" w:rsidP="00ED3C2B">
      <w:pPr>
        <w:pStyle w:val="DefaultText"/>
        <w:jc w:val="both"/>
      </w:pPr>
    </w:p>
    <w:p w:rsidR="002465B4" w:rsidRDefault="002465B4" w:rsidP="00ED3C2B">
      <w:pPr>
        <w:pStyle w:val="DefaultText"/>
      </w:pPr>
    </w:p>
    <w:p w:rsidR="002465B4" w:rsidRDefault="002465B4" w:rsidP="00ED3C2B">
      <w:pPr>
        <w:pStyle w:val="DefaultText"/>
      </w:pPr>
    </w:p>
    <w:p w:rsidR="002465B4" w:rsidRDefault="002465B4" w:rsidP="00ED3C2B">
      <w:pPr>
        <w:pStyle w:val="DefaultText"/>
      </w:pPr>
    </w:p>
    <w:p w:rsidR="002465B4" w:rsidRDefault="002465B4" w:rsidP="00ED3C2B">
      <w:pPr>
        <w:pStyle w:val="DefaultText"/>
      </w:pPr>
    </w:p>
    <w:p w:rsidR="002465B4" w:rsidRDefault="002465B4" w:rsidP="00ED3C2B">
      <w:pPr>
        <w:pStyle w:val="DefaultText"/>
      </w:pPr>
    </w:p>
    <w:p w:rsidR="002465B4" w:rsidRDefault="002465B4" w:rsidP="00ED3C2B">
      <w:pPr>
        <w:pStyle w:val="DefaultText"/>
      </w:pPr>
    </w:p>
    <w:p w:rsidR="002465B4" w:rsidRDefault="002465B4" w:rsidP="00ED3C2B">
      <w:pPr>
        <w:pStyle w:val="DefaultText"/>
      </w:pPr>
    </w:p>
    <w:p w:rsidR="00ED3C2B" w:rsidRDefault="002465B4" w:rsidP="002465B4">
      <w:pPr>
        <w:pStyle w:val="DefaultText"/>
        <w:rPr>
          <w:b/>
          <w:sz w:val="28"/>
        </w:rPr>
      </w:pPr>
      <w:r>
        <w:br w:type="page"/>
      </w:r>
      <w:r w:rsidR="00ED3C2B">
        <w:rPr>
          <w:b/>
          <w:sz w:val="28"/>
        </w:rPr>
        <w:lastRenderedPageBreak/>
        <w:t>STATE OF MAINE REVENUE AND EXPENDITURE PROJECTION</w:t>
      </w:r>
    </w:p>
    <w:p w:rsidR="00ED3C2B" w:rsidRDefault="00ED3C2B" w:rsidP="00ED3C2B">
      <w:pPr>
        <w:pStyle w:val="DefaultText"/>
        <w:jc w:val="center"/>
        <w:rPr>
          <w:b/>
          <w:sz w:val="28"/>
        </w:rPr>
      </w:pPr>
      <w:r>
        <w:rPr>
          <w:b/>
          <w:sz w:val="28"/>
        </w:rPr>
        <w:t>GENERAL FUND AND HIGHWAY FUND</w:t>
      </w:r>
    </w:p>
    <w:p w:rsidR="00ED3C2B" w:rsidRDefault="00ED3C2B" w:rsidP="00ED3C2B">
      <w:pPr>
        <w:pStyle w:val="DefaultText"/>
        <w:jc w:val="center"/>
        <w:rPr>
          <w:b/>
          <w:sz w:val="28"/>
        </w:rPr>
      </w:pPr>
      <w:r>
        <w:rPr>
          <w:b/>
          <w:sz w:val="28"/>
        </w:rPr>
        <w:t>FISCAL YEARS 201</w:t>
      </w:r>
      <w:r w:rsidR="00AD35F3">
        <w:rPr>
          <w:b/>
          <w:sz w:val="28"/>
        </w:rPr>
        <w:t>2</w:t>
      </w:r>
      <w:r>
        <w:rPr>
          <w:b/>
          <w:sz w:val="28"/>
        </w:rPr>
        <w:t xml:space="preserve"> - 201</w:t>
      </w:r>
      <w:r w:rsidR="00AD35F3">
        <w:rPr>
          <w:b/>
          <w:sz w:val="28"/>
        </w:rPr>
        <w:t>5</w:t>
      </w:r>
    </w:p>
    <w:p w:rsidR="00ED3C2B" w:rsidRDefault="00ED3C2B" w:rsidP="00ED3C2B">
      <w:pPr>
        <w:pStyle w:val="DefaultText"/>
        <w:rPr>
          <w:sz w:val="28"/>
        </w:rPr>
      </w:pPr>
    </w:p>
    <w:p w:rsidR="00ED3C2B" w:rsidRDefault="00ED3C2B" w:rsidP="00ED3C2B">
      <w:pPr>
        <w:pStyle w:val="DefaultText"/>
      </w:pPr>
      <w:r>
        <w:rPr>
          <w:b/>
          <w:sz w:val="28"/>
          <w:u w:val="single"/>
        </w:rPr>
        <w:t>SECTION</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t>PAGE(S)</w:t>
      </w:r>
    </w:p>
    <w:p w:rsidR="00ED3C2B" w:rsidRDefault="00ED3C2B" w:rsidP="00ED3C2B">
      <w:pPr>
        <w:pStyle w:val="DefaultText"/>
      </w:pPr>
    </w:p>
    <w:p w:rsidR="00ED3C2B" w:rsidRPr="00721FDB" w:rsidRDefault="00ED3C2B" w:rsidP="00ED3C2B">
      <w:pPr>
        <w:pStyle w:val="DefaultText"/>
      </w:pPr>
      <w:r w:rsidRPr="00721FDB">
        <w:t xml:space="preserve">  I.  Introduction</w:t>
      </w:r>
      <w:r w:rsidRPr="00721FDB">
        <w:tab/>
      </w:r>
      <w:r w:rsidRPr="00721FDB">
        <w:tab/>
      </w:r>
      <w:r w:rsidRPr="00721FDB">
        <w:tab/>
      </w:r>
      <w:r w:rsidRPr="00721FDB">
        <w:tab/>
      </w:r>
      <w:r w:rsidRPr="00721FDB">
        <w:tab/>
      </w:r>
      <w:r w:rsidRPr="00721FDB">
        <w:tab/>
      </w:r>
      <w:r w:rsidRPr="00721FDB">
        <w:tab/>
      </w:r>
      <w:r w:rsidRPr="00721FDB">
        <w:tab/>
      </w:r>
      <w:r w:rsidRPr="00721FDB">
        <w:tab/>
        <w:t xml:space="preserve">     1</w:t>
      </w:r>
    </w:p>
    <w:p w:rsidR="00ED3C2B" w:rsidRPr="00721FDB" w:rsidRDefault="00ED3C2B" w:rsidP="00ED3C2B">
      <w:pPr>
        <w:pStyle w:val="DefaultText"/>
      </w:pPr>
      <w:r w:rsidRPr="00721FDB">
        <w:tab/>
      </w:r>
      <w:r w:rsidRPr="00721FDB">
        <w:tab/>
      </w:r>
    </w:p>
    <w:p w:rsidR="00ED3C2B" w:rsidRPr="00AD2B2E" w:rsidRDefault="00ED3C2B" w:rsidP="00AD2B2E">
      <w:pPr>
        <w:rPr>
          <w:sz w:val="24"/>
          <w:szCs w:val="24"/>
        </w:rPr>
      </w:pPr>
      <w:r w:rsidRPr="00AD2B2E">
        <w:rPr>
          <w:sz w:val="24"/>
          <w:szCs w:val="24"/>
        </w:rPr>
        <w:t xml:space="preserve"> II</w:t>
      </w:r>
      <w:r w:rsidR="00506B51" w:rsidRPr="00AD2B2E">
        <w:rPr>
          <w:sz w:val="24"/>
          <w:szCs w:val="24"/>
        </w:rPr>
        <w:t>. General</w:t>
      </w:r>
      <w:r w:rsidRPr="00AD2B2E">
        <w:rPr>
          <w:sz w:val="24"/>
          <w:szCs w:val="24"/>
        </w:rPr>
        <w:t xml:space="preserve"> Fund</w:t>
      </w:r>
    </w:p>
    <w:p w:rsidR="00ED3C2B" w:rsidRPr="00721FDB" w:rsidRDefault="00ED3C2B" w:rsidP="00ED3C2B">
      <w:pPr>
        <w:pStyle w:val="DefaultText"/>
      </w:pPr>
    </w:p>
    <w:p w:rsidR="00ED3C2B" w:rsidRPr="00721FDB" w:rsidRDefault="00ED3C2B" w:rsidP="00ED3C2B">
      <w:pPr>
        <w:pStyle w:val="DefaultText"/>
      </w:pPr>
      <w:r w:rsidRPr="00721FDB">
        <w:tab/>
        <w:t>A. Budget Status FY 1</w:t>
      </w:r>
      <w:r w:rsidR="00AD35F3">
        <w:t>2</w:t>
      </w:r>
      <w:r w:rsidRPr="00721FDB">
        <w:t>-1</w:t>
      </w:r>
      <w:r w:rsidR="00AD35F3">
        <w:t>3</w:t>
      </w:r>
      <w:r w:rsidRPr="00721FDB">
        <w:t xml:space="preserve"> and FY 1</w:t>
      </w:r>
      <w:r w:rsidR="00AD35F3">
        <w:t>4</w:t>
      </w:r>
      <w:r w:rsidRPr="00721FDB">
        <w:t>-1</w:t>
      </w:r>
      <w:r w:rsidR="00253996">
        <w:t>5</w:t>
      </w:r>
      <w:r w:rsidRPr="00721FDB">
        <w:tab/>
      </w:r>
      <w:r w:rsidRPr="00721FDB">
        <w:tab/>
      </w:r>
      <w:r w:rsidRPr="00721FDB">
        <w:tab/>
      </w:r>
      <w:r w:rsidRPr="00721FDB">
        <w:tab/>
        <w:t xml:space="preserve">                 2</w:t>
      </w:r>
    </w:p>
    <w:p w:rsidR="00ED3C2B" w:rsidRPr="00721FDB" w:rsidRDefault="00ED3C2B" w:rsidP="00ED3C2B">
      <w:pPr>
        <w:pStyle w:val="DefaultText"/>
      </w:pPr>
    </w:p>
    <w:p w:rsidR="00ED3C2B" w:rsidRPr="00721FDB" w:rsidRDefault="00ED3C2B" w:rsidP="00ED3C2B">
      <w:pPr>
        <w:pStyle w:val="DefaultText"/>
      </w:pPr>
      <w:r w:rsidRPr="00721FDB">
        <w:tab/>
        <w:t xml:space="preserve">B. Revenue Forecast Charts </w:t>
      </w:r>
      <w:bookmarkStart w:id="1" w:name="OLE_LINK1"/>
      <w:r w:rsidRPr="00721FDB">
        <w:t>FY 1</w:t>
      </w:r>
      <w:r w:rsidR="00AD35F3">
        <w:t>2</w:t>
      </w:r>
      <w:r w:rsidRPr="00721FDB">
        <w:t>-1</w:t>
      </w:r>
      <w:r w:rsidR="00AD35F3">
        <w:t>3</w:t>
      </w:r>
      <w:r w:rsidRPr="00721FDB">
        <w:t xml:space="preserve"> and FY 1</w:t>
      </w:r>
      <w:r w:rsidR="00AD35F3">
        <w:t>4</w:t>
      </w:r>
      <w:r w:rsidRPr="00721FDB">
        <w:t>-1</w:t>
      </w:r>
      <w:bookmarkEnd w:id="1"/>
      <w:r w:rsidR="00AD35F3">
        <w:t>5</w:t>
      </w:r>
      <w:r w:rsidRPr="00721FDB">
        <w:tab/>
      </w:r>
      <w:r w:rsidRPr="00721FDB">
        <w:tab/>
        <w:t xml:space="preserve">                 3-5</w:t>
      </w:r>
    </w:p>
    <w:p w:rsidR="00ED3C2B" w:rsidRPr="00721FDB" w:rsidRDefault="00ED3C2B" w:rsidP="00ED3C2B">
      <w:pPr>
        <w:pStyle w:val="DefaultText"/>
      </w:pPr>
    </w:p>
    <w:p w:rsidR="00ED3C2B" w:rsidRPr="00AD2B2E" w:rsidRDefault="00ED3C2B" w:rsidP="00AD2B2E">
      <w:pPr>
        <w:rPr>
          <w:sz w:val="24"/>
          <w:szCs w:val="24"/>
        </w:rPr>
      </w:pPr>
      <w:r w:rsidRPr="00721FDB">
        <w:tab/>
      </w:r>
      <w:r w:rsidRPr="00AD2B2E">
        <w:rPr>
          <w:sz w:val="24"/>
          <w:szCs w:val="24"/>
        </w:rPr>
        <w:t>C. Revenue Forecast Narrative</w:t>
      </w:r>
      <w:r w:rsidRPr="00AD2B2E">
        <w:rPr>
          <w:sz w:val="24"/>
          <w:szCs w:val="24"/>
        </w:rPr>
        <w:tab/>
      </w:r>
    </w:p>
    <w:p w:rsidR="00ED3C2B" w:rsidRPr="00721FDB" w:rsidRDefault="00ED3C2B" w:rsidP="00ED3C2B">
      <w:pPr>
        <w:pStyle w:val="DefaultText"/>
      </w:pPr>
    </w:p>
    <w:p w:rsidR="00ED3C2B" w:rsidRPr="00721FDB" w:rsidRDefault="00AC2D82" w:rsidP="00ED3C2B">
      <w:pPr>
        <w:pStyle w:val="DefaultText"/>
      </w:pPr>
      <w:r w:rsidRPr="00721FDB">
        <w:tab/>
      </w:r>
      <w:r w:rsidRPr="00721FDB">
        <w:tab/>
      </w:r>
      <w:r w:rsidR="00ED3C2B" w:rsidRPr="00721FDB">
        <w:t>Sales and Use Tax</w:t>
      </w:r>
      <w:r w:rsidR="00ED3C2B" w:rsidRPr="00721FDB">
        <w:tab/>
      </w:r>
      <w:r w:rsidR="00ED3C2B" w:rsidRPr="00721FDB">
        <w:tab/>
      </w:r>
      <w:r w:rsidR="00ED3C2B" w:rsidRPr="00721FDB">
        <w:tab/>
      </w:r>
      <w:r w:rsidR="00ED3C2B" w:rsidRPr="00721FDB">
        <w:tab/>
      </w:r>
      <w:r w:rsidR="00ED3C2B" w:rsidRPr="00721FDB">
        <w:tab/>
      </w:r>
      <w:r w:rsidR="00ED3C2B" w:rsidRPr="00721FDB">
        <w:tab/>
      </w:r>
      <w:r w:rsidR="00ED3C2B" w:rsidRPr="00721FDB">
        <w:tab/>
        <w:t xml:space="preserve">     6</w:t>
      </w:r>
    </w:p>
    <w:p w:rsidR="00ED3C2B" w:rsidRPr="00721FDB" w:rsidRDefault="00ED3C2B" w:rsidP="00ED3C2B">
      <w:pPr>
        <w:pStyle w:val="DefaultText"/>
      </w:pPr>
      <w:r w:rsidRPr="00721FDB">
        <w:tab/>
      </w:r>
      <w:r w:rsidRPr="00721FDB">
        <w:tab/>
        <w:t>Service Provider Tax</w:t>
      </w:r>
      <w:r w:rsidRPr="00721FDB">
        <w:tab/>
      </w:r>
      <w:r w:rsidRPr="00721FDB">
        <w:tab/>
      </w:r>
      <w:r w:rsidRPr="00721FDB">
        <w:tab/>
      </w:r>
      <w:r w:rsidRPr="00721FDB">
        <w:tab/>
      </w:r>
      <w:r w:rsidRPr="00721FDB">
        <w:tab/>
      </w:r>
      <w:r w:rsidRPr="00721FDB">
        <w:tab/>
        <w:t xml:space="preserve">      </w:t>
      </w:r>
      <w:r w:rsidR="00AC2D82" w:rsidRPr="00721FDB">
        <w:tab/>
        <w:t xml:space="preserve">     </w:t>
      </w:r>
      <w:r w:rsidRPr="00721FDB">
        <w:t>6</w:t>
      </w:r>
    </w:p>
    <w:p w:rsidR="00ED3C2B" w:rsidRPr="00721FDB" w:rsidRDefault="00ED3C2B" w:rsidP="00ED3C2B">
      <w:pPr>
        <w:pStyle w:val="DefaultText"/>
      </w:pPr>
      <w:r w:rsidRPr="00721FDB">
        <w:tab/>
      </w:r>
      <w:r w:rsidRPr="00721FDB">
        <w:tab/>
        <w:t>Individual Income Tax</w:t>
      </w:r>
      <w:r w:rsidRPr="00721FDB">
        <w:tab/>
      </w:r>
      <w:r w:rsidRPr="00721FDB">
        <w:tab/>
      </w:r>
      <w:r w:rsidRPr="00721FDB">
        <w:tab/>
      </w:r>
      <w:r w:rsidRPr="00721FDB">
        <w:tab/>
      </w:r>
      <w:r w:rsidRPr="00721FDB">
        <w:tab/>
      </w:r>
      <w:r w:rsidRPr="00721FDB">
        <w:tab/>
        <w:t xml:space="preserve">     6</w:t>
      </w:r>
    </w:p>
    <w:p w:rsidR="00AC2D82" w:rsidRPr="00721FDB" w:rsidRDefault="00AC2D82" w:rsidP="00AC2D82">
      <w:pPr>
        <w:pStyle w:val="DefaultText"/>
        <w:ind w:left="720" w:firstLine="720"/>
      </w:pPr>
      <w:r w:rsidRPr="00721FDB">
        <w:t>Corporate Income Tax</w:t>
      </w:r>
      <w:r w:rsidRPr="00721FDB">
        <w:tab/>
      </w:r>
      <w:r w:rsidRPr="00721FDB">
        <w:tab/>
      </w:r>
      <w:r w:rsidRPr="00721FDB">
        <w:tab/>
      </w:r>
      <w:r w:rsidRPr="00721FDB">
        <w:tab/>
      </w:r>
      <w:r w:rsidRPr="00721FDB">
        <w:tab/>
      </w:r>
      <w:r w:rsidRPr="00721FDB">
        <w:tab/>
        <w:t xml:space="preserve">     7</w:t>
      </w:r>
    </w:p>
    <w:p w:rsidR="00AC2D82" w:rsidRPr="00721FDB" w:rsidRDefault="00AC2D82" w:rsidP="00AC2D82">
      <w:pPr>
        <w:pStyle w:val="DefaultText"/>
        <w:ind w:left="1440"/>
      </w:pPr>
      <w:r w:rsidRPr="00721FDB">
        <w:t>Cigarette and Tobacco Tax</w:t>
      </w:r>
      <w:r w:rsidRPr="00721FDB">
        <w:tab/>
      </w:r>
      <w:r w:rsidRPr="00721FDB">
        <w:tab/>
      </w:r>
      <w:r w:rsidRPr="00721FDB">
        <w:tab/>
      </w:r>
      <w:r w:rsidRPr="00721FDB">
        <w:tab/>
      </w:r>
      <w:r w:rsidRPr="00721FDB">
        <w:tab/>
      </w:r>
      <w:r w:rsidRPr="00721FDB">
        <w:tab/>
        <w:t xml:space="preserve">     7</w:t>
      </w:r>
    </w:p>
    <w:p w:rsidR="00AC2D82" w:rsidRPr="00721FDB" w:rsidRDefault="00AC2D82" w:rsidP="00AC2D82">
      <w:pPr>
        <w:pStyle w:val="DefaultText"/>
        <w:ind w:left="1440"/>
      </w:pPr>
      <w:r w:rsidRPr="00721FDB">
        <w:t>Insurance Company Tax</w:t>
      </w:r>
      <w:r w:rsidRPr="00721FDB">
        <w:tab/>
      </w:r>
      <w:r w:rsidRPr="00721FDB">
        <w:tab/>
      </w:r>
      <w:r w:rsidRPr="00721FDB">
        <w:tab/>
      </w:r>
      <w:r w:rsidRPr="00721FDB">
        <w:tab/>
      </w:r>
      <w:r w:rsidRPr="00721FDB">
        <w:tab/>
      </w:r>
      <w:r w:rsidRPr="00721FDB">
        <w:tab/>
        <w:t xml:space="preserve">     7</w:t>
      </w:r>
    </w:p>
    <w:p w:rsidR="00AC2D82" w:rsidRPr="00721FDB" w:rsidRDefault="001A6E4E" w:rsidP="00AC2D82">
      <w:pPr>
        <w:pStyle w:val="DefaultText"/>
        <w:ind w:left="1440"/>
      </w:pPr>
      <w:r w:rsidRPr="00721FDB">
        <w:t>Fines, Forfeits and Penalties</w:t>
      </w:r>
      <w:r w:rsidRPr="00721FDB">
        <w:tab/>
      </w:r>
      <w:r w:rsidRPr="00721FDB">
        <w:tab/>
      </w:r>
      <w:r w:rsidRPr="00721FDB">
        <w:tab/>
      </w:r>
      <w:r w:rsidRPr="00721FDB">
        <w:tab/>
      </w:r>
      <w:r w:rsidRPr="00721FDB">
        <w:tab/>
      </w:r>
      <w:r w:rsidRPr="00721FDB">
        <w:tab/>
        <w:t xml:space="preserve">     </w:t>
      </w:r>
      <w:r w:rsidR="00FF3524">
        <w:t>7</w:t>
      </w:r>
    </w:p>
    <w:p w:rsidR="00B074BF" w:rsidRPr="00721FDB" w:rsidRDefault="00B074BF" w:rsidP="00AC2D82">
      <w:pPr>
        <w:pStyle w:val="DefaultText"/>
        <w:ind w:left="1440"/>
      </w:pPr>
      <w:r w:rsidRPr="00721FDB">
        <w:t>Transfer for Tax Relief Programs</w:t>
      </w:r>
      <w:r w:rsidRPr="00721FDB">
        <w:tab/>
      </w:r>
      <w:r w:rsidRPr="00721FDB">
        <w:tab/>
      </w:r>
      <w:r w:rsidRPr="00721FDB">
        <w:tab/>
      </w:r>
      <w:r w:rsidRPr="00721FDB">
        <w:tab/>
      </w:r>
      <w:r w:rsidRPr="00721FDB">
        <w:tab/>
        <w:t xml:space="preserve">     8</w:t>
      </w:r>
    </w:p>
    <w:p w:rsidR="00ED3C2B" w:rsidRPr="00721FDB" w:rsidRDefault="00ED3C2B" w:rsidP="00ED3C2B">
      <w:pPr>
        <w:pStyle w:val="DefaultText"/>
      </w:pPr>
      <w:r w:rsidRPr="00721FDB">
        <w:tab/>
      </w:r>
      <w:r w:rsidRPr="00721FDB">
        <w:tab/>
        <w:t>&gt; Maine Residents Property Tax Program</w:t>
      </w:r>
      <w:r w:rsidRPr="00721FDB">
        <w:tab/>
      </w:r>
      <w:r w:rsidRPr="00721FDB">
        <w:tab/>
      </w:r>
      <w:r w:rsidRPr="00721FDB">
        <w:tab/>
      </w:r>
      <w:r w:rsidRPr="00721FDB">
        <w:tab/>
        <w:t xml:space="preserve">     </w:t>
      </w:r>
      <w:r w:rsidR="00B074BF" w:rsidRPr="00721FDB">
        <w:t>8</w:t>
      </w:r>
      <w:r w:rsidRPr="00721FDB">
        <w:tab/>
      </w:r>
      <w:r w:rsidRPr="00721FDB">
        <w:tab/>
      </w:r>
      <w:r w:rsidRPr="00721FDB">
        <w:tab/>
      </w:r>
      <w:r w:rsidRPr="00721FDB">
        <w:tab/>
        <w:t>&gt; Business Equipment Tax Reimbursement (BETR)</w:t>
      </w:r>
      <w:r w:rsidRPr="00721FDB">
        <w:tab/>
      </w:r>
      <w:r w:rsidRPr="00721FDB">
        <w:tab/>
      </w:r>
      <w:r w:rsidRPr="00721FDB">
        <w:tab/>
        <w:t xml:space="preserve">     </w:t>
      </w:r>
      <w:r w:rsidR="00401EFD">
        <w:t>8</w:t>
      </w:r>
    </w:p>
    <w:p w:rsidR="009B75FD" w:rsidRPr="00721FDB" w:rsidRDefault="009B75FD" w:rsidP="00ED3C2B">
      <w:pPr>
        <w:pStyle w:val="DefaultText"/>
      </w:pPr>
      <w:r w:rsidRPr="00721FDB">
        <w:tab/>
      </w:r>
      <w:r w:rsidRPr="00721FDB">
        <w:tab/>
        <w:t>&gt; Business Equipment Tax Exemption (BETE)</w:t>
      </w:r>
      <w:r w:rsidRPr="00721FDB">
        <w:tab/>
      </w:r>
      <w:r w:rsidRPr="00721FDB">
        <w:tab/>
      </w:r>
      <w:r w:rsidRPr="00721FDB">
        <w:tab/>
        <w:t xml:space="preserve">     </w:t>
      </w:r>
      <w:r w:rsidR="00401EFD">
        <w:t>8</w:t>
      </w:r>
    </w:p>
    <w:p w:rsidR="009B75FD" w:rsidRPr="00721FDB" w:rsidRDefault="009B75FD" w:rsidP="00ED3C2B">
      <w:pPr>
        <w:pStyle w:val="DefaultText"/>
        <w:ind w:left="720" w:firstLine="720"/>
      </w:pPr>
      <w:r w:rsidRPr="00721FDB">
        <w:t>Municipal Revenue Sharing</w:t>
      </w:r>
      <w:r w:rsidRPr="00721FDB">
        <w:tab/>
      </w:r>
      <w:r w:rsidRPr="00721FDB">
        <w:tab/>
      </w:r>
      <w:r w:rsidRPr="00721FDB">
        <w:tab/>
      </w:r>
      <w:r w:rsidRPr="00721FDB">
        <w:tab/>
      </w:r>
      <w:r w:rsidRPr="00721FDB">
        <w:tab/>
        <w:t xml:space="preserve">      </w:t>
      </w:r>
      <w:r w:rsidRPr="00721FDB">
        <w:tab/>
        <w:t xml:space="preserve">     </w:t>
      </w:r>
      <w:r w:rsidR="00401EFD">
        <w:t>9</w:t>
      </w:r>
    </w:p>
    <w:p w:rsidR="009B75FD" w:rsidRPr="00721FDB" w:rsidRDefault="009B75FD" w:rsidP="00ED3C2B">
      <w:pPr>
        <w:pStyle w:val="DefaultText"/>
        <w:ind w:left="720" w:firstLine="720"/>
      </w:pPr>
      <w:r w:rsidRPr="00721FDB">
        <w:t>Other Taxes and Fees</w:t>
      </w:r>
      <w:r w:rsidRPr="00721FDB">
        <w:tab/>
      </w:r>
      <w:r w:rsidRPr="00721FDB">
        <w:tab/>
      </w:r>
      <w:r w:rsidRPr="00721FDB">
        <w:tab/>
      </w:r>
      <w:r w:rsidRPr="00721FDB">
        <w:tab/>
      </w:r>
      <w:r w:rsidRPr="00721FDB">
        <w:tab/>
      </w:r>
      <w:r w:rsidRPr="00721FDB">
        <w:tab/>
      </w:r>
      <w:r w:rsidRPr="00721FDB">
        <w:tab/>
        <w:t xml:space="preserve">     </w:t>
      </w:r>
      <w:r w:rsidR="00401EFD">
        <w:t>9</w:t>
      </w:r>
    </w:p>
    <w:p w:rsidR="009B75FD" w:rsidRPr="00721FDB" w:rsidRDefault="009B75FD" w:rsidP="00ED3C2B">
      <w:pPr>
        <w:pStyle w:val="DefaultText"/>
        <w:ind w:left="720" w:firstLine="720"/>
      </w:pPr>
      <w:r w:rsidRPr="00721FDB">
        <w:t>Other Revenues</w:t>
      </w:r>
      <w:r w:rsidRPr="00721FDB">
        <w:tab/>
      </w:r>
      <w:r w:rsidRPr="00721FDB">
        <w:tab/>
      </w:r>
      <w:r w:rsidRPr="00721FDB">
        <w:tab/>
      </w:r>
      <w:r w:rsidRPr="00721FDB">
        <w:tab/>
      </w:r>
      <w:r w:rsidRPr="00721FDB">
        <w:tab/>
      </w:r>
      <w:r w:rsidRPr="00721FDB">
        <w:tab/>
      </w:r>
      <w:r w:rsidRPr="00721FDB">
        <w:tab/>
        <w:t xml:space="preserve">     10</w:t>
      </w:r>
    </w:p>
    <w:p w:rsidR="00ED3C2B" w:rsidRPr="00721FDB" w:rsidRDefault="00ED3C2B" w:rsidP="00ED3C2B">
      <w:pPr>
        <w:pStyle w:val="DefaultText"/>
      </w:pPr>
      <w:r w:rsidRPr="00721FDB">
        <w:tab/>
      </w:r>
      <w:r w:rsidRPr="00721FDB">
        <w:tab/>
      </w:r>
      <w:r w:rsidRPr="00721FDB">
        <w:tab/>
      </w:r>
      <w:r w:rsidRPr="00721FDB">
        <w:tab/>
      </w:r>
      <w:r w:rsidRPr="00721FDB">
        <w:tab/>
      </w:r>
      <w:r w:rsidRPr="00721FDB">
        <w:tab/>
      </w:r>
    </w:p>
    <w:p w:rsidR="00ED3C2B" w:rsidRPr="00721FDB" w:rsidRDefault="00ED3C2B" w:rsidP="00ED3C2B">
      <w:pPr>
        <w:pStyle w:val="DefaultText"/>
      </w:pPr>
      <w:r w:rsidRPr="00721FDB">
        <w:tab/>
        <w:t>D. Expenditure Forecast Charts FY 1</w:t>
      </w:r>
      <w:r w:rsidR="00AD35F3">
        <w:t>2</w:t>
      </w:r>
      <w:r w:rsidRPr="00721FDB">
        <w:t>-1</w:t>
      </w:r>
      <w:r w:rsidR="00AD35F3">
        <w:t>3</w:t>
      </w:r>
      <w:r w:rsidRPr="00721FDB">
        <w:t xml:space="preserve"> and FY 1</w:t>
      </w:r>
      <w:r w:rsidR="00AD35F3">
        <w:t>4</w:t>
      </w:r>
      <w:r w:rsidRPr="00721FDB">
        <w:t>-1</w:t>
      </w:r>
      <w:r w:rsidR="00AD35F3">
        <w:t>5</w:t>
      </w:r>
      <w:r w:rsidRPr="00721FDB">
        <w:tab/>
      </w:r>
      <w:r w:rsidRPr="00721FDB">
        <w:tab/>
        <w:t xml:space="preserve">               </w:t>
      </w:r>
      <w:r w:rsidR="003B76F5" w:rsidRPr="00721FDB">
        <w:t xml:space="preserve">  11-13</w:t>
      </w:r>
    </w:p>
    <w:p w:rsidR="00ED3C2B" w:rsidRPr="00721FDB" w:rsidRDefault="00ED3C2B" w:rsidP="00ED3C2B">
      <w:pPr>
        <w:pStyle w:val="DefaultText"/>
      </w:pPr>
    </w:p>
    <w:p w:rsidR="00ED3C2B" w:rsidRPr="00AD2B2E" w:rsidRDefault="00ED3C2B" w:rsidP="00AD2B2E">
      <w:pPr>
        <w:rPr>
          <w:sz w:val="24"/>
          <w:szCs w:val="24"/>
        </w:rPr>
      </w:pPr>
      <w:r w:rsidRPr="00AD2B2E">
        <w:rPr>
          <w:sz w:val="24"/>
          <w:szCs w:val="24"/>
        </w:rPr>
        <w:tab/>
        <w:t>E. Expenditure Forecast Narrative FY 1</w:t>
      </w:r>
      <w:r w:rsidR="00AD35F3">
        <w:rPr>
          <w:sz w:val="24"/>
          <w:szCs w:val="24"/>
        </w:rPr>
        <w:t>2</w:t>
      </w:r>
      <w:r w:rsidRPr="00AD2B2E">
        <w:rPr>
          <w:sz w:val="24"/>
          <w:szCs w:val="24"/>
        </w:rPr>
        <w:t>-1</w:t>
      </w:r>
      <w:r w:rsidR="00AD35F3">
        <w:rPr>
          <w:sz w:val="24"/>
          <w:szCs w:val="24"/>
        </w:rPr>
        <w:t>3</w:t>
      </w:r>
      <w:r w:rsidRPr="00AD2B2E">
        <w:rPr>
          <w:sz w:val="24"/>
          <w:szCs w:val="24"/>
        </w:rPr>
        <w:t xml:space="preserve"> and FY 1</w:t>
      </w:r>
      <w:r w:rsidR="00AD35F3">
        <w:rPr>
          <w:sz w:val="24"/>
          <w:szCs w:val="24"/>
        </w:rPr>
        <w:t>4</w:t>
      </w:r>
      <w:r w:rsidRPr="00AD2B2E">
        <w:rPr>
          <w:sz w:val="24"/>
          <w:szCs w:val="24"/>
        </w:rPr>
        <w:t>-1</w:t>
      </w:r>
      <w:r w:rsidR="00AD35F3">
        <w:rPr>
          <w:sz w:val="24"/>
          <w:szCs w:val="24"/>
        </w:rPr>
        <w:t>5</w:t>
      </w:r>
      <w:r w:rsidRPr="00AD2B2E">
        <w:rPr>
          <w:sz w:val="24"/>
          <w:szCs w:val="24"/>
        </w:rPr>
        <w:tab/>
      </w:r>
      <w:r w:rsidRPr="00AD2B2E">
        <w:rPr>
          <w:sz w:val="24"/>
          <w:szCs w:val="24"/>
        </w:rPr>
        <w:tab/>
      </w:r>
      <w:r w:rsidRPr="00AD2B2E">
        <w:rPr>
          <w:sz w:val="24"/>
          <w:szCs w:val="24"/>
        </w:rPr>
        <w:tab/>
      </w:r>
      <w:r w:rsidRPr="00AD2B2E">
        <w:rPr>
          <w:sz w:val="24"/>
          <w:szCs w:val="24"/>
        </w:rPr>
        <w:tab/>
        <w:t xml:space="preserve">    </w:t>
      </w:r>
    </w:p>
    <w:p w:rsidR="00ED3C2B" w:rsidRPr="00721FDB" w:rsidRDefault="00ED3C2B" w:rsidP="00ED3C2B">
      <w:pPr>
        <w:pStyle w:val="DefaultText"/>
      </w:pPr>
    </w:p>
    <w:p w:rsidR="00ED3C2B" w:rsidRPr="00721FDB" w:rsidRDefault="00ED3C2B" w:rsidP="00ED3C2B">
      <w:pPr>
        <w:pStyle w:val="DefaultText"/>
      </w:pPr>
      <w:r w:rsidRPr="00721FDB">
        <w:tab/>
      </w:r>
      <w:r w:rsidR="003B76F5" w:rsidRPr="00721FDB">
        <w:tab/>
      </w:r>
      <w:r w:rsidRPr="00721FDB">
        <w:t>Homestead Property Tax Exemption</w:t>
      </w:r>
      <w:r w:rsidRPr="00721FDB">
        <w:tab/>
      </w:r>
      <w:r w:rsidRPr="00721FDB">
        <w:tab/>
      </w:r>
      <w:r w:rsidRPr="00721FDB">
        <w:tab/>
      </w:r>
      <w:r w:rsidRPr="00721FDB">
        <w:tab/>
        <w:t xml:space="preserve">    </w:t>
      </w:r>
      <w:r w:rsidR="003B76F5" w:rsidRPr="00721FDB">
        <w:t xml:space="preserve"> </w:t>
      </w:r>
      <w:r w:rsidR="003B76F5" w:rsidRPr="00721FDB">
        <w:tab/>
        <w:t xml:space="preserve">     14</w:t>
      </w:r>
    </w:p>
    <w:p w:rsidR="00ED3C2B" w:rsidRPr="00721FDB" w:rsidRDefault="00ED3C2B" w:rsidP="00ED3C2B">
      <w:pPr>
        <w:pStyle w:val="DefaultText"/>
      </w:pPr>
      <w:r w:rsidRPr="00721FDB">
        <w:tab/>
      </w:r>
      <w:r w:rsidRPr="00721FDB">
        <w:tab/>
        <w:t>Governmental Facilities Authority</w:t>
      </w:r>
      <w:r w:rsidRPr="00721FDB">
        <w:tab/>
      </w:r>
      <w:r w:rsidRPr="00721FDB">
        <w:tab/>
      </w:r>
      <w:r w:rsidRPr="00721FDB">
        <w:tab/>
      </w:r>
      <w:r w:rsidRPr="00721FDB">
        <w:tab/>
      </w:r>
      <w:r w:rsidRPr="00721FDB">
        <w:tab/>
        <w:t xml:space="preserve">    </w:t>
      </w:r>
      <w:r w:rsidR="003B76F5" w:rsidRPr="00721FDB">
        <w:t xml:space="preserve"> 14</w:t>
      </w:r>
    </w:p>
    <w:p w:rsidR="00ED3C2B" w:rsidRPr="00721FDB" w:rsidRDefault="00ED3C2B" w:rsidP="00ED3C2B">
      <w:pPr>
        <w:pStyle w:val="DefaultText"/>
      </w:pPr>
      <w:r w:rsidRPr="00721FDB">
        <w:tab/>
      </w:r>
      <w:r w:rsidRPr="00721FDB">
        <w:tab/>
        <w:t>Debt Service</w:t>
      </w:r>
      <w:r w:rsidR="003B76F5" w:rsidRPr="00721FDB">
        <w:t xml:space="preserve"> - Treasury</w:t>
      </w:r>
      <w:r w:rsidRPr="00721FDB">
        <w:tab/>
      </w:r>
      <w:r w:rsidRPr="00721FDB">
        <w:tab/>
      </w:r>
      <w:r w:rsidRPr="00721FDB">
        <w:tab/>
      </w:r>
      <w:r w:rsidRPr="00721FDB">
        <w:tab/>
      </w:r>
      <w:r w:rsidRPr="00721FDB">
        <w:tab/>
      </w:r>
      <w:r w:rsidRPr="00721FDB">
        <w:tab/>
      </w:r>
      <w:r w:rsidR="003B76F5" w:rsidRPr="00721FDB">
        <w:t xml:space="preserve">     14</w:t>
      </w:r>
    </w:p>
    <w:p w:rsidR="00ED3C2B" w:rsidRPr="00721FDB" w:rsidRDefault="00FB4263" w:rsidP="00ED3C2B">
      <w:pPr>
        <w:pStyle w:val="DefaultText"/>
      </w:pPr>
      <w:r w:rsidRPr="00721FDB">
        <w:tab/>
      </w:r>
      <w:r w:rsidRPr="00721FDB">
        <w:tab/>
      </w:r>
      <w:r w:rsidR="00ED3C2B" w:rsidRPr="00721FDB">
        <w:t xml:space="preserve">General Purpose Aid </w:t>
      </w:r>
      <w:r w:rsidR="00EC7951">
        <w:t>for</w:t>
      </w:r>
      <w:r w:rsidR="00ED3C2B" w:rsidRPr="00721FDB">
        <w:t xml:space="preserve"> Local Schools</w:t>
      </w:r>
      <w:r w:rsidR="00ED3C2B" w:rsidRPr="00721FDB">
        <w:tab/>
      </w:r>
      <w:r w:rsidR="00ED3C2B" w:rsidRPr="00721FDB">
        <w:tab/>
      </w:r>
      <w:r w:rsidR="00ED3C2B" w:rsidRPr="00721FDB">
        <w:tab/>
      </w:r>
      <w:r w:rsidR="00ED3C2B" w:rsidRPr="00721FDB">
        <w:tab/>
        <w:t xml:space="preserve">    </w:t>
      </w:r>
      <w:r w:rsidR="003B76F5" w:rsidRPr="00721FDB">
        <w:t xml:space="preserve"> </w:t>
      </w:r>
      <w:r w:rsidRPr="00721FDB">
        <w:t>15</w:t>
      </w:r>
    </w:p>
    <w:p w:rsidR="00ED3C2B" w:rsidRPr="00721FDB" w:rsidRDefault="00FB4263" w:rsidP="00ED3C2B">
      <w:pPr>
        <w:pStyle w:val="DefaultText"/>
      </w:pPr>
      <w:r w:rsidRPr="00721FDB">
        <w:tab/>
      </w:r>
      <w:r w:rsidRPr="00721FDB">
        <w:tab/>
      </w:r>
      <w:r w:rsidR="00ED3C2B" w:rsidRPr="00721FDB">
        <w:t>Teacher Retirement/Retired Teachers’ Health Insurance</w:t>
      </w:r>
      <w:r w:rsidR="00ED3C2B" w:rsidRPr="00721FDB">
        <w:tab/>
      </w:r>
      <w:r w:rsidR="00ED3C2B" w:rsidRPr="00721FDB">
        <w:tab/>
        <w:t xml:space="preserve">    </w:t>
      </w:r>
      <w:r w:rsidR="003B76F5" w:rsidRPr="00721FDB">
        <w:t xml:space="preserve"> </w:t>
      </w:r>
      <w:r w:rsidRPr="00721FDB">
        <w:t>15</w:t>
      </w:r>
    </w:p>
    <w:p w:rsidR="00ED3C2B" w:rsidRPr="00721FDB" w:rsidRDefault="00FB4263" w:rsidP="00ED3C2B">
      <w:pPr>
        <w:pStyle w:val="DefaultText"/>
      </w:pPr>
      <w:r w:rsidRPr="00721FDB">
        <w:tab/>
      </w:r>
      <w:r w:rsidRPr="00721FDB">
        <w:tab/>
      </w:r>
      <w:r w:rsidR="00ED3C2B" w:rsidRPr="00721FDB">
        <w:t>Medical Care – Payments to Providers</w:t>
      </w:r>
      <w:r w:rsidR="00ED3C2B" w:rsidRPr="00721FDB">
        <w:tab/>
      </w:r>
      <w:r w:rsidR="00ED3C2B" w:rsidRPr="00721FDB">
        <w:tab/>
      </w:r>
      <w:r w:rsidR="00ED3C2B" w:rsidRPr="00721FDB">
        <w:tab/>
      </w:r>
      <w:r w:rsidR="00ED3C2B" w:rsidRPr="00721FDB">
        <w:tab/>
        <w:t xml:space="preserve">    </w:t>
      </w:r>
      <w:r w:rsidR="003B76F5" w:rsidRPr="00721FDB">
        <w:t xml:space="preserve"> </w:t>
      </w:r>
      <w:r w:rsidRPr="00721FDB">
        <w:t>15</w:t>
      </w:r>
    </w:p>
    <w:p w:rsidR="00ED3C2B" w:rsidRPr="00721FDB" w:rsidRDefault="00E875BE" w:rsidP="00ED3C2B">
      <w:pPr>
        <w:pStyle w:val="DefaultText"/>
      </w:pPr>
      <w:r w:rsidRPr="00721FDB">
        <w:tab/>
      </w:r>
      <w:r w:rsidRPr="00721FDB">
        <w:tab/>
      </w:r>
      <w:r w:rsidR="00ED3C2B" w:rsidRPr="00721FDB">
        <w:t>Nursing Facilities</w:t>
      </w:r>
      <w:r w:rsidR="00ED3C2B" w:rsidRPr="00721FDB">
        <w:tab/>
      </w:r>
      <w:r w:rsidR="00ED3C2B" w:rsidRPr="00721FDB">
        <w:tab/>
      </w:r>
      <w:r w:rsidR="00ED3C2B" w:rsidRPr="00721FDB">
        <w:tab/>
      </w:r>
      <w:r w:rsidR="00ED3C2B" w:rsidRPr="00721FDB">
        <w:tab/>
      </w:r>
      <w:r w:rsidR="00ED3C2B" w:rsidRPr="00721FDB">
        <w:tab/>
      </w:r>
      <w:r w:rsidR="00ED3C2B" w:rsidRPr="00721FDB">
        <w:tab/>
      </w:r>
      <w:r w:rsidR="00ED3C2B" w:rsidRPr="00721FDB">
        <w:tab/>
        <w:t xml:space="preserve">    </w:t>
      </w:r>
      <w:r w:rsidR="003B76F5" w:rsidRPr="00721FDB">
        <w:t xml:space="preserve"> </w:t>
      </w:r>
      <w:r w:rsidRPr="00721FDB">
        <w:t>16</w:t>
      </w:r>
    </w:p>
    <w:p w:rsidR="00ED3C2B" w:rsidRPr="00721FDB" w:rsidRDefault="00E875BE" w:rsidP="00ED3C2B">
      <w:pPr>
        <w:pStyle w:val="DefaultText"/>
      </w:pPr>
      <w:r w:rsidRPr="00721FDB">
        <w:tab/>
      </w:r>
      <w:r w:rsidRPr="00721FDB">
        <w:tab/>
        <w:t>Foster Care/Adoption Assistance</w:t>
      </w:r>
      <w:r w:rsidR="00ED3C2B" w:rsidRPr="00721FDB">
        <w:tab/>
      </w:r>
      <w:r w:rsidR="00ED3C2B" w:rsidRPr="00721FDB">
        <w:tab/>
      </w:r>
      <w:r w:rsidR="00ED3C2B" w:rsidRPr="00721FDB">
        <w:tab/>
      </w:r>
      <w:r w:rsidR="00ED3C2B" w:rsidRPr="00721FDB">
        <w:tab/>
      </w:r>
      <w:r w:rsidR="00ED3C2B" w:rsidRPr="00721FDB">
        <w:tab/>
        <w:t xml:space="preserve">    </w:t>
      </w:r>
      <w:r w:rsidR="003B76F5" w:rsidRPr="00721FDB">
        <w:t xml:space="preserve"> </w:t>
      </w:r>
      <w:r w:rsidRPr="00721FDB">
        <w:t>16</w:t>
      </w:r>
    </w:p>
    <w:p w:rsidR="00ED3C2B" w:rsidRPr="00721FDB" w:rsidRDefault="00E875BE" w:rsidP="00ED3C2B">
      <w:pPr>
        <w:pStyle w:val="DefaultText"/>
      </w:pPr>
      <w:r w:rsidRPr="00721FDB">
        <w:tab/>
      </w:r>
      <w:r w:rsidRPr="00721FDB">
        <w:tab/>
      </w:r>
      <w:r w:rsidR="00ED3C2B" w:rsidRPr="00721FDB">
        <w:t>Community Mental Health</w:t>
      </w:r>
      <w:r w:rsidR="00ED3C2B" w:rsidRPr="00721FDB">
        <w:tab/>
      </w:r>
      <w:r w:rsidR="00ED3C2B" w:rsidRPr="00721FDB">
        <w:tab/>
      </w:r>
      <w:r w:rsidR="00ED3C2B" w:rsidRPr="00721FDB">
        <w:tab/>
      </w:r>
      <w:r w:rsidR="00ED3C2B" w:rsidRPr="00721FDB">
        <w:tab/>
      </w:r>
      <w:r w:rsidR="00ED3C2B" w:rsidRPr="00721FDB">
        <w:tab/>
      </w:r>
      <w:r w:rsidR="00ED3C2B" w:rsidRPr="00721FDB">
        <w:tab/>
        <w:t xml:space="preserve">    </w:t>
      </w:r>
      <w:r w:rsidR="003B76F5" w:rsidRPr="00721FDB">
        <w:t xml:space="preserve"> </w:t>
      </w:r>
      <w:r w:rsidRPr="00721FDB">
        <w:t>1</w:t>
      </w:r>
      <w:r w:rsidR="00401EFD">
        <w:t>6</w:t>
      </w:r>
    </w:p>
    <w:p w:rsidR="00ED3C2B" w:rsidRPr="00721FDB" w:rsidRDefault="00E875BE" w:rsidP="00ED3C2B">
      <w:pPr>
        <w:pStyle w:val="DefaultText"/>
      </w:pPr>
      <w:r w:rsidRPr="00721FDB">
        <w:tab/>
      </w:r>
      <w:r w:rsidRPr="00721FDB">
        <w:tab/>
      </w:r>
      <w:r w:rsidR="00ED3C2B" w:rsidRPr="00721FDB">
        <w:t>Mental Health Medicaid</w:t>
      </w:r>
      <w:r w:rsidR="00ED3C2B" w:rsidRPr="00721FDB">
        <w:tab/>
      </w:r>
      <w:r w:rsidR="00ED3C2B" w:rsidRPr="00721FDB">
        <w:tab/>
      </w:r>
      <w:r w:rsidR="00ED3C2B" w:rsidRPr="00721FDB">
        <w:tab/>
      </w:r>
      <w:r w:rsidR="00ED3C2B" w:rsidRPr="00721FDB">
        <w:tab/>
      </w:r>
      <w:r w:rsidR="00ED3C2B" w:rsidRPr="00721FDB">
        <w:tab/>
      </w:r>
      <w:r w:rsidR="00ED3C2B" w:rsidRPr="00721FDB">
        <w:tab/>
        <w:t xml:space="preserve">    </w:t>
      </w:r>
      <w:r w:rsidR="003B76F5" w:rsidRPr="00721FDB">
        <w:t xml:space="preserve"> </w:t>
      </w:r>
      <w:r w:rsidRPr="00721FDB">
        <w:t>17</w:t>
      </w:r>
    </w:p>
    <w:p w:rsidR="00ED3C2B" w:rsidRPr="00721FDB" w:rsidRDefault="00E875BE" w:rsidP="00ED3C2B">
      <w:pPr>
        <w:pStyle w:val="DefaultText"/>
      </w:pPr>
      <w:r w:rsidRPr="00721FDB">
        <w:tab/>
      </w:r>
      <w:r w:rsidRPr="00721FDB">
        <w:tab/>
      </w:r>
      <w:r w:rsidR="00ED3C2B" w:rsidRPr="00721FDB">
        <w:t xml:space="preserve">Community </w:t>
      </w:r>
      <w:r w:rsidRPr="00721FDB">
        <w:t>Developmental Services</w:t>
      </w:r>
      <w:r w:rsidR="00ED3C2B" w:rsidRPr="00721FDB">
        <w:tab/>
      </w:r>
      <w:r w:rsidR="00ED3C2B" w:rsidRPr="00721FDB">
        <w:tab/>
      </w:r>
      <w:r w:rsidR="00ED3C2B" w:rsidRPr="00721FDB">
        <w:tab/>
      </w:r>
      <w:r w:rsidR="00ED3C2B" w:rsidRPr="00721FDB">
        <w:tab/>
      </w:r>
      <w:r w:rsidR="00ED3C2B" w:rsidRPr="00721FDB">
        <w:tab/>
        <w:t xml:space="preserve">    </w:t>
      </w:r>
      <w:r w:rsidR="003B76F5" w:rsidRPr="00721FDB">
        <w:t xml:space="preserve"> </w:t>
      </w:r>
      <w:r w:rsidRPr="00721FDB">
        <w:t>17</w:t>
      </w:r>
    </w:p>
    <w:p w:rsidR="00ED3C2B" w:rsidRPr="00721FDB" w:rsidRDefault="00ED3C2B" w:rsidP="00ED3C2B">
      <w:pPr>
        <w:pStyle w:val="DefaultText"/>
      </w:pPr>
      <w:r w:rsidRPr="00721FDB">
        <w:tab/>
      </w:r>
      <w:r w:rsidRPr="00721FDB">
        <w:tab/>
      </w:r>
      <w:r w:rsidR="00E875BE" w:rsidRPr="00721FDB">
        <w:t>Developmental Services</w:t>
      </w:r>
      <w:r w:rsidRPr="00721FDB">
        <w:t xml:space="preserve"> Medicaid</w:t>
      </w:r>
      <w:r w:rsidRPr="00721FDB">
        <w:tab/>
      </w:r>
      <w:r w:rsidRPr="00721FDB">
        <w:tab/>
      </w:r>
      <w:r w:rsidRPr="00721FDB">
        <w:tab/>
      </w:r>
      <w:r w:rsidRPr="00721FDB">
        <w:tab/>
      </w:r>
      <w:r w:rsidRPr="00721FDB">
        <w:tab/>
        <w:t xml:space="preserve">    </w:t>
      </w:r>
      <w:r w:rsidR="003B76F5" w:rsidRPr="00721FDB">
        <w:t xml:space="preserve"> </w:t>
      </w:r>
      <w:r w:rsidR="00E875BE" w:rsidRPr="00721FDB">
        <w:t>18</w:t>
      </w:r>
    </w:p>
    <w:p w:rsidR="00ED3C2B" w:rsidRPr="00721FDB" w:rsidRDefault="00ED3C2B" w:rsidP="00ED3C2B">
      <w:pPr>
        <w:pStyle w:val="DefaultText"/>
        <w:ind w:left="720" w:firstLine="720"/>
      </w:pPr>
      <w:r w:rsidRPr="00721FDB">
        <w:t>Mental Health Services – Children</w:t>
      </w:r>
      <w:r w:rsidRPr="00721FDB">
        <w:tab/>
      </w:r>
      <w:r w:rsidRPr="00721FDB">
        <w:tab/>
      </w:r>
      <w:r w:rsidRPr="00721FDB">
        <w:tab/>
      </w:r>
      <w:r w:rsidRPr="00721FDB">
        <w:tab/>
      </w:r>
      <w:r w:rsidRPr="00721FDB">
        <w:tab/>
        <w:t xml:space="preserve">    </w:t>
      </w:r>
      <w:r w:rsidR="003B76F5" w:rsidRPr="00721FDB">
        <w:t xml:space="preserve"> </w:t>
      </w:r>
      <w:r w:rsidR="00E875BE" w:rsidRPr="00721FDB">
        <w:t>18</w:t>
      </w:r>
    </w:p>
    <w:p w:rsidR="00ED3C2B" w:rsidRDefault="00ED3C2B" w:rsidP="00811901">
      <w:pPr>
        <w:pStyle w:val="DefaultText"/>
        <w:ind w:left="720" w:firstLine="720"/>
      </w:pPr>
      <w:r w:rsidRPr="00721FDB">
        <w:t>Mental Heal</w:t>
      </w:r>
      <w:r w:rsidR="00811901" w:rsidRPr="00721FDB">
        <w:t>th Services – Chi</w:t>
      </w:r>
      <w:r w:rsidR="00AA547E" w:rsidRPr="00721FDB">
        <w:t>ld Medicaid</w:t>
      </w:r>
      <w:r w:rsidR="00AA547E" w:rsidRPr="00721FDB">
        <w:tab/>
      </w:r>
      <w:r w:rsidR="00BB5A17" w:rsidRPr="00721FDB">
        <w:tab/>
      </w:r>
      <w:r w:rsidR="00BB5A17" w:rsidRPr="00721FDB">
        <w:tab/>
        <w:t xml:space="preserve">           </w:t>
      </w:r>
      <w:r w:rsidR="0040657F" w:rsidRPr="00721FDB">
        <w:t xml:space="preserve">      </w:t>
      </w:r>
      <w:r w:rsidR="00BB5A17" w:rsidRPr="00721FDB">
        <w:t>18</w:t>
      </w:r>
    </w:p>
    <w:p w:rsidR="007957D9" w:rsidRDefault="007957D9" w:rsidP="00811901">
      <w:pPr>
        <w:pStyle w:val="DefaultText"/>
        <w:ind w:left="720" w:firstLine="720"/>
      </w:pPr>
    </w:p>
    <w:p w:rsidR="007957D9" w:rsidRPr="00721FDB" w:rsidRDefault="007957D9" w:rsidP="00811901">
      <w:pPr>
        <w:pStyle w:val="DefaultText"/>
        <w:ind w:left="720" w:firstLine="720"/>
      </w:pPr>
    </w:p>
    <w:p w:rsidR="00ED3C2B" w:rsidRPr="00721FDB" w:rsidRDefault="00ED3C2B" w:rsidP="00ED3C2B">
      <w:pPr>
        <w:pStyle w:val="DefaultText"/>
      </w:pPr>
      <w:r w:rsidRPr="00721FDB">
        <w:rPr>
          <w:b/>
          <w:sz w:val="28"/>
          <w:u w:val="single"/>
        </w:rPr>
        <w:lastRenderedPageBreak/>
        <w:t>SECTION</w:t>
      </w:r>
      <w:r w:rsidRPr="00721FDB">
        <w:rPr>
          <w:b/>
          <w:sz w:val="28"/>
          <w:u w:val="single"/>
        </w:rPr>
        <w:tab/>
      </w:r>
      <w:r w:rsidRPr="00721FDB">
        <w:rPr>
          <w:b/>
          <w:sz w:val="28"/>
          <w:u w:val="single"/>
        </w:rPr>
        <w:tab/>
      </w:r>
      <w:r w:rsidRPr="00721FDB">
        <w:rPr>
          <w:b/>
          <w:sz w:val="28"/>
          <w:u w:val="single"/>
        </w:rPr>
        <w:tab/>
      </w:r>
      <w:r w:rsidRPr="00721FDB">
        <w:rPr>
          <w:b/>
          <w:sz w:val="28"/>
          <w:u w:val="single"/>
        </w:rPr>
        <w:tab/>
      </w:r>
      <w:r w:rsidRPr="00721FDB">
        <w:rPr>
          <w:b/>
          <w:sz w:val="28"/>
          <w:u w:val="single"/>
        </w:rPr>
        <w:tab/>
      </w:r>
      <w:r w:rsidRPr="00721FDB">
        <w:rPr>
          <w:b/>
          <w:sz w:val="28"/>
          <w:u w:val="single"/>
        </w:rPr>
        <w:tab/>
      </w:r>
      <w:r w:rsidRPr="00721FDB">
        <w:rPr>
          <w:b/>
          <w:sz w:val="28"/>
          <w:u w:val="single"/>
        </w:rPr>
        <w:tab/>
      </w:r>
      <w:r w:rsidRPr="00721FDB">
        <w:rPr>
          <w:b/>
          <w:sz w:val="28"/>
          <w:u w:val="single"/>
        </w:rPr>
        <w:tab/>
      </w:r>
      <w:r w:rsidRPr="00721FDB">
        <w:rPr>
          <w:b/>
          <w:sz w:val="28"/>
          <w:u w:val="single"/>
        </w:rPr>
        <w:tab/>
      </w:r>
      <w:r w:rsidRPr="00721FDB">
        <w:rPr>
          <w:b/>
          <w:sz w:val="28"/>
          <w:u w:val="single"/>
        </w:rPr>
        <w:tab/>
        <w:t>PAGE(S)</w:t>
      </w:r>
    </w:p>
    <w:p w:rsidR="00ED3C2B" w:rsidRPr="00721FDB" w:rsidRDefault="00ED3C2B" w:rsidP="00ED3C2B">
      <w:pPr>
        <w:pStyle w:val="DefaultText"/>
      </w:pPr>
    </w:p>
    <w:p w:rsidR="00ED3C2B" w:rsidRPr="00AD2B2E" w:rsidRDefault="00ED3C2B" w:rsidP="00AD2B2E">
      <w:pPr>
        <w:rPr>
          <w:sz w:val="24"/>
          <w:szCs w:val="24"/>
        </w:rPr>
      </w:pPr>
      <w:r w:rsidRPr="00AD2B2E">
        <w:rPr>
          <w:sz w:val="24"/>
          <w:szCs w:val="24"/>
        </w:rPr>
        <w:t>III</w:t>
      </w:r>
      <w:r w:rsidR="00506B51" w:rsidRPr="00AD2B2E">
        <w:rPr>
          <w:sz w:val="24"/>
          <w:szCs w:val="24"/>
        </w:rPr>
        <w:t>. Highway</w:t>
      </w:r>
      <w:r w:rsidRPr="00AD2B2E">
        <w:rPr>
          <w:sz w:val="24"/>
          <w:szCs w:val="24"/>
        </w:rPr>
        <w:t xml:space="preserve"> Fund</w:t>
      </w:r>
    </w:p>
    <w:p w:rsidR="00ED3C2B" w:rsidRPr="00721FDB" w:rsidRDefault="00ED3C2B" w:rsidP="00ED3C2B">
      <w:pPr>
        <w:pStyle w:val="DefaultText"/>
      </w:pPr>
    </w:p>
    <w:p w:rsidR="00ED3C2B" w:rsidRPr="00721FDB" w:rsidRDefault="00ED3C2B" w:rsidP="00ED3C2B">
      <w:pPr>
        <w:pStyle w:val="DefaultText"/>
      </w:pPr>
      <w:r w:rsidRPr="00721FDB">
        <w:tab/>
        <w:t>A. Budget Status</w:t>
      </w:r>
      <w:r w:rsidR="00CD10DA" w:rsidRPr="00721FDB">
        <w:t xml:space="preserve"> </w:t>
      </w:r>
      <w:r w:rsidR="00AD35F3" w:rsidRPr="00721FDB">
        <w:t>FY 1</w:t>
      </w:r>
      <w:r w:rsidR="00AD35F3">
        <w:t>2</w:t>
      </w:r>
      <w:r w:rsidR="00AD35F3" w:rsidRPr="00721FDB">
        <w:t>-1</w:t>
      </w:r>
      <w:r w:rsidR="00AD35F3">
        <w:t>3</w:t>
      </w:r>
      <w:r w:rsidR="00AD35F3" w:rsidRPr="00721FDB">
        <w:t xml:space="preserve"> and FY 1</w:t>
      </w:r>
      <w:r w:rsidR="00AD35F3">
        <w:t>4</w:t>
      </w:r>
      <w:r w:rsidR="00AD35F3" w:rsidRPr="00721FDB">
        <w:t>-1</w:t>
      </w:r>
      <w:r w:rsidR="00AD35F3">
        <w:t>5</w:t>
      </w:r>
      <w:r w:rsidR="00CD10DA" w:rsidRPr="00721FDB">
        <w:tab/>
      </w:r>
      <w:r w:rsidR="00CD10DA" w:rsidRPr="00721FDB">
        <w:tab/>
      </w:r>
      <w:r w:rsidR="00CD10DA" w:rsidRPr="00721FDB">
        <w:tab/>
      </w:r>
      <w:r w:rsidR="00CD10DA" w:rsidRPr="00721FDB">
        <w:tab/>
      </w:r>
      <w:r w:rsidR="00CD10DA" w:rsidRPr="00721FDB">
        <w:tab/>
        <w:t xml:space="preserve">      19</w:t>
      </w:r>
    </w:p>
    <w:p w:rsidR="00ED3C2B" w:rsidRPr="00721FDB" w:rsidRDefault="00ED3C2B" w:rsidP="00ED3C2B">
      <w:pPr>
        <w:pStyle w:val="DefaultText"/>
      </w:pPr>
    </w:p>
    <w:p w:rsidR="00ED3C2B" w:rsidRPr="00721FDB" w:rsidRDefault="00ED3C2B" w:rsidP="00ED3C2B">
      <w:pPr>
        <w:pStyle w:val="DefaultText"/>
      </w:pPr>
      <w:r w:rsidRPr="00721FDB">
        <w:tab/>
        <w:t xml:space="preserve">B. Revenue Forecast Charts </w:t>
      </w:r>
      <w:r w:rsidR="00AD35F3" w:rsidRPr="00721FDB">
        <w:t>FY 1</w:t>
      </w:r>
      <w:r w:rsidR="00AD35F3">
        <w:t>2</w:t>
      </w:r>
      <w:r w:rsidR="00AD35F3" w:rsidRPr="00721FDB">
        <w:t>-1</w:t>
      </w:r>
      <w:r w:rsidR="00AD35F3">
        <w:t>3</w:t>
      </w:r>
      <w:r w:rsidR="00AD35F3" w:rsidRPr="00721FDB">
        <w:t xml:space="preserve"> and FY 1</w:t>
      </w:r>
      <w:r w:rsidR="00AD35F3">
        <w:t>4</w:t>
      </w:r>
      <w:r w:rsidR="00AD35F3" w:rsidRPr="00721FDB">
        <w:t>-1</w:t>
      </w:r>
      <w:r w:rsidR="00AD35F3">
        <w:t>5</w:t>
      </w:r>
      <w:r w:rsidRPr="00721FDB">
        <w:tab/>
      </w:r>
      <w:r w:rsidRPr="00721FDB">
        <w:tab/>
        <w:t xml:space="preserve">   </w:t>
      </w:r>
      <w:r w:rsidRPr="00721FDB">
        <w:tab/>
        <w:t xml:space="preserve">   </w:t>
      </w:r>
      <w:r w:rsidR="00CD10DA" w:rsidRPr="00721FDB">
        <w:t xml:space="preserve">   </w:t>
      </w:r>
      <w:r w:rsidR="008F188D">
        <w:t>21-23</w:t>
      </w:r>
    </w:p>
    <w:p w:rsidR="00ED3C2B" w:rsidRPr="00721FDB" w:rsidRDefault="00ED3C2B" w:rsidP="00ED3C2B">
      <w:pPr>
        <w:pStyle w:val="DefaultText"/>
      </w:pPr>
    </w:p>
    <w:p w:rsidR="00ED3C2B" w:rsidRPr="00AD2B2E" w:rsidRDefault="00ED3C2B" w:rsidP="00AD2B2E">
      <w:pPr>
        <w:rPr>
          <w:sz w:val="24"/>
          <w:szCs w:val="24"/>
        </w:rPr>
      </w:pPr>
      <w:r w:rsidRPr="00AD2B2E">
        <w:rPr>
          <w:sz w:val="24"/>
          <w:szCs w:val="24"/>
        </w:rPr>
        <w:tab/>
        <w:t>C. Revenue Forecast Narrative</w:t>
      </w:r>
    </w:p>
    <w:p w:rsidR="00ED3C2B" w:rsidRPr="00721FDB" w:rsidRDefault="00ED3C2B" w:rsidP="00ED3C2B">
      <w:pPr>
        <w:pStyle w:val="DefaultText"/>
      </w:pPr>
    </w:p>
    <w:p w:rsidR="00ED3C2B" w:rsidRPr="00721FDB" w:rsidRDefault="00CD10DA" w:rsidP="00ED3C2B">
      <w:pPr>
        <w:pStyle w:val="DefaultText"/>
      </w:pPr>
      <w:r w:rsidRPr="00721FDB">
        <w:tab/>
      </w:r>
      <w:r w:rsidRPr="00721FDB">
        <w:tab/>
      </w:r>
      <w:r w:rsidR="00ED3C2B" w:rsidRPr="00721FDB">
        <w:t>Fuel Tax</w:t>
      </w:r>
      <w:r w:rsidR="00ED3C2B" w:rsidRPr="00721FDB">
        <w:tab/>
      </w:r>
      <w:r w:rsidR="00ED3C2B" w:rsidRPr="00721FDB">
        <w:tab/>
      </w:r>
      <w:r w:rsidR="00ED3C2B" w:rsidRPr="00721FDB">
        <w:tab/>
      </w:r>
      <w:r w:rsidR="00ED3C2B" w:rsidRPr="00721FDB">
        <w:tab/>
      </w:r>
      <w:r w:rsidR="00ED3C2B" w:rsidRPr="00721FDB">
        <w:tab/>
      </w:r>
      <w:r w:rsidR="00ED3C2B" w:rsidRPr="00721FDB">
        <w:tab/>
      </w:r>
      <w:r w:rsidR="00ED3C2B" w:rsidRPr="00721FDB">
        <w:tab/>
      </w:r>
      <w:r w:rsidR="00ED3C2B" w:rsidRPr="00721FDB">
        <w:tab/>
        <w:t xml:space="preserve">    </w:t>
      </w:r>
      <w:r w:rsidRPr="00721FDB">
        <w:t xml:space="preserve">  </w:t>
      </w:r>
      <w:r w:rsidR="008F188D">
        <w:t>24</w:t>
      </w:r>
    </w:p>
    <w:p w:rsidR="00ED3C2B" w:rsidRPr="00721FDB" w:rsidRDefault="001B6587" w:rsidP="00ED3C2B">
      <w:pPr>
        <w:pStyle w:val="DefaultText"/>
      </w:pPr>
      <w:r w:rsidRPr="00721FDB">
        <w:tab/>
      </w:r>
      <w:r w:rsidRPr="00721FDB">
        <w:tab/>
      </w:r>
      <w:r w:rsidR="00ED3C2B" w:rsidRPr="00721FDB">
        <w:t>Motor Vehicle Registrations and Fees</w:t>
      </w:r>
      <w:r w:rsidR="00ED3C2B" w:rsidRPr="00721FDB">
        <w:tab/>
      </w:r>
      <w:r w:rsidR="00ED3C2B" w:rsidRPr="00721FDB">
        <w:tab/>
      </w:r>
      <w:r w:rsidR="00ED3C2B" w:rsidRPr="00721FDB">
        <w:tab/>
      </w:r>
      <w:r w:rsidR="00ED3C2B" w:rsidRPr="00721FDB">
        <w:tab/>
        <w:t xml:space="preserve">    </w:t>
      </w:r>
      <w:r w:rsidRPr="00721FDB">
        <w:t xml:space="preserve">  </w:t>
      </w:r>
      <w:r w:rsidR="008F188D">
        <w:t>24</w:t>
      </w:r>
    </w:p>
    <w:p w:rsidR="00ED3C2B" w:rsidRPr="00721FDB" w:rsidRDefault="001B6587" w:rsidP="00ED3C2B">
      <w:pPr>
        <w:pStyle w:val="DefaultText"/>
      </w:pPr>
      <w:r w:rsidRPr="00721FDB">
        <w:tab/>
      </w:r>
      <w:r w:rsidRPr="00721FDB">
        <w:tab/>
      </w:r>
      <w:r w:rsidR="00ED3C2B" w:rsidRPr="00721FDB">
        <w:t>Inspection Fees</w:t>
      </w:r>
      <w:r w:rsidR="00ED3C2B" w:rsidRPr="00721FDB">
        <w:tab/>
      </w:r>
      <w:r w:rsidR="00ED3C2B" w:rsidRPr="00721FDB">
        <w:tab/>
      </w:r>
      <w:r w:rsidR="00ED3C2B" w:rsidRPr="00721FDB">
        <w:tab/>
      </w:r>
      <w:r w:rsidR="00ED3C2B" w:rsidRPr="00721FDB">
        <w:tab/>
      </w:r>
      <w:r w:rsidR="00ED3C2B" w:rsidRPr="00721FDB">
        <w:tab/>
      </w:r>
      <w:r w:rsidR="00ED3C2B" w:rsidRPr="00721FDB">
        <w:tab/>
      </w:r>
      <w:r w:rsidR="00ED3C2B" w:rsidRPr="00721FDB">
        <w:tab/>
        <w:t xml:space="preserve">    </w:t>
      </w:r>
      <w:r w:rsidRPr="00721FDB">
        <w:t xml:space="preserve">  </w:t>
      </w:r>
      <w:r w:rsidR="008F188D">
        <w:t>24</w:t>
      </w:r>
    </w:p>
    <w:p w:rsidR="00ED3C2B" w:rsidRPr="00721FDB" w:rsidRDefault="001B6587" w:rsidP="00ED3C2B">
      <w:pPr>
        <w:pStyle w:val="DefaultText"/>
      </w:pPr>
      <w:r w:rsidRPr="00721FDB">
        <w:tab/>
      </w:r>
      <w:r w:rsidRPr="00721FDB">
        <w:tab/>
      </w:r>
      <w:r w:rsidR="00ED3C2B" w:rsidRPr="00721FDB">
        <w:t>Other Revenues</w:t>
      </w:r>
      <w:r w:rsidR="00ED3C2B" w:rsidRPr="00721FDB">
        <w:tab/>
      </w:r>
      <w:r w:rsidR="00ED3C2B" w:rsidRPr="00721FDB">
        <w:tab/>
      </w:r>
      <w:r w:rsidR="00ED3C2B" w:rsidRPr="00721FDB">
        <w:tab/>
      </w:r>
      <w:r w:rsidR="00ED3C2B" w:rsidRPr="00721FDB">
        <w:tab/>
      </w:r>
      <w:r w:rsidR="00ED3C2B" w:rsidRPr="00721FDB">
        <w:tab/>
      </w:r>
      <w:r w:rsidR="00ED3C2B" w:rsidRPr="00721FDB">
        <w:tab/>
      </w:r>
      <w:r w:rsidR="00ED3C2B" w:rsidRPr="00721FDB">
        <w:tab/>
        <w:t xml:space="preserve">    </w:t>
      </w:r>
      <w:r w:rsidRPr="00721FDB">
        <w:t xml:space="preserve">  </w:t>
      </w:r>
      <w:r w:rsidR="00ED3C2B" w:rsidRPr="00721FDB">
        <w:t>2</w:t>
      </w:r>
      <w:r w:rsidR="00401EFD">
        <w:t>4</w:t>
      </w:r>
    </w:p>
    <w:p w:rsidR="00ED3C2B" w:rsidRPr="00721FDB" w:rsidRDefault="00ED3C2B" w:rsidP="00ED3C2B">
      <w:pPr>
        <w:pStyle w:val="DefaultText"/>
      </w:pPr>
    </w:p>
    <w:p w:rsidR="00ED3C2B" w:rsidRPr="00721FDB" w:rsidRDefault="00ED3C2B" w:rsidP="00ED3C2B">
      <w:pPr>
        <w:pStyle w:val="DefaultText"/>
      </w:pPr>
      <w:r w:rsidRPr="00721FDB">
        <w:tab/>
        <w:t xml:space="preserve">D. Expenditure Forecast Charts </w:t>
      </w:r>
      <w:r w:rsidR="00AD35F3" w:rsidRPr="00721FDB">
        <w:t>FY 1</w:t>
      </w:r>
      <w:r w:rsidR="00AD35F3">
        <w:t>2</w:t>
      </w:r>
      <w:r w:rsidR="00AD35F3" w:rsidRPr="00721FDB">
        <w:t>-1</w:t>
      </w:r>
      <w:r w:rsidR="00AD35F3">
        <w:t>3</w:t>
      </w:r>
      <w:r w:rsidR="00AD35F3" w:rsidRPr="00721FDB">
        <w:t xml:space="preserve"> and FY 1</w:t>
      </w:r>
      <w:r w:rsidR="00AD35F3">
        <w:t>4</w:t>
      </w:r>
      <w:r w:rsidR="00AD35F3" w:rsidRPr="00721FDB">
        <w:t>-1</w:t>
      </w:r>
      <w:r w:rsidR="00AD35F3">
        <w:t>5</w:t>
      </w:r>
      <w:r w:rsidRPr="00721FDB">
        <w:tab/>
      </w:r>
      <w:r w:rsidRPr="00721FDB">
        <w:tab/>
        <w:t xml:space="preserve">  </w:t>
      </w:r>
      <w:r w:rsidRPr="00721FDB">
        <w:tab/>
        <w:t xml:space="preserve">    </w:t>
      </w:r>
      <w:r w:rsidR="00265AE9" w:rsidRPr="00721FDB">
        <w:t xml:space="preserve">  </w:t>
      </w:r>
      <w:r w:rsidR="00401EFD">
        <w:t>26</w:t>
      </w:r>
      <w:r w:rsidR="008F188D">
        <w:t>-2</w:t>
      </w:r>
      <w:r w:rsidR="00401EFD">
        <w:t>8</w:t>
      </w:r>
    </w:p>
    <w:p w:rsidR="00ED3C2B" w:rsidRPr="00721FDB" w:rsidRDefault="00ED3C2B" w:rsidP="00ED3C2B">
      <w:pPr>
        <w:pStyle w:val="DefaultText"/>
      </w:pPr>
    </w:p>
    <w:p w:rsidR="00ED3C2B" w:rsidRPr="00AD2B2E" w:rsidRDefault="00ED3C2B" w:rsidP="00AD2B2E">
      <w:pPr>
        <w:rPr>
          <w:sz w:val="24"/>
          <w:szCs w:val="24"/>
        </w:rPr>
      </w:pPr>
      <w:r w:rsidRPr="00AD2B2E">
        <w:rPr>
          <w:sz w:val="24"/>
          <w:szCs w:val="24"/>
        </w:rPr>
        <w:tab/>
        <w:t xml:space="preserve">E. Expenditure Forecast Narrative </w:t>
      </w:r>
      <w:r w:rsidR="00AD35F3" w:rsidRPr="00AD35F3">
        <w:rPr>
          <w:sz w:val="24"/>
          <w:szCs w:val="24"/>
        </w:rPr>
        <w:t>FY 12-13 and FY 14-15</w:t>
      </w:r>
      <w:r w:rsidR="00AD35F3">
        <w:tab/>
      </w:r>
      <w:r w:rsidR="00AD35F3">
        <w:tab/>
      </w:r>
      <w:r w:rsidR="00AD35F3">
        <w:tab/>
        <w:t xml:space="preserve">       </w:t>
      </w:r>
      <w:r w:rsidR="00AD35F3" w:rsidRPr="00AD35F3">
        <w:rPr>
          <w:sz w:val="24"/>
          <w:szCs w:val="24"/>
        </w:rPr>
        <w:t>30-31</w:t>
      </w:r>
    </w:p>
    <w:p w:rsidR="00ED3C2B" w:rsidRPr="00721FDB" w:rsidRDefault="00ED3C2B" w:rsidP="00ED3C2B">
      <w:pPr>
        <w:pStyle w:val="DefaultText"/>
      </w:pPr>
      <w:r w:rsidRPr="00721FDB">
        <w:tab/>
      </w:r>
      <w:r w:rsidRPr="00721FDB">
        <w:tab/>
      </w:r>
      <w:r w:rsidRPr="00721FDB">
        <w:tab/>
        <w:t xml:space="preserve">   </w:t>
      </w:r>
      <w:r w:rsidRPr="00721FDB">
        <w:tab/>
        <w:t xml:space="preserve">    </w:t>
      </w:r>
    </w:p>
    <w:p w:rsidR="00ED3C2B" w:rsidRPr="00721FDB" w:rsidRDefault="00265AE9" w:rsidP="00ED3C2B">
      <w:pPr>
        <w:pStyle w:val="DefaultText"/>
      </w:pPr>
      <w:r w:rsidRPr="00721FDB">
        <w:tab/>
      </w:r>
      <w:r w:rsidRPr="00721FDB">
        <w:tab/>
      </w:r>
      <w:r w:rsidR="00ED3C2B" w:rsidRPr="00721FDB">
        <w:t>Capital Construction and Improvement Reserve Fund</w:t>
      </w:r>
      <w:r w:rsidR="00ED3C2B" w:rsidRPr="00721FDB">
        <w:tab/>
      </w:r>
      <w:r w:rsidR="00ED3C2B" w:rsidRPr="00721FDB">
        <w:tab/>
        <w:t xml:space="preserve">    </w:t>
      </w:r>
      <w:r w:rsidRPr="00721FDB">
        <w:t xml:space="preserve">  </w:t>
      </w:r>
      <w:r w:rsidR="00401EFD">
        <w:t>29</w:t>
      </w:r>
    </w:p>
    <w:p w:rsidR="00ED3C2B" w:rsidRPr="00721FDB" w:rsidRDefault="00265AE9" w:rsidP="00ED3C2B">
      <w:pPr>
        <w:pStyle w:val="DefaultText"/>
      </w:pPr>
      <w:r w:rsidRPr="00721FDB">
        <w:tab/>
      </w:r>
      <w:r w:rsidRPr="00721FDB">
        <w:tab/>
      </w:r>
      <w:r w:rsidR="00ED3C2B" w:rsidRPr="00721FDB">
        <w:t>State Police</w:t>
      </w:r>
      <w:r w:rsidR="00ED3C2B" w:rsidRPr="00721FDB">
        <w:tab/>
      </w:r>
      <w:r w:rsidR="00ED3C2B" w:rsidRPr="00721FDB">
        <w:tab/>
      </w:r>
      <w:r w:rsidR="00ED3C2B" w:rsidRPr="00721FDB">
        <w:tab/>
      </w:r>
      <w:r w:rsidR="00ED3C2B" w:rsidRPr="00721FDB">
        <w:tab/>
      </w:r>
      <w:r w:rsidR="00ED3C2B" w:rsidRPr="00721FDB">
        <w:tab/>
      </w:r>
      <w:r w:rsidR="00ED3C2B" w:rsidRPr="00721FDB">
        <w:tab/>
      </w:r>
      <w:r w:rsidR="00ED3C2B" w:rsidRPr="00721FDB">
        <w:tab/>
      </w:r>
      <w:r w:rsidR="00ED3C2B" w:rsidRPr="00721FDB">
        <w:tab/>
        <w:t xml:space="preserve">    </w:t>
      </w:r>
      <w:r w:rsidRPr="00721FDB">
        <w:t xml:space="preserve">  </w:t>
      </w:r>
      <w:r w:rsidR="00401EFD">
        <w:t>29</w:t>
      </w:r>
    </w:p>
    <w:p w:rsidR="00ED3C2B" w:rsidRPr="00721FDB" w:rsidRDefault="00265AE9" w:rsidP="00ED3C2B">
      <w:pPr>
        <w:pStyle w:val="DefaultText"/>
      </w:pPr>
      <w:r w:rsidRPr="00721FDB">
        <w:tab/>
      </w:r>
      <w:r w:rsidRPr="00721FDB">
        <w:tab/>
      </w:r>
      <w:r w:rsidR="00ED3C2B" w:rsidRPr="00721FDB">
        <w:t>Maintenance &amp; Operations</w:t>
      </w:r>
      <w:r w:rsidR="00ED3C2B" w:rsidRPr="00721FDB">
        <w:tab/>
      </w:r>
      <w:r w:rsidR="00ED3C2B" w:rsidRPr="00721FDB">
        <w:tab/>
      </w:r>
      <w:r w:rsidR="00ED3C2B" w:rsidRPr="00721FDB">
        <w:tab/>
      </w:r>
      <w:r w:rsidR="00ED3C2B" w:rsidRPr="00721FDB">
        <w:tab/>
      </w:r>
      <w:r w:rsidR="00ED3C2B" w:rsidRPr="00721FDB">
        <w:tab/>
      </w:r>
      <w:r w:rsidR="00ED3C2B" w:rsidRPr="00721FDB">
        <w:tab/>
        <w:t xml:space="preserve">    </w:t>
      </w:r>
      <w:r w:rsidRPr="00721FDB">
        <w:t xml:space="preserve">  </w:t>
      </w:r>
      <w:r w:rsidR="008F188D">
        <w:t>30</w:t>
      </w:r>
    </w:p>
    <w:p w:rsidR="00ED3C2B" w:rsidRPr="00721FDB" w:rsidRDefault="00265AE9" w:rsidP="00ED3C2B">
      <w:pPr>
        <w:pStyle w:val="DefaultText"/>
      </w:pPr>
      <w:r w:rsidRPr="00721FDB">
        <w:tab/>
      </w:r>
      <w:r w:rsidRPr="00721FDB">
        <w:tab/>
      </w:r>
      <w:r w:rsidR="00ED3C2B" w:rsidRPr="00721FDB">
        <w:t xml:space="preserve">Highway and Bridge </w:t>
      </w:r>
      <w:r w:rsidRPr="00721FDB">
        <w:t>Capital</w:t>
      </w:r>
      <w:r w:rsidR="00ED3C2B" w:rsidRPr="00721FDB">
        <w:tab/>
      </w:r>
      <w:r w:rsidR="00ED3C2B" w:rsidRPr="00721FDB">
        <w:tab/>
      </w:r>
      <w:r w:rsidR="00ED3C2B" w:rsidRPr="00721FDB">
        <w:tab/>
      </w:r>
      <w:r w:rsidR="00ED3C2B" w:rsidRPr="00721FDB">
        <w:tab/>
      </w:r>
      <w:r w:rsidR="00ED3C2B" w:rsidRPr="00721FDB">
        <w:tab/>
        <w:t xml:space="preserve">    </w:t>
      </w:r>
      <w:r w:rsidRPr="00721FDB">
        <w:t xml:space="preserve">              </w:t>
      </w:r>
      <w:r w:rsidR="008F188D">
        <w:t>3</w:t>
      </w:r>
      <w:r w:rsidR="00401EFD">
        <w:t>0</w:t>
      </w:r>
    </w:p>
    <w:p w:rsidR="00265AE9" w:rsidRPr="00721FDB" w:rsidRDefault="00265AE9" w:rsidP="00265AE9">
      <w:pPr>
        <w:pStyle w:val="DefaultText"/>
        <w:ind w:left="720" w:firstLine="720"/>
      </w:pPr>
      <w:r w:rsidRPr="00721FDB">
        <w:t>Highway and Bridge Light Capital</w:t>
      </w:r>
      <w:r w:rsidRPr="00721FDB">
        <w:tab/>
      </w:r>
      <w:r w:rsidRPr="00721FDB">
        <w:tab/>
      </w:r>
      <w:r w:rsidRPr="00721FDB">
        <w:tab/>
      </w:r>
      <w:r w:rsidRPr="00721FDB">
        <w:tab/>
        <w:t xml:space="preserve">                  </w:t>
      </w:r>
      <w:r w:rsidR="008F188D">
        <w:t>3</w:t>
      </w:r>
      <w:r w:rsidR="00401EFD">
        <w:t>0</w:t>
      </w:r>
    </w:p>
    <w:p w:rsidR="00ED3C2B" w:rsidRPr="00721FDB" w:rsidRDefault="00B7239E" w:rsidP="00ED3C2B">
      <w:pPr>
        <w:pStyle w:val="DefaultText"/>
      </w:pPr>
      <w:r w:rsidRPr="00721FDB">
        <w:tab/>
      </w:r>
      <w:r w:rsidRPr="00721FDB">
        <w:tab/>
      </w:r>
      <w:r w:rsidR="00ED3C2B" w:rsidRPr="00721FDB">
        <w:t>Urban-Rural Initiative Program</w:t>
      </w:r>
      <w:r w:rsidR="00ED3C2B" w:rsidRPr="00721FDB">
        <w:tab/>
      </w:r>
      <w:r w:rsidR="00ED3C2B" w:rsidRPr="00721FDB">
        <w:tab/>
      </w:r>
      <w:r w:rsidR="00ED3C2B" w:rsidRPr="00721FDB">
        <w:tab/>
      </w:r>
      <w:r w:rsidR="00ED3C2B" w:rsidRPr="00721FDB">
        <w:tab/>
      </w:r>
      <w:r w:rsidR="00ED3C2B" w:rsidRPr="00721FDB">
        <w:tab/>
        <w:t xml:space="preserve">    </w:t>
      </w:r>
      <w:r w:rsidRPr="00721FDB">
        <w:t xml:space="preserve">  </w:t>
      </w:r>
      <w:r w:rsidR="008F188D">
        <w:t>3</w:t>
      </w:r>
      <w:r w:rsidR="00401EFD">
        <w:t>0</w:t>
      </w:r>
    </w:p>
    <w:p w:rsidR="00ED3C2B" w:rsidRPr="00721FDB" w:rsidRDefault="00B7239E" w:rsidP="00ED3C2B">
      <w:pPr>
        <w:pStyle w:val="DefaultText"/>
      </w:pPr>
      <w:r w:rsidRPr="00721FDB">
        <w:tab/>
      </w:r>
      <w:r w:rsidRPr="00721FDB">
        <w:tab/>
      </w:r>
      <w:r w:rsidR="00ED3C2B" w:rsidRPr="00721FDB">
        <w:t>Debt Service</w:t>
      </w:r>
      <w:r w:rsidR="00ED3C2B" w:rsidRPr="00721FDB">
        <w:tab/>
      </w:r>
      <w:r w:rsidR="00ED3C2B" w:rsidRPr="00721FDB">
        <w:tab/>
      </w:r>
      <w:r w:rsidR="00ED3C2B" w:rsidRPr="00721FDB">
        <w:tab/>
      </w:r>
      <w:r w:rsidR="00ED3C2B" w:rsidRPr="00721FDB">
        <w:tab/>
      </w:r>
      <w:r w:rsidR="00ED3C2B" w:rsidRPr="00721FDB">
        <w:tab/>
      </w:r>
      <w:r w:rsidR="00ED3C2B" w:rsidRPr="00721FDB">
        <w:tab/>
      </w:r>
      <w:r w:rsidR="00ED3C2B" w:rsidRPr="00721FDB">
        <w:tab/>
        <w:t xml:space="preserve">    </w:t>
      </w:r>
      <w:r w:rsidRPr="00721FDB">
        <w:tab/>
        <w:t xml:space="preserve">      </w:t>
      </w:r>
      <w:r w:rsidR="008F188D">
        <w:t>31</w:t>
      </w:r>
    </w:p>
    <w:p w:rsidR="00ED3C2B" w:rsidRPr="00721FDB" w:rsidRDefault="00ED3C2B" w:rsidP="00ED3C2B">
      <w:pPr>
        <w:pStyle w:val="DefaultText"/>
      </w:pPr>
    </w:p>
    <w:p w:rsidR="00ED3C2B" w:rsidRPr="00721FDB" w:rsidRDefault="00ED3C2B" w:rsidP="00ED3C2B">
      <w:pPr>
        <w:pStyle w:val="DefaultText"/>
      </w:pPr>
      <w:r w:rsidRPr="00721FDB">
        <w:t>IV.</w:t>
      </w:r>
      <w:r w:rsidRPr="00721FDB">
        <w:tab/>
        <w:t>Summary</w:t>
      </w:r>
      <w:r w:rsidRPr="00721FDB">
        <w:tab/>
      </w:r>
      <w:r w:rsidRPr="00721FDB">
        <w:tab/>
      </w:r>
      <w:r w:rsidRPr="00721FDB">
        <w:tab/>
      </w:r>
      <w:r w:rsidRPr="00721FDB">
        <w:tab/>
      </w:r>
      <w:r w:rsidRPr="00721FDB">
        <w:tab/>
      </w:r>
      <w:r w:rsidRPr="00721FDB">
        <w:tab/>
      </w:r>
      <w:r w:rsidRPr="00721FDB">
        <w:tab/>
      </w:r>
      <w:r w:rsidRPr="00721FDB">
        <w:tab/>
      </w:r>
      <w:r w:rsidRPr="00721FDB">
        <w:tab/>
        <w:t xml:space="preserve">    </w:t>
      </w:r>
      <w:r w:rsidR="00B7239E" w:rsidRPr="00721FDB">
        <w:t xml:space="preserve">  </w:t>
      </w:r>
      <w:r w:rsidR="008F188D">
        <w:t>32</w:t>
      </w:r>
    </w:p>
    <w:p w:rsidR="00ED3C2B" w:rsidRPr="0083790F" w:rsidRDefault="00ED3C2B" w:rsidP="00ED3C2B">
      <w:pPr>
        <w:pStyle w:val="DefaultText"/>
        <w:rPr>
          <w:color w:val="FF0000"/>
        </w:rPr>
      </w:pPr>
    </w:p>
    <w:p w:rsidR="00ED3C2B" w:rsidRDefault="00ED3C2B" w:rsidP="00ED3C2B">
      <w:pPr>
        <w:pStyle w:val="DefaultText"/>
      </w:pPr>
    </w:p>
    <w:p w:rsidR="00ED3C2B" w:rsidRDefault="00ED3C2B" w:rsidP="00ED3C2B">
      <w:pPr>
        <w:pStyle w:val="DefaultText"/>
      </w:pPr>
    </w:p>
    <w:p w:rsidR="00ED3C2B" w:rsidRDefault="00ED3C2B" w:rsidP="00ED3C2B">
      <w:pPr>
        <w:pStyle w:val="DefaultText"/>
      </w:pPr>
    </w:p>
    <w:p w:rsidR="00ED3C2B" w:rsidRDefault="00ED3C2B" w:rsidP="00ED3C2B">
      <w:pPr>
        <w:pStyle w:val="DefaultText"/>
      </w:pPr>
    </w:p>
    <w:p w:rsidR="00ED3C2B" w:rsidRDefault="00ED3C2B" w:rsidP="00ED3C2B">
      <w:pPr>
        <w:pStyle w:val="DefaultText"/>
      </w:pPr>
    </w:p>
    <w:p w:rsidR="00ED3C2B" w:rsidRDefault="00ED3C2B" w:rsidP="00ED3C2B">
      <w:pPr>
        <w:pStyle w:val="DefaultText"/>
      </w:pPr>
    </w:p>
    <w:p w:rsidR="00ED3C2B" w:rsidRDefault="00ED3C2B" w:rsidP="00ED3C2B">
      <w:pPr>
        <w:pStyle w:val="DefaultText"/>
      </w:pPr>
    </w:p>
    <w:p w:rsidR="00ED3C2B" w:rsidRDefault="00ED3C2B" w:rsidP="00ED3C2B">
      <w:pPr>
        <w:pStyle w:val="DefaultText"/>
      </w:pPr>
    </w:p>
    <w:p w:rsidR="00ED3C2B" w:rsidRDefault="00ED3C2B" w:rsidP="00ED3C2B">
      <w:pPr>
        <w:pStyle w:val="DefaultText"/>
      </w:pPr>
    </w:p>
    <w:p w:rsidR="00ED3C2B" w:rsidRDefault="00ED3C2B" w:rsidP="00ED3C2B">
      <w:pPr>
        <w:pStyle w:val="DefaultText"/>
      </w:pPr>
    </w:p>
    <w:p w:rsidR="00ED3C2B" w:rsidRDefault="00ED3C2B" w:rsidP="00ED3C2B">
      <w:pPr>
        <w:pStyle w:val="DefaultText"/>
      </w:pPr>
    </w:p>
    <w:p w:rsidR="00ED3C2B" w:rsidRDefault="00ED3C2B" w:rsidP="00ED3C2B">
      <w:pPr>
        <w:pStyle w:val="DefaultText"/>
      </w:pPr>
    </w:p>
    <w:p w:rsidR="00ED3C2B" w:rsidRDefault="00ED3C2B" w:rsidP="00ED3C2B">
      <w:pPr>
        <w:pStyle w:val="DefaultText"/>
      </w:pPr>
    </w:p>
    <w:p w:rsidR="00ED3C2B" w:rsidRDefault="00ED3C2B" w:rsidP="00ED3C2B">
      <w:pPr>
        <w:pStyle w:val="DefaultText"/>
      </w:pPr>
    </w:p>
    <w:p w:rsidR="00ED3C2B" w:rsidRDefault="00ED3C2B" w:rsidP="00ED3C2B">
      <w:pPr>
        <w:pStyle w:val="DefaultText"/>
      </w:pPr>
    </w:p>
    <w:p w:rsidR="00ED3C2B" w:rsidRDefault="00ED3C2B" w:rsidP="00ED3C2B">
      <w:pPr>
        <w:pStyle w:val="DefaultText"/>
      </w:pPr>
    </w:p>
    <w:p w:rsidR="00ED3C2B" w:rsidRDefault="00ED3C2B" w:rsidP="00ED3C2B">
      <w:pPr>
        <w:pStyle w:val="DefaultText"/>
      </w:pPr>
    </w:p>
    <w:p w:rsidR="00E015B3" w:rsidRDefault="00E015B3" w:rsidP="00ED3C2B">
      <w:pPr>
        <w:pStyle w:val="DefaultText"/>
        <w:jc w:val="center"/>
        <w:outlineLvl w:val="0"/>
        <w:rPr>
          <w:b/>
          <w:sz w:val="36"/>
        </w:rPr>
        <w:sectPr w:rsidR="00E015B3" w:rsidSect="00F02CC3">
          <w:footerReference w:type="even" r:id="rId10"/>
          <w:footerReference w:type="default" r:id="rId11"/>
          <w:pgSz w:w="12240" w:h="15840"/>
          <w:pgMar w:top="576" w:right="1440" w:bottom="540" w:left="1440" w:header="0" w:footer="0" w:gutter="0"/>
          <w:pgNumType w:start="1"/>
          <w:cols w:space="720"/>
        </w:sectPr>
      </w:pPr>
    </w:p>
    <w:p w:rsidR="00ED3C2B" w:rsidRPr="00AD2B2E" w:rsidRDefault="00ED3C2B" w:rsidP="00AD2B2E">
      <w:pPr>
        <w:jc w:val="center"/>
        <w:rPr>
          <w:b/>
          <w:sz w:val="36"/>
          <w:szCs w:val="36"/>
        </w:rPr>
      </w:pPr>
      <w:r w:rsidRPr="00AD2B2E">
        <w:rPr>
          <w:b/>
          <w:sz w:val="36"/>
          <w:szCs w:val="36"/>
        </w:rPr>
        <w:t>MAINE BUDGET FORECAST</w:t>
      </w:r>
    </w:p>
    <w:p w:rsidR="00ED3C2B" w:rsidRDefault="00ED3C2B" w:rsidP="00ED3C2B">
      <w:pPr>
        <w:pStyle w:val="DefaultText"/>
        <w:jc w:val="center"/>
      </w:pPr>
      <w:r>
        <w:rPr>
          <w:b/>
          <w:sz w:val="36"/>
        </w:rPr>
        <w:t>201</w:t>
      </w:r>
      <w:r w:rsidR="00633618">
        <w:rPr>
          <w:b/>
          <w:sz w:val="36"/>
        </w:rPr>
        <w:t>2</w:t>
      </w:r>
      <w:r>
        <w:rPr>
          <w:b/>
          <w:sz w:val="36"/>
        </w:rPr>
        <w:t>-201</w:t>
      </w:r>
      <w:r w:rsidR="00633618">
        <w:rPr>
          <w:b/>
          <w:sz w:val="36"/>
        </w:rPr>
        <w:t>3</w:t>
      </w:r>
      <w:r>
        <w:rPr>
          <w:b/>
          <w:sz w:val="36"/>
        </w:rPr>
        <w:t xml:space="preserve"> BIENNIUM AND 201</w:t>
      </w:r>
      <w:r w:rsidR="00633618">
        <w:rPr>
          <w:b/>
          <w:sz w:val="36"/>
        </w:rPr>
        <w:t>4</w:t>
      </w:r>
      <w:r>
        <w:rPr>
          <w:b/>
          <w:sz w:val="36"/>
        </w:rPr>
        <w:t>-201</w:t>
      </w:r>
      <w:r w:rsidR="00633618">
        <w:rPr>
          <w:b/>
          <w:sz w:val="36"/>
        </w:rPr>
        <w:t>5</w:t>
      </w:r>
      <w:r>
        <w:rPr>
          <w:b/>
          <w:sz w:val="36"/>
        </w:rPr>
        <w:t xml:space="preserve"> BIENNIUM</w:t>
      </w:r>
    </w:p>
    <w:p w:rsidR="00ED3C2B" w:rsidRDefault="00ED3C2B" w:rsidP="00ED3C2B">
      <w:pPr>
        <w:pStyle w:val="DefaultText"/>
      </w:pPr>
    </w:p>
    <w:p w:rsidR="00BB6A69" w:rsidRDefault="00BB6A69" w:rsidP="00ED3C2B">
      <w:pPr>
        <w:pStyle w:val="DefaultText"/>
        <w:outlineLvl w:val="0"/>
        <w:rPr>
          <w:b/>
          <w:u w:val="single"/>
        </w:rPr>
      </w:pPr>
    </w:p>
    <w:p w:rsidR="00BB6A69" w:rsidRDefault="00BB6A69" w:rsidP="00ED3C2B">
      <w:pPr>
        <w:pStyle w:val="DefaultText"/>
        <w:outlineLvl w:val="0"/>
        <w:rPr>
          <w:b/>
          <w:u w:val="single"/>
        </w:rPr>
      </w:pPr>
    </w:p>
    <w:p w:rsidR="00AD35F3" w:rsidRDefault="00AD35F3" w:rsidP="00AD35F3">
      <w:pPr>
        <w:pStyle w:val="DefaultText"/>
        <w:outlineLvl w:val="0"/>
      </w:pPr>
      <w:r>
        <w:rPr>
          <w:b/>
          <w:u w:val="single"/>
        </w:rPr>
        <w:t>I.  INTRODUCTION</w:t>
      </w:r>
    </w:p>
    <w:p w:rsidR="00AD35F3" w:rsidRDefault="00AD35F3" w:rsidP="00AD35F3">
      <w:pPr>
        <w:pStyle w:val="DefaultText"/>
      </w:pPr>
    </w:p>
    <w:p w:rsidR="00AD35F3" w:rsidRDefault="00AD35F3" w:rsidP="00AD35F3">
      <w:pPr>
        <w:pStyle w:val="DefaultText"/>
        <w:ind w:firstLine="720"/>
        <w:jc w:val="both"/>
      </w:pPr>
      <w:r>
        <w:t>Title 5, §§ 1664 and 1665 require a four year budget projection for the General Fund and the Highway Fund. This initiative is in fulfillment of the recommendations of the Special Commission on Governmental Restructuring for the purpose of providing a basis for long term budget planning for the State’s two undedicated funds. This budget approach also provides a means of comparing the structure of current expenditures and current revenues projected forward on a consistent trend basis for both funds. It shows the capacity of the State’s General Fund and Highway Fund resources to support the current level of State government services projected forward.</w:t>
      </w:r>
    </w:p>
    <w:p w:rsidR="00AD35F3" w:rsidRDefault="00AD35F3" w:rsidP="00AD35F3">
      <w:pPr>
        <w:pStyle w:val="DefaultText"/>
        <w:ind w:firstLine="720"/>
        <w:jc w:val="both"/>
      </w:pPr>
      <w:r>
        <w:t>This report is being issued in accordance with Title 5 § 1665, subsection 7 that requires a four-year budget forecast for the General Fund and the Highway Fund by September 30</w:t>
      </w:r>
      <w:r>
        <w:rPr>
          <w:vertAlign w:val="superscript"/>
        </w:rPr>
        <w:t>th</w:t>
      </w:r>
      <w:r>
        <w:t xml:space="preserve"> of each even-numbered year. As such, this report provides a four-year budget forecast for the 2012-2013 biennium and the 2014-2015 biennium. The expected outcome is a reasonable and consistent portrayal of the General Fund and the Highway Fund budgets for FY 14 and FY 15 based on currently available financial and program information. This information, to be useful, needs to include the General Fund appropriations and Highway Fund allocations approved through the Second Regular Session of the 125</w:t>
      </w:r>
      <w:r w:rsidRPr="00C61264">
        <w:rPr>
          <w:vertAlign w:val="superscript"/>
        </w:rPr>
        <w:t>th</w:t>
      </w:r>
      <w:r>
        <w:t xml:space="preserve"> Legislature.</w:t>
      </w:r>
    </w:p>
    <w:p w:rsidR="00AD35F3" w:rsidRDefault="00AD35F3" w:rsidP="00AD35F3">
      <w:pPr>
        <w:pStyle w:val="DefaultText"/>
        <w:ind w:firstLine="720"/>
        <w:jc w:val="both"/>
      </w:pPr>
      <w:r>
        <w:t xml:space="preserve">The projected revenues and expenditures for the General Fund and the Highway Fund are based on current law and current program trends, as required by statute. With respect to revenues, the General Fund and Highway Fund represent the </w:t>
      </w:r>
      <w:r w:rsidR="0029062C">
        <w:t>April</w:t>
      </w:r>
      <w:r>
        <w:t xml:space="preserve"> 2012 projections of the Revenue Forecasting Committee, as required by Public Law 1997, chapter 157 and reflects all actions of the Second Regular Session of the 125</w:t>
      </w:r>
      <w:r w:rsidRPr="00330337">
        <w:rPr>
          <w:vertAlign w:val="superscript"/>
        </w:rPr>
        <w:t>th</w:t>
      </w:r>
      <w:r>
        <w:t xml:space="preserve"> Legislature.   </w:t>
      </w:r>
    </w:p>
    <w:p w:rsidR="00AD35F3" w:rsidRDefault="00AD35F3" w:rsidP="00AD35F3">
      <w:pPr>
        <w:ind w:firstLine="720"/>
        <w:jc w:val="both"/>
        <w:rPr>
          <w:sz w:val="24"/>
          <w:szCs w:val="24"/>
        </w:rPr>
      </w:pPr>
      <w:r w:rsidRPr="004B2989">
        <w:rPr>
          <w:sz w:val="24"/>
          <w:szCs w:val="24"/>
        </w:rPr>
        <w:t>It is important to stress that this forecast must be developed using current law as its basis.  Therefore the statute obligating the state to pay 55% of the cost of K-12 education is the basis for expenditures used in this forecast although the state’s fiscal situation renders attainment of that level unlikely, with a proposal to delay full 55% funding probable.  It is common for subsequent budget proposals to change these underlying statutes, resulting in either one-time or ongoing savings that are necessary to maintain a balanced budget as constitutionally required. For example, a budget initiative that would hold General Purpose Aid to Education at its current state-funded level would immediately reduce the estimated structural gap of $</w:t>
      </w:r>
      <w:r w:rsidR="004B2989">
        <w:rPr>
          <w:sz w:val="24"/>
          <w:szCs w:val="24"/>
        </w:rPr>
        <w:t>7</w:t>
      </w:r>
      <w:r w:rsidR="007A4DD6">
        <w:rPr>
          <w:sz w:val="24"/>
          <w:szCs w:val="24"/>
        </w:rPr>
        <w:t>5</w:t>
      </w:r>
      <w:r w:rsidR="00F1288C">
        <w:rPr>
          <w:sz w:val="24"/>
          <w:szCs w:val="24"/>
        </w:rPr>
        <w:t>5.5</w:t>
      </w:r>
      <w:r w:rsidRPr="004B2989">
        <w:rPr>
          <w:sz w:val="24"/>
          <w:szCs w:val="24"/>
        </w:rPr>
        <w:t xml:space="preserve"> </w:t>
      </w:r>
      <w:r w:rsidR="000E5914">
        <w:rPr>
          <w:sz w:val="24"/>
          <w:szCs w:val="24"/>
        </w:rPr>
        <w:t>million</w:t>
      </w:r>
      <w:r w:rsidRPr="004B2989">
        <w:rPr>
          <w:sz w:val="24"/>
          <w:szCs w:val="24"/>
        </w:rPr>
        <w:t xml:space="preserve"> by more than $</w:t>
      </w:r>
      <w:r w:rsidR="004B2989">
        <w:rPr>
          <w:sz w:val="24"/>
          <w:szCs w:val="24"/>
        </w:rPr>
        <w:t>25</w:t>
      </w:r>
      <w:r w:rsidR="00A27913">
        <w:rPr>
          <w:sz w:val="24"/>
          <w:szCs w:val="24"/>
        </w:rPr>
        <w:t>3</w:t>
      </w:r>
      <w:r w:rsidRPr="004B2989">
        <w:rPr>
          <w:sz w:val="24"/>
          <w:szCs w:val="24"/>
        </w:rPr>
        <w:t xml:space="preserve"> million, or roughly a third. There are many other, similar examples. The reader is advised to bear this in mind when assessing the </w:t>
      </w:r>
      <w:r w:rsidRPr="004B2989">
        <w:rPr>
          <w:i/>
          <w:iCs/>
          <w:sz w:val="24"/>
          <w:szCs w:val="24"/>
        </w:rPr>
        <w:t>estimated</w:t>
      </w:r>
      <w:r w:rsidRPr="004B2989">
        <w:rPr>
          <w:sz w:val="24"/>
          <w:szCs w:val="24"/>
        </w:rPr>
        <w:t xml:space="preserve"> structural gap and the potential for closing it.</w:t>
      </w:r>
    </w:p>
    <w:p w:rsidR="00AD35F3" w:rsidRPr="00127B86" w:rsidRDefault="00AD35F3" w:rsidP="00AD35F3">
      <w:pPr>
        <w:ind w:firstLine="720"/>
        <w:jc w:val="both"/>
        <w:rPr>
          <w:sz w:val="24"/>
          <w:szCs w:val="24"/>
        </w:rPr>
      </w:pPr>
      <w:r w:rsidRPr="00127B86">
        <w:rPr>
          <w:sz w:val="24"/>
          <w:szCs w:val="24"/>
        </w:rPr>
        <w:t xml:space="preserve"> In order to provide the most accurate expenditure estimate from currently available budget information, the projection uses</w:t>
      </w:r>
      <w:r>
        <w:rPr>
          <w:sz w:val="24"/>
          <w:szCs w:val="24"/>
        </w:rPr>
        <w:t xml:space="preserve"> the FY 13</w:t>
      </w:r>
      <w:r w:rsidRPr="00127B86">
        <w:rPr>
          <w:sz w:val="24"/>
          <w:szCs w:val="24"/>
        </w:rPr>
        <w:t xml:space="preserve"> legislatively approved appropriations and allocations from the Second Regular Session 12</w:t>
      </w:r>
      <w:r>
        <w:rPr>
          <w:sz w:val="24"/>
          <w:szCs w:val="24"/>
        </w:rPr>
        <w:t>5</w:t>
      </w:r>
      <w:r w:rsidRPr="00127B86">
        <w:rPr>
          <w:sz w:val="24"/>
          <w:szCs w:val="24"/>
          <w:vertAlign w:val="superscript"/>
        </w:rPr>
        <w:t>th</w:t>
      </w:r>
      <w:r w:rsidRPr="00127B86">
        <w:rPr>
          <w:sz w:val="24"/>
          <w:szCs w:val="24"/>
        </w:rPr>
        <w:t xml:space="preserve"> Legislature.  These FY</w:t>
      </w:r>
      <w:r>
        <w:rPr>
          <w:sz w:val="24"/>
          <w:szCs w:val="24"/>
        </w:rPr>
        <w:t xml:space="preserve"> 14-15</w:t>
      </w:r>
      <w:r w:rsidRPr="00127B86">
        <w:rPr>
          <w:sz w:val="24"/>
          <w:szCs w:val="24"/>
        </w:rPr>
        <w:t xml:space="preserve"> estimates are further adjusted for the effect of one-time and phased-in actions expected to occur in FY 1</w:t>
      </w:r>
      <w:r>
        <w:rPr>
          <w:sz w:val="24"/>
          <w:szCs w:val="24"/>
        </w:rPr>
        <w:t>3</w:t>
      </w:r>
      <w:r w:rsidRPr="00127B86">
        <w:rPr>
          <w:sz w:val="24"/>
          <w:szCs w:val="24"/>
        </w:rPr>
        <w:t>. More detailed projections on a department or program basis are made where appropriate to reflect specific trends in those areas.</w:t>
      </w:r>
    </w:p>
    <w:p w:rsidR="00AD35F3" w:rsidRDefault="00AD35F3" w:rsidP="00AD35F3">
      <w:pPr>
        <w:pStyle w:val="DefaultText"/>
        <w:ind w:firstLine="720"/>
      </w:pPr>
      <w:r>
        <w:t xml:space="preserve">Salaries and wages for the 2014-2015 </w:t>
      </w:r>
      <w:r w:rsidRPr="002A6C35">
        <w:t xml:space="preserve">biennium are based on merit growth from the </w:t>
      </w:r>
      <w:r>
        <w:t xml:space="preserve">2012-2013 </w:t>
      </w:r>
      <w:r w:rsidRPr="002A6C35">
        <w:t>biennium.</w:t>
      </w:r>
      <w:r>
        <w:t xml:space="preserve"> The projection for Personal Services does not anticipate future salary adjustments beyond the 2012-2013 biennium as a result of collective bargaining.</w:t>
      </w:r>
    </w:p>
    <w:p w:rsidR="00AA09DC" w:rsidRDefault="00AA09DC" w:rsidP="00ED3C2B">
      <w:pPr>
        <w:pStyle w:val="DefaultText"/>
      </w:pPr>
    </w:p>
    <w:p w:rsidR="00071D2E" w:rsidRDefault="00AA09DC" w:rsidP="00071D2E">
      <w:pPr>
        <w:pStyle w:val="DefaultText"/>
        <w:outlineLvl w:val="0"/>
      </w:pPr>
      <w:r>
        <w:br w:type="page"/>
      </w:r>
      <w:r w:rsidR="00071D2E">
        <w:rPr>
          <w:b/>
          <w:u w:val="single"/>
        </w:rPr>
        <w:t>II.  GENERAL FUND</w:t>
      </w:r>
    </w:p>
    <w:p w:rsidR="003B34B1" w:rsidRDefault="003B34B1" w:rsidP="00C94440"/>
    <w:p w:rsidR="003B34B1" w:rsidRDefault="003B34B1" w:rsidP="00C94440"/>
    <w:p w:rsidR="00C94440" w:rsidRPr="00C94440" w:rsidRDefault="00C94440" w:rsidP="00C94440">
      <w:pPr>
        <w:rPr>
          <w:b/>
          <w:bCs/>
          <w:sz w:val="24"/>
          <w:szCs w:val="24"/>
        </w:rPr>
      </w:pPr>
      <w:r w:rsidRPr="00C94440">
        <w:rPr>
          <w:b/>
          <w:bCs/>
          <w:sz w:val="24"/>
          <w:szCs w:val="24"/>
        </w:rPr>
        <w:t>A.  BUDGET STATUS FY 1</w:t>
      </w:r>
      <w:r w:rsidR="00633618">
        <w:rPr>
          <w:b/>
          <w:bCs/>
          <w:sz w:val="24"/>
          <w:szCs w:val="24"/>
        </w:rPr>
        <w:t>2</w:t>
      </w:r>
      <w:r w:rsidRPr="00C94440">
        <w:rPr>
          <w:b/>
          <w:bCs/>
          <w:sz w:val="24"/>
          <w:szCs w:val="24"/>
        </w:rPr>
        <w:t>-1</w:t>
      </w:r>
      <w:r w:rsidR="00633618">
        <w:rPr>
          <w:b/>
          <w:bCs/>
          <w:sz w:val="24"/>
          <w:szCs w:val="24"/>
        </w:rPr>
        <w:t>5</w:t>
      </w:r>
    </w:p>
    <w:p w:rsidR="00AA09DC" w:rsidRDefault="00AA09DC" w:rsidP="00ED3C2B">
      <w:pPr>
        <w:pStyle w:val="DefaultText"/>
        <w:rPr>
          <w:rStyle w:val="InitialStyle"/>
          <w:rFonts w:ascii="CG Times" w:hAnsi="CG Times"/>
        </w:rPr>
      </w:pPr>
    </w:p>
    <w:p w:rsidR="00C94440" w:rsidRPr="000205A1" w:rsidRDefault="00C24CDA" w:rsidP="00ED3C2B">
      <w:pPr>
        <w:pStyle w:val="DefaultText"/>
        <w:rPr>
          <w:rStyle w:val="InitialStyle"/>
          <w:rFonts w:ascii="Times New Roman" w:hAnsi="Times New Roman"/>
        </w:rPr>
      </w:pPr>
      <w:r w:rsidRPr="00C24CDA">
        <w:rPr>
          <w:noProof/>
        </w:rPr>
        <w:drawing>
          <wp:inline distT="0" distB="0" distL="0" distR="0" wp14:anchorId="2FFD0B09" wp14:editId="199D2D51">
            <wp:extent cx="5943600" cy="277109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771094"/>
                    </a:xfrm>
                    <a:prstGeom prst="rect">
                      <a:avLst/>
                    </a:prstGeom>
                    <a:noFill/>
                    <a:ln>
                      <a:noFill/>
                    </a:ln>
                  </pic:spPr>
                </pic:pic>
              </a:graphicData>
            </a:graphic>
          </wp:inline>
        </w:drawing>
      </w:r>
    </w:p>
    <w:p w:rsidR="00C94440" w:rsidRDefault="00C94440" w:rsidP="00ED3C2B">
      <w:pPr>
        <w:pStyle w:val="DefaultText"/>
        <w:rPr>
          <w:rStyle w:val="InitialStyle"/>
          <w:rFonts w:ascii="Times New Roman" w:hAnsi="Times New Roman"/>
        </w:rPr>
      </w:pPr>
    </w:p>
    <w:p w:rsidR="004C542F" w:rsidRDefault="00C94440" w:rsidP="00ED3C2B">
      <w:pPr>
        <w:pStyle w:val="DefaultText"/>
        <w:rPr>
          <w:rStyle w:val="InitialStyle"/>
          <w:rFonts w:ascii="Times New Roman" w:hAnsi="Times New Roman"/>
        </w:rPr>
      </w:pPr>
      <w:r w:rsidRPr="00C94440">
        <w:rPr>
          <w:rStyle w:val="InitialStyle"/>
          <w:rFonts w:ascii="Times New Roman" w:hAnsi="Times New Roman"/>
        </w:rPr>
        <w:t>The General Fund adjusted fund balance for FY 1</w:t>
      </w:r>
      <w:r w:rsidR="004C542F">
        <w:rPr>
          <w:rStyle w:val="InitialStyle"/>
          <w:rFonts w:ascii="Times New Roman" w:hAnsi="Times New Roman"/>
        </w:rPr>
        <w:t>2</w:t>
      </w:r>
      <w:r w:rsidRPr="00C94440">
        <w:rPr>
          <w:rStyle w:val="InitialStyle"/>
          <w:rFonts w:ascii="Times New Roman" w:hAnsi="Times New Roman"/>
        </w:rPr>
        <w:t xml:space="preserve"> was $</w:t>
      </w:r>
      <w:r w:rsidR="004C542F">
        <w:rPr>
          <w:rStyle w:val="InitialStyle"/>
          <w:rFonts w:ascii="Times New Roman" w:hAnsi="Times New Roman"/>
        </w:rPr>
        <w:t>42,312,849</w:t>
      </w:r>
      <w:r w:rsidRPr="00C94440">
        <w:rPr>
          <w:rStyle w:val="InitialStyle"/>
          <w:rFonts w:ascii="Times New Roman" w:hAnsi="Times New Roman"/>
        </w:rPr>
        <w:t xml:space="preserve"> and is projected to be </w:t>
      </w:r>
    </w:p>
    <w:p w:rsidR="00C94440" w:rsidRDefault="00194A8B" w:rsidP="00ED3C2B">
      <w:pPr>
        <w:pStyle w:val="DefaultText"/>
        <w:rPr>
          <w:rStyle w:val="InitialStyle"/>
          <w:rFonts w:ascii="Times New Roman" w:hAnsi="Times New Roman"/>
        </w:rPr>
      </w:pPr>
      <w:r>
        <w:rPr>
          <w:rStyle w:val="InitialStyle"/>
          <w:rFonts w:ascii="Times New Roman" w:hAnsi="Times New Roman"/>
        </w:rPr>
        <w:t>(</w:t>
      </w:r>
      <w:r w:rsidR="00C94440" w:rsidRPr="00C94440">
        <w:rPr>
          <w:rStyle w:val="InitialStyle"/>
          <w:rFonts w:ascii="Times New Roman" w:hAnsi="Times New Roman"/>
        </w:rPr>
        <w:t>$</w:t>
      </w:r>
      <w:r w:rsidR="004C542F">
        <w:rPr>
          <w:rStyle w:val="InitialStyle"/>
          <w:rFonts w:ascii="Times New Roman" w:hAnsi="Times New Roman"/>
        </w:rPr>
        <w:t>41,929,455</w:t>
      </w:r>
      <w:r w:rsidR="005279B6">
        <w:rPr>
          <w:rStyle w:val="InitialStyle"/>
          <w:rFonts w:ascii="Times New Roman" w:hAnsi="Times New Roman"/>
        </w:rPr>
        <w:t>)</w:t>
      </w:r>
      <w:r w:rsidR="004C542F">
        <w:rPr>
          <w:rStyle w:val="InitialStyle"/>
          <w:rFonts w:ascii="Times New Roman" w:hAnsi="Times New Roman"/>
        </w:rPr>
        <w:t xml:space="preserve"> </w:t>
      </w:r>
      <w:r w:rsidR="00C94440" w:rsidRPr="00C94440">
        <w:rPr>
          <w:rStyle w:val="InitialStyle"/>
          <w:rFonts w:ascii="Times New Roman" w:hAnsi="Times New Roman"/>
        </w:rPr>
        <w:t>at the end of FY 1</w:t>
      </w:r>
      <w:r w:rsidR="004C542F">
        <w:rPr>
          <w:rStyle w:val="InitialStyle"/>
          <w:rFonts w:ascii="Times New Roman" w:hAnsi="Times New Roman"/>
        </w:rPr>
        <w:t>3</w:t>
      </w:r>
      <w:r w:rsidR="00C94440" w:rsidRPr="00C94440">
        <w:rPr>
          <w:rStyle w:val="InitialStyle"/>
          <w:rFonts w:ascii="Times New Roman" w:hAnsi="Times New Roman"/>
        </w:rPr>
        <w:t xml:space="preserve">, </w:t>
      </w:r>
      <w:r w:rsidR="00432D18">
        <w:rPr>
          <w:rStyle w:val="InitialStyle"/>
          <w:rFonts w:ascii="Times New Roman" w:hAnsi="Times New Roman"/>
        </w:rPr>
        <w:t>including adjustments enacted through the Second Regular Session of the 12</w:t>
      </w:r>
      <w:r w:rsidR="004C542F">
        <w:rPr>
          <w:rStyle w:val="InitialStyle"/>
          <w:rFonts w:ascii="Times New Roman" w:hAnsi="Times New Roman"/>
        </w:rPr>
        <w:t>5</w:t>
      </w:r>
      <w:r w:rsidR="00432D18">
        <w:rPr>
          <w:rStyle w:val="InitialStyle"/>
          <w:rFonts w:ascii="Times New Roman" w:hAnsi="Times New Roman"/>
        </w:rPr>
        <w:t>th Legislature.</w:t>
      </w:r>
    </w:p>
    <w:p w:rsidR="00C94440" w:rsidRDefault="00C94440" w:rsidP="00ED3C2B">
      <w:pPr>
        <w:pStyle w:val="DefaultText"/>
        <w:rPr>
          <w:rStyle w:val="InitialStyle"/>
          <w:rFonts w:ascii="Times New Roman" w:hAnsi="Times New Roman"/>
        </w:rPr>
      </w:pPr>
    </w:p>
    <w:p w:rsidR="00C94440" w:rsidRPr="00430990" w:rsidRDefault="00C94440" w:rsidP="00ED3C2B">
      <w:pPr>
        <w:pStyle w:val="DefaultText"/>
        <w:rPr>
          <w:rStyle w:val="InitialStyle"/>
          <w:rFonts w:ascii="Times New Roman" w:hAnsi="Times New Roman"/>
        </w:rPr>
      </w:pPr>
      <w:r w:rsidRPr="00430990">
        <w:rPr>
          <w:rStyle w:val="InitialStyle"/>
          <w:rFonts w:ascii="Times New Roman" w:hAnsi="Times New Roman"/>
        </w:rPr>
        <w:t>The Revenue Forecasting Comm</w:t>
      </w:r>
      <w:r w:rsidR="00904924" w:rsidRPr="00430990">
        <w:rPr>
          <w:rStyle w:val="InitialStyle"/>
          <w:rFonts w:ascii="Times New Roman" w:hAnsi="Times New Roman"/>
        </w:rPr>
        <w:t xml:space="preserve">ittee (RFC) in its </w:t>
      </w:r>
      <w:r w:rsidR="001E5B97">
        <w:rPr>
          <w:rStyle w:val="InitialStyle"/>
          <w:rFonts w:ascii="Times New Roman" w:hAnsi="Times New Roman"/>
        </w:rPr>
        <w:t>December</w:t>
      </w:r>
      <w:r w:rsidR="009C16BB">
        <w:rPr>
          <w:rStyle w:val="InitialStyle"/>
          <w:rFonts w:ascii="Times New Roman" w:hAnsi="Times New Roman"/>
        </w:rPr>
        <w:t xml:space="preserve"> 201</w:t>
      </w:r>
      <w:r w:rsidR="001E5B97">
        <w:rPr>
          <w:rStyle w:val="InitialStyle"/>
          <w:rFonts w:ascii="Times New Roman" w:hAnsi="Times New Roman"/>
        </w:rPr>
        <w:t>1</w:t>
      </w:r>
      <w:r w:rsidRPr="00430990">
        <w:rPr>
          <w:rStyle w:val="InitialStyle"/>
          <w:rFonts w:ascii="Times New Roman" w:hAnsi="Times New Roman"/>
        </w:rPr>
        <w:t xml:space="preserve"> report re</w:t>
      </w:r>
      <w:r w:rsidR="00322C49">
        <w:rPr>
          <w:rStyle w:val="InitialStyle"/>
          <w:rFonts w:ascii="Times New Roman" w:hAnsi="Times New Roman"/>
        </w:rPr>
        <w:t>-</w:t>
      </w:r>
      <w:r w:rsidRPr="00430990">
        <w:rPr>
          <w:rStyle w:val="InitialStyle"/>
          <w:rFonts w:ascii="Times New Roman" w:hAnsi="Times New Roman"/>
        </w:rPr>
        <w:t>projected revenues downward by ($</w:t>
      </w:r>
      <w:r w:rsidR="001E5B97">
        <w:rPr>
          <w:rStyle w:val="InitialStyle"/>
          <w:rFonts w:ascii="Times New Roman" w:hAnsi="Times New Roman"/>
        </w:rPr>
        <w:t>91.8</w:t>
      </w:r>
      <w:r w:rsidR="009E2F4A" w:rsidRPr="00430990">
        <w:rPr>
          <w:rStyle w:val="InitialStyle"/>
          <w:rFonts w:ascii="Times New Roman" w:hAnsi="Times New Roman"/>
        </w:rPr>
        <w:t>)</w:t>
      </w:r>
      <w:r w:rsidRPr="00430990">
        <w:rPr>
          <w:rStyle w:val="InitialStyle"/>
          <w:rFonts w:ascii="Times New Roman" w:hAnsi="Times New Roman"/>
        </w:rPr>
        <w:t xml:space="preserve"> million fo</w:t>
      </w:r>
      <w:r w:rsidR="00202444" w:rsidRPr="00430990">
        <w:rPr>
          <w:rStyle w:val="InitialStyle"/>
          <w:rFonts w:ascii="Times New Roman" w:hAnsi="Times New Roman"/>
        </w:rPr>
        <w:t>r the 201</w:t>
      </w:r>
      <w:r w:rsidR="001E5B97">
        <w:rPr>
          <w:rStyle w:val="InitialStyle"/>
          <w:rFonts w:ascii="Times New Roman" w:hAnsi="Times New Roman"/>
        </w:rPr>
        <w:t>4</w:t>
      </w:r>
      <w:r w:rsidR="00904924" w:rsidRPr="00430990">
        <w:rPr>
          <w:rStyle w:val="InitialStyle"/>
          <w:rFonts w:ascii="Times New Roman" w:hAnsi="Times New Roman"/>
        </w:rPr>
        <w:t>-</w:t>
      </w:r>
      <w:r w:rsidR="00202444" w:rsidRPr="00430990">
        <w:rPr>
          <w:rStyle w:val="InitialStyle"/>
          <w:rFonts w:ascii="Times New Roman" w:hAnsi="Times New Roman"/>
        </w:rPr>
        <w:t>201</w:t>
      </w:r>
      <w:r w:rsidR="001E5B97">
        <w:rPr>
          <w:rStyle w:val="InitialStyle"/>
          <w:rFonts w:ascii="Times New Roman" w:hAnsi="Times New Roman"/>
        </w:rPr>
        <w:t>5</w:t>
      </w:r>
      <w:r w:rsidR="00904924" w:rsidRPr="00430990">
        <w:rPr>
          <w:rStyle w:val="InitialStyle"/>
          <w:rFonts w:ascii="Times New Roman" w:hAnsi="Times New Roman"/>
        </w:rPr>
        <w:t xml:space="preserve"> biennium. The</w:t>
      </w:r>
      <w:r w:rsidR="00202444" w:rsidRPr="00430990">
        <w:rPr>
          <w:rStyle w:val="InitialStyle"/>
          <w:rFonts w:ascii="Times New Roman" w:hAnsi="Times New Roman"/>
        </w:rPr>
        <w:t>n</w:t>
      </w:r>
      <w:r w:rsidR="00904924" w:rsidRPr="00430990">
        <w:rPr>
          <w:rStyle w:val="InitialStyle"/>
          <w:rFonts w:ascii="Times New Roman" w:hAnsi="Times New Roman"/>
        </w:rPr>
        <w:t xml:space="preserve"> in March 201</w:t>
      </w:r>
      <w:r w:rsidR="001E5B97">
        <w:rPr>
          <w:rStyle w:val="InitialStyle"/>
          <w:rFonts w:ascii="Times New Roman" w:hAnsi="Times New Roman"/>
        </w:rPr>
        <w:t>2</w:t>
      </w:r>
      <w:r w:rsidRPr="00430990">
        <w:rPr>
          <w:rStyle w:val="InitialStyle"/>
          <w:rFonts w:ascii="Times New Roman" w:hAnsi="Times New Roman"/>
        </w:rPr>
        <w:t xml:space="preserve"> </w:t>
      </w:r>
      <w:r w:rsidR="00904924" w:rsidRPr="00430990">
        <w:rPr>
          <w:rStyle w:val="InitialStyle"/>
          <w:rFonts w:ascii="Times New Roman" w:hAnsi="Times New Roman"/>
        </w:rPr>
        <w:t xml:space="preserve">the RFC </w:t>
      </w:r>
      <w:r w:rsidR="001E5B97">
        <w:rPr>
          <w:rStyle w:val="InitialStyle"/>
          <w:rFonts w:ascii="Times New Roman" w:hAnsi="Times New Roman"/>
        </w:rPr>
        <w:t>de</w:t>
      </w:r>
      <w:r w:rsidR="00904924" w:rsidRPr="00430990">
        <w:rPr>
          <w:rStyle w:val="InitialStyle"/>
          <w:rFonts w:ascii="Times New Roman" w:hAnsi="Times New Roman"/>
        </w:rPr>
        <w:t xml:space="preserve">creased </w:t>
      </w:r>
      <w:r w:rsidRPr="00430990">
        <w:rPr>
          <w:rStyle w:val="InitialStyle"/>
          <w:rFonts w:ascii="Times New Roman" w:hAnsi="Times New Roman"/>
        </w:rPr>
        <w:t>it</w:t>
      </w:r>
      <w:r w:rsidR="009E2F4A" w:rsidRPr="00430990">
        <w:rPr>
          <w:rStyle w:val="InitialStyle"/>
          <w:rFonts w:ascii="Times New Roman" w:hAnsi="Times New Roman"/>
        </w:rPr>
        <w:t xml:space="preserve">s revenue projections by </w:t>
      </w:r>
      <w:r w:rsidR="001E5B97">
        <w:rPr>
          <w:rStyle w:val="InitialStyle"/>
          <w:rFonts w:ascii="Times New Roman" w:hAnsi="Times New Roman"/>
        </w:rPr>
        <w:t>(</w:t>
      </w:r>
      <w:r w:rsidR="009E2F4A" w:rsidRPr="00430990">
        <w:rPr>
          <w:rStyle w:val="InitialStyle"/>
          <w:rFonts w:ascii="Times New Roman" w:hAnsi="Times New Roman"/>
        </w:rPr>
        <w:t>$</w:t>
      </w:r>
      <w:r w:rsidR="001E5B97">
        <w:rPr>
          <w:rStyle w:val="InitialStyle"/>
          <w:rFonts w:ascii="Times New Roman" w:hAnsi="Times New Roman"/>
        </w:rPr>
        <w:t>31.</w:t>
      </w:r>
      <w:r w:rsidR="001339E9">
        <w:rPr>
          <w:rStyle w:val="InitialStyle"/>
          <w:rFonts w:ascii="Times New Roman" w:hAnsi="Times New Roman"/>
        </w:rPr>
        <w:t>4</w:t>
      </w:r>
      <w:r w:rsidR="001E5B97">
        <w:rPr>
          <w:rStyle w:val="InitialStyle"/>
          <w:rFonts w:ascii="Times New Roman" w:hAnsi="Times New Roman"/>
        </w:rPr>
        <w:t>)</w:t>
      </w:r>
      <w:r w:rsidRPr="00430990">
        <w:rPr>
          <w:rStyle w:val="InitialStyle"/>
          <w:rFonts w:ascii="Times New Roman" w:hAnsi="Times New Roman"/>
        </w:rPr>
        <w:t xml:space="preserve"> million</w:t>
      </w:r>
      <w:r w:rsidR="001E5B97">
        <w:rPr>
          <w:rStyle w:val="InitialStyle"/>
          <w:rFonts w:ascii="Times New Roman" w:hAnsi="Times New Roman"/>
        </w:rPr>
        <w:t xml:space="preserve"> and in the April 2012 Special Forecast, increased its revenue projections by </w:t>
      </w:r>
      <w:r w:rsidR="00067F25">
        <w:rPr>
          <w:rStyle w:val="InitialStyle"/>
          <w:rFonts w:ascii="Times New Roman" w:hAnsi="Times New Roman"/>
        </w:rPr>
        <w:t>$</w:t>
      </w:r>
      <w:r w:rsidR="001E5B97">
        <w:rPr>
          <w:rStyle w:val="InitialStyle"/>
          <w:rFonts w:ascii="Times New Roman" w:hAnsi="Times New Roman"/>
        </w:rPr>
        <w:t>52.</w:t>
      </w:r>
      <w:r w:rsidR="001339E9">
        <w:rPr>
          <w:rStyle w:val="InitialStyle"/>
          <w:rFonts w:ascii="Times New Roman" w:hAnsi="Times New Roman"/>
        </w:rPr>
        <w:t>4</w:t>
      </w:r>
      <w:r w:rsidR="001E5B97">
        <w:rPr>
          <w:rStyle w:val="InitialStyle"/>
          <w:rFonts w:ascii="Times New Roman" w:hAnsi="Times New Roman"/>
        </w:rPr>
        <w:t xml:space="preserve"> million</w:t>
      </w:r>
      <w:r w:rsidRPr="00430990">
        <w:rPr>
          <w:rStyle w:val="InitialStyle"/>
          <w:rFonts w:ascii="Times New Roman" w:hAnsi="Times New Roman"/>
        </w:rPr>
        <w:t xml:space="preserve"> resulting in a net overall revenue decrease of ($</w:t>
      </w:r>
      <w:r w:rsidR="00F1488D">
        <w:rPr>
          <w:rStyle w:val="InitialStyle"/>
          <w:rFonts w:ascii="Times New Roman" w:hAnsi="Times New Roman"/>
        </w:rPr>
        <w:t>70.</w:t>
      </w:r>
      <w:r w:rsidR="001339E9">
        <w:rPr>
          <w:rStyle w:val="InitialStyle"/>
          <w:rFonts w:ascii="Times New Roman" w:hAnsi="Times New Roman"/>
        </w:rPr>
        <w:t>8</w:t>
      </w:r>
      <w:r w:rsidR="009E2F4A" w:rsidRPr="00430990">
        <w:rPr>
          <w:rStyle w:val="InitialStyle"/>
          <w:rFonts w:ascii="Times New Roman" w:hAnsi="Times New Roman"/>
        </w:rPr>
        <w:t>)</w:t>
      </w:r>
      <w:r w:rsidR="00904924" w:rsidRPr="00430990">
        <w:rPr>
          <w:rStyle w:val="InitialStyle"/>
          <w:rFonts w:ascii="Times New Roman" w:hAnsi="Times New Roman"/>
        </w:rPr>
        <w:t xml:space="preserve"> </w:t>
      </w:r>
      <w:r w:rsidRPr="00430990">
        <w:rPr>
          <w:rStyle w:val="InitialStyle"/>
          <w:rFonts w:ascii="Times New Roman" w:hAnsi="Times New Roman"/>
        </w:rPr>
        <w:t>million</w:t>
      </w:r>
      <w:r w:rsidR="009E2F4A" w:rsidRPr="00430990">
        <w:rPr>
          <w:rStyle w:val="InitialStyle"/>
          <w:rFonts w:ascii="Times New Roman" w:hAnsi="Times New Roman"/>
        </w:rPr>
        <w:t xml:space="preserve"> for the 201</w:t>
      </w:r>
      <w:r w:rsidR="00F1488D">
        <w:rPr>
          <w:rStyle w:val="InitialStyle"/>
          <w:rFonts w:ascii="Times New Roman" w:hAnsi="Times New Roman"/>
        </w:rPr>
        <w:t>4</w:t>
      </w:r>
      <w:r w:rsidR="009E2F4A" w:rsidRPr="00430990">
        <w:rPr>
          <w:rStyle w:val="InitialStyle"/>
          <w:rFonts w:ascii="Times New Roman" w:hAnsi="Times New Roman"/>
        </w:rPr>
        <w:t>-201</w:t>
      </w:r>
      <w:r w:rsidR="00F1488D">
        <w:rPr>
          <w:rStyle w:val="InitialStyle"/>
          <w:rFonts w:ascii="Times New Roman" w:hAnsi="Times New Roman"/>
        </w:rPr>
        <w:t>5</w:t>
      </w:r>
      <w:r w:rsidRPr="00430990">
        <w:rPr>
          <w:rStyle w:val="InitialStyle"/>
          <w:rFonts w:ascii="Times New Roman" w:hAnsi="Times New Roman"/>
        </w:rPr>
        <w:t xml:space="preserve"> biennium</w:t>
      </w:r>
      <w:r w:rsidR="005D4BA0" w:rsidRPr="00430990">
        <w:rPr>
          <w:rStyle w:val="InitialStyle"/>
          <w:rFonts w:ascii="Times New Roman" w:hAnsi="Times New Roman"/>
        </w:rPr>
        <w:t xml:space="preserve">.  </w:t>
      </w:r>
      <w:r w:rsidR="00430990" w:rsidRPr="00430990">
        <w:rPr>
          <w:rStyle w:val="InitialStyle"/>
          <w:rFonts w:ascii="Times New Roman" w:hAnsi="Times New Roman"/>
        </w:rPr>
        <w:t>This revenue decrease was primarily in the Sa</w:t>
      </w:r>
      <w:r w:rsidR="00AE1015">
        <w:rPr>
          <w:rStyle w:val="InitialStyle"/>
          <w:rFonts w:ascii="Times New Roman" w:hAnsi="Times New Roman"/>
        </w:rPr>
        <w:t>l</w:t>
      </w:r>
      <w:r w:rsidR="00430990" w:rsidRPr="00430990">
        <w:rPr>
          <w:rStyle w:val="InitialStyle"/>
          <w:rFonts w:ascii="Times New Roman" w:hAnsi="Times New Roman"/>
        </w:rPr>
        <w:t xml:space="preserve">es and Use Tax, Individual Income Tax, Corporate Income Tax and Fines, Forfeits and Penalties lines.  </w:t>
      </w:r>
      <w:r w:rsidRPr="00430990">
        <w:rPr>
          <w:rStyle w:val="InitialStyle"/>
          <w:rFonts w:ascii="Times New Roman" w:hAnsi="Times New Roman"/>
        </w:rPr>
        <w:t>The</w:t>
      </w:r>
      <w:r w:rsidR="00D851E1">
        <w:rPr>
          <w:rStyle w:val="InitialStyle"/>
          <w:rFonts w:ascii="Times New Roman" w:hAnsi="Times New Roman"/>
        </w:rPr>
        <w:t xml:space="preserve"> </w:t>
      </w:r>
      <w:r w:rsidRPr="00430990">
        <w:rPr>
          <w:rStyle w:val="InitialStyle"/>
          <w:rFonts w:ascii="Times New Roman" w:hAnsi="Times New Roman"/>
        </w:rPr>
        <w:t xml:space="preserve">revenue projections also include revisions made in miscellaneous laws enacted </w:t>
      </w:r>
      <w:r w:rsidR="002E1A54">
        <w:rPr>
          <w:rStyle w:val="InitialStyle"/>
          <w:rFonts w:ascii="Times New Roman" w:hAnsi="Times New Roman"/>
        </w:rPr>
        <w:t>through</w:t>
      </w:r>
      <w:r w:rsidRPr="00430990">
        <w:rPr>
          <w:rStyle w:val="InitialStyle"/>
          <w:rFonts w:ascii="Times New Roman" w:hAnsi="Times New Roman"/>
        </w:rPr>
        <w:t xml:space="preserve"> the </w:t>
      </w:r>
      <w:r w:rsidR="004B5FD2" w:rsidRPr="00430990">
        <w:rPr>
          <w:rStyle w:val="InitialStyle"/>
          <w:rFonts w:ascii="Times New Roman" w:hAnsi="Times New Roman"/>
        </w:rPr>
        <w:t>Second</w:t>
      </w:r>
      <w:r w:rsidRPr="00430990">
        <w:rPr>
          <w:rStyle w:val="InitialStyle"/>
          <w:rFonts w:ascii="Times New Roman" w:hAnsi="Times New Roman"/>
        </w:rPr>
        <w:t xml:space="preserve"> Regular </w:t>
      </w:r>
      <w:r w:rsidR="002E1A54">
        <w:rPr>
          <w:rStyle w:val="InitialStyle"/>
          <w:rFonts w:ascii="Times New Roman" w:hAnsi="Times New Roman"/>
        </w:rPr>
        <w:t xml:space="preserve">Session </w:t>
      </w:r>
      <w:r w:rsidR="00430990">
        <w:rPr>
          <w:rStyle w:val="InitialStyle"/>
          <w:rFonts w:ascii="Times New Roman" w:hAnsi="Times New Roman"/>
        </w:rPr>
        <w:t>of the 12</w:t>
      </w:r>
      <w:r w:rsidR="00F1488D">
        <w:rPr>
          <w:rStyle w:val="InitialStyle"/>
          <w:rFonts w:ascii="Times New Roman" w:hAnsi="Times New Roman"/>
        </w:rPr>
        <w:t>5</w:t>
      </w:r>
      <w:r w:rsidR="00430990" w:rsidRPr="00430990">
        <w:rPr>
          <w:rStyle w:val="InitialStyle"/>
          <w:rFonts w:ascii="Times New Roman" w:hAnsi="Times New Roman"/>
          <w:vertAlign w:val="superscript"/>
        </w:rPr>
        <w:t>th</w:t>
      </w:r>
      <w:r w:rsidR="00430990">
        <w:rPr>
          <w:rStyle w:val="InitialStyle"/>
          <w:rFonts w:ascii="Times New Roman" w:hAnsi="Times New Roman"/>
        </w:rPr>
        <w:t xml:space="preserve"> </w:t>
      </w:r>
      <w:r w:rsidRPr="00430990">
        <w:rPr>
          <w:rStyle w:val="InitialStyle"/>
          <w:rFonts w:ascii="Times New Roman" w:hAnsi="Times New Roman"/>
        </w:rPr>
        <w:t>Legislature.</w:t>
      </w:r>
    </w:p>
    <w:p w:rsidR="00C94440" w:rsidRPr="00562685" w:rsidRDefault="00C94440" w:rsidP="00ED3C2B">
      <w:pPr>
        <w:pStyle w:val="DefaultText"/>
        <w:rPr>
          <w:rStyle w:val="InitialStyle"/>
          <w:rFonts w:ascii="Times New Roman" w:hAnsi="Times New Roman"/>
          <w:highlight w:val="yellow"/>
        </w:rPr>
      </w:pPr>
    </w:p>
    <w:p w:rsidR="00C94440" w:rsidRPr="00C94440" w:rsidRDefault="00CF5DA8" w:rsidP="00ED3C2B">
      <w:pPr>
        <w:pStyle w:val="DefaultText"/>
        <w:rPr>
          <w:rStyle w:val="InitialStyle"/>
          <w:rFonts w:ascii="Times New Roman" w:hAnsi="Times New Roman"/>
        </w:rPr>
      </w:pPr>
      <w:r w:rsidRPr="00CF5DA8">
        <w:rPr>
          <w:rStyle w:val="InitialStyle"/>
          <w:rFonts w:ascii="Times New Roman" w:hAnsi="Times New Roman"/>
        </w:rPr>
        <w:t>Current p</w:t>
      </w:r>
      <w:r w:rsidR="004B5FD2" w:rsidRPr="00CF5DA8">
        <w:rPr>
          <w:rStyle w:val="InitialStyle"/>
          <w:rFonts w:ascii="Times New Roman" w:hAnsi="Times New Roman"/>
        </w:rPr>
        <w:t>rojections for the 201</w:t>
      </w:r>
      <w:r w:rsidR="004C542F">
        <w:rPr>
          <w:rStyle w:val="InitialStyle"/>
          <w:rFonts w:ascii="Times New Roman" w:hAnsi="Times New Roman"/>
        </w:rPr>
        <w:t>4</w:t>
      </w:r>
      <w:r w:rsidR="004B5FD2" w:rsidRPr="00CF5DA8">
        <w:rPr>
          <w:rStyle w:val="InitialStyle"/>
          <w:rFonts w:ascii="Times New Roman" w:hAnsi="Times New Roman"/>
        </w:rPr>
        <w:t>-201</w:t>
      </w:r>
      <w:r w:rsidR="004C542F">
        <w:rPr>
          <w:rStyle w:val="InitialStyle"/>
          <w:rFonts w:ascii="Times New Roman" w:hAnsi="Times New Roman"/>
        </w:rPr>
        <w:t>5</w:t>
      </w:r>
      <w:r w:rsidR="00C94440" w:rsidRPr="00CF5DA8">
        <w:rPr>
          <w:rStyle w:val="InitialStyle"/>
          <w:rFonts w:ascii="Times New Roman" w:hAnsi="Times New Roman"/>
        </w:rPr>
        <w:t xml:space="preserve"> biennium inc</w:t>
      </w:r>
      <w:r w:rsidR="00706FB5" w:rsidRPr="00CF5DA8">
        <w:rPr>
          <w:rStyle w:val="InitialStyle"/>
          <w:rFonts w:ascii="Times New Roman" w:hAnsi="Times New Roman"/>
        </w:rPr>
        <w:t>lude General Fund revenues of $</w:t>
      </w:r>
      <w:r w:rsidR="004C542F">
        <w:rPr>
          <w:rStyle w:val="InitialStyle"/>
          <w:rFonts w:ascii="Times New Roman" w:hAnsi="Times New Roman"/>
        </w:rPr>
        <w:t>6,051,</w:t>
      </w:r>
      <w:r w:rsidR="00D25956">
        <w:rPr>
          <w:rStyle w:val="InitialStyle"/>
          <w:rFonts w:ascii="Times New Roman" w:hAnsi="Times New Roman"/>
        </w:rPr>
        <w:t>110,108</w:t>
      </w:r>
      <w:r w:rsidR="00C94440" w:rsidRPr="00CF5DA8">
        <w:rPr>
          <w:rStyle w:val="InitialStyle"/>
          <w:rFonts w:ascii="Times New Roman" w:hAnsi="Times New Roman"/>
        </w:rPr>
        <w:t xml:space="preserve">.   Projected General Fund </w:t>
      </w:r>
      <w:r w:rsidR="004B5FD2" w:rsidRPr="00CF5DA8">
        <w:rPr>
          <w:rStyle w:val="InitialStyle"/>
          <w:rFonts w:ascii="Times New Roman" w:hAnsi="Times New Roman"/>
        </w:rPr>
        <w:t xml:space="preserve">appropriations for the </w:t>
      </w:r>
      <w:r w:rsidR="00C963BE" w:rsidRPr="00CF5DA8">
        <w:rPr>
          <w:rStyle w:val="InitialStyle"/>
          <w:rFonts w:ascii="Times New Roman" w:hAnsi="Times New Roman"/>
        </w:rPr>
        <w:t>biennium are $6,8</w:t>
      </w:r>
      <w:r w:rsidR="00AE24C9">
        <w:rPr>
          <w:rStyle w:val="InitialStyle"/>
          <w:rFonts w:ascii="Times New Roman" w:hAnsi="Times New Roman"/>
        </w:rPr>
        <w:t>0</w:t>
      </w:r>
      <w:r w:rsidR="00C24CDA">
        <w:rPr>
          <w:rStyle w:val="InitialStyle"/>
          <w:rFonts w:ascii="Times New Roman" w:hAnsi="Times New Roman"/>
        </w:rPr>
        <w:t>7,012,211</w:t>
      </w:r>
      <w:r w:rsidR="00C94440" w:rsidRPr="00CF5DA8">
        <w:rPr>
          <w:rStyle w:val="InitialStyle"/>
          <w:rFonts w:ascii="Times New Roman" w:hAnsi="Times New Roman"/>
        </w:rPr>
        <w:t xml:space="preserve"> which result</w:t>
      </w:r>
      <w:r w:rsidR="00DF0BB6" w:rsidRPr="00CF5DA8">
        <w:rPr>
          <w:rStyle w:val="InitialStyle"/>
          <w:rFonts w:ascii="Times New Roman" w:hAnsi="Times New Roman"/>
        </w:rPr>
        <w:t>s</w:t>
      </w:r>
      <w:r w:rsidR="00C94440" w:rsidRPr="00CF5DA8">
        <w:rPr>
          <w:rStyle w:val="InitialStyle"/>
          <w:rFonts w:ascii="Times New Roman" w:hAnsi="Times New Roman"/>
        </w:rPr>
        <w:t xml:space="preserve"> in a structural budget gap for the General Fund of $</w:t>
      </w:r>
      <w:r w:rsidR="00AE24C9">
        <w:rPr>
          <w:rStyle w:val="InitialStyle"/>
          <w:rFonts w:ascii="Times New Roman" w:hAnsi="Times New Roman"/>
        </w:rPr>
        <w:t>75</w:t>
      </w:r>
      <w:r w:rsidR="00B70ABD">
        <w:rPr>
          <w:rStyle w:val="InitialStyle"/>
          <w:rFonts w:ascii="Times New Roman" w:hAnsi="Times New Roman"/>
        </w:rPr>
        <w:t>5,518,709</w:t>
      </w:r>
      <w:r w:rsidR="00C963BE" w:rsidRPr="00CF5DA8">
        <w:rPr>
          <w:rStyle w:val="InitialStyle"/>
          <w:rFonts w:ascii="Times New Roman" w:hAnsi="Times New Roman"/>
        </w:rPr>
        <w:t>.</w:t>
      </w:r>
    </w:p>
    <w:p w:rsidR="00C94440" w:rsidRPr="00C94440" w:rsidRDefault="00C94440" w:rsidP="00ED3C2B">
      <w:pPr>
        <w:pStyle w:val="DefaultText"/>
        <w:rPr>
          <w:rStyle w:val="InitialStyle"/>
          <w:rFonts w:ascii="Times New Roman" w:hAnsi="Times New Roman"/>
        </w:rPr>
      </w:pPr>
    </w:p>
    <w:p w:rsidR="00924626" w:rsidRDefault="00924626"/>
    <w:p w:rsidR="00D6448E" w:rsidRDefault="00D6448E"/>
    <w:p w:rsidR="00D6448E" w:rsidRDefault="00D6448E">
      <w:pPr>
        <w:sectPr w:rsidR="00D6448E" w:rsidSect="00E015B3">
          <w:footerReference w:type="default" r:id="rId13"/>
          <w:pgSz w:w="12240" w:h="15840"/>
          <w:pgMar w:top="576" w:right="1440" w:bottom="540" w:left="1440" w:header="0" w:footer="0" w:gutter="0"/>
          <w:pgNumType w:start="1"/>
          <w:cols w:space="720"/>
        </w:sectPr>
      </w:pPr>
    </w:p>
    <w:p w:rsidR="00D6448E" w:rsidRDefault="00D6448E" w:rsidP="009D5663">
      <w:pPr>
        <w:numPr>
          <w:ilvl w:val="0"/>
          <w:numId w:val="1"/>
        </w:numPr>
        <w:rPr>
          <w:b/>
          <w:bCs/>
          <w:sz w:val="24"/>
          <w:szCs w:val="24"/>
        </w:rPr>
      </w:pPr>
      <w:r w:rsidRPr="00D6448E">
        <w:rPr>
          <w:b/>
          <w:bCs/>
          <w:sz w:val="24"/>
          <w:szCs w:val="24"/>
        </w:rPr>
        <w:t>REVENUE FORECAST FY 1</w:t>
      </w:r>
      <w:r w:rsidR="00EC1519">
        <w:rPr>
          <w:b/>
          <w:bCs/>
          <w:sz w:val="24"/>
          <w:szCs w:val="24"/>
        </w:rPr>
        <w:t>2</w:t>
      </w:r>
      <w:r w:rsidRPr="00D6448E">
        <w:rPr>
          <w:b/>
          <w:bCs/>
          <w:sz w:val="24"/>
          <w:szCs w:val="24"/>
        </w:rPr>
        <w:t>-1</w:t>
      </w:r>
      <w:r w:rsidR="00EC1519">
        <w:rPr>
          <w:b/>
          <w:bCs/>
          <w:sz w:val="24"/>
          <w:szCs w:val="24"/>
        </w:rPr>
        <w:t>5</w:t>
      </w:r>
    </w:p>
    <w:p w:rsidR="009D5663" w:rsidRDefault="009D5663" w:rsidP="009D5663">
      <w:pPr>
        <w:rPr>
          <w:b/>
          <w:bCs/>
          <w:sz w:val="24"/>
          <w:szCs w:val="24"/>
        </w:rPr>
      </w:pPr>
    </w:p>
    <w:p w:rsidR="009D5663" w:rsidRPr="0013522E" w:rsidRDefault="00F22460" w:rsidP="009D5663">
      <w:pPr>
        <w:rPr>
          <w:b/>
          <w:bCs/>
          <w:sz w:val="24"/>
          <w:szCs w:val="24"/>
        </w:rPr>
      </w:pPr>
      <w:r>
        <w:rPr>
          <w:noProof/>
        </w:rPr>
        <w:drawing>
          <wp:inline distT="0" distB="0" distL="0" distR="0" wp14:anchorId="493A5B16" wp14:editId="5EC5301C">
            <wp:extent cx="9342755" cy="3729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42755" cy="3729355"/>
                    </a:xfrm>
                    <a:prstGeom prst="rect">
                      <a:avLst/>
                    </a:prstGeom>
                    <a:noFill/>
                    <a:ln>
                      <a:noFill/>
                    </a:ln>
                  </pic:spPr>
                </pic:pic>
              </a:graphicData>
            </a:graphic>
          </wp:inline>
        </w:drawing>
      </w:r>
    </w:p>
    <w:p w:rsidR="000D411E" w:rsidRDefault="000D411E" w:rsidP="009D5663">
      <w:pPr>
        <w:rPr>
          <w:b/>
          <w:bCs/>
          <w:sz w:val="24"/>
          <w:szCs w:val="24"/>
        </w:rPr>
      </w:pPr>
    </w:p>
    <w:p w:rsidR="000D411E" w:rsidRPr="000D411E" w:rsidRDefault="000D411E" w:rsidP="009D5663">
      <w:pPr>
        <w:rPr>
          <w:b/>
          <w:bCs/>
          <w:sz w:val="24"/>
          <w:szCs w:val="24"/>
        </w:rPr>
      </w:pPr>
    </w:p>
    <w:p w:rsidR="009D5663" w:rsidRDefault="009D5663" w:rsidP="009D5663">
      <w:pPr>
        <w:rPr>
          <w:b/>
          <w:bCs/>
          <w:sz w:val="24"/>
          <w:szCs w:val="24"/>
        </w:rPr>
      </w:pPr>
    </w:p>
    <w:p w:rsidR="009D5663" w:rsidRDefault="009D5663" w:rsidP="009D5663">
      <w:pPr>
        <w:rPr>
          <w:b/>
          <w:bCs/>
          <w:sz w:val="24"/>
          <w:szCs w:val="24"/>
        </w:rPr>
      </w:pPr>
    </w:p>
    <w:p w:rsidR="00BE4421" w:rsidRDefault="00BE4421" w:rsidP="009D5663">
      <w:pPr>
        <w:rPr>
          <w:b/>
          <w:bCs/>
          <w:sz w:val="24"/>
          <w:szCs w:val="24"/>
        </w:rPr>
      </w:pPr>
    </w:p>
    <w:p w:rsidR="00BE4421" w:rsidRDefault="00BE4421" w:rsidP="009D5663">
      <w:pPr>
        <w:rPr>
          <w:b/>
          <w:bCs/>
          <w:sz w:val="24"/>
          <w:szCs w:val="24"/>
        </w:rPr>
      </w:pPr>
    </w:p>
    <w:p w:rsidR="00BE4421" w:rsidRDefault="00BE4421" w:rsidP="009D5663">
      <w:pPr>
        <w:rPr>
          <w:b/>
          <w:bCs/>
          <w:sz w:val="24"/>
          <w:szCs w:val="24"/>
        </w:rPr>
      </w:pPr>
    </w:p>
    <w:p w:rsidR="00BE4421" w:rsidRDefault="00BE4421" w:rsidP="009D5663">
      <w:pPr>
        <w:rPr>
          <w:b/>
          <w:bCs/>
          <w:sz w:val="24"/>
          <w:szCs w:val="24"/>
        </w:rPr>
        <w:sectPr w:rsidR="00BE4421" w:rsidSect="00D6448E">
          <w:pgSz w:w="15840" w:h="12240" w:orient="landscape"/>
          <w:pgMar w:top="1440" w:right="576" w:bottom="1440" w:left="540" w:header="0" w:footer="0" w:gutter="0"/>
          <w:cols w:space="720"/>
        </w:sectPr>
      </w:pPr>
    </w:p>
    <w:p w:rsidR="00056BB6" w:rsidRDefault="008A4D27" w:rsidP="00BE4421">
      <w:pPr>
        <w:jc w:val="center"/>
        <w:rPr>
          <w:rFonts w:ascii="Arial" w:eastAsia="+mj-ea" w:hAnsi="Arial" w:cs="+mj-cs"/>
          <w:b/>
          <w:bCs/>
          <w:color w:val="000000"/>
        </w:rPr>
      </w:pPr>
      <w:r>
        <w:rPr>
          <w:rFonts w:ascii="Arial" w:eastAsia="+mj-ea" w:hAnsi="Arial" w:cs="+mj-cs"/>
          <w:b/>
          <w:bCs/>
          <w:color w:val="000000"/>
          <w:sz w:val="40"/>
          <w:szCs w:val="40"/>
        </w:rPr>
        <w:t xml:space="preserve">FY 12 - 13 </w:t>
      </w:r>
      <w:r>
        <w:rPr>
          <w:rFonts w:ascii="Arial" w:eastAsia="+mj-ea" w:hAnsi="Arial" w:cs="+mj-cs"/>
          <w:b/>
          <w:bCs/>
          <w:color w:val="000000"/>
          <w:sz w:val="40"/>
          <w:szCs w:val="40"/>
        </w:rPr>
        <w:br/>
        <w:t xml:space="preserve">General Fund Budgeted Revenues </w:t>
      </w:r>
      <w:r>
        <w:rPr>
          <w:rFonts w:ascii="Arial" w:eastAsia="+mj-ea" w:hAnsi="Arial" w:cs="+mj-cs"/>
          <w:b/>
          <w:bCs/>
          <w:color w:val="000000"/>
          <w:sz w:val="40"/>
          <w:szCs w:val="40"/>
        </w:rPr>
        <w:br/>
        <w:t>$6,051.7</w:t>
      </w:r>
      <w:r>
        <w:rPr>
          <w:rFonts w:ascii="Arial" w:eastAsia="+mj-ea" w:hAnsi="Arial" w:cs="+mj-cs"/>
          <w:b/>
          <w:bCs/>
          <w:i/>
          <w:iCs/>
          <w:color w:val="000000"/>
        </w:rPr>
        <w:br/>
        <w:t xml:space="preserve">Includes Municipal Revenue Sharing of </w:t>
      </w:r>
      <w:r w:rsidR="00067F25">
        <w:rPr>
          <w:rFonts w:ascii="Arial" w:eastAsia="+mj-ea" w:hAnsi="Arial" w:cs="+mj-cs"/>
          <w:b/>
          <w:bCs/>
          <w:i/>
          <w:iCs/>
          <w:color w:val="000000"/>
        </w:rPr>
        <w:t>(</w:t>
      </w:r>
      <w:r>
        <w:rPr>
          <w:rFonts w:ascii="Arial" w:eastAsia="+mj-ea" w:hAnsi="Arial" w:cs="+mj-cs"/>
          <w:b/>
          <w:bCs/>
          <w:i/>
          <w:iCs/>
          <w:color w:val="000000"/>
        </w:rPr>
        <w:t>$191.4</w:t>
      </w:r>
      <w:r w:rsidR="00067F25">
        <w:rPr>
          <w:rFonts w:ascii="Arial" w:eastAsia="+mj-ea" w:hAnsi="Arial" w:cs="+mj-cs"/>
          <w:b/>
          <w:bCs/>
          <w:i/>
          <w:iCs/>
          <w:color w:val="000000"/>
        </w:rPr>
        <w:t>)</w:t>
      </w:r>
      <w:r>
        <w:rPr>
          <w:rFonts w:ascii="Arial" w:eastAsia="+mj-ea" w:hAnsi="Arial" w:cs="+mj-cs"/>
          <w:b/>
          <w:bCs/>
          <w:i/>
          <w:iCs/>
          <w:color w:val="000000"/>
        </w:rPr>
        <w:br/>
        <w:t xml:space="preserve">and Transfers for Tax Relief Programs of </w:t>
      </w:r>
      <w:r w:rsidR="00067F25">
        <w:rPr>
          <w:rFonts w:ascii="Arial" w:eastAsia="+mj-ea" w:hAnsi="Arial" w:cs="+mj-cs"/>
          <w:b/>
          <w:bCs/>
          <w:i/>
          <w:iCs/>
          <w:color w:val="000000"/>
        </w:rPr>
        <w:t>(</w:t>
      </w:r>
      <w:r>
        <w:rPr>
          <w:rFonts w:ascii="Arial" w:eastAsia="+mj-ea" w:hAnsi="Arial" w:cs="+mj-cs"/>
          <w:b/>
          <w:bCs/>
          <w:i/>
          <w:iCs/>
          <w:color w:val="000000"/>
        </w:rPr>
        <w:t>$225.3</w:t>
      </w:r>
      <w:r w:rsidR="00067F25">
        <w:rPr>
          <w:rFonts w:ascii="Arial" w:eastAsia="+mj-ea" w:hAnsi="Arial" w:cs="+mj-cs"/>
          <w:b/>
          <w:bCs/>
          <w:i/>
          <w:iCs/>
          <w:color w:val="000000"/>
        </w:rPr>
        <w:t>)</w:t>
      </w:r>
      <w:r>
        <w:rPr>
          <w:rFonts w:ascii="Arial" w:eastAsia="+mj-ea" w:hAnsi="Arial" w:cs="+mj-cs"/>
          <w:b/>
          <w:bCs/>
          <w:i/>
          <w:iCs/>
          <w:color w:val="000000"/>
        </w:rPr>
        <w:t xml:space="preserve"> </w:t>
      </w:r>
      <w:r>
        <w:rPr>
          <w:rFonts w:ascii="Arial" w:eastAsia="+mj-ea" w:hAnsi="Arial" w:cs="+mj-cs"/>
          <w:b/>
          <w:bCs/>
          <w:i/>
          <w:iCs/>
          <w:color w:val="000000"/>
        </w:rPr>
        <w:br/>
      </w:r>
      <w:r>
        <w:rPr>
          <w:rFonts w:ascii="Arial" w:eastAsia="+mj-ea" w:hAnsi="Arial" w:cs="+mj-cs"/>
          <w:b/>
          <w:bCs/>
          <w:color w:val="000000"/>
        </w:rPr>
        <w:t>Dollars in Millions</w:t>
      </w:r>
    </w:p>
    <w:p w:rsidR="008A4D27" w:rsidRDefault="008A4D27" w:rsidP="00BE4421">
      <w:pPr>
        <w:jc w:val="center"/>
        <w:rPr>
          <w:rFonts w:ascii="Arial" w:eastAsia="+mj-ea" w:hAnsi="Arial" w:cs="+mj-cs"/>
          <w:b/>
          <w:bCs/>
          <w:color w:val="000000"/>
        </w:rPr>
      </w:pPr>
    </w:p>
    <w:p w:rsidR="008A4D27" w:rsidRDefault="008A4D27" w:rsidP="00BE4421">
      <w:pPr>
        <w:jc w:val="center"/>
        <w:rPr>
          <w:b/>
          <w:bCs/>
          <w:sz w:val="28"/>
          <w:szCs w:val="28"/>
        </w:rPr>
      </w:pPr>
      <w:r w:rsidRPr="008A4D27">
        <w:rPr>
          <w:noProof/>
        </w:rPr>
        <w:drawing>
          <wp:anchor distT="0" distB="0" distL="114300" distR="114300" simplePos="0" relativeHeight="251669504" behindDoc="0" locked="0" layoutInCell="1" allowOverlap="1">
            <wp:simplePos x="0" y="0"/>
            <wp:positionH relativeFrom="column">
              <wp:posOffset>152400</wp:posOffset>
            </wp:positionH>
            <wp:positionV relativeFrom="paragraph">
              <wp:posOffset>152400</wp:posOffset>
            </wp:positionV>
            <wp:extent cx="5776595" cy="6135370"/>
            <wp:effectExtent l="0" t="0" r="0" b="0"/>
            <wp:wrapNone/>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6595" cy="6135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6BB6" w:rsidRDefault="00056BB6" w:rsidP="00BE4421">
      <w:pPr>
        <w:jc w:val="center"/>
        <w:rPr>
          <w:b/>
          <w:bCs/>
          <w:sz w:val="28"/>
          <w:szCs w:val="28"/>
        </w:rPr>
      </w:pPr>
    </w:p>
    <w:p w:rsidR="00A936A4" w:rsidRPr="00562C96" w:rsidRDefault="009A603E" w:rsidP="008A4D27">
      <w:pPr>
        <w:jc w:val="center"/>
        <w:rPr>
          <w:b/>
          <w:bCs/>
          <w:sz w:val="28"/>
          <w:szCs w:val="28"/>
        </w:rPr>
      </w:pPr>
      <w:r>
        <w:rPr>
          <w:b/>
          <w:bCs/>
          <w:sz w:val="28"/>
          <w:szCs w:val="28"/>
        </w:rPr>
        <w:br w:type="page"/>
      </w:r>
    </w:p>
    <w:p w:rsidR="008215B4" w:rsidRDefault="008215B4" w:rsidP="00C163D7">
      <w:pPr>
        <w:rPr>
          <w:b/>
          <w:bCs/>
          <w:sz w:val="28"/>
          <w:szCs w:val="28"/>
        </w:rPr>
      </w:pPr>
    </w:p>
    <w:p w:rsidR="008215B4" w:rsidRDefault="008215B4" w:rsidP="00C163D7">
      <w:pPr>
        <w:rPr>
          <w:b/>
          <w:bCs/>
          <w:sz w:val="28"/>
          <w:szCs w:val="28"/>
        </w:rPr>
      </w:pPr>
    </w:p>
    <w:p w:rsidR="008A4D27" w:rsidRDefault="008A4D27" w:rsidP="008A4D27">
      <w:pPr>
        <w:jc w:val="center"/>
        <w:rPr>
          <w:rFonts w:ascii="Arial" w:eastAsia="+mj-ea" w:hAnsi="Arial" w:cs="+mj-cs"/>
          <w:b/>
          <w:bCs/>
          <w:color w:val="000000"/>
        </w:rPr>
      </w:pPr>
      <w:r>
        <w:rPr>
          <w:rFonts w:ascii="Arial" w:eastAsia="+mj-ea" w:hAnsi="Arial" w:cs="+mj-cs"/>
          <w:b/>
          <w:bCs/>
          <w:color w:val="000000"/>
          <w:sz w:val="40"/>
          <w:szCs w:val="40"/>
        </w:rPr>
        <w:t xml:space="preserve">FY 14 - 15 </w:t>
      </w:r>
      <w:r>
        <w:rPr>
          <w:rFonts w:ascii="Arial" w:eastAsia="+mj-ea" w:hAnsi="Arial" w:cs="+mj-cs"/>
          <w:b/>
          <w:bCs/>
          <w:color w:val="000000"/>
          <w:sz w:val="40"/>
          <w:szCs w:val="40"/>
        </w:rPr>
        <w:br/>
        <w:t xml:space="preserve">General Fund Projected Revenues </w:t>
      </w:r>
      <w:r>
        <w:rPr>
          <w:rFonts w:ascii="Arial" w:eastAsia="+mj-ea" w:hAnsi="Arial" w:cs="+mj-cs"/>
          <w:b/>
          <w:bCs/>
          <w:color w:val="000000"/>
          <w:sz w:val="40"/>
          <w:szCs w:val="40"/>
        </w:rPr>
        <w:br/>
        <w:t>$6051.1</w:t>
      </w:r>
      <w:r>
        <w:rPr>
          <w:rFonts w:ascii="Arial" w:eastAsia="+mj-ea" w:hAnsi="Arial" w:cs="+mj-cs"/>
          <w:b/>
          <w:bCs/>
          <w:i/>
          <w:iCs/>
          <w:color w:val="000000"/>
        </w:rPr>
        <w:br/>
        <w:t xml:space="preserve">Includes Municipal Revenue Sharing of </w:t>
      </w:r>
      <w:r w:rsidR="00067F25">
        <w:rPr>
          <w:rFonts w:ascii="Arial" w:eastAsia="+mj-ea" w:hAnsi="Arial" w:cs="+mj-cs"/>
          <w:b/>
          <w:bCs/>
          <w:i/>
          <w:iCs/>
          <w:color w:val="000000"/>
        </w:rPr>
        <w:t>(</w:t>
      </w:r>
      <w:r>
        <w:rPr>
          <w:rFonts w:ascii="Arial" w:eastAsia="+mj-ea" w:hAnsi="Arial" w:cs="+mj-cs"/>
          <w:b/>
          <w:bCs/>
          <w:i/>
          <w:iCs/>
          <w:color w:val="000000"/>
        </w:rPr>
        <w:t>$287.2</w:t>
      </w:r>
      <w:r w:rsidR="00067F25">
        <w:rPr>
          <w:rFonts w:ascii="Arial" w:eastAsia="+mj-ea" w:hAnsi="Arial" w:cs="+mj-cs"/>
          <w:b/>
          <w:bCs/>
          <w:i/>
          <w:iCs/>
          <w:color w:val="000000"/>
        </w:rPr>
        <w:t>)</w:t>
      </w:r>
      <w:r>
        <w:rPr>
          <w:rFonts w:ascii="Arial" w:eastAsia="+mj-ea" w:hAnsi="Arial" w:cs="+mj-cs"/>
          <w:b/>
          <w:bCs/>
          <w:i/>
          <w:iCs/>
          <w:color w:val="000000"/>
        </w:rPr>
        <w:br/>
        <w:t xml:space="preserve">and Transfers for Tax Relief Programs of </w:t>
      </w:r>
      <w:r w:rsidR="00067F25">
        <w:rPr>
          <w:rFonts w:ascii="Arial" w:eastAsia="+mj-ea" w:hAnsi="Arial" w:cs="+mj-cs"/>
          <w:b/>
          <w:bCs/>
          <w:i/>
          <w:iCs/>
          <w:color w:val="000000"/>
        </w:rPr>
        <w:t>(</w:t>
      </w:r>
      <w:r>
        <w:rPr>
          <w:rFonts w:ascii="Arial" w:eastAsia="+mj-ea" w:hAnsi="Arial" w:cs="+mj-cs"/>
          <w:b/>
          <w:bCs/>
          <w:i/>
          <w:iCs/>
          <w:color w:val="000000"/>
        </w:rPr>
        <w:t>$238.7</w:t>
      </w:r>
      <w:r w:rsidR="00067F25">
        <w:rPr>
          <w:rFonts w:ascii="Arial" w:eastAsia="+mj-ea" w:hAnsi="Arial" w:cs="+mj-cs"/>
          <w:b/>
          <w:bCs/>
          <w:i/>
          <w:iCs/>
          <w:color w:val="000000"/>
        </w:rPr>
        <w:t>)</w:t>
      </w:r>
      <w:r>
        <w:rPr>
          <w:rFonts w:ascii="Arial" w:eastAsia="+mj-ea" w:hAnsi="Arial" w:cs="+mj-cs"/>
          <w:b/>
          <w:bCs/>
          <w:i/>
          <w:iCs/>
          <w:color w:val="000000"/>
        </w:rPr>
        <w:t xml:space="preserve"> </w:t>
      </w:r>
      <w:r>
        <w:rPr>
          <w:rFonts w:ascii="Arial" w:eastAsia="+mj-ea" w:hAnsi="Arial" w:cs="+mj-cs"/>
          <w:b/>
          <w:bCs/>
          <w:i/>
          <w:iCs/>
          <w:color w:val="000000"/>
        </w:rPr>
        <w:br/>
      </w:r>
      <w:r>
        <w:rPr>
          <w:rFonts w:ascii="Arial" w:eastAsia="+mj-ea" w:hAnsi="Arial" w:cs="+mj-cs"/>
          <w:b/>
          <w:bCs/>
          <w:color w:val="000000"/>
        </w:rPr>
        <w:t>Dollars in Millions</w:t>
      </w:r>
    </w:p>
    <w:p w:rsidR="008A4D27" w:rsidRDefault="008A4D27" w:rsidP="008A4D27">
      <w:pPr>
        <w:jc w:val="center"/>
        <w:rPr>
          <w:rFonts w:ascii="Arial" w:eastAsia="+mj-ea" w:hAnsi="Arial" w:cs="+mj-cs"/>
          <w:b/>
          <w:bCs/>
          <w:color w:val="000000"/>
        </w:rPr>
      </w:pPr>
    </w:p>
    <w:p w:rsidR="00056BB6" w:rsidRDefault="008A4D27" w:rsidP="008A4D27">
      <w:pPr>
        <w:jc w:val="center"/>
        <w:rPr>
          <w:b/>
          <w:bCs/>
          <w:sz w:val="24"/>
          <w:szCs w:val="24"/>
        </w:rPr>
      </w:pPr>
      <w:r w:rsidRPr="008A4D27">
        <w:rPr>
          <w:noProof/>
        </w:rPr>
        <w:drawing>
          <wp:anchor distT="0" distB="0" distL="114300" distR="114300" simplePos="0" relativeHeight="251671552" behindDoc="0" locked="0" layoutInCell="1" allowOverlap="1">
            <wp:simplePos x="0" y="0"/>
            <wp:positionH relativeFrom="column">
              <wp:posOffset>152400</wp:posOffset>
            </wp:positionH>
            <wp:positionV relativeFrom="paragraph">
              <wp:posOffset>152400</wp:posOffset>
            </wp:positionV>
            <wp:extent cx="5789930" cy="6144260"/>
            <wp:effectExtent l="0" t="0" r="0" b="0"/>
            <wp:wrapNone/>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89930" cy="6144260"/>
                    </a:xfrm>
                    <a:prstGeom prst="rect">
                      <a:avLst/>
                    </a:prstGeom>
                    <a:noFill/>
                    <a:ln>
                      <a:noFill/>
                    </a:ln>
                  </pic:spPr>
                </pic:pic>
              </a:graphicData>
            </a:graphic>
            <wp14:sizeRelH relativeFrom="page">
              <wp14:pctWidth>0</wp14:pctWidth>
            </wp14:sizeRelH>
            <wp14:sizeRelV relativeFrom="page">
              <wp14:pctHeight>0</wp14:pctHeight>
            </wp14:sizeRelV>
          </wp:anchor>
        </w:drawing>
      </w:r>
      <w:r w:rsidR="00056BB6">
        <w:rPr>
          <w:b/>
          <w:bCs/>
          <w:sz w:val="28"/>
          <w:szCs w:val="28"/>
        </w:rPr>
        <w:br w:type="page"/>
      </w:r>
      <w:r w:rsidR="00C163D7">
        <w:rPr>
          <w:b/>
          <w:bCs/>
          <w:sz w:val="24"/>
          <w:szCs w:val="24"/>
        </w:rPr>
        <w:t>C</w:t>
      </w:r>
      <w:r w:rsidR="00C163D7" w:rsidRPr="00C94440">
        <w:rPr>
          <w:b/>
          <w:bCs/>
          <w:sz w:val="24"/>
          <w:szCs w:val="24"/>
        </w:rPr>
        <w:t xml:space="preserve">.  </w:t>
      </w:r>
      <w:r w:rsidR="00C163D7">
        <w:rPr>
          <w:b/>
          <w:bCs/>
          <w:sz w:val="24"/>
          <w:szCs w:val="24"/>
        </w:rPr>
        <w:t>GENERAL FUND REVENUE FORECAST NARRATIVE</w:t>
      </w:r>
    </w:p>
    <w:p w:rsidR="00824D9E" w:rsidRDefault="00824D9E" w:rsidP="00824D9E">
      <w:pPr>
        <w:rPr>
          <w:b/>
          <w:bCs/>
          <w:sz w:val="24"/>
          <w:szCs w:val="24"/>
        </w:rPr>
      </w:pPr>
    </w:p>
    <w:p w:rsidR="00824D9E" w:rsidRDefault="00824D9E" w:rsidP="00824D9E">
      <w:pPr>
        <w:rPr>
          <w:b/>
          <w:bCs/>
          <w:sz w:val="24"/>
          <w:szCs w:val="24"/>
        </w:rPr>
      </w:pPr>
    </w:p>
    <w:p w:rsidR="00056BB6" w:rsidRDefault="005C5AB6" w:rsidP="00AF3019">
      <w:pPr>
        <w:jc w:val="center"/>
        <w:rPr>
          <w:b/>
          <w:bCs/>
          <w:sz w:val="24"/>
          <w:szCs w:val="24"/>
        </w:rPr>
      </w:pPr>
      <w:r w:rsidRPr="005C5AB6">
        <w:rPr>
          <w:b/>
          <w:bCs/>
          <w:sz w:val="24"/>
          <w:szCs w:val="24"/>
        </w:rPr>
        <w:t>SALES AND USE TAX</w:t>
      </w:r>
    </w:p>
    <w:p w:rsidR="00182D1E" w:rsidRDefault="00182D1E" w:rsidP="00AF3019">
      <w:pPr>
        <w:jc w:val="center"/>
        <w:rPr>
          <w:b/>
          <w:bCs/>
          <w:sz w:val="24"/>
          <w:szCs w:val="24"/>
        </w:rPr>
      </w:pPr>
    </w:p>
    <w:p w:rsidR="00A94219" w:rsidRPr="00B37C35" w:rsidRDefault="00F22460" w:rsidP="00A94219">
      <w:pPr>
        <w:rPr>
          <w:b/>
          <w:bCs/>
          <w:sz w:val="24"/>
          <w:szCs w:val="24"/>
        </w:rPr>
      </w:pPr>
      <w:r>
        <w:rPr>
          <w:noProof/>
        </w:rPr>
        <w:drawing>
          <wp:inline distT="0" distB="0" distL="0" distR="0" wp14:anchorId="7914EEFC" wp14:editId="33212359">
            <wp:extent cx="5939790" cy="4692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469265"/>
                    </a:xfrm>
                    <a:prstGeom prst="rect">
                      <a:avLst/>
                    </a:prstGeom>
                    <a:noFill/>
                    <a:ln>
                      <a:noFill/>
                    </a:ln>
                  </pic:spPr>
                </pic:pic>
              </a:graphicData>
            </a:graphic>
          </wp:inline>
        </w:drawing>
      </w:r>
    </w:p>
    <w:p w:rsidR="00A94219" w:rsidRDefault="00A94219" w:rsidP="00A94219">
      <w:pPr>
        <w:rPr>
          <w:b/>
          <w:bCs/>
          <w:sz w:val="24"/>
          <w:szCs w:val="24"/>
        </w:rPr>
      </w:pPr>
    </w:p>
    <w:p w:rsidR="00E42E37" w:rsidRPr="00E42E37" w:rsidRDefault="00E42E37" w:rsidP="00E42E37">
      <w:pPr>
        <w:rPr>
          <w:sz w:val="24"/>
          <w:szCs w:val="24"/>
        </w:rPr>
      </w:pPr>
      <w:r w:rsidRPr="00E42E37">
        <w:rPr>
          <w:sz w:val="24"/>
          <w:szCs w:val="24"/>
        </w:rPr>
        <w:t>The Sales and Use Tax forecast for FY 13, FY 14 and FY 15 include</w:t>
      </w:r>
      <w:r w:rsidR="00067F25">
        <w:rPr>
          <w:sz w:val="24"/>
          <w:szCs w:val="24"/>
        </w:rPr>
        <w:t>s</w:t>
      </w:r>
      <w:r w:rsidRPr="00E42E37">
        <w:rPr>
          <w:sz w:val="24"/>
          <w:szCs w:val="24"/>
        </w:rPr>
        <w:t xml:space="preserve"> all actions of the Revenue Forecasting Committee through April 2012 and reflect</w:t>
      </w:r>
      <w:r w:rsidR="00067F25">
        <w:rPr>
          <w:sz w:val="24"/>
          <w:szCs w:val="24"/>
        </w:rPr>
        <w:t>s</w:t>
      </w:r>
      <w:r w:rsidRPr="00E42E37">
        <w:rPr>
          <w:sz w:val="24"/>
          <w:szCs w:val="24"/>
        </w:rPr>
        <w:t xml:space="preserve"> all actions of the Second Regular Session of the 125th Legislature.  Adjusting for one-time revenues in FY13 because of legislative actions, it is projected that the underlying growth in revenues from Sales and Use Tax will be 4% in FY13 and approximately 4.5% over the FY 14-15 biennium.  These growth rates reflect an assumption that the national economic recovery will transition into a sustained moderate expansion by mid-2013.  </w:t>
      </w:r>
    </w:p>
    <w:p w:rsidR="005C5AB6" w:rsidRDefault="005C5AB6" w:rsidP="00A94219">
      <w:pPr>
        <w:rPr>
          <w:b/>
          <w:bCs/>
          <w:sz w:val="24"/>
          <w:szCs w:val="24"/>
        </w:rPr>
      </w:pPr>
    </w:p>
    <w:p w:rsidR="00A94219" w:rsidRDefault="00A94219" w:rsidP="00AF3019">
      <w:pPr>
        <w:jc w:val="center"/>
        <w:rPr>
          <w:b/>
          <w:bCs/>
          <w:sz w:val="24"/>
          <w:szCs w:val="24"/>
        </w:rPr>
      </w:pPr>
      <w:r>
        <w:rPr>
          <w:b/>
          <w:bCs/>
          <w:sz w:val="24"/>
          <w:szCs w:val="24"/>
        </w:rPr>
        <w:t>SERVICE PROVIDER</w:t>
      </w:r>
      <w:r w:rsidRPr="005C5AB6">
        <w:rPr>
          <w:b/>
          <w:bCs/>
          <w:sz w:val="24"/>
          <w:szCs w:val="24"/>
        </w:rPr>
        <w:t xml:space="preserve"> TAX</w:t>
      </w:r>
    </w:p>
    <w:p w:rsidR="00A94219" w:rsidRPr="00B37C35" w:rsidRDefault="00A94219" w:rsidP="00A94219">
      <w:pPr>
        <w:rPr>
          <w:b/>
          <w:bCs/>
          <w:sz w:val="24"/>
          <w:szCs w:val="24"/>
        </w:rPr>
      </w:pPr>
    </w:p>
    <w:p w:rsidR="00A94219" w:rsidRDefault="00F22460" w:rsidP="00A94219">
      <w:pPr>
        <w:rPr>
          <w:b/>
          <w:bCs/>
          <w:sz w:val="24"/>
          <w:szCs w:val="24"/>
        </w:rPr>
      </w:pPr>
      <w:r>
        <w:rPr>
          <w:noProof/>
        </w:rPr>
        <w:drawing>
          <wp:inline distT="0" distB="0" distL="0" distR="0" wp14:anchorId="1955D318" wp14:editId="0C8FF752">
            <wp:extent cx="5939790" cy="4692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469265"/>
                    </a:xfrm>
                    <a:prstGeom prst="rect">
                      <a:avLst/>
                    </a:prstGeom>
                    <a:noFill/>
                    <a:ln>
                      <a:noFill/>
                    </a:ln>
                  </pic:spPr>
                </pic:pic>
              </a:graphicData>
            </a:graphic>
          </wp:inline>
        </w:drawing>
      </w:r>
    </w:p>
    <w:p w:rsidR="00E0554E" w:rsidRDefault="00E0554E" w:rsidP="00A94219">
      <w:pPr>
        <w:rPr>
          <w:bCs/>
          <w:sz w:val="24"/>
          <w:szCs w:val="24"/>
        </w:rPr>
      </w:pPr>
    </w:p>
    <w:p w:rsidR="00E42E37" w:rsidRDefault="00E42E37" w:rsidP="00E42E37">
      <w:pPr>
        <w:rPr>
          <w:sz w:val="24"/>
          <w:szCs w:val="24"/>
        </w:rPr>
      </w:pPr>
      <w:r>
        <w:rPr>
          <w:sz w:val="24"/>
          <w:szCs w:val="24"/>
        </w:rPr>
        <w:t>The Legislature in Public Law 2003, chapter 673, Part V, reclassified various categories previously included in the Sales and Use Tax as the Service Provider Tax, effective in FY 05.  This law reflects the re-categorization of the following services from the Sales and Use Tax to the Service Provider Tax: (a) extended cable television services; (b) fabrication services; (c) rental of video media and video equipment; (d) rental of furniture, audio media and audio equipment pursuant to a rental-purchase agreement; (e) telecommunication services; and (f) installation, maintenance or repair of telecommunications equipment.  In addition, private non-medical institution services</w:t>
      </w:r>
      <w:r w:rsidR="00067F25">
        <w:rPr>
          <w:sz w:val="24"/>
          <w:szCs w:val="24"/>
        </w:rPr>
        <w:t xml:space="preserve"> (PNMI)</w:t>
      </w:r>
      <w:r>
        <w:rPr>
          <w:sz w:val="24"/>
          <w:szCs w:val="24"/>
        </w:rPr>
        <w:t xml:space="preserve"> are included under the provisions of Public Law 2003, chapter 673, Part V</w:t>
      </w:r>
      <w:r w:rsidR="006662BB">
        <w:rPr>
          <w:sz w:val="24"/>
          <w:szCs w:val="24"/>
        </w:rPr>
        <w:t xml:space="preserve"> and subsequent amendments</w:t>
      </w:r>
      <w:r>
        <w:rPr>
          <w:sz w:val="24"/>
          <w:szCs w:val="24"/>
        </w:rPr>
        <w:t xml:space="preserve">.  Revenue generated from the Service Provider Tax on </w:t>
      </w:r>
      <w:r w:rsidR="006662BB">
        <w:rPr>
          <w:sz w:val="24"/>
          <w:szCs w:val="24"/>
        </w:rPr>
        <w:t>PNMI, community support</w:t>
      </w:r>
      <w:r w:rsidR="00067F25">
        <w:rPr>
          <w:sz w:val="24"/>
          <w:szCs w:val="24"/>
        </w:rPr>
        <w:t xml:space="preserve"> services</w:t>
      </w:r>
      <w:r w:rsidR="006662BB">
        <w:rPr>
          <w:sz w:val="24"/>
          <w:szCs w:val="24"/>
        </w:rPr>
        <w:t xml:space="preserve"> and home support services</w:t>
      </w:r>
      <w:r>
        <w:rPr>
          <w:sz w:val="24"/>
          <w:szCs w:val="24"/>
        </w:rPr>
        <w:t xml:space="preserve"> are credited to the Medical Care Services Other Special Revenue Funds account in the Department of Health and Human Services.  It is projected that the revenues to the General Fund from the Service Provider Tax will grow by approximately 4.0% per year through fiscal year 2015.</w:t>
      </w:r>
    </w:p>
    <w:p w:rsidR="00633618" w:rsidRDefault="00633618" w:rsidP="00E42E37">
      <w:pPr>
        <w:rPr>
          <w:sz w:val="22"/>
          <w:szCs w:val="22"/>
        </w:rPr>
      </w:pPr>
    </w:p>
    <w:p w:rsidR="00A94219" w:rsidRDefault="00A94219" w:rsidP="00AF3019">
      <w:pPr>
        <w:jc w:val="center"/>
        <w:rPr>
          <w:b/>
          <w:bCs/>
          <w:sz w:val="24"/>
          <w:szCs w:val="24"/>
        </w:rPr>
      </w:pPr>
      <w:r w:rsidRPr="00A94219">
        <w:rPr>
          <w:b/>
          <w:bCs/>
          <w:sz w:val="24"/>
          <w:szCs w:val="24"/>
        </w:rPr>
        <w:t>INDIVIDUAL INCOME TAX</w:t>
      </w:r>
    </w:p>
    <w:p w:rsidR="00182D1E" w:rsidRPr="00A94219" w:rsidRDefault="00182D1E" w:rsidP="00AF3019">
      <w:pPr>
        <w:jc w:val="center"/>
        <w:rPr>
          <w:b/>
          <w:bCs/>
          <w:sz w:val="24"/>
          <w:szCs w:val="24"/>
        </w:rPr>
      </w:pPr>
    </w:p>
    <w:p w:rsidR="00A94219" w:rsidRPr="00B37C35" w:rsidRDefault="00F22460" w:rsidP="00A94219">
      <w:pPr>
        <w:rPr>
          <w:bCs/>
          <w:sz w:val="24"/>
          <w:szCs w:val="24"/>
        </w:rPr>
      </w:pPr>
      <w:r>
        <w:rPr>
          <w:noProof/>
        </w:rPr>
        <w:drawing>
          <wp:inline distT="0" distB="0" distL="0" distR="0" wp14:anchorId="0A0FAFBA" wp14:editId="16D5291F">
            <wp:extent cx="5939790" cy="4692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469265"/>
                    </a:xfrm>
                    <a:prstGeom prst="rect">
                      <a:avLst/>
                    </a:prstGeom>
                    <a:noFill/>
                    <a:ln>
                      <a:noFill/>
                    </a:ln>
                  </pic:spPr>
                </pic:pic>
              </a:graphicData>
            </a:graphic>
          </wp:inline>
        </w:drawing>
      </w:r>
    </w:p>
    <w:p w:rsidR="00A94219" w:rsidRDefault="00A94219" w:rsidP="00A94219">
      <w:pPr>
        <w:rPr>
          <w:bCs/>
          <w:sz w:val="24"/>
          <w:szCs w:val="24"/>
        </w:rPr>
      </w:pPr>
    </w:p>
    <w:p w:rsidR="00CD0C74" w:rsidRPr="00CD0C74" w:rsidRDefault="00CD0C74" w:rsidP="00CD0C74">
      <w:pPr>
        <w:rPr>
          <w:sz w:val="24"/>
          <w:szCs w:val="24"/>
        </w:rPr>
      </w:pPr>
      <w:r>
        <w:rPr>
          <w:sz w:val="24"/>
          <w:szCs w:val="24"/>
        </w:rPr>
        <w:t>The Individual Income Tax forecast for FY 13, FY 14 and FY 15 include</w:t>
      </w:r>
      <w:r>
        <w:rPr>
          <w:color w:val="1F497D"/>
          <w:sz w:val="24"/>
          <w:szCs w:val="24"/>
        </w:rPr>
        <w:t>s</w:t>
      </w:r>
      <w:r>
        <w:rPr>
          <w:sz w:val="24"/>
          <w:szCs w:val="24"/>
        </w:rPr>
        <w:t xml:space="preserve"> all actions of the Revenue Forecasting Committee through April 2012 and reflect all actions of the Second Regular Session of the 125th Legislature. </w:t>
      </w:r>
      <w:r>
        <w:rPr>
          <w:color w:val="1F497D"/>
          <w:sz w:val="24"/>
          <w:szCs w:val="24"/>
        </w:rPr>
        <w:t> </w:t>
      </w:r>
      <w:r>
        <w:rPr>
          <w:sz w:val="24"/>
          <w:szCs w:val="24"/>
        </w:rPr>
        <w:t>The estimate</w:t>
      </w:r>
      <w:r>
        <w:rPr>
          <w:color w:val="1F497D"/>
          <w:sz w:val="24"/>
          <w:szCs w:val="24"/>
        </w:rPr>
        <w:t>s</w:t>
      </w:r>
      <w:r>
        <w:rPr>
          <w:sz w:val="24"/>
          <w:szCs w:val="24"/>
        </w:rPr>
        <w:t xml:space="preserve"> for FY 13, FY 14 and FY 15 reflect the underlying economic forecast of the Consensus Economic Forecasting Commission with respect to personal income and wage and salary distribution</w:t>
      </w:r>
      <w:r>
        <w:rPr>
          <w:color w:val="1F497D"/>
          <w:sz w:val="24"/>
          <w:szCs w:val="24"/>
        </w:rPr>
        <w:t xml:space="preserve"> </w:t>
      </w:r>
      <w:r w:rsidRPr="00CD0C74">
        <w:rPr>
          <w:sz w:val="24"/>
          <w:szCs w:val="24"/>
        </w:rPr>
        <w:t>and enactment of tax cuts by 125</w:t>
      </w:r>
      <w:r w:rsidRPr="00CD0C74">
        <w:rPr>
          <w:sz w:val="24"/>
          <w:szCs w:val="24"/>
          <w:vertAlign w:val="superscript"/>
        </w:rPr>
        <w:t>th</w:t>
      </w:r>
      <w:r w:rsidRPr="00CD0C74">
        <w:rPr>
          <w:sz w:val="24"/>
          <w:szCs w:val="24"/>
        </w:rPr>
        <w:t xml:space="preserve"> Legislature that when fully phased-in will reduce annual liability by approximately $200 million beginning in FY13.  Maine’s personal income is projected to grow at 3.0% for CY 13, 4.7% for CY 14 and 4.8% for CY 15 with wage and salary growth averaging 1.1% during the same three-year period.  It is projected that revenue from the Income Tax line will increase by approximately 4.0% once all the tax cuts are fully phased-in.  Capital gains growth rates will average 5.3% through tax year 2015.</w:t>
      </w:r>
    </w:p>
    <w:p w:rsidR="00006510" w:rsidRDefault="00006510" w:rsidP="00AF3019">
      <w:pPr>
        <w:jc w:val="center"/>
        <w:rPr>
          <w:b/>
          <w:bCs/>
          <w:sz w:val="24"/>
          <w:szCs w:val="24"/>
        </w:rPr>
      </w:pPr>
    </w:p>
    <w:p w:rsidR="00430056" w:rsidRDefault="00430056" w:rsidP="00AF3019">
      <w:pPr>
        <w:jc w:val="center"/>
        <w:rPr>
          <w:b/>
          <w:bCs/>
          <w:sz w:val="24"/>
          <w:szCs w:val="24"/>
        </w:rPr>
      </w:pPr>
      <w:r w:rsidRPr="00430056">
        <w:rPr>
          <w:b/>
          <w:bCs/>
          <w:sz w:val="24"/>
          <w:szCs w:val="24"/>
        </w:rPr>
        <w:t>CORPORATE INCOME TAX</w:t>
      </w:r>
    </w:p>
    <w:p w:rsidR="00B55D88" w:rsidRPr="00430056" w:rsidRDefault="00B55D88" w:rsidP="00AF3019">
      <w:pPr>
        <w:jc w:val="center"/>
        <w:rPr>
          <w:b/>
          <w:bCs/>
          <w:sz w:val="24"/>
          <w:szCs w:val="24"/>
        </w:rPr>
      </w:pPr>
    </w:p>
    <w:p w:rsidR="00430056" w:rsidRPr="00B37C35" w:rsidRDefault="00F22460" w:rsidP="00A94219">
      <w:pPr>
        <w:rPr>
          <w:bCs/>
          <w:sz w:val="24"/>
          <w:szCs w:val="24"/>
        </w:rPr>
      </w:pPr>
      <w:r>
        <w:rPr>
          <w:noProof/>
        </w:rPr>
        <w:drawing>
          <wp:inline distT="0" distB="0" distL="0" distR="0" wp14:anchorId="0A9746BC" wp14:editId="68813DD0">
            <wp:extent cx="5939790" cy="485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790" cy="485140"/>
                    </a:xfrm>
                    <a:prstGeom prst="rect">
                      <a:avLst/>
                    </a:prstGeom>
                    <a:noFill/>
                    <a:ln>
                      <a:noFill/>
                    </a:ln>
                  </pic:spPr>
                </pic:pic>
              </a:graphicData>
            </a:graphic>
          </wp:inline>
        </w:drawing>
      </w:r>
    </w:p>
    <w:p w:rsidR="00430056" w:rsidRDefault="00430056" w:rsidP="00A94219">
      <w:pPr>
        <w:rPr>
          <w:bCs/>
          <w:sz w:val="24"/>
          <w:szCs w:val="24"/>
        </w:rPr>
      </w:pPr>
    </w:p>
    <w:p w:rsidR="003E3BB8" w:rsidRDefault="003E3BB8" w:rsidP="003E3BB8">
      <w:pPr>
        <w:rPr>
          <w:sz w:val="24"/>
          <w:szCs w:val="24"/>
        </w:rPr>
      </w:pPr>
      <w:r>
        <w:rPr>
          <w:sz w:val="24"/>
          <w:szCs w:val="24"/>
        </w:rPr>
        <w:t>The forecast for FY13, FY14 and FY15 for the Corporate Income Tax line include</w:t>
      </w:r>
      <w:r w:rsidR="006662BB">
        <w:rPr>
          <w:sz w:val="24"/>
          <w:szCs w:val="24"/>
        </w:rPr>
        <w:t>s</w:t>
      </w:r>
      <w:r>
        <w:rPr>
          <w:sz w:val="24"/>
          <w:szCs w:val="24"/>
        </w:rPr>
        <w:t xml:space="preserve"> all actions of the Revenue Forecasting Committee through April 2012 and reflect</w:t>
      </w:r>
      <w:r w:rsidR="006662BB">
        <w:rPr>
          <w:sz w:val="24"/>
          <w:szCs w:val="24"/>
        </w:rPr>
        <w:t>s</w:t>
      </w:r>
      <w:r>
        <w:rPr>
          <w:sz w:val="24"/>
          <w:szCs w:val="24"/>
        </w:rPr>
        <w:t xml:space="preserve"> all actions of the Second Regular Session of the 125th Legislature.  Revenues from the Corporate Tax line for FY13 are 6.6% less than projected in FY12 due to the shift of the revenue impacts of two investment incentives, the Maine Capital Investment Credit and Conformity with Section 179.  The Corporate Income Tax is projected to grow 4.1% over the FY 2014-2015 biennium.</w:t>
      </w:r>
    </w:p>
    <w:p w:rsidR="00430056" w:rsidRDefault="00430056" w:rsidP="00A94219">
      <w:pPr>
        <w:rPr>
          <w:bCs/>
          <w:sz w:val="24"/>
          <w:szCs w:val="24"/>
        </w:rPr>
      </w:pPr>
    </w:p>
    <w:p w:rsidR="00F66AF6" w:rsidRDefault="00F66AF6" w:rsidP="00AF3019">
      <w:pPr>
        <w:jc w:val="center"/>
        <w:rPr>
          <w:b/>
          <w:bCs/>
          <w:sz w:val="24"/>
          <w:szCs w:val="24"/>
        </w:rPr>
      </w:pPr>
      <w:r w:rsidRPr="00F66AF6">
        <w:rPr>
          <w:b/>
          <w:bCs/>
          <w:sz w:val="24"/>
          <w:szCs w:val="24"/>
        </w:rPr>
        <w:t xml:space="preserve">CIGARETTE AND TOBACCO </w:t>
      </w:r>
      <w:r w:rsidR="00B571DD">
        <w:rPr>
          <w:b/>
          <w:bCs/>
          <w:sz w:val="24"/>
          <w:szCs w:val="24"/>
        </w:rPr>
        <w:t xml:space="preserve">PRODUCTS </w:t>
      </w:r>
      <w:r w:rsidRPr="00F66AF6">
        <w:rPr>
          <w:b/>
          <w:bCs/>
          <w:sz w:val="24"/>
          <w:szCs w:val="24"/>
        </w:rPr>
        <w:t>TAX</w:t>
      </w:r>
    </w:p>
    <w:p w:rsidR="00B55D88" w:rsidRPr="00F66AF6" w:rsidRDefault="00B55D88" w:rsidP="00AF3019">
      <w:pPr>
        <w:jc w:val="center"/>
        <w:rPr>
          <w:b/>
          <w:bCs/>
          <w:sz w:val="24"/>
          <w:szCs w:val="24"/>
        </w:rPr>
      </w:pPr>
    </w:p>
    <w:p w:rsidR="00430056" w:rsidRPr="00B37C35" w:rsidRDefault="00F22460" w:rsidP="00A94219">
      <w:pPr>
        <w:rPr>
          <w:bCs/>
          <w:sz w:val="24"/>
          <w:szCs w:val="24"/>
        </w:rPr>
      </w:pPr>
      <w:r>
        <w:rPr>
          <w:noProof/>
        </w:rPr>
        <w:drawing>
          <wp:inline distT="0" distB="0" distL="0" distR="0" wp14:anchorId="412D3226" wp14:editId="7DE9B09F">
            <wp:extent cx="5939790" cy="4927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9790" cy="492760"/>
                    </a:xfrm>
                    <a:prstGeom prst="rect">
                      <a:avLst/>
                    </a:prstGeom>
                    <a:noFill/>
                    <a:ln>
                      <a:noFill/>
                    </a:ln>
                  </pic:spPr>
                </pic:pic>
              </a:graphicData>
            </a:graphic>
          </wp:inline>
        </w:drawing>
      </w:r>
    </w:p>
    <w:p w:rsidR="00F66AF6" w:rsidRDefault="00F66AF6" w:rsidP="00A94219">
      <w:pPr>
        <w:rPr>
          <w:bCs/>
          <w:sz w:val="24"/>
          <w:szCs w:val="24"/>
        </w:rPr>
      </w:pPr>
    </w:p>
    <w:p w:rsidR="003E3BB8" w:rsidRDefault="003E3BB8" w:rsidP="003E3BB8">
      <w:pPr>
        <w:rPr>
          <w:sz w:val="24"/>
          <w:szCs w:val="24"/>
        </w:rPr>
      </w:pPr>
      <w:r>
        <w:rPr>
          <w:sz w:val="24"/>
          <w:szCs w:val="24"/>
        </w:rPr>
        <w:t>The forecast for FY 13, FY 14 and FY 15 for the Cigarette and Tobacco Products Tax lines include</w:t>
      </w:r>
      <w:r w:rsidR="006662BB">
        <w:rPr>
          <w:sz w:val="24"/>
          <w:szCs w:val="24"/>
        </w:rPr>
        <w:t>s</w:t>
      </w:r>
      <w:r>
        <w:rPr>
          <w:sz w:val="24"/>
          <w:szCs w:val="24"/>
        </w:rPr>
        <w:t xml:space="preserve"> all actions of the Revenue Forecasting Committee through April 2012 and reflect</w:t>
      </w:r>
      <w:r w:rsidR="006662BB">
        <w:rPr>
          <w:sz w:val="24"/>
          <w:szCs w:val="24"/>
        </w:rPr>
        <w:t>s</w:t>
      </w:r>
      <w:r>
        <w:rPr>
          <w:sz w:val="24"/>
          <w:szCs w:val="24"/>
        </w:rPr>
        <w:t xml:space="preserve"> all actions of the Second Regular Session of the 125th Legislature. Cigarette tax revenue is expected to continue to decline approximately 2% per year. The tobacco products tax is projected to grow by 1% per year.</w:t>
      </w:r>
    </w:p>
    <w:p w:rsidR="00F66AF6" w:rsidRDefault="00F66AF6" w:rsidP="00A94219">
      <w:pPr>
        <w:rPr>
          <w:bCs/>
          <w:sz w:val="24"/>
          <w:szCs w:val="24"/>
        </w:rPr>
      </w:pPr>
    </w:p>
    <w:p w:rsidR="00F66AF6" w:rsidRDefault="00F66AF6" w:rsidP="00AF3019">
      <w:pPr>
        <w:jc w:val="center"/>
        <w:rPr>
          <w:b/>
          <w:bCs/>
          <w:sz w:val="24"/>
          <w:szCs w:val="24"/>
        </w:rPr>
      </w:pPr>
      <w:r w:rsidRPr="00F66AF6">
        <w:rPr>
          <w:b/>
          <w:bCs/>
          <w:sz w:val="24"/>
          <w:szCs w:val="24"/>
        </w:rPr>
        <w:t>INSURANCE COMPANY TAX</w:t>
      </w:r>
    </w:p>
    <w:p w:rsidR="00B55D88" w:rsidRPr="00F66AF6" w:rsidRDefault="00B55D88" w:rsidP="00AF3019">
      <w:pPr>
        <w:jc w:val="center"/>
        <w:rPr>
          <w:b/>
          <w:bCs/>
          <w:sz w:val="24"/>
          <w:szCs w:val="24"/>
        </w:rPr>
      </w:pPr>
    </w:p>
    <w:p w:rsidR="00F66AF6" w:rsidRPr="00B37C35" w:rsidRDefault="00F22460" w:rsidP="00A94219">
      <w:pPr>
        <w:rPr>
          <w:bCs/>
          <w:sz w:val="24"/>
          <w:szCs w:val="24"/>
        </w:rPr>
      </w:pPr>
      <w:r>
        <w:rPr>
          <w:noProof/>
        </w:rPr>
        <w:drawing>
          <wp:inline distT="0" distB="0" distL="0" distR="0" wp14:anchorId="0929B548" wp14:editId="201C45D4">
            <wp:extent cx="5939790" cy="4692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9790" cy="469265"/>
                    </a:xfrm>
                    <a:prstGeom prst="rect">
                      <a:avLst/>
                    </a:prstGeom>
                    <a:noFill/>
                    <a:ln>
                      <a:noFill/>
                    </a:ln>
                  </pic:spPr>
                </pic:pic>
              </a:graphicData>
            </a:graphic>
          </wp:inline>
        </w:drawing>
      </w:r>
    </w:p>
    <w:p w:rsidR="00F66AF6" w:rsidRDefault="00F66AF6" w:rsidP="00A94219">
      <w:pPr>
        <w:rPr>
          <w:bCs/>
          <w:sz w:val="24"/>
          <w:szCs w:val="24"/>
        </w:rPr>
      </w:pPr>
    </w:p>
    <w:p w:rsidR="00C52930" w:rsidRDefault="00C52930" w:rsidP="00C52930">
      <w:pPr>
        <w:rPr>
          <w:sz w:val="24"/>
          <w:szCs w:val="24"/>
        </w:rPr>
      </w:pPr>
      <w:r>
        <w:rPr>
          <w:sz w:val="24"/>
          <w:szCs w:val="24"/>
        </w:rPr>
        <w:t>The forecast for FY 13, FY 14 and FY 15 for the Insurance Company Tax line include</w:t>
      </w:r>
      <w:r w:rsidR="006662BB">
        <w:rPr>
          <w:sz w:val="24"/>
          <w:szCs w:val="24"/>
        </w:rPr>
        <w:t>s</w:t>
      </w:r>
      <w:r>
        <w:rPr>
          <w:sz w:val="24"/>
          <w:szCs w:val="24"/>
        </w:rPr>
        <w:t xml:space="preserve"> all actions of the Revenue Forecasting Committee through April 2012 and reflect</w:t>
      </w:r>
      <w:r w:rsidR="006662BB">
        <w:rPr>
          <w:sz w:val="24"/>
          <w:szCs w:val="24"/>
        </w:rPr>
        <w:t>s</w:t>
      </w:r>
      <w:r>
        <w:rPr>
          <w:sz w:val="24"/>
          <w:szCs w:val="24"/>
        </w:rPr>
        <w:t xml:space="preserve"> all actions of the Second Regular Session of the 125th Legislature. </w:t>
      </w:r>
      <w:r w:rsidRPr="00C52930">
        <w:rPr>
          <w:sz w:val="24"/>
          <w:szCs w:val="24"/>
        </w:rPr>
        <w:t>Revenues from insurance companies are associated with the gross value of insurance policies issued. As business within the state grows, the amount of insurance coverage also expands. Although it would be expected that this revenue source would increase at a rate consistent with the overall growth of the economy, the emphasis on lower workers’ compensation premium costs and consumer actions in response to rising premiums appears to be moderating the growth in this revenue source.  As a consequence, the base level projection of the Revenue Forecasting Committee as of April 2012 assumes no growth during the next biennium.</w:t>
      </w:r>
    </w:p>
    <w:p w:rsidR="006662BB" w:rsidRDefault="006662BB" w:rsidP="00AF3019">
      <w:pPr>
        <w:jc w:val="center"/>
        <w:rPr>
          <w:b/>
          <w:bCs/>
          <w:sz w:val="24"/>
          <w:szCs w:val="24"/>
        </w:rPr>
      </w:pPr>
    </w:p>
    <w:p w:rsidR="00372CBD" w:rsidRDefault="00372CBD" w:rsidP="00AF3019">
      <w:pPr>
        <w:jc w:val="center"/>
        <w:rPr>
          <w:b/>
          <w:bCs/>
          <w:sz w:val="24"/>
          <w:szCs w:val="24"/>
        </w:rPr>
      </w:pPr>
      <w:r>
        <w:rPr>
          <w:b/>
          <w:bCs/>
          <w:sz w:val="24"/>
          <w:szCs w:val="24"/>
        </w:rPr>
        <w:t>FINES, FORFEITS AND PENALTIES</w:t>
      </w:r>
    </w:p>
    <w:p w:rsidR="00372CBD" w:rsidRDefault="00372CBD" w:rsidP="00372CBD">
      <w:pPr>
        <w:rPr>
          <w:b/>
          <w:bCs/>
          <w:sz w:val="24"/>
          <w:szCs w:val="24"/>
        </w:rPr>
      </w:pPr>
    </w:p>
    <w:p w:rsidR="00372CBD" w:rsidRPr="00B37C35" w:rsidRDefault="00F22460" w:rsidP="00372CBD">
      <w:pPr>
        <w:rPr>
          <w:b/>
          <w:bCs/>
          <w:sz w:val="24"/>
          <w:szCs w:val="24"/>
        </w:rPr>
      </w:pPr>
      <w:r>
        <w:rPr>
          <w:noProof/>
        </w:rPr>
        <w:drawing>
          <wp:inline distT="0" distB="0" distL="0" distR="0" wp14:anchorId="77AF921B" wp14:editId="25850993">
            <wp:extent cx="5939790" cy="4692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9790" cy="469265"/>
                    </a:xfrm>
                    <a:prstGeom prst="rect">
                      <a:avLst/>
                    </a:prstGeom>
                    <a:noFill/>
                    <a:ln>
                      <a:noFill/>
                    </a:ln>
                  </pic:spPr>
                </pic:pic>
              </a:graphicData>
            </a:graphic>
          </wp:inline>
        </w:drawing>
      </w:r>
    </w:p>
    <w:p w:rsidR="00FB1368" w:rsidRPr="00FB1368" w:rsidRDefault="00FB1368" w:rsidP="00372CBD">
      <w:pPr>
        <w:rPr>
          <w:b/>
          <w:bCs/>
          <w:sz w:val="24"/>
          <w:szCs w:val="24"/>
        </w:rPr>
      </w:pPr>
    </w:p>
    <w:p w:rsidR="00AD0433" w:rsidRDefault="00372CBD" w:rsidP="00372CBD">
      <w:pPr>
        <w:rPr>
          <w:bCs/>
          <w:sz w:val="24"/>
          <w:szCs w:val="24"/>
        </w:rPr>
      </w:pPr>
      <w:r w:rsidRPr="00372CBD">
        <w:rPr>
          <w:bCs/>
          <w:sz w:val="24"/>
          <w:szCs w:val="24"/>
        </w:rPr>
        <w:t>The Revenue Forecasting Committee (RFC) effective with fiscal year 2009-10 established the new Fines, Forfeits and Penalties revenue category for reporting purposes. Revenues from fines, forfeits and penalties were previousl</w:t>
      </w:r>
      <w:r w:rsidR="007D065C">
        <w:rPr>
          <w:bCs/>
          <w:sz w:val="24"/>
          <w:szCs w:val="24"/>
        </w:rPr>
        <w:t xml:space="preserve">y recorded </w:t>
      </w:r>
      <w:r w:rsidRPr="00372CBD">
        <w:rPr>
          <w:bCs/>
          <w:sz w:val="24"/>
          <w:szCs w:val="24"/>
        </w:rPr>
        <w:t xml:space="preserve">and classified as Other Revenue. Revenues from </w:t>
      </w:r>
    </w:p>
    <w:p w:rsidR="00D37405" w:rsidRDefault="00372CBD" w:rsidP="00372CBD">
      <w:pPr>
        <w:rPr>
          <w:bCs/>
          <w:sz w:val="24"/>
          <w:szCs w:val="24"/>
        </w:rPr>
      </w:pPr>
      <w:r w:rsidRPr="00372CBD">
        <w:rPr>
          <w:bCs/>
          <w:sz w:val="24"/>
          <w:szCs w:val="24"/>
        </w:rPr>
        <w:t xml:space="preserve">fines are derived primarily from collections undertaken by the Violations Bureau in the Judicial </w:t>
      </w:r>
    </w:p>
    <w:p w:rsidR="00D37405" w:rsidRDefault="00D37405" w:rsidP="00372CBD">
      <w:pPr>
        <w:rPr>
          <w:bCs/>
          <w:sz w:val="24"/>
          <w:szCs w:val="24"/>
        </w:rPr>
      </w:pPr>
    </w:p>
    <w:p w:rsidR="00372CBD" w:rsidRPr="00372CBD" w:rsidRDefault="00372CBD" w:rsidP="00372CBD">
      <w:pPr>
        <w:rPr>
          <w:bCs/>
          <w:sz w:val="24"/>
          <w:szCs w:val="24"/>
        </w:rPr>
      </w:pPr>
      <w:r w:rsidRPr="00372CBD">
        <w:rPr>
          <w:bCs/>
          <w:sz w:val="24"/>
          <w:szCs w:val="24"/>
        </w:rPr>
        <w:t xml:space="preserve">Department. A decline of </w:t>
      </w:r>
      <w:r w:rsidR="00E27EF1">
        <w:rPr>
          <w:bCs/>
          <w:sz w:val="24"/>
          <w:szCs w:val="24"/>
        </w:rPr>
        <w:t>2</w:t>
      </w:r>
      <w:r w:rsidRPr="00372CBD">
        <w:rPr>
          <w:bCs/>
          <w:sz w:val="24"/>
          <w:szCs w:val="24"/>
        </w:rPr>
        <w:t>.</w:t>
      </w:r>
      <w:r w:rsidR="00E27EF1">
        <w:rPr>
          <w:bCs/>
          <w:sz w:val="24"/>
          <w:szCs w:val="24"/>
        </w:rPr>
        <w:t>4</w:t>
      </w:r>
      <w:r w:rsidRPr="00372CBD">
        <w:rPr>
          <w:bCs/>
          <w:sz w:val="24"/>
          <w:szCs w:val="24"/>
        </w:rPr>
        <w:t>% in revenues from this category is projected between fiscal year 20</w:t>
      </w:r>
      <w:r w:rsidR="00E27EF1">
        <w:rPr>
          <w:bCs/>
          <w:sz w:val="24"/>
          <w:szCs w:val="24"/>
        </w:rPr>
        <w:t>11</w:t>
      </w:r>
      <w:r w:rsidRPr="00372CBD">
        <w:rPr>
          <w:bCs/>
          <w:sz w:val="24"/>
          <w:szCs w:val="24"/>
        </w:rPr>
        <w:t>-1</w:t>
      </w:r>
      <w:r w:rsidR="00E27EF1">
        <w:rPr>
          <w:bCs/>
          <w:sz w:val="24"/>
          <w:szCs w:val="24"/>
        </w:rPr>
        <w:t>2</w:t>
      </w:r>
      <w:r w:rsidRPr="00372CBD">
        <w:rPr>
          <w:bCs/>
          <w:sz w:val="24"/>
          <w:szCs w:val="24"/>
        </w:rPr>
        <w:t xml:space="preserve"> and 201</w:t>
      </w:r>
      <w:r w:rsidR="00067F25">
        <w:rPr>
          <w:bCs/>
          <w:sz w:val="24"/>
          <w:szCs w:val="24"/>
        </w:rPr>
        <w:t>2</w:t>
      </w:r>
      <w:r w:rsidRPr="00372CBD">
        <w:rPr>
          <w:bCs/>
          <w:sz w:val="24"/>
          <w:szCs w:val="24"/>
        </w:rPr>
        <w:t>-1</w:t>
      </w:r>
      <w:r w:rsidR="00E27EF1">
        <w:rPr>
          <w:bCs/>
          <w:sz w:val="24"/>
          <w:szCs w:val="24"/>
        </w:rPr>
        <w:t>3</w:t>
      </w:r>
      <w:r w:rsidRPr="00372CBD">
        <w:rPr>
          <w:bCs/>
          <w:sz w:val="24"/>
          <w:szCs w:val="24"/>
        </w:rPr>
        <w:t>. A decline of approximately of 0.0</w:t>
      </w:r>
      <w:r w:rsidR="00E27EF1">
        <w:rPr>
          <w:bCs/>
          <w:sz w:val="24"/>
          <w:szCs w:val="24"/>
        </w:rPr>
        <w:t>2</w:t>
      </w:r>
      <w:r w:rsidRPr="00372CBD">
        <w:rPr>
          <w:bCs/>
          <w:sz w:val="24"/>
          <w:szCs w:val="24"/>
        </w:rPr>
        <w:t>% is projected for the 201</w:t>
      </w:r>
      <w:r w:rsidR="00E27EF1">
        <w:rPr>
          <w:bCs/>
          <w:sz w:val="24"/>
          <w:szCs w:val="24"/>
        </w:rPr>
        <w:t>4</w:t>
      </w:r>
      <w:r w:rsidRPr="00372CBD">
        <w:rPr>
          <w:bCs/>
          <w:sz w:val="24"/>
          <w:szCs w:val="24"/>
        </w:rPr>
        <w:t>-201</w:t>
      </w:r>
      <w:r w:rsidR="00E27EF1">
        <w:rPr>
          <w:bCs/>
          <w:sz w:val="24"/>
          <w:szCs w:val="24"/>
        </w:rPr>
        <w:t>5</w:t>
      </w:r>
      <w:r w:rsidRPr="00372CBD">
        <w:rPr>
          <w:bCs/>
          <w:sz w:val="24"/>
          <w:szCs w:val="24"/>
        </w:rPr>
        <w:t xml:space="preserve"> biennium.</w:t>
      </w:r>
    </w:p>
    <w:p w:rsidR="00633618" w:rsidRDefault="00633618" w:rsidP="008F0C90">
      <w:pPr>
        <w:jc w:val="center"/>
        <w:rPr>
          <w:b/>
          <w:bCs/>
          <w:sz w:val="24"/>
          <w:szCs w:val="24"/>
        </w:rPr>
      </w:pPr>
    </w:p>
    <w:p w:rsidR="00C477B5" w:rsidRDefault="00C477B5" w:rsidP="008F0C90">
      <w:pPr>
        <w:jc w:val="center"/>
        <w:rPr>
          <w:b/>
          <w:bCs/>
          <w:sz w:val="24"/>
          <w:szCs w:val="24"/>
        </w:rPr>
      </w:pPr>
      <w:r w:rsidRPr="00C477B5">
        <w:rPr>
          <w:b/>
          <w:bCs/>
          <w:sz w:val="24"/>
          <w:szCs w:val="24"/>
        </w:rPr>
        <w:t>TRANSFER FOR TAX RELIEF PROGRAMS</w:t>
      </w:r>
    </w:p>
    <w:p w:rsidR="00FF01A5" w:rsidRPr="00C477B5" w:rsidRDefault="00FF01A5" w:rsidP="008F0C90">
      <w:pPr>
        <w:jc w:val="center"/>
        <w:rPr>
          <w:b/>
          <w:bCs/>
          <w:sz w:val="24"/>
          <w:szCs w:val="24"/>
        </w:rPr>
      </w:pPr>
    </w:p>
    <w:p w:rsidR="00C477B5" w:rsidRPr="00B37C35" w:rsidRDefault="00F22460" w:rsidP="00A94219">
      <w:pPr>
        <w:rPr>
          <w:bCs/>
          <w:sz w:val="24"/>
          <w:szCs w:val="24"/>
        </w:rPr>
      </w:pPr>
      <w:r>
        <w:rPr>
          <w:noProof/>
        </w:rPr>
        <w:drawing>
          <wp:inline distT="0" distB="0" distL="0" distR="0" wp14:anchorId="7BCD184D" wp14:editId="062A4241">
            <wp:extent cx="5939790" cy="4692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9790" cy="469265"/>
                    </a:xfrm>
                    <a:prstGeom prst="rect">
                      <a:avLst/>
                    </a:prstGeom>
                    <a:noFill/>
                    <a:ln>
                      <a:noFill/>
                    </a:ln>
                  </pic:spPr>
                </pic:pic>
              </a:graphicData>
            </a:graphic>
          </wp:inline>
        </w:drawing>
      </w:r>
    </w:p>
    <w:p w:rsidR="00C477B5" w:rsidRDefault="00C477B5" w:rsidP="00A94219">
      <w:pPr>
        <w:rPr>
          <w:bCs/>
          <w:sz w:val="24"/>
          <w:szCs w:val="24"/>
        </w:rPr>
      </w:pPr>
    </w:p>
    <w:p w:rsidR="00F65292" w:rsidRDefault="00F65292" w:rsidP="00F65292">
      <w:pPr>
        <w:rPr>
          <w:sz w:val="24"/>
          <w:szCs w:val="24"/>
        </w:rPr>
      </w:pPr>
      <w:r>
        <w:rPr>
          <w:sz w:val="24"/>
          <w:szCs w:val="24"/>
        </w:rPr>
        <w:t>Beginning with fiscal year 2009-10 the Revenue Forecasting Committee (RFC) adopted the Transfer for Tax Relief category for its revenue report. This category groups the following three programs; Maine Residents’ Property Tax program; Business Equipment Tax Reimbursement (BETR) and Business Equipment Tax Exemption (BETE) programs for revenue reporting purposes; forecasts for each of these three programs are presented below.  A one-time adjustment to the Maine Resident Property Tax program expires at the end of the FY12/13 biennium, causing a jump in the forecasted refunds in FY14.</w:t>
      </w:r>
    </w:p>
    <w:p w:rsidR="00C477B5" w:rsidRPr="00C477B5" w:rsidRDefault="00C477B5" w:rsidP="00A94219">
      <w:pPr>
        <w:rPr>
          <w:bCs/>
          <w:sz w:val="24"/>
          <w:szCs w:val="24"/>
        </w:rPr>
      </w:pPr>
    </w:p>
    <w:p w:rsidR="00C477B5" w:rsidRPr="00C477B5" w:rsidRDefault="00C477B5" w:rsidP="008F0C90">
      <w:pPr>
        <w:jc w:val="center"/>
        <w:rPr>
          <w:b/>
          <w:bCs/>
          <w:sz w:val="24"/>
          <w:szCs w:val="24"/>
        </w:rPr>
      </w:pPr>
      <w:r w:rsidRPr="00C477B5">
        <w:rPr>
          <w:b/>
          <w:bCs/>
          <w:sz w:val="24"/>
          <w:szCs w:val="24"/>
        </w:rPr>
        <w:t>MAINE</w:t>
      </w:r>
      <w:r w:rsidR="008F0C90">
        <w:rPr>
          <w:b/>
          <w:bCs/>
          <w:sz w:val="24"/>
          <w:szCs w:val="24"/>
        </w:rPr>
        <w:t xml:space="preserve"> RESIDENTS PROPERTY TAX PROGRAM</w:t>
      </w:r>
    </w:p>
    <w:p w:rsidR="00C477B5" w:rsidRDefault="00C477B5" w:rsidP="008F0C90">
      <w:pPr>
        <w:jc w:val="center"/>
        <w:rPr>
          <w:b/>
          <w:bCs/>
          <w:sz w:val="24"/>
          <w:szCs w:val="24"/>
        </w:rPr>
      </w:pPr>
      <w:r w:rsidRPr="00C477B5">
        <w:rPr>
          <w:b/>
          <w:bCs/>
          <w:sz w:val="24"/>
          <w:szCs w:val="24"/>
        </w:rPr>
        <w:t>aka "Tax and Rent Refund" or "Circuit Breaker" Program</w:t>
      </w:r>
    </w:p>
    <w:p w:rsidR="003F5D48" w:rsidRPr="00C477B5" w:rsidRDefault="003F5D48" w:rsidP="008F0C90">
      <w:pPr>
        <w:jc w:val="center"/>
        <w:rPr>
          <w:b/>
          <w:bCs/>
          <w:sz w:val="24"/>
          <w:szCs w:val="24"/>
        </w:rPr>
      </w:pPr>
    </w:p>
    <w:p w:rsidR="00C477B5" w:rsidRDefault="00AE5B61" w:rsidP="00A94219">
      <w:pPr>
        <w:rPr>
          <w:bCs/>
          <w:sz w:val="24"/>
          <w:szCs w:val="24"/>
        </w:rPr>
      </w:pPr>
      <w:r w:rsidRPr="00AE5B61">
        <w:rPr>
          <w:noProof/>
        </w:rPr>
        <w:drawing>
          <wp:inline distT="0" distB="0" distL="0" distR="0" wp14:anchorId="344B1D77" wp14:editId="40B638D2">
            <wp:extent cx="5943600" cy="472720"/>
            <wp:effectExtent l="0" t="0" r="0" b="381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472720"/>
                    </a:xfrm>
                    <a:prstGeom prst="rect">
                      <a:avLst/>
                    </a:prstGeom>
                    <a:noFill/>
                    <a:ln>
                      <a:noFill/>
                    </a:ln>
                  </pic:spPr>
                </pic:pic>
              </a:graphicData>
            </a:graphic>
          </wp:inline>
        </w:drawing>
      </w:r>
    </w:p>
    <w:p w:rsidR="00674E15" w:rsidRPr="00674E15" w:rsidRDefault="00674E15" w:rsidP="00A94219">
      <w:pPr>
        <w:rPr>
          <w:bCs/>
          <w:sz w:val="24"/>
          <w:szCs w:val="24"/>
        </w:rPr>
      </w:pPr>
    </w:p>
    <w:p w:rsidR="003E32AF" w:rsidRPr="003E32AF" w:rsidRDefault="003E32AF" w:rsidP="003E32AF">
      <w:pPr>
        <w:rPr>
          <w:sz w:val="24"/>
          <w:szCs w:val="24"/>
        </w:rPr>
      </w:pPr>
      <w:r w:rsidRPr="003E32AF">
        <w:rPr>
          <w:sz w:val="24"/>
          <w:szCs w:val="24"/>
        </w:rPr>
        <w:t>Taxpayer reimbursement under the Maine Residents' Property Tax Reimbursement (Tax and Rent Refund or "Circuit Breaker") program is accounted for as an offset to General Fund revenue rather than expenditure from General Fund appropriations for that purpose.  The program provides a maximum payment of $2,000 ($1,600 for the FY12/13 biennium because of a 20% reduction in the General Program refund amount), based on the first $3,350 of property taxes paid by a single-member household ($4,400 for a multi-member household). The $3,350/$4,400 benefit base is indexed for inflation.  Beginning with the 2008 program year, taxpayers with household income exceeding $60,000 ($80,000 for multi-member households) are ineligible. The $60,000/$80,000 income thresholds are indexed for inflation.  Renters are eligible for a benefit based on an assumption that 20% of rent constitutes property taxes.  The filing period runs from August 1</w:t>
      </w:r>
      <w:r w:rsidRPr="003E32AF">
        <w:rPr>
          <w:sz w:val="24"/>
          <w:szCs w:val="24"/>
          <w:vertAlign w:val="superscript"/>
        </w:rPr>
        <w:t>st</w:t>
      </w:r>
      <w:r w:rsidRPr="003E32AF">
        <w:rPr>
          <w:sz w:val="24"/>
          <w:szCs w:val="24"/>
        </w:rPr>
        <w:t xml:space="preserve"> to May 31</w:t>
      </w:r>
      <w:r w:rsidRPr="003E32AF">
        <w:rPr>
          <w:sz w:val="24"/>
          <w:szCs w:val="24"/>
          <w:vertAlign w:val="superscript"/>
        </w:rPr>
        <w:t>st</w:t>
      </w:r>
      <w:r w:rsidRPr="003E32AF">
        <w:rPr>
          <w:sz w:val="24"/>
          <w:szCs w:val="24"/>
        </w:rPr>
        <w:t>.  The expiration of the 20% reduction in the refund amount in the FY14/15 biennium causes the significant jump in the cost of the program in FY14.</w:t>
      </w:r>
    </w:p>
    <w:p w:rsidR="00C477B5" w:rsidRPr="00C477B5" w:rsidRDefault="00C477B5" w:rsidP="00A94219">
      <w:pPr>
        <w:rPr>
          <w:bCs/>
          <w:sz w:val="24"/>
          <w:szCs w:val="24"/>
        </w:rPr>
      </w:pPr>
    </w:p>
    <w:p w:rsidR="00C477B5" w:rsidRPr="00C477B5" w:rsidRDefault="00C477B5" w:rsidP="008F0C90">
      <w:pPr>
        <w:jc w:val="center"/>
        <w:rPr>
          <w:b/>
          <w:bCs/>
          <w:sz w:val="24"/>
          <w:szCs w:val="24"/>
        </w:rPr>
      </w:pPr>
      <w:r w:rsidRPr="00C477B5">
        <w:rPr>
          <w:b/>
          <w:bCs/>
          <w:sz w:val="24"/>
          <w:szCs w:val="24"/>
        </w:rPr>
        <w:t>BUSINESS EQUIPMENT TAX REIMBURSEMENT (BETR)</w:t>
      </w:r>
    </w:p>
    <w:p w:rsidR="00C477B5" w:rsidRDefault="00C477B5" w:rsidP="001371F6">
      <w:pPr>
        <w:spacing w:line="192" w:lineRule="auto"/>
        <w:rPr>
          <w:bCs/>
          <w:sz w:val="24"/>
          <w:szCs w:val="24"/>
        </w:rPr>
      </w:pPr>
    </w:p>
    <w:p w:rsidR="003F5D48" w:rsidRPr="00674E15" w:rsidRDefault="0091453F" w:rsidP="00A94219">
      <w:pPr>
        <w:rPr>
          <w:bCs/>
          <w:sz w:val="24"/>
          <w:szCs w:val="24"/>
        </w:rPr>
      </w:pPr>
      <w:r w:rsidRPr="0091453F">
        <w:rPr>
          <w:noProof/>
        </w:rPr>
        <w:drawing>
          <wp:inline distT="0" distB="0" distL="0" distR="0" wp14:anchorId="2316FEAF" wp14:editId="443547CE">
            <wp:extent cx="5943600" cy="472720"/>
            <wp:effectExtent l="0" t="0" r="0" b="381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472720"/>
                    </a:xfrm>
                    <a:prstGeom prst="rect">
                      <a:avLst/>
                    </a:prstGeom>
                    <a:noFill/>
                    <a:ln>
                      <a:noFill/>
                    </a:ln>
                  </pic:spPr>
                </pic:pic>
              </a:graphicData>
            </a:graphic>
          </wp:inline>
        </w:drawing>
      </w:r>
    </w:p>
    <w:p w:rsidR="003F5D48" w:rsidRPr="00C477B5" w:rsidRDefault="003F5D48" w:rsidP="00A94219">
      <w:pPr>
        <w:rPr>
          <w:bCs/>
          <w:sz w:val="24"/>
          <w:szCs w:val="24"/>
        </w:rPr>
      </w:pPr>
    </w:p>
    <w:p w:rsidR="00C477B5" w:rsidRDefault="00C477B5" w:rsidP="008F0C90">
      <w:pPr>
        <w:jc w:val="center"/>
        <w:rPr>
          <w:b/>
          <w:bCs/>
          <w:sz w:val="24"/>
          <w:szCs w:val="24"/>
        </w:rPr>
      </w:pPr>
      <w:r w:rsidRPr="00C477B5">
        <w:rPr>
          <w:b/>
          <w:bCs/>
          <w:sz w:val="24"/>
          <w:szCs w:val="24"/>
        </w:rPr>
        <w:t>BUSINESS EQUIPMENT TAX EXEMPTION (BETE)</w:t>
      </w:r>
    </w:p>
    <w:p w:rsidR="003F5D48" w:rsidRPr="00C477B5" w:rsidRDefault="003F5D48" w:rsidP="001371F6">
      <w:pPr>
        <w:spacing w:line="192" w:lineRule="auto"/>
        <w:jc w:val="center"/>
        <w:rPr>
          <w:b/>
          <w:bCs/>
          <w:sz w:val="24"/>
          <w:szCs w:val="24"/>
        </w:rPr>
      </w:pPr>
    </w:p>
    <w:p w:rsidR="00C477B5" w:rsidRPr="00674E15" w:rsidRDefault="0091453F" w:rsidP="00A94219">
      <w:pPr>
        <w:rPr>
          <w:bCs/>
          <w:sz w:val="24"/>
          <w:szCs w:val="24"/>
        </w:rPr>
      </w:pPr>
      <w:r w:rsidRPr="0091453F">
        <w:rPr>
          <w:noProof/>
        </w:rPr>
        <w:drawing>
          <wp:inline distT="0" distB="0" distL="0" distR="0" wp14:anchorId="4B108792" wp14:editId="542DCECB">
            <wp:extent cx="5943600" cy="472720"/>
            <wp:effectExtent l="0" t="0" r="0" b="381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472720"/>
                    </a:xfrm>
                    <a:prstGeom prst="rect">
                      <a:avLst/>
                    </a:prstGeom>
                    <a:noFill/>
                    <a:ln>
                      <a:noFill/>
                    </a:ln>
                  </pic:spPr>
                </pic:pic>
              </a:graphicData>
            </a:graphic>
          </wp:inline>
        </w:drawing>
      </w:r>
    </w:p>
    <w:p w:rsidR="007B5757" w:rsidRPr="00C477B5" w:rsidRDefault="007B5757" w:rsidP="00EB5DA7">
      <w:pPr>
        <w:spacing w:line="192" w:lineRule="auto"/>
        <w:rPr>
          <w:bCs/>
          <w:sz w:val="24"/>
          <w:szCs w:val="24"/>
        </w:rPr>
      </w:pPr>
    </w:p>
    <w:p w:rsidR="00471CE4" w:rsidRDefault="00964F50" w:rsidP="00964F50">
      <w:pPr>
        <w:rPr>
          <w:sz w:val="24"/>
          <w:szCs w:val="24"/>
        </w:rPr>
      </w:pPr>
      <w:r>
        <w:rPr>
          <w:sz w:val="24"/>
          <w:szCs w:val="24"/>
        </w:rPr>
        <w:t xml:space="preserve">Beginning with FY 06, taxpayer reimbursement under the Business Equipment Tax Reimbursement (BETR) program is accounted for as a deduction from the individual income tax </w:t>
      </w:r>
    </w:p>
    <w:p w:rsidR="00471CE4" w:rsidRDefault="00471CE4" w:rsidP="00964F50">
      <w:pPr>
        <w:rPr>
          <w:sz w:val="24"/>
          <w:szCs w:val="24"/>
        </w:rPr>
      </w:pPr>
    </w:p>
    <w:p w:rsidR="00AD0433" w:rsidRDefault="00964F50" w:rsidP="00964F50">
      <w:pPr>
        <w:rPr>
          <w:sz w:val="24"/>
          <w:szCs w:val="24"/>
        </w:rPr>
      </w:pPr>
      <w:r>
        <w:rPr>
          <w:sz w:val="24"/>
          <w:szCs w:val="24"/>
        </w:rPr>
        <w:t xml:space="preserve">line rather than expenditure from General Fund appropriations for that purpose.  BETR </w:t>
      </w:r>
    </w:p>
    <w:p w:rsidR="00A4326D" w:rsidRDefault="00A4326D" w:rsidP="00964F50">
      <w:pPr>
        <w:rPr>
          <w:sz w:val="24"/>
          <w:szCs w:val="24"/>
        </w:rPr>
      </w:pPr>
    </w:p>
    <w:p w:rsidR="00964F50" w:rsidRDefault="00964F50" w:rsidP="00964F50">
      <w:pPr>
        <w:rPr>
          <w:sz w:val="24"/>
          <w:szCs w:val="24"/>
        </w:rPr>
      </w:pPr>
      <w:r>
        <w:rPr>
          <w:sz w:val="24"/>
          <w:szCs w:val="24"/>
        </w:rPr>
        <w:t xml:space="preserve">reimbursement is 100% of the property taxes paid on eligible property, for the first 12 years, 75% in year 13, 70% in year 14 and so on until it reaches a minimum of 50% in years 18 and beyond.  Generally, property first placed into service in Maine after April 1, 1995, but on or before April 1, 2007 is eligible.  Only certain retail equipment first placed in service after April 1, 2007 will continue to be eligible for BETR reimbursement.  </w:t>
      </w:r>
    </w:p>
    <w:p w:rsidR="00964F50" w:rsidRDefault="00964F50" w:rsidP="00964F50">
      <w:pPr>
        <w:rPr>
          <w:sz w:val="24"/>
          <w:szCs w:val="24"/>
        </w:rPr>
      </w:pPr>
    </w:p>
    <w:p w:rsidR="00964F50" w:rsidRDefault="00964F50" w:rsidP="00964F50">
      <w:pPr>
        <w:rPr>
          <w:sz w:val="24"/>
          <w:szCs w:val="24"/>
        </w:rPr>
      </w:pPr>
      <w:r>
        <w:rPr>
          <w:sz w:val="24"/>
          <w:szCs w:val="24"/>
        </w:rPr>
        <w:t>BETR reimbursement experience is affected by the new Business Equipment Tax Exemption (BETE) program.  Non-retail property first placed into service after April 1, 2007 is eligible for the BETE program.  Business property eligible for BETE is 100% exempt from the local property tax and the state will reimburse municipalities for a portion of the lost revenue.  The percentage reimbursed to municipalities is 100% in the first year, dropping by 10% percentage points each year after until reaching minimum reimbursement rate of 50%.</w:t>
      </w:r>
    </w:p>
    <w:p w:rsidR="00964F50" w:rsidRDefault="00964F50" w:rsidP="00964F50">
      <w:pPr>
        <w:rPr>
          <w:sz w:val="24"/>
          <w:szCs w:val="24"/>
        </w:rPr>
      </w:pPr>
    </w:p>
    <w:p w:rsidR="00C477B5" w:rsidRPr="00C477B5" w:rsidRDefault="00C477B5" w:rsidP="008F0C90">
      <w:pPr>
        <w:jc w:val="center"/>
        <w:rPr>
          <w:b/>
          <w:bCs/>
          <w:sz w:val="24"/>
          <w:szCs w:val="24"/>
        </w:rPr>
      </w:pPr>
      <w:r w:rsidRPr="00C477B5">
        <w:rPr>
          <w:b/>
          <w:bCs/>
          <w:sz w:val="24"/>
          <w:szCs w:val="24"/>
        </w:rPr>
        <w:t>MUNICIPAL REVENUE SHARING</w:t>
      </w:r>
    </w:p>
    <w:p w:rsidR="00C477B5" w:rsidRDefault="00C477B5" w:rsidP="00A94219">
      <w:pPr>
        <w:rPr>
          <w:bCs/>
          <w:sz w:val="24"/>
          <w:szCs w:val="24"/>
        </w:rPr>
      </w:pPr>
    </w:p>
    <w:p w:rsidR="003F5D48" w:rsidRPr="0020356C" w:rsidRDefault="00F22460" w:rsidP="00A94219">
      <w:pPr>
        <w:rPr>
          <w:bCs/>
          <w:sz w:val="24"/>
          <w:szCs w:val="24"/>
        </w:rPr>
      </w:pPr>
      <w:r>
        <w:rPr>
          <w:noProof/>
        </w:rPr>
        <w:drawing>
          <wp:inline distT="0" distB="0" distL="0" distR="0" wp14:anchorId="7C632B04" wp14:editId="03764087">
            <wp:extent cx="5939790" cy="469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9790" cy="469265"/>
                    </a:xfrm>
                    <a:prstGeom prst="rect">
                      <a:avLst/>
                    </a:prstGeom>
                    <a:noFill/>
                    <a:ln>
                      <a:noFill/>
                    </a:ln>
                  </pic:spPr>
                </pic:pic>
              </a:graphicData>
            </a:graphic>
          </wp:inline>
        </w:drawing>
      </w:r>
    </w:p>
    <w:p w:rsidR="00692BE8" w:rsidRPr="00C477B5" w:rsidRDefault="00692BE8" w:rsidP="00EB5DA7">
      <w:pPr>
        <w:spacing w:line="192" w:lineRule="auto"/>
        <w:rPr>
          <w:bCs/>
          <w:sz w:val="24"/>
          <w:szCs w:val="24"/>
        </w:rPr>
      </w:pPr>
    </w:p>
    <w:p w:rsidR="00C477B5" w:rsidRPr="00692BE8" w:rsidRDefault="00A675B2" w:rsidP="00A94219">
      <w:pPr>
        <w:rPr>
          <w:bCs/>
          <w:sz w:val="24"/>
          <w:szCs w:val="24"/>
        </w:rPr>
      </w:pPr>
      <w:r>
        <w:rPr>
          <w:bCs/>
          <w:sz w:val="24"/>
          <w:szCs w:val="24"/>
        </w:rPr>
        <w:t>The S</w:t>
      </w:r>
      <w:r w:rsidR="00692BE8" w:rsidRPr="00692BE8">
        <w:rPr>
          <w:bCs/>
          <w:sz w:val="24"/>
          <w:szCs w:val="24"/>
        </w:rPr>
        <w:t>ales and Use Tax, Individual Income Tax, Corporate Income Tax and Service Provider Tax lines are subject to Municipal Revenue Sharing in accordance with Title 30-A, § 5681 of the Maine Revised Statutes.  That section of statute currently requires that an amount equ</w:t>
      </w:r>
      <w:r>
        <w:rPr>
          <w:bCs/>
          <w:sz w:val="24"/>
          <w:szCs w:val="24"/>
        </w:rPr>
        <w:t>al to 5</w:t>
      </w:r>
      <w:r w:rsidR="00692BE8" w:rsidRPr="00692BE8">
        <w:rPr>
          <w:bCs/>
          <w:sz w:val="24"/>
          <w:szCs w:val="24"/>
        </w:rPr>
        <w:t>% of the above referenced tax lines be transferred to the Local Government Fund (Municipal Revenue Sharing). Municipal Revenue Sharing is a calculation based on the forecasts of the four previously referenced tax revenue lines.  The Legislature approved a change in the reimbursement rate from 5.1% to 5.0% effective July 1, 2009.</w:t>
      </w:r>
    </w:p>
    <w:p w:rsidR="00C477B5" w:rsidRPr="00C477B5" w:rsidRDefault="00C477B5" w:rsidP="00A94219">
      <w:pPr>
        <w:rPr>
          <w:bCs/>
          <w:sz w:val="24"/>
          <w:szCs w:val="24"/>
        </w:rPr>
      </w:pPr>
    </w:p>
    <w:p w:rsidR="00C477B5" w:rsidRPr="00692BE8" w:rsidRDefault="00692BE8" w:rsidP="00A94219">
      <w:pPr>
        <w:rPr>
          <w:bCs/>
          <w:sz w:val="24"/>
          <w:szCs w:val="24"/>
        </w:rPr>
      </w:pPr>
      <w:r w:rsidRPr="00692BE8">
        <w:rPr>
          <w:bCs/>
          <w:sz w:val="24"/>
          <w:szCs w:val="24"/>
        </w:rPr>
        <w:t>The projected decrease in Municipal Revenue Sharing between fiscal years 20</w:t>
      </w:r>
      <w:r w:rsidR="00BD2EF6">
        <w:rPr>
          <w:bCs/>
          <w:sz w:val="24"/>
          <w:szCs w:val="24"/>
        </w:rPr>
        <w:t>11</w:t>
      </w:r>
      <w:r w:rsidRPr="00692BE8">
        <w:rPr>
          <w:bCs/>
          <w:sz w:val="24"/>
          <w:szCs w:val="24"/>
        </w:rPr>
        <w:t>-1</w:t>
      </w:r>
      <w:r w:rsidR="00BD2EF6">
        <w:rPr>
          <w:bCs/>
          <w:sz w:val="24"/>
          <w:szCs w:val="24"/>
        </w:rPr>
        <w:t>2</w:t>
      </w:r>
      <w:r w:rsidRPr="00692BE8">
        <w:rPr>
          <w:bCs/>
          <w:sz w:val="24"/>
          <w:szCs w:val="24"/>
        </w:rPr>
        <w:t xml:space="preserve"> and 201</w:t>
      </w:r>
      <w:r w:rsidR="00BD2EF6">
        <w:rPr>
          <w:bCs/>
          <w:sz w:val="24"/>
          <w:szCs w:val="24"/>
        </w:rPr>
        <w:t>2</w:t>
      </w:r>
      <w:r w:rsidRPr="00692BE8">
        <w:rPr>
          <w:bCs/>
          <w:sz w:val="24"/>
          <w:szCs w:val="24"/>
        </w:rPr>
        <w:t>-1</w:t>
      </w:r>
      <w:r w:rsidR="00BD2EF6">
        <w:rPr>
          <w:bCs/>
          <w:sz w:val="24"/>
          <w:szCs w:val="24"/>
        </w:rPr>
        <w:t>3</w:t>
      </w:r>
      <w:r w:rsidRPr="00692BE8">
        <w:rPr>
          <w:bCs/>
          <w:sz w:val="24"/>
          <w:szCs w:val="24"/>
        </w:rPr>
        <w:t xml:space="preserve"> of -</w:t>
      </w:r>
      <w:r w:rsidR="00BD2EF6">
        <w:rPr>
          <w:bCs/>
          <w:sz w:val="24"/>
          <w:szCs w:val="24"/>
        </w:rPr>
        <w:t>2.3</w:t>
      </w:r>
      <w:r w:rsidRPr="00692BE8">
        <w:rPr>
          <w:bCs/>
          <w:sz w:val="24"/>
          <w:szCs w:val="24"/>
        </w:rPr>
        <w:t xml:space="preserve">% reflects </w:t>
      </w:r>
      <w:r w:rsidR="00EB5DA7">
        <w:rPr>
          <w:bCs/>
          <w:sz w:val="24"/>
          <w:szCs w:val="24"/>
        </w:rPr>
        <w:t xml:space="preserve">a transfer from Municipal Revenue Sharing to the General Fund </w:t>
      </w:r>
      <w:r w:rsidRPr="00692BE8">
        <w:rPr>
          <w:bCs/>
          <w:sz w:val="24"/>
          <w:szCs w:val="24"/>
        </w:rPr>
        <w:t>of $</w:t>
      </w:r>
      <w:r w:rsidR="00BD2EF6">
        <w:rPr>
          <w:bCs/>
          <w:sz w:val="24"/>
          <w:szCs w:val="24"/>
        </w:rPr>
        <w:t>3.9</w:t>
      </w:r>
      <w:r w:rsidRPr="00692BE8">
        <w:rPr>
          <w:bCs/>
          <w:sz w:val="24"/>
          <w:szCs w:val="24"/>
        </w:rPr>
        <w:t xml:space="preserve"> million in FY 201</w:t>
      </w:r>
      <w:r w:rsidR="00BD2EF6">
        <w:rPr>
          <w:bCs/>
          <w:sz w:val="24"/>
          <w:szCs w:val="24"/>
        </w:rPr>
        <w:t>3</w:t>
      </w:r>
      <w:r w:rsidRPr="00692BE8">
        <w:rPr>
          <w:bCs/>
          <w:sz w:val="24"/>
          <w:szCs w:val="24"/>
        </w:rPr>
        <w:t xml:space="preserve"> over FY 201</w:t>
      </w:r>
      <w:r w:rsidR="00BD2EF6">
        <w:rPr>
          <w:bCs/>
          <w:sz w:val="24"/>
          <w:szCs w:val="24"/>
        </w:rPr>
        <w:t>2</w:t>
      </w:r>
      <w:r w:rsidRPr="00692BE8">
        <w:rPr>
          <w:bCs/>
          <w:sz w:val="24"/>
          <w:szCs w:val="24"/>
        </w:rPr>
        <w:t>. The 4</w:t>
      </w:r>
      <w:r w:rsidR="00BD2EF6">
        <w:rPr>
          <w:bCs/>
          <w:sz w:val="24"/>
          <w:szCs w:val="24"/>
        </w:rPr>
        <w:t>9</w:t>
      </w:r>
      <w:r w:rsidRPr="00692BE8">
        <w:rPr>
          <w:bCs/>
          <w:sz w:val="24"/>
          <w:szCs w:val="24"/>
        </w:rPr>
        <w:t>.0</w:t>
      </w:r>
      <w:r w:rsidR="00BD2EF6">
        <w:rPr>
          <w:bCs/>
          <w:sz w:val="24"/>
          <w:szCs w:val="24"/>
        </w:rPr>
        <w:t>9</w:t>
      </w:r>
      <w:r w:rsidRPr="00692BE8">
        <w:rPr>
          <w:bCs/>
          <w:sz w:val="24"/>
          <w:szCs w:val="24"/>
        </w:rPr>
        <w:t xml:space="preserve"> % projected increase between and FY 201</w:t>
      </w:r>
      <w:r w:rsidR="00BD2EF6">
        <w:rPr>
          <w:bCs/>
          <w:sz w:val="24"/>
          <w:szCs w:val="24"/>
        </w:rPr>
        <w:t>3</w:t>
      </w:r>
      <w:r w:rsidRPr="00692BE8">
        <w:rPr>
          <w:bCs/>
          <w:sz w:val="24"/>
          <w:szCs w:val="24"/>
        </w:rPr>
        <w:t xml:space="preserve"> and FY 201</w:t>
      </w:r>
      <w:r w:rsidR="00BD2EF6">
        <w:rPr>
          <w:bCs/>
          <w:sz w:val="24"/>
          <w:szCs w:val="24"/>
        </w:rPr>
        <w:t>4</w:t>
      </w:r>
      <w:r w:rsidRPr="00692BE8">
        <w:rPr>
          <w:bCs/>
          <w:sz w:val="24"/>
          <w:szCs w:val="24"/>
        </w:rPr>
        <w:t xml:space="preserve"> reflects the discontinuance of $</w:t>
      </w:r>
      <w:r w:rsidR="00BD2EF6">
        <w:rPr>
          <w:bCs/>
          <w:sz w:val="24"/>
          <w:szCs w:val="24"/>
        </w:rPr>
        <w:t>44.3</w:t>
      </w:r>
      <w:r w:rsidRPr="00692BE8">
        <w:rPr>
          <w:bCs/>
          <w:sz w:val="24"/>
          <w:szCs w:val="24"/>
        </w:rPr>
        <w:t xml:space="preserve"> million in revenue sharing contributions to the General Fund and it also includes the projected increase in revenue sharing funds from the projected growth in the 4 major tax lines referenced above.  Funds for revenue sharing are also distributed to the Disproportionate Tax Burden Fund which is used </w:t>
      </w:r>
      <w:r w:rsidR="00EB5DA7">
        <w:rPr>
          <w:bCs/>
          <w:sz w:val="24"/>
          <w:szCs w:val="24"/>
        </w:rPr>
        <w:t xml:space="preserve">to provide additional support to </w:t>
      </w:r>
      <w:r w:rsidRPr="00692BE8">
        <w:rPr>
          <w:bCs/>
          <w:sz w:val="24"/>
          <w:szCs w:val="24"/>
        </w:rPr>
        <w:t>municipalities experiencing a higher than average property tax burden. Effective with FY 2010, the Legislature</w:t>
      </w:r>
      <w:r w:rsidR="006662BB">
        <w:rPr>
          <w:bCs/>
          <w:sz w:val="24"/>
          <w:szCs w:val="24"/>
        </w:rPr>
        <w:t xml:space="preserve"> </w:t>
      </w:r>
      <w:r w:rsidRPr="00692BE8">
        <w:rPr>
          <w:bCs/>
          <w:sz w:val="24"/>
          <w:szCs w:val="24"/>
        </w:rPr>
        <w:t>approved a change to the distribution of funds for this program resulting in increased funding for the Disproportionate Tax Burden Fund.</w:t>
      </w:r>
    </w:p>
    <w:p w:rsidR="00692BE8" w:rsidRPr="00C477B5" w:rsidRDefault="00692BE8" w:rsidP="00A94219">
      <w:pPr>
        <w:rPr>
          <w:bCs/>
          <w:sz w:val="24"/>
          <w:szCs w:val="24"/>
        </w:rPr>
      </w:pPr>
    </w:p>
    <w:p w:rsidR="00C477B5" w:rsidRDefault="00C477B5" w:rsidP="008F0C90">
      <w:pPr>
        <w:jc w:val="center"/>
        <w:rPr>
          <w:b/>
          <w:bCs/>
          <w:sz w:val="24"/>
          <w:szCs w:val="24"/>
        </w:rPr>
      </w:pPr>
      <w:r w:rsidRPr="00C477B5">
        <w:rPr>
          <w:b/>
          <w:bCs/>
          <w:sz w:val="24"/>
          <w:szCs w:val="24"/>
        </w:rPr>
        <w:t>OTHER TAXES AND FEES</w:t>
      </w:r>
    </w:p>
    <w:p w:rsidR="003F5D48" w:rsidRPr="00C477B5" w:rsidRDefault="003F5D48" w:rsidP="008F0C90">
      <w:pPr>
        <w:jc w:val="center"/>
        <w:rPr>
          <w:b/>
          <w:bCs/>
          <w:sz w:val="24"/>
          <w:szCs w:val="24"/>
        </w:rPr>
      </w:pPr>
    </w:p>
    <w:p w:rsidR="00C477B5" w:rsidRPr="0020356C" w:rsidRDefault="001E59C7" w:rsidP="00A94219">
      <w:pPr>
        <w:rPr>
          <w:bCs/>
          <w:sz w:val="24"/>
          <w:szCs w:val="24"/>
        </w:rPr>
      </w:pPr>
      <w:r w:rsidRPr="001E59C7">
        <w:rPr>
          <w:noProof/>
        </w:rPr>
        <w:drawing>
          <wp:inline distT="0" distB="0" distL="0" distR="0" wp14:anchorId="6A96291F" wp14:editId="1DB47F4D">
            <wp:extent cx="5943600" cy="47272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472720"/>
                    </a:xfrm>
                    <a:prstGeom prst="rect">
                      <a:avLst/>
                    </a:prstGeom>
                    <a:noFill/>
                    <a:ln>
                      <a:noFill/>
                    </a:ln>
                  </pic:spPr>
                </pic:pic>
              </a:graphicData>
            </a:graphic>
          </wp:inline>
        </w:drawing>
      </w:r>
    </w:p>
    <w:p w:rsidR="00C477B5" w:rsidRDefault="00C477B5" w:rsidP="00A94219">
      <w:pPr>
        <w:rPr>
          <w:bCs/>
          <w:sz w:val="24"/>
          <w:szCs w:val="24"/>
        </w:rPr>
      </w:pPr>
    </w:p>
    <w:p w:rsidR="00242CF1" w:rsidRPr="00242CF1" w:rsidRDefault="00242CF1" w:rsidP="00A94219">
      <w:pPr>
        <w:rPr>
          <w:bCs/>
          <w:sz w:val="24"/>
          <w:szCs w:val="24"/>
        </w:rPr>
      </w:pPr>
      <w:r w:rsidRPr="00242CF1">
        <w:rPr>
          <w:bCs/>
          <w:sz w:val="24"/>
          <w:szCs w:val="24"/>
        </w:rPr>
        <w:t>Effective with fiscal year 2009-10</w:t>
      </w:r>
      <w:r w:rsidR="00B571DD">
        <w:rPr>
          <w:bCs/>
          <w:sz w:val="24"/>
          <w:szCs w:val="24"/>
        </w:rPr>
        <w:t>,</w:t>
      </w:r>
      <w:r w:rsidRPr="00242CF1">
        <w:rPr>
          <w:bCs/>
          <w:sz w:val="24"/>
          <w:szCs w:val="24"/>
        </w:rPr>
        <w:t xml:space="preserve"> the Revenue Forecasting Committee (RFC) adopted this new revenue category for revenue reporting purposes. Revenues from taxes and fees were previously included under the Other Revenues category. Property Taxes - Unorganized Territory and Public Utilities Tax which were previously reported in their own category are now included in the Other Taxes and Fees category along with all the remaining taxes and fees. This forecast reflects a projected increase of </w:t>
      </w:r>
      <w:r w:rsidR="00950EDE">
        <w:rPr>
          <w:bCs/>
          <w:sz w:val="24"/>
          <w:szCs w:val="24"/>
        </w:rPr>
        <w:t>2.44</w:t>
      </w:r>
      <w:r w:rsidRPr="00242CF1">
        <w:rPr>
          <w:bCs/>
          <w:sz w:val="24"/>
          <w:szCs w:val="24"/>
        </w:rPr>
        <w:t>% for FY 201</w:t>
      </w:r>
      <w:r w:rsidR="00950EDE">
        <w:rPr>
          <w:bCs/>
          <w:sz w:val="24"/>
          <w:szCs w:val="24"/>
        </w:rPr>
        <w:t>5</w:t>
      </w:r>
      <w:r w:rsidRPr="00242CF1">
        <w:rPr>
          <w:bCs/>
          <w:sz w:val="24"/>
          <w:szCs w:val="24"/>
        </w:rPr>
        <w:t>.</w:t>
      </w:r>
    </w:p>
    <w:p w:rsidR="00C477B5" w:rsidRDefault="00C477B5" w:rsidP="00A94219">
      <w:pPr>
        <w:rPr>
          <w:bCs/>
          <w:sz w:val="24"/>
          <w:szCs w:val="24"/>
        </w:rPr>
      </w:pPr>
    </w:p>
    <w:p w:rsidR="00242CF1" w:rsidRPr="00C477B5" w:rsidRDefault="00242CF1" w:rsidP="00A94219">
      <w:pPr>
        <w:rPr>
          <w:bCs/>
          <w:sz w:val="24"/>
          <w:szCs w:val="24"/>
        </w:rPr>
      </w:pPr>
    </w:p>
    <w:p w:rsidR="005C7156" w:rsidRDefault="005C7156" w:rsidP="008F0C90">
      <w:pPr>
        <w:jc w:val="center"/>
        <w:rPr>
          <w:b/>
          <w:bCs/>
          <w:sz w:val="24"/>
          <w:szCs w:val="24"/>
        </w:rPr>
      </w:pPr>
    </w:p>
    <w:p w:rsidR="002D1828" w:rsidRDefault="002D1828" w:rsidP="008F0C90">
      <w:pPr>
        <w:jc w:val="center"/>
        <w:rPr>
          <w:b/>
          <w:bCs/>
          <w:sz w:val="24"/>
          <w:szCs w:val="24"/>
        </w:rPr>
      </w:pPr>
    </w:p>
    <w:p w:rsidR="002D1828" w:rsidRDefault="002D1828" w:rsidP="008F0C90">
      <w:pPr>
        <w:jc w:val="center"/>
        <w:rPr>
          <w:b/>
          <w:bCs/>
          <w:sz w:val="24"/>
          <w:szCs w:val="24"/>
        </w:rPr>
      </w:pPr>
    </w:p>
    <w:p w:rsidR="002D1828" w:rsidRDefault="002D1828" w:rsidP="008F0C90">
      <w:pPr>
        <w:jc w:val="center"/>
        <w:rPr>
          <w:b/>
          <w:bCs/>
          <w:sz w:val="24"/>
          <w:szCs w:val="24"/>
        </w:rPr>
      </w:pPr>
    </w:p>
    <w:p w:rsidR="00C477B5" w:rsidRDefault="00C477B5" w:rsidP="008F0C90">
      <w:pPr>
        <w:jc w:val="center"/>
        <w:rPr>
          <w:b/>
          <w:bCs/>
          <w:sz w:val="24"/>
          <w:szCs w:val="24"/>
        </w:rPr>
      </w:pPr>
      <w:r w:rsidRPr="00C477B5">
        <w:rPr>
          <w:b/>
          <w:bCs/>
          <w:sz w:val="24"/>
          <w:szCs w:val="24"/>
        </w:rPr>
        <w:t>OTHER REVENUES</w:t>
      </w:r>
    </w:p>
    <w:p w:rsidR="00E84EC4" w:rsidRPr="00C477B5" w:rsidRDefault="00E84EC4" w:rsidP="008F0C90">
      <w:pPr>
        <w:jc w:val="center"/>
        <w:rPr>
          <w:b/>
          <w:bCs/>
          <w:sz w:val="24"/>
          <w:szCs w:val="24"/>
        </w:rPr>
      </w:pPr>
    </w:p>
    <w:p w:rsidR="00C477B5" w:rsidRPr="0020356C" w:rsidRDefault="001E59C7" w:rsidP="00A94219">
      <w:pPr>
        <w:rPr>
          <w:bCs/>
          <w:sz w:val="24"/>
          <w:szCs w:val="24"/>
        </w:rPr>
      </w:pPr>
      <w:r w:rsidRPr="001E59C7">
        <w:rPr>
          <w:noProof/>
        </w:rPr>
        <w:drawing>
          <wp:inline distT="0" distB="0" distL="0" distR="0" wp14:anchorId="30847C2C" wp14:editId="659C7D99">
            <wp:extent cx="5943600" cy="47272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472720"/>
                    </a:xfrm>
                    <a:prstGeom prst="rect">
                      <a:avLst/>
                    </a:prstGeom>
                    <a:noFill/>
                    <a:ln>
                      <a:noFill/>
                    </a:ln>
                  </pic:spPr>
                </pic:pic>
              </a:graphicData>
            </a:graphic>
          </wp:inline>
        </w:drawing>
      </w:r>
    </w:p>
    <w:p w:rsidR="00A5172D" w:rsidRPr="00C477B5" w:rsidRDefault="00A5172D" w:rsidP="00A94219">
      <w:pPr>
        <w:rPr>
          <w:bCs/>
          <w:sz w:val="24"/>
          <w:szCs w:val="24"/>
        </w:rPr>
      </w:pPr>
    </w:p>
    <w:p w:rsidR="00021A08" w:rsidRDefault="00242CF1" w:rsidP="00A94219">
      <w:pPr>
        <w:rPr>
          <w:bCs/>
          <w:sz w:val="24"/>
          <w:szCs w:val="24"/>
        </w:rPr>
      </w:pPr>
      <w:r w:rsidRPr="00242CF1">
        <w:rPr>
          <w:bCs/>
          <w:sz w:val="24"/>
          <w:szCs w:val="24"/>
        </w:rPr>
        <w:t>Effective with fiscal year 2009-10, the Revenue Forecasting Committee (RFC) approved the reclassification of revenues for taxes and fees and for fines, forfeits and penalties previously reflected un</w:t>
      </w:r>
      <w:r w:rsidR="003F4E05">
        <w:rPr>
          <w:bCs/>
          <w:sz w:val="24"/>
          <w:szCs w:val="24"/>
        </w:rPr>
        <w:t>der Other Revenues being</w:t>
      </w:r>
      <w:r w:rsidRPr="00242CF1">
        <w:rPr>
          <w:bCs/>
          <w:sz w:val="24"/>
          <w:szCs w:val="24"/>
        </w:rPr>
        <w:t xml:space="preserve"> recorded in their own category for reporting purposes. This Other Revenues category includes all the other General Fund revenue sources collected by the various departments and agencies that are not otherwise classified in the categories listed on the General Fund Summary Table. The </w:t>
      </w:r>
      <w:r w:rsidR="003E32AF">
        <w:rPr>
          <w:bCs/>
          <w:sz w:val="24"/>
          <w:szCs w:val="24"/>
        </w:rPr>
        <w:t>-43.</w:t>
      </w:r>
      <w:r w:rsidR="00262A7A">
        <w:rPr>
          <w:bCs/>
          <w:sz w:val="24"/>
          <w:szCs w:val="24"/>
        </w:rPr>
        <w:t>1</w:t>
      </w:r>
      <w:r w:rsidRPr="00242CF1">
        <w:rPr>
          <w:bCs/>
          <w:sz w:val="24"/>
          <w:szCs w:val="24"/>
        </w:rPr>
        <w:t xml:space="preserve">% </w:t>
      </w:r>
      <w:r w:rsidR="003E32AF">
        <w:rPr>
          <w:bCs/>
          <w:sz w:val="24"/>
          <w:szCs w:val="24"/>
        </w:rPr>
        <w:t>de</w:t>
      </w:r>
      <w:r w:rsidRPr="00242CF1">
        <w:rPr>
          <w:bCs/>
          <w:sz w:val="24"/>
          <w:szCs w:val="24"/>
        </w:rPr>
        <w:t>crease between fiscal years 201</w:t>
      </w:r>
      <w:r w:rsidR="003E32AF">
        <w:rPr>
          <w:bCs/>
          <w:sz w:val="24"/>
          <w:szCs w:val="24"/>
        </w:rPr>
        <w:t>3</w:t>
      </w:r>
      <w:r w:rsidRPr="00242CF1">
        <w:rPr>
          <w:bCs/>
          <w:sz w:val="24"/>
          <w:szCs w:val="24"/>
        </w:rPr>
        <w:t xml:space="preserve"> and 201</w:t>
      </w:r>
      <w:r w:rsidR="003E32AF">
        <w:rPr>
          <w:bCs/>
          <w:sz w:val="24"/>
          <w:szCs w:val="24"/>
        </w:rPr>
        <w:t>4</w:t>
      </w:r>
      <w:r w:rsidRPr="00242CF1">
        <w:rPr>
          <w:bCs/>
          <w:sz w:val="24"/>
          <w:szCs w:val="24"/>
        </w:rPr>
        <w:t xml:space="preserve"> is primarily attributable to the </w:t>
      </w:r>
      <w:r w:rsidR="003E32AF">
        <w:rPr>
          <w:bCs/>
          <w:sz w:val="24"/>
          <w:szCs w:val="24"/>
        </w:rPr>
        <w:t>one-time initial payment of $20M</w:t>
      </w:r>
      <w:r w:rsidR="006662BB">
        <w:rPr>
          <w:bCs/>
          <w:sz w:val="24"/>
          <w:szCs w:val="24"/>
        </w:rPr>
        <w:t xml:space="preserve"> in FY13</w:t>
      </w:r>
      <w:r w:rsidR="003E32AF">
        <w:rPr>
          <w:bCs/>
          <w:sz w:val="24"/>
          <w:szCs w:val="24"/>
        </w:rPr>
        <w:t xml:space="preserve"> for the extension of the privatization of the liquor contract</w:t>
      </w:r>
      <w:r w:rsidR="00262A7A">
        <w:rPr>
          <w:bCs/>
          <w:sz w:val="24"/>
          <w:szCs w:val="24"/>
        </w:rPr>
        <w:t xml:space="preserve"> included</w:t>
      </w:r>
      <w:r w:rsidR="00F67BF8">
        <w:rPr>
          <w:bCs/>
          <w:sz w:val="24"/>
          <w:szCs w:val="24"/>
        </w:rPr>
        <w:t xml:space="preserve"> in</w:t>
      </w:r>
      <w:r w:rsidR="00262A7A">
        <w:rPr>
          <w:bCs/>
          <w:sz w:val="24"/>
          <w:szCs w:val="24"/>
        </w:rPr>
        <w:t xml:space="preserve"> PL 2011, c. 380, part S</w:t>
      </w:r>
      <w:r w:rsidRPr="00242CF1">
        <w:rPr>
          <w:bCs/>
          <w:sz w:val="24"/>
          <w:szCs w:val="24"/>
        </w:rPr>
        <w:t xml:space="preserve">. </w:t>
      </w:r>
    </w:p>
    <w:p w:rsidR="00021A08" w:rsidRDefault="00021A08" w:rsidP="00A94219">
      <w:pPr>
        <w:rPr>
          <w:bCs/>
          <w:sz w:val="24"/>
          <w:szCs w:val="24"/>
        </w:rPr>
        <w:sectPr w:rsidR="00021A08" w:rsidSect="00BE4421">
          <w:pgSz w:w="12240" w:h="15840"/>
          <w:pgMar w:top="576" w:right="1440" w:bottom="547" w:left="1440" w:header="0" w:footer="0" w:gutter="0"/>
          <w:cols w:space="720"/>
        </w:sectPr>
      </w:pPr>
    </w:p>
    <w:p w:rsidR="00021A08" w:rsidRDefault="00A41E5D" w:rsidP="00A41E5D">
      <w:pPr>
        <w:numPr>
          <w:ilvl w:val="0"/>
          <w:numId w:val="2"/>
        </w:numPr>
        <w:rPr>
          <w:b/>
          <w:bCs/>
          <w:sz w:val="24"/>
          <w:szCs w:val="24"/>
        </w:rPr>
      </w:pPr>
      <w:r>
        <w:rPr>
          <w:b/>
          <w:bCs/>
          <w:sz w:val="24"/>
          <w:szCs w:val="24"/>
        </w:rPr>
        <w:t xml:space="preserve"> </w:t>
      </w:r>
      <w:r w:rsidR="00B83C35">
        <w:rPr>
          <w:b/>
          <w:bCs/>
          <w:sz w:val="24"/>
          <w:szCs w:val="24"/>
        </w:rPr>
        <w:t>EXPENDITURE</w:t>
      </w:r>
      <w:r w:rsidR="008C5F13">
        <w:rPr>
          <w:b/>
          <w:bCs/>
          <w:sz w:val="24"/>
          <w:szCs w:val="24"/>
        </w:rPr>
        <w:t xml:space="preserve"> FORECAST</w:t>
      </w:r>
      <w:r w:rsidR="00B83C35">
        <w:rPr>
          <w:b/>
          <w:bCs/>
          <w:sz w:val="24"/>
          <w:szCs w:val="24"/>
        </w:rPr>
        <w:t xml:space="preserve"> </w:t>
      </w:r>
      <w:r>
        <w:rPr>
          <w:b/>
          <w:bCs/>
          <w:sz w:val="24"/>
          <w:szCs w:val="24"/>
        </w:rPr>
        <w:t xml:space="preserve">CHARTS </w:t>
      </w:r>
      <w:r w:rsidR="00B83C35">
        <w:rPr>
          <w:b/>
          <w:bCs/>
          <w:sz w:val="24"/>
          <w:szCs w:val="24"/>
        </w:rPr>
        <w:t>FY 1</w:t>
      </w:r>
      <w:r w:rsidR="008A4D27">
        <w:rPr>
          <w:b/>
          <w:bCs/>
          <w:sz w:val="24"/>
          <w:szCs w:val="24"/>
        </w:rPr>
        <w:t>2</w:t>
      </w:r>
      <w:r w:rsidR="00B83C35">
        <w:rPr>
          <w:b/>
          <w:bCs/>
          <w:sz w:val="24"/>
          <w:szCs w:val="24"/>
        </w:rPr>
        <w:t>-1</w:t>
      </w:r>
      <w:r w:rsidR="008A4D27">
        <w:rPr>
          <w:b/>
          <w:bCs/>
          <w:sz w:val="24"/>
          <w:szCs w:val="24"/>
        </w:rPr>
        <w:t>5</w:t>
      </w:r>
    </w:p>
    <w:p w:rsidR="00B83C35" w:rsidRDefault="00B83C35" w:rsidP="00B83C35">
      <w:pPr>
        <w:rPr>
          <w:b/>
          <w:bCs/>
          <w:sz w:val="24"/>
          <w:szCs w:val="24"/>
        </w:rPr>
      </w:pPr>
    </w:p>
    <w:p w:rsidR="00AD30F4" w:rsidRPr="00B36DC4" w:rsidRDefault="00843DE8" w:rsidP="00B83C35">
      <w:pPr>
        <w:rPr>
          <w:b/>
          <w:bCs/>
          <w:sz w:val="24"/>
          <w:szCs w:val="24"/>
        </w:rPr>
      </w:pPr>
      <w:r w:rsidRPr="00843DE8">
        <w:rPr>
          <w:noProof/>
        </w:rPr>
        <w:drawing>
          <wp:inline distT="0" distB="0" distL="0" distR="0" wp14:anchorId="5D3BADC4" wp14:editId="55861184">
            <wp:extent cx="9345295" cy="5495653"/>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45295" cy="5495653"/>
                    </a:xfrm>
                    <a:prstGeom prst="rect">
                      <a:avLst/>
                    </a:prstGeom>
                    <a:noFill/>
                    <a:ln>
                      <a:noFill/>
                    </a:ln>
                  </pic:spPr>
                </pic:pic>
              </a:graphicData>
            </a:graphic>
          </wp:inline>
        </w:drawing>
      </w:r>
    </w:p>
    <w:p w:rsidR="00AD30F4" w:rsidRDefault="00AD30F4" w:rsidP="00B83C35">
      <w:pPr>
        <w:rPr>
          <w:b/>
          <w:bCs/>
          <w:sz w:val="24"/>
          <w:szCs w:val="24"/>
        </w:rPr>
      </w:pPr>
    </w:p>
    <w:p w:rsidR="00AD30F4" w:rsidRDefault="00AD30F4" w:rsidP="00B83C35">
      <w:pPr>
        <w:rPr>
          <w:b/>
          <w:bCs/>
          <w:sz w:val="24"/>
          <w:szCs w:val="24"/>
        </w:rPr>
      </w:pPr>
    </w:p>
    <w:p w:rsidR="00AD30F4" w:rsidRDefault="00AD30F4" w:rsidP="00B83C35">
      <w:pPr>
        <w:rPr>
          <w:b/>
          <w:bCs/>
          <w:sz w:val="24"/>
          <w:szCs w:val="24"/>
        </w:rPr>
      </w:pPr>
    </w:p>
    <w:p w:rsidR="00AD30F4" w:rsidRDefault="00AD30F4" w:rsidP="00B83C35">
      <w:pPr>
        <w:rPr>
          <w:b/>
          <w:bCs/>
          <w:sz w:val="24"/>
          <w:szCs w:val="24"/>
        </w:rPr>
        <w:sectPr w:rsidR="00AD30F4" w:rsidSect="00AD30F4">
          <w:pgSz w:w="15840" w:h="12240" w:orient="landscape"/>
          <w:pgMar w:top="720" w:right="576" w:bottom="1440" w:left="547" w:header="0" w:footer="0" w:gutter="0"/>
          <w:cols w:space="720"/>
        </w:sectPr>
      </w:pPr>
    </w:p>
    <w:p w:rsidR="00AD30F4" w:rsidRDefault="00AD30F4" w:rsidP="00B83C35">
      <w:pPr>
        <w:rPr>
          <w:b/>
          <w:bCs/>
          <w:sz w:val="24"/>
          <w:szCs w:val="24"/>
        </w:rPr>
      </w:pPr>
    </w:p>
    <w:p w:rsidR="00AD30F4" w:rsidRDefault="00AD30F4" w:rsidP="00B83C35">
      <w:pPr>
        <w:rPr>
          <w:b/>
          <w:bCs/>
          <w:sz w:val="24"/>
          <w:szCs w:val="24"/>
        </w:rPr>
      </w:pPr>
    </w:p>
    <w:p w:rsidR="00EC396B" w:rsidRPr="00BE4421" w:rsidRDefault="00EC396B" w:rsidP="00EC396B">
      <w:pPr>
        <w:jc w:val="center"/>
        <w:rPr>
          <w:b/>
          <w:bCs/>
          <w:sz w:val="52"/>
          <w:szCs w:val="52"/>
        </w:rPr>
      </w:pPr>
      <w:r w:rsidRPr="00BE4421">
        <w:rPr>
          <w:b/>
          <w:bCs/>
          <w:sz w:val="52"/>
          <w:szCs w:val="52"/>
        </w:rPr>
        <w:t>FY 1</w:t>
      </w:r>
      <w:r w:rsidR="0062552D">
        <w:rPr>
          <w:b/>
          <w:bCs/>
          <w:sz w:val="52"/>
          <w:szCs w:val="52"/>
        </w:rPr>
        <w:t>2</w:t>
      </w:r>
      <w:r w:rsidRPr="00BE4421">
        <w:rPr>
          <w:b/>
          <w:bCs/>
          <w:sz w:val="52"/>
          <w:szCs w:val="52"/>
        </w:rPr>
        <w:t xml:space="preserve"> – 1</w:t>
      </w:r>
      <w:r w:rsidR="0062552D">
        <w:rPr>
          <w:b/>
          <w:bCs/>
          <w:sz w:val="52"/>
          <w:szCs w:val="52"/>
        </w:rPr>
        <w:t>3</w:t>
      </w:r>
    </w:p>
    <w:p w:rsidR="00EC396B" w:rsidRPr="00BE4421" w:rsidRDefault="00EC396B" w:rsidP="00EC396B">
      <w:pPr>
        <w:jc w:val="center"/>
        <w:rPr>
          <w:b/>
          <w:bCs/>
          <w:sz w:val="52"/>
          <w:szCs w:val="52"/>
        </w:rPr>
      </w:pPr>
      <w:r>
        <w:rPr>
          <w:b/>
          <w:bCs/>
          <w:sz w:val="52"/>
          <w:szCs w:val="52"/>
        </w:rPr>
        <w:t>Total General Fund Appropriations</w:t>
      </w:r>
    </w:p>
    <w:p w:rsidR="00EC396B" w:rsidRDefault="00EC396B" w:rsidP="00EC396B">
      <w:pPr>
        <w:jc w:val="center"/>
        <w:rPr>
          <w:b/>
          <w:bCs/>
          <w:sz w:val="52"/>
          <w:szCs w:val="52"/>
        </w:rPr>
      </w:pPr>
      <w:r>
        <w:rPr>
          <w:b/>
          <w:bCs/>
          <w:sz w:val="52"/>
          <w:szCs w:val="52"/>
        </w:rPr>
        <w:t>$</w:t>
      </w:r>
      <w:r w:rsidR="0062552D">
        <w:rPr>
          <w:b/>
          <w:bCs/>
          <w:sz w:val="52"/>
          <w:szCs w:val="52"/>
        </w:rPr>
        <w:t>6,133.0</w:t>
      </w:r>
    </w:p>
    <w:p w:rsidR="00AD30F4" w:rsidRDefault="00EC396B" w:rsidP="00EC396B">
      <w:pPr>
        <w:jc w:val="center"/>
        <w:rPr>
          <w:b/>
          <w:bCs/>
          <w:sz w:val="28"/>
          <w:szCs w:val="28"/>
        </w:rPr>
      </w:pPr>
      <w:r w:rsidRPr="00BE4421">
        <w:rPr>
          <w:b/>
          <w:bCs/>
          <w:sz w:val="28"/>
          <w:szCs w:val="28"/>
        </w:rPr>
        <w:t>Dollars in Millions</w:t>
      </w:r>
    </w:p>
    <w:p w:rsidR="00EC396B" w:rsidRDefault="00EC396B" w:rsidP="00EC396B">
      <w:pPr>
        <w:jc w:val="center"/>
        <w:rPr>
          <w:b/>
          <w:bCs/>
          <w:sz w:val="28"/>
          <w:szCs w:val="28"/>
        </w:rPr>
      </w:pPr>
    </w:p>
    <w:p w:rsidR="00EC396B" w:rsidRDefault="00EC396B" w:rsidP="00EC396B">
      <w:pPr>
        <w:rPr>
          <w:b/>
          <w:bCs/>
          <w:sz w:val="24"/>
          <w:szCs w:val="24"/>
        </w:rPr>
      </w:pPr>
    </w:p>
    <w:p w:rsidR="004F5FD0" w:rsidRDefault="004F5FD0" w:rsidP="00B83C35">
      <w:pPr>
        <w:rPr>
          <w:bCs/>
          <w:sz w:val="24"/>
          <w:szCs w:val="24"/>
        </w:rPr>
      </w:pPr>
    </w:p>
    <w:p w:rsidR="004F5FD0" w:rsidRDefault="004F5FD0" w:rsidP="00B83C35">
      <w:pPr>
        <w:rPr>
          <w:bCs/>
          <w:sz w:val="24"/>
          <w:szCs w:val="24"/>
        </w:rPr>
      </w:pPr>
    </w:p>
    <w:p w:rsidR="004F5FD0" w:rsidRPr="00BE4421" w:rsidRDefault="00A018B0" w:rsidP="004F5FD0">
      <w:pPr>
        <w:jc w:val="center"/>
        <w:rPr>
          <w:b/>
          <w:bCs/>
          <w:sz w:val="52"/>
          <w:szCs w:val="52"/>
        </w:rPr>
      </w:pPr>
      <w:r>
        <w:rPr>
          <w:noProof/>
        </w:rPr>
        <mc:AlternateContent>
          <mc:Choice Requires="wps">
            <w:drawing>
              <wp:anchor distT="0" distB="0" distL="114300" distR="114300" simplePos="0" relativeHeight="251755520" behindDoc="0" locked="0" layoutInCell="1" allowOverlap="1" wp14:anchorId="4B98B45E" wp14:editId="3C4C5A35">
                <wp:simplePos x="0" y="0"/>
                <wp:positionH relativeFrom="column">
                  <wp:posOffset>1663368</wp:posOffset>
                </wp:positionH>
                <wp:positionV relativeFrom="paragraph">
                  <wp:posOffset>3452082</wp:posOffset>
                </wp:positionV>
                <wp:extent cx="1725295" cy="2139950"/>
                <wp:effectExtent l="57150" t="228600" r="141605" b="245110"/>
                <wp:wrapNone/>
                <wp:docPr id="20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86797">
                          <a:off x="0" y="0"/>
                          <a:ext cx="1725295" cy="21399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94E91" w:rsidRDefault="00394E91" w:rsidP="00A018B0">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Total Remainder of State Gov’t $1,275.3</w:t>
                            </w:r>
                          </w:p>
                          <w:p w:rsidR="00394E91" w:rsidRDefault="00394E91" w:rsidP="00A018B0">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 xml:space="preserve">    20.8%</w:t>
                            </w:r>
                          </w:p>
                        </w:txbxContent>
                      </wps:txbx>
                      <wps:bodyPr>
                        <a:sp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30.95pt;margin-top:271.8pt;width:135.85pt;height:168.5pt;rotation:1405525fd;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" filled="f" fillcolor="#4f81bd [3204]" stroked="f" strokecolor="black [3213]">
                <v:shadow color="#eeece1 [3214]"/>
                <v:textbox style="mso-fit-shape-to-text:t">
                  <w:txbxContent>
                    <w:p w:rsidR="00394E91" w:rsidRDefault="00394E91" w:rsidP="00A018B0">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Total Remainder of State Gov’t $1,275.3</w:t>
                      </w:r>
                    </w:p>
                    <w:p w:rsidR="00394E91" w:rsidRDefault="00394E91" w:rsidP="00A018B0">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 xml:space="preserve">    20.8%</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085F320E" wp14:editId="470FE6E7">
                <wp:simplePos x="0" y="0"/>
                <wp:positionH relativeFrom="column">
                  <wp:posOffset>3125827</wp:posOffset>
                </wp:positionH>
                <wp:positionV relativeFrom="paragraph">
                  <wp:posOffset>2482518</wp:posOffset>
                </wp:positionV>
                <wp:extent cx="1676400" cy="1651000"/>
                <wp:effectExtent l="19050" t="361950" r="0" b="369570"/>
                <wp:wrapNone/>
                <wp:docPr id="50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71831">
                          <a:off x="0" y="0"/>
                          <a:ext cx="1676400" cy="1651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94E91" w:rsidRDefault="00394E91" w:rsidP="00A018B0">
                            <w:pPr>
                              <w:pStyle w:val="NormalWeb"/>
                              <w:spacing w:before="0" w:beforeAutospacing="0" w:after="0" w:afterAutospacing="0"/>
                              <w:jc w:val="center"/>
                              <w:textAlignment w:val="baseline"/>
                            </w:pPr>
                            <w:r>
                              <w:rPr>
                                <w:rFonts w:ascii="Arial" w:hAnsi="Arial" w:cstheme="minorBidi"/>
                                <w:color w:val="000000" w:themeColor="text1"/>
                                <w:kern w:val="24"/>
                                <w:sz w:val="32"/>
                                <w:szCs w:val="32"/>
                              </w:rPr>
                              <w:t>Total</w:t>
                            </w:r>
                            <w:r>
                              <w:rPr>
                                <w:rFonts w:ascii="Arial" w:hAnsi="Arial" w:cstheme="minorBidi"/>
                                <w:b/>
                                <w:bCs/>
                                <w:color w:val="000000" w:themeColor="text1"/>
                                <w:kern w:val="24"/>
                                <w:sz w:val="32"/>
                                <w:szCs w:val="32"/>
                              </w:rPr>
                              <w:t xml:space="preserve"> DHHS</w:t>
                            </w:r>
                          </w:p>
                          <w:p w:rsidR="00394E91" w:rsidRDefault="00394E91" w:rsidP="00A018B0">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 xml:space="preserve"> $2,075.5</w:t>
                            </w:r>
                          </w:p>
                          <w:p w:rsidR="00394E91" w:rsidRDefault="00394E91" w:rsidP="00A018B0">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 xml:space="preserve">    33.8%</w:t>
                            </w:r>
                          </w:p>
                        </w:txbxContent>
                      </wps:txbx>
                      <wps:bodyPr>
                        <a:spAutoFit/>
                      </wps:bodyPr>
                    </wps:wsp>
                  </a:graphicData>
                </a:graphic>
              </wp:anchor>
            </w:drawing>
          </mc:Choice>
          <mc:Fallback>
            <w:pict>
              <v:shape id="Text Box 10" o:spid="_x0000_s1027" type="#_x0000_t202" style="position:absolute;left:0;text-align:left;margin-left:246.15pt;margin-top:195.45pt;width:132pt;height:130pt;rotation:-2324528fd;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" filled="f" fillcolor="#4f81bd [3204]" stroked="f" strokecolor="black [3213]">
                <v:shadow color="#eeece1 [3214]"/>
                <v:textbox style="mso-fit-shape-to-text:t">
                  <w:txbxContent>
                    <w:p w:rsidR="00394E91" w:rsidRDefault="00394E91" w:rsidP="00A018B0">
                      <w:pPr>
                        <w:pStyle w:val="NormalWeb"/>
                        <w:spacing w:before="0" w:beforeAutospacing="0" w:after="0" w:afterAutospacing="0"/>
                        <w:jc w:val="center"/>
                        <w:textAlignment w:val="baseline"/>
                      </w:pPr>
                      <w:r>
                        <w:rPr>
                          <w:rFonts w:ascii="Arial" w:hAnsi="Arial" w:cstheme="minorBidi"/>
                          <w:color w:val="000000" w:themeColor="text1"/>
                          <w:kern w:val="24"/>
                          <w:sz w:val="32"/>
                          <w:szCs w:val="32"/>
                        </w:rPr>
                        <w:t>Total</w:t>
                      </w:r>
                      <w:r>
                        <w:rPr>
                          <w:rFonts w:ascii="Arial" w:hAnsi="Arial" w:cstheme="minorBidi"/>
                          <w:b/>
                          <w:bCs/>
                          <w:color w:val="000000" w:themeColor="text1"/>
                          <w:kern w:val="24"/>
                          <w:sz w:val="32"/>
                          <w:szCs w:val="32"/>
                        </w:rPr>
                        <w:t xml:space="preserve"> DHHS</w:t>
                      </w:r>
                    </w:p>
                    <w:p w:rsidR="00394E91" w:rsidRDefault="00394E91" w:rsidP="00A018B0">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 xml:space="preserve"> $2,075.5</w:t>
                      </w:r>
                    </w:p>
                    <w:p w:rsidR="00394E91" w:rsidRDefault="00394E91" w:rsidP="00A018B0">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 xml:space="preserve">    33.8%</w:t>
                      </w:r>
                    </w:p>
                  </w:txbxContent>
                </v:textbox>
              </v:shape>
            </w:pict>
          </mc:Fallback>
        </mc:AlternateContent>
      </w:r>
      <w:r>
        <w:rPr>
          <w:noProof/>
        </w:rPr>
        <mc:AlternateContent>
          <mc:Choice Requires="wps">
            <w:drawing>
              <wp:anchor distT="0" distB="0" distL="114300" distR="114300" simplePos="0" relativeHeight="251751424" behindDoc="0" locked="0" layoutInCell="1" allowOverlap="1" wp14:anchorId="4C33F586" wp14:editId="005EF2AB">
                <wp:simplePos x="0" y="0"/>
                <wp:positionH relativeFrom="column">
                  <wp:posOffset>1193165</wp:posOffset>
                </wp:positionH>
                <wp:positionV relativeFrom="paragraph">
                  <wp:posOffset>1846580</wp:posOffset>
                </wp:positionV>
                <wp:extent cx="1920875" cy="825500"/>
                <wp:effectExtent l="19050" t="381000" r="3175" b="388620"/>
                <wp:wrapNone/>
                <wp:docPr id="50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87708">
                          <a:off x="0" y="0"/>
                          <a:ext cx="1920875" cy="8255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94E91" w:rsidRDefault="00394E91" w:rsidP="00A018B0">
                            <w:pPr>
                              <w:pStyle w:val="NormalWeb"/>
                              <w:spacing w:before="0" w:beforeAutospacing="0" w:after="0" w:afterAutospacing="0"/>
                              <w:textAlignment w:val="baseline"/>
                            </w:pPr>
                            <w:r>
                              <w:rPr>
                                <w:rFonts w:ascii="Arial" w:hAnsi="Arial" w:cstheme="minorBidi"/>
                                <w:b/>
                                <w:bCs/>
                                <w:color w:val="000000" w:themeColor="text1"/>
                                <w:kern w:val="24"/>
                                <w:sz w:val="32"/>
                                <w:szCs w:val="32"/>
                              </w:rPr>
                              <w:t>Total Education</w:t>
                            </w:r>
                          </w:p>
                          <w:p w:rsidR="00394E91" w:rsidRDefault="00394E91" w:rsidP="00A018B0">
                            <w:pPr>
                              <w:pStyle w:val="NormalWeb"/>
                              <w:spacing w:before="0" w:beforeAutospacing="0" w:after="0" w:afterAutospacing="0"/>
                              <w:textAlignment w:val="baseline"/>
                            </w:pPr>
                            <w:r>
                              <w:rPr>
                                <w:rFonts w:ascii="Arial" w:hAnsi="Arial" w:cstheme="minorBidi"/>
                                <w:b/>
                                <w:bCs/>
                                <w:color w:val="000000" w:themeColor="text1"/>
                                <w:kern w:val="24"/>
                                <w:sz w:val="32"/>
                                <w:szCs w:val="32"/>
                              </w:rPr>
                              <w:t xml:space="preserve">      $2,782.2</w:t>
                            </w:r>
                          </w:p>
                          <w:p w:rsidR="00394E91" w:rsidRDefault="00394E91" w:rsidP="00A018B0">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45.4%</w:t>
                            </w:r>
                          </w:p>
                        </w:txbxContent>
                      </wps:txbx>
                      <wps:bodyPr>
                        <a:spAutoFit/>
                      </wps:bodyPr>
                    </wps:wsp>
                  </a:graphicData>
                </a:graphic>
              </wp:anchor>
            </w:drawing>
          </mc:Choice>
          <mc:Fallback>
            <w:pict>
              <v:shape id="Text Box 9" o:spid="_x0000_s1028" type="#_x0000_t202" style="position:absolute;left:0;text-align:left;margin-left:93.95pt;margin-top:145.4pt;width:151.25pt;height:65pt;rotation:-1979506fd;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" filled="f" fillcolor="#4f81bd [3204]" stroked="f" strokecolor="black [3213]">
                <v:shadow color="#eeece1 [3214]"/>
                <v:textbox style="mso-fit-shape-to-text:t">
                  <w:txbxContent>
                    <w:p w:rsidR="00394E91" w:rsidRDefault="00394E91" w:rsidP="00A018B0">
                      <w:pPr>
                        <w:pStyle w:val="NormalWeb"/>
                        <w:spacing w:before="0" w:beforeAutospacing="0" w:after="0" w:afterAutospacing="0"/>
                        <w:textAlignment w:val="baseline"/>
                      </w:pPr>
                      <w:r>
                        <w:rPr>
                          <w:rFonts w:ascii="Arial" w:hAnsi="Arial" w:cstheme="minorBidi"/>
                          <w:b/>
                          <w:bCs/>
                          <w:color w:val="000000" w:themeColor="text1"/>
                          <w:kern w:val="24"/>
                          <w:sz w:val="32"/>
                          <w:szCs w:val="32"/>
                        </w:rPr>
                        <w:t>Total Education</w:t>
                      </w:r>
                    </w:p>
                    <w:p w:rsidR="00394E91" w:rsidRDefault="00394E91" w:rsidP="00A018B0">
                      <w:pPr>
                        <w:pStyle w:val="NormalWeb"/>
                        <w:spacing w:before="0" w:beforeAutospacing="0" w:after="0" w:afterAutospacing="0"/>
                        <w:textAlignment w:val="baseline"/>
                      </w:pPr>
                      <w:r>
                        <w:rPr>
                          <w:rFonts w:ascii="Arial" w:hAnsi="Arial" w:cstheme="minorBidi"/>
                          <w:b/>
                          <w:bCs/>
                          <w:color w:val="000000" w:themeColor="text1"/>
                          <w:kern w:val="24"/>
                          <w:sz w:val="32"/>
                          <w:szCs w:val="32"/>
                        </w:rPr>
                        <w:t xml:space="preserve">      $2,782.2</w:t>
                      </w:r>
                    </w:p>
                    <w:p w:rsidR="00394E91" w:rsidRDefault="00394E91" w:rsidP="00A018B0">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45.4%</w:t>
                      </w:r>
                    </w:p>
                  </w:txbxContent>
                </v:textbox>
              </v:shape>
            </w:pict>
          </mc:Fallback>
        </mc:AlternateContent>
      </w:r>
      <w:r w:rsidRPr="00A018B0">
        <w:rPr>
          <w:noProof/>
        </w:rPr>
        <w:drawing>
          <wp:anchor distT="0" distB="0" distL="114300" distR="114300" simplePos="0" relativeHeight="251749376" behindDoc="0" locked="0" layoutInCell="1" allowOverlap="1">
            <wp:simplePos x="0" y="0"/>
            <wp:positionH relativeFrom="column">
              <wp:posOffset>152400</wp:posOffset>
            </wp:positionH>
            <wp:positionV relativeFrom="paragraph">
              <wp:posOffset>152400</wp:posOffset>
            </wp:positionV>
            <wp:extent cx="5942965" cy="5949950"/>
            <wp:effectExtent l="0" t="0" r="0" b="0"/>
            <wp:wrapNone/>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42965" cy="594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5FD0">
        <w:rPr>
          <w:bCs/>
          <w:sz w:val="24"/>
          <w:szCs w:val="24"/>
        </w:rPr>
        <w:br w:type="page"/>
      </w:r>
      <w:r w:rsidR="004F5FD0">
        <w:rPr>
          <w:b/>
          <w:bCs/>
          <w:sz w:val="52"/>
          <w:szCs w:val="52"/>
        </w:rPr>
        <w:t>FY 1</w:t>
      </w:r>
      <w:r w:rsidR="00CA16B9">
        <w:rPr>
          <w:b/>
          <w:bCs/>
          <w:sz w:val="52"/>
          <w:szCs w:val="52"/>
        </w:rPr>
        <w:t>4</w:t>
      </w:r>
      <w:r w:rsidR="004F5FD0">
        <w:rPr>
          <w:b/>
          <w:bCs/>
          <w:sz w:val="52"/>
          <w:szCs w:val="52"/>
        </w:rPr>
        <w:t xml:space="preserve"> – 1</w:t>
      </w:r>
      <w:r w:rsidR="00CA16B9">
        <w:rPr>
          <w:b/>
          <w:bCs/>
          <w:sz w:val="52"/>
          <w:szCs w:val="52"/>
        </w:rPr>
        <w:t>5</w:t>
      </w:r>
    </w:p>
    <w:p w:rsidR="004F5FD0" w:rsidRPr="00BE4421" w:rsidRDefault="004F5FD0" w:rsidP="004F5FD0">
      <w:pPr>
        <w:jc w:val="center"/>
        <w:rPr>
          <w:b/>
          <w:bCs/>
          <w:sz w:val="52"/>
          <w:szCs w:val="52"/>
        </w:rPr>
      </w:pPr>
      <w:r>
        <w:rPr>
          <w:b/>
          <w:bCs/>
          <w:sz w:val="52"/>
          <w:szCs w:val="52"/>
        </w:rPr>
        <w:t>General Fund Projected Appropriations</w:t>
      </w:r>
    </w:p>
    <w:p w:rsidR="004F5FD0" w:rsidRPr="00BE4421" w:rsidRDefault="004F5FD0" w:rsidP="004F5FD0">
      <w:pPr>
        <w:jc w:val="center"/>
        <w:rPr>
          <w:b/>
          <w:bCs/>
          <w:sz w:val="52"/>
          <w:szCs w:val="52"/>
        </w:rPr>
      </w:pPr>
      <w:r>
        <w:rPr>
          <w:b/>
          <w:bCs/>
          <w:sz w:val="52"/>
          <w:szCs w:val="52"/>
        </w:rPr>
        <w:t>$</w:t>
      </w:r>
      <w:r w:rsidR="00CA16B9">
        <w:rPr>
          <w:b/>
          <w:bCs/>
          <w:sz w:val="52"/>
          <w:szCs w:val="52"/>
        </w:rPr>
        <w:t>6,8</w:t>
      </w:r>
      <w:r w:rsidR="00E34411">
        <w:rPr>
          <w:b/>
          <w:bCs/>
          <w:sz w:val="52"/>
          <w:szCs w:val="52"/>
        </w:rPr>
        <w:t>0</w:t>
      </w:r>
      <w:r w:rsidR="00E80C27">
        <w:rPr>
          <w:b/>
          <w:bCs/>
          <w:sz w:val="52"/>
          <w:szCs w:val="52"/>
        </w:rPr>
        <w:t>7</w:t>
      </w:r>
      <w:r w:rsidR="00E34411">
        <w:rPr>
          <w:b/>
          <w:bCs/>
          <w:sz w:val="52"/>
          <w:szCs w:val="52"/>
        </w:rPr>
        <w:t>.</w:t>
      </w:r>
      <w:r w:rsidR="00E80C27">
        <w:rPr>
          <w:b/>
          <w:bCs/>
          <w:sz w:val="52"/>
          <w:szCs w:val="52"/>
        </w:rPr>
        <w:t>0</w:t>
      </w:r>
    </w:p>
    <w:p w:rsidR="004F5FD0" w:rsidRDefault="004F5FD0" w:rsidP="004F5FD0">
      <w:pPr>
        <w:jc w:val="center"/>
        <w:rPr>
          <w:b/>
          <w:bCs/>
          <w:sz w:val="28"/>
          <w:szCs w:val="28"/>
        </w:rPr>
      </w:pPr>
      <w:r w:rsidRPr="00BE4421">
        <w:rPr>
          <w:b/>
          <w:bCs/>
          <w:sz w:val="28"/>
          <w:szCs w:val="28"/>
        </w:rPr>
        <w:t>Dollars in Millions</w:t>
      </w:r>
    </w:p>
    <w:p w:rsidR="004F5FD0" w:rsidRDefault="004F5FD0" w:rsidP="00B83C35">
      <w:pPr>
        <w:rPr>
          <w:bCs/>
          <w:sz w:val="24"/>
          <w:szCs w:val="24"/>
        </w:rPr>
      </w:pPr>
    </w:p>
    <w:p w:rsidR="004F5FD0" w:rsidRDefault="004F5FD0" w:rsidP="00B83C35">
      <w:pPr>
        <w:rPr>
          <w:bCs/>
          <w:sz w:val="24"/>
          <w:szCs w:val="24"/>
        </w:rPr>
      </w:pPr>
    </w:p>
    <w:p w:rsidR="005F1C4E" w:rsidRDefault="00843DE8" w:rsidP="005F1C4E">
      <w:pPr>
        <w:rPr>
          <w:b/>
          <w:bCs/>
          <w:sz w:val="24"/>
          <w:szCs w:val="24"/>
        </w:rPr>
      </w:pPr>
      <w:r>
        <w:rPr>
          <w:noProof/>
        </w:rPr>
        <mc:AlternateContent>
          <mc:Choice Requires="wps">
            <w:drawing>
              <wp:anchor distT="0" distB="0" distL="114300" distR="114300" simplePos="0" relativeHeight="251763712" behindDoc="0" locked="0" layoutInCell="1" allowOverlap="1" wp14:anchorId="690B9C86" wp14:editId="7D80AA40">
                <wp:simplePos x="0" y="0"/>
                <wp:positionH relativeFrom="column">
                  <wp:posOffset>1549108</wp:posOffset>
                </wp:positionH>
                <wp:positionV relativeFrom="paragraph">
                  <wp:posOffset>3538662</wp:posOffset>
                </wp:positionV>
                <wp:extent cx="1725295" cy="2139950"/>
                <wp:effectExtent l="57150" t="228600" r="141605" b="245110"/>
                <wp:wrapNone/>
                <wp:docPr id="20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86797">
                          <a:off x="0" y="0"/>
                          <a:ext cx="1725295" cy="21399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43DE8" w:rsidRDefault="00843DE8" w:rsidP="00843DE8">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Total Remainder of State Gov’t $1,326.0</w:t>
                            </w:r>
                          </w:p>
                          <w:p w:rsidR="00843DE8" w:rsidRDefault="00843DE8" w:rsidP="00843DE8">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 xml:space="preserve">    19.5%</w:t>
                            </w:r>
                          </w:p>
                        </w:txbxContent>
                      </wps:txbx>
                      <wps:bodyPr>
                        <a:spAutoFit/>
                      </wps:bodyPr>
                    </wps:wsp>
                  </a:graphicData>
                </a:graphic>
              </wp:anchor>
            </w:drawing>
          </mc:Choice>
          <mc:Fallback>
            <w:pict>
              <v:shape id="_x0000_s1029" type="#_x0000_t202" style="position:absolute;margin-left:122pt;margin-top:278.65pt;width:135.85pt;height:168.5pt;rotation:1405525fd;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" filled="f" fillcolor="#4f81bd [3204]" stroked="f" strokecolor="black [3213]">
                <v:shadow color="#eeece1 [3214]"/>
                <v:textbox style="mso-fit-shape-to-text:t">
                  <w:txbxContent>
                    <w:p w:rsidR="00843DE8" w:rsidRDefault="00843DE8" w:rsidP="00843DE8">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Total Remainder of State Gov’t $1,326.0</w:t>
                      </w:r>
                    </w:p>
                    <w:p w:rsidR="00843DE8" w:rsidRDefault="00843DE8" w:rsidP="00843DE8">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 xml:space="preserve">    19.5%</w:t>
                      </w:r>
                    </w:p>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40F0CA21" wp14:editId="70872BE0">
                <wp:simplePos x="0" y="0"/>
                <wp:positionH relativeFrom="column">
                  <wp:posOffset>3131267</wp:posOffset>
                </wp:positionH>
                <wp:positionV relativeFrom="paragraph">
                  <wp:posOffset>3005786</wp:posOffset>
                </wp:positionV>
                <wp:extent cx="1676400" cy="1651000"/>
                <wp:effectExtent l="19050" t="361950" r="0" b="369570"/>
                <wp:wrapNone/>
                <wp:docPr id="205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71831">
                          <a:off x="0" y="0"/>
                          <a:ext cx="1676400" cy="1651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43DE8" w:rsidRDefault="00843DE8" w:rsidP="00843DE8">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Total DHHS</w:t>
                            </w:r>
                          </w:p>
                          <w:p w:rsidR="00843DE8" w:rsidRDefault="00843DE8" w:rsidP="00843DE8">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 xml:space="preserve"> $2,337.9</w:t>
                            </w:r>
                          </w:p>
                          <w:p w:rsidR="00843DE8" w:rsidRDefault="00843DE8" w:rsidP="00843DE8">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 xml:space="preserve">    34.3%</w:t>
                            </w:r>
                          </w:p>
                        </w:txbxContent>
                      </wps:txbx>
                      <wps:bodyPr>
                        <a:spAutoFit/>
                      </wps:bodyPr>
                    </wps:wsp>
                  </a:graphicData>
                </a:graphic>
              </wp:anchor>
            </w:drawing>
          </mc:Choice>
          <mc:Fallback>
            <w:pict>
              <v:shape id="_x0000_s1030" type="#_x0000_t202" style="position:absolute;margin-left:246.55pt;margin-top:236.7pt;width:132pt;height:130pt;rotation:-2324528fd;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" filled="f" fillcolor="#4f81bd [3204]" stroked="f" strokecolor="black [3213]">
                <v:shadow color="#eeece1 [3214]"/>
                <v:textbox style="mso-fit-shape-to-text:t">
                  <w:txbxContent>
                    <w:p w:rsidR="00843DE8" w:rsidRDefault="00843DE8" w:rsidP="00843DE8">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Total DHHS</w:t>
                      </w:r>
                    </w:p>
                    <w:p w:rsidR="00843DE8" w:rsidRDefault="00843DE8" w:rsidP="00843DE8">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 xml:space="preserve"> $2</w:t>
                      </w:r>
                      <w:r>
                        <w:rPr>
                          <w:rFonts w:ascii="Arial" w:hAnsi="Arial" w:cstheme="minorBidi"/>
                          <w:b/>
                          <w:bCs/>
                          <w:color w:val="000000" w:themeColor="text1"/>
                          <w:kern w:val="24"/>
                          <w:sz w:val="32"/>
                          <w:szCs w:val="32"/>
                        </w:rPr>
                        <w:t>,</w:t>
                      </w:r>
                      <w:r>
                        <w:rPr>
                          <w:rFonts w:ascii="Arial" w:hAnsi="Arial" w:cstheme="minorBidi"/>
                          <w:b/>
                          <w:bCs/>
                          <w:color w:val="000000" w:themeColor="text1"/>
                          <w:kern w:val="24"/>
                          <w:sz w:val="32"/>
                          <w:szCs w:val="32"/>
                        </w:rPr>
                        <w:t>337.9</w:t>
                      </w:r>
                    </w:p>
                    <w:p w:rsidR="00843DE8" w:rsidRDefault="00843DE8" w:rsidP="00843DE8">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 xml:space="preserve">    34.3%</w:t>
                      </w:r>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329CCD25" wp14:editId="4476D2E4">
                <wp:simplePos x="0" y="0"/>
                <wp:positionH relativeFrom="column">
                  <wp:posOffset>1447800</wp:posOffset>
                </wp:positionH>
                <wp:positionV relativeFrom="paragraph">
                  <wp:posOffset>1979930</wp:posOffset>
                </wp:positionV>
                <wp:extent cx="1920875" cy="825500"/>
                <wp:effectExtent l="19050" t="381000" r="3175" b="388620"/>
                <wp:wrapNone/>
                <wp:docPr id="205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87708">
                          <a:off x="0" y="0"/>
                          <a:ext cx="1920875" cy="8255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43DE8" w:rsidRDefault="00843DE8" w:rsidP="00843DE8">
                            <w:pPr>
                              <w:pStyle w:val="NormalWeb"/>
                              <w:spacing w:before="0" w:beforeAutospacing="0" w:after="0" w:afterAutospacing="0"/>
                              <w:textAlignment w:val="baseline"/>
                            </w:pPr>
                            <w:r>
                              <w:rPr>
                                <w:rFonts w:ascii="Arial" w:hAnsi="Arial" w:cstheme="minorBidi"/>
                                <w:b/>
                                <w:bCs/>
                                <w:color w:val="000000" w:themeColor="text1"/>
                                <w:kern w:val="24"/>
                                <w:sz w:val="32"/>
                                <w:szCs w:val="32"/>
                              </w:rPr>
                              <w:t>Total Education</w:t>
                            </w:r>
                          </w:p>
                          <w:p w:rsidR="00843DE8" w:rsidRDefault="00843DE8" w:rsidP="00843DE8">
                            <w:pPr>
                              <w:pStyle w:val="NormalWeb"/>
                              <w:spacing w:before="0" w:beforeAutospacing="0" w:after="0" w:afterAutospacing="0"/>
                              <w:textAlignment w:val="baseline"/>
                            </w:pPr>
                            <w:r>
                              <w:rPr>
                                <w:rFonts w:ascii="Arial" w:hAnsi="Arial" w:cstheme="minorBidi"/>
                                <w:b/>
                                <w:bCs/>
                                <w:color w:val="000000" w:themeColor="text1"/>
                                <w:kern w:val="24"/>
                                <w:sz w:val="32"/>
                                <w:szCs w:val="32"/>
                              </w:rPr>
                              <w:t xml:space="preserve">      $3,143.1</w:t>
                            </w:r>
                          </w:p>
                          <w:p w:rsidR="00843DE8" w:rsidRDefault="00843DE8" w:rsidP="00843DE8">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46.2%</w:t>
                            </w:r>
                          </w:p>
                        </w:txbxContent>
                      </wps:txbx>
                      <wps:bodyPr>
                        <a:spAutoFit/>
                      </wps:bodyPr>
                    </wps:wsp>
                  </a:graphicData>
                </a:graphic>
              </wp:anchor>
            </w:drawing>
          </mc:Choice>
          <mc:Fallback>
            <w:pict>
              <v:shape id="_x0000_s1031" type="#_x0000_t202" style="position:absolute;margin-left:114pt;margin-top:155.9pt;width:151.25pt;height:65pt;rotation:-1979506fd;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" filled="f" fillcolor="#4f81bd [3204]" stroked="f" strokecolor="black [3213]">
                <v:shadow color="#eeece1 [3214]"/>
                <v:textbox style="mso-fit-shape-to-text:t">
                  <w:txbxContent>
                    <w:p w:rsidR="00843DE8" w:rsidRDefault="00843DE8" w:rsidP="00843DE8">
                      <w:pPr>
                        <w:pStyle w:val="NormalWeb"/>
                        <w:spacing w:before="0" w:beforeAutospacing="0" w:after="0" w:afterAutospacing="0"/>
                        <w:textAlignment w:val="baseline"/>
                      </w:pPr>
                      <w:r>
                        <w:rPr>
                          <w:rFonts w:ascii="Arial" w:hAnsi="Arial" w:cstheme="minorBidi"/>
                          <w:b/>
                          <w:bCs/>
                          <w:color w:val="000000" w:themeColor="text1"/>
                          <w:kern w:val="24"/>
                          <w:sz w:val="32"/>
                          <w:szCs w:val="32"/>
                        </w:rPr>
                        <w:t>Total Education</w:t>
                      </w:r>
                    </w:p>
                    <w:p w:rsidR="00843DE8" w:rsidRDefault="00843DE8" w:rsidP="00843DE8">
                      <w:pPr>
                        <w:pStyle w:val="NormalWeb"/>
                        <w:spacing w:before="0" w:beforeAutospacing="0" w:after="0" w:afterAutospacing="0"/>
                        <w:textAlignment w:val="baseline"/>
                      </w:pPr>
                      <w:r>
                        <w:rPr>
                          <w:rFonts w:ascii="Arial" w:hAnsi="Arial" w:cstheme="minorBidi"/>
                          <w:b/>
                          <w:bCs/>
                          <w:color w:val="000000" w:themeColor="text1"/>
                          <w:kern w:val="24"/>
                          <w:sz w:val="32"/>
                          <w:szCs w:val="32"/>
                        </w:rPr>
                        <w:t xml:space="preserve">      $3,143.1</w:t>
                      </w:r>
                    </w:p>
                    <w:p w:rsidR="00843DE8" w:rsidRDefault="00843DE8" w:rsidP="00843DE8">
                      <w:pPr>
                        <w:pStyle w:val="NormalWeb"/>
                        <w:spacing w:before="0" w:beforeAutospacing="0" w:after="0" w:afterAutospacing="0"/>
                        <w:jc w:val="center"/>
                        <w:textAlignment w:val="baseline"/>
                      </w:pPr>
                      <w:r>
                        <w:rPr>
                          <w:rFonts w:ascii="Arial" w:hAnsi="Arial" w:cstheme="minorBidi"/>
                          <w:b/>
                          <w:bCs/>
                          <w:color w:val="000000" w:themeColor="text1"/>
                          <w:kern w:val="24"/>
                          <w:sz w:val="32"/>
                          <w:szCs w:val="32"/>
                        </w:rPr>
                        <w:t>46.2%</w:t>
                      </w:r>
                    </w:p>
                  </w:txbxContent>
                </v:textbox>
              </v:shape>
            </w:pict>
          </mc:Fallback>
        </mc:AlternateContent>
      </w:r>
      <w:r w:rsidRPr="00843DE8">
        <w:rPr>
          <w:noProof/>
        </w:rPr>
        <w:drawing>
          <wp:anchor distT="0" distB="0" distL="114300" distR="114300" simplePos="0" relativeHeight="251757568" behindDoc="0" locked="0" layoutInCell="1" allowOverlap="1">
            <wp:simplePos x="0" y="0"/>
            <wp:positionH relativeFrom="column">
              <wp:posOffset>152400</wp:posOffset>
            </wp:positionH>
            <wp:positionV relativeFrom="paragraph">
              <wp:posOffset>152400</wp:posOffset>
            </wp:positionV>
            <wp:extent cx="5938520" cy="60934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38520" cy="6093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F1C4E">
        <w:rPr>
          <w:bCs/>
          <w:sz w:val="24"/>
          <w:szCs w:val="24"/>
        </w:rPr>
        <w:br w:type="page"/>
      </w:r>
      <w:r w:rsidR="005F1C4E">
        <w:rPr>
          <w:b/>
          <w:bCs/>
          <w:sz w:val="24"/>
          <w:szCs w:val="24"/>
        </w:rPr>
        <w:t>E</w:t>
      </w:r>
      <w:r w:rsidR="005F1C4E" w:rsidRPr="00C94440">
        <w:rPr>
          <w:b/>
          <w:bCs/>
          <w:sz w:val="24"/>
          <w:szCs w:val="24"/>
        </w:rPr>
        <w:t xml:space="preserve">.  </w:t>
      </w:r>
      <w:r w:rsidR="005F1C4E">
        <w:rPr>
          <w:b/>
          <w:bCs/>
          <w:sz w:val="24"/>
          <w:szCs w:val="24"/>
        </w:rPr>
        <w:t>GENERAL FUND EXPENDITURE FORECAST NARRATIVE</w:t>
      </w:r>
    </w:p>
    <w:p w:rsidR="005F1C4E" w:rsidRDefault="005F1C4E" w:rsidP="00B83C35">
      <w:pPr>
        <w:rPr>
          <w:bCs/>
          <w:sz w:val="24"/>
          <w:szCs w:val="24"/>
        </w:rPr>
      </w:pPr>
    </w:p>
    <w:p w:rsidR="005F1C4E" w:rsidRDefault="005F1C4E" w:rsidP="00B83C35">
      <w:pPr>
        <w:rPr>
          <w:bCs/>
          <w:sz w:val="24"/>
          <w:szCs w:val="24"/>
        </w:rPr>
      </w:pPr>
    </w:p>
    <w:p w:rsidR="00EB0BE5" w:rsidRDefault="00EB0BE5" w:rsidP="00EB0BE5">
      <w:pPr>
        <w:jc w:val="center"/>
        <w:rPr>
          <w:b/>
          <w:bCs/>
          <w:sz w:val="24"/>
          <w:szCs w:val="24"/>
        </w:rPr>
      </w:pPr>
      <w:r>
        <w:rPr>
          <w:b/>
          <w:bCs/>
          <w:sz w:val="24"/>
          <w:szCs w:val="24"/>
        </w:rPr>
        <w:t>HOMESTEAD PROPERTY TAX EXEMPTION</w:t>
      </w:r>
    </w:p>
    <w:p w:rsidR="00EB0BE5" w:rsidRDefault="00EB0BE5" w:rsidP="00EB0BE5">
      <w:pPr>
        <w:jc w:val="center"/>
        <w:rPr>
          <w:b/>
          <w:bCs/>
          <w:sz w:val="24"/>
          <w:szCs w:val="24"/>
        </w:rPr>
      </w:pPr>
    </w:p>
    <w:p w:rsidR="00EB0BE5" w:rsidRPr="00BA2F68" w:rsidRDefault="0056295E" w:rsidP="00EB0BE5">
      <w:pPr>
        <w:jc w:val="center"/>
        <w:rPr>
          <w:b/>
          <w:bCs/>
          <w:sz w:val="24"/>
          <w:szCs w:val="24"/>
        </w:rPr>
      </w:pPr>
      <w:r w:rsidRPr="0056295E">
        <w:rPr>
          <w:noProof/>
        </w:rPr>
        <w:drawing>
          <wp:inline distT="0" distB="0" distL="0" distR="0" wp14:anchorId="576E17A9" wp14:editId="358E89F5">
            <wp:extent cx="5943600" cy="503503"/>
            <wp:effectExtent l="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503503"/>
                    </a:xfrm>
                    <a:prstGeom prst="rect">
                      <a:avLst/>
                    </a:prstGeom>
                    <a:noFill/>
                    <a:ln>
                      <a:noFill/>
                    </a:ln>
                  </pic:spPr>
                </pic:pic>
              </a:graphicData>
            </a:graphic>
          </wp:inline>
        </w:drawing>
      </w:r>
    </w:p>
    <w:p w:rsidR="00EB0BE5" w:rsidRDefault="00EB0BE5" w:rsidP="00EB0BE5">
      <w:pPr>
        <w:jc w:val="center"/>
        <w:rPr>
          <w:b/>
          <w:bCs/>
          <w:sz w:val="24"/>
          <w:szCs w:val="24"/>
        </w:rPr>
      </w:pPr>
    </w:p>
    <w:p w:rsidR="00E65EA8" w:rsidRDefault="00E65EA8" w:rsidP="00E65EA8">
      <w:pPr>
        <w:rPr>
          <w:sz w:val="24"/>
          <w:szCs w:val="24"/>
        </w:rPr>
      </w:pPr>
      <w:r>
        <w:rPr>
          <w:sz w:val="24"/>
          <w:szCs w:val="24"/>
        </w:rPr>
        <w:t>Public Law 1997, chapter 643, Part HHH established the Homestead Property Tax Exemption Program.  This program establishes an exemption for all individuals who have maintained a residence for the 12 months prior to April 1st of each year.  Public Law 2005 chapter 2 Part F set the exemption amount at $13,000 of the individual's homestead valuation and decreased the percentage of the benefit to homeowners that the state is responsible for to the constitutionally required 50%. Public Law 2009, chapter 213 reduced the exemption amount from $13,000 to $10,000 beginning with fiscal year 2010-11.  FY 2014 and FY 2015 reflect the anticipated funding level for this program.</w:t>
      </w:r>
    </w:p>
    <w:p w:rsidR="000E5DF5" w:rsidRDefault="000E5DF5" w:rsidP="00EB0BE5">
      <w:pPr>
        <w:rPr>
          <w:bCs/>
          <w:sz w:val="24"/>
          <w:szCs w:val="24"/>
        </w:rPr>
      </w:pPr>
    </w:p>
    <w:p w:rsidR="000E5DF5" w:rsidRDefault="000E5DF5" w:rsidP="000E5DF5">
      <w:pPr>
        <w:jc w:val="center"/>
        <w:rPr>
          <w:b/>
          <w:bCs/>
          <w:sz w:val="24"/>
          <w:szCs w:val="24"/>
        </w:rPr>
      </w:pPr>
      <w:r>
        <w:rPr>
          <w:b/>
          <w:bCs/>
          <w:sz w:val="24"/>
          <w:szCs w:val="24"/>
        </w:rPr>
        <w:t>GOVERNMENTAL FACILITIES AUTHORITY</w:t>
      </w:r>
    </w:p>
    <w:p w:rsidR="000E5DF5" w:rsidRDefault="000E5DF5" w:rsidP="000E5DF5">
      <w:pPr>
        <w:jc w:val="center"/>
        <w:rPr>
          <w:b/>
          <w:bCs/>
          <w:sz w:val="24"/>
          <w:szCs w:val="24"/>
        </w:rPr>
      </w:pPr>
    </w:p>
    <w:p w:rsidR="000E5DF5" w:rsidRPr="00BA2F68" w:rsidRDefault="0056295E" w:rsidP="000E5DF5">
      <w:pPr>
        <w:jc w:val="center"/>
      </w:pPr>
      <w:r w:rsidRPr="0056295E">
        <w:rPr>
          <w:noProof/>
        </w:rPr>
        <w:drawing>
          <wp:inline distT="0" distB="0" distL="0" distR="0" wp14:anchorId="384F547F" wp14:editId="56695378">
            <wp:extent cx="5943600" cy="500237"/>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500237"/>
                    </a:xfrm>
                    <a:prstGeom prst="rect">
                      <a:avLst/>
                    </a:prstGeom>
                    <a:noFill/>
                    <a:ln>
                      <a:noFill/>
                    </a:ln>
                  </pic:spPr>
                </pic:pic>
              </a:graphicData>
            </a:graphic>
          </wp:inline>
        </w:drawing>
      </w:r>
    </w:p>
    <w:p w:rsidR="000E5DF5" w:rsidRDefault="000E5DF5" w:rsidP="000E5DF5">
      <w:pPr>
        <w:jc w:val="center"/>
      </w:pPr>
    </w:p>
    <w:p w:rsidR="000E5DF5" w:rsidRDefault="000E5DF5" w:rsidP="007A0671">
      <w:pPr>
        <w:rPr>
          <w:bCs/>
          <w:sz w:val="24"/>
          <w:szCs w:val="24"/>
        </w:rPr>
      </w:pPr>
      <w:r w:rsidRPr="000E5DF5">
        <w:rPr>
          <w:bCs/>
          <w:sz w:val="24"/>
          <w:szCs w:val="24"/>
        </w:rPr>
        <w:t>The forecast for the F</w:t>
      </w:r>
      <w:r w:rsidR="00D65AF6">
        <w:rPr>
          <w:bCs/>
          <w:sz w:val="24"/>
          <w:szCs w:val="24"/>
        </w:rPr>
        <w:t>Y 1</w:t>
      </w:r>
      <w:r w:rsidR="000367EC">
        <w:rPr>
          <w:bCs/>
          <w:sz w:val="24"/>
          <w:szCs w:val="24"/>
        </w:rPr>
        <w:t>4</w:t>
      </w:r>
      <w:r w:rsidR="00D65AF6">
        <w:rPr>
          <w:bCs/>
          <w:sz w:val="24"/>
          <w:szCs w:val="24"/>
        </w:rPr>
        <w:t>-1</w:t>
      </w:r>
      <w:r w:rsidR="000367EC">
        <w:rPr>
          <w:bCs/>
          <w:sz w:val="24"/>
          <w:szCs w:val="24"/>
        </w:rPr>
        <w:t>5</w:t>
      </w:r>
      <w:r w:rsidR="00D65AF6">
        <w:rPr>
          <w:bCs/>
          <w:sz w:val="24"/>
          <w:szCs w:val="24"/>
        </w:rPr>
        <w:t xml:space="preserve"> biennium reflects a </w:t>
      </w:r>
      <w:r w:rsidR="000367EC">
        <w:rPr>
          <w:bCs/>
          <w:sz w:val="24"/>
          <w:szCs w:val="24"/>
        </w:rPr>
        <w:t>-</w:t>
      </w:r>
      <w:r w:rsidR="00D65AF6">
        <w:rPr>
          <w:bCs/>
          <w:sz w:val="24"/>
          <w:szCs w:val="24"/>
        </w:rPr>
        <w:t>3.</w:t>
      </w:r>
      <w:r w:rsidR="000367EC">
        <w:rPr>
          <w:bCs/>
          <w:sz w:val="24"/>
          <w:szCs w:val="24"/>
        </w:rPr>
        <w:t xml:space="preserve">5% </w:t>
      </w:r>
      <w:r w:rsidR="00CE009D">
        <w:rPr>
          <w:bCs/>
          <w:sz w:val="24"/>
          <w:szCs w:val="24"/>
        </w:rPr>
        <w:t>decrease</w:t>
      </w:r>
      <w:r w:rsidR="000367EC">
        <w:rPr>
          <w:bCs/>
          <w:sz w:val="24"/>
          <w:szCs w:val="24"/>
        </w:rPr>
        <w:t xml:space="preserve"> </w:t>
      </w:r>
      <w:r w:rsidR="00DE47EC">
        <w:rPr>
          <w:bCs/>
          <w:sz w:val="24"/>
          <w:szCs w:val="24"/>
        </w:rPr>
        <w:t>as a result of refinancing that took place in April of 2010 and will</w:t>
      </w:r>
      <w:r w:rsidRPr="000E5DF5">
        <w:rPr>
          <w:bCs/>
          <w:sz w:val="24"/>
          <w:szCs w:val="24"/>
        </w:rPr>
        <w:t xml:space="preserve"> bring funding in line with current projected debt service requirements for this program. The Governmental Facilities Authority, created by Public Law 1997, chapter 523, </w:t>
      </w:r>
      <w:r w:rsidR="00FF03F6">
        <w:rPr>
          <w:bCs/>
          <w:sz w:val="24"/>
          <w:szCs w:val="24"/>
        </w:rPr>
        <w:t xml:space="preserve">administers a fund that </w:t>
      </w:r>
      <w:r w:rsidRPr="000E5DF5">
        <w:rPr>
          <w:bCs/>
          <w:sz w:val="24"/>
          <w:szCs w:val="24"/>
        </w:rPr>
        <w:t>includes principal and interest payments for loans w</w:t>
      </w:r>
      <w:r w:rsidR="0025682F">
        <w:rPr>
          <w:bCs/>
          <w:sz w:val="24"/>
          <w:szCs w:val="24"/>
        </w:rPr>
        <w:t xml:space="preserve">hich financed projects </w:t>
      </w:r>
      <w:r w:rsidR="00B774CB">
        <w:rPr>
          <w:bCs/>
          <w:sz w:val="24"/>
          <w:szCs w:val="24"/>
        </w:rPr>
        <w:t xml:space="preserve">that were </w:t>
      </w:r>
      <w:r w:rsidR="0025682F">
        <w:rPr>
          <w:bCs/>
          <w:sz w:val="24"/>
          <w:szCs w:val="24"/>
        </w:rPr>
        <w:t>approved</w:t>
      </w:r>
      <w:r w:rsidRPr="000E5DF5">
        <w:rPr>
          <w:bCs/>
          <w:sz w:val="24"/>
          <w:szCs w:val="24"/>
        </w:rPr>
        <w:t>.  These include capital repairs and improvements to state-owned facilities throughout the State as designated by the Commissioner of Administrative and Financial Services.  Projects undertaken through the Governmental Facilities Authority for the Judicial Branch are included in the Judicial Department’s budget as debt service payments and are not reflected in the estimates shown above.</w:t>
      </w:r>
    </w:p>
    <w:p w:rsidR="009B0D00" w:rsidRDefault="009B0D00" w:rsidP="000E5DF5">
      <w:pPr>
        <w:rPr>
          <w:bCs/>
          <w:sz w:val="24"/>
          <w:szCs w:val="24"/>
        </w:rPr>
      </w:pPr>
    </w:p>
    <w:p w:rsidR="009B0D00" w:rsidRDefault="009B0D00" w:rsidP="009B0D00">
      <w:pPr>
        <w:jc w:val="center"/>
        <w:rPr>
          <w:b/>
          <w:bCs/>
          <w:sz w:val="24"/>
          <w:szCs w:val="24"/>
        </w:rPr>
      </w:pPr>
      <w:r>
        <w:rPr>
          <w:b/>
          <w:bCs/>
          <w:sz w:val="24"/>
          <w:szCs w:val="24"/>
        </w:rPr>
        <w:t>DEBT SERVICE – TREASURY</w:t>
      </w:r>
    </w:p>
    <w:p w:rsidR="009B0D00" w:rsidRDefault="009B0D00" w:rsidP="009B0D00">
      <w:pPr>
        <w:jc w:val="center"/>
        <w:rPr>
          <w:b/>
          <w:bCs/>
          <w:sz w:val="24"/>
          <w:szCs w:val="24"/>
        </w:rPr>
      </w:pPr>
    </w:p>
    <w:p w:rsidR="009B0D00" w:rsidRPr="00BA2F68" w:rsidRDefault="0056295E" w:rsidP="009B0D00">
      <w:pPr>
        <w:jc w:val="center"/>
        <w:rPr>
          <w:b/>
          <w:bCs/>
          <w:sz w:val="24"/>
          <w:szCs w:val="24"/>
        </w:rPr>
      </w:pPr>
      <w:r w:rsidRPr="0056295E">
        <w:rPr>
          <w:noProof/>
        </w:rPr>
        <w:drawing>
          <wp:inline distT="0" distB="0" distL="0" distR="0" wp14:anchorId="21B3F970" wp14:editId="1075052C">
            <wp:extent cx="5943600" cy="503503"/>
            <wp:effectExtent l="0" t="0" r="0"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503503"/>
                    </a:xfrm>
                    <a:prstGeom prst="rect">
                      <a:avLst/>
                    </a:prstGeom>
                    <a:noFill/>
                    <a:ln>
                      <a:noFill/>
                    </a:ln>
                  </pic:spPr>
                </pic:pic>
              </a:graphicData>
            </a:graphic>
          </wp:inline>
        </w:drawing>
      </w:r>
    </w:p>
    <w:p w:rsidR="009B0D00" w:rsidRPr="009B0D00" w:rsidRDefault="009B0D00" w:rsidP="009B0D00">
      <w:pPr>
        <w:jc w:val="center"/>
        <w:rPr>
          <w:b/>
          <w:bCs/>
          <w:sz w:val="24"/>
          <w:szCs w:val="24"/>
        </w:rPr>
      </w:pPr>
    </w:p>
    <w:p w:rsidR="009B0D00" w:rsidRPr="009B0D00" w:rsidRDefault="009B0D00" w:rsidP="009B0D00">
      <w:pPr>
        <w:rPr>
          <w:bCs/>
          <w:sz w:val="24"/>
          <w:szCs w:val="24"/>
        </w:rPr>
      </w:pPr>
      <w:r w:rsidRPr="009B0D00">
        <w:rPr>
          <w:bCs/>
          <w:sz w:val="24"/>
          <w:szCs w:val="24"/>
        </w:rPr>
        <w:t>For FY 1</w:t>
      </w:r>
      <w:r w:rsidR="00EC6598">
        <w:rPr>
          <w:bCs/>
          <w:sz w:val="24"/>
          <w:szCs w:val="24"/>
        </w:rPr>
        <w:t>4</w:t>
      </w:r>
      <w:r w:rsidR="00706191">
        <w:rPr>
          <w:bCs/>
          <w:sz w:val="24"/>
          <w:szCs w:val="24"/>
        </w:rPr>
        <w:t>,</w:t>
      </w:r>
      <w:r w:rsidRPr="009B0D00">
        <w:rPr>
          <w:bCs/>
          <w:sz w:val="24"/>
          <w:szCs w:val="24"/>
        </w:rPr>
        <w:t xml:space="preserve"> it is projected that $</w:t>
      </w:r>
      <w:r w:rsidR="006C5F9B">
        <w:rPr>
          <w:bCs/>
          <w:sz w:val="24"/>
          <w:szCs w:val="24"/>
        </w:rPr>
        <w:t xml:space="preserve">40,752,809 </w:t>
      </w:r>
      <w:r w:rsidRPr="009B0D00">
        <w:rPr>
          <w:bCs/>
          <w:sz w:val="24"/>
          <w:szCs w:val="24"/>
        </w:rPr>
        <w:t xml:space="preserve">of the </w:t>
      </w:r>
      <w:r w:rsidR="00706191">
        <w:rPr>
          <w:bCs/>
          <w:sz w:val="24"/>
          <w:szCs w:val="24"/>
        </w:rPr>
        <w:t xml:space="preserve">authorized but currently </w:t>
      </w:r>
      <w:r w:rsidRPr="009B0D00">
        <w:rPr>
          <w:bCs/>
          <w:sz w:val="24"/>
          <w:szCs w:val="24"/>
        </w:rPr>
        <w:t>unissued General Fund bond inventory will be issued during the June 201</w:t>
      </w:r>
      <w:r w:rsidR="00EC6598">
        <w:rPr>
          <w:bCs/>
          <w:sz w:val="24"/>
          <w:szCs w:val="24"/>
        </w:rPr>
        <w:t>4</w:t>
      </w:r>
      <w:r w:rsidRPr="009B0D00">
        <w:rPr>
          <w:bCs/>
          <w:sz w:val="24"/>
          <w:szCs w:val="24"/>
        </w:rPr>
        <w:t xml:space="preserve"> bond sale.  General Fund debt service requirements were $</w:t>
      </w:r>
      <w:r w:rsidR="00A67672">
        <w:rPr>
          <w:bCs/>
          <w:sz w:val="24"/>
          <w:szCs w:val="24"/>
        </w:rPr>
        <w:t>95.1</w:t>
      </w:r>
      <w:r w:rsidRPr="009B0D00">
        <w:rPr>
          <w:bCs/>
          <w:sz w:val="24"/>
          <w:szCs w:val="24"/>
        </w:rPr>
        <w:t xml:space="preserve"> million in FY 1</w:t>
      </w:r>
      <w:r w:rsidR="00A67672">
        <w:rPr>
          <w:bCs/>
          <w:sz w:val="24"/>
          <w:szCs w:val="24"/>
        </w:rPr>
        <w:t>2</w:t>
      </w:r>
      <w:r w:rsidRPr="009B0D00">
        <w:rPr>
          <w:bCs/>
          <w:sz w:val="24"/>
          <w:szCs w:val="24"/>
        </w:rPr>
        <w:t xml:space="preserve"> and are projected at $</w:t>
      </w:r>
      <w:r w:rsidR="00A67672">
        <w:rPr>
          <w:bCs/>
          <w:sz w:val="24"/>
          <w:szCs w:val="24"/>
        </w:rPr>
        <w:t>100.6</w:t>
      </w:r>
      <w:r w:rsidRPr="009B0D00">
        <w:rPr>
          <w:bCs/>
          <w:sz w:val="24"/>
          <w:szCs w:val="24"/>
        </w:rPr>
        <w:t xml:space="preserve"> million for FY 1</w:t>
      </w:r>
      <w:r w:rsidR="00A67672">
        <w:rPr>
          <w:bCs/>
          <w:sz w:val="24"/>
          <w:szCs w:val="24"/>
        </w:rPr>
        <w:t>3</w:t>
      </w:r>
      <w:r w:rsidRPr="009B0D00">
        <w:rPr>
          <w:bCs/>
          <w:sz w:val="24"/>
          <w:szCs w:val="24"/>
        </w:rPr>
        <w:t>. General Fund debt service requirements are projected at $</w:t>
      </w:r>
      <w:r w:rsidR="00A67672">
        <w:rPr>
          <w:bCs/>
          <w:sz w:val="24"/>
          <w:szCs w:val="24"/>
        </w:rPr>
        <w:t>79.7</w:t>
      </w:r>
      <w:r w:rsidRPr="009B0D00">
        <w:rPr>
          <w:bCs/>
          <w:sz w:val="24"/>
          <w:szCs w:val="24"/>
        </w:rPr>
        <w:t xml:space="preserve"> million for FY1</w:t>
      </w:r>
      <w:r w:rsidR="00A67672">
        <w:rPr>
          <w:bCs/>
          <w:sz w:val="24"/>
          <w:szCs w:val="24"/>
        </w:rPr>
        <w:t>4</w:t>
      </w:r>
      <w:r w:rsidRPr="009B0D00">
        <w:rPr>
          <w:bCs/>
          <w:sz w:val="24"/>
          <w:szCs w:val="24"/>
        </w:rPr>
        <w:t xml:space="preserve"> and $</w:t>
      </w:r>
      <w:r w:rsidR="00A67672">
        <w:rPr>
          <w:bCs/>
          <w:sz w:val="24"/>
          <w:szCs w:val="24"/>
        </w:rPr>
        <w:t>71.4</w:t>
      </w:r>
      <w:r w:rsidRPr="009B0D00">
        <w:rPr>
          <w:bCs/>
          <w:sz w:val="24"/>
          <w:szCs w:val="24"/>
        </w:rPr>
        <w:t xml:space="preserve"> million for FY 1</w:t>
      </w:r>
      <w:r w:rsidR="00A67672">
        <w:rPr>
          <w:bCs/>
          <w:sz w:val="24"/>
          <w:szCs w:val="24"/>
        </w:rPr>
        <w:t>5</w:t>
      </w:r>
      <w:r w:rsidR="007A613D">
        <w:rPr>
          <w:bCs/>
          <w:sz w:val="24"/>
          <w:szCs w:val="24"/>
        </w:rPr>
        <w:t xml:space="preserve"> based on currently authorized bonds</w:t>
      </w:r>
      <w:r w:rsidRPr="009B0D00">
        <w:rPr>
          <w:bCs/>
          <w:sz w:val="24"/>
          <w:szCs w:val="24"/>
        </w:rPr>
        <w:t>. The debt service requirements for the FY 1</w:t>
      </w:r>
      <w:r w:rsidR="00A67672">
        <w:rPr>
          <w:bCs/>
          <w:sz w:val="24"/>
          <w:szCs w:val="24"/>
        </w:rPr>
        <w:t>4</w:t>
      </w:r>
      <w:r w:rsidRPr="009B0D00">
        <w:rPr>
          <w:bCs/>
          <w:sz w:val="24"/>
          <w:szCs w:val="24"/>
        </w:rPr>
        <w:t>-1</w:t>
      </w:r>
      <w:r w:rsidR="00A67672">
        <w:rPr>
          <w:bCs/>
          <w:sz w:val="24"/>
          <w:szCs w:val="24"/>
        </w:rPr>
        <w:t>5</w:t>
      </w:r>
      <w:r w:rsidRPr="009B0D00">
        <w:rPr>
          <w:bCs/>
          <w:sz w:val="24"/>
          <w:szCs w:val="24"/>
        </w:rPr>
        <w:t xml:space="preserve"> biennium will be higher than projected if the </w:t>
      </w:r>
      <w:r w:rsidR="006C5F9B">
        <w:rPr>
          <w:bCs/>
          <w:sz w:val="24"/>
          <w:szCs w:val="24"/>
        </w:rPr>
        <w:t>voters</w:t>
      </w:r>
      <w:r w:rsidRPr="009B0D00">
        <w:rPr>
          <w:bCs/>
          <w:sz w:val="24"/>
          <w:szCs w:val="24"/>
        </w:rPr>
        <w:t xml:space="preserve"> approve additional </w:t>
      </w:r>
      <w:r w:rsidR="006C5F9B">
        <w:rPr>
          <w:bCs/>
          <w:sz w:val="24"/>
          <w:szCs w:val="24"/>
        </w:rPr>
        <w:t>authorization and bonds are issued earlier than FY 2015.</w:t>
      </w:r>
    </w:p>
    <w:p w:rsidR="009B0D00" w:rsidRPr="000E5DF5" w:rsidRDefault="009B0D00" w:rsidP="000E5DF5">
      <w:pPr>
        <w:rPr>
          <w:bCs/>
          <w:sz w:val="24"/>
          <w:szCs w:val="24"/>
        </w:rPr>
      </w:pPr>
    </w:p>
    <w:p w:rsidR="001E59C7" w:rsidRDefault="001E59C7" w:rsidP="007A0671">
      <w:pPr>
        <w:jc w:val="center"/>
        <w:rPr>
          <w:b/>
          <w:bCs/>
          <w:sz w:val="24"/>
          <w:szCs w:val="24"/>
        </w:rPr>
      </w:pPr>
    </w:p>
    <w:p w:rsidR="003E32AF" w:rsidRDefault="003E32AF" w:rsidP="007A0671">
      <w:pPr>
        <w:jc w:val="center"/>
        <w:rPr>
          <w:b/>
          <w:bCs/>
          <w:sz w:val="24"/>
          <w:szCs w:val="24"/>
        </w:rPr>
      </w:pPr>
    </w:p>
    <w:p w:rsidR="003E32AF" w:rsidRDefault="003E32AF" w:rsidP="007A0671">
      <w:pPr>
        <w:jc w:val="center"/>
        <w:rPr>
          <w:b/>
          <w:bCs/>
          <w:sz w:val="24"/>
          <w:szCs w:val="24"/>
        </w:rPr>
      </w:pPr>
    </w:p>
    <w:p w:rsidR="003E32AF" w:rsidRDefault="003E32AF" w:rsidP="007A0671">
      <w:pPr>
        <w:jc w:val="center"/>
        <w:rPr>
          <w:b/>
          <w:bCs/>
          <w:sz w:val="24"/>
          <w:szCs w:val="24"/>
        </w:rPr>
      </w:pPr>
    </w:p>
    <w:p w:rsidR="00B36C72" w:rsidRDefault="00B36C72" w:rsidP="007A0671">
      <w:pPr>
        <w:jc w:val="center"/>
        <w:rPr>
          <w:b/>
          <w:bCs/>
          <w:sz w:val="24"/>
          <w:szCs w:val="24"/>
        </w:rPr>
      </w:pPr>
    </w:p>
    <w:p w:rsidR="007A0671" w:rsidRDefault="007A0671" w:rsidP="007A0671">
      <w:pPr>
        <w:jc w:val="center"/>
        <w:rPr>
          <w:b/>
          <w:bCs/>
          <w:sz w:val="24"/>
          <w:szCs w:val="24"/>
        </w:rPr>
      </w:pPr>
      <w:r>
        <w:rPr>
          <w:b/>
          <w:bCs/>
          <w:sz w:val="24"/>
          <w:szCs w:val="24"/>
        </w:rPr>
        <w:t>GENERAL PURPOSE AID FOR LOCAL SCHOOLS</w:t>
      </w:r>
    </w:p>
    <w:p w:rsidR="007A0671" w:rsidRDefault="007A0671" w:rsidP="007A0671">
      <w:pPr>
        <w:jc w:val="center"/>
        <w:rPr>
          <w:b/>
          <w:bCs/>
          <w:sz w:val="24"/>
          <w:szCs w:val="24"/>
        </w:rPr>
      </w:pPr>
    </w:p>
    <w:p w:rsidR="007A0671" w:rsidRPr="00BA2F68" w:rsidRDefault="00F101B6" w:rsidP="007A0671">
      <w:pPr>
        <w:jc w:val="center"/>
        <w:rPr>
          <w:b/>
          <w:bCs/>
          <w:sz w:val="24"/>
          <w:szCs w:val="24"/>
        </w:rPr>
      </w:pPr>
      <w:r w:rsidRPr="00F101B6">
        <w:rPr>
          <w:noProof/>
        </w:rPr>
        <w:drawing>
          <wp:inline distT="0" distB="0" distL="0" distR="0" wp14:anchorId="3E5AA3E3" wp14:editId="364E08DE">
            <wp:extent cx="5943600" cy="503503"/>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503503"/>
                    </a:xfrm>
                    <a:prstGeom prst="rect">
                      <a:avLst/>
                    </a:prstGeom>
                    <a:noFill/>
                    <a:ln>
                      <a:noFill/>
                    </a:ln>
                  </pic:spPr>
                </pic:pic>
              </a:graphicData>
            </a:graphic>
          </wp:inline>
        </w:drawing>
      </w:r>
    </w:p>
    <w:p w:rsidR="007A0671" w:rsidRDefault="007A0671" w:rsidP="007A0671">
      <w:pPr>
        <w:jc w:val="center"/>
        <w:rPr>
          <w:b/>
          <w:bCs/>
          <w:sz w:val="24"/>
          <w:szCs w:val="24"/>
        </w:rPr>
      </w:pPr>
    </w:p>
    <w:p w:rsidR="002625BA" w:rsidRPr="002625BA" w:rsidRDefault="002625BA" w:rsidP="002625BA">
      <w:pPr>
        <w:jc w:val="both"/>
        <w:rPr>
          <w:sz w:val="24"/>
          <w:szCs w:val="24"/>
        </w:rPr>
      </w:pPr>
      <w:r w:rsidRPr="002625BA">
        <w:rPr>
          <w:sz w:val="24"/>
          <w:szCs w:val="24"/>
        </w:rPr>
        <w:t>The budget need for the 2014-2015 biennium includes increases in General Purpose Aid for Local Schools (GPA) of $119.4 million in FY 2014 and $135.1 million in FY 2015 over FY 13 appropriation levels. The preliminary amounts would increase GPA funding for the upcoming biennium by $274.1 million over the previous biennium and achieve the commitment made in Public Law 2005 chapter 2, as amended by 2007 Public Law chapters 240 and 539, for 55% state share of education costs.</w:t>
      </w:r>
    </w:p>
    <w:p w:rsidR="002625BA" w:rsidRPr="002625BA" w:rsidRDefault="002625BA" w:rsidP="002625BA">
      <w:pPr>
        <w:jc w:val="both"/>
        <w:rPr>
          <w:sz w:val="24"/>
          <w:szCs w:val="24"/>
        </w:rPr>
      </w:pPr>
      <w:r w:rsidRPr="002625BA">
        <w:rPr>
          <w:sz w:val="24"/>
          <w:szCs w:val="24"/>
        </w:rPr>
        <w:t xml:space="preserve"> </w:t>
      </w:r>
    </w:p>
    <w:p w:rsidR="002625BA" w:rsidRPr="002625BA" w:rsidRDefault="002625BA" w:rsidP="002625BA">
      <w:pPr>
        <w:jc w:val="both"/>
        <w:rPr>
          <w:sz w:val="24"/>
          <w:szCs w:val="24"/>
        </w:rPr>
      </w:pPr>
      <w:r w:rsidRPr="002625BA">
        <w:rPr>
          <w:sz w:val="24"/>
          <w:szCs w:val="24"/>
        </w:rPr>
        <w:t>It is important to stress that the forecast, by law, must assume a state share of GPA equal to 55% of total allowable costs.  Each year, the law has been amended to delay attainment of the 55% share; it is possible that delays will continue but this cannot be reflected in the forecast.</w:t>
      </w:r>
    </w:p>
    <w:p w:rsidR="00092219" w:rsidRDefault="00092219" w:rsidP="007A0671">
      <w:pPr>
        <w:rPr>
          <w:bCs/>
          <w:sz w:val="24"/>
          <w:szCs w:val="24"/>
        </w:rPr>
      </w:pPr>
    </w:p>
    <w:p w:rsidR="002D089E" w:rsidRPr="002D089E" w:rsidRDefault="002D089E" w:rsidP="002D089E">
      <w:pPr>
        <w:jc w:val="center"/>
        <w:rPr>
          <w:b/>
          <w:bCs/>
          <w:sz w:val="24"/>
          <w:szCs w:val="24"/>
        </w:rPr>
      </w:pPr>
      <w:r w:rsidRPr="002D089E">
        <w:rPr>
          <w:b/>
          <w:bCs/>
          <w:sz w:val="24"/>
          <w:szCs w:val="24"/>
        </w:rPr>
        <w:t>TEACHER RETIREMENT/RETIRED TEACHERS' HEALTH INSURANCE</w:t>
      </w:r>
    </w:p>
    <w:p w:rsidR="00092219" w:rsidRPr="007A0671" w:rsidRDefault="00092219" w:rsidP="007A0671">
      <w:pPr>
        <w:rPr>
          <w:bCs/>
          <w:sz w:val="24"/>
          <w:szCs w:val="24"/>
        </w:rPr>
      </w:pPr>
    </w:p>
    <w:p w:rsidR="005F1C4E" w:rsidRPr="00BA2F68" w:rsidRDefault="009C16BB" w:rsidP="00BA2F68">
      <w:pPr>
        <w:jc w:val="center"/>
        <w:rPr>
          <w:bCs/>
          <w:sz w:val="24"/>
          <w:szCs w:val="24"/>
        </w:rPr>
      </w:pPr>
      <w:r w:rsidRPr="009C16BB">
        <w:rPr>
          <w:noProof/>
        </w:rPr>
        <w:drawing>
          <wp:inline distT="0" distB="0" distL="0" distR="0" wp14:anchorId="3314678F" wp14:editId="30D5B783">
            <wp:extent cx="5943600" cy="503503"/>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503503"/>
                    </a:xfrm>
                    <a:prstGeom prst="rect">
                      <a:avLst/>
                    </a:prstGeom>
                    <a:noFill/>
                    <a:ln>
                      <a:noFill/>
                    </a:ln>
                  </pic:spPr>
                </pic:pic>
              </a:graphicData>
            </a:graphic>
          </wp:inline>
        </w:drawing>
      </w:r>
    </w:p>
    <w:p w:rsidR="002D089E" w:rsidRDefault="002D089E" w:rsidP="00B83C35">
      <w:pPr>
        <w:rPr>
          <w:bCs/>
          <w:sz w:val="24"/>
          <w:szCs w:val="24"/>
        </w:rPr>
      </w:pPr>
    </w:p>
    <w:p w:rsidR="002D089E" w:rsidRPr="00BF3DF7" w:rsidRDefault="00BF3DF7" w:rsidP="00B83C35">
      <w:pPr>
        <w:rPr>
          <w:sz w:val="24"/>
          <w:szCs w:val="24"/>
        </w:rPr>
      </w:pPr>
      <w:r w:rsidRPr="00BF3DF7">
        <w:rPr>
          <w:sz w:val="24"/>
          <w:szCs w:val="24"/>
        </w:rPr>
        <w:t>The expenditure forecast for the FY 1</w:t>
      </w:r>
      <w:r w:rsidR="00B16B4C">
        <w:rPr>
          <w:sz w:val="24"/>
          <w:szCs w:val="24"/>
        </w:rPr>
        <w:t>4</w:t>
      </w:r>
      <w:r w:rsidRPr="00BF3DF7">
        <w:rPr>
          <w:sz w:val="24"/>
          <w:szCs w:val="24"/>
        </w:rPr>
        <w:t>-1</w:t>
      </w:r>
      <w:r w:rsidR="00B16B4C">
        <w:rPr>
          <w:sz w:val="24"/>
          <w:szCs w:val="24"/>
        </w:rPr>
        <w:t>5</w:t>
      </w:r>
      <w:r w:rsidRPr="00BF3DF7">
        <w:rPr>
          <w:sz w:val="24"/>
          <w:szCs w:val="24"/>
        </w:rPr>
        <w:t xml:space="preserve"> biennium for Teacher Retirement assumes projected teacher salary and wage growth of </w:t>
      </w:r>
      <w:r w:rsidR="00B16B4C">
        <w:rPr>
          <w:sz w:val="24"/>
          <w:szCs w:val="24"/>
        </w:rPr>
        <w:t>3.5</w:t>
      </w:r>
      <w:r w:rsidRPr="00BF3DF7">
        <w:rPr>
          <w:sz w:val="24"/>
          <w:szCs w:val="24"/>
        </w:rPr>
        <w:t>% based upon the actuarial assumption for inflation and general salary increase.  The required normal cost emp</w:t>
      </w:r>
      <w:r w:rsidR="0010008E">
        <w:rPr>
          <w:sz w:val="24"/>
          <w:szCs w:val="24"/>
        </w:rPr>
        <w:t xml:space="preserve">loyer contribution </w:t>
      </w:r>
      <w:r w:rsidRPr="00BF3DF7">
        <w:rPr>
          <w:sz w:val="24"/>
          <w:szCs w:val="24"/>
        </w:rPr>
        <w:t>for teacher retirement is based on this salary projection.  The required unfunded actuarial liabi</w:t>
      </w:r>
      <w:r w:rsidR="0010008E">
        <w:rPr>
          <w:sz w:val="24"/>
          <w:szCs w:val="24"/>
        </w:rPr>
        <w:t xml:space="preserve">lity (UAL) payment </w:t>
      </w:r>
      <w:r w:rsidRPr="00BF3DF7">
        <w:rPr>
          <w:sz w:val="24"/>
          <w:szCs w:val="24"/>
        </w:rPr>
        <w:t>for the FY 1</w:t>
      </w:r>
      <w:r w:rsidR="00B16B4C">
        <w:rPr>
          <w:sz w:val="24"/>
          <w:szCs w:val="24"/>
        </w:rPr>
        <w:t>4</w:t>
      </w:r>
      <w:r w:rsidRPr="00BF3DF7">
        <w:rPr>
          <w:sz w:val="24"/>
          <w:szCs w:val="24"/>
        </w:rPr>
        <w:t>-1</w:t>
      </w:r>
      <w:r w:rsidR="00B16B4C">
        <w:rPr>
          <w:sz w:val="24"/>
          <w:szCs w:val="24"/>
        </w:rPr>
        <w:t>5</w:t>
      </w:r>
      <w:r w:rsidRPr="00BF3DF7">
        <w:rPr>
          <w:sz w:val="24"/>
          <w:szCs w:val="24"/>
        </w:rPr>
        <w:t xml:space="preserve"> biennium for teacher retirement is established by the actuarial valuation performed by MainePERS.  The sum of these two employer retirement cost components forms the basis for the forecast for teacher retirement in the FY 1</w:t>
      </w:r>
      <w:r w:rsidR="00B16B4C">
        <w:rPr>
          <w:sz w:val="24"/>
          <w:szCs w:val="24"/>
        </w:rPr>
        <w:t>4</w:t>
      </w:r>
      <w:r w:rsidRPr="00BF3DF7">
        <w:rPr>
          <w:sz w:val="24"/>
          <w:szCs w:val="24"/>
        </w:rPr>
        <w:t>-1</w:t>
      </w:r>
      <w:r w:rsidR="00B16B4C">
        <w:rPr>
          <w:sz w:val="24"/>
          <w:szCs w:val="24"/>
        </w:rPr>
        <w:t>5</w:t>
      </w:r>
      <w:r w:rsidRPr="00BF3DF7">
        <w:rPr>
          <w:sz w:val="24"/>
          <w:szCs w:val="24"/>
        </w:rPr>
        <w:t xml:space="preserve"> budget. </w:t>
      </w:r>
    </w:p>
    <w:p w:rsidR="00BF3DF7" w:rsidRPr="00BF3DF7" w:rsidRDefault="00BF3DF7" w:rsidP="00B83C35">
      <w:pPr>
        <w:rPr>
          <w:sz w:val="24"/>
          <w:szCs w:val="24"/>
        </w:rPr>
      </w:pPr>
    </w:p>
    <w:p w:rsidR="00BF3DF7" w:rsidRPr="00BF3DF7" w:rsidRDefault="00B16B4C" w:rsidP="00B83C35">
      <w:pPr>
        <w:rPr>
          <w:bCs/>
          <w:sz w:val="24"/>
          <w:szCs w:val="24"/>
        </w:rPr>
      </w:pPr>
      <w:r>
        <w:rPr>
          <w:sz w:val="24"/>
          <w:szCs w:val="24"/>
        </w:rPr>
        <w:t xml:space="preserve">PL 2011, Chapter 380, Part </w:t>
      </w:r>
      <w:r w:rsidR="00881317">
        <w:rPr>
          <w:sz w:val="24"/>
          <w:szCs w:val="24"/>
        </w:rPr>
        <w:t>W</w:t>
      </w:r>
      <w:r>
        <w:rPr>
          <w:sz w:val="24"/>
          <w:szCs w:val="24"/>
        </w:rPr>
        <w:t xml:space="preserve"> capped the State’s total cost for retired teacher’s health insurance</w:t>
      </w:r>
      <w:r w:rsidR="002823A1">
        <w:rPr>
          <w:sz w:val="24"/>
          <w:szCs w:val="24"/>
        </w:rPr>
        <w:t xml:space="preserve"> in FY 12 and FY 13</w:t>
      </w:r>
      <w:r>
        <w:rPr>
          <w:sz w:val="24"/>
          <w:szCs w:val="24"/>
        </w:rPr>
        <w:t xml:space="preserve"> at fiscal year 2010-11 levels.  Funding projections for FY14 and FY15 are based on uncapped projected premium rates.</w:t>
      </w:r>
    </w:p>
    <w:p w:rsidR="00681B30" w:rsidRDefault="00681B30" w:rsidP="00B83C35">
      <w:pPr>
        <w:rPr>
          <w:bCs/>
          <w:sz w:val="24"/>
          <w:szCs w:val="24"/>
        </w:rPr>
      </w:pPr>
    </w:p>
    <w:p w:rsidR="00D967F4" w:rsidRPr="00D967F4" w:rsidRDefault="00D967F4" w:rsidP="00D967F4">
      <w:pPr>
        <w:jc w:val="center"/>
        <w:rPr>
          <w:b/>
          <w:bCs/>
          <w:sz w:val="24"/>
          <w:szCs w:val="24"/>
        </w:rPr>
      </w:pPr>
      <w:r w:rsidRPr="00D967F4">
        <w:rPr>
          <w:b/>
          <w:bCs/>
          <w:sz w:val="24"/>
          <w:szCs w:val="24"/>
        </w:rPr>
        <w:t>MEDICAL CARE - PAYMENTS TO PROVIDERS</w:t>
      </w:r>
    </w:p>
    <w:p w:rsidR="00D967F4" w:rsidRDefault="00D967F4" w:rsidP="00B83C35">
      <w:pPr>
        <w:rPr>
          <w:bCs/>
          <w:sz w:val="24"/>
          <w:szCs w:val="24"/>
        </w:rPr>
      </w:pPr>
    </w:p>
    <w:p w:rsidR="00B4343C" w:rsidRPr="00BA2F68" w:rsidRDefault="00FD641B" w:rsidP="00BA2F68">
      <w:pPr>
        <w:jc w:val="center"/>
        <w:rPr>
          <w:bCs/>
          <w:sz w:val="24"/>
          <w:szCs w:val="24"/>
        </w:rPr>
      </w:pPr>
      <w:r w:rsidRPr="00FD641B">
        <w:rPr>
          <w:noProof/>
        </w:rPr>
        <w:drawing>
          <wp:inline distT="0" distB="0" distL="0" distR="0" wp14:anchorId="11EDD8E9" wp14:editId="6CA71E96">
            <wp:extent cx="5943600" cy="50350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503503"/>
                    </a:xfrm>
                    <a:prstGeom prst="rect">
                      <a:avLst/>
                    </a:prstGeom>
                    <a:noFill/>
                    <a:ln>
                      <a:noFill/>
                    </a:ln>
                  </pic:spPr>
                </pic:pic>
              </a:graphicData>
            </a:graphic>
          </wp:inline>
        </w:drawing>
      </w:r>
    </w:p>
    <w:p w:rsidR="00D967F4" w:rsidRDefault="00D967F4" w:rsidP="00B83C35">
      <w:pPr>
        <w:rPr>
          <w:bCs/>
          <w:sz w:val="24"/>
          <w:szCs w:val="24"/>
        </w:rPr>
      </w:pPr>
    </w:p>
    <w:p w:rsidR="00681B30" w:rsidRDefault="00681B30" w:rsidP="00B83C35">
      <w:pPr>
        <w:rPr>
          <w:sz w:val="24"/>
          <w:szCs w:val="24"/>
        </w:rPr>
      </w:pPr>
    </w:p>
    <w:p w:rsidR="00456B0B" w:rsidRDefault="00B36C72" w:rsidP="00B36C72">
      <w:pPr>
        <w:rPr>
          <w:sz w:val="24"/>
          <w:szCs w:val="24"/>
        </w:rPr>
      </w:pPr>
      <w:r w:rsidRPr="00B36C72">
        <w:rPr>
          <w:sz w:val="24"/>
          <w:szCs w:val="24"/>
        </w:rPr>
        <w:t xml:space="preserve">Appropriations in the Medical Care – Payments to Providers program increased during the 2012-2013 biennium due to a Federal Medical Assistance Percentage decrease, MaineCare enrollment growth, conversion of payments to hospitals, and the loss of supplemental rebates due to the federal Patient Protection and Affordable Care Act. </w:t>
      </w:r>
      <w:r w:rsidR="00394E91">
        <w:rPr>
          <w:sz w:val="24"/>
          <w:szCs w:val="24"/>
        </w:rPr>
        <w:t xml:space="preserve"> </w:t>
      </w:r>
      <w:r w:rsidR="00014345">
        <w:rPr>
          <w:sz w:val="24"/>
          <w:szCs w:val="24"/>
        </w:rPr>
        <w:t>These increases were offset by several savings initiatives, i</w:t>
      </w:r>
      <w:r w:rsidR="002823A1">
        <w:rPr>
          <w:sz w:val="24"/>
          <w:szCs w:val="24"/>
        </w:rPr>
        <w:t>ncluding</w:t>
      </w:r>
      <w:r w:rsidRPr="00B36C72">
        <w:rPr>
          <w:sz w:val="24"/>
          <w:szCs w:val="24"/>
        </w:rPr>
        <w:t xml:space="preserve"> a freeze on new enrollment in the MaineCare childless adult waiver program, limiting reimbursement or eliminating coverage </w:t>
      </w:r>
      <w:r w:rsidR="002823A1">
        <w:rPr>
          <w:sz w:val="24"/>
          <w:szCs w:val="24"/>
        </w:rPr>
        <w:t>for</w:t>
      </w:r>
      <w:r w:rsidRPr="00B36C72">
        <w:rPr>
          <w:sz w:val="24"/>
          <w:szCs w:val="24"/>
        </w:rPr>
        <w:t xml:space="preserve"> several optional services, eliminating optional coverage to 19 and 20 year olds and reducing income eligibility for parents of eligible children.  Savings from the recovery of overpayments to providers and for the proper application of the cost of care under the MaineCare Benefits Manual were achieved as well as one time savings by decreasing payment of disability benefits with state funds, recovery from </w:t>
      </w:r>
    </w:p>
    <w:p w:rsidR="00456B0B" w:rsidRDefault="00456B0B" w:rsidP="00B36C72">
      <w:pPr>
        <w:rPr>
          <w:sz w:val="24"/>
          <w:szCs w:val="24"/>
        </w:rPr>
      </w:pPr>
    </w:p>
    <w:p w:rsidR="00B36C72" w:rsidRPr="00B36C72" w:rsidRDefault="00B36C72" w:rsidP="00B36C72">
      <w:pPr>
        <w:rPr>
          <w:sz w:val="24"/>
          <w:szCs w:val="24"/>
        </w:rPr>
      </w:pPr>
      <w:r w:rsidRPr="00B36C72">
        <w:rPr>
          <w:sz w:val="24"/>
          <w:szCs w:val="24"/>
        </w:rPr>
        <w:t>3rd party payers, and a transfer from the Dirigo Health Agency.</w:t>
      </w:r>
      <w:r w:rsidR="002648AB">
        <w:rPr>
          <w:sz w:val="24"/>
          <w:szCs w:val="24"/>
        </w:rPr>
        <w:t xml:space="preserve">  </w:t>
      </w:r>
      <w:r w:rsidRPr="00B36C72">
        <w:rPr>
          <w:sz w:val="24"/>
          <w:szCs w:val="24"/>
        </w:rPr>
        <w:t>Funding for the 2014-2015 biennium reflects growth over the 2012-2013 biennium of over 18%, primarily due to projected utilization and program growth and a decrease in the Federal Medical Assistance Percentage.</w:t>
      </w:r>
    </w:p>
    <w:p w:rsidR="00DD4B65" w:rsidRDefault="00DD4B65" w:rsidP="00B83C35">
      <w:pPr>
        <w:rPr>
          <w:sz w:val="24"/>
          <w:szCs w:val="24"/>
        </w:rPr>
      </w:pPr>
    </w:p>
    <w:p w:rsidR="001050FC" w:rsidRPr="001050FC" w:rsidRDefault="001050FC" w:rsidP="001050FC">
      <w:pPr>
        <w:jc w:val="center"/>
        <w:rPr>
          <w:b/>
          <w:bCs/>
          <w:sz w:val="24"/>
          <w:szCs w:val="24"/>
        </w:rPr>
      </w:pPr>
      <w:r w:rsidRPr="001050FC">
        <w:rPr>
          <w:b/>
          <w:bCs/>
          <w:sz w:val="24"/>
          <w:szCs w:val="24"/>
        </w:rPr>
        <w:t>NURSING FACILITIES</w:t>
      </w:r>
    </w:p>
    <w:p w:rsidR="00FD641B" w:rsidRDefault="00FD641B" w:rsidP="00B83C35"/>
    <w:p w:rsidR="001050FC" w:rsidRDefault="00FD641B" w:rsidP="00B83C35">
      <w:pPr>
        <w:rPr>
          <w:bCs/>
          <w:sz w:val="24"/>
          <w:szCs w:val="24"/>
        </w:rPr>
      </w:pPr>
      <w:r w:rsidRPr="00FD641B">
        <w:rPr>
          <w:noProof/>
        </w:rPr>
        <w:drawing>
          <wp:inline distT="0" distB="0" distL="0" distR="0" wp14:anchorId="624D4651" wp14:editId="498F8BEF">
            <wp:extent cx="5943600" cy="50350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503503"/>
                    </a:xfrm>
                    <a:prstGeom prst="rect">
                      <a:avLst/>
                    </a:prstGeom>
                    <a:noFill/>
                    <a:ln>
                      <a:noFill/>
                    </a:ln>
                  </pic:spPr>
                </pic:pic>
              </a:graphicData>
            </a:graphic>
          </wp:inline>
        </w:drawing>
      </w:r>
    </w:p>
    <w:p w:rsidR="001050FC" w:rsidRPr="00BA2F68" w:rsidRDefault="001050FC" w:rsidP="00B83C35">
      <w:pPr>
        <w:rPr>
          <w:bCs/>
          <w:sz w:val="24"/>
          <w:szCs w:val="24"/>
        </w:rPr>
      </w:pPr>
    </w:p>
    <w:p w:rsidR="00B36C72" w:rsidRPr="00B36C72" w:rsidRDefault="00B36C72" w:rsidP="00B36C72">
      <w:pPr>
        <w:rPr>
          <w:sz w:val="24"/>
          <w:szCs w:val="24"/>
        </w:rPr>
      </w:pPr>
      <w:r w:rsidRPr="00B36C72">
        <w:rPr>
          <w:sz w:val="24"/>
          <w:szCs w:val="24"/>
        </w:rPr>
        <w:t>The Nursing Facilities program provides funds for MaineCare payments to nursing facilities for professional nursing care or rehabilitative services for injured, disabled, or sick persons.  The 2012-2013 biennium reflects decreases in the Federal Medical Assistance Percentage resulting in an increased state share</w:t>
      </w:r>
      <w:r w:rsidR="00B774CB">
        <w:rPr>
          <w:sz w:val="24"/>
          <w:szCs w:val="24"/>
        </w:rPr>
        <w:t>.</w:t>
      </w:r>
      <w:r w:rsidRPr="00B36C72">
        <w:rPr>
          <w:sz w:val="24"/>
          <w:szCs w:val="24"/>
        </w:rPr>
        <w:t xml:space="preserve">  Minimal savings were achieved by 10% reductions in reimbursements for occupational and physical therapy services.  Program growth during the 2014-2015 biennium is projected to be approximately 3% in FY14 and less than 1% in FY15 primarily due to an anticipated decrease in the Federal Medical Assistance Percentage.</w:t>
      </w:r>
    </w:p>
    <w:p w:rsidR="00FD641B" w:rsidRPr="00FD641B" w:rsidRDefault="00FD641B" w:rsidP="00FD641B">
      <w:pPr>
        <w:rPr>
          <w:sz w:val="24"/>
          <w:szCs w:val="24"/>
        </w:rPr>
      </w:pPr>
    </w:p>
    <w:p w:rsidR="001050FC" w:rsidRDefault="001050FC" w:rsidP="001050FC">
      <w:pPr>
        <w:rPr>
          <w:sz w:val="24"/>
          <w:szCs w:val="24"/>
        </w:rPr>
      </w:pPr>
    </w:p>
    <w:p w:rsidR="00E27D00" w:rsidRDefault="00E27D00" w:rsidP="00E27D00">
      <w:pPr>
        <w:jc w:val="center"/>
        <w:rPr>
          <w:b/>
          <w:bCs/>
          <w:sz w:val="24"/>
          <w:szCs w:val="24"/>
        </w:rPr>
      </w:pPr>
      <w:r w:rsidRPr="00E27D00">
        <w:rPr>
          <w:b/>
          <w:bCs/>
          <w:sz w:val="24"/>
          <w:szCs w:val="24"/>
        </w:rPr>
        <w:t>FOSTER CARE/ADOPTION ASSISTANCE</w:t>
      </w:r>
    </w:p>
    <w:p w:rsidR="00BA2F68" w:rsidRPr="00E27D00" w:rsidRDefault="00BA2F68" w:rsidP="00E27D00">
      <w:pPr>
        <w:jc w:val="center"/>
        <w:rPr>
          <w:b/>
          <w:bCs/>
          <w:sz w:val="24"/>
          <w:szCs w:val="24"/>
        </w:rPr>
      </w:pPr>
    </w:p>
    <w:p w:rsidR="00E27D00" w:rsidRPr="00BA2F68" w:rsidRDefault="00FD641B" w:rsidP="001050FC">
      <w:pPr>
        <w:rPr>
          <w:sz w:val="24"/>
          <w:szCs w:val="24"/>
        </w:rPr>
      </w:pPr>
      <w:r w:rsidRPr="00FD641B">
        <w:rPr>
          <w:noProof/>
        </w:rPr>
        <w:drawing>
          <wp:inline distT="0" distB="0" distL="0" distR="0" wp14:anchorId="22F828FE" wp14:editId="25495198">
            <wp:extent cx="5943600" cy="50350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503503"/>
                    </a:xfrm>
                    <a:prstGeom prst="rect">
                      <a:avLst/>
                    </a:prstGeom>
                    <a:noFill/>
                    <a:ln>
                      <a:noFill/>
                    </a:ln>
                  </pic:spPr>
                </pic:pic>
              </a:graphicData>
            </a:graphic>
          </wp:inline>
        </w:drawing>
      </w:r>
    </w:p>
    <w:p w:rsidR="00C22A3D" w:rsidRDefault="00C22A3D" w:rsidP="00B4343C">
      <w:pPr>
        <w:rPr>
          <w:bCs/>
          <w:sz w:val="24"/>
          <w:szCs w:val="24"/>
        </w:rPr>
      </w:pPr>
    </w:p>
    <w:p w:rsidR="00B36C72" w:rsidRPr="00B36C72" w:rsidRDefault="00B36C72" w:rsidP="00B36C72">
      <w:pPr>
        <w:rPr>
          <w:sz w:val="24"/>
          <w:szCs w:val="24"/>
        </w:rPr>
      </w:pPr>
      <w:r w:rsidRPr="00B36C72">
        <w:rPr>
          <w:sz w:val="24"/>
          <w:szCs w:val="24"/>
        </w:rPr>
        <w:t xml:space="preserve">The IV-E Foster Care/Adoption Assistance and State-Funded Foster Care/Adoption Assistance programs in the Department of Health and Human Services provide foster care, independent living and adoption assistance services to children in the care or custody of the Department of Health and Humans Services.  Payments made from the IV-E Foster Care/Adoption Assistance program support children who are eligible under Title IV-E of the federal Social Security Act; payments from the state-funded program support children who are not eligible under Title IV-E.    Savings in the IV-E Foster Care/Adoption Assistance program </w:t>
      </w:r>
      <w:r w:rsidR="002823A1">
        <w:rPr>
          <w:sz w:val="24"/>
          <w:szCs w:val="24"/>
        </w:rPr>
        <w:t>of</w:t>
      </w:r>
      <w:r w:rsidRPr="00B36C72">
        <w:rPr>
          <w:sz w:val="24"/>
          <w:szCs w:val="24"/>
        </w:rPr>
        <w:t xml:space="preserve"> $5 million over the biennium </w:t>
      </w:r>
      <w:r w:rsidR="002823A1">
        <w:rPr>
          <w:sz w:val="24"/>
          <w:szCs w:val="24"/>
        </w:rPr>
        <w:t xml:space="preserve">were achieved </w:t>
      </w:r>
      <w:r w:rsidRPr="00B36C72">
        <w:rPr>
          <w:sz w:val="24"/>
          <w:szCs w:val="24"/>
        </w:rPr>
        <w:t xml:space="preserve">without reducing services </w:t>
      </w:r>
      <w:r w:rsidR="002823A1">
        <w:rPr>
          <w:sz w:val="24"/>
          <w:szCs w:val="24"/>
        </w:rPr>
        <w:t xml:space="preserve">as a result </w:t>
      </w:r>
      <w:r w:rsidRPr="00B36C72">
        <w:rPr>
          <w:sz w:val="24"/>
          <w:szCs w:val="24"/>
        </w:rPr>
        <w:t>of</w:t>
      </w:r>
      <w:r w:rsidR="002823A1">
        <w:rPr>
          <w:sz w:val="24"/>
          <w:szCs w:val="24"/>
        </w:rPr>
        <w:t xml:space="preserve"> fewer</w:t>
      </w:r>
      <w:r w:rsidRPr="00B36C72">
        <w:rPr>
          <w:sz w:val="24"/>
          <w:szCs w:val="24"/>
        </w:rPr>
        <w:t xml:space="preserve"> children in state custody.  Savings in the State-Funded Foster Care/Adoption Assistance program were realized by reducing contracts in the alternative response program and the family reunification program, eliminating supplemental services for children with complex emotional and behavioral needs, and the restructuring of the Office of Child and Family Services.  Program growth during the 2014-2015 biennium is projected to be approximately 13% in FY14 and less than 1% in FY15 due to the anticipated increase in the number of children entering foster care and an the increase in the number of children receiving adoption assistance.</w:t>
      </w:r>
    </w:p>
    <w:p w:rsidR="00E4089B" w:rsidRDefault="00E4089B" w:rsidP="00C22A3D">
      <w:pPr>
        <w:rPr>
          <w:sz w:val="24"/>
          <w:szCs w:val="24"/>
        </w:rPr>
      </w:pPr>
    </w:p>
    <w:p w:rsidR="002E4B1D" w:rsidRDefault="002E4B1D" w:rsidP="002E4B1D">
      <w:pPr>
        <w:jc w:val="center"/>
        <w:rPr>
          <w:b/>
          <w:bCs/>
          <w:sz w:val="24"/>
          <w:szCs w:val="24"/>
        </w:rPr>
      </w:pPr>
      <w:r w:rsidRPr="002E4B1D">
        <w:rPr>
          <w:b/>
          <w:bCs/>
          <w:sz w:val="24"/>
          <w:szCs w:val="24"/>
        </w:rPr>
        <w:t>COMMUNITY MENTAL HEALTH</w:t>
      </w:r>
    </w:p>
    <w:p w:rsidR="002E4B1D" w:rsidRDefault="002E4B1D" w:rsidP="002E4B1D">
      <w:pPr>
        <w:jc w:val="center"/>
        <w:rPr>
          <w:b/>
          <w:bCs/>
          <w:sz w:val="24"/>
          <w:szCs w:val="24"/>
        </w:rPr>
      </w:pPr>
    </w:p>
    <w:p w:rsidR="002E4B1D" w:rsidRPr="00BA2F68" w:rsidRDefault="00FD641B" w:rsidP="002E4B1D">
      <w:pPr>
        <w:jc w:val="center"/>
        <w:rPr>
          <w:b/>
          <w:bCs/>
          <w:sz w:val="24"/>
          <w:szCs w:val="24"/>
        </w:rPr>
      </w:pPr>
      <w:r w:rsidRPr="00FD641B">
        <w:rPr>
          <w:noProof/>
        </w:rPr>
        <w:drawing>
          <wp:inline distT="0" distB="0" distL="0" distR="0" wp14:anchorId="08CC0C57" wp14:editId="17020A19">
            <wp:extent cx="5943600" cy="50350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503503"/>
                    </a:xfrm>
                    <a:prstGeom prst="rect">
                      <a:avLst/>
                    </a:prstGeom>
                    <a:noFill/>
                    <a:ln>
                      <a:noFill/>
                    </a:ln>
                  </pic:spPr>
                </pic:pic>
              </a:graphicData>
            </a:graphic>
          </wp:inline>
        </w:drawing>
      </w:r>
    </w:p>
    <w:p w:rsidR="002E4B1D" w:rsidRDefault="002E4B1D" w:rsidP="002E4B1D">
      <w:pPr>
        <w:jc w:val="center"/>
        <w:rPr>
          <w:b/>
          <w:bCs/>
          <w:sz w:val="24"/>
          <w:szCs w:val="24"/>
        </w:rPr>
      </w:pPr>
    </w:p>
    <w:p w:rsidR="00B36C72" w:rsidRPr="00B36C72" w:rsidRDefault="00B36C72" w:rsidP="00B36C72">
      <w:pPr>
        <w:rPr>
          <w:sz w:val="24"/>
          <w:szCs w:val="24"/>
        </w:rPr>
      </w:pPr>
      <w:r w:rsidRPr="00B36C72">
        <w:rPr>
          <w:sz w:val="24"/>
          <w:szCs w:val="24"/>
        </w:rPr>
        <w:t>Funds for the Community Mental Health program are provided for services to adults who are not eligible for MaineCare or services that are not covered by MaineCare.  The 2012-2013 biennial budget reflected savings from retirement incentive program, changes to state employee benefits including elimination of merits and an attrition rate increase from 5% to 6%, Office of Adult Mental Health restructuring, and a 6% reduction in outreach crisis contracts.  $4.7 million of funding was restored for mental health services for non-MaineCare clients in FY12 and almost $2 million for the Bridging Rental Assistance Program over the biennium in order to conform to the consent decree.  Funding growth is projected to be less than 1% in FY14 and FY15.</w:t>
      </w:r>
    </w:p>
    <w:p w:rsidR="009447EA" w:rsidRDefault="009447EA" w:rsidP="000312D1">
      <w:pPr>
        <w:rPr>
          <w:sz w:val="24"/>
          <w:szCs w:val="24"/>
        </w:rPr>
      </w:pPr>
    </w:p>
    <w:p w:rsidR="009447EA" w:rsidRDefault="009447EA" w:rsidP="000312D1">
      <w:pPr>
        <w:rPr>
          <w:sz w:val="24"/>
          <w:szCs w:val="24"/>
        </w:rPr>
      </w:pPr>
    </w:p>
    <w:p w:rsidR="009447EA" w:rsidRDefault="009447EA" w:rsidP="009447EA">
      <w:pPr>
        <w:jc w:val="center"/>
        <w:rPr>
          <w:b/>
          <w:bCs/>
          <w:sz w:val="24"/>
          <w:szCs w:val="24"/>
        </w:rPr>
      </w:pPr>
      <w:r w:rsidRPr="009447EA">
        <w:rPr>
          <w:b/>
          <w:bCs/>
          <w:sz w:val="24"/>
          <w:szCs w:val="24"/>
        </w:rPr>
        <w:t>MENTAL HEALTH MEDICAID</w:t>
      </w:r>
    </w:p>
    <w:p w:rsidR="009447EA" w:rsidRDefault="009447EA" w:rsidP="009447EA">
      <w:pPr>
        <w:jc w:val="center"/>
        <w:rPr>
          <w:b/>
          <w:bCs/>
          <w:sz w:val="24"/>
          <w:szCs w:val="24"/>
        </w:rPr>
      </w:pPr>
    </w:p>
    <w:p w:rsidR="009447EA" w:rsidRPr="00BA2F68" w:rsidRDefault="00FD641B" w:rsidP="009447EA">
      <w:pPr>
        <w:jc w:val="center"/>
        <w:rPr>
          <w:b/>
          <w:bCs/>
          <w:sz w:val="24"/>
          <w:szCs w:val="24"/>
        </w:rPr>
      </w:pPr>
      <w:r w:rsidRPr="00FD641B">
        <w:rPr>
          <w:noProof/>
        </w:rPr>
        <w:drawing>
          <wp:inline distT="0" distB="0" distL="0" distR="0" wp14:anchorId="444A262A" wp14:editId="6BA7053A">
            <wp:extent cx="5943600" cy="503503"/>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503503"/>
                    </a:xfrm>
                    <a:prstGeom prst="rect">
                      <a:avLst/>
                    </a:prstGeom>
                    <a:noFill/>
                    <a:ln>
                      <a:noFill/>
                    </a:ln>
                  </pic:spPr>
                </pic:pic>
              </a:graphicData>
            </a:graphic>
          </wp:inline>
        </w:drawing>
      </w:r>
    </w:p>
    <w:p w:rsidR="009447EA" w:rsidRDefault="009447EA" w:rsidP="009447EA">
      <w:pPr>
        <w:jc w:val="center"/>
        <w:rPr>
          <w:b/>
          <w:bCs/>
          <w:sz w:val="24"/>
          <w:szCs w:val="24"/>
        </w:rPr>
      </w:pPr>
    </w:p>
    <w:p w:rsidR="00FD641B" w:rsidRPr="00FD641B" w:rsidRDefault="00FD641B" w:rsidP="00FD641B">
      <w:pPr>
        <w:rPr>
          <w:b/>
          <w:sz w:val="24"/>
          <w:szCs w:val="24"/>
        </w:rPr>
      </w:pPr>
    </w:p>
    <w:p w:rsidR="00B36C72" w:rsidRPr="00B36C72" w:rsidRDefault="00B36C72" w:rsidP="00B36C72">
      <w:pPr>
        <w:rPr>
          <w:sz w:val="24"/>
          <w:szCs w:val="24"/>
        </w:rPr>
      </w:pPr>
      <w:r w:rsidRPr="00B36C72">
        <w:rPr>
          <w:sz w:val="24"/>
          <w:szCs w:val="24"/>
        </w:rPr>
        <w:t>The Mental Health Services - Community Medicaid program provides a system of community mental health services and supports, including acute and long-term psychiatric inpatient services, for persons age 18 years and older who have serious mental illness and significant functional impairments.  The 2012-2013 biennium budget included appropriation increases due to a Federal Medical Assistance Percentage decrease.  Savings were achieved with the elimination of optional coverage for 19 and 20 year olds and limiting MaineCare reimbursement for methadone treatment to a lifetime maximum of 24 months.  Program growth is expected to be approximately 3.6% in</w:t>
      </w:r>
      <w:r w:rsidR="00B774CB">
        <w:rPr>
          <w:sz w:val="24"/>
          <w:szCs w:val="24"/>
        </w:rPr>
        <w:t xml:space="preserve"> FY14 and less than .5% in FY15</w:t>
      </w:r>
      <w:r w:rsidRPr="00B36C72">
        <w:rPr>
          <w:sz w:val="24"/>
          <w:szCs w:val="24"/>
        </w:rPr>
        <w:t xml:space="preserve"> </w:t>
      </w:r>
      <w:r w:rsidR="002823A1">
        <w:rPr>
          <w:sz w:val="24"/>
          <w:szCs w:val="24"/>
        </w:rPr>
        <w:t>primarily due to a</w:t>
      </w:r>
      <w:r w:rsidRPr="00B36C72">
        <w:rPr>
          <w:sz w:val="24"/>
          <w:szCs w:val="24"/>
        </w:rPr>
        <w:t xml:space="preserve"> projected Federal Medical Assistance Percentage decrease.</w:t>
      </w:r>
    </w:p>
    <w:p w:rsidR="009447EA" w:rsidRDefault="009447EA" w:rsidP="009447EA">
      <w:pPr>
        <w:rPr>
          <w:sz w:val="24"/>
          <w:szCs w:val="24"/>
        </w:rPr>
      </w:pPr>
    </w:p>
    <w:p w:rsidR="009447EA" w:rsidRDefault="009447EA" w:rsidP="009447EA">
      <w:pPr>
        <w:rPr>
          <w:sz w:val="24"/>
          <w:szCs w:val="24"/>
        </w:rPr>
      </w:pPr>
    </w:p>
    <w:p w:rsidR="0036213A" w:rsidRDefault="0036213A" w:rsidP="0036213A">
      <w:pPr>
        <w:jc w:val="center"/>
        <w:rPr>
          <w:b/>
          <w:bCs/>
          <w:sz w:val="24"/>
          <w:szCs w:val="24"/>
        </w:rPr>
      </w:pPr>
      <w:r w:rsidRPr="0036213A">
        <w:rPr>
          <w:b/>
          <w:bCs/>
          <w:sz w:val="24"/>
          <w:szCs w:val="24"/>
        </w:rPr>
        <w:t>COMMUNITY DEVELOPMENTAL SERVICES</w:t>
      </w:r>
    </w:p>
    <w:p w:rsidR="0036213A" w:rsidRPr="0036213A" w:rsidRDefault="0036213A" w:rsidP="0036213A">
      <w:pPr>
        <w:jc w:val="center"/>
        <w:rPr>
          <w:b/>
          <w:bCs/>
          <w:sz w:val="24"/>
          <w:szCs w:val="24"/>
        </w:rPr>
      </w:pPr>
    </w:p>
    <w:p w:rsidR="0036213A" w:rsidRPr="005841A1" w:rsidRDefault="00FD641B" w:rsidP="009447EA">
      <w:r w:rsidRPr="00FD641B">
        <w:rPr>
          <w:noProof/>
        </w:rPr>
        <w:drawing>
          <wp:inline distT="0" distB="0" distL="0" distR="0" wp14:anchorId="01807876" wp14:editId="3899FA0B">
            <wp:extent cx="5943600" cy="50350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503503"/>
                    </a:xfrm>
                    <a:prstGeom prst="rect">
                      <a:avLst/>
                    </a:prstGeom>
                    <a:noFill/>
                    <a:ln>
                      <a:noFill/>
                    </a:ln>
                  </pic:spPr>
                </pic:pic>
              </a:graphicData>
            </a:graphic>
          </wp:inline>
        </w:drawing>
      </w:r>
    </w:p>
    <w:p w:rsidR="0036213A" w:rsidRDefault="0036213A" w:rsidP="009447EA"/>
    <w:p w:rsidR="00B36C72" w:rsidRPr="00B36C72" w:rsidRDefault="00B36C72" w:rsidP="00B36C72">
      <w:pPr>
        <w:rPr>
          <w:sz w:val="24"/>
          <w:szCs w:val="24"/>
        </w:rPr>
      </w:pPr>
      <w:r w:rsidRPr="00B36C72">
        <w:rPr>
          <w:sz w:val="24"/>
          <w:szCs w:val="24"/>
        </w:rPr>
        <w:t>The Developmental Services service delivery system must provide services and support to a limited number of people with mental retardation or autism who are not eligible for MaineCare.  The program also assists those in need with financial resources to pay for some services that are not covered by the MaineCare program, such as family support, housing and food.  The 2012-2013 biennium reflected savings from the transfer of 44 Office of Adult with Cognitive and Physical Disabilities personnel to a different program within the department's Cost Allocation Plan to access the Medicaid administrative reimbursement rate of 50%, reducing reimbursement in rental assistance to United States Department of Housing and Urban Development levels and reducing funding no longer needed for legal services related to the consent decree.  Savings were also achieved through a number of changes to state employee benefits including increasing the attrition rate from 5% to 6%, maintaining the cost of health insurance at the fiscal year 2010-11 level, changes in future pension obligations, and eliminating merit increases and the retirement incentive program.  Program growth during the 2014-2015 biennium is projected to be approximately 6.7% in FY14 and 2.5% in FY15.</w:t>
      </w:r>
    </w:p>
    <w:p w:rsidR="00A3672C" w:rsidRDefault="00A3672C" w:rsidP="009447EA">
      <w:pPr>
        <w:rPr>
          <w:sz w:val="24"/>
          <w:szCs w:val="24"/>
        </w:rPr>
      </w:pPr>
    </w:p>
    <w:p w:rsidR="00A3672C" w:rsidRDefault="00A3672C" w:rsidP="009447EA">
      <w:pPr>
        <w:rPr>
          <w:sz w:val="24"/>
          <w:szCs w:val="24"/>
        </w:rPr>
      </w:pPr>
    </w:p>
    <w:p w:rsidR="00B36C72" w:rsidRDefault="00B36C72" w:rsidP="00E908B1">
      <w:pPr>
        <w:jc w:val="center"/>
        <w:rPr>
          <w:b/>
          <w:bCs/>
          <w:sz w:val="24"/>
          <w:szCs w:val="24"/>
        </w:rPr>
      </w:pPr>
    </w:p>
    <w:p w:rsidR="00AD0433" w:rsidRDefault="00AD0433" w:rsidP="00E908B1">
      <w:pPr>
        <w:jc w:val="center"/>
        <w:rPr>
          <w:b/>
          <w:bCs/>
          <w:sz w:val="24"/>
          <w:szCs w:val="24"/>
        </w:rPr>
      </w:pPr>
    </w:p>
    <w:p w:rsidR="00AD0433" w:rsidRDefault="00AD0433" w:rsidP="00E908B1">
      <w:pPr>
        <w:jc w:val="center"/>
        <w:rPr>
          <w:b/>
          <w:bCs/>
          <w:sz w:val="24"/>
          <w:szCs w:val="24"/>
        </w:rPr>
      </w:pPr>
    </w:p>
    <w:p w:rsidR="00AD0433" w:rsidRDefault="00AD0433" w:rsidP="00E908B1">
      <w:pPr>
        <w:jc w:val="center"/>
        <w:rPr>
          <w:b/>
          <w:bCs/>
          <w:sz w:val="24"/>
          <w:szCs w:val="24"/>
        </w:rPr>
      </w:pPr>
    </w:p>
    <w:p w:rsidR="00AD0433" w:rsidRDefault="00AD0433" w:rsidP="00E908B1">
      <w:pPr>
        <w:jc w:val="center"/>
        <w:rPr>
          <w:b/>
          <w:bCs/>
          <w:sz w:val="24"/>
          <w:szCs w:val="24"/>
        </w:rPr>
      </w:pPr>
    </w:p>
    <w:p w:rsidR="00AD0433" w:rsidRDefault="00AD0433" w:rsidP="00E908B1">
      <w:pPr>
        <w:jc w:val="center"/>
        <w:rPr>
          <w:b/>
          <w:bCs/>
          <w:sz w:val="24"/>
          <w:szCs w:val="24"/>
        </w:rPr>
      </w:pPr>
    </w:p>
    <w:p w:rsidR="00AD0433" w:rsidRDefault="00AD0433" w:rsidP="00E908B1">
      <w:pPr>
        <w:jc w:val="center"/>
        <w:rPr>
          <w:b/>
          <w:bCs/>
          <w:sz w:val="24"/>
          <w:szCs w:val="24"/>
        </w:rPr>
      </w:pPr>
    </w:p>
    <w:p w:rsidR="00DB7E1A" w:rsidRDefault="00DB7E1A" w:rsidP="00E908B1">
      <w:pPr>
        <w:jc w:val="center"/>
        <w:rPr>
          <w:b/>
          <w:bCs/>
          <w:sz w:val="24"/>
          <w:szCs w:val="24"/>
        </w:rPr>
      </w:pPr>
    </w:p>
    <w:p w:rsidR="00DB7E1A" w:rsidRDefault="00DB7E1A" w:rsidP="00E908B1">
      <w:pPr>
        <w:jc w:val="center"/>
        <w:rPr>
          <w:b/>
          <w:bCs/>
          <w:sz w:val="24"/>
          <w:szCs w:val="24"/>
        </w:rPr>
      </w:pPr>
    </w:p>
    <w:p w:rsidR="00E908B1" w:rsidRPr="00E908B1" w:rsidRDefault="00E908B1" w:rsidP="00E908B1">
      <w:pPr>
        <w:jc w:val="center"/>
        <w:rPr>
          <w:b/>
          <w:bCs/>
          <w:sz w:val="24"/>
          <w:szCs w:val="24"/>
        </w:rPr>
      </w:pPr>
      <w:r w:rsidRPr="00E908B1">
        <w:rPr>
          <w:b/>
          <w:bCs/>
          <w:sz w:val="24"/>
          <w:szCs w:val="24"/>
        </w:rPr>
        <w:t>DEVELOPMENTAL SERVICES MEDICAID</w:t>
      </w:r>
    </w:p>
    <w:p w:rsidR="00996113" w:rsidRPr="00996113" w:rsidRDefault="00996113" w:rsidP="009447EA">
      <w:pPr>
        <w:rPr>
          <w:sz w:val="24"/>
          <w:szCs w:val="24"/>
        </w:rPr>
      </w:pPr>
    </w:p>
    <w:p w:rsidR="009447EA" w:rsidRPr="005841A1" w:rsidRDefault="00FD641B" w:rsidP="009447EA">
      <w:pPr>
        <w:jc w:val="center"/>
        <w:rPr>
          <w:b/>
          <w:bCs/>
          <w:sz w:val="24"/>
          <w:szCs w:val="24"/>
        </w:rPr>
      </w:pPr>
      <w:r w:rsidRPr="00FD641B">
        <w:rPr>
          <w:noProof/>
        </w:rPr>
        <w:drawing>
          <wp:inline distT="0" distB="0" distL="0" distR="0" wp14:anchorId="061A542A" wp14:editId="3B1B77DF">
            <wp:extent cx="5943600" cy="503503"/>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503503"/>
                    </a:xfrm>
                    <a:prstGeom prst="rect">
                      <a:avLst/>
                    </a:prstGeom>
                    <a:noFill/>
                    <a:ln>
                      <a:noFill/>
                    </a:ln>
                  </pic:spPr>
                </pic:pic>
              </a:graphicData>
            </a:graphic>
          </wp:inline>
        </w:drawing>
      </w:r>
    </w:p>
    <w:p w:rsidR="00B36C72" w:rsidRDefault="00B36C72" w:rsidP="00B36C72">
      <w:pPr>
        <w:rPr>
          <w:sz w:val="24"/>
          <w:szCs w:val="24"/>
        </w:rPr>
      </w:pPr>
    </w:p>
    <w:p w:rsidR="00B36C72" w:rsidRPr="00B36C72" w:rsidRDefault="00B36C72" w:rsidP="00B36C72">
      <w:pPr>
        <w:rPr>
          <w:sz w:val="24"/>
          <w:szCs w:val="24"/>
        </w:rPr>
      </w:pPr>
      <w:r w:rsidRPr="00B36C72">
        <w:rPr>
          <w:sz w:val="24"/>
          <w:szCs w:val="24"/>
        </w:rPr>
        <w:t xml:space="preserve">Funding in the Developmental Services MaineCare, the Developmental Services - MaineCare Waiver and Developmental Services Supports Waiver programs provide services for persons with mental retardation or autistic disorder who are Medicaid eligible or Medicaid reimbursable.  Services provided include residential support, day habilitation and transportation.  The 2012-2013 biennium budget reflects </w:t>
      </w:r>
      <w:r w:rsidR="00B774CB">
        <w:rPr>
          <w:sz w:val="24"/>
          <w:szCs w:val="24"/>
        </w:rPr>
        <w:t xml:space="preserve">funding for </w:t>
      </w:r>
      <w:r w:rsidRPr="00B36C72">
        <w:rPr>
          <w:sz w:val="24"/>
          <w:szCs w:val="24"/>
        </w:rPr>
        <w:t>growth based on increased enrollment, additional funding to serve individuals on the waiting list for services, and a Federal Medical Assistance Percentage decrease.  Savings were achieved by a 5% reduction in rates paid to agency per diem homes.  Program growth in the 2014-2015 biennium is expected to be approximately 3.2% in FY14 and less than .5% in FY15 resulting primarily from a Federal Medical Assistance Percentage decrease.</w:t>
      </w:r>
    </w:p>
    <w:p w:rsidR="00E908B1" w:rsidRDefault="00E908B1" w:rsidP="009447EA">
      <w:pPr>
        <w:jc w:val="center"/>
        <w:rPr>
          <w:b/>
          <w:bCs/>
          <w:sz w:val="24"/>
          <w:szCs w:val="24"/>
        </w:rPr>
      </w:pPr>
    </w:p>
    <w:p w:rsidR="00E43F77" w:rsidRDefault="00E43F77" w:rsidP="00E43F77">
      <w:pPr>
        <w:jc w:val="center"/>
        <w:rPr>
          <w:b/>
          <w:bCs/>
          <w:sz w:val="24"/>
          <w:szCs w:val="24"/>
        </w:rPr>
      </w:pPr>
      <w:r w:rsidRPr="00E43F77">
        <w:rPr>
          <w:b/>
          <w:bCs/>
          <w:sz w:val="24"/>
          <w:szCs w:val="24"/>
        </w:rPr>
        <w:t xml:space="preserve">MENTAL HEALTH SERVICES </w:t>
      </w:r>
      <w:r>
        <w:rPr>
          <w:b/>
          <w:bCs/>
          <w:sz w:val="24"/>
          <w:szCs w:val="24"/>
        </w:rPr>
        <w:t>–</w:t>
      </w:r>
      <w:r w:rsidRPr="00E43F77">
        <w:rPr>
          <w:b/>
          <w:bCs/>
          <w:sz w:val="24"/>
          <w:szCs w:val="24"/>
        </w:rPr>
        <w:t xml:space="preserve"> CHILDREN</w:t>
      </w:r>
    </w:p>
    <w:p w:rsidR="00E43F77" w:rsidRPr="00E43F77" w:rsidRDefault="00E43F77" w:rsidP="00E43F77">
      <w:pPr>
        <w:jc w:val="center"/>
        <w:rPr>
          <w:b/>
          <w:bCs/>
          <w:sz w:val="24"/>
          <w:szCs w:val="24"/>
        </w:rPr>
      </w:pPr>
    </w:p>
    <w:p w:rsidR="00A06490" w:rsidRPr="005841A1" w:rsidRDefault="00FD641B" w:rsidP="00E908B1">
      <w:pPr>
        <w:rPr>
          <w:bCs/>
          <w:sz w:val="24"/>
          <w:szCs w:val="24"/>
        </w:rPr>
      </w:pPr>
      <w:r w:rsidRPr="00FD641B">
        <w:rPr>
          <w:noProof/>
        </w:rPr>
        <w:drawing>
          <wp:inline distT="0" distB="0" distL="0" distR="0" wp14:anchorId="27D26AB9" wp14:editId="4E550456">
            <wp:extent cx="5943600" cy="503503"/>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3600" cy="503503"/>
                    </a:xfrm>
                    <a:prstGeom prst="rect">
                      <a:avLst/>
                    </a:prstGeom>
                    <a:noFill/>
                    <a:ln>
                      <a:noFill/>
                    </a:ln>
                  </pic:spPr>
                </pic:pic>
              </a:graphicData>
            </a:graphic>
          </wp:inline>
        </w:drawing>
      </w:r>
    </w:p>
    <w:p w:rsidR="00B36C72" w:rsidRDefault="00B36C72" w:rsidP="00B36C72">
      <w:pPr>
        <w:rPr>
          <w:sz w:val="24"/>
          <w:szCs w:val="24"/>
        </w:rPr>
      </w:pPr>
    </w:p>
    <w:p w:rsidR="00B36C72" w:rsidRPr="00B36C72" w:rsidRDefault="00B36C72" w:rsidP="00B36C72">
      <w:pPr>
        <w:rPr>
          <w:sz w:val="24"/>
          <w:szCs w:val="24"/>
        </w:rPr>
      </w:pPr>
      <w:r w:rsidRPr="00B36C72">
        <w:rPr>
          <w:sz w:val="24"/>
          <w:szCs w:val="24"/>
        </w:rPr>
        <w:t>Funds for Children's Mental Health Services are provided for services to children who are not eligible for MaineCare or services that are not covered by MaineCare.  The 2012-2013 biennium reflected savings from the elimination of 9 positions as the result of restructuring within the department, the retirement incentive program, changes to employee benefits including the increase of the attrition rate from 5% to 6%.  Funding growth in this program is projected to be approximately 5% in FY14 and 1% in FY15.</w:t>
      </w:r>
    </w:p>
    <w:p w:rsidR="00E43F77" w:rsidRDefault="00E43F77" w:rsidP="00E908B1">
      <w:pPr>
        <w:rPr>
          <w:bCs/>
          <w:sz w:val="24"/>
          <w:szCs w:val="24"/>
        </w:rPr>
      </w:pPr>
    </w:p>
    <w:p w:rsidR="002E4B1D" w:rsidRDefault="002E4B1D" w:rsidP="00C22A3D">
      <w:pPr>
        <w:rPr>
          <w:sz w:val="24"/>
          <w:szCs w:val="24"/>
        </w:rPr>
      </w:pPr>
    </w:p>
    <w:p w:rsidR="00AC4B98" w:rsidRDefault="00AC4B98" w:rsidP="00AC4B98">
      <w:pPr>
        <w:jc w:val="center"/>
        <w:rPr>
          <w:b/>
          <w:bCs/>
          <w:sz w:val="24"/>
          <w:szCs w:val="24"/>
        </w:rPr>
      </w:pPr>
      <w:r w:rsidRPr="00AC4B98">
        <w:rPr>
          <w:b/>
          <w:bCs/>
          <w:sz w:val="24"/>
          <w:szCs w:val="24"/>
        </w:rPr>
        <w:t>MENTAL HEALTH SERVICES - CHILD MEDICAID</w:t>
      </w:r>
    </w:p>
    <w:p w:rsidR="003E32AF" w:rsidRDefault="003E32AF" w:rsidP="00AC4B98">
      <w:pPr>
        <w:jc w:val="center"/>
      </w:pPr>
    </w:p>
    <w:p w:rsidR="00AC4B98" w:rsidRDefault="006A476D" w:rsidP="00AC4B98">
      <w:pPr>
        <w:jc w:val="center"/>
        <w:rPr>
          <w:b/>
          <w:bCs/>
          <w:sz w:val="24"/>
          <w:szCs w:val="24"/>
        </w:rPr>
      </w:pPr>
      <w:r w:rsidRPr="006A476D">
        <w:rPr>
          <w:noProof/>
        </w:rPr>
        <w:drawing>
          <wp:inline distT="0" distB="0" distL="0" distR="0" wp14:anchorId="2E943BDF" wp14:editId="07C9B1AE">
            <wp:extent cx="5943600" cy="503503"/>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503503"/>
                    </a:xfrm>
                    <a:prstGeom prst="rect">
                      <a:avLst/>
                    </a:prstGeom>
                    <a:noFill/>
                    <a:ln>
                      <a:noFill/>
                    </a:ln>
                  </pic:spPr>
                </pic:pic>
              </a:graphicData>
            </a:graphic>
          </wp:inline>
        </w:drawing>
      </w:r>
    </w:p>
    <w:p w:rsidR="00AC4B98" w:rsidRPr="005841A1" w:rsidRDefault="00AC4B98" w:rsidP="00AC4B98">
      <w:pPr>
        <w:jc w:val="center"/>
        <w:rPr>
          <w:b/>
          <w:bCs/>
          <w:sz w:val="24"/>
          <w:szCs w:val="24"/>
        </w:rPr>
      </w:pPr>
    </w:p>
    <w:p w:rsidR="00B36C72" w:rsidRPr="00B36C72" w:rsidRDefault="00B36C72" w:rsidP="00B36C72">
      <w:pPr>
        <w:rPr>
          <w:sz w:val="24"/>
          <w:szCs w:val="24"/>
        </w:rPr>
      </w:pPr>
      <w:r w:rsidRPr="00B36C72">
        <w:rPr>
          <w:sz w:val="24"/>
          <w:szCs w:val="24"/>
        </w:rPr>
        <w:t>General Fund support is used to provide state seed for services provided to eligible children and youth under the Child Medicaid Program.  The 2012-2013 biennium budget reflects the transfer of interpretive and translation services to the Medical Care - Payment to Providers program, a rate reduction for outpatient services, and the elimination of optional coverage under the MaineCare program for persons 19 and 20 years old.</w:t>
      </w:r>
      <w:r w:rsidR="00394E91">
        <w:rPr>
          <w:sz w:val="24"/>
          <w:szCs w:val="24"/>
        </w:rPr>
        <w:t xml:space="preserve">  </w:t>
      </w:r>
      <w:r w:rsidRPr="00B36C72">
        <w:rPr>
          <w:sz w:val="24"/>
          <w:szCs w:val="24"/>
        </w:rPr>
        <w:t>Appropriations in the 2012-2013 biennium were provided for program growth due to increased enrollment and a Federal Medical Assistance Percentage decrease.  The 2014-2015 biennium budget reflects growth of approximately 8% in FY14 and less than .10% in FY15 due to a projected increase in utilization</w:t>
      </w:r>
      <w:r w:rsidR="00B774CB">
        <w:rPr>
          <w:sz w:val="24"/>
          <w:szCs w:val="24"/>
        </w:rPr>
        <w:t xml:space="preserve"> and a decrease in the Federal Medical Assistance Percentage</w:t>
      </w:r>
      <w:r w:rsidRPr="00B36C72">
        <w:rPr>
          <w:sz w:val="24"/>
          <w:szCs w:val="24"/>
        </w:rPr>
        <w:t>.</w:t>
      </w:r>
    </w:p>
    <w:p w:rsidR="00AC4B98" w:rsidRPr="00AC4B98" w:rsidRDefault="00AC4B98" w:rsidP="00AC4B98">
      <w:pPr>
        <w:rPr>
          <w:bCs/>
          <w:sz w:val="24"/>
          <w:szCs w:val="24"/>
        </w:rPr>
      </w:pPr>
    </w:p>
    <w:p w:rsidR="00AC4B98" w:rsidRPr="00C22A3D" w:rsidRDefault="00AC4B98" w:rsidP="00C22A3D">
      <w:pPr>
        <w:rPr>
          <w:sz w:val="24"/>
          <w:szCs w:val="24"/>
        </w:rPr>
      </w:pPr>
    </w:p>
    <w:p w:rsidR="00232BD8" w:rsidRDefault="00B4343C" w:rsidP="00232BD8">
      <w:pPr>
        <w:pStyle w:val="DefaultText"/>
        <w:outlineLvl w:val="0"/>
      </w:pPr>
      <w:r>
        <w:rPr>
          <w:bCs/>
          <w:szCs w:val="24"/>
        </w:rPr>
        <w:br w:type="page"/>
      </w:r>
      <w:r w:rsidR="00232BD8">
        <w:rPr>
          <w:b/>
          <w:u w:val="single"/>
        </w:rPr>
        <w:t>III. HIGHWAY FUND</w:t>
      </w:r>
    </w:p>
    <w:p w:rsidR="00B4343C" w:rsidRDefault="00B4343C" w:rsidP="00B4343C"/>
    <w:p w:rsidR="00B4343C" w:rsidRDefault="00B4343C" w:rsidP="00B4343C"/>
    <w:p w:rsidR="00B4343C" w:rsidRDefault="00B4343C" w:rsidP="00A0602C">
      <w:pPr>
        <w:numPr>
          <w:ilvl w:val="0"/>
          <w:numId w:val="3"/>
        </w:numPr>
        <w:rPr>
          <w:b/>
          <w:bCs/>
          <w:sz w:val="24"/>
          <w:szCs w:val="24"/>
        </w:rPr>
      </w:pPr>
      <w:r w:rsidRPr="00C94440">
        <w:rPr>
          <w:b/>
          <w:bCs/>
          <w:sz w:val="24"/>
          <w:szCs w:val="24"/>
        </w:rPr>
        <w:t>BUDGET STATUS FY 1</w:t>
      </w:r>
      <w:r w:rsidR="00633618">
        <w:rPr>
          <w:b/>
          <w:bCs/>
          <w:sz w:val="24"/>
          <w:szCs w:val="24"/>
        </w:rPr>
        <w:t>2</w:t>
      </w:r>
      <w:r w:rsidRPr="00C94440">
        <w:rPr>
          <w:b/>
          <w:bCs/>
          <w:sz w:val="24"/>
          <w:szCs w:val="24"/>
        </w:rPr>
        <w:t>-1</w:t>
      </w:r>
      <w:r w:rsidR="00633618">
        <w:rPr>
          <w:b/>
          <w:bCs/>
          <w:sz w:val="24"/>
          <w:szCs w:val="24"/>
        </w:rPr>
        <w:t>5</w:t>
      </w:r>
    </w:p>
    <w:p w:rsidR="00A0602C" w:rsidRDefault="00A0602C" w:rsidP="00A0602C">
      <w:pPr>
        <w:rPr>
          <w:b/>
          <w:bCs/>
          <w:sz w:val="24"/>
          <w:szCs w:val="24"/>
        </w:rPr>
      </w:pPr>
    </w:p>
    <w:p w:rsidR="00A0602C" w:rsidRPr="00E27605" w:rsidRDefault="00B73DD2" w:rsidP="00A0602C">
      <w:pPr>
        <w:rPr>
          <w:b/>
          <w:bCs/>
          <w:sz w:val="24"/>
          <w:szCs w:val="24"/>
        </w:rPr>
      </w:pPr>
      <w:r w:rsidRPr="00B73DD2">
        <w:rPr>
          <w:noProof/>
        </w:rPr>
        <w:drawing>
          <wp:inline distT="0" distB="0" distL="0" distR="0" wp14:anchorId="50B050D2" wp14:editId="17196128">
            <wp:extent cx="5943600" cy="2776166"/>
            <wp:effectExtent l="0" t="0" r="0" b="5715"/>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3600" cy="2776166"/>
                    </a:xfrm>
                    <a:prstGeom prst="rect">
                      <a:avLst/>
                    </a:prstGeom>
                    <a:noFill/>
                    <a:ln>
                      <a:noFill/>
                    </a:ln>
                  </pic:spPr>
                </pic:pic>
              </a:graphicData>
            </a:graphic>
          </wp:inline>
        </w:drawing>
      </w:r>
    </w:p>
    <w:p w:rsidR="00AB3AF7" w:rsidRPr="00AB3AF7" w:rsidRDefault="00AB3AF7" w:rsidP="00A0602C">
      <w:pPr>
        <w:rPr>
          <w:bCs/>
          <w:sz w:val="24"/>
          <w:szCs w:val="24"/>
        </w:rPr>
      </w:pPr>
    </w:p>
    <w:p w:rsidR="001B63F7" w:rsidRDefault="00AB3AF7" w:rsidP="001B63F7">
      <w:pPr>
        <w:pStyle w:val="DefaultText"/>
        <w:rPr>
          <w:rStyle w:val="InitialStyle"/>
          <w:rFonts w:ascii="Times New Roman" w:hAnsi="Times New Roman"/>
        </w:rPr>
      </w:pPr>
      <w:r w:rsidRPr="001B63F7">
        <w:rPr>
          <w:bCs/>
          <w:szCs w:val="24"/>
        </w:rPr>
        <w:t>The Highway Fund</w:t>
      </w:r>
      <w:r w:rsidR="001B63F7" w:rsidRPr="001B63F7">
        <w:rPr>
          <w:bCs/>
          <w:szCs w:val="24"/>
        </w:rPr>
        <w:t xml:space="preserve"> adjusted fund balance for FY 1</w:t>
      </w:r>
      <w:r w:rsidR="003A69C6">
        <w:rPr>
          <w:bCs/>
          <w:szCs w:val="24"/>
        </w:rPr>
        <w:t>2</w:t>
      </w:r>
      <w:r w:rsidR="001B63F7" w:rsidRPr="001B63F7">
        <w:rPr>
          <w:bCs/>
          <w:szCs w:val="24"/>
        </w:rPr>
        <w:t xml:space="preserve"> was $</w:t>
      </w:r>
      <w:r w:rsidR="003A69C6">
        <w:rPr>
          <w:bCs/>
          <w:szCs w:val="24"/>
        </w:rPr>
        <w:t>45,283</w:t>
      </w:r>
      <w:r w:rsidRPr="001B63F7">
        <w:rPr>
          <w:bCs/>
          <w:szCs w:val="24"/>
        </w:rPr>
        <w:t xml:space="preserve"> and is projected to be $</w:t>
      </w:r>
      <w:r w:rsidR="003A69C6">
        <w:rPr>
          <w:bCs/>
          <w:szCs w:val="24"/>
        </w:rPr>
        <w:t>76,984</w:t>
      </w:r>
      <w:r w:rsidR="001B63F7" w:rsidRPr="001B63F7">
        <w:rPr>
          <w:bCs/>
          <w:szCs w:val="24"/>
        </w:rPr>
        <w:t xml:space="preserve"> at the end of FY 1</w:t>
      </w:r>
      <w:r w:rsidR="003A69C6">
        <w:rPr>
          <w:bCs/>
          <w:szCs w:val="24"/>
        </w:rPr>
        <w:t>3</w:t>
      </w:r>
      <w:r w:rsidRPr="001B63F7">
        <w:rPr>
          <w:bCs/>
          <w:szCs w:val="24"/>
        </w:rPr>
        <w:t xml:space="preserve">, </w:t>
      </w:r>
      <w:r w:rsidR="001B63F7" w:rsidRPr="001B63F7">
        <w:rPr>
          <w:rStyle w:val="InitialStyle"/>
          <w:rFonts w:ascii="Times New Roman" w:hAnsi="Times New Roman"/>
        </w:rPr>
        <w:t>including adjustments enacted through the Second Regular Session of the 12</w:t>
      </w:r>
      <w:r w:rsidR="003A69C6">
        <w:rPr>
          <w:rStyle w:val="InitialStyle"/>
          <w:rFonts w:ascii="Times New Roman" w:hAnsi="Times New Roman"/>
        </w:rPr>
        <w:t>5</w:t>
      </w:r>
      <w:r w:rsidR="001B63F7" w:rsidRPr="001B63F7">
        <w:rPr>
          <w:rStyle w:val="InitialStyle"/>
          <w:rFonts w:ascii="Times New Roman" w:hAnsi="Times New Roman"/>
        </w:rPr>
        <w:t>th Legislature.</w:t>
      </w:r>
    </w:p>
    <w:p w:rsidR="00AB3AF7" w:rsidRPr="00BB1D29" w:rsidRDefault="00AB3AF7" w:rsidP="00A0602C">
      <w:pPr>
        <w:rPr>
          <w:bCs/>
          <w:sz w:val="24"/>
          <w:szCs w:val="24"/>
        </w:rPr>
      </w:pPr>
    </w:p>
    <w:p w:rsidR="00D851E1" w:rsidRDefault="00AB3AF7" w:rsidP="00D851E1">
      <w:pPr>
        <w:pStyle w:val="DefaultText"/>
        <w:rPr>
          <w:rStyle w:val="InitialStyle"/>
          <w:rFonts w:ascii="Times New Roman" w:hAnsi="Times New Roman"/>
        </w:rPr>
      </w:pPr>
      <w:r w:rsidRPr="00BB1D29">
        <w:rPr>
          <w:bCs/>
          <w:szCs w:val="24"/>
        </w:rPr>
        <w:t>The Revenue Forecasting Comm</w:t>
      </w:r>
      <w:r w:rsidR="00D851E1" w:rsidRPr="00BB1D29">
        <w:rPr>
          <w:bCs/>
          <w:szCs w:val="24"/>
        </w:rPr>
        <w:t>ittee (RFC) in its December 20</w:t>
      </w:r>
      <w:r w:rsidR="003A69C6">
        <w:rPr>
          <w:bCs/>
          <w:szCs w:val="24"/>
        </w:rPr>
        <w:t>11</w:t>
      </w:r>
      <w:r w:rsidRPr="00BB1D29">
        <w:rPr>
          <w:bCs/>
          <w:szCs w:val="24"/>
        </w:rPr>
        <w:t xml:space="preserve"> report re</w:t>
      </w:r>
      <w:r w:rsidR="006353A9">
        <w:rPr>
          <w:bCs/>
          <w:szCs w:val="24"/>
        </w:rPr>
        <w:t>-</w:t>
      </w:r>
      <w:r w:rsidRPr="00BB1D29">
        <w:rPr>
          <w:bCs/>
          <w:szCs w:val="24"/>
        </w:rPr>
        <w:t>proj</w:t>
      </w:r>
      <w:r w:rsidR="00BB1D29" w:rsidRPr="00BB1D29">
        <w:rPr>
          <w:bCs/>
          <w:szCs w:val="24"/>
        </w:rPr>
        <w:t xml:space="preserve">ected revenues </w:t>
      </w:r>
      <w:r w:rsidR="00451F8A">
        <w:rPr>
          <w:bCs/>
          <w:szCs w:val="24"/>
        </w:rPr>
        <w:t>upward</w:t>
      </w:r>
      <w:r w:rsidR="00BB1D29" w:rsidRPr="00BB1D29">
        <w:rPr>
          <w:bCs/>
          <w:szCs w:val="24"/>
        </w:rPr>
        <w:t xml:space="preserve"> by </w:t>
      </w:r>
      <w:r w:rsidR="002C394C">
        <w:rPr>
          <w:bCs/>
          <w:szCs w:val="24"/>
        </w:rPr>
        <w:t>$</w:t>
      </w:r>
      <w:r w:rsidR="00451F8A">
        <w:rPr>
          <w:bCs/>
          <w:szCs w:val="24"/>
        </w:rPr>
        <w:t>5.</w:t>
      </w:r>
      <w:r w:rsidR="004C163F">
        <w:rPr>
          <w:bCs/>
          <w:szCs w:val="24"/>
        </w:rPr>
        <w:t>3</w:t>
      </w:r>
      <w:r w:rsidR="00BB1D29" w:rsidRPr="00BB1D29">
        <w:rPr>
          <w:bCs/>
          <w:szCs w:val="24"/>
        </w:rPr>
        <w:t xml:space="preserve"> </w:t>
      </w:r>
      <w:r w:rsidR="00A17D9C">
        <w:rPr>
          <w:bCs/>
          <w:szCs w:val="24"/>
        </w:rPr>
        <w:t xml:space="preserve">million </w:t>
      </w:r>
      <w:r w:rsidRPr="00BB1D29">
        <w:rPr>
          <w:bCs/>
          <w:szCs w:val="24"/>
        </w:rPr>
        <w:t>for the 201</w:t>
      </w:r>
      <w:r w:rsidR="003A69C6">
        <w:rPr>
          <w:bCs/>
          <w:szCs w:val="24"/>
        </w:rPr>
        <w:t>4</w:t>
      </w:r>
      <w:r w:rsidRPr="00BB1D29">
        <w:rPr>
          <w:bCs/>
          <w:szCs w:val="24"/>
        </w:rPr>
        <w:t>-</w:t>
      </w:r>
      <w:r w:rsidR="00D851E1" w:rsidRPr="00BB1D29">
        <w:rPr>
          <w:bCs/>
          <w:szCs w:val="24"/>
        </w:rPr>
        <w:t>201</w:t>
      </w:r>
      <w:r w:rsidR="003A69C6">
        <w:rPr>
          <w:bCs/>
          <w:szCs w:val="24"/>
        </w:rPr>
        <w:t>5</w:t>
      </w:r>
      <w:r w:rsidR="00D851E1" w:rsidRPr="00BB1D29">
        <w:rPr>
          <w:bCs/>
          <w:szCs w:val="24"/>
        </w:rPr>
        <w:t xml:space="preserve"> biennium.</w:t>
      </w:r>
      <w:r w:rsidR="005378AD" w:rsidRPr="00BB1D29">
        <w:rPr>
          <w:bCs/>
          <w:szCs w:val="24"/>
        </w:rPr>
        <w:t xml:space="preserve">  </w:t>
      </w:r>
      <w:r w:rsidR="00D851E1" w:rsidRPr="00BB1D29">
        <w:rPr>
          <w:bCs/>
          <w:szCs w:val="24"/>
        </w:rPr>
        <w:t xml:space="preserve">The RFC in </w:t>
      </w:r>
      <w:r w:rsidR="003A69C6">
        <w:rPr>
          <w:bCs/>
          <w:szCs w:val="24"/>
        </w:rPr>
        <w:t>March</w:t>
      </w:r>
      <w:r w:rsidR="00D851E1" w:rsidRPr="00BB1D29">
        <w:rPr>
          <w:bCs/>
          <w:szCs w:val="24"/>
        </w:rPr>
        <w:t xml:space="preserve"> 201</w:t>
      </w:r>
      <w:r w:rsidR="003A69C6">
        <w:rPr>
          <w:bCs/>
          <w:szCs w:val="24"/>
        </w:rPr>
        <w:t>2</w:t>
      </w:r>
      <w:r w:rsidRPr="00BB1D29">
        <w:rPr>
          <w:bCs/>
          <w:szCs w:val="24"/>
        </w:rPr>
        <w:t xml:space="preserve"> </w:t>
      </w:r>
      <w:r w:rsidR="00451F8A">
        <w:rPr>
          <w:bCs/>
          <w:szCs w:val="24"/>
        </w:rPr>
        <w:t>in</w:t>
      </w:r>
      <w:r w:rsidRPr="00BB1D29">
        <w:rPr>
          <w:bCs/>
          <w:szCs w:val="24"/>
        </w:rPr>
        <w:t>creased</w:t>
      </w:r>
      <w:r w:rsidR="00BB1D29" w:rsidRPr="00BB1D29">
        <w:rPr>
          <w:bCs/>
          <w:szCs w:val="24"/>
        </w:rPr>
        <w:t xml:space="preserve"> its revenue projections by </w:t>
      </w:r>
      <w:r w:rsidR="002C394C">
        <w:rPr>
          <w:bCs/>
          <w:szCs w:val="24"/>
        </w:rPr>
        <w:t>$</w:t>
      </w:r>
      <w:r w:rsidR="00451F8A">
        <w:rPr>
          <w:bCs/>
          <w:szCs w:val="24"/>
        </w:rPr>
        <w:t>3.</w:t>
      </w:r>
      <w:r w:rsidR="004C163F">
        <w:rPr>
          <w:bCs/>
          <w:szCs w:val="24"/>
        </w:rPr>
        <w:t>6</w:t>
      </w:r>
      <w:r w:rsidRPr="00BB1D29">
        <w:rPr>
          <w:bCs/>
          <w:szCs w:val="24"/>
        </w:rPr>
        <w:t xml:space="preserve"> million </w:t>
      </w:r>
      <w:r w:rsidR="003A69C6">
        <w:rPr>
          <w:bCs/>
          <w:szCs w:val="24"/>
        </w:rPr>
        <w:t xml:space="preserve">and the RFC in </w:t>
      </w:r>
      <w:r w:rsidR="006353A9">
        <w:rPr>
          <w:bCs/>
          <w:szCs w:val="24"/>
        </w:rPr>
        <w:t xml:space="preserve">the </w:t>
      </w:r>
      <w:r w:rsidR="003A69C6">
        <w:rPr>
          <w:bCs/>
          <w:szCs w:val="24"/>
        </w:rPr>
        <w:t xml:space="preserve">April </w:t>
      </w:r>
      <w:r w:rsidR="006353A9">
        <w:rPr>
          <w:bCs/>
          <w:szCs w:val="24"/>
        </w:rPr>
        <w:t xml:space="preserve">2012 Special Forecast of </w:t>
      </w:r>
      <w:r w:rsidR="00451F8A">
        <w:rPr>
          <w:bCs/>
          <w:szCs w:val="24"/>
        </w:rPr>
        <w:t>de</w:t>
      </w:r>
      <w:r w:rsidR="003A69C6">
        <w:rPr>
          <w:bCs/>
          <w:szCs w:val="24"/>
        </w:rPr>
        <w:t>creased its revenue projections by</w:t>
      </w:r>
      <w:r w:rsidR="00B34938">
        <w:rPr>
          <w:bCs/>
          <w:szCs w:val="24"/>
        </w:rPr>
        <w:t xml:space="preserve"> </w:t>
      </w:r>
      <w:r w:rsidR="002C394C">
        <w:rPr>
          <w:bCs/>
          <w:szCs w:val="24"/>
        </w:rPr>
        <w:t>$</w:t>
      </w:r>
      <w:r w:rsidR="00B34938">
        <w:rPr>
          <w:bCs/>
          <w:szCs w:val="24"/>
        </w:rPr>
        <w:t>6.4 million,</w:t>
      </w:r>
      <w:r w:rsidR="003A69C6">
        <w:rPr>
          <w:bCs/>
          <w:szCs w:val="24"/>
        </w:rPr>
        <w:t xml:space="preserve"> </w:t>
      </w:r>
      <w:r w:rsidRPr="00BB1D29">
        <w:rPr>
          <w:bCs/>
          <w:szCs w:val="24"/>
        </w:rPr>
        <w:t xml:space="preserve">resulting </w:t>
      </w:r>
      <w:r w:rsidR="007D096B">
        <w:rPr>
          <w:bCs/>
          <w:szCs w:val="24"/>
        </w:rPr>
        <w:t xml:space="preserve">in </w:t>
      </w:r>
      <w:r w:rsidRPr="00BB1D29">
        <w:rPr>
          <w:bCs/>
          <w:szCs w:val="24"/>
        </w:rPr>
        <w:t xml:space="preserve">a net overall revenue </w:t>
      </w:r>
      <w:r w:rsidR="00F5143D">
        <w:rPr>
          <w:bCs/>
          <w:szCs w:val="24"/>
        </w:rPr>
        <w:t>in</w:t>
      </w:r>
      <w:r w:rsidR="00BB1D29" w:rsidRPr="00BB1D29">
        <w:rPr>
          <w:bCs/>
          <w:szCs w:val="24"/>
        </w:rPr>
        <w:t>crease of $</w:t>
      </w:r>
      <w:r w:rsidR="00B34938">
        <w:rPr>
          <w:bCs/>
          <w:szCs w:val="24"/>
        </w:rPr>
        <w:t>2.</w:t>
      </w:r>
      <w:r w:rsidR="004C163F">
        <w:rPr>
          <w:bCs/>
          <w:szCs w:val="24"/>
        </w:rPr>
        <w:t>5</w:t>
      </w:r>
      <w:r w:rsidR="006353A9">
        <w:rPr>
          <w:bCs/>
          <w:szCs w:val="24"/>
        </w:rPr>
        <w:t xml:space="preserve"> million</w:t>
      </w:r>
      <w:r w:rsidR="00BB1D29" w:rsidRPr="00BB1D29">
        <w:rPr>
          <w:bCs/>
          <w:szCs w:val="24"/>
        </w:rPr>
        <w:t xml:space="preserve"> </w:t>
      </w:r>
      <w:r w:rsidR="00D851E1" w:rsidRPr="00BB1D29">
        <w:rPr>
          <w:bCs/>
          <w:szCs w:val="24"/>
        </w:rPr>
        <w:t>for the 201</w:t>
      </w:r>
      <w:r w:rsidR="003A69C6">
        <w:rPr>
          <w:bCs/>
          <w:szCs w:val="24"/>
        </w:rPr>
        <w:t>4</w:t>
      </w:r>
      <w:r w:rsidRPr="00BB1D29">
        <w:rPr>
          <w:bCs/>
          <w:szCs w:val="24"/>
        </w:rPr>
        <w:t>-</w:t>
      </w:r>
      <w:r w:rsidR="00D851E1" w:rsidRPr="00BB1D29">
        <w:rPr>
          <w:bCs/>
          <w:szCs w:val="24"/>
        </w:rPr>
        <w:t>201</w:t>
      </w:r>
      <w:r w:rsidR="003A69C6">
        <w:rPr>
          <w:bCs/>
          <w:szCs w:val="24"/>
        </w:rPr>
        <w:t>5</w:t>
      </w:r>
      <w:r w:rsidRPr="00BB1D29">
        <w:rPr>
          <w:bCs/>
          <w:szCs w:val="24"/>
        </w:rPr>
        <w:t xml:space="preserve"> biennium. </w:t>
      </w:r>
      <w:r w:rsidR="00D851E1" w:rsidRPr="00BB1D29">
        <w:rPr>
          <w:rStyle w:val="InitialStyle"/>
          <w:rFonts w:ascii="Times New Roman" w:hAnsi="Times New Roman"/>
        </w:rPr>
        <w:t>The revenue projections also include revisions made in miscellaneous laws enacted through the Second Regular Session of the 12</w:t>
      </w:r>
      <w:r w:rsidR="006353A9">
        <w:rPr>
          <w:rStyle w:val="InitialStyle"/>
          <w:rFonts w:ascii="Times New Roman" w:hAnsi="Times New Roman"/>
        </w:rPr>
        <w:t>5</w:t>
      </w:r>
      <w:r w:rsidR="00D851E1" w:rsidRPr="00BB1D29">
        <w:rPr>
          <w:rStyle w:val="InitialStyle"/>
          <w:rFonts w:ascii="Times New Roman" w:hAnsi="Times New Roman"/>
          <w:vertAlign w:val="superscript"/>
        </w:rPr>
        <w:t>th</w:t>
      </w:r>
      <w:r w:rsidR="00D851E1" w:rsidRPr="00BB1D29">
        <w:rPr>
          <w:rStyle w:val="InitialStyle"/>
          <w:rFonts w:ascii="Times New Roman" w:hAnsi="Times New Roman"/>
        </w:rPr>
        <w:t xml:space="preserve"> Legislature.</w:t>
      </w:r>
    </w:p>
    <w:p w:rsidR="008A47E4" w:rsidRDefault="008A47E4" w:rsidP="00D851E1">
      <w:pPr>
        <w:pStyle w:val="DefaultText"/>
        <w:rPr>
          <w:rStyle w:val="InitialStyle"/>
          <w:rFonts w:ascii="Times New Roman" w:hAnsi="Times New Roman"/>
        </w:rPr>
      </w:pPr>
    </w:p>
    <w:p w:rsidR="00921B70" w:rsidRPr="00AB3AF7" w:rsidRDefault="00A90011" w:rsidP="00B83C35">
      <w:pPr>
        <w:rPr>
          <w:bCs/>
          <w:sz w:val="24"/>
          <w:szCs w:val="24"/>
        </w:rPr>
      </w:pPr>
      <w:r w:rsidRPr="00A90011">
        <w:rPr>
          <w:bCs/>
          <w:sz w:val="24"/>
          <w:szCs w:val="24"/>
        </w:rPr>
        <w:t>Current p</w:t>
      </w:r>
      <w:r w:rsidR="00AB3AF7" w:rsidRPr="00A90011">
        <w:rPr>
          <w:bCs/>
          <w:sz w:val="24"/>
          <w:szCs w:val="24"/>
        </w:rPr>
        <w:t xml:space="preserve">rojections for the </w:t>
      </w:r>
      <w:r w:rsidRPr="00A90011">
        <w:rPr>
          <w:bCs/>
          <w:sz w:val="24"/>
          <w:szCs w:val="24"/>
        </w:rPr>
        <w:t>201</w:t>
      </w:r>
      <w:r w:rsidR="006353A9">
        <w:rPr>
          <w:bCs/>
          <w:sz w:val="24"/>
          <w:szCs w:val="24"/>
        </w:rPr>
        <w:t>4</w:t>
      </w:r>
      <w:r w:rsidRPr="00A90011">
        <w:rPr>
          <w:bCs/>
          <w:sz w:val="24"/>
          <w:szCs w:val="24"/>
        </w:rPr>
        <w:t>-201</w:t>
      </w:r>
      <w:r w:rsidR="006353A9">
        <w:rPr>
          <w:bCs/>
          <w:sz w:val="24"/>
          <w:szCs w:val="24"/>
        </w:rPr>
        <w:t>5</w:t>
      </w:r>
      <w:r w:rsidR="00AB3AF7" w:rsidRPr="00A90011">
        <w:rPr>
          <w:bCs/>
          <w:sz w:val="24"/>
          <w:szCs w:val="24"/>
        </w:rPr>
        <w:t xml:space="preserve"> biennium include Highway Fund revenue</w:t>
      </w:r>
      <w:r w:rsidRPr="00A90011">
        <w:rPr>
          <w:bCs/>
          <w:sz w:val="24"/>
          <w:szCs w:val="24"/>
        </w:rPr>
        <w:t>s</w:t>
      </w:r>
      <w:r w:rsidR="00AB3AF7" w:rsidRPr="00A90011">
        <w:rPr>
          <w:bCs/>
          <w:sz w:val="24"/>
          <w:szCs w:val="24"/>
        </w:rPr>
        <w:t xml:space="preserve"> of $</w:t>
      </w:r>
      <w:r w:rsidRPr="00A90011">
        <w:rPr>
          <w:bCs/>
          <w:sz w:val="24"/>
          <w:szCs w:val="24"/>
        </w:rPr>
        <w:t>6</w:t>
      </w:r>
      <w:r w:rsidR="006353A9">
        <w:rPr>
          <w:bCs/>
          <w:sz w:val="24"/>
          <w:szCs w:val="24"/>
        </w:rPr>
        <w:t>41,</w:t>
      </w:r>
      <w:r w:rsidR="00F808E4">
        <w:rPr>
          <w:bCs/>
          <w:sz w:val="24"/>
          <w:szCs w:val="24"/>
        </w:rPr>
        <w:t>716,384</w:t>
      </w:r>
      <w:r w:rsidRPr="00A90011">
        <w:rPr>
          <w:bCs/>
          <w:sz w:val="24"/>
          <w:szCs w:val="24"/>
        </w:rPr>
        <w:t xml:space="preserve">.  </w:t>
      </w:r>
      <w:r w:rsidR="00AB3AF7" w:rsidRPr="00A90011">
        <w:rPr>
          <w:bCs/>
          <w:sz w:val="24"/>
          <w:szCs w:val="24"/>
        </w:rPr>
        <w:t>Projected Highway Fund allocations for the biennium are $</w:t>
      </w:r>
      <w:r w:rsidR="006353A9">
        <w:rPr>
          <w:bCs/>
          <w:sz w:val="24"/>
          <w:szCs w:val="24"/>
        </w:rPr>
        <w:t>972,307,372</w:t>
      </w:r>
      <w:r w:rsidR="00AB3AF7" w:rsidRPr="00A90011">
        <w:rPr>
          <w:bCs/>
          <w:sz w:val="24"/>
          <w:szCs w:val="24"/>
        </w:rPr>
        <w:t xml:space="preserve"> which </w:t>
      </w:r>
      <w:r w:rsidRPr="00A90011">
        <w:rPr>
          <w:bCs/>
          <w:sz w:val="24"/>
          <w:szCs w:val="24"/>
        </w:rPr>
        <w:t>results in a</w:t>
      </w:r>
      <w:r w:rsidR="00AB3AF7" w:rsidRPr="00A90011">
        <w:rPr>
          <w:bCs/>
          <w:sz w:val="24"/>
          <w:szCs w:val="24"/>
        </w:rPr>
        <w:t xml:space="preserve"> projected structural budget gap of $</w:t>
      </w:r>
      <w:r w:rsidRPr="00A90011">
        <w:rPr>
          <w:bCs/>
          <w:sz w:val="24"/>
          <w:szCs w:val="24"/>
        </w:rPr>
        <w:t>3</w:t>
      </w:r>
      <w:r w:rsidR="006353A9">
        <w:rPr>
          <w:bCs/>
          <w:sz w:val="24"/>
          <w:szCs w:val="24"/>
        </w:rPr>
        <w:t>30,468,721</w:t>
      </w:r>
      <w:r w:rsidRPr="00A90011">
        <w:rPr>
          <w:bCs/>
          <w:sz w:val="24"/>
          <w:szCs w:val="24"/>
        </w:rPr>
        <w:t>.</w:t>
      </w:r>
    </w:p>
    <w:p w:rsidR="00A90011" w:rsidRPr="00C94440" w:rsidRDefault="00A90011" w:rsidP="00A90011">
      <w:pPr>
        <w:pStyle w:val="DefaultText"/>
        <w:rPr>
          <w:rStyle w:val="InitialStyle"/>
          <w:rFonts w:ascii="Times New Roman" w:hAnsi="Times New Roman"/>
        </w:rPr>
      </w:pPr>
    </w:p>
    <w:p w:rsidR="00A90011" w:rsidRDefault="00A90011" w:rsidP="00A90011"/>
    <w:p w:rsidR="000832E2" w:rsidRDefault="000832E2" w:rsidP="000832E2">
      <w:r>
        <w:rPr>
          <w:bCs/>
          <w:sz w:val="24"/>
          <w:szCs w:val="24"/>
        </w:rPr>
        <w:br w:type="page"/>
      </w:r>
    </w:p>
    <w:p w:rsidR="000832E2" w:rsidRDefault="000832E2" w:rsidP="000832E2"/>
    <w:p w:rsidR="000832E2" w:rsidRDefault="000832E2" w:rsidP="000832E2"/>
    <w:p w:rsidR="000832E2" w:rsidRDefault="000832E2" w:rsidP="000832E2"/>
    <w:p w:rsidR="000832E2" w:rsidRDefault="000832E2" w:rsidP="000832E2"/>
    <w:p w:rsidR="000832E2" w:rsidRDefault="000832E2" w:rsidP="000832E2"/>
    <w:p w:rsidR="000832E2" w:rsidRDefault="000832E2" w:rsidP="000832E2"/>
    <w:p w:rsidR="000832E2" w:rsidRDefault="000832E2" w:rsidP="000832E2"/>
    <w:p w:rsidR="000832E2" w:rsidRDefault="000832E2" w:rsidP="000832E2"/>
    <w:p w:rsidR="000832E2" w:rsidRDefault="000832E2" w:rsidP="000832E2"/>
    <w:p w:rsidR="000832E2" w:rsidRDefault="000832E2" w:rsidP="000832E2"/>
    <w:p w:rsidR="000832E2" w:rsidRDefault="000832E2" w:rsidP="000832E2"/>
    <w:p w:rsidR="000832E2" w:rsidRDefault="000832E2" w:rsidP="000832E2"/>
    <w:p w:rsidR="000832E2" w:rsidRDefault="000832E2" w:rsidP="000832E2"/>
    <w:p w:rsidR="000832E2" w:rsidRPr="00232BD8" w:rsidRDefault="000832E2" w:rsidP="00232BD8">
      <w:pPr>
        <w:jc w:val="center"/>
        <w:rPr>
          <w:sz w:val="40"/>
          <w:szCs w:val="40"/>
        </w:rPr>
      </w:pPr>
      <w:r w:rsidRPr="00232BD8">
        <w:rPr>
          <w:sz w:val="40"/>
          <w:szCs w:val="40"/>
        </w:rPr>
        <w:t>This page intentionally left blank.</w:t>
      </w:r>
    </w:p>
    <w:p w:rsidR="000832E2" w:rsidRDefault="000832E2" w:rsidP="000832E2"/>
    <w:p w:rsidR="00A90011" w:rsidRDefault="00A90011" w:rsidP="00B83C35">
      <w:pPr>
        <w:rPr>
          <w:bCs/>
          <w:sz w:val="24"/>
          <w:szCs w:val="24"/>
        </w:rPr>
        <w:sectPr w:rsidR="00A90011" w:rsidSect="00A3672C">
          <w:pgSz w:w="12240" w:h="15840"/>
          <w:pgMar w:top="576" w:right="1440" w:bottom="547" w:left="1440" w:header="0" w:footer="0" w:gutter="0"/>
          <w:cols w:space="720"/>
        </w:sectPr>
      </w:pPr>
    </w:p>
    <w:p w:rsidR="00921B70" w:rsidRDefault="00921B70" w:rsidP="00921B70"/>
    <w:p w:rsidR="00921B70" w:rsidRDefault="00921B70" w:rsidP="00921B70">
      <w:pPr>
        <w:numPr>
          <w:ilvl w:val="0"/>
          <w:numId w:val="3"/>
        </w:numPr>
        <w:rPr>
          <w:b/>
          <w:bCs/>
          <w:sz w:val="24"/>
          <w:szCs w:val="24"/>
        </w:rPr>
      </w:pPr>
      <w:r w:rsidRPr="00D6448E">
        <w:rPr>
          <w:b/>
          <w:bCs/>
          <w:sz w:val="24"/>
          <w:szCs w:val="24"/>
        </w:rPr>
        <w:t>REVENUE FORECAST FY 1</w:t>
      </w:r>
      <w:r w:rsidR="00633618">
        <w:rPr>
          <w:b/>
          <w:bCs/>
          <w:sz w:val="24"/>
          <w:szCs w:val="24"/>
        </w:rPr>
        <w:t>2</w:t>
      </w:r>
      <w:r w:rsidRPr="00D6448E">
        <w:rPr>
          <w:b/>
          <w:bCs/>
          <w:sz w:val="24"/>
          <w:szCs w:val="24"/>
        </w:rPr>
        <w:t>-1</w:t>
      </w:r>
      <w:r w:rsidR="00633618">
        <w:rPr>
          <w:b/>
          <w:bCs/>
          <w:sz w:val="24"/>
          <w:szCs w:val="24"/>
        </w:rPr>
        <w:t>5</w:t>
      </w:r>
    </w:p>
    <w:p w:rsidR="00A103E8" w:rsidRDefault="00A103E8" w:rsidP="00A103E8">
      <w:pPr>
        <w:rPr>
          <w:b/>
          <w:bCs/>
          <w:sz w:val="24"/>
          <w:szCs w:val="24"/>
        </w:rPr>
      </w:pPr>
    </w:p>
    <w:p w:rsidR="00A103E8" w:rsidRPr="00AB0D58" w:rsidRDefault="003E32AF" w:rsidP="00A103E8">
      <w:pPr>
        <w:rPr>
          <w:b/>
          <w:bCs/>
          <w:sz w:val="24"/>
          <w:szCs w:val="24"/>
        </w:rPr>
      </w:pPr>
      <w:r w:rsidRPr="003E32AF">
        <w:rPr>
          <w:noProof/>
        </w:rPr>
        <w:drawing>
          <wp:inline distT="0" distB="0" distL="0" distR="0" wp14:anchorId="26A8F8FB" wp14:editId="3B6473F9">
            <wp:extent cx="9345295" cy="2169354"/>
            <wp:effectExtent l="0" t="0" r="8255" b="254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345295" cy="2169354"/>
                    </a:xfrm>
                    <a:prstGeom prst="rect">
                      <a:avLst/>
                    </a:prstGeom>
                    <a:noFill/>
                    <a:ln>
                      <a:noFill/>
                    </a:ln>
                  </pic:spPr>
                </pic:pic>
              </a:graphicData>
            </a:graphic>
          </wp:inline>
        </w:drawing>
      </w:r>
    </w:p>
    <w:p w:rsidR="00A103E8" w:rsidRDefault="00A103E8" w:rsidP="00A103E8">
      <w:pPr>
        <w:rPr>
          <w:b/>
          <w:bCs/>
          <w:sz w:val="24"/>
          <w:szCs w:val="24"/>
        </w:rPr>
      </w:pPr>
    </w:p>
    <w:p w:rsidR="00A103E8" w:rsidRDefault="00A103E8" w:rsidP="00A103E8">
      <w:pPr>
        <w:rPr>
          <w:b/>
          <w:bCs/>
          <w:sz w:val="24"/>
          <w:szCs w:val="24"/>
        </w:rPr>
        <w:sectPr w:rsidR="00A103E8" w:rsidSect="00921B70">
          <w:pgSz w:w="15840" w:h="12240" w:orient="landscape"/>
          <w:pgMar w:top="720" w:right="576" w:bottom="1440" w:left="547" w:header="0" w:footer="0" w:gutter="0"/>
          <w:cols w:space="720"/>
        </w:sectPr>
      </w:pPr>
    </w:p>
    <w:p w:rsidR="007C34FC" w:rsidRDefault="009915B1" w:rsidP="00E229DF">
      <w:pPr>
        <w:jc w:val="center"/>
        <w:rPr>
          <w:rFonts w:ascii="Arial" w:eastAsia="+mj-ea" w:hAnsi="Arial" w:cs="+mj-cs"/>
          <w:b/>
          <w:bCs/>
          <w:color w:val="000000"/>
          <w:sz w:val="40"/>
          <w:szCs w:val="40"/>
        </w:rPr>
      </w:pPr>
      <w:r>
        <w:rPr>
          <w:rFonts w:ascii="Arial" w:eastAsia="+mj-ea" w:hAnsi="Arial" w:cs="+mj-cs"/>
          <w:b/>
          <w:bCs/>
          <w:color w:val="000000"/>
          <w:sz w:val="40"/>
          <w:szCs w:val="40"/>
        </w:rPr>
        <w:t xml:space="preserve">FY 12 - 13 </w:t>
      </w:r>
      <w:r>
        <w:rPr>
          <w:rFonts w:ascii="Arial" w:eastAsia="+mj-ea" w:hAnsi="Arial" w:cs="+mj-cs"/>
          <w:b/>
          <w:bCs/>
          <w:color w:val="000000"/>
          <w:sz w:val="40"/>
          <w:szCs w:val="40"/>
        </w:rPr>
        <w:br/>
        <w:t xml:space="preserve">Highway Fund Budgeted Revenues </w:t>
      </w:r>
      <w:r>
        <w:rPr>
          <w:rFonts w:ascii="Arial" w:eastAsia="+mj-ea" w:hAnsi="Arial" w:cs="+mj-cs"/>
          <w:b/>
          <w:bCs/>
          <w:color w:val="000000"/>
          <w:sz w:val="40"/>
          <w:szCs w:val="40"/>
        </w:rPr>
        <w:br/>
        <w:t>$631.7</w:t>
      </w:r>
      <w:r>
        <w:rPr>
          <w:rFonts w:ascii="Arial" w:eastAsia="+mj-ea" w:hAnsi="Arial" w:cs="+mj-cs"/>
          <w:b/>
          <w:bCs/>
          <w:color w:val="000000"/>
        </w:rPr>
        <w:br/>
        <w:t>Dollars in Millions</w:t>
      </w:r>
    </w:p>
    <w:p w:rsidR="007C34FC" w:rsidRDefault="007C34FC">
      <w:pPr>
        <w:rPr>
          <w:rFonts w:ascii="Arial" w:eastAsia="+mj-ea" w:hAnsi="Arial" w:cs="+mj-cs"/>
          <w:b/>
          <w:bCs/>
          <w:color w:val="000000"/>
          <w:sz w:val="40"/>
          <w:szCs w:val="40"/>
        </w:rPr>
      </w:pPr>
      <w:r>
        <w:rPr>
          <w:rFonts w:ascii="Arial" w:eastAsia="+mj-ea" w:hAnsi="Arial" w:cs="+mj-cs"/>
          <w:b/>
          <w:bCs/>
          <w:color w:val="000000"/>
          <w:sz w:val="40"/>
          <w:szCs w:val="40"/>
        </w:rPr>
        <w:br w:type="page"/>
      </w:r>
      <w:r w:rsidR="00ED47B7" w:rsidRPr="00ED47B7">
        <w:rPr>
          <w:rFonts w:eastAsia="+mj-ea"/>
          <w:noProof/>
        </w:rPr>
        <w:drawing>
          <wp:anchor distT="0" distB="0" distL="114300" distR="114300" simplePos="0" relativeHeight="251673600" behindDoc="0" locked="0" layoutInCell="1" allowOverlap="1">
            <wp:simplePos x="0" y="0"/>
            <wp:positionH relativeFrom="column">
              <wp:posOffset>152400</wp:posOffset>
            </wp:positionH>
            <wp:positionV relativeFrom="paragraph">
              <wp:posOffset>152400</wp:posOffset>
            </wp:positionV>
            <wp:extent cx="5941695" cy="6108700"/>
            <wp:effectExtent l="0" t="0" r="0" b="6350"/>
            <wp:wrapNone/>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41695" cy="610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15B1" w:rsidRDefault="009915B1">
      <w:pPr>
        <w:rPr>
          <w:rFonts w:ascii="Arial" w:eastAsia="+mj-ea" w:hAnsi="Arial" w:cs="+mj-cs"/>
          <w:b/>
          <w:bCs/>
          <w:color w:val="000000"/>
          <w:sz w:val="40"/>
          <w:szCs w:val="40"/>
        </w:rPr>
      </w:pPr>
    </w:p>
    <w:p w:rsidR="00AD6048" w:rsidRDefault="00AD6048" w:rsidP="00AD6048">
      <w:pPr>
        <w:jc w:val="center"/>
        <w:rPr>
          <w:rFonts w:ascii="Arial" w:eastAsia="+mj-ea" w:hAnsi="Arial" w:cs="+mj-cs"/>
          <w:b/>
          <w:bCs/>
          <w:color w:val="000000"/>
        </w:rPr>
      </w:pPr>
      <w:r>
        <w:rPr>
          <w:rFonts w:ascii="Arial" w:eastAsia="+mj-ea" w:hAnsi="Arial" w:cs="+mj-cs"/>
          <w:b/>
          <w:bCs/>
          <w:color w:val="000000"/>
          <w:sz w:val="40"/>
          <w:szCs w:val="40"/>
        </w:rPr>
        <w:t xml:space="preserve">FY 14 - 15 </w:t>
      </w:r>
      <w:r>
        <w:rPr>
          <w:rFonts w:ascii="Arial" w:eastAsia="+mj-ea" w:hAnsi="Arial" w:cs="+mj-cs"/>
          <w:b/>
          <w:bCs/>
          <w:color w:val="000000"/>
          <w:sz w:val="40"/>
          <w:szCs w:val="40"/>
        </w:rPr>
        <w:br/>
        <w:t xml:space="preserve">Highway Fund </w:t>
      </w:r>
      <w:r w:rsidR="00DB7E1A">
        <w:rPr>
          <w:rFonts w:ascii="Arial" w:eastAsia="+mj-ea" w:hAnsi="Arial" w:cs="+mj-cs"/>
          <w:b/>
          <w:bCs/>
          <w:color w:val="000000"/>
          <w:sz w:val="40"/>
          <w:szCs w:val="40"/>
        </w:rPr>
        <w:t>Projected</w:t>
      </w:r>
      <w:r>
        <w:rPr>
          <w:rFonts w:ascii="Arial" w:eastAsia="+mj-ea" w:hAnsi="Arial" w:cs="+mj-cs"/>
          <w:b/>
          <w:bCs/>
          <w:color w:val="000000"/>
          <w:sz w:val="40"/>
          <w:szCs w:val="40"/>
        </w:rPr>
        <w:t xml:space="preserve"> Revenues </w:t>
      </w:r>
      <w:r>
        <w:rPr>
          <w:rFonts w:ascii="Arial" w:eastAsia="+mj-ea" w:hAnsi="Arial" w:cs="+mj-cs"/>
          <w:b/>
          <w:bCs/>
          <w:color w:val="000000"/>
          <w:sz w:val="40"/>
          <w:szCs w:val="40"/>
        </w:rPr>
        <w:br/>
        <w:t>$641.7</w:t>
      </w:r>
      <w:r>
        <w:rPr>
          <w:rFonts w:ascii="Arial" w:eastAsia="+mj-ea" w:hAnsi="Arial" w:cs="+mj-cs"/>
          <w:b/>
          <w:bCs/>
          <w:color w:val="000000"/>
        </w:rPr>
        <w:br/>
        <w:t>Dollars in Millions</w:t>
      </w:r>
    </w:p>
    <w:p w:rsidR="00AD6048" w:rsidRDefault="00AD6048" w:rsidP="00AD6048">
      <w:pPr>
        <w:jc w:val="center"/>
        <w:rPr>
          <w:rFonts w:ascii="Arial" w:eastAsia="+mj-ea" w:hAnsi="Arial" w:cs="+mj-cs"/>
          <w:b/>
          <w:bCs/>
          <w:color w:val="000000"/>
        </w:rPr>
      </w:pPr>
    </w:p>
    <w:p w:rsidR="00EE4096" w:rsidRDefault="00ED47B7" w:rsidP="00AD6048">
      <w:pPr>
        <w:jc w:val="center"/>
        <w:rPr>
          <w:b/>
          <w:bCs/>
          <w:sz w:val="24"/>
          <w:szCs w:val="24"/>
        </w:rPr>
      </w:pPr>
      <w:r w:rsidRPr="00ED47B7">
        <w:rPr>
          <w:noProof/>
        </w:rPr>
        <w:drawing>
          <wp:anchor distT="0" distB="0" distL="114300" distR="114300" simplePos="0" relativeHeight="251675648" behindDoc="0" locked="0" layoutInCell="1" allowOverlap="1">
            <wp:simplePos x="0" y="0"/>
            <wp:positionH relativeFrom="column">
              <wp:posOffset>152400</wp:posOffset>
            </wp:positionH>
            <wp:positionV relativeFrom="paragraph">
              <wp:posOffset>152400</wp:posOffset>
            </wp:positionV>
            <wp:extent cx="5939155" cy="6561455"/>
            <wp:effectExtent l="0" t="0" r="0" b="0"/>
            <wp:wrapNone/>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39155" cy="656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E4096">
        <w:rPr>
          <w:b/>
          <w:bCs/>
          <w:sz w:val="24"/>
          <w:szCs w:val="24"/>
        </w:rPr>
        <w:br w:type="page"/>
      </w:r>
    </w:p>
    <w:p w:rsidR="00A103E8" w:rsidRDefault="00A103E8" w:rsidP="00A103E8">
      <w:pPr>
        <w:rPr>
          <w:b/>
          <w:bCs/>
          <w:sz w:val="24"/>
          <w:szCs w:val="24"/>
        </w:rPr>
      </w:pPr>
    </w:p>
    <w:p w:rsidR="00921B70" w:rsidRDefault="00921B70" w:rsidP="00921B70">
      <w:pPr>
        <w:rPr>
          <w:b/>
          <w:bCs/>
          <w:sz w:val="24"/>
          <w:szCs w:val="24"/>
        </w:rPr>
      </w:pPr>
    </w:p>
    <w:p w:rsidR="00EE4096" w:rsidRDefault="00EE4096" w:rsidP="00EE4096">
      <w:pPr>
        <w:jc w:val="center"/>
        <w:rPr>
          <w:b/>
          <w:bCs/>
          <w:sz w:val="24"/>
          <w:szCs w:val="24"/>
        </w:rPr>
      </w:pPr>
    </w:p>
    <w:p w:rsidR="00AE3343" w:rsidRDefault="00AE3343" w:rsidP="00A3672C">
      <w:pPr>
        <w:numPr>
          <w:ilvl w:val="0"/>
          <w:numId w:val="3"/>
        </w:numPr>
        <w:tabs>
          <w:tab w:val="clear" w:pos="360"/>
          <w:tab w:val="num" w:pos="0"/>
        </w:tabs>
        <w:ind w:left="0" w:firstLine="0"/>
        <w:rPr>
          <w:b/>
          <w:bCs/>
          <w:sz w:val="24"/>
          <w:szCs w:val="24"/>
        </w:rPr>
      </w:pPr>
      <w:r>
        <w:rPr>
          <w:b/>
          <w:bCs/>
          <w:sz w:val="24"/>
          <w:szCs w:val="24"/>
        </w:rPr>
        <w:t>HIGHWAY FUND REVENUE FORECAST NARRATIVE</w:t>
      </w:r>
    </w:p>
    <w:p w:rsidR="003D4C5D" w:rsidRDefault="003D4C5D" w:rsidP="00B83C35">
      <w:pPr>
        <w:rPr>
          <w:bCs/>
          <w:sz w:val="24"/>
          <w:szCs w:val="24"/>
        </w:rPr>
      </w:pPr>
    </w:p>
    <w:p w:rsidR="00A447C4" w:rsidRDefault="00A447C4" w:rsidP="00A447C4">
      <w:pPr>
        <w:jc w:val="center"/>
        <w:rPr>
          <w:b/>
          <w:bCs/>
          <w:sz w:val="24"/>
          <w:szCs w:val="24"/>
        </w:rPr>
      </w:pPr>
      <w:r>
        <w:rPr>
          <w:b/>
          <w:bCs/>
          <w:sz w:val="24"/>
          <w:szCs w:val="24"/>
        </w:rPr>
        <w:t>FUEL TAX</w:t>
      </w:r>
    </w:p>
    <w:p w:rsidR="00A447C4" w:rsidRDefault="00A447C4" w:rsidP="00A447C4">
      <w:pPr>
        <w:jc w:val="center"/>
        <w:rPr>
          <w:b/>
          <w:bCs/>
          <w:sz w:val="24"/>
          <w:szCs w:val="24"/>
        </w:rPr>
      </w:pPr>
    </w:p>
    <w:p w:rsidR="00A447C4" w:rsidRDefault="005B318E" w:rsidP="00A447C4">
      <w:pPr>
        <w:jc w:val="center"/>
        <w:rPr>
          <w:b/>
          <w:bCs/>
          <w:sz w:val="24"/>
          <w:szCs w:val="24"/>
        </w:rPr>
      </w:pPr>
      <w:r w:rsidRPr="005B318E">
        <w:rPr>
          <w:noProof/>
        </w:rPr>
        <w:drawing>
          <wp:inline distT="0" distB="0" distL="0" distR="0" wp14:anchorId="565C6C55" wp14:editId="32B4E813">
            <wp:extent cx="5836257" cy="521989"/>
            <wp:effectExtent l="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32355" cy="521640"/>
                    </a:xfrm>
                    <a:prstGeom prst="rect">
                      <a:avLst/>
                    </a:prstGeom>
                    <a:noFill/>
                    <a:ln>
                      <a:noFill/>
                    </a:ln>
                  </pic:spPr>
                </pic:pic>
              </a:graphicData>
            </a:graphic>
          </wp:inline>
        </w:drawing>
      </w:r>
    </w:p>
    <w:p w:rsidR="00A447C4" w:rsidRDefault="00A447C4" w:rsidP="00A447C4">
      <w:pPr>
        <w:jc w:val="center"/>
        <w:rPr>
          <w:b/>
          <w:bCs/>
          <w:sz w:val="24"/>
          <w:szCs w:val="24"/>
        </w:rPr>
      </w:pPr>
    </w:p>
    <w:p w:rsidR="00625FA1" w:rsidRDefault="00625FA1" w:rsidP="00625FA1">
      <w:pPr>
        <w:rPr>
          <w:sz w:val="24"/>
          <w:szCs w:val="24"/>
        </w:rPr>
      </w:pPr>
      <w:r>
        <w:rPr>
          <w:sz w:val="24"/>
          <w:szCs w:val="24"/>
        </w:rPr>
        <w:t xml:space="preserve">The forecast for the Motor Fuel Taxes was updated by the Revenue Forecasting Committee in April 2012. The gasoline tax rate on July 1, 2012 is $0.300 per gallon.  The tax on diesel fuel is $0.312 per gallon on July 1, 2012.  </w:t>
      </w:r>
      <w:r w:rsidR="00B774CB">
        <w:rPr>
          <w:sz w:val="24"/>
          <w:szCs w:val="24"/>
        </w:rPr>
        <w:t xml:space="preserve">Public </w:t>
      </w:r>
      <w:r w:rsidR="00E7723E">
        <w:rPr>
          <w:sz w:val="24"/>
          <w:szCs w:val="24"/>
        </w:rPr>
        <w:t>L</w:t>
      </w:r>
      <w:r w:rsidR="00B774CB">
        <w:rPr>
          <w:sz w:val="24"/>
          <w:szCs w:val="24"/>
        </w:rPr>
        <w:t>aw 2011, Chapter 392, Part C</w:t>
      </w:r>
      <w:r>
        <w:rPr>
          <w:rStyle w:val="Strong"/>
          <w:b w:val="0"/>
          <w:bCs w:val="0"/>
          <w:sz w:val="24"/>
          <w:szCs w:val="24"/>
        </w:rPr>
        <w:t xml:space="preserve"> repeals the indexing of motor fuels tax rates on January 1, 2012.</w:t>
      </w:r>
      <w:r>
        <w:rPr>
          <w:rStyle w:val="Strong"/>
          <w:b w:val="0"/>
          <w:bCs w:val="0"/>
        </w:rPr>
        <w:t xml:space="preserve"> </w:t>
      </w:r>
      <w:r>
        <w:rPr>
          <w:sz w:val="24"/>
          <w:szCs w:val="24"/>
        </w:rPr>
        <w:t xml:space="preserve">Effective with fiscal year 2010, 7.5% of the gasoline tax and 7.5% of the special fuel tax is dedicated to the Trans-Cap Trust Fund at the Municipal Bond Bank in accordance with Public Law 2007, c. 470.  </w:t>
      </w:r>
    </w:p>
    <w:p w:rsidR="00A447C4" w:rsidRDefault="00881711" w:rsidP="00A447C4">
      <w:pPr>
        <w:rPr>
          <w:bCs/>
          <w:sz w:val="24"/>
          <w:szCs w:val="24"/>
        </w:rPr>
      </w:pPr>
      <w:r>
        <w:rPr>
          <w:bCs/>
          <w:sz w:val="24"/>
          <w:szCs w:val="24"/>
        </w:rPr>
        <w:t xml:space="preserve">  </w:t>
      </w:r>
    </w:p>
    <w:p w:rsidR="00A447C4" w:rsidRDefault="00A447C4" w:rsidP="00A447C4">
      <w:pPr>
        <w:jc w:val="center"/>
        <w:rPr>
          <w:b/>
          <w:bCs/>
          <w:sz w:val="24"/>
          <w:szCs w:val="24"/>
        </w:rPr>
      </w:pPr>
      <w:r>
        <w:rPr>
          <w:b/>
          <w:bCs/>
          <w:sz w:val="24"/>
          <w:szCs w:val="24"/>
        </w:rPr>
        <w:t>MOTOR VEHICLE REGISTRATIONS AND FEES</w:t>
      </w:r>
    </w:p>
    <w:p w:rsidR="00A447C4" w:rsidRDefault="00A447C4" w:rsidP="00A447C4">
      <w:pPr>
        <w:jc w:val="center"/>
        <w:rPr>
          <w:b/>
          <w:bCs/>
          <w:sz w:val="24"/>
          <w:szCs w:val="24"/>
        </w:rPr>
      </w:pPr>
    </w:p>
    <w:p w:rsidR="00A447C4" w:rsidRDefault="005B318E" w:rsidP="00A447C4">
      <w:pPr>
        <w:jc w:val="center"/>
        <w:rPr>
          <w:b/>
          <w:bCs/>
          <w:sz w:val="24"/>
          <w:szCs w:val="24"/>
        </w:rPr>
      </w:pPr>
      <w:r w:rsidRPr="005B318E">
        <w:rPr>
          <w:noProof/>
        </w:rPr>
        <w:drawing>
          <wp:inline distT="0" distB="0" distL="0" distR="0" wp14:anchorId="6137E9A8" wp14:editId="390BBA2F">
            <wp:extent cx="5844209" cy="521989"/>
            <wp:effectExtent l="0" t="0" r="4445"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40302" cy="521640"/>
                    </a:xfrm>
                    <a:prstGeom prst="rect">
                      <a:avLst/>
                    </a:prstGeom>
                    <a:noFill/>
                    <a:ln>
                      <a:noFill/>
                    </a:ln>
                  </pic:spPr>
                </pic:pic>
              </a:graphicData>
            </a:graphic>
          </wp:inline>
        </w:drawing>
      </w:r>
    </w:p>
    <w:p w:rsidR="00A447C4" w:rsidRDefault="00A447C4" w:rsidP="00A447C4">
      <w:pPr>
        <w:jc w:val="center"/>
        <w:rPr>
          <w:b/>
          <w:bCs/>
          <w:sz w:val="24"/>
          <w:szCs w:val="24"/>
        </w:rPr>
      </w:pPr>
    </w:p>
    <w:p w:rsidR="00393F4E" w:rsidRDefault="00A447C4" w:rsidP="00393F4E">
      <w:pPr>
        <w:autoSpaceDE w:val="0"/>
        <w:autoSpaceDN w:val="0"/>
        <w:rPr>
          <w:sz w:val="24"/>
          <w:szCs w:val="24"/>
        </w:rPr>
      </w:pPr>
      <w:r w:rsidRPr="00A447C4">
        <w:rPr>
          <w:bCs/>
          <w:sz w:val="24"/>
          <w:szCs w:val="24"/>
        </w:rPr>
        <w:t>The forecast for FY 1</w:t>
      </w:r>
      <w:r w:rsidR="005B318E">
        <w:rPr>
          <w:bCs/>
          <w:sz w:val="24"/>
          <w:szCs w:val="24"/>
        </w:rPr>
        <w:t>3</w:t>
      </w:r>
      <w:r w:rsidRPr="00A447C4">
        <w:rPr>
          <w:bCs/>
          <w:sz w:val="24"/>
          <w:szCs w:val="24"/>
        </w:rPr>
        <w:t>, FY 1</w:t>
      </w:r>
      <w:r w:rsidR="005B318E">
        <w:rPr>
          <w:bCs/>
          <w:sz w:val="24"/>
          <w:szCs w:val="24"/>
        </w:rPr>
        <w:t>4</w:t>
      </w:r>
      <w:r w:rsidRPr="00A447C4">
        <w:rPr>
          <w:bCs/>
          <w:sz w:val="24"/>
          <w:szCs w:val="24"/>
        </w:rPr>
        <w:t xml:space="preserve"> and FY 1</w:t>
      </w:r>
      <w:r w:rsidR="005B318E">
        <w:rPr>
          <w:bCs/>
          <w:sz w:val="24"/>
          <w:szCs w:val="24"/>
        </w:rPr>
        <w:t>5</w:t>
      </w:r>
      <w:r w:rsidRPr="00A447C4">
        <w:rPr>
          <w:bCs/>
          <w:sz w:val="24"/>
          <w:szCs w:val="24"/>
        </w:rPr>
        <w:t xml:space="preserve"> for Motor Vehicle Registration Fees include</w:t>
      </w:r>
      <w:r w:rsidR="00B774CB">
        <w:rPr>
          <w:bCs/>
          <w:sz w:val="24"/>
          <w:szCs w:val="24"/>
        </w:rPr>
        <w:t>s</w:t>
      </w:r>
      <w:r w:rsidRPr="00A447C4">
        <w:rPr>
          <w:bCs/>
          <w:sz w:val="24"/>
          <w:szCs w:val="24"/>
        </w:rPr>
        <w:t xml:space="preserve"> all actions of the Revenue Forecasting Committee through </w:t>
      </w:r>
      <w:r w:rsidR="005B318E">
        <w:rPr>
          <w:bCs/>
          <w:sz w:val="24"/>
          <w:szCs w:val="24"/>
        </w:rPr>
        <w:t>April 2012</w:t>
      </w:r>
      <w:r w:rsidRPr="00A447C4">
        <w:rPr>
          <w:bCs/>
          <w:sz w:val="24"/>
          <w:szCs w:val="24"/>
        </w:rPr>
        <w:t xml:space="preserve"> and all actions of the 2nd Regular Session of the 12</w:t>
      </w:r>
      <w:r w:rsidR="005B318E">
        <w:rPr>
          <w:bCs/>
          <w:sz w:val="24"/>
          <w:szCs w:val="24"/>
        </w:rPr>
        <w:t>5</w:t>
      </w:r>
      <w:r w:rsidRPr="00A447C4">
        <w:rPr>
          <w:bCs/>
          <w:sz w:val="24"/>
          <w:szCs w:val="24"/>
        </w:rPr>
        <w:t xml:space="preserve">th Legislature. </w:t>
      </w:r>
      <w:r w:rsidR="00393F4E">
        <w:rPr>
          <w:sz w:val="24"/>
          <w:szCs w:val="24"/>
        </w:rPr>
        <w:t xml:space="preserve">This forecast reflects a projected -1.07% reduction in revenues in FY 2015 resulting from </w:t>
      </w:r>
      <w:r w:rsidR="00B774CB">
        <w:rPr>
          <w:sz w:val="24"/>
          <w:szCs w:val="24"/>
        </w:rPr>
        <w:t>fewer</w:t>
      </w:r>
      <w:r w:rsidR="00393F4E">
        <w:rPr>
          <w:sz w:val="24"/>
          <w:szCs w:val="24"/>
        </w:rPr>
        <w:t xml:space="preserve"> driver licenses during this year of the licensing cycle.  </w:t>
      </w:r>
    </w:p>
    <w:p w:rsidR="00A447C4" w:rsidRDefault="00A447C4" w:rsidP="00A447C4">
      <w:pPr>
        <w:rPr>
          <w:bCs/>
          <w:sz w:val="24"/>
          <w:szCs w:val="24"/>
        </w:rPr>
      </w:pPr>
    </w:p>
    <w:p w:rsidR="00ED2399" w:rsidRDefault="00ED2399" w:rsidP="00ED2399">
      <w:pPr>
        <w:jc w:val="center"/>
        <w:rPr>
          <w:b/>
          <w:bCs/>
          <w:sz w:val="24"/>
          <w:szCs w:val="24"/>
        </w:rPr>
      </w:pPr>
      <w:r>
        <w:rPr>
          <w:b/>
          <w:bCs/>
          <w:sz w:val="24"/>
          <w:szCs w:val="24"/>
        </w:rPr>
        <w:t>INSPECTION FEES</w:t>
      </w:r>
    </w:p>
    <w:p w:rsidR="00ED2399" w:rsidRDefault="00ED2399" w:rsidP="00ED2399">
      <w:pPr>
        <w:jc w:val="center"/>
        <w:rPr>
          <w:b/>
          <w:bCs/>
          <w:sz w:val="24"/>
          <w:szCs w:val="24"/>
        </w:rPr>
      </w:pPr>
    </w:p>
    <w:p w:rsidR="00ED2399" w:rsidRDefault="004A0E57" w:rsidP="00ED2399">
      <w:pPr>
        <w:jc w:val="center"/>
        <w:rPr>
          <w:b/>
          <w:bCs/>
          <w:sz w:val="24"/>
          <w:szCs w:val="24"/>
        </w:rPr>
      </w:pPr>
      <w:r w:rsidRPr="004A0E57">
        <w:rPr>
          <w:noProof/>
        </w:rPr>
        <w:drawing>
          <wp:inline distT="0" distB="0" distL="0" distR="0" wp14:anchorId="11F262FC" wp14:editId="1ACC2315">
            <wp:extent cx="5828306" cy="521989"/>
            <wp:effectExtent l="0" t="0" r="127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24411" cy="521640"/>
                    </a:xfrm>
                    <a:prstGeom prst="rect">
                      <a:avLst/>
                    </a:prstGeom>
                    <a:noFill/>
                    <a:ln>
                      <a:noFill/>
                    </a:ln>
                  </pic:spPr>
                </pic:pic>
              </a:graphicData>
            </a:graphic>
          </wp:inline>
        </w:drawing>
      </w:r>
    </w:p>
    <w:p w:rsidR="00ED2399" w:rsidRDefault="00ED2399" w:rsidP="00ED2399">
      <w:pPr>
        <w:jc w:val="center"/>
        <w:rPr>
          <w:b/>
          <w:bCs/>
          <w:sz w:val="24"/>
          <w:szCs w:val="24"/>
        </w:rPr>
      </w:pPr>
    </w:p>
    <w:p w:rsidR="00ED2399" w:rsidRDefault="00ED2399" w:rsidP="00ED2399">
      <w:pPr>
        <w:rPr>
          <w:bCs/>
          <w:sz w:val="24"/>
          <w:szCs w:val="24"/>
        </w:rPr>
      </w:pPr>
      <w:r w:rsidRPr="00ED2399">
        <w:rPr>
          <w:bCs/>
          <w:sz w:val="24"/>
          <w:szCs w:val="24"/>
        </w:rPr>
        <w:t>Revenues from Inspection Fees are expected to remain flat for the 201</w:t>
      </w:r>
      <w:r w:rsidR="004A0E57">
        <w:rPr>
          <w:bCs/>
          <w:sz w:val="24"/>
          <w:szCs w:val="24"/>
        </w:rPr>
        <w:t>4</w:t>
      </w:r>
      <w:r w:rsidRPr="00ED2399">
        <w:rPr>
          <w:bCs/>
          <w:sz w:val="24"/>
          <w:szCs w:val="24"/>
        </w:rPr>
        <w:t>-201</w:t>
      </w:r>
      <w:r w:rsidR="004A0E57">
        <w:rPr>
          <w:bCs/>
          <w:sz w:val="24"/>
          <w:szCs w:val="24"/>
        </w:rPr>
        <w:t>5</w:t>
      </w:r>
      <w:r w:rsidRPr="00ED2399">
        <w:rPr>
          <w:bCs/>
          <w:sz w:val="24"/>
          <w:szCs w:val="24"/>
        </w:rPr>
        <w:t xml:space="preserve"> biennium.</w:t>
      </w:r>
    </w:p>
    <w:p w:rsidR="00ED2399" w:rsidRDefault="00ED2399" w:rsidP="00ED2399">
      <w:pPr>
        <w:rPr>
          <w:bCs/>
          <w:sz w:val="24"/>
          <w:szCs w:val="24"/>
        </w:rPr>
      </w:pPr>
    </w:p>
    <w:p w:rsidR="007E6CA3" w:rsidRDefault="00964F50" w:rsidP="007E6CA3">
      <w:pPr>
        <w:jc w:val="center"/>
        <w:rPr>
          <w:b/>
          <w:bCs/>
          <w:sz w:val="24"/>
          <w:szCs w:val="24"/>
        </w:rPr>
      </w:pPr>
      <w:r>
        <w:rPr>
          <w:b/>
          <w:bCs/>
          <w:sz w:val="24"/>
          <w:szCs w:val="24"/>
        </w:rPr>
        <w:t>O</w:t>
      </w:r>
      <w:r w:rsidR="007E6CA3">
        <w:rPr>
          <w:b/>
          <w:bCs/>
          <w:sz w:val="24"/>
          <w:szCs w:val="24"/>
        </w:rPr>
        <w:t>THER REVENUES</w:t>
      </w:r>
    </w:p>
    <w:p w:rsidR="007E6CA3" w:rsidRDefault="007E6CA3" w:rsidP="007E6CA3">
      <w:pPr>
        <w:jc w:val="center"/>
        <w:rPr>
          <w:b/>
          <w:bCs/>
          <w:sz w:val="24"/>
          <w:szCs w:val="24"/>
        </w:rPr>
      </w:pPr>
    </w:p>
    <w:p w:rsidR="007E6CA3" w:rsidRDefault="00BB0593" w:rsidP="00ED2399">
      <w:pPr>
        <w:rPr>
          <w:bCs/>
          <w:sz w:val="24"/>
          <w:szCs w:val="24"/>
        </w:rPr>
      </w:pPr>
      <w:r w:rsidRPr="00BB0593">
        <w:rPr>
          <w:noProof/>
        </w:rPr>
        <w:drawing>
          <wp:inline distT="0" distB="0" distL="0" distR="0" wp14:anchorId="246AA5B0" wp14:editId="2A63083C">
            <wp:extent cx="5852160" cy="521989"/>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848248" cy="521640"/>
                    </a:xfrm>
                    <a:prstGeom prst="rect">
                      <a:avLst/>
                    </a:prstGeom>
                    <a:noFill/>
                    <a:ln>
                      <a:noFill/>
                    </a:ln>
                  </pic:spPr>
                </pic:pic>
              </a:graphicData>
            </a:graphic>
          </wp:inline>
        </w:drawing>
      </w:r>
    </w:p>
    <w:p w:rsidR="00BB0593" w:rsidRDefault="00BB0593" w:rsidP="00ED2399">
      <w:pPr>
        <w:rPr>
          <w:bCs/>
          <w:sz w:val="24"/>
          <w:szCs w:val="24"/>
        </w:rPr>
      </w:pPr>
    </w:p>
    <w:p w:rsidR="00A447C4" w:rsidRDefault="00E14E16" w:rsidP="00A447C4">
      <w:pPr>
        <w:rPr>
          <w:bCs/>
          <w:sz w:val="24"/>
          <w:szCs w:val="24"/>
        </w:rPr>
      </w:pPr>
      <w:r w:rsidRPr="00E14E16">
        <w:rPr>
          <w:bCs/>
          <w:sz w:val="24"/>
          <w:szCs w:val="24"/>
        </w:rPr>
        <w:t>Other Revenues within the Highway Fund include miscellaneous service fees and charges, net revenue transfers and other contributions. The forecast for the FY 201</w:t>
      </w:r>
      <w:r w:rsidR="00BB0593">
        <w:rPr>
          <w:bCs/>
          <w:sz w:val="24"/>
          <w:szCs w:val="24"/>
        </w:rPr>
        <w:t>4</w:t>
      </w:r>
      <w:r w:rsidRPr="00E14E16">
        <w:rPr>
          <w:bCs/>
          <w:sz w:val="24"/>
          <w:szCs w:val="24"/>
        </w:rPr>
        <w:t>-201</w:t>
      </w:r>
      <w:r w:rsidR="00BB0593">
        <w:rPr>
          <w:bCs/>
          <w:sz w:val="24"/>
          <w:szCs w:val="24"/>
        </w:rPr>
        <w:t>5</w:t>
      </w:r>
      <w:r w:rsidRPr="00E14E16">
        <w:rPr>
          <w:bCs/>
          <w:sz w:val="24"/>
          <w:szCs w:val="24"/>
        </w:rPr>
        <w:t xml:space="preserve"> biennium reflects a  .0</w:t>
      </w:r>
      <w:r w:rsidR="00BB0593">
        <w:rPr>
          <w:bCs/>
          <w:sz w:val="24"/>
          <w:szCs w:val="24"/>
        </w:rPr>
        <w:t>5</w:t>
      </w:r>
      <w:r w:rsidRPr="00E14E16">
        <w:rPr>
          <w:bCs/>
          <w:sz w:val="24"/>
          <w:szCs w:val="24"/>
        </w:rPr>
        <w:t>% growth for this revenue category.</w:t>
      </w:r>
    </w:p>
    <w:p w:rsidR="00A447C4" w:rsidRPr="00A447C4" w:rsidRDefault="00A447C4" w:rsidP="00A447C4">
      <w:pPr>
        <w:rPr>
          <w:bCs/>
          <w:sz w:val="24"/>
          <w:szCs w:val="24"/>
        </w:rPr>
      </w:pPr>
    </w:p>
    <w:p w:rsidR="00D67026" w:rsidRDefault="00D67026" w:rsidP="00B83C35">
      <w:pPr>
        <w:rPr>
          <w:bCs/>
          <w:sz w:val="24"/>
          <w:szCs w:val="24"/>
        </w:rPr>
      </w:pPr>
    </w:p>
    <w:p w:rsidR="00D67026" w:rsidRDefault="00D67026" w:rsidP="00B83C35">
      <w:pPr>
        <w:rPr>
          <w:bCs/>
          <w:sz w:val="24"/>
          <w:szCs w:val="24"/>
        </w:rPr>
      </w:pPr>
    </w:p>
    <w:p w:rsidR="00D67026" w:rsidRDefault="00D67026" w:rsidP="00B83C35">
      <w:pPr>
        <w:rPr>
          <w:bCs/>
          <w:sz w:val="24"/>
          <w:szCs w:val="24"/>
        </w:rPr>
      </w:pPr>
    </w:p>
    <w:p w:rsidR="00D67026" w:rsidRDefault="00D67026" w:rsidP="00B83C35">
      <w:pPr>
        <w:rPr>
          <w:bCs/>
          <w:sz w:val="24"/>
          <w:szCs w:val="24"/>
        </w:rPr>
      </w:pPr>
    </w:p>
    <w:p w:rsidR="000832E2" w:rsidRDefault="000832E2" w:rsidP="00B83C35">
      <w:pPr>
        <w:rPr>
          <w:bCs/>
          <w:sz w:val="24"/>
          <w:szCs w:val="24"/>
        </w:rPr>
      </w:pPr>
    </w:p>
    <w:p w:rsidR="000832E2" w:rsidRDefault="000832E2" w:rsidP="00B83C35">
      <w:pPr>
        <w:rPr>
          <w:bCs/>
          <w:sz w:val="24"/>
          <w:szCs w:val="24"/>
        </w:rPr>
      </w:pPr>
    </w:p>
    <w:p w:rsidR="00E229DF" w:rsidRDefault="00E229DF" w:rsidP="00E229DF">
      <w:pPr>
        <w:rPr>
          <w:sz w:val="40"/>
          <w:szCs w:val="40"/>
        </w:rPr>
      </w:pPr>
    </w:p>
    <w:p w:rsidR="00E229DF" w:rsidRDefault="00E229DF" w:rsidP="00E229DF">
      <w:pPr>
        <w:rPr>
          <w:sz w:val="40"/>
          <w:szCs w:val="40"/>
        </w:rPr>
      </w:pPr>
    </w:p>
    <w:p w:rsidR="00E229DF" w:rsidRDefault="00E229DF" w:rsidP="00E229DF">
      <w:pPr>
        <w:rPr>
          <w:sz w:val="40"/>
          <w:szCs w:val="40"/>
        </w:rPr>
      </w:pPr>
    </w:p>
    <w:p w:rsidR="00E229DF" w:rsidRDefault="00E229DF" w:rsidP="00E229DF">
      <w:pPr>
        <w:rPr>
          <w:sz w:val="40"/>
          <w:szCs w:val="40"/>
        </w:rPr>
      </w:pPr>
    </w:p>
    <w:p w:rsidR="000832E2" w:rsidRPr="00232BD8" w:rsidRDefault="000832E2" w:rsidP="00E229DF">
      <w:pPr>
        <w:rPr>
          <w:sz w:val="40"/>
          <w:szCs w:val="40"/>
        </w:rPr>
      </w:pPr>
      <w:r w:rsidRPr="00232BD8">
        <w:rPr>
          <w:sz w:val="40"/>
          <w:szCs w:val="40"/>
        </w:rPr>
        <w:t>This page intentionally left blank.</w:t>
      </w:r>
    </w:p>
    <w:p w:rsidR="000832E2" w:rsidRDefault="000832E2" w:rsidP="000832E2"/>
    <w:p w:rsidR="000832E2" w:rsidRDefault="000832E2" w:rsidP="000832E2"/>
    <w:p w:rsidR="000832E2" w:rsidRDefault="000832E2" w:rsidP="000832E2"/>
    <w:p w:rsidR="000832E2" w:rsidRPr="000832E2" w:rsidRDefault="000832E2" w:rsidP="00B83C35">
      <w:pPr>
        <w:rPr>
          <w:b/>
          <w:bCs/>
          <w:sz w:val="24"/>
          <w:szCs w:val="24"/>
        </w:rPr>
        <w:sectPr w:rsidR="000832E2" w:rsidRPr="000832E2" w:rsidSect="00A3672C">
          <w:pgSz w:w="12240" w:h="15840"/>
          <w:pgMar w:top="576" w:right="1440" w:bottom="547" w:left="1440" w:header="0" w:footer="0" w:gutter="0"/>
          <w:cols w:space="720"/>
        </w:sectPr>
      </w:pPr>
    </w:p>
    <w:p w:rsidR="00D67026" w:rsidRDefault="00D67026" w:rsidP="00D67026">
      <w:pPr>
        <w:numPr>
          <w:ilvl w:val="0"/>
          <w:numId w:val="3"/>
        </w:numPr>
        <w:rPr>
          <w:b/>
          <w:bCs/>
          <w:sz w:val="24"/>
          <w:szCs w:val="24"/>
        </w:rPr>
      </w:pPr>
      <w:r>
        <w:rPr>
          <w:b/>
          <w:bCs/>
          <w:sz w:val="24"/>
          <w:szCs w:val="24"/>
        </w:rPr>
        <w:t>EXPENDITURE FORECAST CHARTS FY 1</w:t>
      </w:r>
      <w:r w:rsidR="00633618">
        <w:rPr>
          <w:b/>
          <w:bCs/>
          <w:sz w:val="24"/>
          <w:szCs w:val="24"/>
        </w:rPr>
        <w:t>2</w:t>
      </w:r>
      <w:r>
        <w:rPr>
          <w:b/>
          <w:bCs/>
          <w:sz w:val="24"/>
          <w:szCs w:val="24"/>
        </w:rPr>
        <w:t>-1</w:t>
      </w:r>
      <w:r w:rsidR="00633618">
        <w:rPr>
          <w:b/>
          <w:bCs/>
          <w:sz w:val="24"/>
          <w:szCs w:val="24"/>
        </w:rPr>
        <w:t>5</w:t>
      </w:r>
    </w:p>
    <w:p w:rsidR="00D67026" w:rsidRDefault="00D67026" w:rsidP="00D67026">
      <w:pPr>
        <w:rPr>
          <w:b/>
          <w:bCs/>
          <w:sz w:val="24"/>
          <w:szCs w:val="24"/>
        </w:rPr>
      </w:pPr>
    </w:p>
    <w:p w:rsidR="00D67026" w:rsidRDefault="00D67026" w:rsidP="00B83C35">
      <w:pPr>
        <w:rPr>
          <w:bCs/>
          <w:sz w:val="24"/>
          <w:szCs w:val="24"/>
        </w:rPr>
      </w:pPr>
    </w:p>
    <w:p w:rsidR="001E3102" w:rsidRDefault="00D95E3E" w:rsidP="00B83C35">
      <w:pPr>
        <w:rPr>
          <w:bCs/>
          <w:sz w:val="24"/>
          <w:szCs w:val="24"/>
        </w:rPr>
      </w:pPr>
      <w:r w:rsidRPr="00D95E3E">
        <w:rPr>
          <w:noProof/>
        </w:rPr>
        <w:drawing>
          <wp:inline distT="0" distB="0" distL="0" distR="0" wp14:anchorId="34CE971D" wp14:editId="7487FB3D">
            <wp:extent cx="9345295" cy="4276137"/>
            <wp:effectExtent l="0" t="0" r="8255"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345295" cy="4276137"/>
                    </a:xfrm>
                    <a:prstGeom prst="rect">
                      <a:avLst/>
                    </a:prstGeom>
                    <a:noFill/>
                    <a:ln>
                      <a:noFill/>
                    </a:ln>
                  </pic:spPr>
                </pic:pic>
              </a:graphicData>
            </a:graphic>
          </wp:inline>
        </w:drawing>
      </w:r>
    </w:p>
    <w:p w:rsidR="001E3102" w:rsidRPr="001E3102" w:rsidRDefault="001E3102" w:rsidP="00B83C35">
      <w:pPr>
        <w:rPr>
          <w:bCs/>
          <w:sz w:val="24"/>
          <w:szCs w:val="24"/>
        </w:rPr>
      </w:pPr>
    </w:p>
    <w:p w:rsidR="00D67026" w:rsidRDefault="00D67026" w:rsidP="00B83C35">
      <w:pPr>
        <w:rPr>
          <w:bCs/>
          <w:sz w:val="24"/>
          <w:szCs w:val="24"/>
        </w:rPr>
      </w:pPr>
    </w:p>
    <w:p w:rsidR="00D67026" w:rsidRDefault="00D67026" w:rsidP="00B83C35">
      <w:pPr>
        <w:rPr>
          <w:bCs/>
          <w:sz w:val="24"/>
          <w:szCs w:val="24"/>
        </w:rPr>
      </w:pPr>
    </w:p>
    <w:p w:rsidR="00D67026" w:rsidRDefault="00D67026" w:rsidP="00B83C35">
      <w:pPr>
        <w:rPr>
          <w:bCs/>
          <w:sz w:val="24"/>
          <w:szCs w:val="24"/>
        </w:rPr>
        <w:sectPr w:rsidR="00D67026" w:rsidSect="00D67026">
          <w:pgSz w:w="15840" w:h="12240" w:orient="landscape"/>
          <w:pgMar w:top="720" w:right="576" w:bottom="1440" w:left="547" w:header="0" w:footer="0" w:gutter="0"/>
          <w:cols w:space="720"/>
        </w:sectPr>
      </w:pPr>
    </w:p>
    <w:p w:rsidR="00626698" w:rsidRDefault="00E229DF" w:rsidP="00626698">
      <w:pPr>
        <w:jc w:val="center"/>
        <w:rPr>
          <w:b/>
          <w:bCs/>
          <w:sz w:val="28"/>
          <w:szCs w:val="28"/>
        </w:rPr>
      </w:pPr>
      <w:r>
        <w:rPr>
          <w:rFonts w:ascii="Arial" w:eastAsia="+mj-ea" w:hAnsi="Arial" w:cs="+mj-cs"/>
          <w:b/>
          <w:bCs/>
          <w:color w:val="000000"/>
          <w:sz w:val="40"/>
          <w:szCs w:val="40"/>
        </w:rPr>
        <w:t xml:space="preserve">FY 12 - 13 </w:t>
      </w:r>
      <w:r>
        <w:rPr>
          <w:rFonts w:ascii="Arial" w:eastAsia="+mj-ea" w:hAnsi="Arial" w:cs="+mj-cs"/>
          <w:b/>
          <w:bCs/>
          <w:color w:val="000000"/>
          <w:sz w:val="40"/>
          <w:szCs w:val="40"/>
        </w:rPr>
        <w:br/>
        <w:t xml:space="preserve">Highway Fund Budgeted Allocations </w:t>
      </w:r>
      <w:r>
        <w:rPr>
          <w:rFonts w:ascii="Arial" w:eastAsia="+mj-ea" w:hAnsi="Arial" w:cs="+mj-cs"/>
          <w:b/>
          <w:bCs/>
          <w:color w:val="000000"/>
          <w:sz w:val="40"/>
          <w:szCs w:val="40"/>
        </w:rPr>
        <w:br/>
        <w:t>$630.</w:t>
      </w:r>
      <w:r w:rsidR="00B56D60">
        <w:rPr>
          <w:rFonts w:ascii="Arial" w:eastAsia="+mj-ea" w:hAnsi="Arial" w:cs="+mj-cs"/>
          <w:b/>
          <w:bCs/>
          <w:color w:val="000000"/>
          <w:sz w:val="40"/>
          <w:szCs w:val="40"/>
        </w:rPr>
        <w:t>1</w:t>
      </w:r>
      <w:r>
        <w:rPr>
          <w:rFonts w:ascii="Arial" w:eastAsia="+mj-ea" w:hAnsi="Arial" w:cs="+mj-cs"/>
          <w:b/>
          <w:bCs/>
          <w:color w:val="000000"/>
          <w:sz w:val="40"/>
          <w:szCs w:val="40"/>
        </w:rPr>
        <w:br/>
      </w:r>
      <w:r>
        <w:rPr>
          <w:rFonts w:ascii="Arial" w:eastAsia="+mj-ea" w:hAnsi="Arial" w:cs="+mj-cs"/>
          <w:b/>
          <w:bCs/>
          <w:color w:val="000000"/>
        </w:rPr>
        <w:t>Dollars in Millions</w:t>
      </w:r>
    </w:p>
    <w:p w:rsidR="00626698" w:rsidRDefault="00626698" w:rsidP="00626698">
      <w:pPr>
        <w:rPr>
          <w:b/>
          <w:bCs/>
          <w:sz w:val="24"/>
          <w:szCs w:val="24"/>
        </w:rPr>
      </w:pPr>
    </w:p>
    <w:p w:rsidR="00626698" w:rsidRPr="00BE69D6" w:rsidRDefault="002A3ED2" w:rsidP="00626698">
      <w:pPr>
        <w:rPr>
          <w:bCs/>
          <w:sz w:val="24"/>
          <w:szCs w:val="24"/>
        </w:rPr>
      </w:pPr>
      <w:r w:rsidRPr="002A3ED2">
        <w:rPr>
          <w:noProof/>
        </w:rPr>
        <w:drawing>
          <wp:anchor distT="0" distB="0" distL="114300" distR="114300" simplePos="0" relativeHeight="251704320" behindDoc="0" locked="0" layoutInCell="1" allowOverlap="1">
            <wp:simplePos x="0" y="0"/>
            <wp:positionH relativeFrom="column">
              <wp:posOffset>152400</wp:posOffset>
            </wp:positionH>
            <wp:positionV relativeFrom="paragraph">
              <wp:posOffset>152400</wp:posOffset>
            </wp:positionV>
            <wp:extent cx="5942965" cy="574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942965" cy="574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6698" w:rsidRPr="00BE69D6" w:rsidRDefault="00626698" w:rsidP="00626698">
      <w:pPr>
        <w:rPr>
          <w:bCs/>
          <w:sz w:val="24"/>
          <w:szCs w:val="24"/>
        </w:rPr>
      </w:pPr>
    </w:p>
    <w:p w:rsidR="00626698" w:rsidRDefault="00626698" w:rsidP="00626698">
      <w:pPr>
        <w:rPr>
          <w:bCs/>
          <w:sz w:val="24"/>
          <w:szCs w:val="24"/>
        </w:rPr>
      </w:pPr>
    </w:p>
    <w:p w:rsidR="00626698" w:rsidRDefault="00626698" w:rsidP="00626698">
      <w:pPr>
        <w:rPr>
          <w:bCs/>
          <w:sz w:val="24"/>
          <w:szCs w:val="24"/>
        </w:rPr>
      </w:pPr>
    </w:p>
    <w:p w:rsidR="00626698" w:rsidRDefault="00626698" w:rsidP="00626698">
      <w:pPr>
        <w:rPr>
          <w:bCs/>
          <w:sz w:val="24"/>
          <w:szCs w:val="24"/>
        </w:rPr>
      </w:pPr>
    </w:p>
    <w:p w:rsidR="00626698" w:rsidRDefault="00626698" w:rsidP="00626698">
      <w:pPr>
        <w:rPr>
          <w:bCs/>
          <w:sz w:val="24"/>
          <w:szCs w:val="24"/>
        </w:rPr>
      </w:pPr>
    </w:p>
    <w:p w:rsidR="00E229DF" w:rsidRDefault="00626698" w:rsidP="00E229DF">
      <w:pPr>
        <w:jc w:val="center"/>
        <w:rPr>
          <w:b/>
          <w:bCs/>
          <w:sz w:val="28"/>
          <w:szCs w:val="28"/>
        </w:rPr>
      </w:pPr>
      <w:r>
        <w:rPr>
          <w:bCs/>
          <w:sz w:val="24"/>
          <w:szCs w:val="24"/>
        </w:rPr>
        <w:br w:type="page"/>
      </w:r>
    </w:p>
    <w:p w:rsidR="00626698" w:rsidRDefault="00E229DF" w:rsidP="00626698">
      <w:pPr>
        <w:jc w:val="center"/>
        <w:rPr>
          <w:b/>
          <w:bCs/>
          <w:sz w:val="28"/>
          <w:szCs w:val="28"/>
        </w:rPr>
      </w:pPr>
      <w:r>
        <w:rPr>
          <w:rFonts w:ascii="Arial" w:eastAsia="+mj-ea" w:hAnsi="Arial" w:cs="+mj-cs"/>
          <w:b/>
          <w:bCs/>
          <w:color w:val="000000"/>
          <w:sz w:val="40"/>
          <w:szCs w:val="40"/>
        </w:rPr>
        <w:t xml:space="preserve">FY 14 - 15 </w:t>
      </w:r>
      <w:r>
        <w:rPr>
          <w:rFonts w:ascii="Arial" w:eastAsia="+mj-ea" w:hAnsi="Arial" w:cs="+mj-cs"/>
          <w:b/>
          <w:bCs/>
          <w:color w:val="000000"/>
          <w:sz w:val="40"/>
          <w:szCs w:val="40"/>
        </w:rPr>
        <w:br/>
        <w:t xml:space="preserve">Highway Fund Projected Allocations </w:t>
      </w:r>
      <w:r>
        <w:rPr>
          <w:rFonts w:ascii="Arial" w:eastAsia="+mj-ea" w:hAnsi="Arial" w:cs="+mj-cs"/>
          <w:b/>
          <w:bCs/>
          <w:color w:val="000000"/>
          <w:sz w:val="40"/>
          <w:szCs w:val="40"/>
        </w:rPr>
        <w:br/>
        <w:t>$97</w:t>
      </w:r>
      <w:r w:rsidR="00A26521">
        <w:rPr>
          <w:rFonts w:ascii="Arial" w:eastAsia="+mj-ea" w:hAnsi="Arial" w:cs="+mj-cs"/>
          <w:b/>
          <w:bCs/>
          <w:color w:val="000000"/>
          <w:sz w:val="40"/>
          <w:szCs w:val="40"/>
        </w:rPr>
        <w:t>2</w:t>
      </w:r>
      <w:r>
        <w:rPr>
          <w:rFonts w:ascii="Arial" w:eastAsia="+mj-ea" w:hAnsi="Arial" w:cs="+mj-cs"/>
          <w:b/>
          <w:bCs/>
          <w:color w:val="000000"/>
          <w:sz w:val="40"/>
          <w:szCs w:val="40"/>
        </w:rPr>
        <w:t>.</w:t>
      </w:r>
      <w:r w:rsidR="00A26521">
        <w:rPr>
          <w:rFonts w:ascii="Arial" w:eastAsia="+mj-ea" w:hAnsi="Arial" w:cs="+mj-cs"/>
          <w:b/>
          <w:bCs/>
          <w:color w:val="000000"/>
          <w:sz w:val="40"/>
          <w:szCs w:val="40"/>
        </w:rPr>
        <w:t>3</w:t>
      </w:r>
      <w:r>
        <w:rPr>
          <w:rFonts w:ascii="Arial" w:eastAsia="+mj-ea" w:hAnsi="Arial" w:cs="+mj-cs"/>
          <w:b/>
          <w:bCs/>
          <w:color w:val="000000"/>
        </w:rPr>
        <w:br/>
        <w:t>Dollars in Millions</w:t>
      </w:r>
    </w:p>
    <w:p w:rsidR="00D67026" w:rsidRPr="00061ABC" w:rsidRDefault="00F20C19" w:rsidP="00B83C35">
      <w:pPr>
        <w:rPr>
          <w:bCs/>
          <w:sz w:val="24"/>
          <w:szCs w:val="24"/>
        </w:rPr>
      </w:pPr>
      <w:r w:rsidRPr="00F20C19">
        <w:rPr>
          <w:noProof/>
        </w:rPr>
        <w:drawing>
          <wp:anchor distT="0" distB="0" distL="114300" distR="114300" simplePos="0" relativeHeight="251706368" behindDoc="0" locked="0" layoutInCell="1" allowOverlap="1">
            <wp:simplePos x="0" y="0"/>
            <wp:positionH relativeFrom="column">
              <wp:posOffset>152400</wp:posOffset>
            </wp:positionH>
            <wp:positionV relativeFrom="paragraph">
              <wp:posOffset>152400</wp:posOffset>
            </wp:positionV>
            <wp:extent cx="5938520" cy="60934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38520" cy="609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6698" w:rsidRDefault="00626698" w:rsidP="00B83C35">
      <w:pPr>
        <w:rPr>
          <w:bCs/>
          <w:sz w:val="24"/>
          <w:szCs w:val="24"/>
        </w:rPr>
      </w:pPr>
    </w:p>
    <w:p w:rsidR="00626698" w:rsidRPr="002513B2" w:rsidRDefault="00626698" w:rsidP="00B83C35">
      <w:pPr>
        <w:rPr>
          <w:bCs/>
          <w:sz w:val="24"/>
          <w:szCs w:val="24"/>
        </w:rPr>
      </w:pPr>
    </w:p>
    <w:p w:rsidR="00626698" w:rsidRDefault="00626698" w:rsidP="00B83C35">
      <w:pPr>
        <w:rPr>
          <w:bCs/>
          <w:sz w:val="24"/>
          <w:szCs w:val="24"/>
        </w:rPr>
      </w:pPr>
    </w:p>
    <w:p w:rsidR="00626698" w:rsidRDefault="00626698" w:rsidP="00A3672C">
      <w:pPr>
        <w:numPr>
          <w:ilvl w:val="0"/>
          <w:numId w:val="3"/>
        </w:numPr>
        <w:tabs>
          <w:tab w:val="clear" w:pos="360"/>
          <w:tab w:val="num" w:pos="0"/>
        </w:tabs>
        <w:ind w:left="0" w:firstLine="0"/>
        <w:rPr>
          <w:b/>
          <w:bCs/>
          <w:sz w:val="24"/>
          <w:szCs w:val="24"/>
        </w:rPr>
      </w:pPr>
      <w:r>
        <w:rPr>
          <w:bCs/>
          <w:sz w:val="24"/>
          <w:szCs w:val="24"/>
        </w:rPr>
        <w:br w:type="page"/>
      </w:r>
      <w:r>
        <w:rPr>
          <w:b/>
          <w:bCs/>
          <w:sz w:val="24"/>
          <w:szCs w:val="24"/>
        </w:rPr>
        <w:t>HIGHWAY FUND EXPENDITURE FORECAST NARRATIVE</w:t>
      </w:r>
    </w:p>
    <w:p w:rsidR="00626698" w:rsidRDefault="00626698" w:rsidP="00B83C35">
      <w:pPr>
        <w:rPr>
          <w:bCs/>
          <w:sz w:val="24"/>
          <w:szCs w:val="24"/>
        </w:rPr>
      </w:pPr>
    </w:p>
    <w:p w:rsidR="008C438E" w:rsidRPr="008C438E" w:rsidRDefault="008C438E" w:rsidP="008C438E">
      <w:pPr>
        <w:jc w:val="center"/>
        <w:rPr>
          <w:b/>
          <w:bCs/>
          <w:sz w:val="24"/>
          <w:szCs w:val="24"/>
        </w:rPr>
      </w:pPr>
      <w:r w:rsidRPr="008C438E">
        <w:rPr>
          <w:b/>
          <w:bCs/>
          <w:sz w:val="24"/>
          <w:szCs w:val="24"/>
        </w:rPr>
        <w:t>CAPITAL CONSTRUCTION AND IMPROVEMENT RESERVE FUND</w:t>
      </w:r>
    </w:p>
    <w:p w:rsidR="008C438E" w:rsidRDefault="008C438E" w:rsidP="00B83C35">
      <w:pPr>
        <w:rPr>
          <w:bCs/>
          <w:sz w:val="24"/>
          <w:szCs w:val="24"/>
        </w:rPr>
      </w:pPr>
    </w:p>
    <w:p w:rsidR="00DF536A" w:rsidRDefault="00C67763" w:rsidP="00B83C35">
      <w:pPr>
        <w:rPr>
          <w:bCs/>
          <w:sz w:val="24"/>
          <w:szCs w:val="24"/>
        </w:rPr>
      </w:pPr>
      <w:r w:rsidRPr="00C67763">
        <w:rPr>
          <w:noProof/>
        </w:rPr>
        <w:drawing>
          <wp:inline distT="0" distB="0" distL="0" distR="0" wp14:anchorId="570BEE38" wp14:editId="7FBEBBF9">
            <wp:extent cx="5804452" cy="561766"/>
            <wp:effectExtent l="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804452" cy="561766"/>
                    </a:xfrm>
                    <a:prstGeom prst="rect">
                      <a:avLst/>
                    </a:prstGeom>
                    <a:noFill/>
                    <a:ln>
                      <a:noFill/>
                    </a:ln>
                  </pic:spPr>
                </pic:pic>
              </a:graphicData>
            </a:graphic>
          </wp:inline>
        </w:drawing>
      </w:r>
    </w:p>
    <w:p w:rsidR="008C438E" w:rsidRDefault="008C438E" w:rsidP="00B83C35">
      <w:pPr>
        <w:rPr>
          <w:bCs/>
          <w:sz w:val="24"/>
          <w:szCs w:val="24"/>
        </w:rPr>
      </w:pPr>
    </w:p>
    <w:p w:rsidR="008C438E" w:rsidRDefault="008C438E" w:rsidP="00B83C35">
      <w:pPr>
        <w:rPr>
          <w:bCs/>
          <w:sz w:val="24"/>
          <w:szCs w:val="24"/>
        </w:rPr>
      </w:pPr>
      <w:r w:rsidRPr="008C438E">
        <w:rPr>
          <w:bCs/>
          <w:sz w:val="24"/>
          <w:szCs w:val="24"/>
        </w:rPr>
        <w:t xml:space="preserve">Funds in the FY 12-13 biennium </w:t>
      </w:r>
      <w:r w:rsidR="00603D12">
        <w:rPr>
          <w:bCs/>
          <w:sz w:val="24"/>
          <w:szCs w:val="24"/>
        </w:rPr>
        <w:t>were</w:t>
      </w:r>
      <w:r w:rsidRPr="008C438E">
        <w:rPr>
          <w:bCs/>
          <w:sz w:val="24"/>
          <w:szCs w:val="24"/>
        </w:rPr>
        <w:t xml:space="preserve"> necessary for payment of debt service costs on a ten year Certificate of Participation for renovations to the Department of Transportation building in Augusta.  The final debt service payment </w:t>
      </w:r>
      <w:r w:rsidR="00603D12">
        <w:rPr>
          <w:bCs/>
          <w:sz w:val="24"/>
          <w:szCs w:val="24"/>
        </w:rPr>
        <w:t>was</w:t>
      </w:r>
      <w:r w:rsidRPr="008C438E">
        <w:rPr>
          <w:bCs/>
          <w:sz w:val="24"/>
          <w:szCs w:val="24"/>
        </w:rPr>
        <w:t xml:space="preserve"> made in FY 12.</w:t>
      </w:r>
    </w:p>
    <w:p w:rsidR="008C438E" w:rsidRDefault="008C438E" w:rsidP="00B83C35">
      <w:pPr>
        <w:rPr>
          <w:bCs/>
          <w:sz w:val="24"/>
          <w:szCs w:val="24"/>
        </w:rPr>
      </w:pPr>
    </w:p>
    <w:p w:rsidR="008C438E" w:rsidRPr="008C438E" w:rsidRDefault="008C438E" w:rsidP="008C438E">
      <w:pPr>
        <w:jc w:val="center"/>
        <w:rPr>
          <w:b/>
          <w:bCs/>
          <w:sz w:val="24"/>
          <w:szCs w:val="24"/>
        </w:rPr>
      </w:pPr>
      <w:r w:rsidRPr="008C438E">
        <w:rPr>
          <w:b/>
          <w:bCs/>
          <w:sz w:val="24"/>
          <w:szCs w:val="24"/>
        </w:rPr>
        <w:t>STATE POLICE</w:t>
      </w:r>
    </w:p>
    <w:p w:rsidR="003E32AF" w:rsidRDefault="003E32AF" w:rsidP="00B83C35"/>
    <w:p w:rsidR="008C438E" w:rsidRPr="008C438E" w:rsidRDefault="003E32AF" w:rsidP="00B83C35">
      <w:pPr>
        <w:rPr>
          <w:bCs/>
          <w:sz w:val="24"/>
          <w:szCs w:val="24"/>
        </w:rPr>
      </w:pPr>
      <w:r w:rsidRPr="003E32AF">
        <w:rPr>
          <w:noProof/>
        </w:rPr>
        <w:drawing>
          <wp:inline distT="0" distB="0" distL="0" distR="0" wp14:anchorId="69EE28AD" wp14:editId="709B73A0">
            <wp:extent cx="5804452" cy="521989"/>
            <wp:effectExtent l="0" t="0" r="635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800572" cy="521640"/>
                    </a:xfrm>
                    <a:prstGeom prst="rect">
                      <a:avLst/>
                    </a:prstGeom>
                    <a:noFill/>
                    <a:ln>
                      <a:noFill/>
                    </a:ln>
                  </pic:spPr>
                </pic:pic>
              </a:graphicData>
            </a:graphic>
          </wp:inline>
        </w:drawing>
      </w:r>
    </w:p>
    <w:p w:rsidR="008C438E" w:rsidRDefault="008C438E" w:rsidP="00B83C35">
      <w:pPr>
        <w:rPr>
          <w:bCs/>
          <w:sz w:val="24"/>
          <w:szCs w:val="24"/>
        </w:rPr>
      </w:pPr>
    </w:p>
    <w:p w:rsidR="00F34373" w:rsidRPr="00F34373" w:rsidRDefault="00F34373" w:rsidP="00F34373">
      <w:pPr>
        <w:rPr>
          <w:sz w:val="24"/>
          <w:szCs w:val="24"/>
        </w:rPr>
      </w:pPr>
      <w:r w:rsidRPr="00F34373">
        <w:rPr>
          <w:sz w:val="24"/>
          <w:szCs w:val="24"/>
        </w:rPr>
        <w:t xml:space="preserve">The Maine State Police have primary goals of 1) patrolling rural areas of Maine without organized police departments for the purpose of preventing and investigating criminal activity; 2) enforcing traffic safety laws in rural areas, Maine Turnpike and Interstate System; 3) overseeing the Motor Vehicle Inspection Program and enforcing the Commercial Motor Vehicle laws and rules; 4) investigating homicides that occur outside Portland and Bangor; 5) investigating child abuse cases; 6) providing crime laboratory services to all law enforcement agencies; 7) providing a repository for criminal history and records information; and 8) providing specialized administrative and enforcement services. </w:t>
      </w:r>
    </w:p>
    <w:p w:rsidR="00F34373" w:rsidRPr="00F34373" w:rsidRDefault="00F34373" w:rsidP="00F34373">
      <w:pPr>
        <w:rPr>
          <w:sz w:val="24"/>
          <w:szCs w:val="24"/>
        </w:rPr>
      </w:pPr>
    </w:p>
    <w:p w:rsidR="00F34373" w:rsidRPr="00F34373" w:rsidRDefault="00F34373" w:rsidP="00F34373">
      <w:pPr>
        <w:rPr>
          <w:sz w:val="24"/>
          <w:szCs w:val="24"/>
        </w:rPr>
      </w:pPr>
      <w:r w:rsidRPr="00F34373">
        <w:rPr>
          <w:sz w:val="24"/>
          <w:szCs w:val="24"/>
        </w:rPr>
        <w:t xml:space="preserve">Public Law 2007, c. 682, changed the funding ratio of the State Police program from 40% General Fund and 60% Highway Fund to 51% General Fund and 49% Highway Fund effective with fiscal year 2009-10. The law requires the State Budget Officer to calculate the reduction in Highway Fund allocation to the State Police program resulting from this change and notify the State Controller, who transfers that amount from the Highway Fund to the TransCap Trust Fund.  For the 2012-2013 biennium, the transfer to the TransCap Trust Fund is projected to be approximately $10.7 million. For the 2014-2015 biennium, the transfer to the TransCap Trust Fund is projected to be approximately $10.8 million. </w:t>
      </w:r>
    </w:p>
    <w:p w:rsidR="00F34373" w:rsidRPr="00F34373" w:rsidRDefault="00F34373" w:rsidP="00F34373">
      <w:pPr>
        <w:rPr>
          <w:sz w:val="24"/>
          <w:szCs w:val="24"/>
        </w:rPr>
      </w:pPr>
    </w:p>
    <w:p w:rsidR="00F34373" w:rsidRPr="00F34373" w:rsidRDefault="00F34373" w:rsidP="00F34373">
      <w:pPr>
        <w:rPr>
          <w:sz w:val="24"/>
          <w:szCs w:val="24"/>
        </w:rPr>
      </w:pPr>
      <w:r w:rsidRPr="00F34373">
        <w:rPr>
          <w:sz w:val="24"/>
          <w:szCs w:val="24"/>
        </w:rPr>
        <w:t>The projected increase in funding between fiscal years 2012-13 and 2013-14 is primarily attributable to the increased cost in vehicle fuel and for the additional costs of funding positions in the State Police account. During fiscal year 2012-13 Personal Services funding was reduced to achieve savings by not awarding employees longevity pay and merit step increases, from savings in retiree health and changes in pension rate calculations. These additional costs are now reflected in fiscal year 2013-14. The difference between fiscal year 2013-14 and 2014-15 is primarily attributable to the costs of projected rate increases for employee and retiree health insurance and the cost for longevity pay and merit step increases for those eligible employees.</w:t>
      </w:r>
    </w:p>
    <w:p w:rsidR="005F219D" w:rsidRDefault="005F219D" w:rsidP="008C438E">
      <w:pPr>
        <w:jc w:val="both"/>
        <w:rPr>
          <w:sz w:val="24"/>
          <w:szCs w:val="24"/>
        </w:rPr>
      </w:pPr>
    </w:p>
    <w:p w:rsidR="00CA1C60" w:rsidRDefault="00CA1C60" w:rsidP="005F219D">
      <w:pPr>
        <w:jc w:val="center"/>
        <w:rPr>
          <w:b/>
          <w:bCs/>
          <w:sz w:val="24"/>
          <w:szCs w:val="24"/>
        </w:rPr>
      </w:pPr>
    </w:p>
    <w:p w:rsidR="00CA1C60" w:rsidRDefault="00CA1C60" w:rsidP="005F219D">
      <w:pPr>
        <w:jc w:val="center"/>
        <w:rPr>
          <w:b/>
          <w:bCs/>
          <w:sz w:val="24"/>
          <w:szCs w:val="24"/>
        </w:rPr>
      </w:pPr>
    </w:p>
    <w:p w:rsidR="00CA1C60" w:rsidRDefault="00CA1C60" w:rsidP="005F219D">
      <w:pPr>
        <w:jc w:val="center"/>
        <w:rPr>
          <w:b/>
          <w:bCs/>
          <w:sz w:val="24"/>
          <w:szCs w:val="24"/>
        </w:rPr>
      </w:pPr>
    </w:p>
    <w:p w:rsidR="005F219D" w:rsidRDefault="005F219D" w:rsidP="005F219D">
      <w:pPr>
        <w:jc w:val="center"/>
        <w:rPr>
          <w:b/>
          <w:bCs/>
          <w:sz w:val="24"/>
          <w:szCs w:val="24"/>
        </w:rPr>
      </w:pPr>
      <w:r w:rsidRPr="005F219D">
        <w:rPr>
          <w:b/>
          <w:bCs/>
          <w:sz w:val="24"/>
          <w:szCs w:val="24"/>
        </w:rPr>
        <w:t>MAINTENANCE &amp; OPERATIONS</w:t>
      </w:r>
    </w:p>
    <w:p w:rsidR="005F219D" w:rsidRPr="005F219D" w:rsidRDefault="005F219D" w:rsidP="005F219D">
      <w:pPr>
        <w:jc w:val="center"/>
        <w:rPr>
          <w:b/>
          <w:bCs/>
          <w:sz w:val="24"/>
          <w:szCs w:val="24"/>
        </w:rPr>
      </w:pPr>
    </w:p>
    <w:p w:rsidR="008C438E" w:rsidRPr="008C438E" w:rsidRDefault="0072484A" w:rsidP="00B83C35">
      <w:pPr>
        <w:rPr>
          <w:bCs/>
          <w:sz w:val="24"/>
          <w:szCs w:val="24"/>
        </w:rPr>
      </w:pPr>
      <w:r w:rsidRPr="0072484A">
        <w:rPr>
          <w:noProof/>
        </w:rPr>
        <w:drawing>
          <wp:inline distT="0" distB="0" distL="0" distR="0" wp14:anchorId="342465F7" wp14:editId="7368892C">
            <wp:extent cx="5756745" cy="521989"/>
            <wp:effectExtent l="0" t="0" r="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52897" cy="521640"/>
                    </a:xfrm>
                    <a:prstGeom prst="rect">
                      <a:avLst/>
                    </a:prstGeom>
                    <a:noFill/>
                    <a:ln>
                      <a:noFill/>
                    </a:ln>
                  </pic:spPr>
                </pic:pic>
              </a:graphicData>
            </a:graphic>
          </wp:inline>
        </w:drawing>
      </w:r>
    </w:p>
    <w:p w:rsidR="00CA1C60" w:rsidRDefault="00CA1C60" w:rsidP="005F219D">
      <w:pPr>
        <w:jc w:val="both"/>
        <w:rPr>
          <w:sz w:val="24"/>
          <w:szCs w:val="24"/>
        </w:rPr>
      </w:pPr>
    </w:p>
    <w:p w:rsidR="005F219D" w:rsidRDefault="005F219D" w:rsidP="005F219D">
      <w:pPr>
        <w:jc w:val="both"/>
        <w:rPr>
          <w:sz w:val="24"/>
          <w:szCs w:val="24"/>
        </w:rPr>
      </w:pPr>
      <w:r w:rsidRPr="005F219D">
        <w:rPr>
          <w:sz w:val="24"/>
          <w:szCs w:val="24"/>
        </w:rPr>
        <w:t>The Maintenance &amp; Operations program maintains the infrastructure of 16,000 lane miles of interlocking state and state aid highways.  It is responsible for winter services to the 8,600 lane miles designated as state highway and the maintenance of all appurtenances</w:t>
      </w:r>
      <w:r w:rsidRPr="005F219D">
        <w:rPr>
          <w:b/>
          <w:bCs/>
          <w:sz w:val="24"/>
          <w:szCs w:val="24"/>
        </w:rPr>
        <w:t xml:space="preserve"> </w:t>
      </w:r>
      <w:r w:rsidRPr="005F219D">
        <w:rPr>
          <w:sz w:val="24"/>
          <w:szCs w:val="24"/>
        </w:rPr>
        <w:t xml:space="preserve">and facilities associated with and necessary for the proper and safe utilization of the system by the motoring public. This program provides for the installation, maintenance and upgrading of traffic control devices and lighting.  It also maintains 2,800 bridges on public highways for public use and inspection of 3,800 bridges as required by the National Bridge Inspection Standards. </w:t>
      </w:r>
    </w:p>
    <w:p w:rsidR="00D86601" w:rsidRDefault="00D86601" w:rsidP="005F219D">
      <w:pPr>
        <w:jc w:val="both"/>
        <w:rPr>
          <w:sz w:val="24"/>
          <w:szCs w:val="24"/>
        </w:rPr>
      </w:pPr>
    </w:p>
    <w:p w:rsidR="00633618" w:rsidRDefault="00633618" w:rsidP="00D86601">
      <w:pPr>
        <w:jc w:val="center"/>
        <w:rPr>
          <w:b/>
          <w:bCs/>
          <w:sz w:val="24"/>
          <w:szCs w:val="24"/>
        </w:rPr>
      </w:pPr>
    </w:p>
    <w:p w:rsidR="00D86601" w:rsidRPr="00D86601" w:rsidRDefault="00D86601" w:rsidP="00D86601">
      <w:pPr>
        <w:jc w:val="center"/>
        <w:rPr>
          <w:b/>
          <w:bCs/>
          <w:sz w:val="24"/>
          <w:szCs w:val="24"/>
        </w:rPr>
      </w:pPr>
      <w:r w:rsidRPr="00D86601">
        <w:rPr>
          <w:b/>
          <w:bCs/>
          <w:sz w:val="24"/>
          <w:szCs w:val="24"/>
        </w:rPr>
        <w:t>HIGHWAY AND BRIDGE CAPITAL</w:t>
      </w:r>
    </w:p>
    <w:p w:rsidR="00D86601" w:rsidRDefault="00D86601" w:rsidP="005F219D">
      <w:pPr>
        <w:jc w:val="both"/>
        <w:rPr>
          <w:sz w:val="24"/>
          <w:szCs w:val="24"/>
        </w:rPr>
      </w:pPr>
    </w:p>
    <w:p w:rsidR="00D86601" w:rsidRDefault="0072484A" w:rsidP="005F219D">
      <w:pPr>
        <w:jc w:val="both"/>
        <w:rPr>
          <w:sz w:val="24"/>
          <w:szCs w:val="24"/>
        </w:rPr>
      </w:pPr>
      <w:r w:rsidRPr="0072484A">
        <w:rPr>
          <w:noProof/>
        </w:rPr>
        <w:drawing>
          <wp:inline distT="0" distB="0" distL="0" distR="0" wp14:anchorId="46063A05" wp14:editId="77ECBC49">
            <wp:extent cx="5716988" cy="521989"/>
            <wp:effectExtent l="0" t="0" r="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13166" cy="521640"/>
                    </a:xfrm>
                    <a:prstGeom prst="rect">
                      <a:avLst/>
                    </a:prstGeom>
                    <a:noFill/>
                    <a:ln>
                      <a:noFill/>
                    </a:ln>
                  </pic:spPr>
                </pic:pic>
              </a:graphicData>
            </a:graphic>
          </wp:inline>
        </w:drawing>
      </w:r>
    </w:p>
    <w:p w:rsidR="00D86601" w:rsidRDefault="00D86601" w:rsidP="005F219D">
      <w:pPr>
        <w:jc w:val="both"/>
        <w:rPr>
          <w:sz w:val="24"/>
          <w:szCs w:val="24"/>
        </w:rPr>
      </w:pPr>
    </w:p>
    <w:p w:rsidR="00F72DC2" w:rsidRDefault="00D86601" w:rsidP="00F72DC2">
      <w:pPr>
        <w:jc w:val="both"/>
      </w:pPr>
      <w:r w:rsidRPr="00D86601">
        <w:rPr>
          <w:sz w:val="24"/>
          <w:szCs w:val="24"/>
        </w:rPr>
        <w:t>The Highway and Bridge Capital program provides for capital improvement of the Federal-aid and State Highway network</w:t>
      </w:r>
      <w:r w:rsidRPr="00D86601">
        <w:rPr>
          <w:b/>
          <w:bCs/>
          <w:sz w:val="24"/>
          <w:szCs w:val="24"/>
        </w:rPr>
        <w:t xml:space="preserve"> </w:t>
      </w:r>
      <w:r w:rsidRPr="00D86601">
        <w:rPr>
          <w:sz w:val="24"/>
          <w:szCs w:val="24"/>
        </w:rPr>
        <w:t xml:space="preserve">in order to maintain a safe, efficient and effective infrastructure for all users of the system. </w:t>
      </w:r>
      <w:r w:rsidR="00F72DC2">
        <w:rPr>
          <w:sz w:val="24"/>
          <w:szCs w:val="24"/>
        </w:rPr>
        <w:t xml:space="preserve">The level of FY 14 &amp; 15 funding is based on the estimated cost to meet the priorities, customer service levels and capital goals set forth in 23 MRSA §73-7. </w:t>
      </w:r>
    </w:p>
    <w:p w:rsidR="00D86601" w:rsidRPr="00D86601" w:rsidRDefault="00D86601" w:rsidP="005F219D">
      <w:pPr>
        <w:jc w:val="both"/>
        <w:rPr>
          <w:sz w:val="24"/>
          <w:szCs w:val="24"/>
        </w:rPr>
      </w:pPr>
    </w:p>
    <w:p w:rsidR="00DF536A" w:rsidRDefault="00DF536A" w:rsidP="00B83C35">
      <w:pPr>
        <w:rPr>
          <w:bCs/>
          <w:sz w:val="24"/>
          <w:szCs w:val="24"/>
        </w:rPr>
      </w:pPr>
    </w:p>
    <w:p w:rsidR="0077354A" w:rsidRPr="0077354A" w:rsidRDefault="0077354A" w:rsidP="0077354A">
      <w:pPr>
        <w:jc w:val="center"/>
        <w:rPr>
          <w:b/>
          <w:bCs/>
          <w:sz w:val="24"/>
          <w:szCs w:val="24"/>
        </w:rPr>
      </w:pPr>
      <w:r w:rsidRPr="0077354A">
        <w:rPr>
          <w:b/>
          <w:bCs/>
          <w:sz w:val="24"/>
          <w:szCs w:val="24"/>
        </w:rPr>
        <w:t>HIGHWAY AND BRIDGE LIGHT CAPITAL</w:t>
      </w:r>
    </w:p>
    <w:p w:rsidR="0077354A" w:rsidRDefault="0077354A" w:rsidP="0077354A">
      <w:pPr>
        <w:rPr>
          <w:rFonts w:ascii="Arial" w:hAnsi="Arial" w:cs="Arial"/>
          <w:b/>
          <w:bCs/>
          <w:sz w:val="28"/>
          <w:szCs w:val="28"/>
        </w:rPr>
      </w:pPr>
    </w:p>
    <w:p w:rsidR="00DF536A" w:rsidRPr="0077354A" w:rsidRDefault="0072484A" w:rsidP="00B83C35">
      <w:pPr>
        <w:rPr>
          <w:bCs/>
          <w:sz w:val="24"/>
          <w:szCs w:val="24"/>
        </w:rPr>
      </w:pPr>
      <w:r w:rsidRPr="0072484A">
        <w:rPr>
          <w:noProof/>
        </w:rPr>
        <w:drawing>
          <wp:inline distT="0" distB="0" distL="0" distR="0" wp14:anchorId="73AC1F75" wp14:editId="2D3FC5CA">
            <wp:extent cx="5756745" cy="521989"/>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52897" cy="521640"/>
                    </a:xfrm>
                    <a:prstGeom prst="rect">
                      <a:avLst/>
                    </a:prstGeom>
                    <a:noFill/>
                    <a:ln>
                      <a:noFill/>
                    </a:ln>
                  </pic:spPr>
                </pic:pic>
              </a:graphicData>
            </a:graphic>
          </wp:inline>
        </w:drawing>
      </w:r>
    </w:p>
    <w:p w:rsidR="00DF536A" w:rsidRDefault="00DF536A" w:rsidP="00B83C35">
      <w:pPr>
        <w:rPr>
          <w:bCs/>
          <w:sz w:val="24"/>
          <w:szCs w:val="24"/>
        </w:rPr>
      </w:pPr>
    </w:p>
    <w:p w:rsidR="00D95E3E" w:rsidRDefault="0054440C" w:rsidP="00CD3F04">
      <w:pPr>
        <w:rPr>
          <w:b/>
          <w:bCs/>
          <w:sz w:val="24"/>
          <w:szCs w:val="24"/>
        </w:rPr>
      </w:pPr>
      <w:r w:rsidRPr="0054440C">
        <w:rPr>
          <w:sz w:val="24"/>
          <w:szCs w:val="24"/>
        </w:rPr>
        <w:t>This program was established in fiscal year 2009-10 for capital work not generally appropriate for bonding at a level to provide approximately</w:t>
      </w:r>
      <w:r>
        <w:rPr>
          <w:sz w:val="24"/>
          <w:szCs w:val="24"/>
        </w:rPr>
        <w:t xml:space="preserve"> 600 miles of light capital (also referred to as</w:t>
      </w:r>
      <w:r w:rsidRPr="0054440C">
        <w:rPr>
          <w:sz w:val="24"/>
          <w:szCs w:val="24"/>
        </w:rPr>
        <w:t xml:space="preserve"> maintenance surface treatment) per year, among other work, depending on bid prices and the severity of winter weather.</w:t>
      </w:r>
    </w:p>
    <w:p w:rsidR="00D95E3E" w:rsidRDefault="00D95E3E" w:rsidP="00261492">
      <w:pPr>
        <w:jc w:val="center"/>
        <w:rPr>
          <w:b/>
          <w:bCs/>
          <w:sz w:val="24"/>
          <w:szCs w:val="24"/>
        </w:rPr>
      </w:pPr>
    </w:p>
    <w:p w:rsidR="00261492" w:rsidRPr="00261492" w:rsidRDefault="00261492" w:rsidP="00261492">
      <w:pPr>
        <w:jc w:val="center"/>
        <w:rPr>
          <w:b/>
          <w:bCs/>
          <w:sz w:val="24"/>
          <w:szCs w:val="24"/>
        </w:rPr>
      </w:pPr>
      <w:r w:rsidRPr="00261492">
        <w:rPr>
          <w:b/>
          <w:bCs/>
          <w:sz w:val="24"/>
          <w:szCs w:val="24"/>
        </w:rPr>
        <w:t>URBAN-RURAL INITIATIVE PROGRAM</w:t>
      </w:r>
    </w:p>
    <w:p w:rsidR="00261492" w:rsidRDefault="00261492" w:rsidP="00DF536A">
      <w:pPr>
        <w:rPr>
          <w:bCs/>
          <w:sz w:val="24"/>
          <w:szCs w:val="24"/>
        </w:rPr>
      </w:pPr>
    </w:p>
    <w:p w:rsidR="00261492" w:rsidRDefault="0072484A" w:rsidP="00DF536A">
      <w:pPr>
        <w:rPr>
          <w:bCs/>
          <w:sz w:val="24"/>
          <w:szCs w:val="24"/>
        </w:rPr>
      </w:pPr>
      <w:r w:rsidRPr="0072484A">
        <w:rPr>
          <w:noProof/>
        </w:rPr>
        <w:drawing>
          <wp:inline distT="0" distB="0" distL="0" distR="0" wp14:anchorId="1B809796" wp14:editId="2F441927">
            <wp:extent cx="5804452" cy="521989"/>
            <wp:effectExtent l="0" t="0" r="635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00572" cy="521640"/>
                    </a:xfrm>
                    <a:prstGeom prst="rect">
                      <a:avLst/>
                    </a:prstGeom>
                    <a:noFill/>
                    <a:ln>
                      <a:noFill/>
                    </a:ln>
                  </pic:spPr>
                </pic:pic>
              </a:graphicData>
            </a:graphic>
          </wp:inline>
        </w:drawing>
      </w:r>
    </w:p>
    <w:p w:rsidR="00261492" w:rsidRDefault="00261492" w:rsidP="00DF536A">
      <w:pPr>
        <w:rPr>
          <w:bCs/>
          <w:sz w:val="24"/>
          <w:szCs w:val="24"/>
        </w:rPr>
      </w:pPr>
    </w:p>
    <w:p w:rsidR="00261492" w:rsidRDefault="00261492" w:rsidP="00DF536A">
      <w:pPr>
        <w:rPr>
          <w:bCs/>
          <w:sz w:val="24"/>
          <w:szCs w:val="24"/>
        </w:rPr>
      </w:pPr>
      <w:r w:rsidRPr="00261492">
        <w:rPr>
          <w:sz w:val="24"/>
          <w:szCs w:val="24"/>
        </w:rPr>
        <w:t>This program provides Municipal Transportation Assistance funding targeted to the capital needs of rural roads and highways and reflective of urban maintenance responsibilities on state and state aid roads. The budget projections for the FY 1</w:t>
      </w:r>
      <w:r w:rsidR="00B774CB">
        <w:rPr>
          <w:sz w:val="24"/>
          <w:szCs w:val="24"/>
        </w:rPr>
        <w:t>4</w:t>
      </w:r>
      <w:r w:rsidRPr="00261492">
        <w:rPr>
          <w:sz w:val="24"/>
          <w:szCs w:val="24"/>
        </w:rPr>
        <w:t>-1</w:t>
      </w:r>
      <w:r w:rsidR="00B774CB">
        <w:rPr>
          <w:sz w:val="24"/>
          <w:szCs w:val="24"/>
        </w:rPr>
        <w:t>5</w:t>
      </w:r>
      <w:r w:rsidRPr="00261492">
        <w:rPr>
          <w:sz w:val="24"/>
          <w:szCs w:val="24"/>
        </w:rPr>
        <w:t xml:space="preserve"> biennium are a percentage of the Highway Fund budget for Maine DOT calculated in accordance with Title 23, chapter 19, §1803–B, sub-§ 1, paragraph D.</w:t>
      </w:r>
      <w:r>
        <w:rPr>
          <w:sz w:val="28"/>
          <w:szCs w:val="28"/>
        </w:rPr>
        <w:t> </w:t>
      </w:r>
    </w:p>
    <w:p w:rsidR="004C38B5" w:rsidRDefault="004C38B5" w:rsidP="00261492">
      <w:pPr>
        <w:jc w:val="center"/>
        <w:rPr>
          <w:b/>
          <w:bCs/>
          <w:sz w:val="24"/>
          <w:szCs w:val="24"/>
        </w:rPr>
      </w:pPr>
    </w:p>
    <w:p w:rsidR="00261492" w:rsidRDefault="00261492" w:rsidP="00261492">
      <w:pPr>
        <w:jc w:val="center"/>
        <w:rPr>
          <w:b/>
          <w:bCs/>
          <w:sz w:val="24"/>
          <w:szCs w:val="24"/>
        </w:rPr>
      </w:pPr>
      <w:r w:rsidRPr="00261492">
        <w:rPr>
          <w:b/>
          <w:bCs/>
          <w:sz w:val="24"/>
          <w:szCs w:val="24"/>
        </w:rPr>
        <w:t>DEBT SERVICE</w:t>
      </w:r>
    </w:p>
    <w:p w:rsidR="00261492" w:rsidRPr="00261492" w:rsidRDefault="00261492" w:rsidP="00261492">
      <w:pPr>
        <w:jc w:val="center"/>
        <w:rPr>
          <w:b/>
          <w:bCs/>
          <w:sz w:val="24"/>
          <w:szCs w:val="24"/>
        </w:rPr>
      </w:pPr>
    </w:p>
    <w:p w:rsidR="00261492" w:rsidRDefault="00FD5C8F" w:rsidP="00DF536A">
      <w:r w:rsidRPr="00FD5C8F">
        <w:rPr>
          <w:noProof/>
        </w:rPr>
        <w:drawing>
          <wp:inline distT="0" distB="0" distL="0" distR="0" wp14:anchorId="36050BC2" wp14:editId="7AA0CF5D">
            <wp:extent cx="5772647" cy="52198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68788" cy="521640"/>
                    </a:xfrm>
                    <a:prstGeom prst="rect">
                      <a:avLst/>
                    </a:prstGeom>
                    <a:noFill/>
                    <a:ln>
                      <a:noFill/>
                    </a:ln>
                  </pic:spPr>
                </pic:pic>
              </a:graphicData>
            </a:graphic>
          </wp:inline>
        </w:drawing>
      </w:r>
    </w:p>
    <w:p w:rsidR="00261492" w:rsidRDefault="00261492" w:rsidP="00DF536A"/>
    <w:p w:rsidR="00261492" w:rsidRPr="00261492" w:rsidRDefault="00261492" w:rsidP="00261492">
      <w:pPr>
        <w:jc w:val="both"/>
        <w:rPr>
          <w:sz w:val="24"/>
          <w:szCs w:val="24"/>
        </w:rPr>
      </w:pPr>
      <w:r w:rsidRPr="00261492">
        <w:rPr>
          <w:sz w:val="24"/>
          <w:szCs w:val="24"/>
        </w:rPr>
        <w:t>$50 million of Highway Fund bonds were authorized in the FY 10-11 biennium in order to support highway and bridge improvements.</w:t>
      </w:r>
      <w:r w:rsidR="00B774CB">
        <w:rPr>
          <w:sz w:val="24"/>
          <w:szCs w:val="24"/>
        </w:rPr>
        <w:t xml:space="preserve">  Funding provided in the 2014-2015 biennium is the amount needed for scheduled debt service payments.</w:t>
      </w:r>
    </w:p>
    <w:p w:rsidR="00DF536A" w:rsidRDefault="00DF536A" w:rsidP="00DF536A">
      <w:pPr>
        <w:rPr>
          <w:bCs/>
          <w:sz w:val="24"/>
          <w:szCs w:val="24"/>
        </w:rPr>
      </w:pPr>
      <w:r>
        <w:rPr>
          <w:bCs/>
          <w:sz w:val="24"/>
          <w:szCs w:val="24"/>
        </w:rPr>
        <w:br w:type="page"/>
      </w:r>
      <w:r>
        <w:rPr>
          <w:b/>
          <w:bCs/>
          <w:sz w:val="24"/>
          <w:szCs w:val="24"/>
        </w:rPr>
        <w:t>SUMMARY</w:t>
      </w:r>
    </w:p>
    <w:p w:rsidR="00DF536A" w:rsidRDefault="00DF536A" w:rsidP="00DF536A">
      <w:pPr>
        <w:rPr>
          <w:bCs/>
          <w:sz w:val="24"/>
          <w:szCs w:val="24"/>
        </w:rPr>
      </w:pPr>
    </w:p>
    <w:p w:rsidR="00DF536A" w:rsidRDefault="00DF536A" w:rsidP="00B83C35">
      <w:pPr>
        <w:rPr>
          <w:bCs/>
          <w:sz w:val="24"/>
          <w:szCs w:val="24"/>
        </w:rPr>
      </w:pPr>
      <w:r>
        <w:rPr>
          <w:bCs/>
          <w:sz w:val="24"/>
          <w:szCs w:val="24"/>
        </w:rPr>
        <w:t>This report provides a summary and detailed projection of revenues, appropriations and allocations for the General Fund and the Highway Fund for the 201</w:t>
      </w:r>
      <w:r w:rsidR="00AD0433">
        <w:rPr>
          <w:bCs/>
          <w:sz w:val="24"/>
          <w:szCs w:val="24"/>
        </w:rPr>
        <w:t>2</w:t>
      </w:r>
      <w:r>
        <w:rPr>
          <w:bCs/>
          <w:sz w:val="24"/>
          <w:szCs w:val="24"/>
        </w:rPr>
        <w:t>-201</w:t>
      </w:r>
      <w:r w:rsidR="00AD0433">
        <w:rPr>
          <w:bCs/>
          <w:sz w:val="24"/>
          <w:szCs w:val="24"/>
        </w:rPr>
        <w:t>3</w:t>
      </w:r>
      <w:r>
        <w:rPr>
          <w:bCs/>
          <w:sz w:val="24"/>
          <w:szCs w:val="24"/>
        </w:rPr>
        <w:t xml:space="preserve"> biennium and the 201</w:t>
      </w:r>
      <w:r w:rsidR="00AD0433">
        <w:rPr>
          <w:bCs/>
          <w:sz w:val="24"/>
          <w:szCs w:val="24"/>
        </w:rPr>
        <w:t>4</w:t>
      </w:r>
      <w:r>
        <w:rPr>
          <w:bCs/>
          <w:sz w:val="24"/>
          <w:szCs w:val="24"/>
        </w:rPr>
        <w:t>-201</w:t>
      </w:r>
      <w:r w:rsidR="00AD0433">
        <w:rPr>
          <w:bCs/>
          <w:sz w:val="24"/>
          <w:szCs w:val="24"/>
        </w:rPr>
        <w:t>5</w:t>
      </w:r>
      <w:r>
        <w:rPr>
          <w:bCs/>
          <w:sz w:val="24"/>
          <w:szCs w:val="24"/>
        </w:rPr>
        <w:t xml:space="preserve"> biennium.</w:t>
      </w:r>
    </w:p>
    <w:p w:rsidR="00DF536A" w:rsidRDefault="00DF536A" w:rsidP="00B83C35">
      <w:pPr>
        <w:rPr>
          <w:bCs/>
          <w:sz w:val="24"/>
          <w:szCs w:val="24"/>
        </w:rPr>
      </w:pPr>
    </w:p>
    <w:p w:rsidR="00DF536A" w:rsidRDefault="00DF536A" w:rsidP="00B83C35">
      <w:pPr>
        <w:rPr>
          <w:bCs/>
          <w:sz w:val="24"/>
          <w:szCs w:val="24"/>
        </w:rPr>
      </w:pPr>
      <w:r w:rsidRPr="003B776F">
        <w:rPr>
          <w:bCs/>
          <w:sz w:val="24"/>
          <w:szCs w:val="24"/>
        </w:rPr>
        <w:t>The forecasts of revenues, appropriations and allocations contained in this report, when constructed under current law and current trends, result in a projected structural gap in the General Fund of $</w:t>
      </w:r>
      <w:r w:rsidR="00F8361E">
        <w:rPr>
          <w:rStyle w:val="InitialStyle"/>
          <w:rFonts w:ascii="Times New Roman" w:hAnsi="Times New Roman"/>
        </w:rPr>
        <w:t>75</w:t>
      </w:r>
      <w:r w:rsidR="002D41B7">
        <w:rPr>
          <w:rStyle w:val="InitialStyle"/>
          <w:rFonts w:ascii="Times New Roman" w:hAnsi="Times New Roman"/>
        </w:rPr>
        <w:t>5,518,709</w:t>
      </w:r>
      <w:r w:rsidRPr="003B776F">
        <w:rPr>
          <w:bCs/>
          <w:sz w:val="24"/>
          <w:szCs w:val="24"/>
        </w:rPr>
        <w:t xml:space="preserve"> and a projected structural gap in the Highway Fund of $</w:t>
      </w:r>
      <w:r w:rsidR="00006386" w:rsidRPr="003B776F">
        <w:rPr>
          <w:bCs/>
          <w:sz w:val="24"/>
          <w:szCs w:val="24"/>
        </w:rPr>
        <w:t>3</w:t>
      </w:r>
      <w:r w:rsidR="00AD0433">
        <w:rPr>
          <w:bCs/>
          <w:sz w:val="24"/>
          <w:szCs w:val="24"/>
        </w:rPr>
        <w:t>30,468,721</w:t>
      </w:r>
      <w:r w:rsidRPr="003B776F">
        <w:rPr>
          <w:bCs/>
          <w:sz w:val="24"/>
          <w:szCs w:val="24"/>
        </w:rPr>
        <w:t xml:space="preserve"> for the 201</w:t>
      </w:r>
      <w:r w:rsidR="00AD0433">
        <w:rPr>
          <w:bCs/>
          <w:sz w:val="24"/>
          <w:szCs w:val="24"/>
        </w:rPr>
        <w:t>4</w:t>
      </w:r>
      <w:r w:rsidRPr="003B776F">
        <w:rPr>
          <w:bCs/>
          <w:sz w:val="24"/>
          <w:szCs w:val="24"/>
        </w:rPr>
        <w:t>-201</w:t>
      </w:r>
      <w:r w:rsidR="00AD0433">
        <w:rPr>
          <w:bCs/>
          <w:sz w:val="24"/>
          <w:szCs w:val="24"/>
        </w:rPr>
        <w:t>5</w:t>
      </w:r>
      <w:r w:rsidRPr="003B776F">
        <w:rPr>
          <w:bCs/>
          <w:sz w:val="24"/>
          <w:szCs w:val="24"/>
        </w:rPr>
        <w:t xml:space="preserve"> biennium.  The base level projections for the General Fund and Highway Fund include the </w:t>
      </w:r>
      <w:r w:rsidR="00AD0433">
        <w:rPr>
          <w:bCs/>
          <w:sz w:val="24"/>
          <w:szCs w:val="24"/>
        </w:rPr>
        <w:t>April</w:t>
      </w:r>
      <w:r w:rsidRPr="003B776F">
        <w:rPr>
          <w:bCs/>
          <w:sz w:val="24"/>
          <w:szCs w:val="24"/>
        </w:rPr>
        <w:t xml:space="preserve"> 201</w:t>
      </w:r>
      <w:r w:rsidR="00AD0433">
        <w:rPr>
          <w:bCs/>
          <w:sz w:val="24"/>
          <w:szCs w:val="24"/>
        </w:rPr>
        <w:t>2</w:t>
      </w:r>
      <w:r w:rsidRPr="003B776F">
        <w:rPr>
          <w:bCs/>
          <w:sz w:val="24"/>
          <w:szCs w:val="24"/>
        </w:rPr>
        <w:t xml:space="preserve"> projection of the Revenue Forecasting Committee and reflect all actions of the Second Regular Session of the 12</w:t>
      </w:r>
      <w:r w:rsidR="00AD0433">
        <w:rPr>
          <w:bCs/>
          <w:sz w:val="24"/>
          <w:szCs w:val="24"/>
        </w:rPr>
        <w:t>5</w:t>
      </w:r>
      <w:r w:rsidRPr="003B776F">
        <w:rPr>
          <w:bCs/>
          <w:sz w:val="24"/>
          <w:szCs w:val="24"/>
          <w:vertAlign w:val="superscript"/>
        </w:rPr>
        <w:t>th</w:t>
      </w:r>
      <w:r w:rsidRPr="003B776F">
        <w:rPr>
          <w:bCs/>
          <w:sz w:val="24"/>
          <w:szCs w:val="24"/>
        </w:rPr>
        <w:t xml:space="preserve"> Legislature.</w:t>
      </w:r>
    </w:p>
    <w:sectPr w:rsidR="00DF536A" w:rsidSect="004A1C76">
      <w:pgSz w:w="12240" w:h="15840"/>
      <w:pgMar w:top="1440" w:right="1080" w:bottom="1440" w:left="108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E91" w:rsidRDefault="00394E91">
      <w:r>
        <w:separator/>
      </w:r>
    </w:p>
  </w:endnote>
  <w:endnote w:type="continuationSeparator" w:id="0">
    <w:p w:rsidR="00394E91" w:rsidRDefault="0039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 1)">
    <w:altName w:val="Times New Roman"/>
    <w:charset w:val="00"/>
    <w:family w:val="auto"/>
    <w:pitch w:val="default"/>
  </w:font>
  <w:font w:name="Tahoma">
    <w:panose1 w:val="020B0604030504040204"/>
    <w:charset w:val="00"/>
    <w:family w:val="swiss"/>
    <w:pitch w:val="variable"/>
    <w:sig w:usb0="61002A87" w:usb1="80000000" w:usb2="00000008" w:usb3="00000000" w:csb0="000101FF" w:csb1="00000000"/>
  </w:font>
  <w:font w:name="Univers ( 1)">
    <w:charset w:val="00"/>
    <w:family w:val="auto"/>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E91" w:rsidRDefault="00394E91" w:rsidP="00D704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4E91" w:rsidRDefault="00394E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E91" w:rsidRDefault="00394E91" w:rsidP="00BC058E">
    <w:pPr>
      <w:pStyle w:val="Footer"/>
      <w:framePr w:h="720" w:hRule="exact" w:wrap="around" w:vAnchor="text" w:hAnchor="margin" w:xAlign="center" w:y="-495"/>
      <w:rPr>
        <w:rStyle w:val="PageNumber"/>
      </w:rPr>
    </w:pPr>
  </w:p>
  <w:p w:rsidR="00394E91" w:rsidRDefault="00394E91">
    <w:pPr>
      <w:pStyle w:val="DefaultText"/>
      <w:tabs>
        <w:tab w:val="center" w:pos="4680"/>
        <w:tab w:val="right" w:pos="936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E91" w:rsidRDefault="00394E91" w:rsidP="00BC058E">
    <w:pPr>
      <w:pStyle w:val="Footer"/>
      <w:framePr w:h="720" w:hRule="exact" w:wrap="around" w:vAnchor="text" w:hAnchor="margin" w:xAlign="center" w:y="-495"/>
      <w:rPr>
        <w:rStyle w:val="PageNumber"/>
      </w:rPr>
    </w:pPr>
    <w:r>
      <w:rPr>
        <w:rStyle w:val="PageNumber"/>
      </w:rPr>
      <w:fldChar w:fldCharType="begin"/>
    </w:r>
    <w:r>
      <w:rPr>
        <w:rStyle w:val="PageNumber"/>
      </w:rPr>
      <w:instrText xml:space="preserve"> PAGE </w:instrText>
    </w:r>
    <w:r>
      <w:rPr>
        <w:rStyle w:val="PageNumber"/>
      </w:rPr>
      <w:fldChar w:fldCharType="separate"/>
    </w:r>
    <w:r w:rsidR="0010703D">
      <w:rPr>
        <w:rStyle w:val="PageNumber"/>
        <w:noProof/>
      </w:rPr>
      <w:t>29</w:t>
    </w:r>
    <w:r>
      <w:rPr>
        <w:rStyle w:val="PageNumber"/>
      </w:rPr>
      <w:fldChar w:fldCharType="end"/>
    </w:r>
  </w:p>
  <w:p w:rsidR="00394E91" w:rsidRDefault="00394E91">
    <w:pPr>
      <w:pStyle w:val="DefaultText"/>
      <w:tabs>
        <w:tab w:val="center" w:pos="4680"/>
        <w:tab w:val="right" w:pos="936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E91" w:rsidRDefault="00394E91">
      <w:r>
        <w:separator/>
      </w:r>
    </w:p>
  </w:footnote>
  <w:footnote w:type="continuationSeparator" w:id="0">
    <w:p w:rsidR="00394E91" w:rsidRDefault="00394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1B9"/>
    <w:multiLevelType w:val="hybridMultilevel"/>
    <w:tmpl w:val="305A63CE"/>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0E2412"/>
    <w:multiLevelType w:val="hybridMultilevel"/>
    <w:tmpl w:val="06C2B0C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9CC16BA"/>
    <w:multiLevelType w:val="hybridMultilevel"/>
    <w:tmpl w:val="44EEC55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DD1B20"/>
    <w:multiLevelType w:val="hybridMultilevel"/>
    <w:tmpl w:val="E3D4F97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9700533"/>
    <w:multiLevelType w:val="hybridMultilevel"/>
    <w:tmpl w:val="C6E269D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70628E"/>
    <w:multiLevelType w:val="hybridMultilevel"/>
    <w:tmpl w:val="505E8158"/>
    <w:lvl w:ilvl="0" w:tplc="7DFE14E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F7204D"/>
    <w:multiLevelType w:val="multilevel"/>
    <w:tmpl w:val="305A63CE"/>
    <w:lvl w:ilvl="0">
      <w:start w:val="4"/>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00F4312"/>
    <w:multiLevelType w:val="multilevel"/>
    <w:tmpl w:val="44EEC55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5"/>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2B"/>
    <w:rsid w:val="0000137F"/>
    <w:rsid w:val="000016D7"/>
    <w:rsid w:val="000017CA"/>
    <w:rsid w:val="00001A39"/>
    <w:rsid w:val="00001C52"/>
    <w:rsid w:val="00001DD6"/>
    <w:rsid w:val="000024E4"/>
    <w:rsid w:val="00003A81"/>
    <w:rsid w:val="000041F2"/>
    <w:rsid w:val="000043D6"/>
    <w:rsid w:val="0000623E"/>
    <w:rsid w:val="00006386"/>
    <w:rsid w:val="00006510"/>
    <w:rsid w:val="000067DB"/>
    <w:rsid w:val="000069C6"/>
    <w:rsid w:val="00006CAB"/>
    <w:rsid w:val="0000761D"/>
    <w:rsid w:val="00007CFB"/>
    <w:rsid w:val="00007DC8"/>
    <w:rsid w:val="00007F37"/>
    <w:rsid w:val="00007F74"/>
    <w:rsid w:val="00010224"/>
    <w:rsid w:val="00010BB8"/>
    <w:rsid w:val="000114BB"/>
    <w:rsid w:val="00011506"/>
    <w:rsid w:val="00011BED"/>
    <w:rsid w:val="000121C0"/>
    <w:rsid w:val="000122C5"/>
    <w:rsid w:val="0001272C"/>
    <w:rsid w:val="0001290D"/>
    <w:rsid w:val="00013A66"/>
    <w:rsid w:val="00014345"/>
    <w:rsid w:val="00014449"/>
    <w:rsid w:val="000148A5"/>
    <w:rsid w:val="00015140"/>
    <w:rsid w:val="0001548B"/>
    <w:rsid w:val="00016378"/>
    <w:rsid w:val="00016F68"/>
    <w:rsid w:val="00017579"/>
    <w:rsid w:val="000205A1"/>
    <w:rsid w:val="0002082A"/>
    <w:rsid w:val="00020A3B"/>
    <w:rsid w:val="00020CD6"/>
    <w:rsid w:val="0002138A"/>
    <w:rsid w:val="00021546"/>
    <w:rsid w:val="000216AA"/>
    <w:rsid w:val="00021A08"/>
    <w:rsid w:val="000221EA"/>
    <w:rsid w:val="000223E8"/>
    <w:rsid w:val="000229C2"/>
    <w:rsid w:val="00022F25"/>
    <w:rsid w:val="000234C4"/>
    <w:rsid w:val="000234F6"/>
    <w:rsid w:val="00023AB4"/>
    <w:rsid w:val="00024775"/>
    <w:rsid w:val="0002536C"/>
    <w:rsid w:val="00025751"/>
    <w:rsid w:val="00025D36"/>
    <w:rsid w:val="00025DFF"/>
    <w:rsid w:val="00026207"/>
    <w:rsid w:val="000262A4"/>
    <w:rsid w:val="00026613"/>
    <w:rsid w:val="00027258"/>
    <w:rsid w:val="000276BA"/>
    <w:rsid w:val="00027821"/>
    <w:rsid w:val="00027D0B"/>
    <w:rsid w:val="000306BB"/>
    <w:rsid w:val="00030CB4"/>
    <w:rsid w:val="00030CD6"/>
    <w:rsid w:val="00030D71"/>
    <w:rsid w:val="000312AA"/>
    <w:rsid w:val="000312D1"/>
    <w:rsid w:val="00031645"/>
    <w:rsid w:val="00031EE1"/>
    <w:rsid w:val="000322C4"/>
    <w:rsid w:val="00032E32"/>
    <w:rsid w:val="00033506"/>
    <w:rsid w:val="00033FB6"/>
    <w:rsid w:val="0003491E"/>
    <w:rsid w:val="00034B38"/>
    <w:rsid w:val="00034D52"/>
    <w:rsid w:val="000354D9"/>
    <w:rsid w:val="000358CC"/>
    <w:rsid w:val="00035D92"/>
    <w:rsid w:val="0003608A"/>
    <w:rsid w:val="000361F5"/>
    <w:rsid w:val="0003623B"/>
    <w:rsid w:val="00036727"/>
    <w:rsid w:val="000367EC"/>
    <w:rsid w:val="00036C5F"/>
    <w:rsid w:val="00036D8C"/>
    <w:rsid w:val="0003734B"/>
    <w:rsid w:val="000402FE"/>
    <w:rsid w:val="0004067D"/>
    <w:rsid w:val="000416FE"/>
    <w:rsid w:val="000424C7"/>
    <w:rsid w:val="00043F9E"/>
    <w:rsid w:val="000452A3"/>
    <w:rsid w:val="00045C72"/>
    <w:rsid w:val="000469B3"/>
    <w:rsid w:val="0004745C"/>
    <w:rsid w:val="000474A0"/>
    <w:rsid w:val="00047AC3"/>
    <w:rsid w:val="00047FBE"/>
    <w:rsid w:val="00050537"/>
    <w:rsid w:val="000507A1"/>
    <w:rsid w:val="000507E4"/>
    <w:rsid w:val="00050826"/>
    <w:rsid w:val="00050C8D"/>
    <w:rsid w:val="00050D78"/>
    <w:rsid w:val="000517AB"/>
    <w:rsid w:val="00051D09"/>
    <w:rsid w:val="000522A2"/>
    <w:rsid w:val="00052417"/>
    <w:rsid w:val="00052480"/>
    <w:rsid w:val="0005306B"/>
    <w:rsid w:val="0005385E"/>
    <w:rsid w:val="00053A22"/>
    <w:rsid w:val="00053E69"/>
    <w:rsid w:val="00054DB5"/>
    <w:rsid w:val="00055004"/>
    <w:rsid w:val="00055119"/>
    <w:rsid w:val="00055342"/>
    <w:rsid w:val="00056BB6"/>
    <w:rsid w:val="000572F7"/>
    <w:rsid w:val="0005759E"/>
    <w:rsid w:val="00060715"/>
    <w:rsid w:val="00060FFC"/>
    <w:rsid w:val="00061A6B"/>
    <w:rsid w:val="00061ABC"/>
    <w:rsid w:val="00062029"/>
    <w:rsid w:val="0006296F"/>
    <w:rsid w:val="00062AFE"/>
    <w:rsid w:val="00063201"/>
    <w:rsid w:val="000633CE"/>
    <w:rsid w:val="00063539"/>
    <w:rsid w:val="000640D8"/>
    <w:rsid w:val="00064878"/>
    <w:rsid w:val="000658B1"/>
    <w:rsid w:val="000658E1"/>
    <w:rsid w:val="00065F81"/>
    <w:rsid w:val="00067E17"/>
    <w:rsid w:val="00067F25"/>
    <w:rsid w:val="00070E43"/>
    <w:rsid w:val="000717F7"/>
    <w:rsid w:val="00071AE5"/>
    <w:rsid w:val="00071D2E"/>
    <w:rsid w:val="000729D8"/>
    <w:rsid w:val="0007313A"/>
    <w:rsid w:val="00073296"/>
    <w:rsid w:val="00074227"/>
    <w:rsid w:val="0007454E"/>
    <w:rsid w:val="00074965"/>
    <w:rsid w:val="00074CFF"/>
    <w:rsid w:val="00074DDC"/>
    <w:rsid w:val="000759D2"/>
    <w:rsid w:val="00075DB3"/>
    <w:rsid w:val="00075F1B"/>
    <w:rsid w:val="00076352"/>
    <w:rsid w:val="00076622"/>
    <w:rsid w:val="00077383"/>
    <w:rsid w:val="00077E45"/>
    <w:rsid w:val="00080D04"/>
    <w:rsid w:val="00081311"/>
    <w:rsid w:val="0008263E"/>
    <w:rsid w:val="000832E2"/>
    <w:rsid w:val="00083B61"/>
    <w:rsid w:val="00083E60"/>
    <w:rsid w:val="000846B0"/>
    <w:rsid w:val="00084848"/>
    <w:rsid w:val="00084899"/>
    <w:rsid w:val="0008559B"/>
    <w:rsid w:val="0008645D"/>
    <w:rsid w:val="00086FC3"/>
    <w:rsid w:val="00087FF0"/>
    <w:rsid w:val="000905BF"/>
    <w:rsid w:val="00090A3A"/>
    <w:rsid w:val="00090DF0"/>
    <w:rsid w:val="00090FFF"/>
    <w:rsid w:val="0009142B"/>
    <w:rsid w:val="00091BED"/>
    <w:rsid w:val="00092219"/>
    <w:rsid w:val="000924DB"/>
    <w:rsid w:val="000926BC"/>
    <w:rsid w:val="0009352A"/>
    <w:rsid w:val="00094416"/>
    <w:rsid w:val="00094746"/>
    <w:rsid w:val="00094922"/>
    <w:rsid w:val="00094B00"/>
    <w:rsid w:val="00094EC5"/>
    <w:rsid w:val="00095AA5"/>
    <w:rsid w:val="000A03E2"/>
    <w:rsid w:val="000A06A5"/>
    <w:rsid w:val="000A093D"/>
    <w:rsid w:val="000A1972"/>
    <w:rsid w:val="000A2081"/>
    <w:rsid w:val="000A2521"/>
    <w:rsid w:val="000A3218"/>
    <w:rsid w:val="000A3304"/>
    <w:rsid w:val="000A38CF"/>
    <w:rsid w:val="000A3E9F"/>
    <w:rsid w:val="000A4778"/>
    <w:rsid w:val="000A61BB"/>
    <w:rsid w:val="000A6271"/>
    <w:rsid w:val="000A68AA"/>
    <w:rsid w:val="000B1719"/>
    <w:rsid w:val="000B1749"/>
    <w:rsid w:val="000B179B"/>
    <w:rsid w:val="000B17A6"/>
    <w:rsid w:val="000B1E18"/>
    <w:rsid w:val="000B24E3"/>
    <w:rsid w:val="000B2D9D"/>
    <w:rsid w:val="000B3013"/>
    <w:rsid w:val="000B396E"/>
    <w:rsid w:val="000B3E77"/>
    <w:rsid w:val="000B60E6"/>
    <w:rsid w:val="000B6C25"/>
    <w:rsid w:val="000B6E17"/>
    <w:rsid w:val="000B718F"/>
    <w:rsid w:val="000B75C4"/>
    <w:rsid w:val="000B7D27"/>
    <w:rsid w:val="000B7E4D"/>
    <w:rsid w:val="000C0BBB"/>
    <w:rsid w:val="000C210C"/>
    <w:rsid w:val="000C248B"/>
    <w:rsid w:val="000C24D0"/>
    <w:rsid w:val="000C2705"/>
    <w:rsid w:val="000C4391"/>
    <w:rsid w:val="000C4DAF"/>
    <w:rsid w:val="000C5443"/>
    <w:rsid w:val="000C5DB5"/>
    <w:rsid w:val="000C66DE"/>
    <w:rsid w:val="000C6CA1"/>
    <w:rsid w:val="000C75AF"/>
    <w:rsid w:val="000C764B"/>
    <w:rsid w:val="000C77DE"/>
    <w:rsid w:val="000D0763"/>
    <w:rsid w:val="000D08A4"/>
    <w:rsid w:val="000D08D0"/>
    <w:rsid w:val="000D0A83"/>
    <w:rsid w:val="000D0F1A"/>
    <w:rsid w:val="000D1299"/>
    <w:rsid w:val="000D14BD"/>
    <w:rsid w:val="000D199B"/>
    <w:rsid w:val="000D1AA3"/>
    <w:rsid w:val="000D1F85"/>
    <w:rsid w:val="000D327B"/>
    <w:rsid w:val="000D3748"/>
    <w:rsid w:val="000D410A"/>
    <w:rsid w:val="000D411E"/>
    <w:rsid w:val="000D46E3"/>
    <w:rsid w:val="000D4ED3"/>
    <w:rsid w:val="000D511B"/>
    <w:rsid w:val="000D566E"/>
    <w:rsid w:val="000D5919"/>
    <w:rsid w:val="000D613C"/>
    <w:rsid w:val="000D7390"/>
    <w:rsid w:val="000D7D92"/>
    <w:rsid w:val="000D7F76"/>
    <w:rsid w:val="000E10ED"/>
    <w:rsid w:val="000E1B42"/>
    <w:rsid w:val="000E22FA"/>
    <w:rsid w:val="000E2621"/>
    <w:rsid w:val="000E2771"/>
    <w:rsid w:val="000E2DAF"/>
    <w:rsid w:val="000E375C"/>
    <w:rsid w:val="000E3CF7"/>
    <w:rsid w:val="000E415E"/>
    <w:rsid w:val="000E5564"/>
    <w:rsid w:val="000E5914"/>
    <w:rsid w:val="000E5DF5"/>
    <w:rsid w:val="000E6DED"/>
    <w:rsid w:val="000E6F18"/>
    <w:rsid w:val="000E7026"/>
    <w:rsid w:val="000F04D1"/>
    <w:rsid w:val="000F0566"/>
    <w:rsid w:val="000F11EA"/>
    <w:rsid w:val="000F228B"/>
    <w:rsid w:val="000F43B6"/>
    <w:rsid w:val="000F45BC"/>
    <w:rsid w:val="000F4D60"/>
    <w:rsid w:val="000F5261"/>
    <w:rsid w:val="000F55E0"/>
    <w:rsid w:val="000F5A09"/>
    <w:rsid w:val="000F6CBA"/>
    <w:rsid w:val="000F6E53"/>
    <w:rsid w:val="000F6FBB"/>
    <w:rsid w:val="000F730E"/>
    <w:rsid w:val="000F731B"/>
    <w:rsid w:val="000F73DD"/>
    <w:rsid w:val="000F7B82"/>
    <w:rsid w:val="0010008E"/>
    <w:rsid w:val="00100185"/>
    <w:rsid w:val="001001E8"/>
    <w:rsid w:val="001003CF"/>
    <w:rsid w:val="00101A66"/>
    <w:rsid w:val="00102BCF"/>
    <w:rsid w:val="00102FFB"/>
    <w:rsid w:val="001045E6"/>
    <w:rsid w:val="00104F3D"/>
    <w:rsid w:val="001050FC"/>
    <w:rsid w:val="001054CE"/>
    <w:rsid w:val="00105A5E"/>
    <w:rsid w:val="00105E60"/>
    <w:rsid w:val="0010660E"/>
    <w:rsid w:val="001066D8"/>
    <w:rsid w:val="00106D4A"/>
    <w:rsid w:val="0010703D"/>
    <w:rsid w:val="00107787"/>
    <w:rsid w:val="00107F40"/>
    <w:rsid w:val="0011012C"/>
    <w:rsid w:val="0011115C"/>
    <w:rsid w:val="00111492"/>
    <w:rsid w:val="001121B4"/>
    <w:rsid w:val="00112839"/>
    <w:rsid w:val="00114536"/>
    <w:rsid w:val="0011493C"/>
    <w:rsid w:val="00114F32"/>
    <w:rsid w:val="00114F93"/>
    <w:rsid w:val="00114FC0"/>
    <w:rsid w:val="00116673"/>
    <w:rsid w:val="00117AB7"/>
    <w:rsid w:val="001208A4"/>
    <w:rsid w:val="00120E3B"/>
    <w:rsid w:val="0012103D"/>
    <w:rsid w:val="001212DB"/>
    <w:rsid w:val="0012135F"/>
    <w:rsid w:val="0012152F"/>
    <w:rsid w:val="00121701"/>
    <w:rsid w:val="00121E61"/>
    <w:rsid w:val="00122514"/>
    <w:rsid w:val="0012325E"/>
    <w:rsid w:val="001233C1"/>
    <w:rsid w:val="00124757"/>
    <w:rsid w:val="00124AFE"/>
    <w:rsid w:val="00124B75"/>
    <w:rsid w:val="001265DC"/>
    <w:rsid w:val="00126CD2"/>
    <w:rsid w:val="001270E8"/>
    <w:rsid w:val="00127B86"/>
    <w:rsid w:val="00130F2D"/>
    <w:rsid w:val="00130F38"/>
    <w:rsid w:val="0013127F"/>
    <w:rsid w:val="00131D8D"/>
    <w:rsid w:val="00132093"/>
    <w:rsid w:val="00132145"/>
    <w:rsid w:val="00132167"/>
    <w:rsid w:val="0013217E"/>
    <w:rsid w:val="0013237C"/>
    <w:rsid w:val="00132D1B"/>
    <w:rsid w:val="001331E1"/>
    <w:rsid w:val="001335DB"/>
    <w:rsid w:val="001339E9"/>
    <w:rsid w:val="00133B7C"/>
    <w:rsid w:val="00133DD1"/>
    <w:rsid w:val="00134962"/>
    <w:rsid w:val="00134AF4"/>
    <w:rsid w:val="0013522E"/>
    <w:rsid w:val="001360C8"/>
    <w:rsid w:val="00136659"/>
    <w:rsid w:val="00136D70"/>
    <w:rsid w:val="001371F6"/>
    <w:rsid w:val="00137C51"/>
    <w:rsid w:val="00137CD7"/>
    <w:rsid w:val="00140301"/>
    <w:rsid w:val="001405BF"/>
    <w:rsid w:val="00140D10"/>
    <w:rsid w:val="001412ED"/>
    <w:rsid w:val="00141798"/>
    <w:rsid w:val="00142FD5"/>
    <w:rsid w:val="00143CE9"/>
    <w:rsid w:val="00144246"/>
    <w:rsid w:val="001446B6"/>
    <w:rsid w:val="001457C6"/>
    <w:rsid w:val="00146FEB"/>
    <w:rsid w:val="001472DA"/>
    <w:rsid w:val="00147A9A"/>
    <w:rsid w:val="00150125"/>
    <w:rsid w:val="001503A2"/>
    <w:rsid w:val="00150A74"/>
    <w:rsid w:val="00150DE5"/>
    <w:rsid w:val="00151966"/>
    <w:rsid w:val="0015247C"/>
    <w:rsid w:val="00155616"/>
    <w:rsid w:val="00156136"/>
    <w:rsid w:val="001565E7"/>
    <w:rsid w:val="001570AB"/>
    <w:rsid w:val="00157216"/>
    <w:rsid w:val="0015722E"/>
    <w:rsid w:val="0015787C"/>
    <w:rsid w:val="00157FBE"/>
    <w:rsid w:val="00161227"/>
    <w:rsid w:val="0016165D"/>
    <w:rsid w:val="00162449"/>
    <w:rsid w:val="00162B53"/>
    <w:rsid w:val="00162D66"/>
    <w:rsid w:val="001647F3"/>
    <w:rsid w:val="00164E56"/>
    <w:rsid w:val="00165068"/>
    <w:rsid w:val="001657E9"/>
    <w:rsid w:val="00165A92"/>
    <w:rsid w:val="00166254"/>
    <w:rsid w:val="00166742"/>
    <w:rsid w:val="00166A69"/>
    <w:rsid w:val="00170084"/>
    <w:rsid w:val="0017050C"/>
    <w:rsid w:val="00170EA6"/>
    <w:rsid w:val="001712FC"/>
    <w:rsid w:val="001713A5"/>
    <w:rsid w:val="00171524"/>
    <w:rsid w:val="00171C7B"/>
    <w:rsid w:val="00171E49"/>
    <w:rsid w:val="00171E61"/>
    <w:rsid w:val="0017293B"/>
    <w:rsid w:val="00172FF8"/>
    <w:rsid w:val="001740C6"/>
    <w:rsid w:val="001741AB"/>
    <w:rsid w:val="00174566"/>
    <w:rsid w:val="00175662"/>
    <w:rsid w:val="00175695"/>
    <w:rsid w:val="001761E0"/>
    <w:rsid w:val="00176243"/>
    <w:rsid w:val="001763A2"/>
    <w:rsid w:val="00176652"/>
    <w:rsid w:val="001768A2"/>
    <w:rsid w:val="00177228"/>
    <w:rsid w:val="00177926"/>
    <w:rsid w:val="00180404"/>
    <w:rsid w:val="00180C3D"/>
    <w:rsid w:val="00181843"/>
    <w:rsid w:val="0018292F"/>
    <w:rsid w:val="00182D1E"/>
    <w:rsid w:val="001832F4"/>
    <w:rsid w:val="001839D8"/>
    <w:rsid w:val="001845F8"/>
    <w:rsid w:val="00184D20"/>
    <w:rsid w:val="00184D33"/>
    <w:rsid w:val="001852CC"/>
    <w:rsid w:val="001853C7"/>
    <w:rsid w:val="00186359"/>
    <w:rsid w:val="00186B01"/>
    <w:rsid w:val="001875BA"/>
    <w:rsid w:val="00187F13"/>
    <w:rsid w:val="00190513"/>
    <w:rsid w:val="001915A6"/>
    <w:rsid w:val="00192177"/>
    <w:rsid w:val="001926E8"/>
    <w:rsid w:val="00194025"/>
    <w:rsid w:val="00194A8B"/>
    <w:rsid w:val="00194FDE"/>
    <w:rsid w:val="00195A70"/>
    <w:rsid w:val="00196515"/>
    <w:rsid w:val="0019655C"/>
    <w:rsid w:val="00196F49"/>
    <w:rsid w:val="0019750A"/>
    <w:rsid w:val="00197C72"/>
    <w:rsid w:val="00197FB6"/>
    <w:rsid w:val="001A00DD"/>
    <w:rsid w:val="001A05C8"/>
    <w:rsid w:val="001A116D"/>
    <w:rsid w:val="001A21C5"/>
    <w:rsid w:val="001A27E3"/>
    <w:rsid w:val="001A27EB"/>
    <w:rsid w:val="001A3164"/>
    <w:rsid w:val="001A41FF"/>
    <w:rsid w:val="001A4305"/>
    <w:rsid w:val="001A63BE"/>
    <w:rsid w:val="001A6D60"/>
    <w:rsid w:val="001A6E4E"/>
    <w:rsid w:val="001A7A90"/>
    <w:rsid w:val="001A7C90"/>
    <w:rsid w:val="001B0C14"/>
    <w:rsid w:val="001B112C"/>
    <w:rsid w:val="001B1325"/>
    <w:rsid w:val="001B1B09"/>
    <w:rsid w:val="001B206B"/>
    <w:rsid w:val="001B2B33"/>
    <w:rsid w:val="001B2D36"/>
    <w:rsid w:val="001B3FA9"/>
    <w:rsid w:val="001B4217"/>
    <w:rsid w:val="001B4359"/>
    <w:rsid w:val="001B43DE"/>
    <w:rsid w:val="001B496F"/>
    <w:rsid w:val="001B557B"/>
    <w:rsid w:val="001B60FF"/>
    <w:rsid w:val="001B6283"/>
    <w:rsid w:val="001B63F7"/>
    <w:rsid w:val="001B6587"/>
    <w:rsid w:val="001B6A53"/>
    <w:rsid w:val="001B735D"/>
    <w:rsid w:val="001B76FE"/>
    <w:rsid w:val="001C0B11"/>
    <w:rsid w:val="001C0BAE"/>
    <w:rsid w:val="001C0E15"/>
    <w:rsid w:val="001C137E"/>
    <w:rsid w:val="001C14C7"/>
    <w:rsid w:val="001C1732"/>
    <w:rsid w:val="001C1C28"/>
    <w:rsid w:val="001C2725"/>
    <w:rsid w:val="001C39D1"/>
    <w:rsid w:val="001C497D"/>
    <w:rsid w:val="001C4AF4"/>
    <w:rsid w:val="001C5713"/>
    <w:rsid w:val="001C6795"/>
    <w:rsid w:val="001C6A12"/>
    <w:rsid w:val="001C798F"/>
    <w:rsid w:val="001C79F8"/>
    <w:rsid w:val="001C7D0D"/>
    <w:rsid w:val="001D0D29"/>
    <w:rsid w:val="001D1D1B"/>
    <w:rsid w:val="001D1DCB"/>
    <w:rsid w:val="001D1DCD"/>
    <w:rsid w:val="001D2139"/>
    <w:rsid w:val="001D260D"/>
    <w:rsid w:val="001D3216"/>
    <w:rsid w:val="001D415D"/>
    <w:rsid w:val="001D4A18"/>
    <w:rsid w:val="001D5461"/>
    <w:rsid w:val="001D54D8"/>
    <w:rsid w:val="001D5890"/>
    <w:rsid w:val="001D5F03"/>
    <w:rsid w:val="001D691A"/>
    <w:rsid w:val="001D6B1D"/>
    <w:rsid w:val="001D720A"/>
    <w:rsid w:val="001D7E7D"/>
    <w:rsid w:val="001E00E5"/>
    <w:rsid w:val="001E0A52"/>
    <w:rsid w:val="001E12FA"/>
    <w:rsid w:val="001E2070"/>
    <w:rsid w:val="001E2916"/>
    <w:rsid w:val="001E2BB0"/>
    <w:rsid w:val="001E3102"/>
    <w:rsid w:val="001E3A57"/>
    <w:rsid w:val="001E59C7"/>
    <w:rsid w:val="001E5B97"/>
    <w:rsid w:val="001E6498"/>
    <w:rsid w:val="001E6EB5"/>
    <w:rsid w:val="001E759F"/>
    <w:rsid w:val="001E75A6"/>
    <w:rsid w:val="001F06BA"/>
    <w:rsid w:val="001F09B3"/>
    <w:rsid w:val="001F189D"/>
    <w:rsid w:val="001F2189"/>
    <w:rsid w:val="001F2218"/>
    <w:rsid w:val="001F2A45"/>
    <w:rsid w:val="001F53D2"/>
    <w:rsid w:val="001F54C8"/>
    <w:rsid w:val="001F559E"/>
    <w:rsid w:val="001F579F"/>
    <w:rsid w:val="001F5DE4"/>
    <w:rsid w:val="001F7390"/>
    <w:rsid w:val="001F7517"/>
    <w:rsid w:val="001F77DE"/>
    <w:rsid w:val="001F77F9"/>
    <w:rsid w:val="00200356"/>
    <w:rsid w:val="00200B8B"/>
    <w:rsid w:val="00201C95"/>
    <w:rsid w:val="00201FCA"/>
    <w:rsid w:val="00202072"/>
    <w:rsid w:val="00202444"/>
    <w:rsid w:val="00202CA6"/>
    <w:rsid w:val="0020356C"/>
    <w:rsid w:val="0020434F"/>
    <w:rsid w:val="0020493B"/>
    <w:rsid w:val="00206716"/>
    <w:rsid w:val="002070E6"/>
    <w:rsid w:val="002106EA"/>
    <w:rsid w:val="00210DE1"/>
    <w:rsid w:val="00211323"/>
    <w:rsid w:val="0021206A"/>
    <w:rsid w:val="002122E1"/>
    <w:rsid w:val="00212417"/>
    <w:rsid w:val="002128EE"/>
    <w:rsid w:val="002129C8"/>
    <w:rsid w:val="00212A39"/>
    <w:rsid w:val="002132A9"/>
    <w:rsid w:val="002132AC"/>
    <w:rsid w:val="00213CED"/>
    <w:rsid w:val="0021468F"/>
    <w:rsid w:val="00214896"/>
    <w:rsid w:val="00214FB4"/>
    <w:rsid w:val="0021567C"/>
    <w:rsid w:val="00215779"/>
    <w:rsid w:val="00216BE2"/>
    <w:rsid w:val="00216F30"/>
    <w:rsid w:val="00216F9F"/>
    <w:rsid w:val="0021721E"/>
    <w:rsid w:val="0021733C"/>
    <w:rsid w:val="002173FB"/>
    <w:rsid w:val="00220660"/>
    <w:rsid w:val="00220A30"/>
    <w:rsid w:val="00222283"/>
    <w:rsid w:val="002223E7"/>
    <w:rsid w:val="00222600"/>
    <w:rsid w:val="002239D8"/>
    <w:rsid w:val="002258B5"/>
    <w:rsid w:val="002259C9"/>
    <w:rsid w:val="00225D42"/>
    <w:rsid w:val="00226081"/>
    <w:rsid w:val="0022646C"/>
    <w:rsid w:val="00226823"/>
    <w:rsid w:val="00226872"/>
    <w:rsid w:val="00226EBF"/>
    <w:rsid w:val="00226F40"/>
    <w:rsid w:val="0022713F"/>
    <w:rsid w:val="002272C5"/>
    <w:rsid w:val="00227896"/>
    <w:rsid w:val="00227BE0"/>
    <w:rsid w:val="00230CEB"/>
    <w:rsid w:val="00232BD8"/>
    <w:rsid w:val="00232CC0"/>
    <w:rsid w:val="00232F72"/>
    <w:rsid w:val="002334E9"/>
    <w:rsid w:val="00233664"/>
    <w:rsid w:val="00233A06"/>
    <w:rsid w:val="00233FCC"/>
    <w:rsid w:val="00234547"/>
    <w:rsid w:val="002346E8"/>
    <w:rsid w:val="00234D1E"/>
    <w:rsid w:val="00235E94"/>
    <w:rsid w:val="00235F3C"/>
    <w:rsid w:val="00236A2A"/>
    <w:rsid w:val="00236A40"/>
    <w:rsid w:val="00236EE8"/>
    <w:rsid w:val="00237054"/>
    <w:rsid w:val="00237FE8"/>
    <w:rsid w:val="00240D39"/>
    <w:rsid w:val="002416C7"/>
    <w:rsid w:val="00241AD3"/>
    <w:rsid w:val="0024229A"/>
    <w:rsid w:val="00242CF1"/>
    <w:rsid w:val="002433EE"/>
    <w:rsid w:val="00243BEA"/>
    <w:rsid w:val="002447B2"/>
    <w:rsid w:val="00244C39"/>
    <w:rsid w:val="00245753"/>
    <w:rsid w:val="00245757"/>
    <w:rsid w:val="00245CDA"/>
    <w:rsid w:val="0024625E"/>
    <w:rsid w:val="002465B4"/>
    <w:rsid w:val="00246600"/>
    <w:rsid w:val="00246EF5"/>
    <w:rsid w:val="002471A1"/>
    <w:rsid w:val="00247CE9"/>
    <w:rsid w:val="00250A01"/>
    <w:rsid w:val="00250C74"/>
    <w:rsid w:val="00250E15"/>
    <w:rsid w:val="00250F36"/>
    <w:rsid w:val="002512EE"/>
    <w:rsid w:val="002513B2"/>
    <w:rsid w:val="00251941"/>
    <w:rsid w:val="002527F8"/>
    <w:rsid w:val="00252A97"/>
    <w:rsid w:val="00252D69"/>
    <w:rsid w:val="00253016"/>
    <w:rsid w:val="0025365B"/>
    <w:rsid w:val="00253996"/>
    <w:rsid w:val="00253C0F"/>
    <w:rsid w:val="00253D8B"/>
    <w:rsid w:val="00253F77"/>
    <w:rsid w:val="0025410A"/>
    <w:rsid w:val="0025445B"/>
    <w:rsid w:val="0025463E"/>
    <w:rsid w:val="00254B93"/>
    <w:rsid w:val="00255433"/>
    <w:rsid w:val="00256701"/>
    <w:rsid w:val="0025682F"/>
    <w:rsid w:val="00256CC0"/>
    <w:rsid w:val="00256F4D"/>
    <w:rsid w:val="002570D7"/>
    <w:rsid w:val="00257B98"/>
    <w:rsid w:val="00260210"/>
    <w:rsid w:val="002608D7"/>
    <w:rsid w:val="00261492"/>
    <w:rsid w:val="00261EFD"/>
    <w:rsid w:val="002625BA"/>
    <w:rsid w:val="002627FC"/>
    <w:rsid w:val="00262A7A"/>
    <w:rsid w:val="00263265"/>
    <w:rsid w:val="0026440B"/>
    <w:rsid w:val="002648AB"/>
    <w:rsid w:val="00264AC5"/>
    <w:rsid w:val="002651B3"/>
    <w:rsid w:val="002655AB"/>
    <w:rsid w:val="00265AE9"/>
    <w:rsid w:val="00265CB3"/>
    <w:rsid w:val="0027011E"/>
    <w:rsid w:val="00271743"/>
    <w:rsid w:val="0027179F"/>
    <w:rsid w:val="00272EFF"/>
    <w:rsid w:val="00273B8C"/>
    <w:rsid w:val="00274BAA"/>
    <w:rsid w:val="002755E4"/>
    <w:rsid w:val="00275E97"/>
    <w:rsid w:val="0027622C"/>
    <w:rsid w:val="00277116"/>
    <w:rsid w:val="00277B6F"/>
    <w:rsid w:val="00277F87"/>
    <w:rsid w:val="002801D0"/>
    <w:rsid w:val="00280869"/>
    <w:rsid w:val="00280C96"/>
    <w:rsid w:val="00280CF9"/>
    <w:rsid w:val="00281EF9"/>
    <w:rsid w:val="002823A1"/>
    <w:rsid w:val="0028347E"/>
    <w:rsid w:val="0028399B"/>
    <w:rsid w:val="00283B21"/>
    <w:rsid w:val="00284189"/>
    <w:rsid w:val="00284CCD"/>
    <w:rsid w:val="00285282"/>
    <w:rsid w:val="0028538B"/>
    <w:rsid w:val="002857D8"/>
    <w:rsid w:val="00285A79"/>
    <w:rsid w:val="00285C27"/>
    <w:rsid w:val="002860C2"/>
    <w:rsid w:val="00286396"/>
    <w:rsid w:val="0028654C"/>
    <w:rsid w:val="00286F58"/>
    <w:rsid w:val="00287B85"/>
    <w:rsid w:val="00290147"/>
    <w:rsid w:val="002901D9"/>
    <w:rsid w:val="0029062C"/>
    <w:rsid w:val="00290640"/>
    <w:rsid w:val="002908D4"/>
    <w:rsid w:val="00290D96"/>
    <w:rsid w:val="0029122D"/>
    <w:rsid w:val="00291B79"/>
    <w:rsid w:val="00291EF1"/>
    <w:rsid w:val="00292C03"/>
    <w:rsid w:val="00292F04"/>
    <w:rsid w:val="002930A3"/>
    <w:rsid w:val="002934AC"/>
    <w:rsid w:val="002935F1"/>
    <w:rsid w:val="002938CA"/>
    <w:rsid w:val="00293B85"/>
    <w:rsid w:val="00294266"/>
    <w:rsid w:val="002946DE"/>
    <w:rsid w:val="002947C9"/>
    <w:rsid w:val="00295BC2"/>
    <w:rsid w:val="0029600E"/>
    <w:rsid w:val="00296542"/>
    <w:rsid w:val="0029723F"/>
    <w:rsid w:val="002977A3"/>
    <w:rsid w:val="00297EBF"/>
    <w:rsid w:val="00297EFD"/>
    <w:rsid w:val="002A05F1"/>
    <w:rsid w:val="002A0B0F"/>
    <w:rsid w:val="002A29FE"/>
    <w:rsid w:val="002A2FF2"/>
    <w:rsid w:val="002A3178"/>
    <w:rsid w:val="002A31BD"/>
    <w:rsid w:val="002A3ED2"/>
    <w:rsid w:val="002A53BF"/>
    <w:rsid w:val="002A54BF"/>
    <w:rsid w:val="002A54CB"/>
    <w:rsid w:val="002A6A8E"/>
    <w:rsid w:val="002A7844"/>
    <w:rsid w:val="002B134B"/>
    <w:rsid w:val="002B2611"/>
    <w:rsid w:val="002B2720"/>
    <w:rsid w:val="002B31D1"/>
    <w:rsid w:val="002B410D"/>
    <w:rsid w:val="002B433D"/>
    <w:rsid w:val="002B438F"/>
    <w:rsid w:val="002B4793"/>
    <w:rsid w:val="002B4A2F"/>
    <w:rsid w:val="002B4C8E"/>
    <w:rsid w:val="002B4CA7"/>
    <w:rsid w:val="002B5448"/>
    <w:rsid w:val="002B5AA2"/>
    <w:rsid w:val="002B5CFA"/>
    <w:rsid w:val="002B6CD8"/>
    <w:rsid w:val="002B7261"/>
    <w:rsid w:val="002B73A7"/>
    <w:rsid w:val="002B792D"/>
    <w:rsid w:val="002C0BBC"/>
    <w:rsid w:val="002C0D74"/>
    <w:rsid w:val="002C2C9D"/>
    <w:rsid w:val="002C394C"/>
    <w:rsid w:val="002C3DDA"/>
    <w:rsid w:val="002C4910"/>
    <w:rsid w:val="002C4FD1"/>
    <w:rsid w:val="002C603F"/>
    <w:rsid w:val="002C6A20"/>
    <w:rsid w:val="002C74C1"/>
    <w:rsid w:val="002C7AEB"/>
    <w:rsid w:val="002C7FFB"/>
    <w:rsid w:val="002D089E"/>
    <w:rsid w:val="002D0910"/>
    <w:rsid w:val="002D0B3A"/>
    <w:rsid w:val="002D0C2C"/>
    <w:rsid w:val="002D0CAA"/>
    <w:rsid w:val="002D1828"/>
    <w:rsid w:val="002D1CC4"/>
    <w:rsid w:val="002D2C48"/>
    <w:rsid w:val="002D2F7C"/>
    <w:rsid w:val="002D3678"/>
    <w:rsid w:val="002D41B7"/>
    <w:rsid w:val="002D47C7"/>
    <w:rsid w:val="002D4F20"/>
    <w:rsid w:val="002D577A"/>
    <w:rsid w:val="002D5D69"/>
    <w:rsid w:val="002D6773"/>
    <w:rsid w:val="002D6B45"/>
    <w:rsid w:val="002D6B50"/>
    <w:rsid w:val="002D709A"/>
    <w:rsid w:val="002D7198"/>
    <w:rsid w:val="002D7485"/>
    <w:rsid w:val="002D7F41"/>
    <w:rsid w:val="002E00BD"/>
    <w:rsid w:val="002E09CB"/>
    <w:rsid w:val="002E18D0"/>
    <w:rsid w:val="002E1A54"/>
    <w:rsid w:val="002E1B0D"/>
    <w:rsid w:val="002E1EAC"/>
    <w:rsid w:val="002E20BA"/>
    <w:rsid w:val="002E29EA"/>
    <w:rsid w:val="002E2B77"/>
    <w:rsid w:val="002E2BB5"/>
    <w:rsid w:val="002E2FFE"/>
    <w:rsid w:val="002E3441"/>
    <w:rsid w:val="002E359B"/>
    <w:rsid w:val="002E3A7A"/>
    <w:rsid w:val="002E48B9"/>
    <w:rsid w:val="002E4B1D"/>
    <w:rsid w:val="002E6048"/>
    <w:rsid w:val="002E60B4"/>
    <w:rsid w:val="002E6B82"/>
    <w:rsid w:val="002E6C6E"/>
    <w:rsid w:val="002E7092"/>
    <w:rsid w:val="002E7CA0"/>
    <w:rsid w:val="002F058A"/>
    <w:rsid w:val="002F14F3"/>
    <w:rsid w:val="002F1AAF"/>
    <w:rsid w:val="002F2179"/>
    <w:rsid w:val="002F2A6A"/>
    <w:rsid w:val="002F34CE"/>
    <w:rsid w:val="002F37C5"/>
    <w:rsid w:val="002F413B"/>
    <w:rsid w:val="002F41C1"/>
    <w:rsid w:val="002F4E86"/>
    <w:rsid w:val="002F5197"/>
    <w:rsid w:val="002F55CE"/>
    <w:rsid w:val="002F5D5D"/>
    <w:rsid w:val="002F5E1E"/>
    <w:rsid w:val="002F5F37"/>
    <w:rsid w:val="002F6F08"/>
    <w:rsid w:val="002F6FE3"/>
    <w:rsid w:val="002F7EF8"/>
    <w:rsid w:val="00300A87"/>
    <w:rsid w:val="00300B15"/>
    <w:rsid w:val="00301ADA"/>
    <w:rsid w:val="00301B0F"/>
    <w:rsid w:val="00301D0C"/>
    <w:rsid w:val="00302139"/>
    <w:rsid w:val="00302458"/>
    <w:rsid w:val="0030255D"/>
    <w:rsid w:val="00302D9A"/>
    <w:rsid w:val="00302E57"/>
    <w:rsid w:val="00303C84"/>
    <w:rsid w:val="00303E60"/>
    <w:rsid w:val="00304599"/>
    <w:rsid w:val="00304D48"/>
    <w:rsid w:val="00304E63"/>
    <w:rsid w:val="00306161"/>
    <w:rsid w:val="00306345"/>
    <w:rsid w:val="00306737"/>
    <w:rsid w:val="00307494"/>
    <w:rsid w:val="003101CB"/>
    <w:rsid w:val="00310504"/>
    <w:rsid w:val="00310E7D"/>
    <w:rsid w:val="00311A85"/>
    <w:rsid w:val="0031266B"/>
    <w:rsid w:val="003128A4"/>
    <w:rsid w:val="003134EB"/>
    <w:rsid w:val="00313978"/>
    <w:rsid w:val="00314555"/>
    <w:rsid w:val="00314ACE"/>
    <w:rsid w:val="00315088"/>
    <w:rsid w:val="00315546"/>
    <w:rsid w:val="003155DB"/>
    <w:rsid w:val="003167B8"/>
    <w:rsid w:val="003169BE"/>
    <w:rsid w:val="00316BD7"/>
    <w:rsid w:val="003175E9"/>
    <w:rsid w:val="003176BB"/>
    <w:rsid w:val="00317973"/>
    <w:rsid w:val="003206E5"/>
    <w:rsid w:val="0032265A"/>
    <w:rsid w:val="00322C49"/>
    <w:rsid w:val="003230BF"/>
    <w:rsid w:val="0032464A"/>
    <w:rsid w:val="0032487C"/>
    <w:rsid w:val="00324918"/>
    <w:rsid w:val="00324D4A"/>
    <w:rsid w:val="0032534D"/>
    <w:rsid w:val="00325441"/>
    <w:rsid w:val="00325A6E"/>
    <w:rsid w:val="00325FD4"/>
    <w:rsid w:val="0032656C"/>
    <w:rsid w:val="003268B4"/>
    <w:rsid w:val="0032739E"/>
    <w:rsid w:val="00327807"/>
    <w:rsid w:val="00330337"/>
    <w:rsid w:val="003312E7"/>
    <w:rsid w:val="003314B6"/>
    <w:rsid w:val="003315EA"/>
    <w:rsid w:val="003317C1"/>
    <w:rsid w:val="00331BCE"/>
    <w:rsid w:val="00331C9B"/>
    <w:rsid w:val="00331D1A"/>
    <w:rsid w:val="0033340F"/>
    <w:rsid w:val="00333981"/>
    <w:rsid w:val="00333AB6"/>
    <w:rsid w:val="00334599"/>
    <w:rsid w:val="00340708"/>
    <w:rsid w:val="00341EE1"/>
    <w:rsid w:val="00342443"/>
    <w:rsid w:val="00342840"/>
    <w:rsid w:val="00342869"/>
    <w:rsid w:val="00343039"/>
    <w:rsid w:val="0034309B"/>
    <w:rsid w:val="003432C6"/>
    <w:rsid w:val="00343821"/>
    <w:rsid w:val="00344436"/>
    <w:rsid w:val="00345CE0"/>
    <w:rsid w:val="003471CB"/>
    <w:rsid w:val="00347338"/>
    <w:rsid w:val="00350039"/>
    <w:rsid w:val="00350195"/>
    <w:rsid w:val="0035032C"/>
    <w:rsid w:val="00351EE7"/>
    <w:rsid w:val="003522C5"/>
    <w:rsid w:val="00352B81"/>
    <w:rsid w:val="00352D8D"/>
    <w:rsid w:val="00352F72"/>
    <w:rsid w:val="00353055"/>
    <w:rsid w:val="0035467F"/>
    <w:rsid w:val="00354981"/>
    <w:rsid w:val="00355D8B"/>
    <w:rsid w:val="003569AA"/>
    <w:rsid w:val="00356B4D"/>
    <w:rsid w:val="00357272"/>
    <w:rsid w:val="0035773B"/>
    <w:rsid w:val="00357F97"/>
    <w:rsid w:val="00360832"/>
    <w:rsid w:val="00360D4E"/>
    <w:rsid w:val="00360D59"/>
    <w:rsid w:val="00360F65"/>
    <w:rsid w:val="00361F78"/>
    <w:rsid w:val="003620AB"/>
    <w:rsid w:val="0036213A"/>
    <w:rsid w:val="00363392"/>
    <w:rsid w:val="00363764"/>
    <w:rsid w:val="003637A9"/>
    <w:rsid w:val="00363C29"/>
    <w:rsid w:val="00363C8A"/>
    <w:rsid w:val="00363F01"/>
    <w:rsid w:val="003644CA"/>
    <w:rsid w:val="0036605A"/>
    <w:rsid w:val="00366686"/>
    <w:rsid w:val="00366AD3"/>
    <w:rsid w:val="0036715B"/>
    <w:rsid w:val="00370631"/>
    <w:rsid w:val="00371228"/>
    <w:rsid w:val="0037144B"/>
    <w:rsid w:val="003715D2"/>
    <w:rsid w:val="00371751"/>
    <w:rsid w:val="0037243D"/>
    <w:rsid w:val="003725F7"/>
    <w:rsid w:val="00372C6B"/>
    <w:rsid w:val="00372CBD"/>
    <w:rsid w:val="00373790"/>
    <w:rsid w:val="00374A2B"/>
    <w:rsid w:val="00374BE3"/>
    <w:rsid w:val="00374FD4"/>
    <w:rsid w:val="00375BA3"/>
    <w:rsid w:val="00376154"/>
    <w:rsid w:val="0037639F"/>
    <w:rsid w:val="0037670F"/>
    <w:rsid w:val="00376751"/>
    <w:rsid w:val="003775B1"/>
    <w:rsid w:val="003778F2"/>
    <w:rsid w:val="00377B83"/>
    <w:rsid w:val="00377F94"/>
    <w:rsid w:val="003801B3"/>
    <w:rsid w:val="00380C92"/>
    <w:rsid w:val="00380E7B"/>
    <w:rsid w:val="00381280"/>
    <w:rsid w:val="00382025"/>
    <w:rsid w:val="00382138"/>
    <w:rsid w:val="003827A2"/>
    <w:rsid w:val="00382A5C"/>
    <w:rsid w:val="00382BFA"/>
    <w:rsid w:val="00383CB9"/>
    <w:rsid w:val="003840CE"/>
    <w:rsid w:val="00384421"/>
    <w:rsid w:val="003846A7"/>
    <w:rsid w:val="00384827"/>
    <w:rsid w:val="0038497F"/>
    <w:rsid w:val="00384EB4"/>
    <w:rsid w:val="00385FAD"/>
    <w:rsid w:val="003863ED"/>
    <w:rsid w:val="00386AAE"/>
    <w:rsid w:val="00386DA4"/>
    <w:rsid w:val="003874E4"/>
    <w:rsid w:val="003879D8"/>
    <w:rsid w:val="00387D0A"/>
    <w:rsid w:val="003901CB"/>
    <w:rsid w:val="003902A6"/>
    <w:rsid w:val="00390F7C"/>
    <w:rsid w:val="00393186"/>
    <w:rsid w:val="00393F4E"/>
    <w:rsid w:val="00394196"/>
    <w:rsid w:val="00394E91"/>
    <w:rsid w:val="003957B1"/>
    <w:rsid w:val="00395A03"/>
    <w:rsid w:val="00396276"/>
    <w:rsid w:val="00396FAC"/>
    <w:rsid w:val="00397C30"/>
    <w:rsid w:val="00397C38"/>
    <w:rsid w:val="00397F73"/>
    <w:rsid w:val="003A0C5C"/>
    <w:rsid w:val="003A1115"/>
    <w:rsid w:val="003A199E"/>
    <w:rsid w:val="003A1AD8"/>
    <w:rsid w:val="003A236C"/>
    <w:rsid w:val="003A36BF"/>
    <w:rsid w:val="003A3DE4"/>
    <w:rsid w:val="003A46E3"/>
    <w:rsid w:val="003A4CD0"/>
    <w:rsid w:val="003A518D"/>
    <w:rsid w:val="003A53CB"/>
    <w:rsid w:val="003A69C6"/>
    <w:rsid w:val="003A730D"/>
    <w:rsid w:val="003A7B3B"/>
    <w:rsid w:val="003B037B"/>
    <w:rsid w:val="003B0C7C"/>
    <w:rsid w:val="003B0D45"/>
    <w:rsid w:val="003B12C3"/>
    <w:rsid w:val="003B14B5"/>
    <w:rsid w:val="003B1898"/>
    <w:rsid w:val="003B1F40"/>
    <w:rsid w:val="003B1FD3"/>
    <w:rsid w:val="003B2635"/>
    <w:rsid w:val="003B32DF"/>
    <w:rsid w:val="003B34B1"/>
    <w:rsid w:val="003B4710"/>
    <w:rsid w:val="003B4929"/>
    <w:rsid w:val="003B4D96"/>
    <w:rsid w:val="003B5023"/>
    <w:rsid w:val="003B53CB"/>
    <w:rsid w:val="003B6360"/>
    <w:rsid w:val="003B717C"/>
    <w:rsid w:val="003B76F5"/>
    <w:rsid w:val="003B776F"/>
    <w:rsid w:val="003B778B"/>
    <w:rsid w:val="003B7847"/>
    <w:rsid w:val="003C08F1"/>
    <w:rsid w:val="003C0E69"/>
    <w:rsid w:val="003C11A8"/>
    <w:rsid w:val="003C11EA"/>
    <w:rsid w:val="003C21D3"/>
    <w:rsid w:val="003C224E"/>
    <w:rsid w:val="003C2833"/>
    <w:rsid w:val="003C2942"/>
    <w:rsid w:val="003C29E0"/>
    <w:rsid w:val="003C30BB"/>
    <w:rsid w:val="003C3480"/>
    <w:rsid w:val="003C3E65"/>
    <w:rsid w:val="003C56EB"/>
    <w:rsid w:val="003C5E0F"/>
    <w:rsid w:val="003C6470"/>
    <w:rsid w:val="003C6578"/>
    <w:rsid w:val="003C667D"/>
    <w:rsid w:val="003C696B"/>
    <w:rsid w:val="003C6997"/>
    <w:rsid w:val="003C6A7E"/>
    <w:rsid w:val="003C6A81"/>
    <w:rsid w:val="003C7AB7"/>
    <w:rsid w:val="003D0388"/>
    <w:rsid w:val="003D0A89"/>
    <w:rsid w:val="003D11D5"/>
    <w:rsid w:val="003D1A00"/>
    <w:rsid w:val="003D2385"/>
    <w:rsid w:val="003D27E5"/>
    <w:rsid w:val="003D2B20"/>
    <w:rsid w:val="003D2F87"/>
    <w:rsid w:val="003D4654"/>
    <w:rsid w:val="003D4C5D"/>
    <w:rsid w:val="003D521D"/>
    <w:rsid w:val="003D5731"/>
    <w:rsid w:val="003D5976"/>
    <w:rsid w:val="003D5B46"/>
    <w:rsid w:val="003D5FF3"/>
    <w:rsid w:val="003D60C7"/>
    <w:rsid w:val="003D650E"/>
    <w:rsid w:val="003D671E"/>
    <w:rsid w:val="003D67B5"/>
    <w:rsid w:val="003D67C8"/>
    <w:rsid w:val="003D67FF"/>
    <w:rsid w:val="003D6F50"/>
    <w:rsid w:val="003D7617"/>
    <w:rsid w:val="003E08AD"/>
    <w:rsid w:val="003E10D1"/>
    <w:rsid w:val="003E208F"/>
    <w:rsid w:val="003E2924"/>
    <w:rsid w:val="003E32AF"/>
    <w:rsid w:val="003E355F"/>
    <w:rsid w:val="003E36C6"/>
    <w:rsid w:val="003E3994"/>
    <w:rsid w:val="003E3BB8"/>
    <w:rsid w:val="003E3D32"/>
    <w:rsid w:val="003E4168"/>
    <w:rsid w:val="003E4D4A"/>
    <w:rsid w:val="003E55CB"/>
    <w:rsid w:val="003E5B18"/>
    <w:rsid w:val="003E642C"/>
    <w:rsid w:val="003E6B2A"/>
    <w:rsid w:val="003E6DDA"/>
    <w:rsid w:val="003E7D71"/>
    <w:rsid w:val="003F072B"/>
    <w:rsid w:val="003F081C"/>
    <w:rsid w:val="003F09D6"/>
    <w:rsid w:val="003F0D6F"/>
    <w:rsid w:val="003F12E0"/>
    <w:rsid w:val="003F1E4D"/>
    <w:rsid w:val="003F2D37"/>
    <w:rsid w:val="003F3DDD"/>
    <w:rsid w:val="003F3F50"/>
    <w:rsid w:val="003F448D"/>
    <w:rsid w:val="003F4E05"/>
    <w:rsid w:val="003F575E"/>
    <w:rsid w:val="003F5914"/>
    <w:rsid w:val="003F5D48"/>
    <w:rsid w:val="003F651D"/>
    <w:rsid w:val="003F67FF"/>
    <w:rsid w:val="003F686D"/>
    <w:rsid w:val="003F6951"/>
    <w:rsid w:val="003F7B0A"/>
    <w:rsid w:val="004002C4"/>
    <w:rsid w:val="004008C6"/>
    <w:rsid w:val="0040091D"/>
    <w:rsid w:val="00401033"/>
    <w:rsid w:val="00401083"/>
    <w:rsid w:val="00401DB4"/>
    <w:rsid w:val="00401DF2"/>
    <w:rsid w:val="00401EFD"/>
    <w:rsid w:val="00402947"/>
    <w:rsid w:val="00402D26"/>
    <w:rsid w:val="004036E9"/>
    <w:rsid w:val="0040384B"/>
    <w:rsid w:val="0040387F"/>
    <w:rsid w:val="00403B0E"/>
    <w:rsid w:val="00403D24"/>
    <w:rsid w:val="00404072"/>
    <w:rsid w:val="00406554"/>
    <w:rsid w:val="0040657F"/>
    <w:rsid w:val="0040744C"/>
    <w:rsid w:val="00407C4F"/>
    <w:rsid w:val="00407D82"/>
    <w:rsid w:val="004102E0"/>
    <w:rsid w:val="004102EC"/>
    <w:rsid w:val="004106CC"/>
    <w:rsid w:val="004116F2"/>
    <w:rsid w:val="004117E8"/>
    <w:rsid w:val="00411AE3"/>
    <w:rsid w:val="00411C79"/>
    <w:rsid w:val="00411FCC"/>
    <w:rsid w:val="004122B9"/>
    <w:rsid w:val="00412C48"/>
    <w:rsid w:val="004131BE"/>
    <w:rsid w:val="00413554"/>
    <w:rsid w:val="0041444E"/>
    <w:rsid w:val="00415A1B"/>
    <w:rsid w:val="00415A25"/>
    <w:rsid w:val="00415C3B"/>
    <w:rsid w:val="004161BC"/>
    <w:rsid w:val="004164CC"/>
    <w:rsid w:val="00416DDB"/>
    <w:rsid w:val="00417606"/>
    <w:rsid w:val="00417CBC"/>
    <w:rsid w:val="00417FF9"/>
    <w:rsid w:val="00420B86"/>
    <w:rsid w:val="00420D3C"/>
    <w:rsid w:val="00421057"/>
    <w:rsid w:val="00421AE3"/>
    <w:rsid w:val="00422A78"/>
    <w:rsid w:val="0042336E"/>
    <w:rsid w:val="004239B0"/>
    <w:rsid w:val="00424010"/>
    <w:rsid w:val="0042405A"/>
    <w:rsid w:val="0042421D"/>
    <w:rsid w:val="004242D5"/>
    <w:rsid w:val="00424769"/>
    <w:rsid w:val="004248AF"/>
    <w:rsid w:val="00425A10"/>
    <w:rsid w:val="00427537"/>
    <w:rsid w:val="004275EA"/>
    <w:rsid w:val="00427A51"/>
    <w:rsid w:val="00430056"/>
    <w:rsid w:val="0043088F"/>
    <w:rsid w:val="00430990"/>
    <w:rsid w:val="00430AC1"/>
    <w:rsid w:val="00430FF7"/>
    <w:rsid w:val="00432254"/>
    <w:rsid w:val="004322B4"/>
    <w:rsid w:val="00432590"/>
    <w:rsid w:val="00432D18"/>
    <w:rsid w:val="00433D89"/>
    <w:rsid w:val="00433EC5"/>
    <w:rsid w:val="00433F03"/>
    <w:rsid w:val="00434229"/>
    <w:rsid w:val="004350AE"/>
    <w:rsid w:val="00435232"/>
    <w:rsid w:val="00435CD3"/>
    <w:rsid w:val="004365C7"/>
    <w:rsid w:val="0043709F"/>
    <w:rsid w:val="00437888"/>
    <w:rsid w:val="00441D1B"/>
    <w:rsid w:val="00442B63"/>
    <w:rsid w:val="00442DD2"/>
    <w:rsid w:val="0044345F"/>
    <w:rsid w:val="004437D9"/>
    <w:rsid w:val="00444298"/>
    <w:rsid w:val="00444414"/>
    <w:rsid w:val="004447F2"/>
    <w:rsid w:val="00445438"/>
    <w:rsid w:val="004454D1"/>
    <w:rsid w:val="00445ABB"/>
    <w:rsid w:val="0044623A"/>
    <w:rsid w:val="004468FD"/>
    <w:rsid w:val="00446C8D"/>
    <w:rsid w:val="00447350"/>
    <w:rsid w:val="00447664"/>
    <w:rsid w:val="004500DB"/>
    <w:rsid w:val="00450971"/>
    <w:rsid w:val="00451941"/>
    <w:rsid w:val="00451E57"/>
    <w:rsid w:val="00451F0E"/>
    <w:rsid w:val="00451F8A"/>
    <w:rsid w:val="004527F0"/>
    <w:rsid w:val="00452D12"/>
    <w:rsid w:val="00452EDB"/>
    <w:rsid w:val="0045337B"/>
    <w:rsid w:val="004541C0"/>
    <w:rsid w:val="00454500"/>
    <w:rsid w:val="00454C87"/>
    <w:rsid w:val="00454D53"/>
    <w:rsid w:val="00455156"/>
    <w:rsid w:val="00455A66"/>
    <w:rsid w:val="00455BCB"/>
    <w:rsid w:val="00455EEB"/>
    <w:rsid w:val="0045638A"/>
    <w:rsid w:val="0045644D"/>
    <w:rsid w:val="00456973"/>
    <w:rsid w:val="00456AE5"/>
    <w:rsid w:val="00456B0B"/>
    <w:rsid w:val="00457748"/>
    <w:rsid w:val="00457A16"/>
    <w:rsid w:val="00461CCB"/>
    <w:rsid w:val="00461EAD"/>
    <w:rsid w:val="00462D6B"/>
    <w:rsid w:val="004630E8"/>
    <w:rsid w:val="0046353D"/>
    <w:rsid w:val="00463F24"/>
    <w:rsid w:val="00463F71"/>
    <w:rsid w:val="00464724"/>
    <w:rsid w:val="00464C0C"/>
    <w:rsid w:val="00464D8D"/>
    <w:rsid w:val="00464DA7"/>
    <w:rsid w:val="00464DB9"/>
    <w:rsid w:val="00465C35"/>
    <w:rsid w:val="00465C4A"/>
    <w:rsid w:val="0046630B"/>
    <w:rsid w:val="0046634B"/>
    <w:rsid w:val="00467690"/>
    <w:rsid w:val="004703DE"/>
    <w:rsid w:val="00470532"/>
    <w:rsid w:val="004709C2"/>
    <w:rsid w:val="00471B15"/>
    <w:rsid w:val="00471CE4"/>
    <w:rsid w:val="00471DC3"/>
    <w:rsid w:val="0047229E"/>
    <w:rsid w:val="00472CE3"/>
    <w:rsid w:val="00472F02"/>
    <w:rsid w:val="00473C4D"/>
    <w:rsid w:val="00474C5D"/>
    <w:rsid w:val="00474E19"/>
    <w:rsid w:val="00475914"/>
    <w:rsid w:val="00475932"/>
    <w:rsid w:val="00475941"/>
    <w:rsid w:val="00475F8A"/>
    <w:rsid w:val="00476A84"/>
    <w:rsid w:val="0047717B"/>
    <w:rsid w:val="00477377"/>
    <w:rsid w:val="0047765F"/>
    <w:rsid w:val="004776C1"/>
    <w:rsid w:val="00477908"/>
    <w:rsid w:val="00477BDC"/>
    <w:rsid w:val="00480233"/>
    <w:rsid w:val="00480446"/>
    <w:rsid w:val="00480553"/>
    <w:rsid w:val="004810CC"/>
    <w:rsid w:val="004810E8"/>
    <w:rsid w:val="004837E2"/>
    <w:rsid w:val="00483B76"/>
    <w:rsid w:val="00484D4F"/>
    <w:rsid w:val="00485966"/>
    <w:rsid w:val="00485C34"/>
    <w:rsid w:val="00485D2B"/>
    <w:rsid w:val="00486BB2"/>
    <w:rsid w:val="00487F47"/>
    <w:rsid w:val="00490106"/>
    <w:rsid w:val="0049053F"/>
    <w:rsid w:val="00491010"/>
    <w:rsid w:val="00491261"/>
    <w:rsid w:val="004914C4"/>
    <w:rsid w:val="00491715"/>
    <w:rsid w:val="00491AD6"/>
    <w:rsid w:val="00491C85"/>
    <w:rsid w:val="00492534"/>
    <w:rsid w:val="0049253E"/>
    <w:rsid w:val="0049264A"/>
    <w:rsid w:val="004932F4"/>
    <w:rsid w:val="0049466A"/>
    <w:rsid w:val="00494B1C"/>
    <w:rsid w:val="00494F72"/>
    <w:rsid w:val="00495CE4"/>
    <w:rsid w:val="00495ED1"/>
    <w:rsid w:val="00496502"/>
    <w:rsid w:val="004974BD"/>
    <w:rsid w:val="004976CB"/>
    <w:rsid w:val="00497E85"/>
    <w:rsid w:val="004A0823"/>
    <w:rsid w:val="004A0AF3"/>
    <w:rsid w:val="004A0E57"/>
    <w:rsid w:val="004A1BFB"/>
    <w:rsid w:val="004A1C76"/>
    <w:rsid w:val="004A567E"/>
    <w:rsid w:val="004A5B63"/>
    <w:rsid w:val="004A5D73"/>
    <w:rsid w:val="004A5F7B"/>
    <w:rsid w:val="004A6116"/>
    <w:rsid w:val="004A61CB"/>
    <w:rsid w:val="004A77FD"/>
    <w:rsid w:val="004A79CA"/>
    <w:rsid w:val="004A7D88"/>
    <w:rsid w:val="004B18B9"/>
    <w:rsid w:val="004B1AF2"/>
    <w:rsid w:val="004B1BC2"/>
    <w:rsid w:val="004B2650"/>
    <w:rsid w:val="004B2753"/>
    <w:rsid w:val="004B2989"/>
    <w:rsid w:val="004B2C7D"/>
    <w:rsid w:val="004B386E"/>
    <w:rsid w:val="004B3C1E"/>
    <w:rsid w:val="004B3DFC"/>
    <w:rsid w:val="004B3FFE"/>
    <w:rsid w:val="004B4ADE"/>
    <w:rsid w:val="004B4B5B"/>
    <w:rsid w:val="004B4C88"/>
    <w:rsid w:val="004B56D9"/>
    <w:rsid w:val="004B5772"/>
    <w:rsid w:val="004B5CCE"/>
    <w:rsid w:val="004B5FD2"/>
    <w:rsid w:val="004B62CA"/>
    <w:rsid w:val="004B6689"/>
    <w:rsid w:val="004B69C3"/>
    <w:rsid w:val="004B6ECA"/>
    <w:rsid w:val="004B700B"/>
    <w:rsid w:val="004B7843"/>
    <w:rsid w:val="004B79A1"/>
    <w:rsid w:val="004B79E1"/>
    <w:rsid w:val="004B7EA7"/>
    <w:rsid w:val="004C0737"/>
    <w:rsid w:val="004C08E4"/>
    <w:rsid w:val="004C1387"/>
    <w:rsid w:val="004C163F"/>
    <w:rsid w:val="004C20B5"/>
    <w:rsid w:val="004C224D"/>
    <w:rsid w:val="004C29EC"/>
    <w:rsid w:val="004C33D3"/>
    <w:rsid w:val="004C38B5"/>
    <w:rsid w:val="004C49A3"/>
    <w:rsid w:val="004C4EE8"/>
    <w:rsid w:val="004C52C5"/>
    <w:rsid w:val="004C542F"/>
    <w:rsid w:val="004C5759"/>
    <w:rsid w:val="004C59C0"/>
    <w:rsid w:val="004C59C5"/>
    <w:rsid w:val="004C62E4"/>
    <w:rsid w:val="004C63E6"/>
    <w:rsid w:val="004C6826"/>
    <w:rsid w:val="004C6FA0"/>
    <w:rsid w:val="004C7764"/>
    <w:rsid w:val="004C7855"/>
    <w:rsid w:val="004C7D28"/>
    <w:rsid w:val="004D0017"/>
    <w:rsid w:val="004D0613"/>
    <w:rsid w:val="004D0733"/>
    <w:rsid w:val="004D0989"/>
    <w:rsid w:val="004D0BE4"/>
    <w:rsid w:val="004D146C"/>
    <w:rsid w:val="004D2188"/>
    <w:rsid w:val="004D2C31"/>
    <w:rsid w:val="004D3493"/>
    <w:rsid w:val="004D357E"/>
    <w:rsid w:val="004D415D"/>
    <w:rsid w:val="004D486F"/>
    <w:rsid w:val="004D502B"/>
    <w:rsid w:val="004D58B8"/>
    <w:rsid w:val="004D5FAA"/>
    <w:rsid w:val="004D625E"/>
    <w:rsid w:val="004D65FA"/>
    <w:rsid w:val="004D6915"/>
    <w:rsid w:val="004D6E30"/>
    <w:rsid w:val="004D74E7"/>
    <w:rsid w:val="004D77D3"/>
    <w:rsid w:val="004D7843"/>
    <w:rsid w:val="004E0136"/>
    <w:rsid w:val="004E0620"/>
    <w:rsid w:val="004E13DF"/>
    <w:rsid w:val="004E169F"/>
    <w:rsid w:val="004E1988"/>
    <w:rsid w:val="004E19E5"/>
    <w:rsid w:val="004E1B13"/>
    <w:rsid w:val="004E295D"/>
    <w:rsid w:val="004E2B9D"/>
    <w:rsid w:val="004E2CD9"/>
    <w:rsid w:val="004E3171"/>
    <w:rsid w:val="004E3AEB"/>
    <w:rsid w:val="004E3F3B"/>
    <w:rsid w:val="004E4BFA"/>
    <w:rsid w:val="004E543A"/>
    <w:rsid w:val="004E5A4B"/>
    <w:rsid w:val="004E5B60"/>
    <w:rsid w:val="004E61F1"/>
    <w:rsid w:val="004E6465"/>
    <w:rsid w:val="004E679A"/>
    <w:rsid w:val="004E7840"/>
    <w:rsid w:val="004E7E68"/>
    <w:rsid w:val="004F05CB"/>
    <w:rsid w:val="004F1767"/>
    <w:rsid w:val="004F3664"/>
    <w:rsid w:val="004F40F4"/>
    <w:rsid w:val="004F44D6"/>
    <w:rsid w:val="004F47CC"/>
    <w:rsid w:val="004F59E3"/>
    <w:rsid w:val="004F5D25"/>
    <w:rsid w:val="004F5DAE"/>
    <w:rsid w:val="004F5F10"/>
    <w:rsid w:val="004F5FD0"/>
    <w:rsid w:val="004F6120"/>
    <w:rsid w:val="004F617C"/>
    <w:rsid w:val="004F65BF"/>
    <w:rsid w:val="004F676B"/>
    <w:rsid w:val="004F67F4"/>
    <w:rsid w:val="004F6B7D"/>
    <w:rsid w:val="004F6E70"/>
    <w:rsid w:val="004F6ED9"/>
    <w:rsid w:val="004F7989"/>
    <w:rsid w:val="004F7AFC"/>
    <w:rsid w:val="005007CE"/>
    <w:rsid w:val="00502112"/>
    <w:rsid w:val="005021BE"/>
    <w:rsid w:val="00502B6E"/>
    <w:rsid w:val="00503137"/>
    <w:rsid w:val="00503B33"/>
    <w:rsid w:val="00503C13"/>
    <w:rsid w:val="0050404D"/>
    <w:rsid w:val="00504D6C"/>
    <w:rsid w:val="0050502A"/>
    <w:rsid w:val="00505308"/>
    <w:rsid w:val="00505819"/>
    <w:rsid w:val="00505A38"/>
    <w:rsid w:val="00506849"/>
    <w:rsid w:val="00506AA6"/>
    <w:rsid w:val="00506B51"/>
    <w:rsid w:val="005107AA"/>
    <w:rsid w:val="0051127E"/>
    <w:rsid w:val="0051182E"/>
    <w:rsid w:val="00512EC2"/>
    <w:rsid w:val="00513309"/>
    <w:rsid w:val="00514563"/>
    <w:rsid w:val="005148EF"/>
    <w:rsid w:val="00515892"/>
    <w:rsid w:val="00515C26"/>
    <w:rsid w:val="005171DD"/>
    <w:rsid w:val="00517CB4"/>
    <w:rsid w:val="00520332"/>
    <w:rsid w:val="00520A77"/>
    <w:rsid w:val="00521E77"/>
    <w:rsid w:val="00522569"/>
    <w:rsid w:val="00522A0C"/>
    <w:rsid w:val="00522C40"/>
    <w:rsid w:val="0052464A"/>
    <w:rsid w:val="0052494B"/>
    <w:rsid w:val="00526377"/>
    <w:rsid w:val="00526CDE"/>
    <w:rsid w:val="0052708C"/>
    <w:rsid w:val="00527505"/>
    <w:rsid w:val="005279B6"/>
    <w:rsid w:val="00527B20"/>
    <w:rsid w:val="00530505"/>
    <w:rsid w:val="005307DD"/>
    <w:rsid w:val="0053114B"/>
    <w:rsid w:val="00531C11"/>
    <w:rsid w:val="00531C32"/>
    <w:rsid w:val="00533AFF"/>
    <w:rsid w:val="005354E2"/>
    <w:rsid w:val="005355E4"/>
    <w:rsid w:val="00535766"/>
    <w:rsid w:val="005360A8"/>
    <w:rsid w:val="00536762"/>
    <w:rsid w:val="00536E05"/>
    <w:rsid w:val="005378AD"/>
    <w:rsid w:val="00540122"/>
    <w:rsid w:val="005404CC"/>
    <w:rsid w:val="0054052A"/>
    <w:rsid w:val="00540DEA"/>
    <w:rsid w:val="00541396"/>
    <w:rsid w:val="005415DD"/>
    <w:rsid w:val="00542768"/>
    <w:rsid w:val="00542C5D"/>
    <w:rsid w:val="00542DE4"/>
    <w:rsid w:val="005439FF"/>
    <w:rsid w:val="0054440C"/>
    <w:rsid w:val="00544947"/>
    <w:rsid w:val="00545B00"/>
    <w:rsid w:val="00545C5F"/>
    <w:rsid w:val="005464A0"/>
    <w:rsid w:val="0054670C"/>
    <w:rsid w:val="00546C86"/>
    <w:rsid w:val="00546F42"/>
    <w:rsid w:val="0054749B"/>
    <w:rsid w:val="005474AA"/>
    <w:rsid w:val="0054771D"/>
    <w:rsid w:val="005514E4"/>
    <w:rsid w:val="0055321A"/>
    <w:rsid w:val="00553344"/>
    <w:rsid w:val="00554621"/>
    <w:rsid w:val="005549BF"/>
    <w:rsid w:val="00554FCB"/>
    <w:rsid w:val="00555D90"/>
    <w:rsid w:val="00555E06"/>
    <w:rsid w:val="00556134"/>
    <w:rsid w:val="005562FF"/>
    <w:rsid w:val="00556BE2"/>
    <w:rsid w:val="00557631"/>
    <w:rsid w:val="00560139"/>
    <w:rsid w:val="00560C5F"/>
    <w:rsid w:val="00561526"/>
    <w:rsid w:val="005617C3"/>
    <w:rsid w:val="00561F05"/>
    <w:rsid w:val="005621FD"/>
    <w:rsid w:val="00562580"/>
    <w:rsid w:val="00562685"/>
    <w:rsid w:val="0056295E"/>
    <w:rsid w:val="00562C75"/>
    <w:rsid w:val="00562C96"/>
    <w:rsid w:val="0056378C"/>
    <w:rsid w:val="00563813"/>
    <w:rsid w:val="00563AD4"/>
    <w:rsid w:val="00563CEB"/>
    <w:rsid w:val="0056454C"/>
    <w:rsid w:val="00564627"/>
    <w:rsid w:val="005649D3"/>
    <w:rsid w:val="00564E77"/>
    <w:rsid w:val="00565432"/>
    <w:rsid w:val="00567839"/>
    <w:rsid w:val="00567A3E"/>
    <w:rsid w:val="005702DA"/>
    <w:rsid w:val="00571062"/>
    <w:rsid w:val="005720BB"/>
    <w:rsid w:val="005727B8"/>
    <w:rsid w:val="005729A3"/>
    <w:rsid w:val="00572F7D"/>
    <w:rsid w:val="00573250"/>
    <w:rsid w:val="00573313"/>
    <w:rsid w:val="0057362B"/>
    <w:rsid w:val="0057392D"/>
    <w:rsid w:val="005745C3"/>
    <w:rsid w:val="00574627"/>
    <w:rsid w:val="0057546A"/>
    <w:rsid w:val="0057629C"/>
    <w:rsid w:val="005763AF"/>
    <w:rsid w:val="005767FA"/>
    <w:rsid w:val="00576823"/>
    <w:rsid w:val="00576E81"/>
    <w:rsid w:val="00576E95"/>
    <w:rsid w:val="00577CDB"/>
    <w:rsid w:val="00580A8B"/>
    <w:rsid w:val="00581297"/>
    <w:rsid w:val="00581AA7"/>
    <w:rsid w:val="00582DC5"/>
    <w:rsid w:val="00582E74"/>
    <w:rsid w:val="00583196"/>
    <w:rsid w:val="005832BD"/>
    <w:rsid w:val="00583321"/>
    <w:rsid w:val="005841A1"/>
    <w:rsid w:val="00584558"/>
    <w:rsid w:val="00584B36"/>
    <w:rsid w:val="00584E15"/>
    <w:rsid w:val="00585198"/>
    <w:rsid w:val="005851B6"/>
    <w:rsid w:val="00585F20"/>
    <w:rsid w:val="0058745D"/>
    <w:rsid w:val="00587F49"/>
    <w:rsid w:val="00590CAA"/>
    <w:rsid w:val="00590DF1"/>
    <w:rsid w:val="0059174A"/>
    <w:rsid w:val="00591CFC"/>
    <w:rsid w:val="0059226D"/>
    <w:rsid w:val="00592C34"/>
    <w:rsid w:val="00593383"/>
    <w:rsid w:val="00593D43"/>
    <w:rsid w:val="00593F6D"/>
    <w:rsid w:val="0059414C"/>
    <w:rsid w:val="005946D7"/>
    <w:rsid w:val="005947CF"/>
    <w:rsid w:val="005948C3"/>
    <w:rsid w:val="00594B52"/>
    <w:rsid w:val="00594E98"/>
    <w:rsid w:val="00594F49"/>
    <w:rsid w:val="005950B6"/>
    <w:rsid w:val="00595C52"/>
    <w:rsid w:val="00596425"/>
    <w:rsid w:val="005968CF"/>
    <w:rsid w:val="00596A8E"/>
    <w:rsid w:val="00596D75"/>
    <w:rsid w:val="00596D87"/>
    <w:rsid w:val="00596DE3"/>
    <w:rsid w:val="00597F86"/>
    <w:rsid w:val="005A019C"/>
    <w:rsid w:val="005A0598"/>
    <w:rsid w:val="005A06BD"/>
    <w:rsid w:val="005A0927"/>
    <w:rsid w:val="005A156A"/>
    <w:rsid w:val="005A1F08"/>
    <w:rsid w:val="005A3178"/>
    <w:rsid w:val="005A36CB"/>
    <w:rsid w:val="005A39D3"/>
    <w:rsid w:val="005A43D2"/>
    <w:rsid w:val="005A4737"/>
    <w:rsid w:val="005A606C"/>
    <w:rsid w:val="005A6791"/>
    <w:rsid w:val="005A6C4D"/>
    <w:rsid w:val="005A7171"/>
    <w:rsid w:val="005B017C"/>
    <w:rsid w:val="005B0D05"/>
    <w:rsid w:val="005B10D5"/>
    <w:rsid w:val="005B1907"/>
    <w:rsid w:val="005B2361"/>
    <w:rsid w:val="005B24A5"/>
    <w:rsid w:val="005B318E"/>
    <w:rsid w:val="005B354D"/>
    <w:rsid w:val="005B37D5"/>
    <w:rsid w:val="005B3B52"/>
    <w:rsid w:val="005B40D8"/>
    <w:rsid w:val="005B4BD3"/>
    <w:rsid w:val="005B4FCF"/>
    <w:rsid w:val="005B4FD4"/>
    <w:rsid w:val="005B5226"/>
    <w:rsid w:val="005B5E00"/>
    <w:rsid w:val="005B7CC2"/>
    <w:rsid w:val="005B7E71"/>
    <w:rsid w:val="005C03C9"/>
    <w:rsid w:val="005C12D0"/>
    <w:rsid w:val="005C1609"/>
    <w:rsid w:val="005C20E0"/>
    <w:rsid w:val="005C2A2F"/>
    <w:rsid w:val="005C30B2"/>
    <w:rsid w:val="005C387A"/>
    <w:rsid w:val="005C3A4C"/>
    <w:rsid w:val="005C3DD9"/>
    <w:rsid w:val="005C41A7"/>
    <w:rsid w:val="005C4B42"/>
    <w:rsid w:val="005C4C00"/>
    <w:rsid w:val="005C5756"/>
    <w:rsid w:val="005C5AB6"/>
    <w:rsid w:val="005C623B"/>
    <w:rsid w:val="005C7156"/>
    <w:rsid w:val="005C7568"/>
    <w:rsid w:val="005C762F"/>
    <w:rsid w:val="005C7E8A"/>
    <w:rsid w:val="005C7ED8"/>
    <w:rsid w:val="005D1054"/>
    <w:rsid w:val="005D1C25"/>
    <w:rsid w:val="005D1DA8"/>
    <w:rsid w:val="005D2395"/>
    <w:rsid w:val="005D24FF"/>
    <w:rsid w:val="005D2990"/>
    <w:rsid w:val="005D2BBE"/>
    <w:rsid w:val="005D3B49"/>
    <w:rsid w:val="005D4BA0"/>
    <w:rsid w:val="005D618B"/>
    <w:rsid w:val="005D7671"/>
    <w:rsid w:val="005D7FA8"/>
    <w:rsid w:val="005E0E9E"/>
    <w:rsid w:val="005E125D"/>
    <w:rsid w:val="005E14E7"/>
    <w:rsid w:val="005E17E7"/>
    <w:rsid w:val="005E2F8A"/>
    <w:rsid w:val="005E3499"/>
    <w:rsid w:val="005E4010"/>
    <w:rsid w:val="005E470D"/>
    <w:rsid w:val="005E49FB"/>
    <w:rsid w:val="005E5EBA"/>
    <w:rsid w:val="005E5EBB"/>
    <w:rsid w:val="005E6536"/>
    <w:rsid w:val="005E66E0"/>
    <w:rsid w:val="005E7100"/>
    <w:rsid w:val="005F015C"/>
    <w:rsid w:val="005F0970"/>
    <w:rsid w:val="005F0AA1"/>
    <w:rsid w:val="005F1855"/>
    <w:rsid w:val="005F19D8"/>
    <w:rsid w:val="005F1C4E"/>
    <w:rsid w:val="005F1D20"/>
    <w:rsid w:val="005F1F1D"/>
    <w:rsid w:val="005F219D"/>
    <w:rsid w:val="005F27CA"/>
    <w:rsid w:val="005F28BE"/>
    <w:rsid w:val="005F2AC9"/>
    <w:rsid w:val="005F32CD"/>
    <w:rsid w:val="005F3487"/>
    <w:rsid w:val="005F3788"/>
    <w:rsid w:val="005F394B"/>
    <w:rsid w:val="005F3E7B"/>
    <w:rsid w:val="005F405A"/>
    <w:rsid w:val="005F4D56"/>
    <w:rsid w:val="005F4E43"/>
    <w:rsid w:val="005F5A32"/>
    <w:rsid w:val="005F5F78"/>
    <w:rsid w:val="005F6046"/>
    <w:rsid w:val="005F6AFF"/>
    <w:rsid w:val="005F6EC6"/>
    <w:rsid w:val="005F70A4"/>
    <w:rsid w:val="005F720A"/>
    <w:rsid w:val="005F79BC"/>
    <w:rsid w:val="0060039A"/>
    <w:rsid w:val="0060052D"/>
    <w:rsid w:val="006006C8"/>
    <w:rsid w:val="00600DBB"/>
    <w:rsid w:val="00601666"/>
    <w:rsid w:val="0060199B"/>
    <w:rsid w:val="006019C2"/>
    <w:rsid w:val="00601F6E"/>
    <w:rsid w:val="00602899"/>
    <w:rsid w:val="0060338B"/>
    <w:rsid w:val="00603D12"/>
    <w:rsid w:val="00604280"/>
    <w:rsid w:val="006048BD"/>
    <w:rsid w:val="006052D5"/>
    <w:rsid w:val="00605A57"/>
    <w:rsid w:val="00606C38"/>
    <w:rsid w:val="0060777C"/>
    <w:rsid w:val="006078CB"/>
    <w:rsid w:val="006100A2"/>
    <w:rsid w:val="006101D9"/>
    <w:rsid w:val="00610942"/>
    <w:rsid w:val="006121E8"/>
    <w:rsid w:val="0061235F"/>
    <w:rsid w:val="00612EE8"/>
    <w:rsid w:val="0061305D"/>
    <w:rsid w:val="00613FD8"/>
    <w:rsid w:val="006140DB"/>
    <w:rsid w:val="006142B3"/>
    <w:rsid w:val="00615A9C"/>
    <w:rsid w:val="00615F75"/>
    <w:rsid w:val="00616363"/>
    <w:rsid w:val="00617012"/>
    <w:rsid w:val="0061710C"/>
    <w:rsid w:val="006200DA"/>
    <w:rsid w:val="006200E1"/>
    <w:rsid w:val="00620F50"/>
    <w:rsid w:val="0062158F"/>
    <w:rsid w:val="00621811"/>
    <w:rsid w:val="0062182F"/>
    <w:rsid w:val="00621DB0"/>
    <w:rsid w:val="00622D8C"/>
    <w:rsid w:val="00622F63"/>
    <w:rsid w:val="00623067"/>
    <w:rsid w:val="0062318A"/>
    <w:rsid w:val="0062319E"/>
    <w:rsid w:val="00624955"/>
    <w:rsid w:val="0062552D"/>
    <w:rsid w:val="00625C77"/>
    <w:rsid w:val="00625D5E"/>
    <w:rsid w:val="00625DE9"/>
    <w:rsid w:val="00625F85"/>
    <w:rsid w:val="00625FA1"/>
    <w:rsid w:val="00626698"/>
    <w:rsid w:val="00626AC1"/>
    <w:rsid w:val="00626C3D"/>
    <w:rsid w:val="00627727"/>
    <w:rsid w:val="006300EF"/>
    <w:rsid w:val="00630723"/>
    <w:rsid w:val="006309D5"/>
    <w:rsid w:val="00630A2D"/>
    <w:rsid w:val="006319FC"/>
    <w:rsid w:val="006325DB"/>
    <w:rsid w:val="00632712"/>
    <w:rsid w:val="006328EF"/>
    <w:rsid w:val="006329E7"/>
    <w:rsid w:val="00633105"/>
    <w:rsid w:val="00633618"/>
    <w:rsid w:val="00633717"/>
    <w:rsid w:val="0063376F"/>
    <w:rsid w:val="00634434"/>
    <w:rsid w:val="006348C2"/>
    <w:rsid w:val="00635009"/>
    <w:rsid w:val="006353A9"/>
    <w:rsid w:val="00636739"/>
    <w:rsid w:val="006368FA"/>
    <w:rsid w:val="00636D4D"/>
    <w:rsid w:val="00637822"/>
    <w:rsid w:val="00637E6A"/>
    <w:rsid w:val="00640E09"/>
    <w:rsid w:val="00641C67"/>
    <w:rsid w:val="00641DB5"/>
    <w:rsid w:val="006421BB"/>
    <w:rsid w:val="006423B1"/>
    <w:rsid w:val="00643095"/>
    <w:rsid w:val="006441FA"/>
    <w:rsid w:val="0064496F"/>
    <w:rsid w:val="00645CA9"/>
    <w:rsid w:val="00646653"/>
    <w:rsid w:val="00647AF8"/>
    <w:rsid w:val="00650F52"/>
    <w:rsid w:val="00650FFA"/>
    <w:rsid w:val="00651503"/>
    <w:rsid w:val="00651AA9"/>
    <w:rsid w:val="00652101"/>
    <w:rsid w:val="00652555"/>
    <w:rsid w:val="006525C9"/>
    <w:rsid w:val="0065274A"/>
    <w:rsid w:val="00653B3E"/>
    <w:rsid w:val="00653DBF"/>
    <w:rsid w:val="00654D3D"/>
    <w:rsid w:val="00655975"/>
    <w:rsid w:val="00655997"/>
    <w:rsid w:val="00655ADC"/>
    <w:rsid w:val="00656530"/>
    <w:rsid w:val="00656A14"/>
    <w:rsid w:val="0066048D"/>
    <w:rsid w:val="00660939"/>
    <w:rsid w:val="00660BE9"/>
    <w:rsid w:val="00660CFA"/>
    <w:rsid w:val="006614AF"/>
    <w:rsid w:val="00661DFF"/>
    <w:rsid w:val="00661F34"/>
    <w:rsid w:val="0066224E"/>
    <w:rsid w:val="00662597"/>
    <w:rsid w:val="006637ED"/>
    <w:rsid w:val="00664066"/>
    <w:rsid w:val="0066432E"/>
    <w:rsid w:val="0066538E"/>
    <w:rsid w:val="00665CEF"/>
    <w:rsid w:val="006661F8"/>
    <w:rsid w:val="006662BB"/>
    <w:rsid w:val="00666D89"/>
    <w:rsid w:val="00666DCA"/>
    <w:rsid w:val="00667254"/>
    <w:rsid w:val="00667946"/>
    <w:rsid w:val="00670438"/>
    <w:rsid w:val="00670C50"/>
    <w:rsid w:val="006713B9"/>
    <w:rsid w:val="00672659"/>
    <w:rsid w:val="00673D7E"/>
    <w:rsid w:val="00674352"/>
    <w:rsid w:val="00674BD0"/>
    <w:rsid w:val="00674E15"/>
    <w:rsid w:val="00675546"/>
    <w:rsid w:val="0067559A"/>
    <w:rsid w:val="00675793"/>
    <w:rsid w:val="00675BDB"/>
    <w:rsid w:val="00676D4E"/>
    <w:rsid w:val="00676DE2"/>
    <w:rsid w:val="006779D9"/>
    <w:rsid w:val="00680786"/>
    <w:rsid w:val="00680CEA"/>
    <w:rsid w:val="006813EE"/>
    <w:rsid w:val="00681B30"/>
    <w:rsid w:val="00681FE1"/>
    <w:rsid w:val="00682C78"/>
    <w:rsid w:val="006831E0"/>
    <w:rsid w:val="006835C4"/>
    <w:rsid w:val="0068489E"/>
    <w:rsid w:val="00686B51"/>
    <w:rsid w:val="006870B2"/>
    <w:rsid w:val="00687AD7"/>
    <w:rsid w:val="00687FC4"/>
    <w:rsid w:val="00692BE8"/>
    <w:rsid w:val="00692C7C"/>
    <w:rsid w:val="00692E72"/>
    <w:rsid w:val="00692FC6"/>
    <w:rsid w:val="0069320F"/>
    <w:rsid w:val="006951CC"/>
    <w:rsid w:val="00695857"/>
    <w:rsid w:val="00695C9F"/>
    <w:rsid w:val="00695D5A"/>
    <w:rsid w:val="00696595"/>
    <w:rsid w:val="00696F58"/>
    <w:rsid w:val="006A052E"/>
    <w:rsid w:val="006A05B8"/>
    <w:rsid w:val="006A0973"/>
    <w:rsid w:val="006A0D81"/>
    <w:rsid w:val="006A0DF2"/>
    <w:rsid w:val="006A0F33"/>
    <w:rsid w:val="006A2D9B"/>
    <w:rsid w:val="006A3E2D"/>
    <w:rsid w:val="006A42E8"/>
    <w:rsid w:val="006A476D"/>
    <w:rsid w:val="006A4849"/>
    <w:rsid w:val="006A49EE"/>
    <w:rsid w:val="006A5F62"/>
    <w:rsid w:val="006A68B5"/>
    <w:rsid w:val="006A6FCD"/>
    <w:rsid w:val="006A74F8"/>
    <w:rsid w:val="006A7EFE"/>
    <w:rsid w:val="006B0451"/>
    <w:rsid w:val="006B049E"/>
    <w:rsid w:val="006B1041"/>
    <w:rsid w:val="006B2766"/>
    <w:rsid w:val="006B28A4"/>
    <w:rsid w:val="006B2DCE"/>
    <w:rsid w:val="006B2F40"/>
    <w:rsid w:val="006B32ED"/>
    <w:rsid w:val="006B46CB"/>
    <w:rsid w:val="006B4A1E"/>
    <w:rsid w:val="006B513F"/>
    <w:rsid w:val="006B538D"/>
    <w:rsid w:val="006B5D90"/>
    <w:rsid w:val="006B6C18"/>
    <w:rsid w:val="006B76CF"/>
    <w:rsid w:val="006B7C3F"/>
    <w:rsid w:val="006C051F"/>
    <w:rsid w:val="006C0E29"/>
    <w:rsid w:val="006C1379"/>
    <w:rsid w:val="006C16AA"/>
    <w:rsid w:val="006C225A"/>
    <w:rsid w:val="006C3248"/>
    <w:rsid w:val="006C3B9C"/>
    <w:rsid w:val="006C4A69"/>
    <w:rsid w:val="006C4CBC"/>
    <w:rsid w:val="006C4E10"/>
    <w:rsid w:val="006C5BE8"/>
    <w:rsid w:val="006C5D21"/>
    <w:rsid w:val="006C5F9B"/>
    <w:rsid w:val="006C615B"/>
    <w:rsid w:val="006C6ED4"/>
    <w:rsid w:val="006C71BE"/>
    <w:rsid w:val="006C74AA"/>
    <w:rsid w:val="006C7E07"/>
    <w:rsid w:val="006D2269"/>
    <w:rsid w:val="006D2362"/>
    <w:rsid w:val="006D2913"/>
    <w:rsid w:val="006D2E10"/>
    <w:rsid w:val="006D3F09"/>
    <w:rsid w:val="006D5642"/>
    <w:rsid w:val="006D58E2"/>
    <w:rsid w:val="006D5A44"/>
    <w:rsid w:val="006D7565"/>
    <w:rsid w:val="006E085C"/>
    <w:rsid w:val="006E0DA0"/>
    <w:rsid w:val="006E1433"/>
    <w:rsid w:val="006E18AF"/>
    <w:rsid w:val="006E2505"/>
    <w:rsid w:val="006E2B6F"/>
    <w:rsid w:val="006E3E22"/>
    <w:rsid w:val="006E3F51"/>
    <w:rsid w:val="006E4559"/>
    <w:rsid w:val="006E52D0"/>
    <w:rsid w:val="006E5362"/>
    <w:rsid w:val="006E57E1"/>
    <w:rsid w:val="006E58A9"/>
    <w:rsid w:val="006E5BF2"/>
    <w:rsid w:val="006E6DED"/>
    <w:rsid w:val="006E70D2"/>
    <w:rsid w:val="006E7420"/>
    <w:rsid w:val="006E7692"/>
    <w:rsid w:val="006E7D2E"/>
    <w:rsid w:val="006F0326"/>
    <w:rsid w:val="006F14D0"/>
    <w:rsid w:val="006F1636"/>
    <w:rsid w:val="006F1C62"/>
    <w:rsid w:val="006F1DD7"/>
    <w:rsid w:val="006F1E5E"/>
    <w:rsid w:val="006F1FF5"/>
    <w:rsid w:val="006F208D"/>
    <w:rsid w:val="006F2801"/>
    <w:rsid w:val="006F42FA"/>
    <w:rsid w:val="006F46F4"/>
    <w:rsid w:val="006F4A40"/>
    <w:rsid w:val="006F4F06"/>
    <w:rsid w:val="006F50D5"/>
    <w:rsid w:val="006F66DD"/>
    <w:rsid w:val="006F681F"/>
    <w:rsid w:val="006F6C73"/>
    <w:rsid w:val="006F6CA8"/>
    <w:rsid w:val="006F6D5F"/>
    <w:rsid w:val="006F6F5B"/>
    <w:rsid w:val="006F7487"/>
    <w:rsid w:val="006F7868"/>
    <w:rsid w:val="006F7DDC"/>
    <w:rsid w:val="007005A8"/>
    <w:rsid w:val="007008AB"/>
    <w:rsid w:val="00700937"/>
    <w:rsid w:val="00700D51"/>
    <w:rsid w:val="00700FA1"/>
    <w:rsid w:val="00700FA5"/>
    <w:rsid w:val="00701BD8"/>
    <w:rsid w:val="00701BE8"/>
    <w:rsid w:val="007023CE"/>
    <w:rsid w:val="00702A3E"/>
    <w:rsid w:val="00702A7B"/>
    <w:rsid w:val="00703D8E"/>
    <w:rsid w:val="0070452A"/>
    <w:rsid w:val="007048B7"/>
    <w:rsid w:val="0070522F"/>
    <w:rsid w:val="00705531"/>
    <w:rsid w:val="0070583D"/>
    <w:rsid w:val="00705A4C"/>
    <w:rsid w:val="00706191"/>
    <w:rsid w:val="00706502"/>
    <w:rsid w:val="00706E29"/>
    <w:rsid w:val="00706FB5"/>
    <w:rsid w:val="007070A6"/>
    <w:rsid w:val="00711504"/>
    <w:rsid w:val="00711E16"/>
    <w:rsid w:val="0071226D"/>
    <w:rsid w:val="00712903"/>
    <w:rsid w:val="00712991"/>
    <w:rsid w:val="00713750"/>
    <w:rsid w:val="00713CC6"/>
    <w:rsid w:val="007142B4"/>
    <w:rsid w:val="0071434D"/>
    <w:rsid w:val="00714475"/>
    <w:rsid w:val="007154DE"/>
    <w:rsid w:val="00715A36"/>
    <w:rsid w:val="00716CD0"/>
    <w:rsid w:val="007178C6"/>
    <w:rsid w:val="007201AA"/>
    <w:rsid w:val="007206CA"/>
    <w:rsid w:val="00721572"/>
    <w:rsid w:val="00721FDB"/>
    <w:rsid w:val="00721FFA"/>
    <w:rsid w:val="00722059"/>
    <w:rsid w:val="00722832"/>
    <w:rsid w:val="00722838"/>
    <w:rsid w:val="00722972"/>
    <w:rsid w:val="007229F0"/>
    <w:rsid w:val="00723000"/>
    <w:rsid w:val="0072309F"/>
    <w:rsid w:val="0072330E"/>
    <w:rsid w:val="00724327"/>
    <w:rsid w:val="0072484A"/>
    <w:rsid w:val="00724E64"/>
    <w:rsid w:val="007261D5"/>
    <w:rsid w:val="0072630A"/>
    <w:rsid w:val="0072721A"/>
    <w:rsid w:val="00727D41"/>
    <w:rsid w:val="0073036A"/>
    <w:rsid w:val="00730C23"/>
    <w:rsid w:val="00731E37"/>
    <w:rsid w:val="0073227E"/>
    <w:rsid w:val="00733170"/>
    <w:rsid w:val="00733978"/>
    <w:rsid w:val="00733EE8"/>
    <w:rsid w:val="00733F6E"/>
    <w:rsid w:val="00734E59"/>
    <w:rsid w:val="0073530B"/>
    <w:rsid w:val="00735D2F"/>
    <w:rsid w:val="007360A4"/>
    <w:rsid w:val="007364C5"/>
    <w:rsid w:val="007372F5"/>
    <w:rsid w:val="00737F77"/>
    <w:rsid w:val="00740463"/>
    <w:rsid w:val="007411D7"/>
    <w:rsid w:val="007418BE"/>
    <w:rsid w:val="00741A1C"/>
    <w:rsid w:val="00743545"/>
    <w:rsid w:val="00743780"/>
    <w:rsid w:val="007439EE"/>
    <w:rsid w:val="00744E4E"/>
    <w:rsid w:val="0074541A"/>
    <w:rsid w:val="007465C5"/>
    <w:rsid w:val="00747324"/>
    <w:rsid w:val="00747535"/>
    <w:rsid w:val="007477F8"/>
    <w:rsid w:val="00747A51"/>
    <w:rsid w:val="00747C29"/>
    <w:rsid w:val="00747DFB"/>
    <w:rsid w:val="00750E73"/>
    <w:rsid w:val="007510BE"/>
    <w:rsid w:val="00751803"/>
    <w:rsid w:val="00752708"/>
    <w:rsid w:val="007528E5"/>
    <w:rsid w:val="007529E1"/>
    <w:rsid w:val="00752E09"/>
    <w:rsid w:val="007531D0"/>
    <w:rsid w:val="007539DE"/>
    <w:rsid w:val="0075401D"/>
    <w:rsid w:val="0075494E"/>
    <w:rsid w:val="00755956"/>
    <w:rsid w:val="00756280"/>
    <w:rsid w:val="0075631A"/>
    <w:rsid w:val="00756479"/>
    <w:rsid w:val="00756AD2"/>
    <w:rsid w:val="00757E34"/>
    <w:rsid w:val="00760456"/>
    <w:rsid w:val="00760FF5"/>
    <w:rsid w:val="00761F2B"/>
    <w:rsid w:val="00762103"/>
    <w:rsid w:val="0076218B"/>
    <w:rsid w:val="00762980"/>
    <w:rsid w:val="0076373B"/>
    <w:rsid w:val="00763759"/>
    <w:rsid w:val="00763A10"/>
    <w:rsid w:val="00763BB5"/>
    <w:rsid w:val="00763ED5"/>
    <w:rsid w:val="0076412E"/>
    <w:rsid w:val="0076510B"/>
    <w:rsid w:val="00766560"/>
    <w:rsid w:val="00766A3D"/>
    <w:rsid w:val="00766F30"/>
    <w:rsid w:val="00766FFF"/>
    <w:rsid w:val="0076790F"/>
    <w:rsid w:val="00770252"/>
    <w:rsid w:val="00770257"/>
    <w:rsid w:val="007702FE"/>
    <w:rsid w:val="00770596"/>
    <w:rsid w:val="00770A03"/>
    <w:rsid w:val="00772B23"/>
    <w:rsid w:val="00773201"/>
    <w:rsid w:val="00773429"/>
    <w:rsid w:val="0077354A"/>
    <w:rsid w:val="00773A89"/>
    <w:rsid w:val="00773FCC"/>
    <w:rsid w:val="007741E2"/>
    <w:rsid w:val="00774CE2"/>
    <w:rsid w:val="007764F2"/>
    <w:rsid w:val="00777BAB"/>
    <w:rsid w:val="00780717"/>
    <w:rsid w:val="007810BB"/>
    <w:rsid w:val="00781238"/>
    <w:rsid w:val="007815BD"/>
    <w:rsid w:val="00781D91"/>
    <w:rsid w:val="00781DFB"/>
    <w:rsid w:val="00783275"/>
    <w:rsid w:val="00783DED"/>
    <w:rsid w:val="00784CF9"/>
    <w:rsid w:val="00784DAA"/>
    <w:rsid w:val="007852D5"/>
    <w:rsid w:val="00785797"/>
    <w:rsid w:val="00786009"/>
    <w:rsid w:val="00786267"/>
    <w:rsid w:val="00786DE4"/>
    <w:rsid w:val="00786E55"/>
    <w:rsid w:val="007876F9"/>
    <w:rsid w:val="00787DD8"/>
    <w:rsid w:val="00787F36"/>
    <w:rsid w:val="007900B3"/>
    <w:rsid w:val="00790352"/>
    <w:rsid w:val="0079085E"/>
    <w:rsid w:val="00791469"/>
    <w:rsid w:val="00791781"/>
    <w:rsid w:val="00791C84"/>
    <w:rsid w:val="00791EC6"/>
    <w:rsid w:val="007921D1"/>
    <w:rsid w:val="00792313"/>
    <w:rsid w:val="007929E9"/>
    <w:rsid w:val="007930A2"/>
    <w:rsid w:val="00793410"/>
    <w:rsid w:val="00794E90"/>
    <w:rsid w:val="007957D9"/>
    <w:rsid w:val="0079588C"/>
    <w:rsid w:val="00795AF6"/>
    <w:rsid w:val="0079798B"/>
    <w:rsid w:val="00797E8A"/>
    <w:rsid w:val="007A024C"/>
    <w:rsid w:val="007A051F"/>
    <w:rsid w:val="007A0671"/>
    <w:rsid w:val="007A1C44"/>
    <w:rsid w:val="007A21E2"/>
    <w:rsid w:val="007A21F9"/>
    <w:rsid w:val="007A3C24"/>
    <w:rsid w:val="007A4DD6"/>
    <w:rsid w:val="007A5ED6"/>
    <w:rsid w:val="007A613D"/>
    <w:rsid w:val="007A6232"/>
    <w:rsid w:val="007A66E8"/>
    <w:rsid w:val="007A67A1"/>
    <w:rsid w:val="007A6F81"/>
    <w:rsid w:val="007A7808"/>
    <w:rsid w:val="007A7A79"/>
    <w:rsid w:val="007B14D2"/>
    <w:rsid w:val="007B305B"/>
    <w:rsid w:val="007B3072"/>
    <w:rsid w:val="007B352F"/>
    <w:rsid w:val="007B3689"/>
    <w:rsid w:val="007B37B5"/>
    <w:rsid w:val="007B38DB"/>
    <w:rsid w:val="007B3A6A"/>
    <w:rsid w:val="007B46C6"/>
    <w:rsid w:val="007B4722"/>
    <w:rsid w:val="007B5757"/>
    <w:rsid w:val="007B5AF9"/>
    <w:rsid w:val="007B5C09"/>
    <w:rsid w:val="007B6B1C"/>
    <w:rsid w:val="007B7797"/>
    <w:rsid w:val="007B7AA3"/>
    <w:rsid w:val="007C038E"/>
    <w:rsid w:val="007C0652"/>
    <w:rsid w:val="007C096C"/>
    <w:rsid w:val="007C09D7"/>
    <w:rsid w:val="007C13D1"/>
    <w:rsid w:val="007C26B3"/>
    <w:rsid w:val="007C2946"/>
    <w:rsid w:val="007C34FC"/>
    <w:rsid w:val="007C5721"/>
    <w:rsid w:val="007C585A"/>
    <w:rsid w:val="007C6F3D"/>
    <w:rsid w:val="007C7AA1"/>
    <w:rsid w:val="007D0132"/>
    <w:rsid w:val="007D065C"/>
    <w:rsid w:val="007D0751"/>
    <w:rsid w:val="007D0935"/>
    <w:rsid w:val="007D096B"/>
    <w:rsid w:val="007D0D2B"/>
    <w:rsid w:val="007D0D2C"/>
    <w:rsid w:val="007D10A2"/>
    <w:rsid w:val="007D1BB4"/>
    <w:rsid w:val="007D4543"/>
    <w:rsid w:val="007D4BE6"/>
    <w:rsid w:val="007D6180"/>
    <w:rsid w:val="007D6586"/>
    <w:rsid w:val="007D735B"/>
    <w:rsid w:val="007E030D"/>
    <w:rsid w:val="007E079F"/>
    <w:rsid w:val="007E125F"/>
    <w:rsid w:val="007E12E5"/>
    <w:rsid w:val="007E229E"/>
    <w:rsid w:val="007E25EF"/>
    <w:rsid w:val="007E27EB"/>
    <w:rsid w:val="007E3CDC"/>
    <w:rsid w:val="007E462B"/>
    <w:rsid w:val="007E48C3"/>
    <w:rsid w:val="007E52E9"/>
    <w:rsid w:val="007E6AD9"/>
    <w:rsid w:val="007E6CA3"/>
    <w:rsid w:val="007E6D00"/>
    <w:rsid w:val="007E6F7A"/>
    <w:rsid w:val="007E73AA"/>
    <w:rsid w:val="007E7875"/>
    <w:rsid w:val="007E7889"/>
    <w:rsid w:val="007F0CA2"/>
    <w:rsid w:val="007F2D60"/>
    <w:rsid w:val="007F4341"/>
    <w:rsid w:val="007F4A27"/>
    <w:rsid w:val="007F502F"/>
    <w:rsid w:val="007F5DB8"/>
    <w:rsid w:val="007F6A8E"/>
    <w:rsid w:val="0080056E"/>
    <w:rsid w:val="0080070E"/>
    <w:rsid w:val="00800752"/>
    <w:rsid w:val="00800C51"/>
    <w:rsid w:val="00802892"/>
    <w:rsid w:val="00803654"/>
    <w:rsid w:val="00803D06"/>
    <w:rsid w:val="00803EBE"/>
    <w:rsid w:val="00804304"/>
    <w:rsid w:val="008043ED"/>
    <w:rsid w:val="00804E64"/>
    <w:rsid w:val="00804F30"/>
    <w:rsid w:val="00805177"/>
    <w:rsid w:val="00806045"/>
    <w:rsid w:val="0080608C"/>
    <w:rsid w:val="008067A7"/>
    <w:rsid w:val="008069A1"/>
    <w:rsid w:val="00806D61"/>
    <w:rsid w:val="008074A3"/>
    <w:rsid w:val="0080784E"/>
    <w:rsid w:val="00807CA3"/>
    <w:rsid w:val="00807F9C"/>
    <w:rsid w:val="00811901"/>
    <w:rsid w:val="00811C70"/>
    <w:rsid w:val="00812A76"/>
    <w:rsid w:val="0081409A"/>
    <w:rsid w:val="00814717"/>
    <w:rsid w:val="00816531"/>
    <w:rsid w:val="008166E6"/>
    <w:rsid w:val="00816C13"/>
    <w:rsid w:val="00816F50"/>
    <w:rsid w:val="008171BA"/>
    <w:rsid w:val="00817513"/>
    <w:rsid w:val="00817D6E"/>
    <w:rsid w:val="00820140"/>
    <w:rsid w:val="00820ADA"/>
    <w:rsid w:val="00820B98"/>
    <w:rsid w:val="008215B4"/>
    <w:rsid w:val="00822838"/>
    <w:rsid w:val="008229BB"/>
    <w:rsid w:val="00822C8C"/>
    <w:rsid w:val="00822D41"/>
    <w:rsid w:val="00823121"/>
    <w:rsid w:val="00823851"/>
    <w:rsid w:val="00823D18"/>
    <w:rsid w:val="00823E22"/>
    <w:rsid w:val="008242AC"/>
    <w:rsid w:val="00824A42"/>
    <w:rsid w:val="00824D9E"/>
    <w:rsid w:val="008250A8"/>
    <w:rsid w:val="00826A09"/>
    <w:rsid w:val="008300A8"/>
    <w:rsid w:val="008308B9"/>
    <w:rsid w:val="0083095B"/>
    <w:rsid w:val="00830A89"/>
    <w:rsid w:val="008310B3"/>
    <w:rsid w:val="00831542"/>
    <w:rsid w:val="0083175F"/>
    <w:rsid w:val="00831E84"/>
    <w:rsid w:val="00832FCD"/>
    <w:rsid w:val="008334BD"/>
    <w:rsid w:val="00833752"/>
    <w:rsid w:val="00833773"/>
    <w:rsid w:val="008339B8"/>
    <w:rsid w:val="008339EA"/>
    <w:rsid w:val="00833AC2"/>
    <w:rsid w:val="00834B62"/>
    <w:rsid w:val="00834F3B"/>
    <w:rsid w:val="00836546"/>
    <w:rsid w:val="00836F35"/>
    <w:rsid w:val="0083790F"/>
    <w:rsid w:val="008379E6"/>
    <w:rsid w:val="00837C37"/>
    <w:rsid w:val="00840690"/>
    <w:rsid w:val="008409F3"/>
    <w:rsid w:val="008416D2"/>
    <w:rsid w:val="00842CBA"/>
    <w:rsid w:val="00843DE8"/>
    <w:rsid w:val="008441DD"/>
    <w:rsid w:val="0084496D"/>
    <w:rsid w:val="008449EF"/>
    <w:rsid w:val="0084501E"/>
    <w:rsid w:val="00845102"/>
    <w:rsid w:val="00845488"/>
    <w:rsid w:val="00845792"/>
    <w:rsid w:val="00845AF7"/>
    <w:rsid w:val="008475A3"/>
    <w:rsid w:val="008501A0"/>
    <w:rsid w:val="008503A7"/>
    <w:rsid w:val="00850BAC"/>
    <w:rsid w:val="0085150F"/>
    <w:rsid w:val="00852684"/>
    <w:rsid w:val="00853A21"/>
    <w:rsid w:val="00853AF0"/>
    <w:rsid w:val="0085403E"/>
    <w:rsid w:val="008540AE"/>
    <w:rsid w:val="00854E5F"/>
    <w:rsid w:val="00855EA4"/>
    <w:rsid w:val="00856131"/>
    <w:rsid w:val="00856B0B"/>
    <w:rsid w:val="00856BD9"/>
    <w:rsid w:val="00857348"/>
    <w:rsid w:val="00857E38"/>
    <w:rsid w:val="008603F4"/>
    <w:rsid w:val="00860AF0"/>
    <w:rsid w:val="00860EB7"/>
    <w:rsid w:val="008619BA"/>
    <w:rsid w:val="00862257"/>
    <w:rsid w:val="00862303"/>
    <w:rsid w:val="00862501"/>
    <w:rsid w:val="008625BD"/>
    <w:rsid w:val="0086285F"/>
    <w:rsid w:val="00862B4A"/>
    <w:rsid w:val="0086309D"/>
    <w:rsid w:val="0086360F"/>
    <w:rsid w:val="00863EAF"/>
    <w:rsid w:val="008640CF"/>
    <w:rsid w:val="00864496"/>
    <w:rsid w:val="00864DE2"/>
    <w:rsid w:val="00865016"/>
    <w:rsid w:val="008654DB"/>
    <w:rsid w:val="00866066"/>
    <w:rsid w:val="00866863"/>
    <w:rsid w:val="00870CAC"/>
    <w:rsid w:val="00871076"/>
    <w:rsid w:val="00871185"/>
    <w:rsid w:val="008720B1"/>
    <w:rsid w:val="00872673"/>
    <w:rsid w:val="00872B91"/>
    <w:rsid w:val="00873073"/>
    <w:rsid w:val="0087309F"/>
    <w:rsid w:val="00875086"/>
    <w:rsid w:val="008753B0"/>
    <w:rsid w:val="00875D4F"/>
    <w:rsid w:val="00876568"/>
    <w:rsid w:val="008766B3"/>
    <w:rsid w:val="00876E4E"/>
    <w:rsid w:val="008771B9"/>
    <w:rsid w:val="0087740A"/>
    <w:rsid w:val="00877527"/>
    <w:rsid w:val="008800FC"/>
    <w:rsid w:val="00880458"/>
    <w:rsid w:val="00880790"/>
    <w:rsid w:val="00881317"/>
    <w:rsid w:val="00881711"/>
    <w:rsid w:val="00881858"/>
    <w:rsid w:val="00881BA3"/>
    <w:rsid w:val="00882B60"/>
    <w:rsid w:val="00882F28"/>
    <w:rsid w:val="008849C4"/>
    <w:rsid w:val="00884AC4"/>
    <w:rsid w:val="00884BBC"/>
    <w:rsid w:val="00884FF4"/>
    <w:rsid w:val="008859DA"/>
    <w:rsid w:val="00885D01"/>
    <w:rsid w:val="008863F2"/>
    <w:rsid w:val="0088696D"/>
    <w:rsid w:val="008869FC"/>
    <w:rsid w:val="00886BD5"/>
    <w:rsid w:val="00887377"/>
    <w:rsid w:val="008879A8"/>
    <w:rsid w:val="00887CC3"/>
    <w:rsid w:val="00887F06"/>
    <w:rsid w:val="00890BE5"/>
    <w:rsid w:val="008916D2"/>
    <w:rsid w:val="008918B8"/>
    <w:rsid w:val="008923FB"/>
    <w:rsid w:val="00893BC6"/>
    <w:rsid w:val="00894500"/>
    <w:rsid w:val="00896469"/>
    <w:rsid w:val="00896573"/>
    <w:rsid w:val="00897D25"/>
    <w:rsid w:val="008A0ADD"/>
    <w:rsid w:val="008A0C85"/>
    <w:rsid w:val="008A10FD"/>
    <w:rsid w:val="008A1E49"/>
    <w:rsid w:val="008A2A0C"/>
    <w:rsid w:val="008A2A3A"/>
    <w:rsid w:val="008A315B"/>
    <w:rsid w:val="008A3457"/>
    <w:rsid w:val="008A4104"/>
    <w:rsid w:val="008A42C2"/>
    <w:rsid w:val="008A47E4"/>
    <w:rsid w:val="008A4D27"/>
    <w:rsid w:val="008A53FC"/>
    <w:rsid w:val="008A5D4F"/>
    <w:rsid w:val="008A5EC5"/>
    <w:rsid w:val="008A69D5"/>
    <w:rsid w:val="008A6ADB"/>
    <w:rsid w:val="008A6B58"/>
    <w:rsid w:val="008A6EBF"/>
    <w:rsid w:val="008A7129"/>
    <w:rsid w:val="008A7FBC"/>
    <w:rsid w:val="008B00EB"/>
    <w:rsid w:val="008B01F9"/>
    <w:rsid w:val="008B02DB"/>
    <w:rsid w:val="008B0DDC"/>
    <w:rsid w:val="008B109E"/>
    <w:rsid w:val="008B1C1A"/>
    <w:rsid w:val="008B1E95"/>
    <w:rsid w:val="008B23DC"/>
    <w:rsid w:val="008B288C"/>
    <w:rsid w:val="008B3E6D"/>
    <w:rsid w:val="008B3F10"/>
    <w:rsid w:val="008B3FE1"/>
    <w:rsid w:val="008B4E13"/>
    <w:rsid w:val="008B57BA"/>
    <w:rsid w:val="008B5AF8"/>
    <w:rsid w:val="008B60C0"/>
    <w:rsid w:val="008B69BD"/>
    <w:rsid w:val="008B6D1E"/>
    <w:rsid w:val="008C0105"/>
    <w:rsid w:val="008C0BB1"/>
    <w:rsid w:val="008C0D7C"/>
    <w:rsid w:val="008C12FC"/>
    <w:rsid w:val="008C16F1"/>
    <w:rsid w:val="008C319F"/>
    <w:rsid w:val="008C31E6"/>
    <w:rsid w:val="008C3515"/>
    <w:rsid w:val="008C37FC"/>
    <w:rsid w:val="008C438E"/>
    <w:rsid w:val="008C4624"/>
    <w:rsid w:val="008C4AC3"/>
    <w:rsid w:val="008C4E8B"/>
    <w:rsid w:val="008C501C"/>
    <w:rsid w:val="008C5F13"/>
    <w:rsid w:val="008C6AD1"/>
    <w:rsid w:val="008C6BE1"/>
    <w:rsid w:val="008D09F0"/>
    <w:rsid w:val="008D28BB"/>
    <w:rsid w:val="008D2BED"/>
    <w:rsid w:val="008D46F7"/>
    <w:rsid w:val="008D52D7"/>
    <w:rsid w:val="008D5722"/>
    <w:rsid w:val="008D6782"/>
    <w:rsid w:val="008D6A53"/>
    <w:rsid w:val="008D72C5"/>
    <w:rsid w:val="008E0106"/>
    <w:rsid w:val="008E0217"/>
    <w:rsid w:val="008E045A"/>
    <w:rsid w:val="008E0780"/>
    <w:rsid w:val="008E15E4"/>
    <w:rsid w:val="008E1FB5"/>
    <w:rsid w:val="008E2867"/>
    <w:rsid w:val="008E32EF"/>
    <w:rsid w:val="008E39FB"/>
    <w:rsid w:val="008E469D"/>
    <w:rsid w:val="008E4E60"/>
    <w:rsid w:val="008E5112"/>
    <w:rsid w:val="008E5CDB"/>
    <w:rsid w:val="008E6196"/>
    <w:rsid w:val="008E6EA2"/>
    <w:rsid w:val="008E76EA"/>
    <w:rsid w:val="008F0635"/>
    <w:rsid w:val="008F07C7"/>
    <w:rsid w:val="008F0A6D"/>
    <w:rsid w:val="008F0C90"/>
    <w:rsid w:val="008F0D02"/>
    <w:rsid w:val="008F188D"/>
    <w:rsid w:val="008F2816"/>
    <w:rsid w:val="008F28A5"/>
    <w:rsid w:val="008F3634"/>
    <w:rsid w:val="008F393F"/>
    <w:rsid w:val="008F3DDF"/>
    <w:rsid w:val="008F45B6"/>
    <w:rsid w:val="008F5984"/>
    <w:rsid w:val="008F5F72"/>
    <w:rsid w:val="008F63F8"/>
    <w:rsid w:val="008F6AFF"/>
    <w:rsid w:val="008F6C41"/>
    <w:rsid w:val="008F734D"/>
    <w:rsid w:val="008F7601"/>
    <w:rsid w:val="008F7C3D"/>
    <w:rsid w:val="009001B9"/>
    <w:rsid w:val="00900444"/>
    <w:rsid w:val="00900C36"/>
    <w:rsid w:val="00901B1E"/>
    <w:rsid w:val="00901B7A"/>
    <w:rsid w:val="009020FB"/>
    <w:rsid w:val="00902197"/>
    <w:rsid w:val="009028AD"/>
    <w:rsid w:val="00903ED3"/>
    <w:rsid w:val="00903EDC"/>
    <w:rsid w:val="00904022"/>
    <w:rsid w:val="0090415F"/>
    <w:rsid w:val="00904924"/>
    <w:rsid w:val="00904ADC"/>
    <w:rsid w:val="00904CDB"/>
    <w:rsid w:val="00904E9F"/>
    <w:rsid w:val="0090532B"/>
    <w:rsid w:val="00905888"/>
    <w:rsid w:val="0090648E"/>
    <w:rsid w:val="009064BD"/>
    <w:rsid w:val="00906C6D"/>
    <w:rsid w:val="009079F1"/>
    <w:rsid w:val="00907F51"/>
    <w:rsid w:val="0091058F"/>
    <w:rsid w:val="009110EA"/>
    <w:rsid w:val="009118F2"/>
    <w:rsid w:val="0091432A"/>
    <w:rsid w:val="0091453F"/>
    <w:rsid w:val="00915266"/>
    <w:rsid w:val="0091587A"/>
    <w:rsid w:val="009161E7"/>
    <w:rsid w:val="00916871"/>
    <w:rsid w:val="009169B7"/>
    <w:rsid w:val="00917663"/>
    <w:rsid w:val="00920D83"/>
    <w:rsid w:val="00921194"/>
    <w:rsid w:val="00921A3B"/>
    <w:rsid w:val="00921B18"/>
    <w:rsid w:val="00921B70"/>
    <w:rsid w:val="00921F47"/>
    <w:rsid w:val="00922958"/>
    <w:rsid w:val="00922A08"/>
    <w:rsid w:val="00923BD5"/>
    <w:rsid w:val="00924626"/>
    <w:rsid w:val="00924BD2"/>
    <w:rsid w:val="00924E8E"/>
    <w:rsid w:val="009252AB"/>
    <w:rsid w:val="00925628"/>
    <w:rsid w:val="009268F3"/>
    <w:rsid w:val="00926F4D"/>
    <w:rsid w:val="0093020B"/>
    <w:rsid w:val="00930AC5"/>
    <w:rsid w:val="00930B12"/>
    <w:rsid w:val="009320AC"/>
    <w:rsid w:val="009322B9"/>
    <w:rsid w:val="00932302"/>
    <w:rsid w:val="00932421"/>
    <w:rsid w:val="0093316F"/>
    <w:rsid w:val="00933F31"/>
    <w:rsid w:val="0093453C"/>
    <w:rsid w:val="0093458F"/>
    <w:rsid w:val="00934A0F"/>
    <w:rsid w:val="0093529C"/>
    <w:rsid w:val="009354E8"/>
    <w:rsid w:val="009355D7"/>
    <w:rsid w:val="009357FE"/>
    <w:rsid w:val="009362DA"/>
    <w:rsid w:val="00936B27"/>
    <w:rsid w:val="009374BB"/>
    <w:rsid w:val="009378EB"/>
    <w:rsid w:val="0094017D"/>
    <w:rsid w:val="0094097E"/>
    <w:rsid w:val="00941258"/>
    <w:rsid w:val="009412E6"/>
    <w:rsid w:val="0094190D"/>
    <w:rsid w:val="00941952"/>
    <w:rsid w:val="00941F92"/>
    <w:rsid w:val="0094280A"/>
    <w:rsid w:val="00942929"/>
    <w:rsid w:val="00942ED2"/>
    <w:rsid w:val="00943FEA"/>
    <w:rsid w:val="009442C5"/>
    <w:rsid w:val="009447EA"/>
    <w:rsid w:val="009455CF"/>
    <w:rsid w:val="009469F9"/>
    <w:rsid w:val="00947A9C"/>
    <w:rsid w:val="00950890"/>
    <w:rsid w:val="00950A11"/>
    <w:rsid w:val="00950EDE"/>
    <w:rsid w:val="00951346"/>
    <w:rsid w:val="009516AD"/>
    <w:rsid w:val="00951CE0"/>
    <w:rsid w:val="0095200F"/>
    <w:rsid w:val="00952019"/>
    <w:rsid w:val="00952C1D"/>
    <w:rsid w:val="009534AF"/>
    <w:rsid w:val="00953BF2"/>
    <w:rsid w:val="00954045"/>
    <w:rsid w:val="009541D3"/>
    <w:rsid w:val="00954C2F"/>
    <w:rsid w:val="009553CD"/>
    <w:rsid w:val="009556F7"/>
    <w:rsid w:val="00955BE0"/>
    <w:rsid w:val="00956042"/>
    <w:rsid w:val="00957BCB"/>
    <w:rsid w:val="00957D3F"/>
    <w:rsid w:val="00960A38"/>
    <w:rsid w:val="00960DC8"/>
    <w:rsid w:val="00960EA9"/>
    <w:rsid w:val="00961598"/>
    <w:rsid w:val="009623C8"/>
    <w:rsid w:val="00963E9A"/>
    <w:rsid w:val="00964CF0"/>
    <w:rsid w:val="00964F15"/>
    <w:rsid w:val="00964F50"/>
    <w:rsid w:val="009660E5"/>
    <w:rsid w:val="0096680F"/>
    <w:rsid w:val="00966883"/>
    <w:rsid w:val="009669C9"/>
    <w:rsid w:val="00966D28"/>
    <w:rsid w:val="00967B52"/>
    <w:rsid w:val="00967BED"/>
    <w:rsid w:val="00967E39"/>
    <w:rsid w:val="00967EA5"/>
    <w:rsid w:val="009703BA"/>
    <w:rsid w:val="00970469"/>
    <w:rsid w:val="009717D4"/>
    <w:rsid w:val="00972607"/>
    <w:rsid w:val="009727F0"/>
    <w:rsid w:val="00972CC2"/>
    <w:rsid w:val="009735E6"/>
    <w:rsid w:val="0097535D"/>
    <w:rsid w:val="00975A40"/>
    <w:rsid w:val="00975BAB"/>
    <w:rsid w:val="00976092"/>
    <w:rsid w:val="00976220"/>
    <w:rsid w:val="009766F3"/>
    <w:rsid w:val="009771BD"/>
    <w:rsid w:val="009774B1"/>
    <w:rsid w:val="00977543"/>
    <w:rsid w:val="00980BF8"/>
    <w:rsid w:val="00980C5C"/>
    <w:rsid w:val="00981192"/>
    <w:rsid w:val="009819BB"/>
    <w:rsid w:val="00981C1B"/>
    <w:rsid w:val="00981E5C"/>
    <w:rsid w:val="009825E5"/>
    <w:rsid w:val="00982F98"/>
    <w:rsid w:val="0098382B"/>
    <w:rsid w:val="00983AF8"/>
    <w:rsid w:val="009846FA"/>
    <w:rsid w:val="00984E81"/>
    <w:rsid w:val="00985B58"/>
    <w:rsid w:val="009860F1"/>
    <w:rsid w:val="009869CC"/>
    <w:rsid w:val="009871ED"/>
    <w:rsid w:val="009909FA"/>
    <w:rsid w:val="00990CBB"/>
    <w:rsid w:val="009915B1"/>
    <w:rsid w:val="00991736"/>
    <w:rsid w:val="00991971"/>
    <w:rsid w:val="00991B20"/>
    <w:rsid w:val="00991B4D"/>
    <w:rsid w:val="00992663"/>
    <w:rsid w:val="00992B61"/>
    <w:rsid w:val="00993538"/>
    <w:rsid w:val="0099451E"/>
    <w:rsid w:val="00995402"/>
    <w:rsid w:val="009955D2"/>
    <w:rsid w:val="00995A40"/>
    <w:rsid w:val="00995ACB"/>
    <w:rsid w:val="009960F2"/>
    <w:rsid w:val="00996113"/>
    <w:rsid w:val="00996266"/>
    <w:rsid w:val="00996C8B"/>
    <w:rsid w:val="00997AA6"/>
    <w:rsid w:val="00997BA3"/>
    <w:rsid w:val="009A0437"/>
    <w:rsid w:val="009A0674"/>
    <w:rsid w:val="009A11C9"/>
    <w:rsid w:val="009A1558"/>
    <w:rsid w:val="009A1569"/>
    <w:rsid w:val="009A1EBE"/>
    <w:rsid w:val="009A30D1"/>
    <w:rsid w:val="009A36EC"/>
    <w:rsid w:val="009A4D10"/>
    <w:rsid w:val="009A5199"/>
    <w:rsid w:val="009A591F"/>
    <w:rsid w:val="009A597C"/>
    <w:rsid w:val="009A603E"/>
    <w:rsid w:val="009A6800"/>
    <w:rsid w:val="009A6B94"/>
    <w:rsid w:val="009A6DE4"/>
    <w:rsid w:val="009A7681"/>
    <w:rsid w:val="009A7B5C"/>
    <w:rsid w:val="009B0C12"/>
    <w:rsid w:val="009B0D00"/>
    <w:rsid w:val="009B1BA9"/>
    <w:rsid w:val="009B1D75"/>
    <w:rsid w:val="009B22D6"/>
    <w:rsid w:val="009B2301"/>
    <w:rsid w:val="009B2922"/>
    <w:rsid w:val="009B29EB"/>
    <w:rsid w:val="009B32CC"/>
    <w:rsid w:val="009B37B9"/>
    <w:rsid w:val="009B3F05"/>
    <w:rsid w:val="009B460D"/>
    <w:rsid w:val="009B4997"/>
    <w:rsid w:val="009B5843"/>
    <w:rsid w:val="009B75FD"/>
    <w:rsid w:val="009C056B"/>
    <w:rsid w:val="009C0DC9"/>
    <w:rsid w:val="009C107D"/>
    <w:rsid w:val="009C1115"/>
    <w:rsid w:val="009C16BB"/>
    <w:rsid w:val="009C1E0C"/>
    <w:rsid w:val="009C29BA"/>
    <w:rsid w:val="009C2E15"/>
    <w:rsid w:val="009C33C4"/>
    <w:rsid w:val="009C3B15"/>
    <w:rsid w:val="009C606B"/>
    <w:rsid w:val="009C620E"/>
    <w:rsid w:val="009C644F"/>
    <w:rsid w:val="009D0761"/>
    <w:rsid w:val="009D12CA"/>
    <w:rsid w:val="009D1746"/>
    <w:rsid w:val="009D1BCA"/>
    <w:rsid w:val="009D2ECB"/>
    <w:rsid w:val="009D305E"/>
    <w:rsid w:val="009D35F3"/>
    <w:rsid w:val="009D378F"/>
    <w:rsid w:val="009D3A4E"/>
    <w:rsid w:val="009D4092"/>
    <w:rsid w:val="009D41E6"/>
    <w:rsid w:val="009D50A7"/>
    <w:rsid w:val="009D54EE"/>
    <w:rsid w:val="009D5663"/>
    <w:rsid w:val="009D57D3"/>
    <w:rsid w:val="009D5CE9"/>
    <w:rsid w:val="009D5DEF"/>
    <w:rsid w:val="009D7F6D"/>
    <w:rsid w:val="009E0001"/>
    <w:rsid w:val="009E11BF"/>
    <w:rsid w:val="009E1487"/>
    <w:rsid w:val="009E255A"/>
    <w:rsid w:val="009E26AA"/>
    <w:rsid w:val="009E28A8"/>
    <w:rsid w:val="009E2C0F"/>
    <w:rsid w:val="009E2E66"/>
    <w:rsid w:val="009E2F4A"/>
    <w:rsid w:val="009E36AB"/>
    <w:rsid w:val="009E3C05"/>
    <w:rsid w:val="009E4396"/>
    <w:rsid w:val="009E47A8"/>
    <w:rsid w:val="009E54B3"/>
    <w:rsid w:val="009E5602"/>
    <w:rsid w:val="009E5680"/>
    <w:rsid w:val="009E5AB4"/>
    <w:rsid w:val="009E611F"/>
    <w:rsid w:val="009E7C5D"/>
    <w:rsid w:val="009F0682"/>
    <w:rsid w:val="009F06A0"/>
    <w:rsid w:val="009F0DFA"/>
    <w:rsid w:val="009F0E6A"/>
    <w:rsid w:val="009F1617"/>
    <w:rsid w:val="009F186E"/>
    <w:rsid w:val="009F1D59"/>
    <w:rsid w:val="009F1F1B"/>
    <w:rsid w:val="009F24B3"/>
    <w:rsid w:val="009F2F42"/>
    <w:rsid w:val="009F3020"/>
    <w:rsid w:val="009F3C85"/>
    <w:rsid w:val="009F45E4"/>
    <w:rsid w:val="009F498C"/>
    <w:rsid w:val="009F4AB1"/>
    <w:rsid w:val="009F504E"/>
    <w:rsid w:val="009F5298"/>
    <w:rsid w:val="009F58C5"/>
    <w:rsid w:val="009F69AE"/>
    <w:rsid w:val="009F71BA"/>
    <w:rsid w:val="009F7750"/>
    <w:rsid w:val="009F7A1E"/>
    <w:rsid w:val="00A00941"/>
    <w:rsid w:val="00A00967"/>
    <w:rsid w:val="00A01053"/>
    <w:rsid w:val="00A01205"/>
    <w:rsid w:val="00A0126E"/>
    <w:rsid w:val="00A0127C"/>
    <w:rsid w:val="00A01618"/>
    <w:rsid w:val="00A01768"/>
    <w:rsid w:val="00A018B0"/>
    <w:rsid w:val="00A02059"/>
    <w:rsid w:val="00A027BC"/>
    <w:rsid w:val="00A04107"/>
    <w:rsid w:val="00A05278"/>
    <w:rsid w:val="00A0602C"/>
    <w:rsid w:val="00A0633F"/>
    <w:rsid w:val="00A06490"/>
    <w:rsid w:val="00A0654B"/>
    <w:rsid w:val="00A06A18"/>
    <w:rsid w:val="00A06BDD"/>
    <w:rsid w:val="00A06C33"/>
    <w:rsid w:val="00A06CB7"/>
    <w:rsid w:val="00A103E8"/>
    <w:rsid w:val="00A10FB2"/>
    <w:rsid w:val="00A12340"/>
    <w:rsid w:val="00A125CA"/>
    <w:rsid w:val="00A13873"/>
    <w:rsid w:val="00A14554"/>
    <w:rsid w:val="00A14E57"/>
    <w:rsid w:val="00A15A57"/>
    <w:rsid w:val="00A16889"/>
    <w:rsid w:val="00A17D3D"/>
    <w:rsid w:val="00A17D9C"/>
    <w:rsid w:val="00A203C1"/>
    <w:rsid w:val="00A206EA"/>
    <w:rsid w:val="00A2091A"/>
    <w:rsid w:val="00A21C96"/>
    <w:rsid w:val="00A224A5"/>
    <w:rsid w:val="00A226D9"/>
    <w:rsid w:val="00A22A7A"/>
    <w:rsid w:val="00A2315A"/>
    <w:rsid w:val="00A231E0"/>
    <w:rsid w:val="00A2320A"/>
    <w:rsid w:val="00A2429A"/>
    <w:rsid w:val="00A263F6"/>
    <w:rsid w:val="00A2640A"/>
    <w:rsid w:val="00A26521"/>
    <w:rsid w:val="00A27913"/>
    <w:rsid w:val="00A27B27"/>
    <w:rsid w:val="00A3055B"/>
    <w:rsid w:val="00A3112C"/>
    <w:rsid w:val="00A3153D"/>
    <w:rsid w:val="00A319CE"/>
    <w:rsid w:val="00A31DFF"/>
    <w:rsid w:val="00A31F51"/>
    <w:rsid w:val="00A32296"/>
    <w:rsid w:val="00A325F1"/>
    <w:rsid w:val="00A33812"/>
    <w:rsid w:val="00A3479E"/>
    <w:rsid w:val="00A35D8F"/>
    <w:rsid w:val="00A35ED5"/>
    <w:rsid w:val="00A3672C"/>
    <w:rsid w:val="00A36A24"/>
    <w:rsid w:val="00A36B36"/>
    <w:rsid w:val="00A37CE1"/>
    <w:rsid w:val="00A37FFC"/>
    <w:rsid w:val="00A40227"/>
    <w:rsid w:val="00A40A18"/>
    <w:rsid w:val="00A410AE"/>
    <w:rsid w:val="00A410EF"/>
    <w:rsid w:val="00A41127"/>
    <w:rsid w:val="00A41341"/>
    <w:rsid w:val="00A41CF5"/>
    <w:rsid w:val="00A41E5D"/>
    <w:rsid w:val="00A4220F"/>
    <w:rsid w:val="00A4273F"/>
    <w:rsid w:val="00A42A68"/>
    <w:rsid w:val="00A42BBE"/>
    <w:rsid w:val="00A4326D"/>
    <w:rsid w:val="00A43789"/>
    <w:rsid w:val="00A4379F"/>
    <w:rsid w:val="00A43B86"/>
    <w:rsid w:val="00A447C4"/>
    <w:rsid w:val="00A45E7D"/>
    <w:rsid w:val="00A45ECB"/>
    <w:rsid w:val="00A46583"/>
    <w:rsid w:val="00A46AA9"/>
    <w:rsid w:val="00A46EE9"/>
    <w:rsid w:val="00A47E88"/>
    <w:rsid w:val="00A47F1C"/>
    <w:rsid w:val="00A50606"/>
    <w:rsid w:val="00A50AA4"/>
    <w:rsid w:val="00A51297"/>
    <w:rsid w:val="00A51528"/>
    <w:rsid w:val="00A5156E"/>
    <w:rsid w:val="00A5172D"/>
    <w:rsid w:val="00A52839"/>
    <w:rsid w:val="00A52DF8"/>
    <w:rsid w:val="00A53BF9"/>
    <w:rsid w:val="00A53CB7"/>
    <w:rsid w:val="00A5478D"/>
    <w:rsid w:val="00A54922"/>
    <w:rsid w:val="00A54DC8"/>
    <w:rsid w:val="00A562F4"/>
    <w:rsid w:val="00A566DA"/>
    <w:rsid w:val="00A5678D"/>
    <w:rsid w:val="00A569DC"/>
    <w:rsid w:val="00A57719"/>
    <w:rsid w:val="00A60BA2"/>
    <w:rsid w:val="00A61049"/>
    <w:rsid w:val="00A61A58"/>
    <w:rsid w:val="00A61BE3"/>
    <w:rsid w:val="00A625A2"/>
    <w:rsid w:val="00A62B51"/>
    <w:rsid w:val="00A62DE3"/>
    <w:rsid w:val="00A641CC"/>
    <w:rsid w:val="00A64D8A"/>
    <w:rsid w:val="00A64FF6"/>
    <w:rsid w:val="00A65BFC"/>
    <w:rsid w:val="00A671F1"/>
    <w:rsid w:val="00A67496"/>
    <w:rsid w:val="00A675B2"/>
    <w:rsid w:val="00A67672"/>
    <w:rsid w:val="00A67700"/>
    <w:rsid w:val="00A67AA8"/>
    <w:rsid w:val="00A7093E"/>
    <w:rsid w:val="00A70AB6"/>
    <w:rsid w:val="00A70BC3"/>
    <w:rsid w:val="00A70D70"/>
    <w:rsid w:val="00A71103"/>
    <w:rsid w:val="00A71947"/>
    <w:rsid w:val="00A71BCC"/>
    <w:rsid w:val="00A7210D"/>
    <w:rsid w:val="00A722FA"/>
    <w:rsid w:val="00A72584"/>
    <w:rsid w:val="00A72A1D"/>
    <w:rsid w:val="00A72A61"/>
    <w:rsid w:val="00A72F86"/>
    <w:rsid w:val="00A72FEF"/>
    <w:rsid w:val="00A730C7"/>
    <w:rsid w:val="00A743D9"/>
    <w:rsid w:val="00A74690"/>
    <w:rsid w:val="00A7518B"/>
    <w:rsid w:val="00A75BF3"/>
    <w:rsid w:val="00A75CC8"/>
    <w:rsid w:val="00A76C55"/>
    <w:rsid w:val="00A76CE6"/>
    <w:rsid w:val="00A801AC"/>
    <w:rsid w:val="00A811E3"/>
    <w:rsid w:val="00A812B9"/>
    <w:rsid w:val="00A814DF"/>
    <w:rsid w:val="00A82473"/>
    <w:rsid w:val="00A83021"/>
    <w:rsid w:val="00A832FF"/>
    <w:rsid w:val="00A845F5"/>
    <w:rsid w:val="00A84DCA"/>
    <w:rsid w:val="00A85602"/>
    <w:rsid w:val="00A85E3B"/>
    <w:rsid w:val="00A86C55"/>
    <w:rsid w:val="00A871B0"/>
    <w:rsid w:val="00A87991"/>
    <w:rsid w:val="00A90011"/>
    <w:rsid w:val="00A9001D"/>
    <w:rsid w:val="00A9008A"/>
    <w:rsid w:val="00A91A90"/>
    <w:rsid w:val="00A9209C"/>
    <w:rsid w:val="00A9291C"/>
    <w:rsid w:val="00A934A4"/>
    <w:rsid w:val="00A936A4"/>
    <w:rsid w:val="00A93C3F"/>
    <w:rsid w:val="00A93DB9"/>
    <w:rsid w:val="00A94219"/>
    <w:rsid w:val="00A94283"/>
    <w:rsid w:val="00A94CA7"/>
    <w:rsid w:val="00A94D69"/>
    <w:rsid w:val="00A94EFF"/>
    <w:rsid w:val="00A95421"/>
    <w:rsid w:val="00A95986"/>
    <w:rsid w:val="00A95DBA"/>
    <w:rsid w:val="00A95E48"/>
    <w:rsid w:val="00A968DA"/>
    <w:rsid w:val="00A97A82"/>
    <w:rsid w:val="00AA052D"/>
    <w:rsid w:val="00AA09DC"/>
    <w:rsid w:val="00AA0CB9"/>
    <w:rsid w:val="00AA0D7F"/>
    <w:rsid w:val="00AA16DD"/>
    <w:rsid w:val="00AA19DE"/>
    <w:rsid w:val="00AA23AD"/>
    <w:rsid w:val="00AA33EF"/>
    <w:rsid w:val="00AA399F"/>
    <w:rsid w:val="00AA3A58"/>
    <w:rsid w:val="00AA3FE0"/>
    <w:rsid w:val="00AA502C"/>
    <w:rsid w:val="00AA547E"/>
    <w:rsid w:val="00AA5B14"/>
    <w:rsid w:val="00AA6566"/>
    <w:rsid w:val="00AA6B31"/>
    <w:rsid w:val="00AA6B76"/>
    <w:rsid w:val="00AA7332"/>
    <w:rsid w:val="00AA7621"/>
    <w:rsid w:val="00AA7CA1"/>
    <w:rsid w:val="00AB0D58"/>
    <w:rsid w:val="00AB1E9E"/>
    <w:rsid w:val="00AB23AC"/>
    <w:rsid w:val="00AB23DC"/>
    <w:rsid w:val="00AB2AAF"/>
    <w:rsid w:val="00AB2F1B"/>
    <w:rsid w:val="00AB3AF7"/>
    <w:rsid w:val="00AB3E4E"/>
    <w:rsid w:val="00AB4649"/>
    <w:rsid w:val="00AB4AD9"/>
    <w:rsid w:val="00AB5D3F"/>
    <w:rsid w:val="00AB6D26"/>
    <w:rsid w:val="00AB7D01"/>
    <w:rsid w:val="00AC079B"/>
    <w:rsid w:val="00AC0A49"/>
    <w:rsid w:val="00AC1894"/>
    <w:rsid w:val="00AC1B1F"/>
    <w:rsid w:val="00AC1B87"/>
    <w:rsid w:val="00AC2AA3"/>
    <w:rsid w:val="00AC2D6C"/>
    <w:rsid w:val="00AC2D82"/>
    <w:rsid w:val="00AC3541"/>
    <w:rsid w:val="00AC3B8A"/>
    <w:rsid w:val="00AC4005"/>
    <w:rsid w:val="00AC413E"/>
    <w:rsid w:val="00AC460F"/>
    <w:rsid w:val="00AC4B98"/>
    <w:rsid w:val="00AC5557"/>
    <w:rsid w:val="00AC5613"/>
    <w:rsid w:val="00AC60C2"/>
    <w:rsid w:val="00AC6C1C"/>
    <w:rsid w:val="00AC7442"/>
    <w:rsid w:val="00AC7E2C"/>
    <w:rsid w:val="00AD0147"/>
    <w:rsid w:val="00AD03BB"/>
    <w:rsid w:val="00AD0433"/>
    <w:rsid w:val="00AD1482"/>
    <w:rsid w:val="00AD150F"/>
    <w:rsid w:val="00AD1EC8"/>
    <w:rsid w:val="00AD22DC"/>
    <w:rsid w:val="00AD264F"/>
    <w:rsid w:val="00AD2673"/>
    <w:rsid w:val="00AD2B2E"/>
    <w:rsid w:val="00AD307E"/>
    <w:rsid w:val="00AD30F4"/>
    <w:rsid w:val="00AD35F3"/>
    <w:rsid w:val="00AD4AA5"/>
    <w:rsid w:val="00AD6048"/>
    <w:rsid w:val="00AD6725"/>
    <w:rsid w:val="00AD68A0"/>
    <w:rsid w:val="00AD6F4F"/>
    <w:rsid w:val="00AD785D"/>
    <w:rsid w:val="00AD7BD4"/>
    <w:rsid w:val="00AE1015"/>
    <w:rsid w:val="00AE1D12"/>
    <w:rsid w:val="00AE1EE3"/>
    <w:rsid w:val="00AE202A"/>
    <w:rsid w:val="00AE203A"/>
    <w:rsid w:val="00AE24C9"/>
    <w:rsid w:val="00AE2AD3"/>
    <w:rsid w:val="00AE3343"/>
    <w:rsid w:val="00AE35F4"/>
    <w:rsid w:val="00AE3ABA"/>
    <w:rsid w:val="00AE3AE2"/>
    <w:rsid w:val="00AE3F15"/>
    <w:rsid w:val="00AE3F61"/>
    <w:rsid w:val="00AE4DB1"/>
    <w:rsid w:val="00AE5B61"/>
    <w:rsid w:val="00AE65AB"/>
    <w:rsid w:val="00AF06D6"/>
    <w:rsid w:val="00AF0B67"/>
    <w:rsid w:val="00AF12D8"/>
    <w:rsid w:val="00AF1473"/>
    <w:rsid w:val="00AF3019"/>
    <w:rsid w:val="00AF3110"/>
    <w:rsid w:val="00AF4CA7"/>
    <w:rsid w:val="00AF5961"/>
    <w:rsid w:val="00AF59A1"/>
    <w:rsid w:val="00AF5C07"/>
    <w:rsid w:val="00AF6E8C"/>
    <w:rsid w:val="00AF6EEB"/>
    <w:rsid w:val="00AF7026"/>
    <w:rsid w:val="00AF71E9"/>
    <w:rsid w:val="00B00129"/>
    <w:rsid w:val="00B005BF"/>
    <w:rsid w:val="00B010B3"/>
    <w:rsid w:val="00B01C11"/>
    <w:rsid w:val="00B02486"/>
    <w:rsid w:val="00B0276D"/>
    <w:rsid w:val="00B02DC7"/>
    <w:rsid w:val="00B03A45"/>
    <w:rsid w:val="00B04321"/>
    <w:rsid w:val="00B0490D"/>
    <w:rsid w:val="00B04A02"/>
    <w:rsid w:val="00B04AB0"/>
    <w:rsid w:val="00B04E72"/>
    <w:rsid w:val="00B0544A"/>
    <w:rsid w:val="00B0595B"/>
    <w:rsid w:val="00B06002"/>
    <w:rsid w:val="00B061E1"/>
    <w:rsid w:val="00B064FE"/>
    <w:rsid w:val="00B069A7"/>
    <w:rsid w:val="00B06FB5"/>
    <w:rsid w:val="00B074BF"/>
    <w:rsid w:val="00B079FD"/>
    <w:rsid w:val="00B10148"/>
    <w:rsid w:val="00B1033D"/>
    <w:rsid w:val="00B10FD2"/>
    <w:rsid w:val="00B12D5D"/>
    <w:rsid w:val="00B14427"/>
    <w:rsid w:val="00B15781"/>
    <w:rsid w:val="00B15864"/>
    <w:rsid w:val="00B16768"/>
    <w:rsid w:val="00B16B4C"/>
    <w:rsid w:val="00B17029"/>
    <w:rsid w:val="00B17D81"/>
    <w:rsid w:val="00B20CCC"/>
    <w:rsid w:val="00B21C7B"/>
    <w:rsid w:val="00B22385"/>
    <w:rsid w:val="00B237A7"/>
    <w:rsid w:val="00B23D6E"/>
    <w:rsid w:val="00B2422F"/>
    <w:rsid w:val="00B24DA5"/>
    <w:rsid w:val="00B25561"/>
    <w:rsid w:val="00B25A65"/>
    <w:rsid w:val="00B25C9D"/>
    <w:rsid w:val="00B260E1"/>
    <w:rsid w:val="00B26471"/>
    <w:rsid w:val="00B264DB"/>
    <w:rsid w:val="00B268E8"/>
    <w:rsid w:val="00B26A01"/>
    <w:rsid w:val="00B27828"/>
    <w:rsid w:val="00B30A3E"/>
    <w:rsid w:val="00B31090"/>
    <w:rsid w:val="00B310BF"/>
    <w:rsid w:val="00B311B1"/>
    <w:rsid w:val="00B313AE"/>
    <w:rsid w:val="00B31EA9"/>
    <w:rsid w:val="00B32864"/>
    <w:rsid w:val="00B3297F"/>
    <w:rsid w:val="00B3371F"/>
    <w:rsid w:val="00B34704"/>
    <w:rsid w:val="00B34938"/>
    <w:rsid w:val="00B34B16"/>
    <w:rsid w:val="00B35302"/>
    <w:rsid w:val="00B35741"/>
    <w:rsid w:val="00B35D1D"/>
    <w:rsid w:val="00B35FAC"/>
    <w:rsid w:val="00B36403"/>
    <w:rsid w:val="00B36C72"/>
    <w:rsid w:val="00B36DC4"/>
    <w:rsid w:val="00B37C35"/>
    <w:rsid w:val="00B37F17"/>
    <w:rsid w:val="00B40783"/>
    <w:rsid w:val="00B4195B"/>
    <w:rsid w:val="00B4343C"/>
    <w:rsid w:val="00B437F8"/>
    <w:rsid w:val="00B45A33"/>
    <w:rsid w:val="00B45FA3"/>
    <w:rsid w:val="00B47C05"/>
    <w:rsid w:val="00B502F6"/>
    <w:rsid w:val="00B510E3"/>
    <w:rsid w:val="00B5269B"/>
    <w:rsid w:val="00B527BE"/>
    <w:rsid w:val="00B52FF0"/>
    <w:rsid w:val="00B53700"/>
    <w:rsid w:val="00B5417F"/>
    <w:rsid w:val="00B54654"/>
    <w:rsid w:val="00B551B2"/>
    <w:rsid w:val="00B5568B"/>
    <w:rsid w:val="00B55D88"/>
    <w:rsid w:val="00B563F0"/>
    <w:rsid w:val="00B56482"/>
    <w:rsid w:val="00B56559"/>
    <w:rsid w:val="00B56D60"/>
    <w:rsid w:val="00B571DD"/>
    <w:rsid w:val="00B575C0"/>
    <w:rsid w:val="00B57E08"/>
    <w:rsid w:val="00B608B2"/>
    <w:rsid w:val="00B61012"/>
    <w:rsid w:val="00B62826"/>
    <w:rsid w:val="00B62B9A"/>
    <w:rsid w:val="00B63A16"/>
    <w:rsid w:val="00B63C08"/>
    <w:rsid w:val="00B65848"/>
    <w:rsid w:val="00B65FB7"/>
    <w:rsid w:val="00B6602D"/>
    <w:rsid w:val="00B666A5"/>
    <w:rsid w:val="00B70085"/>
    <w:rsid w:val="00B708FC"/>
    <w:rsid w:val="00B70ABD"/>
    <w:rsid w:val="00B70F80"/>
    <w:rsid w:val="00B711D6"/>
    <w:rsid w:val="00B7239E"/>
    <w:rsid w:val="00B731FF"/>
    <w:rsid w:val="00B7328C"/>
    <w:rsid w:val="00B7337A"/>
    <w:rsid w:val="00B73DD2"/>
    <w:rsid w:val="00B7436D"/>
    <w:rsid w:val="00B74580"/>
    <w:rsid w:val="00B75486"/>
    <w:rsid w:val="00B75A70"/>
    <w:rsid w:val="00B76DDC"/>
    <w:rsid w:val="00B7721D"/>
    <w:rsid w:val="00B774CB"/>
    <w:rsid w:val="00B77D53"/>
    <w:rsid w:val="00B77F2E"/>
    <w:rsid w:val="00B80AFD"/>
    <w:rsid w:val="00B82211"/>
    <w:rsid w:val="00B82FB9"/>
    <w:rsid w:val="00B8332C"/>
    <w:rsid w:val="00B83610"/>
    <w:rsid w:val="00B83C35"/>
    <w:rsid w:val="00B84223"/>
    <w:rsid w:val="00B84615"/>
    <w:rsid w:val="00B84B51"/>
    <w:rsid w:val="00B84F35"/>
    <w:rsid w:val="00B84F99"/>
    <w:rsid w:val="00B8519C"/>
    <w:rsid w:val="00B8776B"/>
    <w:rsid w:val="00B9028E"/>
    <w:rsid w:val="00B906F0"/>
    <w:rsid w:val="00B9071E"/>
    <w:rsid w:val="00B90FEC"/>
    <w:rsid w:val="00B91080"/>
    <w:rsid w:val="00B915EF"/>
    <w:rsid w:val="00B91A6E"/>
    <w:rsid w:val="00B9234C"/>
    <w:rsid w:val="00B92F18"/>
    <w:rsid w:val="00B93080"/>
    <w:rsid w:val="00B93607"/>
    <w:rsid w:val="00B936E3"/>
    <w:rsid w:val="00B95148"/>
    <w:rsid w:val="00B9533D"/>
    <w:rsid w:val="00B96F0D"/>
    <w:rsid w:val="00B974FF"/>
    <w:rsid w:val="00BA00C2"/>
    <w:rsid w:val="00BA0C65"/>
    <w:rsid w:val="00BA1238"/>
    <w:rsid w:val="00BA1E0A"/>
    <w:rsid w:val="00BA1EA5"/>
    <w:rsid w:val="00BA2A34"/>
    <w:rsid w:val="00BA2DCC"/>
    <w:rsid w:val="00BA2E68"/>
    <w:rsid w:val="00BA2F68"/>
    <w:rsid w:val="00BA3106"/>
    <w:rsid w:val="00BA37FE"/>
    <w:rsid w:val="00BA3C27"/>
    <w:rsid w:val="00BA4310"/>
    <w:rsid w:val="00BA4544"/>
    <w:rsid w:val="00BA60DC"/>
    <w:rsid w:val="00BA6658"/>
    <w:rsid w:val="00BA671E"/>
    <w:rsid w:val="00BA6F5F"/>
    <w:rsid w:val="00BA78D4"/>
    <w:rsid w:val="00BA790B"/>
    <w:rsid w:val="00BA7AD3"/>
    <w:rsid w:val="00BB023C"/>
    <w:rsid w:val="00BB03E7"/>
    <w:rsid w:val="00BB0593"/>
    <w:rsid w:val="00BB0BB6"/>
    <w:rsid w:val="00BB0C62"/>
    <w:rsid w:val="00BB0FCE"/>
    <w:rsid w:val="00BB10DF"/>
    <w:rsid w:val="00BB1D29"/>
    <w:rsid w:val="00BB33DE"/>
    <w:rsid w:val="00BB3E5F"/>
    <w:rsid w:val="00BB46CF"/>
    <w:rsid w:val="00BB472E"/>
    <w:rsid w:val="00BB4B38"/>
    <w:rsid w:val="00BB4C89"/>
    <w:rsid w:val="00BB5100"/>
    <w:rsid w:val="00BB51A4"/>
    <w:rsid w:val="00BB554C"/>
    <w:rsid w:val="00BB5A17"/>
    <w:rsid w:val="00BB634D"/>
    <w:rsid w:val="00BB6A69"/>
    <w:rsid w:val="00BB76AE"/>
    <w:rsid w:val="00BC0527"/>
    <w:rsid w:val="00BC058E"/>
    <w:rsid w:val="00BC098D"/>
    <w:rsid w:val="00BC16E8"/>
    <w:rsid w:val="00BC19D7"/>
    <w:rsid w:val="00BC1BB3"/>
    <w:rsid w:val="00BC1BCF"/>
    <w:rsid w:val="00BC28B2"/>
    <w:rsid w:val="00BC2DD2"/>
    <w:rsid w:val="00BC2EB0"/>
    <w:rsid w:val="00BC4A26"/>
    <w:rsid w:val="00BC6028"/>
    <w:rsid w:val="00BC665A"/>
    <w:rsid w:val="00BC7200"/>
    <w:rsid w:val="00BD083D"/>
    <w:rsid w:val="00BD13B8"/>
    <w:rsid w:val="00BD1680"/>
    <w:rsid w:val="00BD16C3"/>
    <w:rsid w:val="00BD2258"/>
    <w:rsid w:val="00BD27C6"/>
    <w:rsid w:val="00BD2EF6"/>
    <w:rsid w:val="00BD31CB"/>
    <w:rsid w:val="00BD365D"/>
    <w:rsid w:val="00BD54E9"/>
    <w:rsid w:val="00BD69E6"/>
    <w:rsid w:val="00BD6B56"/>
    <w:rsid w:val="00BD7630"/>
    <w:rsid w:val="00BD7815"/>
    <w:rsid w:val="00BE0143"/>
    <w:rsid w:val="00BE15B1"/>
    <w:rsid w:val="00BE184A"/>
    <w:rsid w:val="00BE2E0A"/>
    <w:rsid w:val="00BE3B35"/>
    <w:rsid w:val="00BE3BBA"/>
    <w:rsid w:val="00BE3C7A"/>
    <w:rsid w:val="00BE4421"/>
    <w:rsid w:val="00BE507D"/>
    <w:rsid w:val="00BE54F4"/>
    <w:rsid w:val="00BE59BB"/>
    <w:rsid w:val="00BE5A5D"/>
    <w:rsid w:val="00BE61A8"/>
    <w:rsid w:val="00BE69D6"/>
    <w:rsid w:val="00BE6FCB"/>
    <w:rsid w:val="00BE7149"/>
    <w:rsid w:val="00BE7A06"/>
    <w:rsid w:val="00BF079D"/>
    <w:rsid w:val="00BF0BDB"/>
    <w:rsid w:val="00BF0E93"/>
    <w:rsid w:val="00BF20C2"/>
    <w:rsid w:val="00BF2977"/>
    <w:rsid w:val="00BF2C5D"/>
    <w:rsid w:val="00BF2EC4"/>
    <w:rsid w:val="00BF3854"/>
    <w:rsid w:val="00BF3DF7"/>
    <w:rsid w:val="00BF4732"/>
    <w:rsid w:val="00BF4757"/>
    <w:rsid w:val="00BF4DBF"/>
    <w:rsid w:val="00BF6123"/>
    <w:rsid w:val="00BF6171"/>
    <w:rsid w:val="00BF63FA"/>
    <w:rsid w:val="00BF6DF8"/>
    <w:rsid w:val="00BF7DCD"/>
    <w:rsid w:val="00C01943"/>
    <w:rsid w:val="00C019ED"/>
    <w:rsid w:val="00C02906"/>
    <w:rsid w:val="00C02919"/>
    <w:rsid w:val="00C0386B"/>
    <w:rsid w:val="00C042EC"/>
    <w:rsid w:val="00C04E8A"/>
    <w:rsid w:val="00C0699B"/>
    <w:rsid w:val="00C06A79"/>
    <w:rsid w:val="00C10512"/>
    <w:rsid w:val="00C105FD"/>
    <w:rsid w:val="00C10ED7"/>
    <w:rsid w:val="00C11E1D"/>
    <w:rsid w:val="00C11EA1"/>
    <w:rsid w:val="00C123D4"/>
    <w:rsid w:val="00C1308B"/>
    <w:rsid w:val="00C144EA"/>
    <w:rsid w:val="00C14B5B"/>
    <w:rsid w:val="00C15852"/>
    <w:rsid w:val="00C163D7"/>
    <w:rsid w:val="00C16749"/>
    <w:rsid w:val="00C1781D"/>
    <w:rsid w:val="00C17D5A"/>
    <w:rsid w:val="00C21AD1"/>
    <w:rsid w:val="00C22A3D"/>
    <w:rsid w:val="00C237FD"/>
    <w:rsid w:val="00C23ED1"/>
    <w:rsid w:val="00C24005"/>
    <w:rsid w:val="00C24A66"/>
    <w:rsid w:val="00C24B69"/>
    <w:rsid w:val="00C24CDA"/>
    <w:rsid w:val="00C251F7"/>
    <w:rsid w:val="00C27E6A"/>
    <w:rsid w:val="00C30EBF"/>
    <w:rsid w:val="00C3137A"/>
    <w:rsid w:val="00C31CB5"/>
    <w:rsid w:val="00C31E24"/>
    <w:rsid w:val="00C31E30"/>
    <w:rsid w:val="00C32E2A"/>
    <w:rsid w:val="00C3372F"/>
    <w:rsid w:val="00C34B6F"/>
    <w:rsid w:val="00C3530B"/>
    <w:rsid w:val="00C353FD"/>
    <w:rsid w:val="00C360AB"/>
    <w:rsid w:val="00C36319"/>
    <w:rsid w:val="00C36488"/>
    <w:rsid w:val="00C367DE"/>
    <w:rsid w:val="00C36B2B"/>
    <w:rsid w:val="00C3720E"/>
    <w:rsid w:val="00C372D9"/>
    <w:rsid w:val="00C3769A"/>
    <w:rsid w:val="00C378F6"/>
    <w:rsid w:val="00C4079A"/>
    <w:rsid w:val="00C40867"/>
    <w:rsid w:val="00C41585"/>
    <w:rsid w:val="00C41CE6"/>
    <w:rsid w:val="00C42C95"/>
    <w:rsid w:val="00C456F0"/>
    <w:rsid w:val="00C45C58"/>
    <w:rsid w:val="00C45E38"/>
    <w:rsid w:val="00C4626A"/>
    <w:rsid w:val="00C462BA"/>
    <w:rsid w:val="00C4735D"/>
    <w:rsid w:val="00C477B5"/>
    <w:rsid w:val="00C47E5F"/>
    <w:rsid w:val="00C47F41"/>
    <w:rsid w:val="00C47FB5"/>
    <w:rsid w:val="00C52930"/>
    <w:rsid w:val="00C52E3D"/>
    <w:rsid w:val="00C53D12"/>
    <w:rsid w:val="00C5407E"/>
    <w:rsid w:val="00C544F2"/>
    <w:rsid w:val="00C54D03"/>
    <w:rsid w:val="00C55613"/>
    <w:rsid w:val="00C55CE3"/>
    <w:rsid w:val="00C55F13"/>
    <w:rsid w:val="00C607BF"/>
    <w:rsid w:val="00C60E3F"/>
    <w:rsid w:val="00C61264"/>
    <w:rsid w:val="00C61917"/>
    <w:rsid w:val="00C61B56"/>
    <w:rsid w:val="00C61BEB"/>
    <w:rsid w:val="00C61EBD"/>
    <w:rsid w:val="00C6443E"/>
    <w:rsid w:val="00C650E1"/>
    <w:rsid w:val="00C6554F"/>
    <w:rsid w:val="00C6565D"/>
    <w:rsid w:val="00C65AEC"/>
    <w:rsid w:val="00C66AC9"/>
    <w:rsid w:val="00C66C60"/>
    <w:rsid w:val="00C67763"/>
    <w:rsid w:val="00C67959"/>
    <w:rsid w:val="00C67A56"/>
    <w:rsid w:val="00C67FFA"/>
    <w:rsid w:val="00C70788"/>
    <w:rsid w:val="00C71707"/>
    <w:rsid w:val="00C72277"/>
    <w:rsid w:val="00C72BD3"/>
    <w:rsid w:val="00C72E86"/>
    <w:rsid w:val="00C7358B"/>
    <w:rsid w:val="00C736A2"/>
    <w:rsid w:val="00C73AC7"/>
    <w:rsid w:val="00C73C61"/>
    <w:rsid w:val="00C74189"/>
    <w:rsid w:val="00C7472A"/>
    <w:rsid w:val="00C74A9C"/>
    <w:rsid w:val="00C76500"/>
    <w:rsid w:val="00C76691"/>
    <w:rsid w:val="00C7718B"/>
    <w:rsid w:val="00C77C64"/>
    <w:rsid w:val="00C80868"/>
    <w:rsid w:val="00C80D37"/>
    <w:rsid w:val="00C8130D"/>
    <w:rsid w:val="00C81652"/>
    <w:rsid w:val="00C819A9"/>
    <w:rsid w:val="00C81EC1"/>
    <w:rsid w:val="00C81FBA"/>
    <w:rsid w:val="00C8234C"/>
    <w:rsid w:val="00C83E51"/>
    <w:rsid w:val="00C848ED"/>
    <w:rsid w:val="00C84907"/>
    <w:rsid w:val="00C85622"/>
    <w:rsid w:val="00C85624"/>
    <w:rsid w:val="00C85799"/>
    <w:rsid w:val="00C867F7"/>
    <w:rsid w:val="00C8749E"/>
    <w:rsid w:val="00C8773B"/>
    <w:rsid w:val="00C87914"/>
    <w:rsid w:val="00C87B6B"/>
    <w:rsid w:val="00C902F5"/>
    <w:rsid w:val="00C90486"/>
    <w:rsid w:val="00C90A50"/>
    <w:rsid w:val="00C91029"/>
    <w:rsid w:val="00C91379"/>
    <w:rsid w:val="00C914EF"/>
    <w:rsid w:val="00C91960"/>
    <w:rsid w:val="00C91A78"/>
    <w:rsid w:val="00C91D05"/>
    <w:rsid w:val="00C9293C"/>
    <w:rsid w:val="00C94411"/>
    <w:rsid w:val="00C94440"/>
    <w:rsid w:val="00C944B8"/>
    <w:rsid w:val="00C95057"/>
    <w:rsid w:val="00C962A7"/>
    <w:rsid w:val="00C963BE"/>
    <w:rsid w:val="00C966F2"/>
    <w:rsid w:val="00C96B48"/>
    <w:rsid w:val="00C96EDC"/>
    <w:rsid w:val="00C97721"/>
    <w:rsid w:val="00C97B51"/>
    <w:rsid w:val="00CA06BE"/>
    <w:rsid w:val="00CA0A9A"/>
    <w:rsid w:val="00CA0CA8"/>
    <w:rsid w:val="00CA0F4A"/>
    <w:rsid w:val="00CA12C6"/>
    <w:rsid w:val="00CA16B9"/>
    <w:rsid w:val="00CA1C60"/>
    <w:rsid w:val="00CA1EDC"/>
    <w:rsid w:val="00CA2D7B"/>
    <w:rsid w:val="00CA2DCA"/>
    <w:rsid w:val="00CA3591"/>
    <w:rsid w:val="00CA36F5"/>
    <w:rsid w:val="00CA3800"/>
    <w:rsid w:val="00CA3986"/>
    <w:rsid w:val="00CA430A"/>
    <w:rsid w:val="00CA4718"/>
    <w:rsid w:val="00CA47D8"/>
    <w:rsid w:val="00CA57EE"/>
    <w:rsid w:val="00CA69EB"/>
    <w:rsid w:val="00CA7341"/>
    <w:rsid w:val="00CA7BF5"/>
    <w:rsid w:val="00CA7FBB"/>
    <w:rsid w:val="00CB0356"/>
    <w:rsid w:val="00CB039D"/>
    <w:rsid w:val="00CB0FA7"/>
    <w:rsid w:val="00CB1176"/>
    <w:rsid w:val="00CB1F9F"/>
    <w:rsid w:val="00CB248B"/>
    <w:rsid w:val="00CB2A7E"/>
    <w:rsid w:val="00CB31F6"/>
    <w:rsid w:val="00CB3480"/>
    <w:rsid w:val="00CB4309"/>
    <w:rsid w:val="00CB4833"/>
    <w:rsid w:val="00CB510C"/>
    <w:rsid w:val="00CB51DF"/>
    <w:rsid w:val="00CB6AD9"/>
    <w:rsid w:val="00CB7072"/>
    <w:rsid w:val="00CB74F0"/>
    <w:rsid w:val="00CB7644"/>
    <w:rsid w:val="00CB79CE"/>
    <w:rsid w:val="00CC092C"/>
    <w:rsid w:val="00CC1498"/>
    <w:rsid w:val="00CC1513"/>
    <w:rsid w:val="00CC1627"/>
    <w:rsid w:val="00CC17EF"/>
    <w:rsid w:val="00CC1A7E"/>
    <w:rsid w:val="00CC2228"/>
    <w:rsid w:val="00CC25DC"/>
    <w:rsid w:val="00CC2622"/>
    <w:rsid w:val="00CC26D9"/>
    <w:rsid w:val="00CC2BAD"/>
    <w:rsid w:val="00CC3787"/>
    <w:rsid w:val="00CC38DC"/>
    <w:rsid w:val="00CC3AF7"/>
    <w:rsid w:val="00CC4078"/>
    <w:rsid w:val="00CC52E2"/>
    <w:rsid w:val="00CC5438"/>
    <w:rsid w:val="00CC57B0"/>
    <w:rsid w:val="00CC664B"/>
    <w:rsid w:val="00CC7257"/>
    <w:rsid w:val="00CC75F1"/>
    <w:rsid w:val="00CC7DD0"/>
    <w:rsid w:val="00CD00E8"/>
    <w:rsid w:val="00CD0C74"/>
    <w:rsid w:val="00CD10A8"/>
    <w:rsid w:val="00CD10DA"/>
    <w:rsid w:val="00CD1EE5"/>
    <w:rsid w:val="00CD20DF"/>
    <w:rsid w:val="00CD2271"/>
    <w:rsid w:val="00CD299A"/>
    <w:rsid w:val="00CD2A47"/>
    <w:rsid w:val="00CD32E5"/>
    <w:rsid w:val="00CD38AD"/>
    <w:rsid w:val="00CD3F04"/>
    <w:rsid w:val="00CD41DC"/>
    <w:rsid w:val="00CD4A7D"/>
    <w:rsid w:val="00CD62A9"/>
    <w:rsid w:val="00CD69ED"/>
    <w:rsid w:val="00CD6D4E"/>
    <w:rsid w:val="00CE009D"/>
    <w:rsid w:val="00CE06CF"/>
    <w:rsid w:val="00CE07AB"/>
    <w:rsid w:val="00CE1672"/>
    <w:rsid w:val="00CE18A9"/>
    <w:rsid w:val="00CE28DC"/>
    <w:rsid w:val="00CE2907"/>
    <w:rsid w:val="00CE292D"/>
    <w:rsid w:val="00CE2C65"/>
    <w:rsid w:val="00CE354B"/>
    <w:rsid w:val="00CE3577"/>
    <w:rsid w:val="00CE38D1"/>
    <w:rsid w:val="00CE39A1"/>
    <w:rsid w:val="00CE3C1C"/>
    <w:rsid w:val="00CE4968"/>
    <w:rsid w:val="00CE5ADC"/>
    <w:rsid w:val="00CE5E84"/>
    <w:rsid w:val="00CE65F7"/>
    <w:rsid w:val="00CE76A8"/>
    <w:rsid w:val="00CE7BD3"/>
    <w:rsid w:val="00CE7F08"/>
    <w:rsid w:val="00CF0400"/>
    <w:rsid w:val="00CF0748"/>
    <w:rsid w:val="00CF076F"/>
    <w:rsid w:val="00CF14FA"/>
    <w:rsid w:val="00CF1A11"/>
    <w:rsid w:val="00CF1CE8"/>
    <w:rsid w:val="00CF1DB3"/>
    <w:rsid w:val="00CF2816"/>
    <w:rsid w:val="00CF2A48"/>
    <w:rsid w:val="00CF36CC"/>
    <w:rsid w:val="00CF3AD1"/>
    <w:rsid w:val="00CF4519"/>
    <w:rsid w:val="00CF45B4"/>
    <w:rsid w:val="00CF4874"/>
    <w:rsid w:val="00CF4C4B"/>
    <w:rsid w:val="00CF4C50"/>
    <w:rsid w:val="00CF57F4"/>
    <w:rsid w:val="00CF5DA8"/>
    <w:rsid w:val="00CF60DA"/>
    <w:rsid w:val="00CF6186"/>
    <w:rsid w:val="00CF6565"/>
    <w:rsid w:val="00CF709B"/>
    <w:rsid w:val="00D011AD"/>
    <w:rsid w:val="00D01562"/>
    <w:rsid w:val="00D021C4"/>
    <w:rsid w:val="00D02E99"/>
    <w:rsid w:val="00D039C9"/>
    <w:rsid w:val="00D03D89"/>
    <w:rsid w:val="00D03F9D"/>
    <w:rsid w:val="00D05B06"/>
    <w:rsid w:val="00D05C44"/>
    <w:rsid w:val="00D072BE"/>
    <w:rsid w:val="00D07E8D"/>
    <w:rsid w:val="00D10094"/>
    <w:rsid w:val="00D1024E"/>
    <w:rsid w:val="00D103CD"/>
    <w:rsid w:val="00D104C2"/>
    <w:rsid w:val="00D10643"/>
    <w:rsid w:val="00D11715"/>
    <w:rsid w:val="00D11E45"/>
    <w:rsid w:val="00D11EF3"/>
    <w:rsid w:val="00D12235"/>
    <w:rsid w:val="00D122AD"/>
    <w:rsid w:val="00D123C8"/>
    <w:rsid w:val="00D1281C"/>
    <w:rsid w:val="00D136E7"/>
    <w:rsid w:val="00D14512"/>
    <w:rsid w:val="00D14C54"/>
    <w:rsid w:val="00D14CA4"/>
    <w:rsid w:val="00D14D4F"/>
    <w:rsid w:val="00D15162"/>
    <w:rsid w:val="00D1581B"/>
    <w:rsid w:val="00D16906"/>
    <w:rsid w:val="00D169EC"/>
    <w:rsid w:val="00D16C69"/>
    <w:rsid w:val="00D16D2A"/>
    <w:rsid w:val="00D17959"/>
    <w:rsid w:val="00D17A14"/>
    <w:rsid w:val="00D2089C"/>
    <w:rsid w:val="00D2127C"/>
    <w:rsid w:val="00D212BA"/>
    <w:rsid w:val="00D220D2"/>
    <w:rsid w:val="00D2325C"/>
    <w:rsid w:val="00D233F2"/>
    <w:rsid w:val="00D244AF"/>
    <w:rsid w:val="00D24A07"/>
    <w:rsid w:val="00D24A24"/>
    <w:rsid w:val="00D25956"/>
    <w:rsid w:val="00D26369"/>
    <w:rsid w:val="00D2639A"/>
    <w:rsid w:val="00D26B10"/>
    <w:rsid w:val="00D26D62"/>
    <w:rsid w:val="00D2727E"/>
    <w:rsid w:val="00D272F0"/>
    <w:rsid w:val="00D27AD2"/>
    <w:rsid w:val="00D305B0"/>
    <w:rsid w:val="00D30AF5"/>
    <w:rsid w:val="00D30CDA"/>
    <w:rsid w:val="00D31874"/>
    <w:rsid w:val="00D328A0"/>
    <w:rsid w:val="00D336F8"/>
    <w:rsid w:val="00D33BB9"/>
    <w:rsid w:val="00D33FD7"/>
    <w:rsid w:val="00D34397"/>
    <w:rsid w:val="00D35B6B"/>
    <w:rsid w:val="00D35BBC"/>
    <w:rsid w:val="00D3652E"/>
    <w:rsid w:val="00D3664C"/>
    <w:rsid w:val="00D37153"/>
    <w:rsid w:val="00D37405"/>
    <w:rsid w:val="00D3772B"/>
    <w:rsid w:val="00D37B89"/>
    <w:rsid w:val="00D40FE5"/>
    <w:rsid w:val="00D41C8B"/>
    <w:rsid w:val="00D42856"/>
    <w:rsid w:val="00D42AD9"/>
    <w:rsid w:val="00D42DC7"/>
    <w:rsid w:val="00D4301A"/>
    <w:rsid w:val="00D435D9"/>
    <w:rsid w:val="00D438C1"/>
    <w:rsid w:val="00D43929"/>
    <w:rsid w:val="00D440DE"/>
    <w:rsid w:val="00D443FA"/>
    <w:rsid w:val="00D443FC"/>
    <w:rsid w:val="00D46348"/>
    <w:rsid w:val="00D468A8"/>
    <w:rsid w:val="00D47000"/>
    <w:rsid w:val="00D504B7"/>
    <w:rsid w:val="00D51E30"/>
    <w:rsid w:val="00D51EB0"/>
    <w:rsid w:val="00D52773"/>
    <w:rsid w:val="00D56A11"/>
    <w:rsid w:val="00D5715E"/>
    <w:rsid w:val="00D611B6"/>
    <w:rsid w:val="00D6150D"/>
    <w:rsid w:val="00D62B10"/>
    <w:rsid w:val="00D62CD9"/>
    <w:rsid w:val="00D62EFF"/>
    <w:rsid w:val="00D63652"/>
    <w:rsid w:val="00D6448E"/>
    <w:rsid w:val="00D64C56"/>
    <w:rsid w:val="00D64C8B"/>
    <w:rsid w:val="00D6528F"/>
    <w:rsid w:val="00D65808"/>
    <w:rsid w:val="00D65AF6"/>
    <w:rsid w:val="00D65B07"/>
    <w:rsid w:val="00D661F5"/>
    <w:rsid w:val="00D66537"/>
    <w:rsid w:val="00D66CF8"/>
    <w:rsid w:val="00D67026"/>
    <w:rsid w:val="00D674C2"/>
    <w:rsid w:val="00D704A4"/>
    <w:rsid w:val="00D71366"/>
    <w:rsid w:val="00D713A9"/>
    <w:rsid w:val="00D7401E"/>
    <w:rsid w:val="00D749DB"/>
    <w:rsid w:val="00D7652F"/>
    <w:rsid w:val="00D77F9C"/>
    <w:rsid w:val="00D800AD"/>
    <w:rsid w:val="00D81198"/>
    <w:rsid w:val="00D81E90"/>
    <w:rsid w:val="00D82172"/>
    <w:rsid w:val="00D82533"/>
    <w:rsid w:val="00D825B3"/>
    <w:rsid w:val="00D828B5"/>
    <w:rsid w:val="00D82D8E"/>
    <w:rsid w:val="00D83089"/>
    <w:rsid w:val="00D834FE"/>
    <w:rsid w:val="00D83C4D"/>
    <w:rsid w:val="00D83E85"/>
    <w:rsid w:val="00D84240"/>
    <w:rsid w:val="00D8441F"/>
    <w:rsid w:val="00D851E1"/>
    <w:rsid w:val="00D852CE"/>
    <w:rsid w:val="00D85338"/>
    <w:rsid w:val="00D85593"/>
    <w:rsid w:val="00D85730"/>
    <w:rsid w:val="00D85C28"/>
    <w:rsid w:val="00D86365"/>
    <w:rsid w:val="00D86601"/>
    <w:rsid w:val="00D868DB"/>
    <w:rsid w:val="00D8746E"/>
    <w:rsid w:val="00D87BCB"/>
    <w:rsid w:val="00D91299"/>
    <w:rsid w:val="00D93D42"/>
    <w:rsid w:val="00D94604"/>
    <w:rsid w:val="00D94E32"/>
    <w:rsid w:val="00D95E3E"/>
    <w:rsid w:val="00D9616A"/>
    <w:rsid w:val="00D96308"/>
    <w:rsid w:val="00D967F4"/>
    <w:rsid w:val="00D97A2D"/>
    <w:rsid w:val="00D97D77"/>
    <w:rsid w:val="00DA1A68"/>
    <w:rsid w:val="00DA1CFD"/>
    <w:rsid w:val="00DA30D2"/>
    <w:rsid w:val="00DA3942"/>
    <w:rsid w:val="00DA4A97"/>
    <w:rsid w:val="00DA4B06"/>
    <w:rsid w:val="00DA6652"/>
    <w:rsid w:val="00DA6ACC"/>
    <w:rsid w:val="00DA6EBA"/>
    <w:rsid w:val="00DA6F2A"/>
    <w:rsid w:val="00DA71AA"/>
    <w:rsid w:val="00DA7387"/>
    <w:rsid w:val="00DA778D"/>
    <w:rsid w:val="00DB03BF"/>
    <w:rsid w:val="00DB11EB"/>
    <w:rsid w:val="00DB16CB"/>
    <w:rsid w:val="00DB197D"/>
    <w:rsid w:val="00DB1F7E"/>
    <w:rsid w:val="00DB21D6"/>
    <w:rsid w:val="00DB27AF"/>
    <w:rsid w:val="00DB3470"/>
    <w:rsid w:val="00DB38C6"/>
    <w:rsid w:val="00DB3A39"/>
    <w:rsid w:val="00DB41FF"/>
    <w:rsid w:val="00DB4544"/>
    <w:rsid w:val="00DB4702"/>
    <w:rsid w:val="00DB5664"/>
    <w:rsid w:val="00DB59C5"/>
    <w:rsid w:val="00DB6078"/>
    <w:rsid w:val="00DB630E"/>
    <w:rsid w:val="00DB634C"/>
    <w:rsid w:val="00DB6626"/>
    <w:rsid w:val="00DB7281"/>
    <w:rsid w:val="00DB74C7"/>
    <w:rsid w:val="00DB7529"/>
    <w:rsid w:val="00DB7C5E"/>
    <w:rsid w:val="00DB7E1A"/>
    <w:rsid w:val="00DC03A5"/>
    <w:rsid w:val="00DC0761"/>
    <w:rsid w:val="00DC09DF"/>
    <w:rsid w:val="00DC0C78"/>
    <w:rsid w:val="00DC121F"/>
    <w:rsid w:val="00DC1C6A"/>
    <w:rsid w:val="00DC1DD0"/>
    <w:rsid w:val="00DC1F05"/>
    <w:rsid w:val="00DC20D2"/>
    <w:rsid w:val="00DC2621"/>
    <w:rsid w:val="00DC27E2"/>
    <w:rsid w:val="00DC299B"/>
    <w:rsid w:val="00DC31F0"/>
    <w:rsid w:val="00DC38FA"/>
    <w:rsid w:val="00DC4B82"/>
    <w:rsid w:val="00DC527F"/>
    <w:rsid w:val="00DC55B9"/>
    <w:rsid w:val="00DC5CE6"/>
    <w:rsid w:val="00DC5D1C"/>
    <w:rsid w:val="00DC6B31"/>
    <w:rsid w:val="00DC6E66"/>
    <w:rsid w:val="00DC7395"/>
    <w:rsid w:val="00DC7593"/>
    <w:rsid w:val="00DC7622"/>
    <w:rsid w:val="00DC77BB"/>
    <w:rsid w:val="00DC7C49"/>
    <w:rsid w:val="00DD0D49"/>
    <w:rsid w:val="00DD109D"/>
    <w:rsid w:val="00DD1531"/>
    <w:rsid w:val="00DD1961"/>
    <w:rsid w:val="00DD1F7D"/>
    <w:rsid w:val="00DD2E6B"/>
    <w:rsid w:val="00DD3323"/>
    <w:rsid w:val="00DD35A7"/>
    <w:rsid w:val="00DD3E1D"/>
    <w:rsid w:val="00DD4089"/>
    <w:rsid w:val="00DD40E0"/>
    <w:rsid w:val="00DD4846"/>
    <w:rsid w:val="00DD4B65"/>
    <w:rsid w:val="00DD4DB4"/>
    <w:rsid w:val="00DD528C"/>
    <w:rsid w:val="00DD5ABC"/>
    <w:rsid w:val="00DD60EE"/>
    <w:rsid w:val="00DD6524"/>
    <w:rsid w:val="00DD6B4C"/>
    <w:rsid w:val="00DD6D0D"/>
    <w:rsid w:val="00DD7B52"/>
    <w:rsid w:val="00DE013A"/>
    <w:rsid w:val="00DE08BA"/>
    <w:rsid w:val="00DE1A9D"/>
    <w:rsid w:val="00DE1B1F"/>
    <w:rsid w:val="00DE26A4"/>
    <w:rsid w:val="00DE28FE"/>
    <w:rsid w:val="00DE3017"/>
    <w:rsid w:val="00DE3B01"/>
    <w:rsid w:val="00DE4774"/>
    <w:rsid w:val="00DE47EC"/>
    <w:rsid w:val="00DE49BC"/>
    <w:rsid w:val="00DE5372"/>
    <w:rsid w:val="00DE546E"/>
    <w:rsid w:val="00DE5DA7"/>
    <w:rsid w:val="00DE6CBC"/>
    <w:rsid w:val="00DE71A0"/>
    <w:rsid w:val="00DE7876"/>
    <w:rsid w:val="00DE78E4"/>
    <w:rsid w:val="00DF05CC"/>
    <w:rsid w:val="00DF069C"/>
    <w:rsid w:val="00DF0BB6"/>
    <w:rsid w:val="00DF0F5B"/>
    <w:rsid w:val="00DF0FAD"/>
    <w:rsid w:val="00DF12B4"/>
    <w:rsid w:val="00DF13B3"/>
    <w:rsid w:val="00DF1A81"/>
    <w:rsid w:val="00DF1E02"/>
    <w:rsid w:val="00DF2187"/>
    <w:rsid w:val="00DF31D5"/>
    <w:rsid w:val="00DF3958"/>
    <w:rsid w:val="00DF39CD"/>
    <w:rsid w:val="00DF4955"/>
    <w:rsid w:val="00DF4975"/>
    <w:rsid w:val="00DF536A"/>
    <w:rsid w:val="00DF5D77"/>
    <w:rsid w:val="00E0051B"/>
    <w:rsid w:val="00E00848"/>
    <w:rsid w:val="00E00956"/>
    <w:rsid w:val="00E015B3"/>
    <w:rsid w:val="00E01640"/>
    <w:rsid w:val="00E017A3"/>
    <w:rsid w:val="00E01875"/>
    <w:rsid w:val="00E02622"/>
    <w:rsid w:val="00E02F8A"/>
    <w:rsid w:val="00E04028"/>
    <w:rsid w:val="00E0431E"/>
    <w:rsid w:val="00E04A56"/>
    <w:rsid w:val="00E04F69"/>
    <w:rsid w:val="00E0554E"/>
    <w:rsid w:val="00E05B8C"/>
    <w:rsid w:val="00E06792"/>
    <w:rsid w:val="00E0692D"/>
    <w:rsid w:val="00E07209"/>
    <w:rsid w:val="00E073DC"/>
    <w:rsid w:val="00E074E1"/>
    <w:rsid w:val="00E07576"/>
    <w:rsid w:val="00E07DF9"/>
    <w:rsid w:val="00E11647"/>
    <w:rsid w:val="00E119AF"/>
    <w:rsid w:val="00E11A2F"/>
    <w:rsid w:val="00E1279C"/>
    <w:rsid w:val="00E12CE7"/>
    <w:rsid w:val="00E12F35"/>
    <w:rsid w:val="00E138DA"/>
    <w:rsid w:val="00E13C0E"/>
    <w:rsid w:val="00E1495F"/>
    <w:rsid w:val="00E14E16"/>
    <w:rsid w:val="00E14E2B"/>
    <w:rsid w:val="00E16E2B"/>
    <w:rsid w:val="00E1716C"/>
    <w:rsid w:val="00E17630"/>
    <w:rsid w:val="00E17999"/>
    <w:rsid w:val="00E179E2"/>
    <w:rsid w:val="00E20400"/>
    <w:rsid w:val="00E20C56"/>
    <w:rsid w:val="00E20D89"/>
    <w:rsid w:val="00E21B47"/>
    <w:rsid w:val="00E21F50"/>
    <w:rsid w:val="00E22700"/>
    <w:rsid w:val="00E229DF"/>
    <w:rsid w:val="00E22A4A"/>
    <w:rsid w:val="00E2369C"/>
    <w:rsid w:val="00E24EBA"/>
    <w:rsid w:val="00E24F4A"/>
    <w:rsid w:val="00E267F8"/>
    <w:rsid w:val="00E270E3"/>
    <w:rsid w:val="00E27605"/>
    <w:rsid w:val="00E27961"/>
    <w:rsid w:val="00E27D00"/>
    <w:rsid w:val="00E27EF1"/>
    <w:rsid w:val="00E30004"/>
    <w:rsid w:val="00E30278"/>
    <w:rsid w:val="00E30F33"/>
    <w:rsid w:val="00E31AD8"/>
    <w:rsid w:val="00E32556"/>
    <w:rsid w:val="00E32788"/>
    <w:rsid w:val="00E32AFE"/>
    <w:rsid w:val="00E3346B"/>
    <w:rsid w:val="00E339A4"/>
    <w:rsid w:val="00E339FA"/>
    <w:rsid w:val="00E33D47"/>
    <w:rsid w:val="00E34330"/>
    <w:rsid w:val="00E34411"/>
    <w:rsid w:val="00E35A3E"/>
    <w:rsid w:val="00E37D5A"/>
    <w:rsid w:val="00E4071B"/>
    <w:rsid w:val="00E4089B"/>
    <w:rsid w:val="00E40D94"/>
    <w:rsid w:val="00E42349"/>
    <w:rsid w:val="00E428FF"/>
    <w:rsid w:val="00E42B0B"/>
    <w:rsid w:val="00E42E37"/>
    <w:rsid w:val="00E43684"/>
    <w:rsid w:val="00E436B6"/>
    <w:rsid w:val="00E43788"/>
    <w:rsid w:val="00E43ADD"/>
    <w:rsid w:val="00E43F77"/>
    <w:rsid w:val="00E44B2B"/>
    <w:rsid w:val="00E452C9"/>
    <w:rsid w:val="00E45BD1"/>
    <w:rsid w:val="00E4672B"/>
    <w:rsid w:val="00E4698A"/>
    <w:rsid w:val="00E46BE6"/>
    <w:rsid w:val="00E47547"/>
    <w:rsid w:val="00E47937"/>
    <w:rsid w:val="00E5040F"/>
    <w:rsid w:val="00E5095C"/>
    <w:rsid w:val="00E51ECA"/>
    <w:rsid w:val="00E51F07"/>
    <w:rsid w:val="00E51F80"/>
    <w:rsid w:val="00E52989"/>
    <w:rsid w:val="00E5300F"/>
    <w:rsid w:val="00E532BC"/>
    <w:rsid w:val="00E5363B"/>
    <w:rsid w:val="00E54369"/>
    <w:rsid w:val="00E54D1D"/>
    <w:rsid w:val="00E55457"/>
    <w:rsid w:val="00E55E0E"/>
    <w:rsid w:val="00E560A8"/>
    <w:rsid w:val="00E563B3"/>
    <w:rsid w:val="00E56426"/>
    <w:rsid w:val="00E566AF"/>
    <w:rsid w:val="00E6066B"/>
    <w:rsid w:val="00E60DE4"/>
    <w:rsid w:val="00E61388"/>
    <w:rsid w:val="00E618F7"/>
    <w:rsid w:val="00E61AB0"/>
    <w:rsid w:val="00E61FE3"/>
    <w:rsid w:val="00E62785"/>
    <w:rsid w:val="00E62B67"/>
    <w:rsid w:val="00E63128"/>
    <w:rsid w:val="00E6339C"/>
    <w:rsid w:val="00E64764"/>
    <w:rsid w:val="00E65EA8"/>
    <w:rsid w:val="00E66AE6"/>
    <w:rsid w:val="00E67577"/>
    <w:rsid w:val="00E705D8"/>
    <w:rsid w:val="00E70730"/>
    <w:rsid w:val="00E70A4A"/>
    <w:rsid w:val="00E70CDB"/>
    <w:rsid w:val="00E71000"/>
    <w:rsid w:val="00E7177D"/>
    <w:rsid w:val="00E719A1"/>
    <w:rsid w:val="00E71A14"/>
    <w:rsid w:val="00E71AC0"/>
    <w:rsid w:val="00E727A2"/>
    <w:rsid w:val="00E72C04"/>
    <w:rsid w:val="00E72EFE"/>
    <w:rsid w:val="00E72FF9"/>
    <w:rsid w:val="00E73AD8"/>
    <w:rsid w:val="00E73DA0"/>
    <w:rsid w:val="00E7402B"/>
    <w:rsid w:val="00E745AC"/>
    <w:rsid w:val="00E74DFC"/>
    <w:rsid w:val="00E75611"/>
    <w:rsid w:val="00E7598B"/>
    <w:rsid w:val="00E7723E"/>
    <w:rsid w:val="00E77695"/>
    <w:rsid w:val="00E77748"/>
    <w:rsid w:val="00E80C27"/>
    <w:rsid w:val="00E81D4D"/>
    <w:rsid w:val="00E836E7"/>
    <w:rsid w:val="00E8397B"/>
    <w:rsid w:val="00E83CDA"/>
    <w:rsid w:val="00E83D8D"/>
    <w:rsid w:val="00E84973"/>
    <w:rsid w:val="00E84D34"/>
    <w:rsid w:val="00E84D8B"/>
    <w:rsid w:val="00E84EC4"/>
    <w:rsid w:val="00E85119"/>
    <w:rsid w:val="00E85460"/>
    <w:rsid w:val="00E858A5"/>
    <w:rsid w:val="00E85D0E"/>
    <w:rsid w:val="00E85E77"/>
    <w:rsid w:val="00E873FC"/>
    <w:rsid w:val="00E875BE"/>
    <w:rsid w:val="00E878EC"/>
    <w:rsid w:val="00E90363"/>
    <w:rsid w:val="00E903EF"/>
    <w:rsid w:val="00E908B1"/>
    <w:rsid w:val="00E90D20"/>
    <w:rsid w:val="00E91A33"/>
    <w:rsid w:val="00E92144"/>
    <w:rsid w:val="00E92BAE"/>
    <w:rsid w:val="00E92F1E"/>
    <w:rsid w:val="00E941B6"/>
    <w:rsid w:val="00E96481"/>
    <w:rsid w:val="00E964DD"/>
    <w:rsid w:val="00E96511"/>
    <w:rsid w:val="00E96578"/>
    <w:rsid w:val="00E969A8"/>
    <w:rsid w:val="00E9765E"/>
    <w:rsid w:val="00E97C68"/>
    <w:rsid w:val="00E97D5A"/>
    <w:rsid w:val="00E97D72"/>
    <w:rsid w:val="00E97E2D"/>
    <w:rsid w:val="00EA2428"/>
    <w:rsid w:val="00EA25DB"/>
    <w:rsid w:val="00EA2D30"/>
    <w:rsid w:val="00EA2F5F"/>
    <w:rsid w:val="00EA39A5"/>
    <w:rsid w:val="00EA3B4B"/>
    <w:rsid w:val="00EA3D62"/>
    <w:rsid w:val="00EA415B"/>
    <w:rsid w:val="00EA475C"/>
    <w:rsid w:val="00EA494D"/>
    <w:rsid w:val="00EA6843"/>
    <w:rsid w:val="00EA6BEA"/>
    <w:rsid w:val="00EA6F10"/>
    <w:rsid w:val="00EA726C"/>
    <w:rsid w:val="00EA73B7"/>
    <w:rsid w:val="00EA7D9B"/>
    <w:rsid w:val="00EB0BE5"/>
    <w:rsid w:val="00EB16F7"/>
    <w:rsid w:val="00EB27DA"/>
    <w:rsid w:val="00EB2FEF"/>
    <w:rsid w:val="00EB34E9"/>
    <w:rsid w:val="00EB38EB"/>
    <w:rsid w:val="00EB3BAA"/>
    <w:rsid w:val="00EB5738"/>
    <w:rsid w:val="00EB5DA7"/>
    <w:rsid w:val="00EB6327"/>
    <w:rsid w:val="00EB652D"/>
    <w:rsid w:val="00EB6AEF"/>
    <w:rsid w:val="00EB7058"/>
    <w:rsid w:val="00EB788D"/>
    <w:rsid w:val="00EB79A4"/>
    <w:rsid w:val="00EB7F48"/>
    <w:rsid w:val="00EC02CA"/>
    <w:rsid w:val="00EC11CC"/>
    <w:rsid w:val="00EC1519"/>
    <w:rsid w:val="00EC16C4"/>
    <w:rsid w:val="00EC2937"/>
    <w:rsid w:val="00EC31C8"/>
    <w:rsid w:val="00EC396B"/>
    <w:rsid w:val="00EC3AD0"/>
    <w:rsid w:val="00EC479E"/>
    <w:rsid w:val="00EC4A3A"/>
    <w:rsid w:val="00EC4B59"/>
    <w:rsid w:val="00EC502C"/>
    <w:rsid w:val="00EC5FD9"/>
    <w:rsid w:val="00EC6467"/>
    <w:rsid w:val="00EC6598"/>
    <w:rsid w:val="00EC6EFD"/>
    <w:rsid w:val="00EC6F70"/>
    <w:rsid w:val="00EC7166"/>
    <w:rsid w:val="00EC77E9"/>
    <w:rsid w:val="00EC7937"/>
    <w:rsid w:val="00EC7951"/>
    <w:rsid w:val="00EC7A20"/>
    <w:rsid w:val="00EC7EFA"/>
    <w:rsid w:val="00ED1904"/>
    <w:rsid w:val="00ED1B43"/>
    <w:rsid w:val="00ED209E"/>
    <w:rsid w:val="00ED2399"/>
    <w:rsid w:val="00ED26E9"/>
    <w:rsid w:val="00ED283E"/>
    <w:rsid w:val="00ED3C2B"/>
    <w:rsid w:val="00ED47B7"/>
    <w:rsid w:val="00ED7433"/>
    <w:rsid w:val="00ED79E8"/>
    <w:rsid w:val="00ED7E97"/>
    <w:rsid w:val="00EE0423"/>
    <w:rsid w:val="00EE04C9"/>
    <w:rsid w:val="00EE0A94"/>
    <w:rsid w:val="00EE13F3"/>
    <w:rsid w:val="00EE1792"/>
    <w:rsid w:val="00EE2FCE"/>
    <w:rsid w:val="00EE3A5D"/>
    <w:rsid w:val="00EE3D25"/>
    <w:rsid w:val="00EE3E6D"/>
    <w:rsid w:val="00EE4018"/>
    <w:rsid w:val="00EE4096"/>
    <w:rsid w:val="00EE6814"/>
    <w:rsid w:val="00EE6C6E"/>
    <w:rsid w:val="00EF03DB"/>
    <w:rsid w:val="00EF0723"/>
    <w:rsid w:val="00EF1342"/>
    <w:rsid w:val="00EF165C"/>
    <w:rsid w:val="00EF1BE2"/>
    <w:rsid w:val="00EF1D6F"/>
    <w:rsid w:val="00EF3730"/>
    <w:rsid w:val="00EF3778"/>
    <w:rsid w:val="00EF3997"/>
    <w:rsid w:val="00EF3E32"/>
    <w:rsid w:val="00EF44E5"/>
    <w:rsid w:val="00EF4F6F"/>
    <w:rsid w:val="00EF573D"/>
    <w:rsid w:val="00EF5943"/>
    <w:rsid w:val="00EF5998"/>
    <w:rsid w:val="00EF5FAA"/>
    <w:rsid w:val="00EF6E89"/>
    <w:rsid w:val="00EF70CC"/>
    <w:rsid w:val="00EF7328"/>
    <w:rsid w:val="00EF7446"/>
    <w:rsid w:val="00EF7B69"/>
    <w:rsid w:val="00F002D7"/>
    <w:rsid w:val="00F0068B"/>
    <w:rsid w:val="00F00F55"/>
    <w:rsid w:val="00F01682"/>
    <w:rsid w:val="00F018B1"/>
    <w:rsid w:val="00F021C0"/>
    <w:rsid w:val="00F02CC3"/>
    <w:rsid w:val="00F03F82"/>
    <w:rsid w:val="00F04189"/>
    <w:rsid w:val="00F04B4E"/>
    <w:rsid w:val="00F054A8"/>
    <w:rsid w:val="00F05D86"/>
    <w:rsid w:val="00F06619"/>
    <w:rsid w:val="00F07086"/>
    <w:rsid w:val="00F070E4"/>
    <w:rsid w:val="00F072AF"/>
    <w:rsid w:val="00F10134"/>
    <w:rsid w:val="00F101B6"/>
    <w:rsid w:val="00F104FA"/>
    <w:rsid w:val="00F10850"/>
    <w:rsid w:val="00F121C9"/>
    <w:rsid w:val="00F1240B"/>
    <w:rsid w:val="00F1279F"/>
    <w:rsid w:val="00F127C0"/>
    <w:rsid w:val="00F127CC"/>
    <w:rsid w:val="00F1288C"/>
    <w:rsid w:val="00F12C51"/>
    <w:rsid w:val="00F12CE6"/>
    <w:rsid w:val="00F138BA"/>
    <w:rsid w:val="00F13F0D"/>
    <w:rsid w:val="00F1488D"/>
    <w:rsid w:val="00F14AC8"/>
    <w:rsid w:val="00F14E5F"/>
    <w:rsid w:val="00F15163"/>
    <w:rsid w:val="00F154D6"/>
    <w:rsid w:val="00F15CEA"/>
    <w:rsid w:val="00F15FCB"/>
    <w:rsid w:val="00F1668D"/>
    <w:rsid w:val="00F1677E"/>
    <w:rsid w:val="00F16D40"/>
    <w:rsid w:val="00F17BC2"/>
    <w:rsid w:val="00F202FE"/>
    <w:rsid w:val="00F203B6"/>
    <w:rsid w:val="00F209E3"/>
    <w:rsid w:val="00F20C19"/>
    <w:rsid w:val="00F21348"/>
    <w:rsid w:val="00F21385"/>
    <w:rsid w:val="00F21926"/>
    <w:rsid w:val="00F21E29"/>
    <w:rsid w:val="00F22460"/>
    <w:rsid w:val="00F23595"/>
    <w:rsid w:val="00F23CFF"/>
    <w:rsid w:val="00F2663E"/>
    <w:rsid w:val="00F30C27"/>
    <w:rsid w:val="00F30CA8"/>
    <w:rsid w:val="00F30FAF"/>
    <w:rsid w:val="00F31332"/>
    <w:rsid w:val="00F32900"/>
    <w:rsid w:val="00F32A39"/>
    <w:rsid w:val="00F3346B"/>
    <w:rsid w:val="00F33C99"/>
    <w:rsid w:val="00F33E57"/>
    <w:rsid w:val="00F34333"/>
    <w:rsid w:val="00F34373"/>
    <w:rsid w:val="00F34A00"/>
    <w:rsid w:val="00F34D4C"/>
    <w:rsid w:val="00F35C30"/>
    <w:rsid w:val="00F36FD6"/>
    <w:rsid w:val="00F3724B"/>
    <w:rsid w:val="00F377A5"/>
    <w:rsid w:val="00F377A8"/>
    <w:rsid w:val="00F37E65"/>
    <w:rsid w:val="00F4039B"/>
    <w:rsid w:val="00F404A7"/>
    <w:rsid w:val="00F40F03"/>
    <w:rsid w:val="00F411C9"/>
    <w:rsid w:val="00F413EB"/>
    <w:rsid w:val="00F414EC"/>
    <w:rsid w:val="00F42199"/>
    <w:rsid w:val="00F427A9"/>
    <w:rsid w:val="00F42B62"/>
    <w:rsid w:val="00F42DFB"/>
    <w:rsid w:val="00F4319C"/>
    <w:rsid w:val="00F434FC"/>
    <w:rsid w:val="00F43883"/>
    <w:rsid w:val="00F43CAB"/>
    <w:rsid w:val="00F43CC3"/>
    <w:rsid w:val="00F441EE"/>
    <w:rsid w:val="00F44E51"/>
    <w:rsid w:val="00F4569C"/>
    <w:rsid w:val="00F45A3B"/>
    <w:rsid w:val="00F45F9E"/>
    <w:rsid w:val="00F45FA7"/>
    <w:rsid w:val="00F45FCF"/>
    <w:rsid w:val="00F46D34"/>
    <w:rsid w:val="00F475DC"/>
    <w:rsid w:val="00F47E20"/>
    <w:rsid w:val="00F50129"/>
    <w:rsid w:val="00F5143D"/>
    <w:rsid w:val="00F51467"/>
    <w:rsid w:val="00F51886"/>
    <w:rsid w:val="00F51939"/>
    <w:rsid w:val="00F522DA"/>
    <w:rsid w:val="00F52516"/>
    <w:rsid w:val="00F52956"/>
    <w:rsid w:val="00F52E2B"/>
    <w:rsid w:val="00F535A1"/>
    <w:rsid w:val="00F53AE7"/>
    <w:rsid w:val="00F53B10"/>
    <w:rsid w:val="00F546E2"/>
    <w:rsid w:val="00F551F5"/>
    <w:rsid w:val="00F55BD7"/>
    <w:rsid w:val="00F560D6"/>
    <w:rsid w:val="00F5632C"/>
    <w:rsid w:val="00F5720B"/>
    <w:rsid w:val="00F5729F"/>
    <w:rsid w:val="00F57662"/>
    <w:rsid w:val="00F576CB"/>
    <w:rsid w:val="00F57A31"/>
    <w:rsid w:val="00F609AB"/>
    <w:rsid w:val="00F60E90"/>
    <w:rsid w:val="00F622FA"/>
    <w:rsid w:val="00F6263F"/>
    <w:rsid w:val="00F6299D"/>
    <w:rsid w:val="00F63320"/>
    <w:rsid w:val="00F63454"/>
    <w:rsid w:val="00F6459A"/>
    <w:rsid w:val="00F65292"/>
    <w:rsid w:val="00F659F8"/>
    <w:rsid w:val="00F66AF6"/>
    <w:rsid w:val="00F67583"/>
    <w:rsid w:val="00F67BF8"/>
    <w:rsid w:val="00F700C1"/>
    <w:rsid w:val="00F701B5"/>
    <w:rsid w:val="00F70262"/>
    <w:rsid w:val="00F705EE"/>
    <w:rsid w:val="00F71BA5"/>
    <w:rsid w:val="00F72094"/>
    <w:rsid w:val="00F7219A"/>
    <w:rsid w:val="00F727DE"/>
    <w:rsid w:val="00F72998"/>
    <w:rsid w:val="00F72DC2"/>
    <w:rsid w:val="00F73478"/>
    <w:rsid w:val="00F7361F"/>
    <w:rsid w:val="00F73B24"/>
    <w:rsid w:val="00F73D98"/>
    <w:rsid w:val="00F74BD6"/>
    <w:rsid w:val="00F74C76"/>
    <w:rsid w:val="00F74CA5"/>
    <w:rsid w:val="00F75C75"/>
    <w:rsid w:val="00F76572"/>
    <w:rsid w:val="00F768F8"/>
    <w:rsid w:val="00F77068"/>
    <w:rsid w:val="00F77B37"/>
    <w:rsid w:val="00F77E63"/>
    <w:rsid w:val="00F80876"/>
    <w:rsid w:val="00F808E4"/>
    <w:rsid w:val="00F8092A"/>
    <w:rsid w:val="00F8137A"/>
    <w:rsid w:val="00F82EE2"/>
    <w:rsid w:val="00F8354C"/>
    <w:rsid w:val="00F8361E"/>
    <w:rsid w:val="00F838AF"/>
    <w:rsid w:val="00F83E45"/>
    <w:rsid w:val="00F83E9B"/>
    <w:rsid w:val="00F84ADF"/>
    <w:rsid w:val="00F85714"/>
    <w:rsid w:val="00F8722F"/>
    <w:rsid w:val="00F877D0"/>
    <w:rsid w:val="00F87ADD"/>
    <w:rsid w:val="00F87B2C"/>
    <w:rsid w:val="00F903E7"/>
    <w:rsid w:val="00F90580"/>
    <w:rsid w:val="00F91180"/>
    <w:rsid w:val="00F911C1"/>
    <w:rsid w:val="00F914BC"/>
    <w:rsid w:val="00F9306F"/>
    <w:rsid w:val="00F930F9"/>
    <w:rsid w:val="00F93181"/>
    <w:rsid w:val="00F931C6"/>
    <w:rsid w:val="00F93EBE"/>
    <w:rsid w:val="00F94B74"/>
    <w:rsid w:val="00F94C78"/>
    <w:rsid w:val="00F977E0"/>
    <w:rsid w:val="00FA0092"/>
    <w:rsid w:val="00FA042B"/>
    <w:rsid w:val="00FA103F"/>
    <w:rsid w:val="00FA154A"/>
    <w:rsid w:val="00FA19BC"/>
    <w:rsid w:val="00FA1A67"/>
    <w:rsid w:val="00FA2F25"/>
    <w:rsid w:val="00FA3814"/>
    <w:rsid w:val="00FA3A91"/>
    <w:rsid w:val="00FA474E"/>
    <w:rsid w:val="00FA5407"/>
    <w:rsid w:val="00FA6A2A"/>
    <w:rsid w:val="00FA6C51"/>
    <w:rsid w:val="00FA6FBF"/>
    <w:rsid w:val="00FA720F"/>
    <w:rsid w:val="00FA7B70"/>
    <w:rsid w:val="00FB0908"/>
    <w:rsid w:val="00FB1368"/>
    <w:rsid w:val="00FB16E9"/>
    <w:rsid w:val="00FB19FE"/>
    <w:rsid w:val="00FB208D"/>
    <w:rsid w:val="00FB22E2"/>
    <w:rsid w:val="00FB2CBA"/>
    <w:rsid w:val="00FB3336"/>
    <w:rsid w:val="00FB3559"/>
    <w:rsid w:val="00FB3686"/>
    <w:rsid w:val="00FB4263"/>
    <w:rsid w:val="00FB4845"/>
    <w:rsid w:val="00FB5833"/>
    <w:rsid w:val="00FB5CD0"/>
    <w:rsid w:val="00FC0642"/>
    <w:rsid w:val="00FC0B87"/>
    <w:rsid w:val="00FC0E44"/>
    <w:rsid w:val="00FC1048"/>
    <w:rsid w:val="00FC12C4"/>
    <w:rsid w:val="00FC1660"/>
    <w:rsid w:val="00FC1CF7"/>
    <w:rsid w:val="00FC2174"/>
    <w:rsid w:val="00FC280B"/>
    <w:rsid w:val="00FC2B67"/>
    <w:rsid w:val="00FC2B6C"/>
    <w:rsid w:val="00FC2E3A"/>
    <w:rsid w:val="00FC2E4A"/>
    <w:rsid w:val="00FC32BE"/>
    <w:rsid w:val="00FC352E"/>
    <w:rsid w:val="00FC38A9"/>
    <w:rsid w:val="00FC56CA"/>
    <w:rsid w:val="00FC59DD"/>
    <w:rsid w:val="00FC5E03"/>
    <w:rsid w:val="00FC6B79"/>
    <w:rsid w:val="00FC6C26"/>
    <w:rsid w:val="00FC6FA6"/>
    <w:rsid w:val="00FC7767"/>
    <w:rsid w:val="00FC785A"/>
    <w:rsid w:val="00FC7AAE"/>
    <w:rsid w:val="00FC7B84"/>
    <w:rsid w:val="00FC7D15"/>
    <w:rsid w:val="00FC7FAC"/>
    <w:rsid w:val="00FD1004"/>
    <w:rsid w:val="00FD12AA"/>
    <w:rsid w:val="00FD12B1"/>
    <w:rsid w:val="00FD12E7"/>
    <w:rsid w:val="00FD2496"/>
    <w:rsid w:val="00FD2876"/>
    <w:rsid w:val="00FD326E"/>
    <w:rsid w:val="00FD36F0"/>
    <w:rsid w:val="00FD3C22"/>
    <w:rsid w:val="00FD3F7C"/>
    <w:rsid w:val="00FD4800"/>
    <w:rsid w:val="00FD50C8"/>
    <w:rsid w:val="00FD5C8F"/>
    <w:rsid w:val="00FD641B"/>
    <w:rsid w:val="00FD7473"/>
    <w:rsid w:val="00FD77A8"/>
    <w:rsid w:val="00FE03AD"/>
    <w:rsid w:val="00FE03BA"/>
    <w:rsid w:val="00FE0BB6"/>
    <w:rsid w:val="00FE0D93"/>
    <w:rsid w:val="00FE1160"/>
    <w:rsid w:val="00FE1D3A"/>
    <w:rsid w:val="00FE2892"/>
    <w:rsid w:val="00FE32DE"/>
    <w:rsid w:val="00FE44D9"/>
    <w:rsid w:val="00FE46E8"/>
    <w:rsid w:val="00FE477F"/>
    <w:rsid w:val="00FE54B3"/>
    <w:rsid w:val="00FE54EA"/>
    <w:rsid w:val="00FE61DD"/>
    <w:rsid w:val="00FE69AF"/>
    <w:rsid w:val="00FE6C8F"/>
    <w:rsid w:val="00FE7B79"/>
    <w:rsid w:val="00FE7BD2"/>
    <w:rsid w:val="00FE7C05"/>
    <w:rsid w:val="00FF01A5"/>
    <w:rsid w:val="00FF03F6"/>
    <w:rsid w:val="00FF040C"/>
    <w:rsid w:val="00FF07AF"/>
    <w:rsid w:val="00FF0CC7"/>
    <w:rsid w:val="00FF1E6A"/>
    <w:rsid w:val="00FF2310"/>
    <w:rsid w:val="00FF2415"/>
    <w:rsid w:val="00FF27AA"/>
    <w:rsid w:val="00FF2C88"/>
    <w:rsid w:val="00FF2D3F"/>
    <w:rsid w:val="00FF3524"/>
    <w:rsid w:val="00FF38A1"/>
    <w:rsid w:val="00FF3D7E"/>
    <w:rsid w:val="00FF40AC"/>
    <w:rsid w:val="00FF54CF"/>
    <w:rsid w:val="00FF55AC"/>
    <w:rsid w:val="00FF5648"/>
    <w:rsid w:val="00FF5CC0"/>
    <w:rsid w:val="00FF5EC2"/>
    <w:rsid w:val="00FF64C1"/>
    <w:rsid w:val="00FF6AF0"/>
    <w:rsid w:val="00FF6D69"/>
    <w:rsid w:val="00FF7393"/>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D3C2B"/>
    <w:rPr>
      <w:sz w:val="24"/>
    </w:rPr>
  </w:style>
  <w:style w:type="character" w:customStyle="1" w:styleId="InitialStyle">
    <w:name w:val="InitialStyle"/>
    <w:rsid w:val="00ED3C2B"/>
    <w:rPr>
      <w:rFonts w:ascii="CG Times ( 1)" w:hAnsi="CG Times ( 1)"/>
      <w:color w:val="auto"/>
      <w:spacing w:val="0"/>
      <w:sz w:val="24"/>
    </w:rPr>
  </w:style>
  <w:style w:type="paragraph" w:styleId="Footer">
    <w:name w:val="footer"/>
    <w:basedOn w:val="Normal"/>
    <w:rsid w:val="00D443FA"/>
    <w:pPr>
      <w:tabs>
        <w:tab w:val="center" w:pos="4320"/>
        <w:tab w:val="right" w:pos="8640"/>
      </w:tabs>
    </w:pPr>
  </w:style>
  <w:style w:type="character" w:styleId="PageNumber">
    <w:name w:val="page number"/>
    <w:basedOn w:val="DefaultParagraphFont"/>
    <w:rsid w:val="00D443FA"/>
  </w:style>
  <w:style w:type="paragraph" w:styleId="Header">
    <w:name w:val="header"/>
    <w:basedOn w:val="Normal"/>
    <w:rsid w:val="00BC058E"/>
    <w:pPr>
      <w:tabs>
        <w:tab w:val="center" w:pos="4320"/>
        <w:tab w:val="right" w:pos="8640"/>
      </w:tabs>
    </w:pPr>
  </w:style>
  <w:style w:type="paragraph" w:styleId="DocumentMap">
    <w:name w:val="Document Map"/>
    <w:basedOn w:val="Normal"/>
    <w:semiHidden/>
    <w:rsid w:val="007477F8"/>
    <w:pPr>
      <w:shd w:val="clear" w:color="auto" w:fill="000080"/>
    </w:pPr>
    <w:rPr>
      <w:rFonts w:ascii="Tahoma" w:hAnsi="Tahoma" w:cs="Tahoma"/>
    </w:rPr>
  </w:style>
  <w:style w:type="paragraph" w:styleId="BalloonText">
    <w:name w:val="Balloon Text"/>
    <w:basedOn w:val="Normal"/>
    <w:link w:val="BalloonTextChar"/>
    <w:rsid w:val="00F22460"/>
    <w:rPr>
      <w:rFonts w:ascii="Tahoma" w:hAnsi="Tahoma" w:cs="Tahoma"/>
      <w:sz w:val="16"/>
      <w:szCs w:val="16"/>
    </w:rPr>
  </w:style>
  <w:style w:type="character" w:customStyle="1" w:styleId="BalloonTextChar">
    <w:name w:val="Balloon Text Char"/>
    <w:basedOn w:val="DefaultParagraphFont"/>
    <w:link w:val="BalloonText"/>
    <w:rsid w:val="00F22460"/>
    <w:rPr>
      <w:rFonts w:ascii="Tahoma" w:hAnsi="Tahoma" w:cs="Tahoma"/>
      <w:sz w:val="16"/>
      <w:szCs w:val="16"/>
    </w:rPr>
  </w:style>
  <w:style w:type="character" w:styleId="Strong">
    <w:name w:val="Strong"/>
    <w:basedOn w:val="DefaultParagraphFont"/>
    <w:uiPriority w:val="22"/>
    <w:qFormat/>
    <w:rsid w:val="00625FA1"/>
    <w:rPr>
      <w:b/>
      <w:bCs/>
    </w:rPr>
  </w:style>
  <w:style w:type="paragraph" w:styleId="NormalWeb">
    <w:name w:val="Normal (Web)"/>
    <w:basedOn w:val="Normal"/>
    <w:uiPriority w:val="99"/>
    <w:unhideWhenUsed/>
    <w:rsid w:val="004B7EA7"/>
    <w:pPr>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D3C2B"/>
    <w:rPr>
      <w:sz w:val="24"/>
    </w:rPr>
  </w:style>
  <w:style w:type="character" w:customStyle="1" w:styleId="InitialStyle">
    <w:name w:val="InitialStyle"/>
    <w:rsid w:val="00ED3C2B"/>
    <w:rPr>
      <w:rFonts w:ascii="CG Times ( 1)" w:hAnsi="CG Times ( 1)"/>
      <w:color w:val="auto"/>
      <w:spacing w:val="0"/>
      <w:sz w:val="24"/>
    </w:rPr>
  </w:style>
  <w:style w:type="paragraph" w:styleId="Footer">
    <w:name w:val="footer"/>
    <w:basedOn w:val="Normal"/>
    <w:rsid w:val="00D443FA"/>
    <w:pPr>
      <w:tabs>
        <w:tab w:val="center" w:pos="4320"/>
        <w:tab w:val="right" w:pos="8640"/>
      </w:tabs>
    </w:pPr>
  </w:style>
  <w:style w:type="character" w:styleId="PageNumber">
    <w:name w:val="page number"/>
    <w:basedOn w:val="DefaultParagraphFont"/>
    <w:rsid w:val="00D443FA"/>
  </w:style>
  <w:style w:type="paragraph" w:styleId="Header">
    <w:name w:val="header"/>
    <w:basedOn w:val="Normal"/>
    <w:rsid w:val="00BC058E"/>
    <w:pPr>
      <w:tabs>
        <w:tab w:val="center" w:pos="4320"/>
        <w:tab w:val="right" w:pos="8640"/>
      </w:tabs>
    </w:pPr>
  </w:style>
  <w:style w:type="paragraph" w:styleId="DocumentMap">
    <w:name w:val="Document Map"/>
    <w:basedOn w:val="Normal"/>
    <w:semiHidden/>
    <w:rsid w:val="007477F8"/>
    <w:pPr>
      <w:shd w:val="clear" w:color="auto" w:fill="000080"/>
    </w:pPr>
    <w:rPr>
      <w:rFonts w:ascii="Tahoma" w:hAnsi="Tahoma" w:cs="Tahoma"/>
    </w:rPr>
  </w:style>
  <w:style w:type="paragraph" w:styleId="BalloonText">
    <w:name w:val="Balloon Text"/>
    <w:basedOn w:val="Normal"/>
    <w:link w:val="BalloonTextChar"/>
    <w:rsid w:val="00F22460"/>
    <w:rPr>
      <w:rFonts w:ascii="Tahoma" w:hAnsi="Tahoma" w:cs="Tahoma"/>
      <w:sz w:val="16"/>
      <w:szCs w:val="16"/>
    </w:rPr>
  </w:style>
  <w:style w:type="character" w:customStyle="1" w:styleId="BalloonTextChar">
    <w:name w:val="Balloon Text Char"/>
    <w:basedOn w:val="DefaultParagraphFont"/>
    <w:link w:val="BalloonText"/>
    <w:rsid w:val="00F22460"/>
    <w:rPr>
      <w:rFonts w:ascii="Tahoma" w:hAnsi="Tahoma" w:cs="Tahoma"/>
      <w:sz w:val="16"/>
      <w:szCs w:val="16"/>
    </w:rPr>
  </w:style>
  <w:style w:type="character" w:styleId="Strong">
    <w:name w:val="Strong"/>
    <w:basedOn w:val="DefaultParagraphFont"/>
    <w:uiPriority w:val="22"/>
    <w:qFormat/>
    <w:rsid w:val="00625FA1"/>
    <w:rPr>
      <w:b/>
      <w:bCs/>
    </w:rPr>
  </w:style>
  <w:style w:type="paragraph" w:styleId="NormalWeb">
    <w:name w:val="Normal (Web)"/>
    <w:basedOn w:val="Normal"/>
    <w:uiPriority w:val="99"/>
    <w:unhideWhenUsed/>
    <w:rsid w:val="004B7EA7"/>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6750">
      <w:bodyDiv w:val="1"/>
      <w:marLeft w:val="0"/>
      <w:marRight w:val="0"/>
      <w:marTop w:val="0"/>
      <w:marBottom w:val="0"/>
      <w:divBdr>
        <w:top w:val="none" w:sz="0" w:space="0" w:color="auto"/>
        <w:left w:val="none" w:sz="0" w:space="0" w:color="auto"/>
        <w:bottom w:val="none" w:sz="0" w:space="0" w:color="auto"/>
        <w:right w:val="none" w:sz="0" w:space="0" w:color="auto"/>
      </w:divBdr>
    </w:div>
    <w:div w:id="27880861">
      <w:bodyDiv w:val="1"/>
      <w:marLeft w:val="0"/>
      <w:marRight w:val="0"/>
      <w:marTop w:val="0"/>
      <w:marBottom w:val="0"/>
      <w:divBdr>
        <w:top w:val="none" w:sz="0" w:space="0" w:color="auto"/>
        <w:left w:val="none" w:sz="0" w:space="0" w:color="auto"/>
        <w:bottom w:val="none" w:sz="0" w:space="0" w:color="auto"/>
        <w:right w:val="none" w:sz="0" w:space="0" w:color="auto"/>
      </w:divBdr>
    </w:div>
    <w:div w:id="101263319">
      <w:bodyDiv w:val="1"/>
      <w:marLeft w:val="0"/>
      <w:marRight w:val="0"/>
      <w:marTop w:val="0"/>
      <w:marBottom w:val="0"/>
      <w:divBdr>
        <w:top w:val="none" w:sz="0" w:space="0" w:color="auto"/>
        <w:left w:val="none" w:sz="0" w:space="0" w:color="auto"/>
        <w:bottom w:val="none" w:sz="0" w:space="0" w:color="auto"/>
        <w:right w:val="none" w:sz="0" w:space="0" w:color="auto"/>
      </w:divBdr>
    </w:div>
    <w:div w:id="106700392">
      <w:bodyDiv w:val="1"/>
      <w:marLeft w:val="0"/>
      <w:marRight w:val="0"/>
      <w:marTop w:val="0"/>
      <w:marBottom w:val="0"/>
      <w:divBdr>
        <w:top w:val="none" w:sz="0" w:space="0" w:color="auto"/>
        <w:left w:val="none" w:sz="0" w:space="0" w:color="auto"/>
        <w:bottom w:val="none" w:sz="0" w:space="0" w:color="auto"/>
        <w:right w:val="none" w:sz="0" w:space="0" w:color="auto"/>
      </w:divBdr>
    </w:div>
    <w:div w:id="138956743">
      <w:bodyDiv w:val="1"/>
      <w:marLeft w:val="0"/>
      <w:marRight w:val="0"/>
      <w:marTop w:val="0"/>
      <w:marBottom w:val="0"/>
      <w:divBdr>
        <w:top w:val="none" w:sz="0" w:space="0" w:color="auto"/>
        <w:left w:val="none" w:sz="0" w:space="0" w:color="auto"/>
        <w:bottom w:val="none" w:sz="0" w:space="0" w:color="auto"/>
        <w:right w:val="none" w:sz="0" w:space="0" w:color="auto"/>
      </w:divBdr>
    </w:div>
    <w:div w:id="139814241">
      <w:bodyDiv w:val="1"/>
      <w:marLeft w:val="0"/>
      <w:marRight w:val="0"/>
      <w:marTop w:val="0"/>
      <w:marBottom w:val="0"/>
      <w:divBdr>
        <w:top w:val="none" w:sz="0" w:space="0" w:color="auto"/>
        <w:left w:val="none" w:sz="0" w:space="0" w:color="auto"/>
        <w:bottom w:val="none" w:sz="0" w:space="0" w:color="auto"/>
        <w:right w:val="none" w:sz="0" w:space="0" w:color="auto"/>
      </w:divBdr>
    </w:div>
    <w:div w:id="185141315">
      <w:bodyDiv w:val="1"/>
      <w:marLeft w:val="0"/>
      <w:marRight w:val="0"/>
      <w:marTop w:val="0"/>
      <w:marBottom w:val="0"/>
      <w:divBdr>
        <w:top w:val="none" w:sz="0" w:space="0" w:color="auto"/>
        <w:left w:val="none" w:sz="0" w:space="0" w:color="auto"/>
        <w:bottom w:val="none" w:sz="0" w:space="0" w:color="auto"/>
        <w:right w:val="none" w:sz="0" w:space="0" w:color="auto"/>
      </w:divBdr>
    </w:div>
    <w:div w:id="186601758">
      <w:bodyDiv w:val="1"/>
      <w:marLeft w:val="0"/>
      <w:marRight w:val="0"/>
      <w:marTop w:val="0"/>
      <w:marBottom w:val="0"/>
      <w:divBdr>
        <w:top w:val="none" w:sz="0" w:space="0" w:color="auto"/>
        <w:left w:val="none" w:sz="0" w:space="0" w:color="auto"/>
        <w:bottom w:val="none" w:sz="0" w:space="0" w:color="auto"/>
        <w:right w:val="none" w:sz="0" w:space="0" w:color="auto"/>
      </w:divBdr>
    </w:div>
    <w:div w:id="187067475">
      <w:bodyDiv w:val="1"/>
      <w:marLeft w:val="0"/>
      <w:marRight w:val="0"/>
      <w:marTop w:val="0"/>
      <w:marBottom w:val="0"/>
      <w:divBdr>
        <w:top w:val="none" w:sz="0" w:space="0" w:color="auto"/>
        <w:left w:val="none" w:sz="0" w:space="0" w:color="auto"/>
        <w:bottom w:val="none" w:sz="0" w:space="0" w:color="auto"/>
        <w:right w:val="none" w:sz="0" w:space="0" w:color="auto"/>
      </w:divBdr>
    </w:div>
    <w:div w:id="251160074">
      <w:bodyDiv w:val="1"/>
      <w:marLeft w:val="0"/>
      <w:marRight w:val="0"/>
      <w:marTop w:val="0"/>
      <w:marBottom w:val="0"/>
      <w:divBdr>
        <w:top w:val="none" w:sz="0" w:space="0" w:color="auto"/>
        <w:left w:val="none" w:sz="0" w:space="0" w:color="auto"/>
        <w:bottom w:val="none" w:sz="0" w:space="0" w:color="auto"/>
        <w:right w:val="none" w:sz="0" w:space="0" w:color="auto"/>
      </w:divBdr>
    </w:div>
    <w:div w:id="271666098">
      <w:bodyDiv w:val="1"/>
      <w:marLeft w:val="0"/>
      <w:marRight w:val="0"/>
      <w:marTop w:val="0"/>
      <w:marBottom w:val="0"/>
      <w:divBdr>
        <w:top w:val="none" w:sz="0" w:space="0" w:color="auto"/>
        <w:left w:val="none" w:sz="0" w:space="0" w:color="auto"/>
        <w:bottom w:val="none" w:sz="0" w:space="0" w:color="auto"/>
        <w:right w:val="none" w:sz="0" w:space="0" w:color="auto"/>
      </w:divBdr>
    </w:div>
    <w:div w:id="291176790">
      <w:bodyDiv w:val="1"/>
      <w:marLeft w:val="0"/>
      <w:marRight w:val="0"/>
      <w:marTop w:val="0"/>
      <w:marBottom w:val="0"/>
      <w:divBdr>
        <w:top w:val="none" w:sz="0" w:space="0" w:color="auto"/>
        <w:left w:val="none" w:sz="0" w:space="0" w:color="auto"/>
        <w:bottom w:val="none" w:sz="0" w:space="0" w:color="auto"/>
        <w:right w:val="none" w:sz="0" w:space="0" w:color="auto"/>
      </w:divBdr>
    </w:div>
    <w:div w:id="293755961">
      <w:bodyDiv w:val="1"/>
      <w:marLeft w:val="0"/>
      <w:marRight w:val="0"/>
      <w:marTop w:val="0"/>
      <w:marBottom w:val="0"/>
      <w:divBdr>
        <w:top w:val="none" w:sz="0" w:space="0" w:color="auto"/>
        <w:left w:val="none" w:sz="0" w:space="0" w:color="auto"/>
        <w:bottom w:val="none" w:sz="0" w:space="0" w:color="auto"/>
        <w:right w:val="none" w:sz="0" w:space="0" w:color="auto"/>
      </w:divBdr>
    </w:div>
    <w:div w:id="341589387">
      <w:bodyDiv w:val="1"/>
      <w:marLeft w:val="0"/>
      <w:marRight w:val="0"/>
      <w:marTop w:val="0"/>
      <w:marBottom w:val="0"/>
      <w:divBdr>
        <w:top w:val="none" w:sz="0" w:space="0" w:color="auto"/>
        <w:left w:val="none" w:sz="0" w:space="0" w:color="auto"/>
        <w:bottom w:val="none" w:sz="0" w:space="0" w:color="auto"/>
        <w:right w:val="none" w:sz="0" w:space="0" w:color="auto"/>
      </w:divBdr>
    </w:div>
    <w:div w:id="365370885">
      <w:bodyDiv w:val="1"/>
      <w:marLeft w:val="0"/>
      <w:marRight w:val="0"/>
      <w:marTop w:val="0"/>
      <w:marBottom w:val="0"/>
      <w:divBdr>
        <w:top w:val="none" w:sz="0" w:space="0" w:color="auto"/>
        <w:left w:val="none" w:sz="0" w:space="0" w:color="auto"/>
        <w:bottom w:val="none" w:sz="0" w:space="0" w:color="auto"/>
        <w:right w:val="none" w:sz="0" w:space="0" w:color="auto"/>
      </w:divBdr>
    </w:div>
    <w:div w:id="439304494">
      <w:bodyDiv w:val="1"/>
      <w:marLeft w:val="0"/>
      <w:marRight w:val="0"/>
      <w:marTop w:val="0"/>
      <w:marBottom w:val="0"/>
      <w:divBdr>
        <w:top w:val="none" w:sz="0" w:space="0" w:color="auto"/>
        <w:left w:val="none" w:sz="0" w:space="0" w:color="auto"/>
        <w:bottom w:val="none" w:sz="0" w:space="0" w:color="auto"/>
        <w:right w:val="none" w:sz="0" w:space="0" w:color="auto"/>
      </w:divBdr>
    </w:div>
    <w:div w:id="474298797">
      <w:bodyDiv w:val="1"/>
      <w:marLeft w:val="0"/>
      <w:marRight w:val="0"/>
      <w:marTop w:val="0"/>
      <w:marBottom w:val="0"/>
      <w:divBdr>
        <w:top w:val="none" w:sz="0" w:space="0" w:color="auto"/>
        <w:left w:val="none" w:sz="0" w:space="0" w:color="auto"/>
        <w:bottom w:val="none" w:sz="0" w:space="0" w:color="auto"/>
        <w:right w:val="none" w:sz="0" w:space="0" w:color="auto"/>
      </w:divBdr>
    </w:div>
    <w:div w:id="487524692">
      <w:bodyDiv w:val="1"/>
      <w:marLeft w:val="0"/>
      <w:marRight w:val="0"/>
      <w:marTop w:val="0"/>
      <w:marBottom w:val="0"/>
      <w:divBdr>
        <w:top w:val="none" w:sz="0" w:space="0" w:color="auto"/>
        <w:left w:val="none" w:sz="0" w:space="0" w:color="auto"/>
        <w:bottom w:val="none" w:sz="0" w:space="0" w:color="auto"/>
        <w:right w:val="none" w:sz="0" w:space="0" w:color="auto"/>
      </w:divBdr>
    </w:div>
    <w:div w:id="496845538">
      <w:bodyDiv w:val="1"/>
      <w:marLeft w:val="0"/>
      <w:marRight w:val="0"/>
      <w:marTop w:val="0"/>
      <w:marBottom w:val="0"/>
      <w:divBdr>
        <w:top w:val="none" w:sz="0" w:space="0" w:color="auto"/>
        <w:left w:val="none" w:sz="0" w:space="0" w:color="auto"/>
        <w:bottom w:val="none" w:sz="0" w:space="0" w:color="auto"/>
        <w:right w:val="none" w:sz="0" w:space="0" w:color="auto"/>
      </w:divBdr>
    </w:div>
    <w:div w:id="525482792">
      <w:bodyDiv w:val="1"/>
      <w:marLeft w:val="0"/>
      <w:marRight w:val="0"/>
      <w:marTop w:val="0"/>
      <w:marBottom w:val="0"/>
      <w:divBdr>
        <w:top w:val="none" w:sz="0" w:space="0" w:color="auto"/>
        <w:left w:val="none" w:sz="0" w:space="0" w:color="auto"/>
        <w:bottom w:val="none" w:sz="0" w:space="0" w:color="auto"/>
        <w:right w:val="none" w:sz="0" w:space="0" w:color="auto"/>
      </w:divBdr>
    </w:div>
    <w:div w:id="528418485">
      <w:bodyDiv w:val="1"/>
      <w:marLeft w:val="0"/>
      <w:marRight w:val="0"/>
      <w:marTop w:val="0"/>
      <w:marBottom w:val="0"/>
      <w:divBdr>
        <w:top w:val="none" w:sz="0" w:space="0" w:color="auto"/>
        <w:left w:val="none" w:sz="0" w:space="0" w:color="auto"/>
        <w:bottom w:val="none" w:sz="0" w:space="0" w:color="auto"/>
        <w:right w:val="none" w:sz="0" w:space="0" w:color="auto"/>
      </w:divBdr>
    </w:div>
    <w:div w:id="653993521">
      <w:bodyDiv w:val="1"/>
      <w:marLeft w:val="0"/>
      <w:marRight w:val="0"/>
      <w:marTop w:val="0"/>
      <w:marBottom w:val="0"/>
      <w:divBdr>
        <w:top w:val="none" w:sz="0" w:space="0" w:color="auto"/>
        <w:left w:val="none" w:sz="0" w:space="0" w:color="auto"/>
        <w:bottom w:val="none" w:sz="0" w:space="0" w:color="auto"/>
        <w:right w:val="none" w:sz="0" w:space="0" w:color="auto"/>
      </w:divBdr>
    </w:div>
    <w:div w:id="708139872">
      <w:bodyDiv w:val="1"/>
      <w:marLeft w:val="0"/>
      <w:marRight w:val="0"/>
      <w:marTop w:val="0"/>
      <w:marBottom w:val="0"/>
      <w:divBdr>
        <w:top w:val="none" w:sz="0" w:space="0" w:color="auto"/>
        <w:left w:val="none" w:sz="0" w:space="0" w:color="auto"/>
        <w:bottom w:val="none" w:sz="0" w:space="0" w:color="auto"/>
        <w:right w:val="none" w:sz="0" w:space="0" w:color="auto"/>
      </w:divBdr>
    </w:div>
    <w:div w:id="777412560">
      <w:bodyDiv w:val="1"/>
      <w:marLeft w:val="0"/>
      <w:marRight w:val="0"/>
      <w:marTop w:val="0"/>
      <w:marBottom w:val="0"/>
      <w:divBdr>
        <w:top w:val="none" w:sz="0" w:space="0" w:color="auto"/>
        <w:left w:val="none" w:sz="0" w:space="0" w:color="auto"/>
        <w:bottom w:val="none" w:sz="0" w:space="0" w:color="auto"/>
        <w:right w:val="none" w:sz="0" w:space="0" w:color="auto"/>
      </w:divBdr>
    </w:div>
    <w:div w:id="780075289">
      <w:bodyDiv w:val="1"/>
      <w:marLeft w:val="0"/>
      <w:marRight w:val="0"/>
      <w:marTop w:val="0"/>
      <w:marBottom w:val="0"/>
      <w:divBdr>
        <w:top w:val="none" w:sz="0" w:space="0" w:color="auto"/>
        <w:left w:val="none" w:sz="0" w:space="0" w:color="auto"/>
        <w:bottom w:val="none" w:sz="0" w:space="0" w:color="auto"/>
        <w:right w:val="none" w:sz="0" w:space="0" w:color="auto"/>
      </w:divBdr>
    </w:div>
    <w:div w:id="783112913">
      <w:bodyDiv w:val="1"/>
      <w:marLeft w:val="0"/>
      <w:marRight w:val="0"/>
      <w:marTop w:val="0"/>
      <w:marBottom w:val="0"/>
      <w:divBdr>
        <w:top w:val="none" w:sz="0" w:space="0" w:color="auto"/>
        <w:left w:val="none" w:sz="0" w:space="0" w:color="auto"/>
        <w:bottom w:val="none" w:sz="0" w:space="0" w:color="auto"/>
        <w:right w:val="none" w:sz="0" w:space="0" w:color="auto"/>
      </w:divBdr>
      <w:divsChild>
        <w:div w:id="162669745">
          <w:marLeft w:val="0"/>
          <w:marRight w:val="0"/>
          <w:marTop w:val="0"/>
          <w:marBottom w:val="0"/>
          <w:divBdr>
            <w:top w:val="none" w:sz="0" w:space="0" w:color="auto"/>
            <w:left w:val="none" w:sz="0" w:space="0" w:color="auto"/>
            <w:bottom w:val="none" w:sz="0" w:space="0" w:color="auto"/>
            <w:right w:val="none" w:sz="0" w:space="0" w:color="auto"/>
          </w:divBdr>
        </w:div>
      </w:divsChild>
    </w:div>
    <w:div w:id="815300403">
      <w:bodyDiv w:val="1"/>
      <w:marLeft w:val="0"/>
      <w:marRight w:val="0"/>
      <w:marTop w:val="0"/>
      <w:marBottom w:val="0"/>
      <w:divBdr>
        <w:top w:val="none" w:sz="0" w:space="0" w:color="auto"/>
        <w:left w:val="none" w:sz="0" w:space="0" w:color="auto"/>
        <w:bottom w:val="none" w:sz="0" w:space="0" w:color="auto"/>
        <w:right w:val="none" w:sz="0" w:space="0" w:color="auto"/>
      </w:divBdr>
    </w:div>
    <w:div w:id="822432487">
      <w:bodyDiv w:val="1"/>
      <w:marLeft w:val="0"/>
      <w:marRight w:val="0"/>
      <w:marTop w:val="0"/>
      <w:marBottom w:val="0"/>
      <w:divBdr>
        <w:top w:val="none" w:sz="0" w:space="0" w:color="auto"/>
        <w:left w:val="none" w:sz="0" w:space="0" w:color="auto"/>
        <w:bottom w:val="none" w:sz="0" w:space="0" w:color="auto"/>
        <w:right w:val="none" w:sz="0" w:space="0" w:color="auto"/>
      </w:divBdr>
    </w:div>
    <w:div w:id="823005544">
      <w:bodyDiv w:val="1"/>
      <w:marLeft w:val="0"/>
      <w:marRight w:val="0"/>
      <w:marTop w:val="0"/>
      <w:marBottom w:val="0"/>
      <w:divBdr>
        <w:top w:val="none" w:sz="0" w:space="0" w:color="auto"/>
        <w:left w:val="none" w:sz="0" w:space="0" w:color="auto"/>
        <w:bottom w:val="none" w:sz="0" w:space="0" w:color="auto"/>
        <w:right w:val="none" w:sz="0" w:space="0" w:color="auto"/>
      </w:divBdr>
    </w:div>
    <w:div w:id="862322751">
      <w:bodyDiv w:val="1"/>
      <w:marLeft w:val="0"/>
      <w:marRight w:val="0"/>
      <w:marTop w:val="0"/>
      <w:marBottom w:val="0"/>
      <w:divBdr>
        <w:top w:val="none" w:sz="0" w:space="0" w:color="auto"/>
        <w:left w:val="none" w:sz="0" w:space="0" w:color="auto"/>
        <w:bottom w:val="none" w:sz="0" w:space="0" w:color="auto"/>
        <w:right w:val="none" w:sz="0" w:space="0" w:color="auto"/>
      </w:divBdr>
    </w:div>
    <w:div w:id="873494492">
      <w:bodyDiv w:val="1"/>
      <w:marLeft w:val="0"/>
      <w:marRight w:val="0"/>
      <w:marTop w:val="0"/>
      <w:marBottom w:val="0"/>
      <w:divBdr>
        <w:top w:val="none" w:sz="0" w:space="0" w:color="auto"/>
        <w:left w:val="none" w:sz="0" w:space="0" w:color="auto"/>
        <w:bottom w:val="none" w:sz="0" w:space="0" w:color="auto"/>
        <w:right w:val="none" w:sz="0" w:space="0" w:color="auto"/>
      </w:divBdr>
    </w:div>
    <w:div w:id="877086052">
      <w:bodyDiv w:val="1"/>
      <w:marLeft w:val="0"/>
      <w:marRight w:val="0"/>
      <w:marTop w:val="0"/>
      <w:marBottom w:val="0"/>
      <w:divBdr>
        <w:top w:val="none" w:sz="0" w:space="0" w:color="auto"/>
        <w:left w:val="none" w:sz="0" w:space="0" w:color="auto"/>
        <w:bottom w:val="none" w:sz="0" w:space="0" w:color="auto"/>
        <w:right w:val="none" w:sz="0" w:space="0" w:color="auto"/>
      </w:divBdr>
    </w:div>
    <w:div w:id="904604592">
      <w:bodyDiv w:val="1"/>
      <w:marLeft w:val="0"/>
      <w:marRight w:val="0"/>
      <w:marTop w:val="0"/>
      <w:marBottom w:val="0"/>
      <w:divBdr>
        <w:top w:val="none" w:sz="0" w:space="0" w:color="auto"/>
        <w:left w:val="none" w:sz="0" w:space="0" w:color="auto"/>
        <w:bottom w:val="none" w:sz="0" w:space="0" w:color="auto"/>
        <w:right w:val="none" w:sz="0" w:space="0" w:color="auto"/>
      </w:divBdr>
    </w:div>
    <w:div w:id="1026373495">
      <w:bodyDiv w:val="1"/>
      <w:marLeft w:val="0"/>
      <w:marRight w:val="0"/>
      <w:marTop w:val="0"/>
      <w:marBottom w:val="0"/>
      <w:divBdr>
        <w:top w:val="none" w:sz="0" w:space="0" w:color="auto"/>
        <w:left w:val="none" w:sz="0" w:space="0" w:color="auto"/>
        <w:bottom w:val="none" w:sz="0" w:space="0" w:color="auto"/>
        <w:right w:val="none" w:sz="0" w:space="0" w:color="auto"/>
      </w:divBdr>
    </w:div>
    <w:div w:id="1074276772">
      <w:bodyDiv w:val="1"/>
      <w:marLeft w:val="0"/>
      <w:marRight w:val="0"/>
      <w:marTop w:val="0"/>
      <w:marBottom w:val="0"/>
      <w:divBdr>
        <w:top w:val="none" w:sz="0" w:space="0" w:color="auto"/>
        <w:left w:val="none" w:sz="0" w:space="0" w:color="auto"/>
        <w:bottom w:val="none" w:sz="0" w:space="0" w:color="auto"/>
        <w:right w:val="none" w:sz="0" w:space="0" w:color="auto"/>
      </w:divBdr>
    </w:div>
    <w:div w:id="1101991983">
      <w:bodyDiv w:val="1"/>
      <w:marLeft w:val="0"/>
      <w:marRight w:val="0"/>
      <w:marTop w:val="0"/>
      <w:marBottom w:val="0"/>
      <w:divBdr>
        <w:top w:val="none" w:sz="0" w:space="0" w:color="auto"/>
        <w:left w:val="none" w:sz="0" w:space="0" w:color="auto"/>
        <w:bottom w:val="none" w:sz="0" w:space="0" w:color="auto"/>
        <w:right w:val="none" w:sz="0" w:space="0" w:color="auto"/>
      </w:divBdr>
    </w:div>
    <w:div w:id="1114903058">
      <w:bodyDiv w:val="1"/>
      <w:marLeft w:val="0"/>
      <w:marRight w:val="0"/>
      <w:marTop w:val="0"/>
      <w:marBottom w:val="0"/>
      <w:divBdr>
        <w:top w:val="none" w:sz="0" w:space="0" w:color="auto"/>
        <w:left w:val="none" w:sz="0" w:space="0" w:color="auto"/>
        <w:bottom w:val="none" w:sz="0" w:space="0" w:color="auto"/>
        <w:right w:val="none" w:sz="0" w:space="0" w:color="auto"/>
      </w:divBdr>
    </w:div>
    <w:div w:id="1167357617">
      <w:bodyDiv w:val="1"/>
      <w:marLeft w:val="0"/>
      <w:marRight w:val="0"/>
      <w:marTop w:val="0"/>
      <w:marBottom w:val="0"/>
      <w:divBdr>
        <w:top w:val="none" w:sz="0" w:space="0" w:color="auto"/>
        <w:left w:val="none" w:sz="0" w:space="0" w:color="auto"/>
        <w:bottom w:val="none" w:sz="0" w:space="0" w:color="auto"/>
        <w:right w:val="none" w:sz="0" w:space="0" w:color="auto"/>
      </w:divBdr>
    </w:div>
    <w:div w:id="1193763077">
      <w:bodyDiv w:val="1"/>
      <w:marLeft w:val="0"/>
      <w:marRight w:val="0"/>
      <w:marTop w:val="0"/>
      <w:marBottom w:val="0"/>
      <w:divBdr>
        <w:top w:val="none" w:sz="0" w:space="0" w:color="auto"/>
        <w:left w:val="none" w:sz="0" w:space="0" w:color="auto"/>
        <w:bottom w:val="none" w:sz="0" w:space="0" w:color="auto"/>
        <w:right w:val="none" w:sz="0" w:space="0" w:color="auto"/>
      </w:divBdr>
    </w:div>
    <w:div w:id="1228301455">
      <w:bodyDiv w:val="1"/>
      <w:marLeft w:val="0"/>
      <w:marRight w:val="0"/>
      <w:marTop w:val="0"/>
      <w:marBottom w:val="0"/>
      <w:divBdr>
        <w:top w:val="none" w:sz="0" w:space="0" w:color="auto"/>
        <w:left w:val="none" w:sz="0" w:space="0" w:color="auto"/>
        <w:bottom w:val="none" w:sz="0" w:space="0" w:color="auto"/>
        <w:right w:val="none" w:sz="0" w:space="0" w:color="auto"/>
      </w:divBdr>
    </w:div>
    <w:div w:id="1260407854">
      <w:bodyDiv w:val="1"/>
      <w:marLeft w:val="0"/>
      <w:marRight w:val="0"/>
      <w:marTop w:val="0"/>
      <w:marBottom w:val="0"/>
      <w:divBdr>
        <w:top w:val="none" w:sz="0" w:space="0" w:color="auto"/>
        <w:left w:val="none" w:sz="0" w:space="0" w:color="auto"/>
        <w:bottom w:val="none" w:sz="0" w:space="0" w:color="auto"/>
        <w:right w:val="none" w:sz="0" w:space="0" w:color="auto"/>
      </w:divBdr>
    </w:div>
    <w:div w:id="1321345636">
      <w:bodyDiv w:val="1"/>
      <w:marLeft w:val="0"/>
      <w:marRight w:val="0"/>
      <w:marTop w:val="0"/>
      <w:marBottom w:val="0"/>
      <w:divBdr>
        <w:top w:val="none" w:sz="0" w:space="0" w:color="auto"/>
        <w:left w:val="none" w:sz="0" w:space="0" w:color="auto"/>
        <w:bottom w:val="none" w:sz="0" w:space="0" w:color="auto"/>
        <w:right w:val="none" w:sz="0" w:space="0" w:color="auto"/>
      </w:divBdr>
    </w:div>
    <w:div w:id="1367831601">
      <w:bodyDiv w:val="1"/>
      <w:marLeft w:val="0"/>
      <w:marRight w:val="0"/>
      <w:marTop w:val="0"/>
      <w:marBottom w:val="0"/>
      <w:divBdr>
        <w:top w:val="none" w:sz="0" w:space="0" w:color="auto"/>
        <w:left w:val="none" w:sz="0" w:space="0" w:color="auto"/>
        <w:bottom w:val="none" w:sz="0" w:space="0" w:color="auto"/>
        <w:right w:val="none" w:sz="0" w:space="0" w:color="auto"/>
      </w:divBdr>
    </w:div>
    <w:div w:id="1405226721">
      <w:bodyDiv w:val="1"/>
      <w:marLeft w:val="0"/>
      <w:marRight w:val="0"/>
      <w:marTop w:val="0"/>
      <w:marBottom w:val="0"/>
      <w:divBdr>
        <w:top w:val="none" w:sz="0" w:space="0" w:color="auto"/>
        <w:left w:val="none" w:sz="0" w:space="0" w:color="auto"/>
        <w:bottom w:val="none" w:sz="0" w:space="0" w:color="auto"/>
        <w:right w:val="none" w:sz="0" w:space="0" w:color="auto"/>
      </w:divBdr>
    </w:div>
    <w:div w:id="1434283814">
      <w:bodyDiv w:val="1"/>
      <w:marLeft w:val="0"/>
      <w:marRight w:val="0"/>
      <w:marTop w:val="0"/>
      <w:marBottom w:val="0"/>
      <w:divBdr>
        <w:top w:val="none" w:sz="0" w:space="0" w:color="auto"/>
        <w:left w:val="none" w:sz="0" w:space="0" w:color="auto"/>
        <w:bottom w:val="none" w:sz="0" w:space="0" w:color="auto"/>
        <w:right w:val="none" w:sz="0" w:space="0" w:color="auto"/>
      </w:divBdr>
    </w:div>
    <w:div w:id="1519470101">
      <w:bodyDiv w:val="1"/>
      <w:marLeft w:val="0"/>
      <w:marRight w:val="0"/>
      <w:marTop w:val="0"/>
      <w:marBottom w:val="0"/>
      <w:divBdr>
        <w:top w:val="none" w:sz="0" w:space="0" w:color="auto"/>
        <w:left w:val="none" w:sz="0" w:space="0" w:color="auto"/>
        <w:bottom w:val="none" w:sz="0" w:space="0" w:color="auto"/>
        <w:right w:val="none" w:sz="0" w:space="0" w:color="auto"/>
      </w:divBdr>
    </w:div>
    <w:div w:id="1520505591">
      <w:bodyDiv w:val="1"/>
      <w:marLeft w:val="0"/>
      <w:marRight w:val="0"/>
      <w:marTop w:val="0"/>
      <w:marBottom w:val="0"/>
      <w:divBdr>
        <w:top w:val="none" w:sz="0" w:space="0" w:color="auto"/>
        <w:left w:val="none" w:sz="0" w:space="0" w:color="auto"/>
        <w:bottom w:val="none" w:sz="0" w:space="0" w:color="auto"/>
        <w:right w:val="none" w:sz="0" w:space="0" w:color="auto"/>
      </w:divBdr>
    </w:div>
    <w:div w:id="1529222415">
      <w:bodyDiv w:val="1"/>
      <w:marLeft w:val="0"/>
      <w:marRight w:val="0"/>
      <w:marTop w:val="0"/>
      <w:marBottom w:val="0"/>
      <w:divBdr>
        <w:top w:val="none" w:sz="0" w:space="0" w:color="auto"/>
        <w:left w:val="none" w:sz="0" w:space="0" w:color="auto"/>
        <w:bottom w:val="none" w:sz="0" w:space="0" w:color="auto"/>
        <w:right w:val="none" w:sz="0" w:space="0" w:color="auto"/>
      </w:divBdr>
    </w:div>
    <w:div w:id="1541432531">
      <w:bodyDiv w:val="1"/>
      <w:marLeft w:val="0"/>
      <w:marRight w:val="0"/>
      <w:marTop w:val="0"/>
      <w:marBottom w:val="0"/>
      <w:divBdr>
        <w:top w:val="none" w:sz="0" w:space="0" w:color="auto"/>
        <w:left w:val="none" w:sz="0" w:space="0" w:color="auto"/>
        <w:bottom w:val="none" w:sz="0" w:space="0" w:color="auto"/>
        <w:right w:val="none" w:sz="0" w:space="0" w:color="auto"/>
      </w:divBdr>
    </w:div>
    <w:div w:id="1558085135">
      <w:bodyDiv w:val="1"/>
      <w:marLeft w:val="0"/>
      <w:marRight w:val="0"/>
      <w:marTop w:val="0"/>
      <w:marBottom w:val="0"/>
      <w:divBdr>
        <w:top w:val="none" w:sz="0" w:space="0" w:color="auto"/>
        <w:left w:val="none" w:sz="0" w:space="0" w:color="auto"/>
        <w:bottom w:val="none" w:sz="0" w:space="0" w:color="auto"/>
        <w:right w:val="none" w:sz="0" w:space="0" w:color="auto"/>
      </w:divBdr>
    </w:div>
    <w:div w:id="1601638550">
      <w:bodyDiv w:val="1"/>
      <w:marLeft w:val="0"/>
      <w:marRight w:val="0"/>
      <w:marTop w:val="0"/>
      <w:marBottom w:val="0"/>
      <w:divBdr>
        <w:top w:val="none" w:sz="0" w:space="0" w:color="auto"/>
        <w:left w:val="none" w:sz="0" w:space="0" w:color="auto"/>
        <w:bottom w:val="none" w:sz="0" w:space="0" w:color="auto"/>
        <w:right w:val="none" w:sz="0" w:space="0" w:color="auto"/>
      </w:divBdr>
    </w:div>
    <w:div w:id="1626883871">
      <w:bodyDiv w:val="1"/>
      <w:marLeft w:val="0"/>
      <w:marRight w:val="0"/>
      <w:marTop w:val="0"/>
      <w:marBottom w:val="0"/>
      <w:divBdr>
        <w:top w:val="none" w:sz="0" w:space="0" w:color="auto"/>
        <w:left w:val="none" w:sz="0" w:space="0" w:color="auto"/>
        <w:bottom w:val="none" w:sz="0" w:space="0" w:color="auto"/>
        <w:right w:val="none" w:sz="0" w:space="0" w:color="auto"/>
      </w:divBdr>
    </w:div>
    <w:div w:id="1716389828">
      <w:bodyDiv w:val="1"/>
      <w:marLeft w:val="0"/>
      <w:marRight w:val="0"/>
      <w:marTop w:val="0"/>
      <w:marBottom w:val="0"/>
      <w:divBdr>
        <w:top w:val="none" w:sz="0" w:space="0" w:color="auto"/>
        <w:left w:val="none" w:sz="0" w:space="0" w:color="auto"/>
        <w:bottom w:val="none" w:sz="0" w:space="0" w:color="auto"/>
        <w:right w:val="none" w:sz="0" w:space="0" w:color="auto"/>
      </w:divBdr>
    </w:div>
    <w:div w:id="1723479864">
      <w:bodyDiv w:val="1"/>
      <w:marLeft w:val="0"/>
      <w:marRight w:val="0"/>
      <w:marTop w:val="0"/>
      <w:marBottom w:val="0"/>
      <w:divBdr>
        <w:top w:val="none" w:sz="0" w:space="0" w:color="auto"/>
        <w:left w:val="none" w:sz="0" w:space="0" w:color="auto"/>
        <w:bottom w:val="none" w:sz="0" w:space="0" w:color="auto"/>
        <w:right w:val="none" w:sz="0" w:space="0" w:color="auto"/>
      </w:divBdr>
    </w:div>
    <w:div w:id="1725594113">
      <w:bodyDiv w:val="1"/>
      <w:marLeft w:val="0"/>
      <w:marRight w:val="0"/>
      <w:marTop w:val="0"/>
      <w:marBottom w:val="0"/>
      <w:divBdr>
        <w:top w:val="none" w:sz="0" w:space="0" w:color="auto"/>
        <w:left w:val="none" w:sz="0" w:space="0" w:color="auto"/>
        <w:bottom w:val="none" w:sz="0" w:space="0" w:color="auto"/>
        <w:right w:val="none" w:sz="0" w:space="0" w:color="auto"/>
      </w:divBdr>
    </w:div>
    <w:div w:id="1772703062">
      <w:bodyDiv w:val="1"/>
      <w:marLeft w:val="0"/>
      <w:marRight w:val="0"/>
      <w:marTop w:val="0"/>
      <w:marBottom w:val="0"/>
      <w:divBdr>
        <w:top w:val="none" w:sz="0" w:space="0" w:color="auto"/>
        <w:left w:val="none" w:sz="0" w:space="0" w:color="auto"/>
        <w:bottom w:val="none" w:sz="0" w:space="0" w:color="auto"/>
        <w:right w:val="none" w:sz="0" w:space="0" w:color="auto"/>
      </w:divBdr>
    </w:div>
    <w:div w:id="1797261822">
      <w:bodyDiv w:val="1"/>
      <w:marLeft w:val="0"/>
      <w:marRight w:val="0"/>
      <w:marTop w:val="0"/>
      <w:marBottom w:val="0"/>
      <w:divBdr>
        <w:top w:val="none" w:sz="0" w:space="0" w:color="auto"/>
        <w:left w:val="none" w:sz="0" w:space="0" w:color="auto"/>
        <w:bottom w:val="none" w:sz="0" w:space="0" w:color="auto"/>
        <w:right w:val="none" w:sz="0" w:space="0" w:color="auto"/>
      </w:divBdr>
    </w:div>
    <w:div w:id="1824001157">
      <w:bodyDiv w:val="1"/>
      <w:marLeft w:val="0"/>
      <w:marRight w:val="0"/>
      <w:marTop w:val="0"/>
      <w:marBottom w:val="0"/>
      <w:divBdr>
        <w:top w:val="none" w:sz="0" w:space="0" w:color="auto"/>
        <w:left w:val="none" w:sz="0" w:space="0" w:color="auto"/>
        <w:bottom w:val="none" w:sz="0" w:space="0" w:color="auto"/>
        <w:right w:val="none" w:sz="0" w:space="0" w:color="auto"/>
      </w:divBdr>
    </w:div>
    <w:div w:id="1838812816">
      <w:bodyDiv w:val="1"/>
      <w:marLeft w:val="0"/>
      <w:marRight w:val="0"/>
      <w:marTop w:val="0"/>
      <w:marBottom w:val="0"/>
      <w:divBdr>
        <w:top w:val="none" w:sz="0" w:space="0" w:color="auto"/>
        <w:left w:val="none" w:sz="0" w:space="0" w:color="auto"/>
        <w:bottom w:val="none" w:sz="0" w:space="0" w:color="auto"/>
        <w:right w:val="none" w:sz="0" w:space="0" w:color="auto"/>
      </w:divBdr>
    </w:div>
    <w:div w:id="1843082824">
      <w:bodyDiv w:val="1"/>
      <w:marLeft w:val="0"/>
      <w:marRight w:val="0"/>
      <w:marTop w:val="0"/>
      <w:marBottom w:val="0"/>
      <w:divBdr>
        <w:top w:val="none" w:sz="0" w:space="0" w:color="auto"/>
        <w:left w:val="none" w:sz="0" w:space="0" w:color="auto"/>
        <w:bottom w:val="none" w:sz="0" w:space="0" w:color="auto"/>
        <w:right w:val="none" w:sz="0" w:space="0" w:color="auto"/>
      </w:divBdr>
    </w:div>
    <w:div w:id="2024166471">
      <w:bodyDiv w:val="1"/>
      <w:marLeft w:val="0"/>
      <w:marRight w:val="0"/>
      <w:marTop w:val="0"/>
      <w:marBottom w:val="0"/>
      <w:divBdr>
        <w:top w:val="none" w:sz="0" w:space="0" w:color="auto"/>
        <w:left w:val="none" w:sz="0" w:space="0" w:color="auto"/>
        <w:bottom w:val="none" w:sz="0" w:space="0" w:color="auto"/>
        <w:right w:val="none" w:sz="0" w:space="0" w:color="auto"/>
      </w:divBdr>
    </w:div>
    <w:div w:id="2051488153">
      <w:bodyDiv w:val="1"/>
      <w:marLeft w:val="0"/>
      <w:marRight w:val="0"/>
      <w:marTop w:val="0"/>
      <w:marBottom w:val="0"/>
      <w:divBdr>
        <w:top w:val="none" w:sz="0" w:space="0" w:color="auto"/>
        <w:left w:val="none" w:sz="0" w:space="0" w:color="auto"/>
        <w:bottom w:val="none" w:sz="0" w:space="0" w:color="auto"/>
        <w:right w:val="none" w:sz="0" w:space="0" w:color="auto"/>
      </w:divBdr>
    </w:div>
    <w:div w:id="2066441540">
      <w:bodyDiv w:val="1"/>
      <w:marLeft w:val="0"/>
      <w:marRight w:val="0"/>
      <w:marTop w:val="0"/>
      <w:marBottom w:val="0"/>
      <w:divBdr>
        <w:top w:val="none" w:sz="0" w:space="0" w:color="auto"/>
        <w:left w:val="none" w:sz="0" w:space="0" w:color="auto"/>
        <w:bottom w:val="none" w:sz="0" w:space="0" w:color="auto"/>
        <w:right w:val="none" w:sz="0" w:space="0" w:color="auto"/>
      </w:divBdr>
    </w:div>
    <w:div w:id="2067140280">
      <w:bodyDiv w:val="1"/>
      <w:marLeft w:val="0"/>
      <w:marRight w:val="0"/>
      <w:marTop w:val="0"/>
      <w:marBottom w:val="0"/>
      <w:divBdr>
        <w:top w:val="none" w:sz="0" w:space="0" w:color="auto"/>
        <w:left w:val="none" w:sz="0" w:space="0" w:color="auto"/>
        <w:bottom w:val="none" w:sz="0" w:space="0" w:color="auto"/>
        <w:right w:val="none" w:sz="0" w:space="0" w:color="auto"/>
      </w:divBdr>
    </w:div>
    <w:div w:id="2083138174">
      <w:bodyDiv w:val="1"/>
      <w:marLeft w:val="0"/>
      <w:marRight w:val="0"/>
      <w:marTop w:val="0"/>
      <w:marBottom w:val="0"/>
      <w:divBdr>
        <w:top w:val="none" w:sz="0" w:space="0" w:color="auto"/>
        <w:left w:val="none" w:sz="0" w:space="0" w:color="auto"/>
        <w:bottom w:val="none" w:sz="0" w:space="0" w:color="auto"/>
        <w:right w:val="none" w:sz="0" w:space="0" w:color="auto"/>
      </w:divBdr>
    </w:div>
    <w:div w:id="21469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8.emf"/><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image" Target="media/image36.emf"/><Relationship Id="rId50" Type="http://schemas.openxmlformats.org/officeDocument/2006/relationships/image" Target="media/image39.emf"/><Relationship Id="rId55" Type="http://schemas.openxmlformats.org/officeDocument/2006/relationships/image" Target="media/image44.emf"/><Relationship Id="rId63" Type="http://schemas.openxmlformats.org/officeDocument/2006/relationships/image" Target="media/image52.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image" Target="media/image34.emf"/><Relationship Id="rId53" Type="http://schemas.openxmlformats.org/officeDocument/2006/relationships/image" Target="media/image42.emf"/><Relationship Id="rId58" Type="http://schemas.openxmlformats.org/officeDocument/2006/relationships/image" Target="media/image47.emf"/><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49" Type="http://schemas.openxmlformats.org/officeDocument/2006/relationships/image" Target="media/image38.emf"/><Relationship Id="rId57" Type="http://schemas.openxmlformats.org/officeDocument/2006/relationships/image" Target="media/image46.emf"/><Relationship Id="rId61" Type="http://schemas.openxmlformats.org/officeDocument/2006/relationships/image" Target="media/image50.emf"/><Relationship Id="rId10" Type="http://schemas.openxmlformats.org/officeDocument/2006/relationships/footer" Target="footer1.xml"/><Relationship Id="rId19" Type="http://schemas.openxmlformats.org/officeDocument/2006/relationships/image" Target="media/image8.emf"/><Relationship Id="rId31" Type="http://schemas.openxmlformats.org/officeDocument/2006/relationships/image" Target="media/image20.emf"/><Relationship Id="rId44" Type="http://schemas.openxmlformats.org/officeDocument/2006/relationships/image" Target="media/image33.emf"/><Relationship Id="rId52" Type="http://schemas.openxmlformats.org/officeDocument/2006/relationships/image" Target="media/image41.emf"/><Relationship Id="rId60" Type="http://schemas.openxmlformats.org/officeDocument/2006/relationships/image" Target="media/image49.emf"/><Relationship Id="rId65" Type="http://schemas.openxmlformats.org/officeDocument/2006/relationships/image" Target="media/image54.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image" Target="media/image37.emf"/><Relationship Id="rId56" Type="http://schemas.openxmlformats.org/officeDocument/2006/relationships/image" Target="media/image45.emf"/><Relationship Id="rId64" Type="http://schemas.openxmlformats.org/officeDocument/2006/relationships/image" Target="media/image53.emf"/><Relationship Id="rId8" Type="http://schemas.openxmlformats.org/officeDocument/2006/relationships/endnotes" Target="endnotes.xml"/><Relationship Id="rId51" Type="http://schemas.openxmlformats.org/officeDocument/2006/relationships/image" Target="media/image40.emf"/><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5.emf"/><Relationship Id="rId59" Type="http://schemas.openxmlformats.org/officeDocument/2006/relationships/image" Target="media/image48.emf"/><Relationship Id="rId67" Type="http://schemas.openxmlformats.org/officeDocument/2006/relationships/theme" Target="theme/theme1.xml"/><Relationship Id="rId20" Type="http://schemas.openxmlformats.org/officeDocument/2006/relationships/image" Target="media/image9.emf"/><Relationship Id="rId41" Type="http://schemas.openxmlformats.org/officeDocument/2006/relationships/image" Target="media/image30.emf"/><Relationship Id="rId54" Type="http://schemas.openxmlformats.org/officeDocument/2006/relationships/image" Target="media/image43.emf"/><Relationship Id="rId62" Type="http://schemas.openxmlformats.org/officeDocument/2006/relationships/image" Target="media/image5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A6E0C-7F63-4A15-B2C3-776AEC3A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6238</Words>
  <Characters>35563</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41718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of Maine</dc:creator>
  <cp:keywords/>
  <dc:description/>
  <cp:lastModifiedBy>Quimby, Tammy</cp:lastModifiedBy>
  <cp:revision>2</cp:revision>
  <cp:lastPrinted>2012-10-02T12:29:00Z</cp:lastPrinted>
  <dcterms:created xsi:type="dcterms:W3CDTF">2012-10-02T19:14:00Z</dcterms:created>
  <dcterms:modified xsi:type="dcterms:W3CDTF">2012-10-02T19:14:00Z</dcterms:modified>
</cp:coreProperties>
</file>